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charts/chart1.xml" ContentType="application/vnd.openxmlformats-officedocument.drawingml.chart+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3AB" w:rsidRPr="00816657" w:rsidRDefault="003F328C" w:rsidP="007469AC">
      <w:pPr>
        <w:pStyle w:val="Title"/>
        <w:tabs>
          <w:tab w:val="left" w:pos="851"/>
        </w:tabs>
      </w:pPr>
      <w:bookmarkStart w:id="0" w:name="_GoBack"/>
      <w:bookmarkEnd w:id="0"/>
      <w:r w:rsidRPr="00816657">
        <w:t>Hazardous waste infrastructure needs and capacity assessment</w:t>
      </w:r>
    </w:p>
    <w:p w:rsidR="00114CB5" w:rsidRPr="00816657" w:rsidRDefault="003A4815" w:rsidP="002A0F82">
      <w:pPr>
        <w:pStyle w:val="Draft"/>
        <w:rPr>
          <w:rStyle w:val="Grey"/>
          <w:color w:val="0000FF"/>
        </w:rPr>
      </w:pPr>
      <w:r>
        <w:t>Final report</w:t>
      </w:r>
    </w:p>
    <w:p w:rsidR="006D0E9D" w:rsidRPr="00816657" w:rsidRDefault="006F02D4" w:rsidP="002A0F82">
      <w:pPr>
        <w:pStyle w:val="Titlepagetext"/>
      </w:pPr>
      <w:proofErr w:type="gramStart"/>
      <w:r w:rsidRPr="00816657">
        <w:rPr>
          <w:rStyle w:val="Grey"/>
          <w:color w:val="0000FF"/>
        </w:rPr>
        <w:t>prepared</w:t>
      </w:r>
      <w:proofErr w:type="gramEnd"/>
      <w:r w:rsidRPr="00816657">
        <w:t xml:space="preserve"> for</w:t>
      </w:r>
    </w:p>
    <w:p w:rsidR="00A5062A" w:rsidRPr="00816657" w:rsidRDefault="006D07F5" w:rsidP="00186C62">
      <w:pPr>
        <w:pStyle w:val="Client"/>
        <w:rPr>
          <w:rStyle w:val="Grey"/>
        </w:rPr>
      </w:pPr>
      <w:fldSimple w:instr=" DOCPROPERTY  xClient  \* MERGEFORMAT ">
        <w:r w:rsidR="00C80441">
          <w:t>Department of the Environment</w:t>
        </w:r>
      </w:fldSimple>
    </w:p>
    <w:p w:rsidR="009F31BB" w:rsidRPr="00816657" w:rsidRDefault="00A842EA" w:rsidP="00186C62">
      <w:pPr>
        <w:pStyle w:val="Subsubtitle"/>
      </w:pPr>
      <w:r>
        <w:t>Ju</w:t>
      </w:r>
      <w:r w:rsidR="006171A4">
        <w:t>ly</w:t>
      </w:r>
      <w:r>
        <w:t xml:space="preserve"> </w:t>
      </w:r>
      <w:r w:rsidR="00A7623C" w:rsidRPr="00816657">
        <w:t>2015</w:t>
      </w:r>
    </w:p>
    <w:p w:rsidR="00093F02" w:rsidRPr="00816657" w:rsidRDefault="00093F02" w:rsidP="00E82ECD"/>
    <w:p w:rsidR="006D0E9D" w:rsidRPr="00816657" w:rsidRDefault="006D07F5" w:rsidP="00E82ECD">
      <w:pPr>
        <w:sectPr w:rsidR="006D0E9D" w:rsidRPr="00816657" w:rsidSect="00030167">
          <w:headerReference w:type="even" r:id="rId8"/>
          <w:headerReference w:type="default" r:id="rId9"/>
          <w:footerReference w:type="default" r:id="rId10"/>
          <w:headerReference w:type="first" r:id="rId11"/>
          <w:pgSz w:w="11907" w:h="16840" w:code="9"/>
          <w:pgMar w:top="1928" w:right="1077" w:bottom="1559" w:left="1474" w:header="709" w:footer="709" w:gutter="0"/>
          <w:pgNumType w:start="0"/>
          <w:cols w:space="708"/>
          <w:docGrid w:linePitch="360"/>
        </w:sectPr>
      </w:pPr>
      <w:r w:rsidRPr="006D07F5">
        <w:rPr>
          <w:rFonts w:asciiTheme="minorHAnsi" w:hAnsiTheme="minorHAnsi"/>
          <w:noProof/>
          <w:lang w:eastAsia="en-AU"/>
        </w:rPr>
        <w:pict>
          <v:shapetype id="_x0000_t202" coordsize="21600,21600" o:spt="202" path="m,l,21600r21600,l21600,xe">
            <v:stroke joinstyle="miter"/>
            <v:path gradientshapeok="t" o:connecttype="rect"/>
          </v:shapetype>
          <v:shape id="Text Box 2" o:spid="_x0000_s1026" type="#_x0000_t202" style="position:absolute;margin-left:-1.7pt;margin-top:28.8pt;width:251.45pt;height:7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" fillcolor="#d8d8d8 [2732]">
            <v:textbox>
              <w:txbxContent>
                <w:p w:rsidR="002D3096" w:rsidRPr="008D079D" w:rsidRDefault="002D3096" w:rsidP="00FC53C5">
                  <w:pPr>
                    <w:rPr>
                      <w:sz w:val="32"/>
                      <w:szCs w:val="32"/>
                    </w:rPr>
                  </w:pPr>
                  <w:r w:rsidRPr="008D079D">
                    <w:rPr>
                      <w:b/>
                      <w:color w:val="FF0000"/>
                      <w:sz w:val="32"/>
                      <w:szCs w:val="32"/>
                    </w:rPr>
                    <w:t>Commercial</w:t>
                  </w:r>
                  <w:r>
                    <w:rPr>
                      <w:b/>
                      <w:color w:val="FF0000"/>
                      <w:sz w:val="32"/>
                      <w:szCs w:val="32"/>
                    </w:rPr>
                    <w:t>ly</w:t>
                  </w:r>
                  <w:r w:rsidRPr="008D079D">
                    <w:rPr>
                      <w:b/>
                      <w:color w:val="FF0000"/>
                      <w:sz w:val="32"/>
                      <w:szCs w:val="32"/>
                    </w:rPr>
                    <w:t xml:space="preserve"> c</w:t>
                  </w:r>
                  <w:r>
                    <w:rPr>
                      <w:b/>
                      <w:color w:val="FF0000"/>
                      <w:sz w:val="32"/>
                      <w:szCs w:val="32"/>
                    </w:rPr>
                    <w:t xml:space="preserve">onfidential and confidential text is removed and marked with red or black boxes </w:t>
                  </w:r>
                </w:p>
              </w:txbxContent>
            </v:textbox>
          </v:shape>
        </w:pict>
      </w:r>
    </w:p>
    <w:p w:rsidR="003F328C" w:rsidRPr="00816657" w:rsidRDefault="003F328C" w:rsidP="00186C62">
      <w:pPr>
        <w:pStyle w:val="Title2"/>
      </w:pPr>
    </w:p>
    <w:p w:rsidR="00B80C20" w:rsidRPr="00816657" w:rsidRDefault="003F328C" w:rsidP="00186C62">
      <w:pPr>
        <w:pStyle w:val="Title2"/>
      </w:pPr>
      <w:r w:rsidRPr="00816657">
        <w:t>Hazardous waste infrastructure needs and capacity assessment</w:t>
      </w:r>
    </w:p>
    <w:p w:rsidR="007D4D1E" w:rsidRPr="00816657" w:rsidRDefault="00991B3A" w:rsidP="005902B9">
      <w:pPr>
        <w:pStyle w:val="Subsubtitle"/>
        <w:tabs>
          <w:tab w:val="left" w:pos="3133"/>
        </w:tabs>
      </w:pPr>
      <w:r>
        <w:t>Final</w:t>
      </w:r>
      <w:r w:rsidR="003A4815">
        <w:t xml:space="preserve"> report</w:t>
      </w:r>
      <w:r w:rsidR="007D4D1E" w:rsidRPr="00816657">
        <w:t xml:space="preserve">: </w:t>
      </w:r>
      <w:fldSimple w:instr=" DOCPROPERTY  xProjectNumber  \* MERGEFORMAT ">
        <w:r w:rsidR="00C80441">
          <w:t>P530</w:t>
        </w:r>
      </w:fldSimple>
      <w:r w:rsidR="005902B9" w:rsidRPr="00816657">
        <w:tab/>
      </w:r>
    </w:p>
    <w:p w:rsidR="00B520D1" w:rsidRPr="00816657" w:rsidRDefault="00A842EA" w:rsidP="00186C62">
      <w:pPr>
        <w:pStyle w:val="Subsubtitle"/>
      </w:pPr>
      <w:r>
        <w:t>Ju</w:t>
      </w:r>
      <w:r w:rsidR="006171A4">
        <w:t>ly</w:t>
      </w:r>
      <w:r>
        <w:t xml:space="preserve"> </w:t>
      </w:r>
      <w:r w:rsidR="00A7623C" w:rsidRPr="00816657">
        <w:t>2015</w:t>
      </w:r>
    </w:p>
    <w:p w:rsidR="00C1117F" w:rsidRPr="00816657" w:rsidRDefault="00C1117F" w:rsidP="007D4D1E">
      <w:pPr>
        <w:pStyle w:val="DisclaimerHeading"/>
      </w:pPr>
      <w:bookmarkStart w:id="1" w:name="BE_Disclaimer"/>
      <w:bookmarkEnd w:id="1"/>
      <w:r w:rsidRPr="00816657">
        <w:t>Disclaimer</w:t>
      </w:r>
    </w:p>
    <w:p w:rsidR="00186C62" w:rsidRPr="00816657" w:rsidRDefault="00186C62" w:rsidP="00186C62">
      <w:pPr>
        <w:pStyle w:val="DisclaimerText"/>
      </w:pPr>
      <w:r w:rsidRPr="00816657">
        <w:t xml:space="preserve">This report has been prepared for </w:t>
      </w:r>
      <w:fldSimple w:instr=" DOCPROPERTY  xClient  \* MERGEFORMAT ">
        <w:r w:rsidR="00C80441">
          <w:t>Department of the Environment</w:t>
        </w:r>
      </w:fldSimple>
      <w:r w:rsidRPr="00816657">
        <w:t xml:space="preserve"> in accordance with the terms and </w:t>
      </w:r>
      <w:proofErr w:type="gramStart"/>
      <w:r w:rsidRPr="00816657">
        <w:t xml:space="preserve">conditions of appointment dated </w:t>
      </w:r>
      <w:fldSimple w:instr=" DOCPROPERTY  xContractDate  \* MERGEFORMAT ">
        <w:r w:rsidR="00C80441">
          <w:t>29 July 2014</w:t>
        </w:r>
      </w:fldSimple>
      <w:r w:rsidRPr="00816657">
        <w:t>, and is</w:t>
      </w:r>
      <w:proofErr w:type="gramEnd"/>
      <w:r w:rsidRPr="00816657">
        <w:t xml:space="preserve"> based on the assumptions and exclusions set out in our scope of work. Information in this document is current as of </w:t>
      </w:r>
      <w:fldSimple w:instr=" DOCPROPERTY  xCurrentTo  \* MERGEFORMAT ">
        <w:r w:rsidR="00C80441">
          <w:t>November 2014</w:t>
        </w:r>
      </w:fldSimple>
      <w:r w:rsidRPr="00816657">
        <w:t xml:space="preserve">. This report has been compiled based on secondary information and data provided by other parties; as such it relies on the accuracy of the provided material. Although the data has been reviewed, the information provided was assumed to be correct unless otherwise stated. </w:t>
      </w:r>
    </w:p>
    <w:p w:rsidR="00186C62" w:rsidRPr="00816657" w:rsidRDefault="00186C62" w:rsidP="00186C62">
      <w:pPr>
        <w:pStyle w:val="DisclaimerText"/>
      </w:pPr>
      <w:r w:rsidRPr="00816657">
        <w:t>While all professional care has been undertaken in preparing this report, Blue Environment Pty Ltd cannot accept any responsibility for any use of or reliance on the contents of this report by any third party.</w:t>
      </w:r>
    </w:p>
    <w:p w:rsidR="009D67EE" w:rsidRPr="00816657" w:rsidRDefault="000C685B" w:rsidP="002A0F82">
      <w:pPr>
        <w:pStyle w:val="Copyright"/>
        <w:spacing w:after="360"/>
      </w:pPr>
      <w:r w:rsidRPr="00816657">
        <w:t>©</w:t>
      </w:r>
      <w:r w:rsidR="00585F91" w:rsidRPr="00816657">
        <w:t xml:space="preserve"> </w:t>
      </w:r>
      <w:fldSimple w:instr=" DOCPROPERTY  xCopyright  \* MERGEFORMAT ">
        <w:r w:rsidR="00C80441">
          <w:t>Department of the Environment and Blue Environment Pty Ltd</w:t>
        </w:r>
      </w:fldSimple>
      <w:r w:rsidR="000C7135" w:rsidRPr="00816657">
        <w:t xml:space="preserve"> </w:t>
      </w:r>
    </w:p>
    <w:p w:rsidR="00D40345" w:rsidRPr="00816657" w:rsidRDefault="00186C62" w:rsidP="002A0F82">
      <w:pPr>
        <w:pStyle w:val="Titlepagetext"/>
        <w:rPr>
          <w:rFonts w:asciiTheme="minorHAnsi" w:hAnsiTheme="minorHAnsi"/>
        </w:rPr>
      </w:pPr>
      <w:r w:rsidRPr="00816657">
        <w:rPr>
          <w:rFonts w:asciiTheme="minorHAnsi" w:hAnsiTheme="minorHAnsi"/>
        </w:rPr>
        <w:t xml:space="preserve">Blue Environment prints on 100% recycled content paper </w:t>
      </w:r>
    </w:p>
    <w:p w:rsidR="00FB5BAC" w:rsidRPr="00816657" w:rsidRDefault="00BD7711" w:rsidP="002A0F82">
      <w:pPr>
        <w:pStyle w:val="AuthorHeading"/>
      </w:pPr>
      <w:r w:rsidRPr="00816657">
        <w:t>Author</w:t>
      </w:r>
      <w:r w:rsidR="005E1F2E" w:rsidRPr="00816657">
        <w:t>s</w:t>
      </w:r>
    </w:p>
    <w:p w:rsidR="00FB5BAC" w:rsidRPr="00816657" w:rsidRDefault="003F328C" w:rsidP="002A0F82">
      <w:pPr>
        <w:pStyle w:val="AuthorName"/>
      </w:pPr>
      <w:bookmarkStart w:id="2" w:name="Author"/>
      <w:r w:rsidRPr="00816657">
        <w:t xml:space="preserve">Paul Randell, Joe Pickin, </w:t>
      </w:r>
      <w:fldSimple w:instr=" DOCPROPERTY  xAuthor  \* MERGEFORMAT ">
        <w:r w:rsidR="00C80441">
          <w:t>Geoff Latimer</w:t>
        </w:r>
      </w:fldSimple>
      <w:r w:rsidR="00786F30" w:rsidRPr="00816657">
        <w:t xml:space="preserve"> </w:t>
      </w:r>
      <w:bookmarkEnd w:id="2"/>
    </w:p>
    <w:p w:rsidR="00985C2E" w:rsidRPr="00816657" w:rsidRDefault="00985C2E" w:rsidP="00985C2E">
      <w:pPr>
        <w:pStyle w:val="BEAddress"/>
        <w:framePr w:wrap="around" w:x="2007" w:y="12146"/>
        <w:rPr>
          <w:color w:val="0C0C0C" w:themeColor="text1"/>
          <w:lang w:val="en-AU"/>
        </w:rPr>
      </w:pPr>
      <w:r w:rsidRPr="00816657">
        <w:rPr>
          <w:color w:val="0C0C0C" w:themeColor="text1"/>
          <w:lang w:val="en-AU"/>
        </w:rPr>
        <w:t>Blue Environment Pty Ltd</w:t>
      </w:r>
    </w:p>
    <w:p w:rsidR="00985C2E" w:rsidRPr="00816657" w:rsidRDefault="00985C2E" w:rsidP="00985C2E">
      <w:pPr>
        <w:pStyle w:val="BEAddress"/>
        <w:framePr w:wrap="around" w:x="2007" w:y="12146"/>
        <w:rPr>
          <w:color w:val="0C0C0C" w:themeColor="text1"/>
          <w:lang w:val="en-AU"/>
        </w:rPr>
      </w:pPr>
      <w:r w:rsidRPr="00816657">
        <w:rPr>
          <w:color w:val="0C0C0C" w:themeColor="text1"/>
          <w:lang w:val="en-AU"/>
        </w:rPr>
        <w:t>ABN 78 118 663 997</w:t>
      </w:r>
    </w:p>
    <w:p w:rsidR="00985C2E" w:rsidRPr="00816657" w:rsidRDefault="00985C2E" w:rsidP="00985C2E">
      <w:pPr>
        <w:pStyle w:val="BEAddress"/>
        <w:framePr w:wrap="around" w:x="2007" w:y="12146"/>
        <w:rPr>
          <w:color w:val="0C0C0C" w:themeColor="text1"/>
          <w:lang w:val="en-AU"/>
        </w:rPr>
      </w:pPr>
      <w:r w:rsidRPr="00816657">
        <w:rPr>
          <w:rFonts w:eastAsiaTheme="minorEastAsia"/>
          <w:noProof/>
          <w:color w:val="0C0C0C" w:themeColor="text1"/>
          <w:szCs w:val="20"/>
          <w:lang w:val="en-AU" w:eastAsia="en-AU"/>
        </w:rPr>
        <w:t>Suite 212B, 757 Bourke Street, Docklands Vic 3008</w:t>
      </w:r>
    </w:p>
    <w:p w:rsidR="00985C2E" w:rsidRPr="00816657" w:rsidRDefault="00985C2E" w:rsidP="00985C2E">
      <w:pPr>
        <w:pStyle w:val="BEAddress"/>
        <w:framePr w:wrap="around" w:x="2007" w:y="12146"/>
        <w:rPr>
          <w:color w:val="0C0C0C" w:themeColor="text1"/>
          <w:lang w:val="en-AU"/>
        </w:rPr>
      </w:pPr>
      <w:proofErr w:type="gramStart"/>
      <w:r w:rsidRPr="00816657">
        <w:rPr>
          <w:color w:val="0C0C0C" w:themeColor="text1"/>
          <w:lang w:val="en-AU"/>
        </w:rPr>
        <w:t>email</w:t>
      </w:r>
      <w:proofErr w:type="gramEnd"/>
      <w:r w:rsidRPr="00816657">
        <w:rPr>
          <w:color w:val="0C0C0C" w:themeColor="text1"/>
          <w:lang w:val="en-AU"/>
        </w:rPr>
        <w:t xml:space="preserve">: </w:t>
      </w:r>
      <w:hyperlink r:id="rId12" w:history="1">
        <w:r w:rsidRPr="00816657">
          <w:rPr>
            <w:rStyle w:val="Hyperlink"/>
            <w:color w:val="0C0C0C" w:themeColor="text1"/>
            <w:u w:val="none"/>
            <w:lang w:val="en-AU"/>
          </w:rPr>
          <w:t>blue@blueenvironment.com.au</w:t>
        </w:r>
      </w:hyperlink>
    </w:p>
    <w:p w:rsidR="00985C2E" w:rsidRPr="00816657" w:rsidRDefault="00985C2E" w:rsidP="00985C2E">
      <w:pPr>
        <w:pStyle w:val="BEAddress"/>
        <w:framePr w:wrap="around" w:x="2007" w:y="12146"/>
        <w:rPr>
          <w:color w:val="0C0C0C" w:themeColor="text1"/>
          <w:lang w:val="en-AU"/>
        </w:rPr>
      </w:pPr>
      <w:proofErr w:type="gramStart"/>
      <w:r w:rsidRPr="00816657">
        <w:rPr>
          <w:color w:val="0C0C0C" w:themeColor="text1"/>
          <w:lang w:val="en-AU"/>
        </w:rPr>
        <w:t>web</w:t>
      </w:r>
      <w:proofErr w:type="gramEnd"/>
      <w:r w:rsidRPr="00816657">
        <w:rPr>
          <w:color w:val="0C0C0C" w:themeColor="text1"/>
          <w:lang w:val="en-AU"/>
        </w:rPr>
        <w:t xml:space="preserve">: </w:t>
      </w:r>
      <w:hyperlink r:id="rId13" w:history="1">
        <w:r w:rsidRPr="00816657">
          <w:rPr>
            <w:rStyle w:val="Hyperlink"/>
            <w:color w:val="0C0C0C" w:themeColor="text1"/>
            <w:u w:val="none"/>
            <w:lang w:val="en-AU"/>
          </w:rPr>
          <w:t>www.blueenvironment.com.au</w:t>
        </w:r>
      </w:hyperlink>
    </w:p>
    <w:p w:rsidR="00985C2E" w:rsidRPr="00816657" w:rsidRDefault="00985C2E" w:rsidP="00985C2E">
      <w:pPr>
        <w:pStyle w:val="BEAddress"/>
        <w:framePr w:wrap="around" w:x="2007" w:y="12146"/>
        <w:rPr>
          <w:color w:val="0C0C0C" w:themeColor="text1"/>
          <w:lang w:val="en-AU"/>
        </w:rPr>
      </w:pPr>
      <w:r w:rsidRPr="00816657">
        <w:rPr>
          <w:color w:val="0C0C0C" w:themeColor="text1"/>
          <w:lang w:val="en-AU"/>
        </w:rPr>
        <w:t xml:space="preserve">Phone +61 3 </w:t>
      </w:r>
      <w:r w:rsidRPr="00816657">
        <w:rPr>
          <w:rFonts w:eastAsiaTheme="minorEastAsia"/>
          <w:noProof/>
          <w:color w:val="0C0C0C" w:themeColor="text1"/>
          <w:szCs w:val="20"/>
          <w:lang w:val="en-AU" w:eastAsia="en-AU"/>
        </w:rPr>
        <w:t>8102 9372</w:t>
      </w:r>
    </w:p>
    <w:p w:rsidR="00985C2E" w:rsidRPr="00816657" w:rsidRDefault="00985C2E" w:rsidP="00985C2E">
      <w:pPr>
        <w:pStyle w:val="BEAddress"/>
        <w:framePr w:wrap="around" w:x="2007" w:y="12146"/>
        <w:rPr>
          <w:color w:val="0C0C0C" w:themeColor="text1"/>
          <w:lang w:val="en-AU"/>
        </w:rPr>
      </w:pPr>
      <w:r w:rsidRPr="00816657">
        <w:rPr>
          <w:color w:val="0C0C0C" w:themeColor="text1"/>
          <w:lang w:val="en-AU"/>
        </w:rPr>
        <w:t>+61 3 5426 3536</w:t>
      </w:r>
    </w:p>
    <w:p w:rsidR="00786F30" w:rsidRPr="00816657" w:rsidRDefault="00786F30" w:rsidP="002A0F82">
      <w:pPr>
        <w:pStyle w:val="Reviewer"/>
        <w:rPr>
          <w:rFonts w:ascii="Arial Rounded MT Bold" w:hAnsi="Arial Rounded MT Bold"/>
        </w:rPr>
      </w:pPr>
      <w:r w:rsidRPr="00816657">
        <w:rPr>
          <w:rFonts w:ascii="Arial Rounded MT Bold" w:hAnsi="Arial Rounded MT Bold"/>
        </w:rPr>
        <w:t>Reviewer</w:t>
      </w:r>
    </w:p>
    <w:bookmarkStart w:id="3" w:name="Reviewer"/>
    <w:p w:rsidR="00786F30" w:rsidRPr="00816657" w:rsidRDefault="006D07F5" w:rsidP="002A0F82">
      <w:pPr>
        <w:pStyle w:val="AuthorName"/>
      </w:pPr>
      <w:r w:rsidRPr="00816657">
        <w:fldChar w:fldCharType="begin"/>
      </w:r>
      <w:r w:rsidR="007D4D1E" w:rsidRPr="00816657">
        <w:instrText xml:space="preserve"> DOCPROPERTY  xReviewer  \* MERGEFORMAT </w:instrText>
      </w:r>
      <w:r w:rsidRPr="00816657">
        <w:fldChar w:fldCharType="separate"/>
      </w:r>
      <w:r w:rsidR="00C80441">
        <w:t>Joe Pickin</w:t>
      </w:r>
      <w:r w:rsidRPr="00816657">
        <w:fldChar w:fldCharType="end"/>
      </w:r>
      <w:r w:rsidR="00786F30" w:rsidRPr="00816657">
        <w:t xml:space="preserve"> </w:t>
      </w:r>
      <w:bookmarkEnd w:id="3"/>
    </w:p>
    <w:p w:rsidR="00261351" w:rsidRPr="00816657" w:rsidRDefault="00261351" w:rsidP="00E82ECD"/>
    <w:p w:rsidR="00261351" w:rsidRPr="00816657" w:rsidRDefault="00261351" w:rsidP="00E82ECD">
      <w:pPr>
        <w:sectPr w:rsidR="00261351" w:rsidRPr="00816657" w:rsidSect="00030167">
          <w:footerReference w:type="default" r:id="rId14"/>
          <w:headerReference w:type="first" r:id="rId15"/>
          <w:footerReference w:type="first" r:id="rId16"/>
          <w:pgSz w:w="11907" w:h="16840" w:code="9"/>
          <w:pgMar w:top="1928" w:right="1077" w:bottom="1559" w:left="1474" w:header="709" w:footer="709" w:gutter="0"/>
          <w:pgNumType w:start="0"/>
          <w:cols w:space="708"/>
          <w:docGrid w:linePitch="360"/>
        </w:sectPr>
      </w:pPr>
    </w:p>
    <w:p w:rsidR="005046D3" w:rsidRPr="00816657" w:rsidRDefault="005046D3" w:rsidP="00F810CB">
      <w:pPr>
        <w:pStyle w:val="Contentsheader"/>
      </w:pPr>
      <w:r w:rsidRPr="00816657">
        <w:lastRenderedPageBreak/>
        <w:t>CONTENTS</w:t>
      </w:r>
    </w:p>
    <w:bookmarkStart w:id="4" w:name="TOC"/>
    <w:p w:rsidR="006171A4" w:rsidRDefault="006D07F5">
      <w:pPr>
        <w:pStyle w:val="TOC1"/>
        <w:rPr>
          <w:rFonts w:asciiTheme="minorHAnsi" w:eastAsiaTheme="minorEastAsia" w:hAnsiTheme="minorHAnsi" w:cstheme="minorBidi"/>
          <w:b w:val="0"/>
          <w:bCs w:val="0"/>
          <w:color w:val="auto"/>
          <w:sz w:val="22"/>
          <w:szCs w:val="22"/>
          <w:lang w:eastAsia="en-AU"/>
        </w:rPr>
      </w:pPr>
      <w:r w:rsidRPr="006D07F5">
        <w:rPr>
          <w:rFonts w:cs="Arial"/>
          <w:b w:val="0"/>
          <w:bCs w:val="0"/>
          <w:caps/>
          <w:sz w:val="28"/>
        </w:rPr>
        <w:fldChar w:fldCharType="begin"/>
      </w:r>
      <w:r w:rsidR="005046D3" w:rsidRPr="00816657">
        <w:rPr>
          <w:rFonts w:cs="Arial"/>
          <w:b w:val="0"/>
          <w:bCs w:val="0"/>
          <w:caps/>
        </w:rPr>
        <w:instrText xml:space="preserve"> TOC \o "2-2" \h \z \t "Heading 1,1,Header 1,1" </w:instrText>
      </w:r>
      <w:r w:rsidRPr="006D07F5">
        <w:rPr>
          <w:rFonts w:cs="Arial"/>
          <w:b w:val="0"/>
          <w:bCs w:val="0"/>
          <w:caps/>
          <w:sz w:val="28"/>
        </w:rPr>
        <w:fldChar w:fldCharType="separate"/>
      </w:r>
      <w:hyperlink w:anchor="_Toc425849147" w:history="1">
        <w:r w:rsidR="006171A4" w:rsidRPr="007929E2">
          <w:rPr>
            <w:rStyle w:val="Hyperlink"/>
          </w:rPr>
          <w:t>Executive summary</w:t>
        </w:r>
        <w:r w:rsidR="006171A4">
          <w:rPr>
            <w:webHidden/>
          </w:rPr>
          <w:tab/>
        </w:r>
        <w:r>
          <w:rPr>
            <w:webHidden/>
          </w:rPr>
          <w:fldChar w:fldCharType="begin"/>
        </w:r>
        <w:r w:rsidR="006171A4">
          <w:rPr>
            <w:webHidden/>
          </w:rPr>
          <w:instrText xml:space="preserve"> PAGEREF _Toc425849147 \h </w:instrText>
        </w:r>
        <w:r>
          <w:rPr>
            <w:webHidden/>
          </w:rPr>
        </w:r>
        <w:r>
          <w:rPr>
            <w:webHidden/>
          </w:rPr>
          <w:fldChar w:fldCharType="separate"/>
        </w:r>
        <w:r w:rsidR="002F3000">
          <w:rPr>
            <w:webHidden/>
          </w:rPr>
          <w:t>ix</w:t>
        </w:r>
        <w:r>
          <w:rPr>
            <w:webHidden/>
          </w:rPr>
          <w:fldChar w:fldCharType="end"/>
        </w:r>
      </w:hyperlink>
    </w:p>
    <w:p w:rsidR="006171A4" w:rsidRDefault="006D07F5">
      <w:pPr>
        <w:pStyle w:val="TOC1"/>
        <w:rPr>
          <w:rFonts w:asciiTheme="minorHAnsi" w:eastAsiaTheme="minorEastAsia" w:hAnsiTheme="minorHAnsi" w:cstheme="minorBidi"/>
          <w:b w:val="0"/>
          <w:bCs w:val="0"/>
          <w:color w:val="auto"/>
          <w:sz w:val="22"/>
          <w:szCs w:val="22"/>
          <w:lang w:eastAsia="en-AU"/>
        </w:rPr>
      </w:pPr>
      <w:hyperlink w:anchor="_Toc425849148" w:history="1">
        <w:r w:rsidR="006171A4" w:rsidRPr="007929E2">
          <w:rPr>
            <w:rStyle w:val="Hyperlink"/>
          </w:rPr>
          <w:t>1.</w:t>
        </w:r>
        <w:r w:rsidR="006171A4">
          <w:rPr>
            <w:rFonts w:asciiTheme="minorHAnsi" w:eastAsiaTheme="minorEastAsia" w:hAnsiTheme="minorHAnsi" w:cstheme="minorBidi"/>
            <w:b w:val="0"/>
            <w:bCs w:val="0"/>
            <w:color w:val="auto"/>
            <w:sz w:val="22"/>
            <w:szCs w:val="22"/>
            <w:lang w:eastAsia="en-AU"/>
          </w:rPr>
          <w:tab/>
        </w:r>
        <w:r w:rsidR="006171A4" w:rsidRPr="007929E2">
          <w:rPr>
            <w:rStyle w:val="Hyperlink"/>
          </w:rPr>
          <w:t>Introduction</w:t>
        </w:r>
        <w:r w:rsidR="006171A4">
          <w:rPr>
            <w:webHidden/>
          </w:rPr>
          <w:tab/>
        </w:r>
        <w:r>
          <w:rPr>
            <w:webHidden/>
          </w:rPr>
          <w:fldChar w:fldCharType="begin"/>
        </w:r>
        <w:r w:rsidR="006171A4">
          <w:rPr>
            <w:webHidden/>
          </w:rPr>
          <w:instrText xml:space="preserve"> PAGEREF _Toc425849148 \h </w:instrText>
        </w:r>
        <w:r>
          <w:rPr>
            <w:webHidden/>
          </w:rPr>
        </w:r>
        <w:r>
          <w:rPr>
            <w:webHidden/>
          </w:rPr>
          <w:fldChar w:fldCharType="separate"/>
        </w:r>
        <w:r w:rsidR="002F3000">
          <w:rPr>
            <w:webHidden/>
          </w:rPr>
          <w:t>1</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49" w:history="1">
        <w:r w:rsidR="006171A4" w:rsidRPr="007929E2">
          <w:rPr>
            <w:rStyle w:val="Hyperlink"/>
          </w:rPr>
          <w:t>1.1</w:t>
        </w:r>
        <w:r w:rsidR="006171A4">
          <w:rPr>
            <w:rFonts w:asciiTheme="minorHAnsi" w:eastAsiaTheme="minorEastAsia" w:hAnsiTheme="minorHAnsi" w:cstheme="minorBidi"/>
            <w:color w:val="auto"/>
            <w:szCs w:val="22"/>
            <w:lang w:eastAsia="en-AU"/>
          </w:rPr>
          <w:tab/>
        </w:r>
        <w:r w:rsidR="006171A4" w:rsidRPr="007929E2">
          <w:rPr>
            <w:rStyle w:val="Hyperlink"/>
          </w:rPr>
          <w:t>Project origins and scope</w:t>
        </w:r>
        <w:r w:rsidR="006171A4">
          <w:rPr>
            <w:webHidden/>
          </w:rPr>
          <w:tab/>
        </w:r>
        <w:r>
          <w:rPr>
            <w:webHidden/>
          </w:rPr>
          <w:fldChar w:fldCharType="begin"/>
        </w:r>
        <w:r w:rsidR="006171A4">
          <w:rPr>
            <w:webHidden/>
          </w:rPr>
          <w:instrText xml:space="preserve"> PAGEREF _Toc425849149 \h </w:instrText>
        </w:r>
        <w:r>
          <w:rPr>
            <w:webHidden/>
          </w:rPr>
        </w:r>
        <w:r>
          <w:rPr>
            <w:webHidden/>
          </w:rPr>
          <w:fldChar w:fldCharType="separate"/>
        </w:r>
        <w:r w:rsidR="002F3000">
          <w:rPr>
            <w:webHidden/>
          </w:rPr>
          <w:t>1</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50" w:history="1">
        <w:r w:rsidR="006171A4" w:rsidRPr="007929E2">
          <w:rPr>
            <w:rStyle w:val="Hyperlink"/>
          </w:rPr>
          <w:t>1.2</w:t>
        </w:r>
        <w:r w:rsidR="006171A4">
          <w:rPr>
            <w:rFonts w:asciiTheme="minorHAnsi" w:eastAsiaTheme="minorEastAsia" w:hAnsiTheme="minorHAnsi" w:cstheme="minorBidi"/>
            <w:color w:val="auto"/>
            <w:szCs w:val="22"/>
            <w:lang w:eastAsia="en-AU"/>
          </w:rPr>
          <w:tab/>
        </w:r>
        <w:r w:rsidR="006171A4" w:rsidRPr="007929E2">
          <w:rPr>
            <w:rStyle w:val="Hyperlink"/>
          </w:rPr>
          <w:t>Project context and key definitions</w:t>
        </w:r>
        <w:r w:rsidR="006171A4">
          <w:rPr>
            <w:webHidden/>
          </w:rPr>
          <w:tab/>
        </w:r>
        <w:r>
          <w:rPr>
            <w:webHidden/>
          </w:rPr>
          <w:fldChar w:fldCharType="begin"/>
        </w:r>
        <w:r w:rsidR="006171A4">
          <w:rPr>
            <w:webHidden/>
          </w:rPr>
          <w:instrText xml:space="preserve"> PAGEREF _Toc425849150 \h </w:instrText>
        </w:r>
        <w:r>
          <w:rPr>
            <w:webHidden/>
          </w:rPr>
        </w:r>
        <w:r>
          <w:rPr>
            <w:webHidden/>
          </w:rPr>
          <w:fldChar w:fldCharType="separate"/>
        </w:r>
        <w:r w:rsidR="002F3000">
          <w:rPr>
            <w:webHidden/>
          </w:rPr>
          <w:t>1</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51" w:history="1">
        <w:r w:rsidR="006171A4" w:rsidRPr="007929E2">
          <w:rPr>
            <w:rStyle w:val="Hyperlink"/>
          </w:rPr>
          <w:t>1.3</w:t>
        </w:r>
        <w:r w:rsidR="006171A4">
          <w:rPr>
            <w:rFonts w:asciiTheme="minorHAnsi" w:eastAsiaTheme="minorEastAsia" w:hAnsiTheme="minorHAnsi" w:cstheme="minorBidi"/>
            <w:color w:val="auto"/>
            <w:szCs w:val="22"/>
            <w:lang w:eastAsia="en-AU"/>
          </w:rPr>
          <w:tab/>
        </w:r>
        <w:r w:rsidR="006171A4" w:rsidRPr="007929E2">
          <w:rPr>
            <w:rStyle w:val="Hyperlink"/>
          </w:rPr>
          <w:t>The structure of this document</w:t>
        </w:r>
        <w:r w:rsidR="006171A4">
          <w:rPr>
            <w:webHidden/>
          </w:rPr>
          <w:tab/>
        </w:r>
        <w:r>
          <w:rPr>
            <w:webHidden/>
          </w:rPr>
          <w:fldChar w:fldCharType="begin"/>
        </w:r>
        <w:r w:rsidR="006171A4">
          <w:rPr>
            <w:webHidden/>
          </w:rPr>
          <w:instrText xml:space="preserve"> PAGEREF _Toc425849151 \h </w:instrText>
        </w:r>
        <w:r>
          <w:rPr>
            <w:webHidden/>
          </w:rPr>
        </w:r>
        <w:r>
          <w:rPr>
            <w:webHidden/>
          </w:rPr>
          <w:fldChar w:fldCharType="separate"/>
        </w:r>
        <w:r w:rsidR="002F3000">
          <w:rPr>
            <w:webHidden/>
          </w:rPr>
          <w:t>4</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52" w:history="1">
        <w:r w:rsidR="006171A4" w:rsidRPr="007929E2">
          <w:rPr>
            <w:rStyle w:val="Hyperlink"/>
          </w:rPr>
          <w:t>1.4</w:t>
        </w:r>
        <w:r w:rsidR="006171A4">
          <w:rPr>
            <w:rFonts w:asciiTheme="minorHAnsi" w:eastAsiaTheme="minorEastAsia" w:hAnsiTheme="minorHAnsi" w:cstheme="minorBidi"/>
            <w:color w:val="auto"/>
            <w:szCs w:val="22"/>
            <w:lang w:eastAsia="en-AU"/>
          </w:rPr>
          <w:tab/>
        </w:r>
        <w:r w:rsidR="006171A4" w:rsidRPr="007929E2">
          <w:rPr>
            <w:rStyle w:val="Hyperlink"/>
          </w:rPr>
          <w:t>Other project outputs</w:t>
        </w:r>
        <w:r w:rsidR="006171A4">
          <w:rPr>
            <w:webHidden/>
          </w:rPr>
          <w:tab/>
        </w:r>
        <w:r>
          <w:rPr>
            <w:webHidden/>
          </w:rPr>
          <w:fldChar w:fldCharType="begin"/>
        </w:r>
        <w:r w:rsidR="006171A4">
          <w:rPr>
            <w:webHidden/>
          </w:rPr>
          <w:instrText xml:space="preserve"> PAGEREF _Toc425849152 \h </w:instrText>
        </w:r>
        <w:r>
          <w:rPr>
            <w:webHidden/>
          </w:rPr>
        </w:r>
        <w:r>
          <w:rPr>
            <w:webHidden/>
          </w:rPr>
          <w:fldChar w:fldCharType="separate"/>
        </w:r>
        <w:r w:rsidR="002F3000">
          <w:rPr>
            <w:webHidden/>
          </w:rPr>
          <w:t>4</w:t>
        </w:r>
        <w:r>
          <w:rPr>
            <w:webHidden/>
          </w:rPr>
          <w:fldChar w:fldCharType="end"/>
        </w:r>
      </w:hyperlink>
    </w:p>
    <w:p w:rsidR="006171A4" w:rsidRDefault="006D07F5">
      <w:pPr>
        <w:pStyle w:val="TOC1"/>
        <w:rPr>
          <w:rFonts w:asciiTheme="minorHAnsi" w:eastAsiaTheme="minorEastAsia" w:hAnsiTheme="minorHAnsi" w:cstheme="minorBidi"/>
          <w:b w:val="0"/>
          <w:bCs w:val="0"/>
          <w:color w:val="auto"/>
          <w:sz w:val="22"/>
          <w:szCs w:val="22"/>
          <w:lang w:eastAsia="en-AU"/>
        </w:rPr>
      </w:pPr>
      <w:hyperlink w:anchor="_Toc425849153" w:history="1">
        <w:r w:rsidR="006171A4" w:rsidRPr="007929E2">
          <w:rPr>
            <w:rStyle w:val="Hyperlink"/>
          </w:rPr>
          <w:t>2.</w:t>
        </w:r>
        <w:r w:rsidR="006171A4">
          <w:rPr>
            <w:rFonts w:asciiTheme="minorHAnsi" w:eastAsiaTheme="minorEastAsia" w:hAnsiTheme="minorHAnsi" w:cstheme="minorBidi"/>
            <w:b w:val="0"/>
            <w:bCs w:val="0"/>
            <w:color w:val="auto"/>
            <w:sz w:val="22"/>
            <w:szCs w:val="22"/>
            <w:lang w:eastAsia="en-AU"/>
          </w:rPr>
          <w:tab/>
        </w:r>
        <w:r w:rsidR="006171A4" w:rsidRPr="007929E2">
          <w:rPr>
            <w:rStyle w:val="Hyperlink"/>
          </w:rPr>
          <w:t>Projections of hazardous waste infrastructure needs</w:t>
        </w:r>
        <w:r w:rsidR="006171A4">
          <w:rPr>
            <w:webHidden/>
          </w:rPr>
          <w:tab/>
        </w:r>
        <w:r>
          <w:rPr>
            <w:webHidden/>
          </w:rPr>
          <w:fldChar w:fldCharType="begin"/>
        </w:r>
        <w:r w:rsidR="006171A4">
          <w:rPr>
            <w:webHidden/>
          </w:rPr>
          <w:instrText xml:space="preserve"> PAGEREF _Toc425849153 \h </w:instrText>
        </w:r>
        <w:r>
          <w:rPr>
            <w:webHidden/>
          </w:rPr>
        </w:r>
        <w:r>
          <w:rPr>
            <w:webHidden/>
          </w:rPr>
          <w:fldChar w:fldCharType="separate"/>
        </w:r>
        <w:r w:rsidR="002F3000">
          <w:rPr>
            <w:webHidden/>
          </w:rPr>
          <w:t>5</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54" w:history="1">
        <w:r w:rsidR="006171A4" w:rsidRPr="007929E2">
          <w:rPr>
            <w:rStyle w:val="Hyperlink"/>
          </w:rPr>
          <w:t>2.1</w:t>
        </w:r>
        <w:r w:rsidR="006171A4">
          <w:rPr>
            <w:rFonts w:asciiTheme="minorHAnsi" w:eastAsiaTheme="minorEastAsia" w:hAnsiTheme="minorHAnsi" w:cstheme="minorBidi"/>
            <w:color w:val="auto"/>
            <w:szCs w:val="22"/>
            <w:lang w:eastAsia="en-AU"/>
          </w:rPr>
          <w:tab/>
        </w:r>
        <w:r w:rsidR="006171A4" w:rsidRPr="007929E2">
          <w:rPr>
            <w:rStyle w:val="Hyperlink"/>
          </w:rPr>
          <w:t>Overview of the approach to the projections</w:t>
        </w:r>
        <w:r w:rsidR="006171A4">
          <w:rPr>
            <w:webHidden/>
          </w:rPr>
          <w:tab/>
        </w:r>
        <w:r>
          <w:rPr>
            <w:webHidden/>
          </w:rPr>
          <w:fldChar w:fldCharType="begin"/>
        </w:r>
        <w:r w:rsidR="006171A4">
          <w:rPr>
            <w:webHidden/>
          </w:rPr>
          <w:instrText xml:space="preserve"> PAGEREF _Toc425849154 \h </w:instrText>
        </w:r>
        <w:r>
          <w:rPr>
            <w:webHidden/>
          </w:rPr>
        </w:r>
        <w:r>
          <w:rPr>
            <w:webHidden/>
          </w:rPr>
          <w:fldChar w:fldCharType="separate"/>
        </w:r>
        <w:r w:rsidR="002F3000">
          <w:rPr>
            <w:webHidden/>
          </w:rPr>
          <w:t>5</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55" w:history="1">
        <w:r w:rsidR="006171A4" w:rsidRPr="007929E2">
          <w:rPr>
            <w:rStyle w:val="Hyperlink"/>
          </w:rPr>
          <w:t>2.2</w:t>
        </w:r>
        <w:r w:rsidR="006171A4">
          <w:rPr>
            <w:rFonts w:asciiTheme="minorHAnsi" w:eastAsiaTheme="minorEastAsia" w:hAnsiTheme="minorHAnsi" w:cstheme="minorBidi"/>
            <w:color w:val="auto"/>
            <w:szCs w:val="22"/>
            <w:lang w:eastAsia="en-AU"/>
          </w:rPr>
          <w:tab/>
        </w:r>
        <w:r w:rsidR="006171A4" w:rsidRPr="007929E2">
          <w:rPr>
            <w:rStyle w:val="Hyperlink"/>
          </w:rPr>
          <w:t>Waste groups</w:t>
        </w:r>
        <w:r w:rsidR="006171A4">
          <w:rPr>
            <w:webHidden/>
          </w:rPr>
          <w:tab/>
        </w:r>
        <w:r>
          <w:rPr>
            <w:webHidden/>
          </w:rPr>
          <w:fldChar w:fldCharType="begin"/>
        </w:r>
        <w:r w:rsidR="006171A4">
          <w:rPr>
            <w:webHidden/>
          </w:rPr>
          <w:instrText xml:space="preserve"> PAGEREF _Toc425849155 \h </w:instrText>
        </w:r>
        <w:r>
          <w:rPr>
            <w:webHidden/>
          </w:rPr>
        </w:r>
        <w:r>
          <w:rPr>
            <w:webHidden/>
          </w:rPr>
          <w:fldChar w:fldCharType="separate"/>
        </w:r>
        <w:r w:rsidR="002F3000">
          <w:rPr>
            <w:webHidden/>
          </w:rPr>
          <w:t>5</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56" w:history="1">
        <w:r w:rsidR="006171A4" w:rsidRPr="007929E2">
          <w:rPr>
            <w:rStyle w:val="Hyperlink"/>
          </w:rPr>
          <w:t>2.3</w:t>
        </w:r>
        <w:r w:rsidR="006171A4">
          <w:rPr>
            <w:rFonts w:asciiTheme="minorHAnsi" w:eastAsiaTheme="minorEastAsia" w:hAnsiTheme="minorHAnsi" w:cstheme="minorBidi"/>
            <w:color w:val="auto"/>
            <w:szCs w:val="22"/>
            <w:lang w:eastAsia="en-AU"/>
          </w:rPr>
          <w:tab/>
        </w:r>
        <w:r w:rsidR="006171A4" w:rsidRPr="007929E2">
          <w:rPr>
            <w:rStyle w:val="Hyperlink"/>
          </w:rPr>
          <w:t>Data inputs to the projections</w:t>
        </w:r>
        <w:r w:rsidR="006171A4">
          <w:rPr>
            <w:webHidden/>
          </w:rPr>
          <w:tab/>
        </w:r>
        <w:r>
          <w:rPr>
            <w:webHidden/>
          </w:rPr>
          <w:fldChar w:fldCharType="begin"/>
        </w:r>
        <w:r w:rsidR="006171A4">
          <w:rPr>
            <w:webHidden/>
          </w:rPr>
          <w:instrText xml:space="preserve"> PAGEREF _Toc425849156 \h </w:instrText>
        </w:r>
        <w:r>
          <w:rPr>
            <w:webHidden/>
          </w:rPr>
        </w:r>
        <w:r>
          <w:rPr>
            <w:webHidden/>
          </w:rPr>
          <w:fldChar w:fldCharType="separate"/>
        </w:r>
        <w:r w:rsidR="002F3000">
          <w:rPr>
            <w:webHidden/>
          </w:rPr>
          <w:t>8</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57" w:history="1">
        <w:r w:rsidR="006171A4" w:rsidRPr="007929E2">
          <w:rPr>
            <w:rStyle w:val="Hyperlink"/>
          </w:rPr>
          <w:t>2.4</w:t>
        </w:r>
        <w:r w:rsidR="006171A4">
          <w:rPr>
            <w:rFonts w:asciiTheme="minorHAnsi" w:eastAsiaTheme="minorEastAsia" w:hAnsiTheme="minorHAnsi" w:cstheme="minorBidi"/>
            <w:color w:val="auto"/>
            <w:szCs w:val="22"/>
            <w:lang w:eastAsia="en-AU"/>
          </w:rPr>
          <w:tab/>
        </w:r>
        <w:r w:rsidR="006171A4" w:rsidRPr="007929E2">
          <w:rPr>
            <w:rStyle w:val="Hyperlink"/>
          </w:rPr>
          <w:t>Establishing the baseline</w:t>
        </w:r>
        <w:r w:rsidR="006171A4">
          <w:rPr>
            <w:webHidden/>
          </w:rPr>
          <w:tab/>
        </w:r>
        <w:r>
          <w:rPr>
            <w:webHidden/>
          </w:rPr>
          <w:fldChar w:fldCharType="begin"/>
        </w:r>
        <w:r w:rsidR="006171A4">
          <w:rPr>
            <w:webHidden/>
          </w:rPr>
          <w:instrText xml:space="preserve"> PAGEREF _Toc425849157 \h </w:instrText>
        </w:r>
        <w:r>
          <w:rPr>
            <w:webHidden/>
          </w:rPr>
        </w:r>
        <w:r>
          <w:rPr>
            <w:webHidden/>
          </w:rPr>
          <w:fldChar w:fldCharType="separate"/>
        </w:r>
        <w:r w:rsidR="002F3000">
          <w:rPr>
            <w:webHidden/>
          </w:rPr>
          <w:t>10</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58" w:history="1">
        <w:r w:rsidR="006171A4" w:rsidRPr="007929E2">
          <w:rPr>
            <w:rStyle w:val="Hyperlink"/>
          </w:rPr>
          <w:t>2.5</w:t>
        </w:r>
        <w:r w:rsidR="006171A4">
          <w:rPr>
            <w:rFonts w:asciiTheme="minorHAnsi" w:eastAsiaTheme="minorEastAsia" w:hAnsiTheme="minorHAnsi" w:cstheme="minorBidi"/>
            <w:color w:val="auto"/>
            <w:szCs w:val="22"/>
            <w:lang w:eastAsia="en-AU"/>
          </w:rPr>
          <w:tab/>
        </w:r>
        <w:r w:rsidR="006171A4" w:rsidRPr="007929E2">
          <w:rPr>
            <w:rStyle w:val="Hyperlink"/>
          </w:rPr>
          <w:t>Hazardous waste scenarios</w:t>
        </w:r>
        <w:r w:rsidR="006171A4">
          <w:rPr>
            <w:webHidden/>
          </w:rPr>
          <w:tab/>
        </w:r>
        <w:r>
          <w:rPr>
            <w:webHidden/>
          </w:rPr>
          <w:fldChar w:fldCharType="begin"/>
        </w:r>
        <w:r w:rsidR="006171A4">
          <w:rPr>
            <w:webHidden/>
          </w:rPr>
          <w:instrText xml:space="preserve"> PAGEREF _Toc425849158 \h </w:instrText>
        </w:r>
        <w:r>
          <w:rPr>
            <w:webHidden/>
          </w:rPr>
        </w:r>
        <w:r>
          <w:rPr>
            <w:webHidden/>
          </w:rPr>
          <w:fldChar w:fldCharType="separate"/>
        </w:r>
        <w:r w:rsidR="002F3000">
          <w:rPr>
            <w:webHidden/>
          </w:rPr>
          <w:t>11</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59" w:history="1">
        <w:r w:rsidR="006171A4" w:rsidRPr="007929E2">
          <w:rPr>
            <w:rStyle w:val="Hyperlink"/>
          </w:rPr>
          <w:t>2.6</w:t>
        </w:r>
        <w:r w:rsidR="006171A4">
          <w:rPr>
            <w:rFonts w:asciiTheme="minorHAnsi" w:eastAsiaTheme="minorEastAsia" w:hAnsiTheme="minorHAnsi" w:cstheme="minorBidi"/>
            <w:color w:val="auto"/>
            <w:szCs w:val="22"/>
            <w:lang w:eastAsia="en-AU"/>
          </w:rPr>
          <w:tab/>
        </w:r>
        <w:r w:rsidR="006171A4" w:rsidRPr="007929E2">
          <w:rPr>
            <w:rStyle w:val="Hyperlink"/>
          </w:rPr>
          <w:t>Projections of hazardous waste arising by group</w:t>
        </w:r>
        <w:r w:rsidR="006171A4">
          <w:rPr>
            <w:webHidden/>
          </w:rPr>
          <w:tab/>
        </w:r>
        <w:r>
          <w:rPr>
            <w:webHidden/>
          </w:rPr>
          <w:fldChar w:fldCharType="begin"/>
        </w:r>
        <w:r w:rsidR="006171A4">
          <w:rPr>
            <w:webHidden/>
          </w:rPr>
          <w:instrText xml:space="preserve"> PAGEREF _Toc425849159 \h </w:instrText>
        </w:r>
        <w:r>
          <w:rPr>
            <w:webHidden/>
          </w:rPr>
        </w:r>
        <w:r>
          <w:rPr>
            <w:webHidden/>
          </w:rPr>
          <w:fldChar w:fldCharType="separate"/>
        </w:r>
        <w:r w:rsidR="002F3000">
          <w:rPr>
            <w:webHidden/>
          </w:rPr>
          <w:t>16</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60" w:history="1">
        <w:r w:rsidR="006171A4" w:rsidRPr="007929E2">
          <w:rPr>
            <w:rStyle w:val="Hyperlink"/>
          </w:rPr>
          <w:t>2.7</w:t>
        </w:r>
        <w:r w:rsidR="006171A4">
          <w:rPr>
            <w:rFonts w:asciiTheme="minorHAnsi" w:eastAsiaTheme="minorEastAsia" w:hAnsiTheme="minorHAnsi" w:cstheme="minorBidi"/>
            <w:color w:val="auto"/>
            <w:szCs w:val="22"/>
            <w:lang w:eastAsia="en-AU"/>
          </w:rPr>
          <w:tab/>
        </w:r>
        <w:r w:rsidR="006171A4" w:rsidRPr="007929E2">
          <w:rPr>
            <w:rStyle w:val="Hyperlink"/>
          </w:rPr>
          <w:t>Fate of hazardous wastes (NSW, Vic, Qld)</w:t>
        </w:r>
        <w:r w:rsidR="006171A4">
          <w:rPr>
            <w:webHidden/>
          </w:rPr>
          <w:tab/>
        </w:r>
        <w:r>
          <w:rPr>
            <w:webHidden/>
          </w:rPr>
          <w:fldChar w:fldCharType="begin"/>
        </w:r>
        <w:r w:rsidR="006171A4">
          <w:rPr>
            <w:webHidden/>
          </w:rPr>
          <w:instrText xml:space="preserve"> PAGEREF _Toc425849160 \h </w:instrText>
        </w:r>
        <w:r>
          <w:rPr>
            <w:webHidden/>
          </w:rPr>
        </w:r>
        <w:r>
          <w:rPr>
            <w:webHidden/>
          </w:rPr>
          <w:fldChar w:fldCharType="separate"/>
        </w:r>
        <w:r w:rsidR="002F3000">
          <w:rPr>
            <w:webHidden/>
          </w:rPr>
          <w:t>58</w:t>
        </w:r>
        <w:r>
          <w:rPr>
            <w:webHidden/>
          </w:rPr>
          <w:fldChar w:fldCharType="end"/>
        </w:r>
      </w:hyperlink>
    </w:p>
    <w:p w:rsidR="006171A4" w:rsidRDefault="006D07F5">
      <w:pPr>
        <w:pStyle w:val="TOC1"/>
        <w:rPr>
          <w:rFonts w:asciiTheme="minorHAnsi" w:eastAsiaTheme="minorEastAsia" w:hAnsiTheme="minorHAnsi" w:cstheme="minorBidi"/>
          <w:b w:val="0"/>
          <w:bCs w:val="0"/>
          <w:color w:val="auto"/>
          <w:sz w:val="22"/>
          <w:szCs w:val="22"/>
          <w:lang w:eastAsia="en-AU"/>
        </w:rPr>
      </w:pPr>
      <w:hyperlink w:anchor="_Toc425849161" w:history="1">
        <w:r w:rsidR="006171A4" w:rsidRPr="007929E2">
          <w:rPr>
            <w:rStyle w:val="Hyperlink"/>
          </w:rPr>
          <w:t>3.</w:t>
        </w:r>
        <w:r w:rsidR="006171A4">
          <w:rPr>
            <w:rFonts w:asciiTheme="minorHAnsi" w:eastAsiaTheme="minorEastAsia" w:hAnsiTheme="minorHAnsi" w:cstheme="minorBidi"/>
            <w:b w:val="0"/>
            <w:bCs w:val="0"/>
            <w:color w:val="auto"/>
            <w:sz w:val="22"/>
            <w:szCs w:val="22"/>
            <w:lang w:eastAsia="en-AU"/>
          </w:rPr>
          <w:tab/>
        </w:r>
        <w:r w:rsidR="006171A4" w:rsidRPr="007929E2">
          <w:rPr>
            <w:rStyle w:val="Hyperlink"/>
          </w:rPr>
          <w:t>Hazardous waste infrastructure assessment</w:t>
        </w:r>
        <w:r w:rsidR="006171A4">
          <w:rPr>
            <w:webHidden/>
          </w:rPr>
          <w:tab/>
        </w:r>
        <w:r>
          <w:rPr>
            <w:webHidden/>
          </w:rPr>
          <w:fldChar w:fldCharType="begin"/>
        </w:r>
        <w:r w:rsidR="006171A4">
          <w:rPr>
            <w:webHidden/>
          </w:rPr>
          <w:instrText xml:space="preserve"> PAGEREF _Toc425849161 \h </w:instrText>
        </w:r>
        <w:r>
          <w:rPr>
            <w:webHidden/>
          </w:rPr>
        </w:r>
        <w:r>
          <w:rPr>
            <w:webHidden/>
          </w:rPr>
          <w:fldChar w:fldCharType="separate"/>
        </w:r>
        <w:r w:rsidR="002F3000">
          <w:rPr>
            <w:webHidden/>
          </w:rPr>
          <w:t>63</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62" w:history="1">
        <w:r w:rsidR="006171A4" w:rsidRPr="007929E2">
          <w:rPr>
            <w:rStyle w:val="Hyperlink"/>
          </w:rPr>
          <w:t>3.1</w:t>
        </w:r>
        <w:r w:rsidR="006171A4">
          <w:rPr>
            <w:rFonts w:asciiTheme="minorHAnsi" w:eastAsiaTheme="minorEastAsia" w:hAnsiTheme="minorHAnsi" w:cstheme="minorBidi"/>
            <w:color w:val="auto"/>
            <w:szCs w:val="22"/>
            <w:lang w:eastAsia="en-AU"/>
          </w:rPr>
          <w:tab/>
        </w:r>
        <w:r w:rsidR="006171A4" w:rsidRPr="007929E2">
          <w:rPr>
            <w:rStyle w:val="Hyperlink"/>
          </w:rPr>
          <w:t>Scope of infrastructure assessment</w:t>
        </w:r>
        <w:r w:rsidR="006171A4">
          <w:rPr>
            <w:webHidden/>
          </w:rPr>
          <w:tab/>
        </w:r>
        <w:r>
          <w:rPr>
            <w:webHidden/>
          </w:rPr>
          <w:fldChar w:fldCharType="begin"/>
        </w:r>
        <w:r w:rsidR="006171A4">
          <w:rPr>
            <w:webHidden/>
          </w:rPr>
          <w:instrText xml:space="preserve"> PAGEREF _Toc425849162 \h </w:instrText>
        </w:r>
        <w:r>
          <w:rPr>
            <w:webHidden/>
          </w:rPr>
        </w:r>
        <w:r>
          <w:rPr>
            <w:webHidden/>
          </w:rPr>
          <w:fldChar w:fldCharType="separate"/>
        </w:r>
        <w:r w:rsidR="002F3000">
          <w:rPr>
            <w:webHidden/>
          </w:rPr>
          <w:t>63</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63" w:history="1">
        <w:r w:rsidR="006171A4" w:rsidRPr="007929E2">
          <w:rPr>
            <w:rStyle w:val="Hyperlink"/>
          </w:rPr>
          <w:t>3.2</w:t>
        </w:r>
        <w:r w:rsidR="006171A4">
          <w:rPr>
            <w:rFonts w:asciiTheme="minorHAnsi" w:eastAsiaTheme="minorEastAsia" w:hAnsiTheme="minorHAnsi" w:cstheme="minorBidi"/>
            <w:color w:val="auto"/>
            <w:szCs w:val="22"/>
            <w:lang w:eastAsia="en-AU"/>
          </w:rPr>
          <w:tab/>
        </w:r>
        <w:r w:rsidR="006171A4" w:rsidRPr="007929E2">
          <w:rPr>
            <w:rStyle w:val="Hyperlink"/>
          </w:rPr>
          <w:t>Infrastructure groups</w:t>
        </w:r>
        <w:r w:rsidR="006171A4">
          <w:rPr>
            <w:webHidden/>
          </w:rPr>
          <w:tab/>
        </w:r>
        <w:r>
          <w:rPr>
            <w:webHidden/>
          </w:rPr>
          <w:fldChar w:fldCharType="begin"/>
        </w:r>
        <w:r w:rsidR="006171A4">
          <w:rPr>
            <w:webHidden/>
          </w:rPr>
          <w:instrText xml:space="preserve"> PAGEREF _Toc425849163 \h </w:instrText>
        </w:r>
        <w:r>
          <w:rPr>
            <w:webHidden/>
          </w:rPr>
        </w:r>
        <w:r>
          <w:rPr>
            <w:webHidden/>
          </w:rPr>
          <w:fldChar w:fldCharType="separate"/>
        </w:r>
        <w:r w:rsidR="002F3000">
          <w:rPr>
            <w:webHidden/>
          </w:rPr>
          <w:t>64</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64" w:history="1">
        <w:r w:rsidR="006171A4" w:rsidRPr="007929E2">
          <w:rPr>
            <w:rStyle w:val="Hyperlink"/>
          </w:rPr>
          <w:t>3.3</w:t>
        </w:r>
        <w:r w:rsidR="006171A4">
          <w:rPr>
            <w:rFonts w:asciiTheme="minorHAnsi" w:eastAsiaTheme="minorEastAsia" w:hAnsiTheme="minorHAnsi" w:cstheme="minorBidi"/>
            <w:color w:val="auto"/>
            <w:szCs w:val="22"/>
            <w:lang w:eastAsia="en-AU"/>
          </w:rPr>
          <w:tab/>
        </w:r>
        <w:r w:rsidR="006171A4" w:rsidRPr="007929E2">
          <w:rPr>
            <w:rStyle w:val="Hyperlink"/>
          </w:rPr>
          <w:t>Industry consultation method</w:t>
        </w:r>
        <w:r w:rsidR="006171A4">
          <w:rPr>
            <w:webHidden/>
          </w:rPr>
          <w:tab/>
        </w:r>
        <w:r>
          <w:rPr>
            <w:webHidden/>
          </w:rPr>
          <w:fldChar w:fldCharType="begin"/>
        </w:r>
        <w:r w:rsidR="006171A4">
          <w:rPr>
            <w:webHidden/>
          </w:rPr>
          <w:instrText xml:space="preserve"> PAGEREF _Toc425849164 \h </w:instrText>
        </w:r>
        <w:r>
          <w:rPr>
            <w:webHidden/>
          </w:rPr>
        </w:r>
        <w:r>
          <w:rPr>
            <w:webHidden/>
          </w:rPr>
          <w:fldChar w:fldCharType="separate"/>
        </w:r>
        <w:r w:rsidR="002F3000">
          <w:rPr>
            <w:webHidden/>
          </w:rPr>
          <w:t>66</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65" w:history="1">
        <w:r w:rsidR="006171A4" w:rsidRPr="007929E2">
          <w:rPr>
            <w:rStyle w:val="Hyperlink"/>
          </w:rPr>
          <w:t>3.4</w:t>
        </w:r>
        <w:r w:rsidR="006171A4">
          <w:rPr>
            <w:rFonts w:asciiTheme="minorHAnsi" w:eastAsiaTheme="minorEastAsia" w:hAnsiTheme="minorHAnsi" w:cstheme="minorBidi"/>
            <w:color w:val="auto"/>
            <w:szCs w:val="22"/>
            <w:lang w:eastAsia="en-AU"/>
          </w:rPr>
          <w:tab/>
        </w:r>
        <w:r w:rsidR="006171A4" w:rsidRPr="007929E2">
          <w:rPr>
            <w:rStyle w:val="Hyperlink"/>
          </w:rPr>
          <w:t>Infrastructure assessment survey results</w:t>
        </w:r>
        <w:r w:rsidR="006171A4">
          <w:rPr>
            <w:webHidden/>
          </w:rPr>
          <w:tab/>
        </w:r>
        <w:r>
          <w:rPr>
            <w:webHidden/>
          </w:rPr>
          <w:fldChar w:fldCharType="begin"/>
        </w:r>
        <w:r w:rsidR="006171A4">
          <w:rPr>
            <w:webHidden/>
          </w:rPr>
          <w:instrText xml:space="preserve"> PAGEREF _Toc425849165 \h </w:instrText>
        </w:r>
        <w:r>
          <w:rPr>
            <w:webHidden/>
          </w:rPr>
        </w:r>
        <w:r>
          <w:rPr>
            <w:webHidden/>
          </w:rPr>
          <w:fldChar w:fldCharType="separate"/>
        </w:r>
        <w:r w:rsidR="002F3000">
          <w:rPr>
            <w:webHidden/>
          </w:rPr>
          <w:t>69</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66" w:history="1">
        <w:r w:rsidR="006171A4" w:rsidRPr="007929E2">
          <w:rPr>
            <w:rStyle w:val="Hyperlink"/>
          </w:rPr>
          <w:t>3.5</w:t>
        </w:r>
        <w:r w:rsidR="006171A4">
          <w:rPr>
            <w:rFonts w:asciiTheme="minorHAnsi" w:eastAsiaTheme="minorEastAsia" w:hAnsiTheme="minorHAnsi" w:cstheme="minorBidi"/>
            <w:color w:val="auto"/>
            <w:szCs w:val="22"/>
            <w:lang w:eastAsia="en-AU"/>
          </w:rPr>
          <w:tab/>
        </w:r>
        <w:r w:rsidR="006171A4" w:rsidRPr="007929E2">
          <w:rPr>
            <w:rStyle w:val="Hyperlink"/>
          </w:rPr>
          <w:t>Compiling capacity estimates</w:t>
        </w:r>
        <w:r w:rsidR="006171A4">
          <w:rPr>
            <w:webHidden/>
          </w:rPr>
          <w:tab/>
        </w:r>
        <w:r>
          <w:rPr>
            <w:webHidden/>
          </w:rPr>
          <w:fldChar w:fldCharType="begin"/>
        </w:r>
        <w:r w:rsidR="006171A4">
          <w:rPr>
            <w:webHidden/>
          </w:rPr>
          <w:instrText xml:space="preserve"> PAGEREF _Toc425849166 \h </w:instrText>
        </w:r>
        <w:r>
          <w:rPr>
            <w:webHidden/>
          </w:rPr>
        </w:r>
        <w:r>
          <w:rPr>
            <w:webHidden/>
          </w:rPr>
          <w:fldChar w:fldCharType="separate"/>
        </w:r>
        <w:r w:rsidR="002F3000">
          <w:rPr>
            <w:webHidden/>
          </w:rPr>
          <w:t>69</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67" w:history="1">
        <w:r w:rsidR="006171A4" w:rsidRPr="007929E2">
          <w:rPr>
            <w:rStyle w:val="Hyperlink"/>
          </w:rPr>
          <w:t>3.6</w:t>
        </w:r>
        <w:r w:rsidR="006171A4">
          <w:rPr>
            <w:rFonts w:asciiTheme="minorHAnsi" w:eastAsiaTheme="minorEastAsia" w:hAnsiTheme="minorHAnsi" w:cstheme="minorBidi"/>
            <w:color w:val="auto"/>
            <w:szCs w:val="22"/>
            <w:lang w:eastAsia="en-AU"/>
          </w:rPr>
          <w:tab/>
        </w:r>
        <w:r w:rsidR="006171A4" w:rsidRPr="007929E2">
          <w:rPr>
            <w:rStyle w:val="Hyperlink"/>
          </w:rPr>
          <w:t>National capacity estimates of hazardous waste infrastructure</w:t>
        </w:r>
        <w:r w:rsidR="006171A4">
          <w:rPr>
            <w:webHidden/>
          </w:rPr>
          <w:tab/>
        </w:r>
        <w:r>
          <w:rPr>
            <w:webHidden/>
          </w:rPr>
          <w:fldChar w:fldCharType="begin"/>
        </w:r>
        <w:r w:rsidR="006171A4">
          <w:rPr>
            <w:webHidden/>
          </w:rPr>
          <w:instrText xml:space="preserve"> PAGEREF _Toc425849167 \h </w:instrText>
        </w:r>
        <w:r>
          <w:rPr>
            <w:webHidden/>
          </w:rPr>
        </w:r>
        <w:r>
          <w:rPr>
            <w:webHidden/>
          </w:rPr>
          <w:fldChar w:fldCharType="separate"/>
        </w:r>
        <w:r w:rsidR="002F3000">
          <w:rPr>
            <w:webHidden/>
          </w:rPr>
          <w:t>69</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68" w:history="1">
        <w:r w:rsidR="006171A4" w:rsidRPr="007929E2">
          <w:rPr>
            <w:rStyle w:val="Hyperlink"/>
          </w:rPr>
          <w:t>3.7</w:t>
        </w:r>
        <w:r w:rsidR="006171A4">
          <w:rPr>
            <w:rFonts w:asciiTheme="minorHAnsi" w:eastAsiaTheme="minorEastAsia" w:hAnsiTheme="minorHAnsi" w:cstheme="minorBidi"/>
            <w:color w:val="auto"/>
            <w:szCs w:val="22"/>
            <w:lang w:eastAsia="en-AU"/>
          </w:rPr>
          <w:tab/>
        </w:r>
        <w:r w:rsidR="006171A4" w:rsidRPr="007929E2">
          <w:rPr>
            <w:rStyle w:val="Hyperlink"/>
          </w:rPr>
          <w:t>Jurisdictional capacity estimates of hazardous waste infrastructure</w:t>
        </w:r>
        <w:r w:rsidR="006171A4">
          <w:rPr>
            <w:webHidden/>
          </w:rPr>
          <w:tab/>
        </w:r>
        <w:r>
          <w:rPr>
            <w:webHidden/>
          </w:rPr>
          <w:fldChar w:fldCharType="begin"/>
        </w:r>
        <w:r w:rsidR="006171A4">
          <w:rPr>
            <w:webHidden/>
          </w:rPr>
          <w:instrText xml:space="preserve"> PAGEREF _Toc425849168 \h </w:instrText>
        </w:r>
        <w:r>
          <w:rPr>
            <w:webHidden/>
          </w:rPr>
        </w:r>
        <w:r>
          <w:rPr>
            <w:webHidden/>
          </w:rPr>
          <w:fldChar w:fldCharType="separate"/>
        </w:r>
        <w:r w:rsidR="002F3000">
          <w:rPr>
            <w:webHidden/>
          </w:rPr>
          <w:t>71</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69" w:history="1">
        <w:r w:rsidR="006171A4" w:rsidRPr="007929E2">
          <w:rPr>
            <w:rStyle w:val="Hyperlink"/>
          </w:rPr>
          <w:t>3.8</w:t>
        </w:r>
        <w:r w:rsidR="006171A4">
          <w:rPr>
            <w:rFonts w:asciiTheme="minorHAnsi" w:eastAsiaTheme="minorEastAsia" w:hAnsiTheme="minorHAnsi" w:cstheme="minorBidi"/>
            <w:color w:val="auto"/>
            <w:szCs w:val="22"/>
            <w:lang w:eastAsia="en-AU"/>
          </w:rPr>
          <w:tab/>
        </w:r>
        <w:r w:rsidR="006171A4" w:rsidRPr="007929E2">
          <w:rPr>
            <w:rStyle w:val="Hyperlink"/>
          </w:rPr>
          <w:t>Key issues raised by industry during consultation</w:t>
        </w:r>
        <w:r w:rsidR="006171A4">
          <w:rPr>
            <w:webHidden/>
          </w:rPr>
          <w:tab/>
        </w:r>
        <w:r>
          <w:rPr>
            <w:webHidden/>
          </w:rPr>
          <w:fldChar w:fldCharType="begin"/>
        </w:r>
        <w:r w:rsidR="006171A4">
          <w:rPr>
            <w:webHidden/>
          </w:rPr>
          <w:instrText xml:space="preserve"> PAGEREF _Toc425849169 \h </w:instrText>
        </w:r>
        <w:r>
          <w:rPr>
            <w:webHidden/>
          </w:rPr>
        </w:r>
        <w:r>
          <w:rPr>
            <w:webHidden/>
          </w:rPr>
          <w:fldChar w:fldCharType="separate"/>
        </w:r>
        <w:r w:rsidR="002F3000">
          <w:rPr>
            <w:webHidden/>
          </w:rPr>
          <w:t>73</w:t>
        </w:r>
        <w:r>
          <w:rPr>
            <w:webHidden/>
          </w:rPr>
          <w:fldChar w:fldCharType="end"/>
        </w:r>
      </w:hyperlink>
    </w:p>
    <w:p w:rsidR="006171A4" w:rsidRDefault="006D07F5">
      <w:pPr>
        <w:pStyle w:val="TOC1"/>
        <w:rPr>
          <w:rFonts w:asciiTheme="minorHAnsi" w:eastAsiaTheme="minorEastAsia" w:hAnsiTheme="minorHAnsi" w:cstheme="minorBidi"/>
          <w:b w:val="0"/>
          <w:bCs w:val="0"/>
          <w:color w:val="auto"/>
          <w:sz w:val="22"/>
          <w:szCs w:val="22"/>
          <w:lang w:eastAsia="en-AU"/>
        </w:rPr>
      </w:pPr>
      <w:hyperlink w:anchor="_Toc425849170" w:history="1">
        <w:r w:rsidR="006171A4" w:rsidRPr="007929E2">
          <w:rPr>
            <w:rStyle w:val="Hyperlink"/>
          </w:rPr>
          <w:t>4.</w:t>
        </w:r>
        <w:r w:rsidR="006171A4">
          <w:rPr>
            <w:rFonts w:asciiTheme="minorHAnsi" w:eastAsiaTheme="minorEastAsia" w:hAnsiTheme="minorHAnsi" w:cstheme="minorBidi"/>
            <w:b w:val="0"/>
            <w:bCs w:val="0"/>
            <w:color w:val="auto"/>
            <w:sz w:val="22"/>
            <w:szCs w:val="22"/>
            <w:lang w:eastAsia="en-AU"/>
          </w:rPr>
          <w:tab/>
        </w:r>
        <w:r w:rsidR="006171A4" w:rsidRPr="007929E2">
          <w:rPr>
            <w:rStyle w:val="Hyperlink"/>
          </w:rPr>
          <w:t>Assessment of projected need vs. capacity of hazardous waste infrastructure</w:t>
        </w:r>
        <w:r w:rsidR="006171A4">
          <w:rPr>
            <w:webHidden/>
          </w:rPr>
          <w:tab/>
        </w:r>
        <w:r>
          <w:rPr>
            <w:webHidden/>
          </w:rPr>
          <w:fldChar w:fldCharType="begin"/>
        </w:r>
        <w:r w:rsidR="006171A4">
          <w:rPr>
            <w:webHidden/>
          </w:rPr>
          <w:instrText xml:space="preserve"> PAGEREF _Toc425849170 \h </w:instrText>
        </w:r>
        <w:r>
          <w:rPr>
            <w:webHidden/>
          </w:rPr>
        </w:r>
        <w:r>
          <w:rPr>
            <w:webHidden/>
          </w:rPr>
          <w:fldChar w:fldCharType="separate"/>
        </w:r>
        <w:r w:rsidR="002F3000">
          <w:rPr>
            <w:webHidden/>
          </w:rPr>
          <w:t>76</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71" w:history="1">
        <w:r w:rsidR="006171A4" w:rsidRPr="007929E2">
          <w:rPr>
            <w:rStyle w:val="Hyperlink"/>
          </w:rPr>
          <w:t>4.1</w:t>
        </w:r>
        <w:r w:rsidR="006171A4">
          <w:rPr>
            <w:rFonts w:asciiTheme="minorHAnsi" w:eastAsiaTheme="minorEastAsia" w:hAnsiTheme="minorHAnsi" w:cstheme="minorBidi"/>
            <w:color w:val="auto"/>
            <w:szCs w:val="22"/>
            <w:lang w:eastAsia="en-AU"/>
          </w:rPr>
          <w:tab/>
        </w:r>
        <w:r w:rsidR="006171A4" w:rsidRPr="007929E2">
          <w:rPr>
            <w:rStyle w:val="Hyperlink"/>
          </w:rPr>
          <w:t>Method</w:t>
        </w:r>
        <w:r w:rsidR="006171A4">
          <w:rPr>
            <w:webHidden/>
          </w:rPr>
          <w:tab/>
        </w:r>
        <w:r>
          <w:rPr>
            <w:webHidden/>
          </w:rPr>
          <w:fldChar w:fldCharType="begin"/>
        </w:r>
        <w:r w:rsidR="006171A4">
          <w:rPr>
            <w:webHidden/>
          </w:rPr>
          <w:instrText xml:space="preserve"> PAGEREF _Toc425849171 \h </w:instrText>
        </w:r>
        <w:r>
          <w:rPr>
            <w:webHidden/>
          </w:rPr>
        </w:r>
        <w:r>
          <w:rPr>
            <w:webHidden/>
          </w:rPr>
          <w:fldChar w:fldCharType="separate"/>
        </w:r>
        <w:r w:rsidR="002F3000">
          <w:rPr>
            <w:webHidden/>
          </w:rPr>
          <w:t>76</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72" w:history="1">
        <w:r w:rsidR="006171A4" w:rsidRPr="007929E2">
          <w:rPr>
            <w:rStyle w:val="Hyperlink"/>
          </w:rPr>
          <w:t>4.2</w:t>
        </w:r>
        <w:r w:rsidR="006171A4">
          <w:rPr>
            <w:rFonts w:asciiTheme="minorHAnsi" w:eastAsiaTheme="minorEastAsia" w:hAnsiTheme="minorHAnsi" w:cstheme="minorBidi"/>
            <w:color w:val="auto"/>
            <w:szCs w:val="22"/>
            <w:lang w:eastAsia="en-AU"/>
          </w:rPr>
          <w:tab/>
        </w:r>
        <w:r w:rsidR="006171A4" w:rsidRPr="007929E2">
          <w:rPr>
            <w:rStyle w:val="Hyperlink"/>
          </w:rPr>
          <w:t>Limitations and uncertainty</w:t>
        </w:r>
        <w:r w:rsidR="006171A4">
          <w:rPr>
            <w:webHidden/>
          </w:rPr>
          <w:tab/>
        </w:r>
        <w:r>
          <w:rPr>
            <w:webHidden/>
          </w:rPr>
          <w:fldChar w:fldCharType="begin"/>
        </w:r>
        <w:r w:rsidR="006171A4">
          <w:rPr>
            <w:webHidden/>
          </w:rPr>
          <w:instrText xml:space="preserve"> PAGEREF _Toc425849172 \h </w:instrText>
        </w:r>
        <w:r>
          <w:rPr>
            <w:webHidden/>
          </w:rPr>
        </w:r>
        <w:r>
          <w:rPr>
            <w:webHidden/>
          </w:rPr>
          <w:fldChar w:fldCharType="separate"/>
        </w:r>
        <w:r w:rsidR="002F3000">
          <w:rPr>
            <w:webHidden/>
          </w:rPr>
          <w:t>80</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73" w:history="1">
        <w:r w:rsidR="006171A4" w:rsidRPr="007929E2">
          <w:rPr>
            <w:rStyle w:val="Hyperlink"/>
          </w:rPr>
          <w:t>4.3</w:t>
        </w:r>
        <w:r w:rsidR="006171A4">
          <w:rPr>
            <w:rFonts w:asciiTheme="minorHAnsi" w:eastAsiaTheme="minorEastAsia" w:hAnsiTheme="minorHAnsi" w:cstheme="minorBidi"/>
            <w:color w:val="auto"/>
            <w:szCs w:val="22"/>
            <w:lang w:eastAsia="en-AU"/>
          </w:rPr>
          <w:tab/>
        </w:r>
        <w:r w:rsidR="006171A4" w:rsidRPr="007929E2">
          <w:rPr>
            <w:rStyle w:val="Hyperlink"/>
          </w:rPr>
          <w:t>National assessment by infrastructure group</w:t>
        </w:r>
        <w:r w:rsidR="006171A4">
          <w:rPr>
            <w:webHidden/>
          </w:rPr>
          <w:tab/>
        </w:r>
        <w:r>
          <w:rPr>
            <w:webHidden/>
          </w:rPr>
          <w:fldChar w:fldCharType="begin"/>
        </w:r>
        <w:r w:rsidR="006171A4">
          <w:rPr>
            <w:webHidden/>
          </w:rPr>
          <w:instrText xml:space="preserve"> PAGEREF _Toc425849173 \h </w:instrText>
        </w:r>
        <w:r>
          <w:rPr>
            <w:webHidden/>
          </w:rPr>
        </w:r>
        <w:r>
          <w:rPr>
            <w:webHidden/>
          </w:rPr>
          <w:fldChar w:fldCharType="separate"/>
        </w:r>
        <w:r w:rsidR="002F3000">
          <w:rPr>
            <w:webHidden/>
          </w:rPr>
          <w:t>86</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74" w:history="1">
        <w:r w:rsidR="006171A4" w:rsidRPr="007929E2">
          <w:rPr>
            <w:rStyle w:val="Hyperlink"/>
          </w:rPr>
          <w:t>4.4</w:t>
        </w:r>
        <w:r w:rsidR="006171A4">
          <w:rPr>
            <w:rFonts w:asciiTheme="minorHAnsi" w:eastAsiaTheme="minorEastAsia" w:hAnsiTheme="minorHAnsi" w:cstheme="minorBidi"/>
            <w:color w:val="auto"/>
            <w:szCs w:val="22"/>
            <w:lang w:eastAsia="en-AU"/>
          </w:rPr>
          <w:tab/>
        </w:r>
        <w:r w:rsidR="006171A4" w:rsidRPr="007929E2">
          <w:rPr>
            <w:rStyle w:val="Hyperlink"/>
          </w:rPr>
          <w:t>Jurisdictional assessment by waste groups</w:t>
        </w:r>
        <w:r w:rsidR="006171A4">
          <w:rPr>
            <w:webHidden/>
          </w:rPr>
          <w:tab/>
        </w:r>
        <w:r>
          <w:rPr>
            <w:webHidden/>
          </w:rPr>
          <w:fldChar w:fldCharType="begin"/>
        </w:r>
        <w:r w:rsidR="006171A4">
          <w:rPr>
            <w:webHidden/>
          </w:rPr>
          <w:instrText xml:space="preserve"> PAGEREF _Toc425849174 \h </w:instrText>
        </w:r>
        <w:r>
          <w:rPr>
            <w:webHidden/>
          </w:rPr>
        </w:r>
        <w:r>
          <w:rPr>
            <w:webHidden/>
          </w:rPr>
          <w:fldChar w:fldCharType="separate"/>
        </w:r>
        <w:r w:rsidR="002F3000">
          <w:rPr>
            <w:webHidden/>
          </w:rPr>
          <w:t>94</w:t>
        </w:r>
        <w:r>
          <w:rPr>
            <w:webHidden/>
          </w:rPr>
          <w:fldChar w:fldCharType="end"/>
        </w:r>
      </w:hyperlink>
    </w:p>
    <w:p w:rsidR="006171A4" w:rsidRDefault="006D07F5">
      <w:pPr>
        <w:pStyle w:val="TOC1"/>
        <w:rPr>
          <w:rFonts w:asciiTheme="minorHAnsi" w:eastAsiaTheme="minorEastAsia" w:hAnsiTheme="minorHAnsi" w:cstheme="minorBidi"/>
          <w:b w:val="0"/>
          <w:bCs w:val="0"/>
          <w:color w:val="auto"/>
          <w:sz w:val="22"/>
          <w:szCs w:val="22"/>
          <w:lang w:eastAsia="en-AU"/>
        </w:rPr>
      </w:pPr>
      <w:hyperlink w:anchor="_Toc425849175" w:history="1">
        <w:r w:rsidR="006171A4" w:rsidRPr="007929E2">
          <w:rPr>
            <w:rStyle w:val="Hyperlink"/>
          </w:rPr>
          <w:t>5.</w:t>
        </w:r>
        <w:r w:rsidR="006171A4">
          <w:rPr>
            <w:rFonts w:asciiTheme="minorHAnsi" w:eastAsiaTheme="minorEastAsia" w:hAnsiTheme="minorHAnsi" w:cstheme="minorBidi"/>
            <w:b w:val="0"/>
            <w:bCs w:val="0"/>
            <w:color w:val="auto"/>
            <w:sz w:val="22"/>
            <w:szCs w:val="22"/>
            <w:lang w:eastAsia="en-AU"/>
          </w:rPr>
          <w:tab/>
        </w:r>
        <w:r w:rsidR="006171A4" w:rsidRPr="007929E2">
          <w:rPr>
            <w:rStyle w:val="Hyperlink"/>
          </w:rPr>
          <w:t>Conclusions and recommendations</w:t>
        </w:r>
        <w:r w:rsidR="006171A4">
          <w:rPr>
            <w:webHidden/>
          </w:rPr>
          <w:tab/>
        </w:r>
        <w:r>
          <w:rPr>
            <w:webHidden/>
          </w:rPr>
          <w:fldChar w:fldCharType="begin"/>
        </w:r>
        <w:r w:rsidR="006171A4">
          <w:rPr>
            <w:webHidden/>
          </w:rPr>
          <w:instrText xml:space="preserve"> PAGEREF _Toc425849175 \h </w:instrText>
        </w:r>
        <w:r>
          <w:rPr>
            <w:webHidden/>
          </w:rPr>
        </w:r>
        <w:r>
          <w:rPr>
            <w:webHidden/>
          </w:rPr>
          <w:fldChar w:fldCharType="separate"/>
        </w:r>
        <w:r w:rsidR="002F3000">
          <w:rPr>
            <w:webHidden/>
          </w:rPr>
          <w:t>104</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76" w:history="1">
        <w:r w:rsidR="006171A4" w:rsidRPr="007929E2">
          <w:rPr>
            <w:rStyle w:val="Hyperlink"/>
          </w:rPr>
          <w:t>5.1</w:t>
        </w:r>
        <w:r w:rsidR="006171A4">
          <w:rPr>
            <w:rFonts w:asciiTheme="minorHAnsi" w:eastAsiaTheme="minorEastAsia" w:hAnsiTheme="minorHAnsi" w:cstheme="minorBidi"/>
            <w:color w:val="auto"/>
            <w:szCs w:val="22"/>
            <w:lang w:eastAsia="en-AU"/>
          </w:rPr>
          <w:tab/>
        </w:r>
        <w:r w:rsidR="006171A4" w:rsidRPr="007929E2">
          <w:rPr>
            <w:rStyle w:val="Hyperlink"/>
          </w:rPr>
          <w:t>Uncertainty in assessing need vs capacity</w:t>
        </w:r>
        <w:r w:rsidR="006171A4">
          <w:rPr>
            <w:webHidden/>
          </w:rPr>
          <w:tab/>
        </w:r>
        <w:r>
          <w:rPr>
            <w:webHidden/>
          </w:rPr>
          <w:fldChar w:fldCharType="begin"/>
        </w:r>
        <w:r w:rsidR="006171A4">
          <w:rPr>
            <w:webHidden/>
          </w:rPr>
          <w:instrText xml:space="preserve"> PAGEREF _Toc425849176 \h </w:instrText>
        </w:r>
        <w:r>
          <w:rPr>
            <w:webHidden/>
          </w:rPr>
        </w:r>
        <w:r>
          <w:rPr>
            <w:webHidden/>
          </w:rPr>
          <w:fldChar w:fldCharType="separate"/>
        </w:r>
        <w:r w:rsidR="002F3000">
          <w:rPr>
            <w:webHidden/>
          </w:rPr>
          <w:t>104</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77" w:history="1">
        <w:r w:rsidR="006171A4" w:rsidRPr="007929E2">
          <w:rPr>
            <w:rStyle w:val="Hyperlink"/>
          </w:rPr>
          <w:t>5.2</w:t>
        </w:r>
        <w:r w:rsidR="006171A4">
          <w:rPr>
            <w:rFonts w:asciiTheme="minorHAnsi" w:eastAsiaTheme="minorEastAsia" w:hAnsiTheme="minorHAnsi" w:cstheme="minorBidi"/>
            <w:color w:val="auto"/>
            <w:szCs w:val="22"/>
            <w:lang w:eastAsia="en-AU"/>
          </w:rPr>
          <w:tab/>
        </w:r>
        <w:r w:rsidR="006171A4" w:rsidRPr="007929E2">
          <w:rPr>
            <w:rStyle w:val="Hyperlink"/>
          </w:rPr>
          <w:t>Hazwaste packaging recycling facilities</w:t>
        </w:r>
        <w:r w:rsidR="006171A4">
          <w:rPr>
            <w:webHidden/>
          </w:rPr>
          <w:tab/>
        </w:r>
        <w:r>
          <w:rPr>
            <w:webHidden/>
          </w:rPr>
          <w:fldChar w:fldCharType="begin"/>
        </w:r>
        <w:r w:rsidR="006171A4">
          <w:rPr>
            <w:webHidden/>
          </w:rPr>
          <w:instrText xml:space="preserve"> PAGEREF _Toc425849177 \h </w:instrText>
        </w:r>
        <w:r>
          <w:rPr>
            <w:webHidden/>
          </w:rPr>
        </w:r>
        <w:r>
          <w:rPr>
            <w:webHidden/>
          </w:rPr>
          <w:fldChar w:fldCharType="separate"/>
        </w:r>
        <w:r w:rsidR="002F3000">
          <w:rPr>
            <w:webHidden/>
          </w:rPr>
          <w:t>104</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78" w:history="1">
        <w:r w:rsidR="006171A4" w:rsidRPr="007929E2">
          <w:rPr>
            <w:rStyle w:val="Hyperlink"/>
          </w:rPr>
          <w:t>5.3</w:t>
        </w:r>
        <w:r w:rsidR="006171A4">
          <w:rPr>
            <w:rFonts w:asciiTheme="minorHAnsi" w:eastAsiaTheme="minorEastAsia" w:hAnsiTheme="minorHAnsi" w:cstheme="minorBidi"/>
            <w:color w:val="auto"/>
            <w:szCs w:val="22"/>
            <w:lang w:eastAsia="en-AU"/>
          </w:rPr>
          <w:tab/>
        </w:r>
        <w:r w:rsidR="006171A4" w:rsidRPr="007929E2">
          <w:rPr>
            <w:rStyle w:val="Hyperlink"/>
          </w:rPr>
          <w:t>E-waste major physical/chemical &amp; disassembly facilities</w:t>
        </w:r>
        <w:r w:rsidR="006171A4">
          <w:rPr>
            <w:webHidden/>
          </w:rPr>
          <w:tab/>
        </w:r>
        <w:r>
          <w:rPr>
            <w:webHidden/>
          </w:rPr>
          <w:fldChar w:fldCharType="begin"/>
        </w:r>
        <w:r w:rsidR="006171A4">
          <w:rPr>
            <w:webHidden/>
          </w:rPr>
          <w:instrText xml:space="preserve"> PAGEREF _Toc425849178 \h </w:instrText>
        </w:r>
        <w:r>
          <w:rPr>
            <w:webHidden/>
          </w:rPr>
        </w:r>
        <w:r>
          <w:rPr>
            <w:webHidden/>
          </w:rPr>
          <w:fldChar w:fldCharType="separate"/>
        </w:r>
        <w:r w:rsidR="002F3000">
          <w:rPr>
            <w:webHidden/>
          </w:rPr>
          <w:t>104</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79" w:history="1">
        <w:r w:rsidR="006171A4" w:rsidRPr="007929E2">
          <w:rPr>
            <w:rStyle w:val="Hyperlink"/>
          </w:rPr>
          <w:t>5.4</w:t>
        </w:r>
        <w:r w:rsidR="006171A4">
          <w:rPr>
            <w:rFonts w:asciiTheme="minorHAnsi" w:eastAsiaTheme="minorEastAsia" w:hAnsiTheme="minorHAnsi" w:cstheme="minorBidi"/>
            <w:color w:val="auto"/>
            <w:szCs w:val="22"/>
            <w:lang w:eastAsia="en-AU"/>
          </w:rPr>
          <w:tab/>
        </w:r>
        <w:r w:rsidR="006171A4" w:rsidRPr="007929E2">
          <w:rPr>
            <w:rStyle w:val="Hyperlink"/>
          </w:rPr>
          <w:t>Oil re-refining facilities</w:t>
        </w:r>
        <w:r w:rsidR="006171A4">
          <w:rPr>
            <w:webHidden/>
          </w:rPr>
          <w:tab/>
        </w:r>
        <w:r>
          <w:rPr>
            <w:webHidden/>
          </w:rPr>
          <w:fldChar w:fldCharType="begin"/>
        </w:r>
        <w:r w:rsidR="006171A4">
          <w:rPr>
            <w:webHidden/>
          </w:rPr>
          <w:instrText xml:space="preserve"> PAGEREF _Toc425849179 \h </w:instrText>
        </w:r>
        <w:r>
          <w:rPr>
            <w:webHidden/>
          </w:rPr>
        </w:r>
        <w:r>
          <w:rPr>
            <w:webHidden/>
          </w:rPr>
          <w:fldChar w:fldCharType="separate"/>
        </w:r>
        <w:r w:rsidR="002F3000">
          <w:rPr>
            <w:webHidden/>
          </w:rPr>
          <w:t>105</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80" w:history="1">
        <w:r w:rsidR="006171A4" w:rsidRPr="007929E2">
          <w:rPr>
            <w:rStyle w:val="Hyperlink"/>
          </w:rPr>
          <w:t>5.5</w:t>
        </w:r>
        <w:r w:rsidR="006171A4">
          <w:rPr>
            <w:rFonts w:asciiTheme="minorHAnsi" w:eastAsiaTheme="minorEastAsia" w:hAnsiTheme="minorHAnsi" w:cstheme="minorBidi"/>
            <w:color w:val="auto"/>
            <w:szCs w:val="22"/>
            <w:lang w:eastAsia="en-AU"/>
          </w:rPr>
          <w:tab/>
        </w:r>
        <w:r w:rsidR="006171A4" w:rsidRPr="007929E2">
          <w:rPr>
            <w:rStyle w:val="Hyperlink"/>
          </w:rPr>
          <w:t>Lead recycling facilities</w:t>
        </w:r>
        <w:r w:rsidR="006171A4">
          <w:rPr>
            <w:webHidden/>
          </w:rPr>
          <w:tab/>
        </w:r>
        <w:r>
          <w:rPr>
            <w:webHidden/>
          </w:rPr>
          <w:fldChar w:fldCharType="begin"/>
        </w:r>
        <w:r w:rsidR="006171A4">
          <w:rPr>
            <w:webHidden/>
          </w:rPr>
          <w:instrText xml:space="preserve"> PAGEREF _Toc425849180 \h </w:instrText>
        </w:r>
        <w:r>
          <w:rPr>
            <w:webHidden/>
          </w:rPr>
        </w:r>
        <w:r>
          <w:rPr>
            <w:webHidden/>
          </w:rPr>
          <w:fldChar w:fldCharType="separate"/>
        </w:r>
        <w:r w:rsidR="002F3000">
          <w:rPr>
            <w:webHidden/>
          </w:rPr>
          <w:t>106</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81" w:history="1">
        <w:r w:rsidR="006171A4" w:rsidRPr="007929E2">
          <w:rPr>
            <w:rStyle w:val="Hyperlink"/>
          </w:rPr>
          <w:t>5.6</w:t>
        </w:r>
        <w:r w:rsidR="006171A4">
          <w:rPr>
            <w:rFonts w:asciiTheme="minorHAnsi" w:eastAsiaTheme="minorEastAsia" w:hAnsiTheme="minorHAnsi" w:cstheme="minorBidi"/>
            <w:color w:val="auto"/>
            <w:szCs w:val="22"/>
            <w:lang w:eastAsia="en-AU"/>
          </w:rPr>
          <w:tab/>
        </w:r>
        <w:r w:rsidR="006171A4" w:rsidRPr="007929E2">
          <w:rPr>
            <w:rStyle w:val="Hyperlink"/>
          </w:rPr>
          <w:t>Mercury recycling facilities</w:t>
        </w:r>
        <w:r w:rsidR="006171A4">
          <w:rPr>
            <w:webHidden/>
          </w:rPr>
          <w:tab/>
        </w:r>
        <w:r>
          <w:rPr>
            <w:webHidden/>
          </w:rPr>
          <w:fldChar w:fldCharType="begin"/>
        </w:r>
        <w:r w:rsidR="006171A4">
          <w:rPr>
            <w:webHidden/>
          </w:rPr>
          <w:instrText xml:space="preserve"> PAGEREF _Toc425849181 \h </w:instrText>
        </w:r>
        <w:r>
          <w:rPr>
            <w:webHidden/>
          </w:rPr>
        </w:r>
        <w:r>
          <w:rPr>
            <w:webHidden/>
          </w:rPr>
          <w:fldChar w:fldCharType="separate"/>
        </w:r>
        <w:r w:rsidR="002F3000">
          <w:rPr>
            <w:webHidden/>
          </w:rPr>
          <w:t>106</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82" w:history="1">
        <w:r w:rsidR="006171A4" w:rsidRPr="007929E2">
          <w:rPr>
            <w:rStyle w:val="Hyperlink"/>
          </w:rPr>
          <w:t>5.7</w:t>
        </w:r>
        <w:r w:rsidR="006171A4">
          <w:rPr>
            <w:rFonts w:asciiTheme="minorHAnsi" w:eastAsiaTheme="minorEastAsia" w:hAnsiTheme="minorHAnsi" w:cstheme="minorBidi"/>
            <w:color w:val="auto"/>
            <w:szCs w:val="22"/>
            <w:lang w:eastAsia="en-AU"/>
          </w:rPr>
          <w:tab/>
        </w:r>
        <w:r w:rsidR="006171A4" w:rsidRPr="007929E2">
          <w:rPr>
            <w:rStyle w:val="Hyperlink"/>
          </w:rPr>
          <w:t>Solvents/paints recycling facilities</w:t>
        </w:r>
        <w:r w:rsidR="006171A4">
          <w:rPr>
            <w:webHidden/>
          </w:rPr>
          <w:tab/>
        </w:r>
        <w:r>
          <w:rPr>
            <w:webHidden/>
          </w:rPr>
          <w:fldChar w:fldCharType="begin"/>
        </w:r>
        <w:r w:rsidR="006171A4">
          <w:rPr>
            <w:webHidden/>
          </w:rPr>
          <w:instrText xml:space="preserve"> PAGEREF _Toc425849182 \h </w:instrText>
        </w:r>
        <w:r>
          <w:rPr>
            <w:webHidden/>
          </w:rPr>
        </w:r>
        <w:r>
          <w:rPr>
            <w:webHidden/>
          </w:rPr>
          <w:fldChar w:fldCharType="separate"/>
        </w:r>
        <w:r w:rsidR="002F3000">
          <w:rPr>
            <w:webHidden/>
          </w:rPr>
          <w:t>106</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83" w:history="1">
        <w:r w:rsidR="006171A4" w:rsidRPr="007929E2">
          <w:rPr>
            <w:rStyle w:val="Hyperlink"/>
          </w:rPr>
          <w:t>5.8</w:t>
        </w:r>
        <w:r w:rsidR="006171A4">
          <w:rPr>
            <w:rFonts w:asciiTheme="minorHAnsi" w:eastAsiaTheme="minorEastAsia" w:hAnsiTheme="minorHAnsi" w:cstheme="minorBidi"/>
            <w:color w:val="auto"/>
            <w:szCs w:val="22"/>
            <w:lang w:eastAsia="en-AU"/>
          </w:rPr>
          <w:tab/>
        </w:r>
        <w:r w:rsidR="006171A4" w:rsidRPr="007929E2">
          <w:rPr>
            <w:rStyle w:val="Hyperlink"/>
          </w:rPr>
          <w:t>Solvents/paints energy recovery facilities</w:t>
        </w:r>
        <w:r w:rsidR="006171A4">
          <w:rPr>
            <w:webHidden/>
          </w:rPr>
          <w:tab/>
        </w:r>
        <w:r>
          <w:rPr>
            <w:webHidden/>
          </w:rPr>
          <w:fldChar w:fldCharType="begin"/>
        </w:r>
        <w:r w:rsidR="006171A4">
          <w:rPr>
            <w:webHidden/>
          </w:rPr>
          <w:instrText xml:space="preserve"> PAGEREF _Toc425849183 \h </w:instrText>
        </w:r>
        <w:r>
          <w:rPr>
            <w:webHidden/>
          </w:rPr>
        </w:r>
        <w:r>
          <w:rPr>
            <w:webHidden/>
          </w:rPr>
          <w:fldChar w:fldCharType="separate"/>
        </w:r>
        <w:r w:rsidR="002F3000">
          <w:rPr>
            <w:webHidden/>
          </w:rPr>
          <w:t>107</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184" w:history="1">
        <w:r w:rsidR="006171A4" w:rsidRPr="007929E2">
          <w:rPr>
            <w:rStyle w:val="Hyperlink"/>
          </w:rPr>
          <w:t>5.9</w:t>
        </w:r>
        <w:r w:rsidR="006171A4">
          <w:rPr>
            <w:rFonts w:asciiTheme="minorHAnsi" w:eastAsiaTheme="minorEastAsia" w:hAnsiTheme="minorHAnsi" w:cstheme="minorBidi"/>
            <w:color w:val="auto"/>
            <w:szCs w:val="22"/>
            <w:lang w:eastAsia="en-AU"/>
          </w:rPr>
          <w:tab/>
        </w:r>
        <w:r w:rsidR="006171A4" w:rsidRPr="007929E2">
          <w:rPr>
            <w:rStyle w:val="Hyperlink"/>
          </w:rPr>
          <w:t>Spent potlining recycling facilities</w:t>
        </w:r>
        <w:r w:rsidR="006171A4">
          <w:rPr>
            <w:webHidden/>
          </w:rPr>
          <w:tab/>
        </w:r>
        <w:r>
          <w:rPr>
            <w:webHidden/>
          </w:rPr>
          <w:fldChar w:fldCharType="begin"/>
        </w:r>
        <w:r w:rsidR="006171A4">
          <w:rPr>
            <w:webHidden/>
          </w:rPr>
          <w:instrText xml:space="preserve"> PAGEREF _Toc425849184 \h </w:instrText>
        </w:r>
        <w:r>
          <w:rPr>
            <w:webHidden/>
          </w:rPr>
        </w:r>
        <w:r>
          <w:rPr>
            <w:webHidden/>
          </w:rPr>
          <w:fldChar w:fldCharType="separate"/>
        </w:r>
        <w:r w:rsidR="002F3000">
          <w:rPr>
            <w:webHidden/>
          </w:rPr>
          <w:t>107</w:t>
        </w:r>
        <w:r>
          <w:rPr>
            <w:webHidden/>
          </w:rPr>
          <w:fldChar w:fldCharType="end"/>
        </w:r>
      </w:hyperlink>
    </w:p>
    <w:p w:rsidR="006171A4" w:rsidRDefault="006D07F5">
      <w:pPr>
        <w:pStyle w:val="TOC2"/>
        <w:tabs>
          <w:tab w:val="left" w:pos="1200"/>
        </w:tabs>
        <w:rPr>
          <w:rFonts w:asciiTheme="minorHAnsi" w:eastAsiaTheme="minorEastAsia" w:hAnsiTheme="minorHAnsi" w:cstheme="minorBidi"/>
          <w:color w:val="auto"/>
          <w:szCs w:val="22"/>
          <w:lang w:eastAsia="en-AU"/>
        </w:rPr>
      </w:pPr>
      <w:hyperlink w:anchor="_Toc425849185" w:history="1">
        <w:r w:rsidR="006171A4" w:rsidRPr="007929E2">
          <w:rPr>
            <w:rStyle w:val="Hyperlink"/>
          </w:rPr>
          <w:t>5.10</w:t>
        </w:r>
        <w:r w:rsidR="006171A4">
          <w:rPr>
            <w:rFonts w:asciiTheme="minorHAnsi" w:eastAsiaTheme="minorEastAsia" w:hAnsiTheme="minorHAnsi" w:cstheme="minorBidi"/>
            <w:color w:val="auto"/>
            <w:szCs w:val="22"/>
            <w:lang w:eastAsia="en-AU"/>
          </w:rPr>
          <w:tab/>
        </w:r>
        <w:r w:rsidR="006171A4" w:rsidRPr="007929E2">
          <w:rPr>
            <w:rStyle w:val="Hyperlink"/>
          </w:rPr>
          <w:t>Organics recycling (NEPM K code wastes) facilities</w:t>
        </w:r>
        <w:r w:rsidR="006171A4">
          <w:rPr>
            <w:webHidden/>
          </w:rPr>
          <w:tab/>
        </w:r>
        <w:r>
          <w:rPr>
            <w:webHidden/>
          </w:rPr>
          <w:fldChar w:fldCharType="begin"/>
        </w:r>
        <w:r w:rsidR="006171A4">
          <w:rPr>
            <w:webHidden/>
          </w:rPr>
          <w:instrText xml:space="preserve"> PAGEREF _Toc425849185 \h </w:instrText>
        </w:r>
        <w:r>
          <w:rPr>
            <w:webHidden/>
          </w:rPr>
        </w:r>
        <w:r>
          <w:rPr>
            <w:webHidden/>
          </w:rPr>
          <w:fldChar w:fldCharType="separate"/>
        </w:r>
        <w:r w:rsidR="002F3000">
          <w:rPr>
            <w:webHidden/>
          </w:rPr>
          <w:t>107</w:t>
        </w:r>
        <w:r>
          <w:rPr>
            <w:webHidden/>
          </w:rPr>
          <w:fldChar w:fldCharType="end"/>
        </w:r>
      </w:hyperlink>
    </w:p>
    <w:p w:rsidR="006171A4" w:rsidRDefault="006D07F5">
      <w:pPr>
        <w:pStyle w:val="TOC2"/>
        <w:tabs>
          <w:tab w:val="left" w:pos="1200"/>
        </w:tabs>
        <w:rPr>
          <w:rFonts w:asciiTheme="minorHAnsi" w:eastAsiaTheme="minorEastAsia" w:hAnsiTheme="minorHAnsi" w:cstheme="minorBidi"/>
          <w:color w:val="auto"/>
          <w:szCs w:val="22"/>
          <w:lang w:eastAsia="en-AU"/>
        </w:rPr>
      </w:pPr>
      <w:hyperlink w:anchor="_Toc425849186" w:history="1">
        <w:r w:rsidR="006171A4" w:rsidRPr="007929E2">
          <w:rPr>
            <w:rStyle w:val="Hyperlink"/>
          </w:rPr>
          <w:t>5.11</w:t>
        </w:r>
        <w:r w:rsidR="006171A4">
          <w:rPr>
            <w:rFonts w:asciiTheme="minorHAnsi" w:eastAsiaTheme="minorEastAsia" w:hAnsiTheme="minorHAnsi" w:cstheme="minorBidi"/>
            <w:color w:val="auto"/>
            <w:szCs w:val="22"/>
            <w:lang w:eastAsia="en-AU"/>
          </w:rPr>
          <w:tab/>
        </w:r>
        <w:r w:rsidR="006171A4" w:rsidRPr="007929E2">
          <w:rPr>
            <w:rStyle w:val="Hyperlink"/>
          </w:rPr>
          <w:t>Chemical and physical treatment (CPT) plant facilities</w:t>
        </w:r>
        <w:r w:rsidR="006171A4">
          <w:rPr>
            <w:webHidden/>
          </w:rPr>
          <w:tab/>
        </w:r>
        <w:r>
          <w:rPr>
            <w:webHidden/>
          </w:rPr>
          <w:fldChar w:fldCharType="begin"/>
        </w:r>
        <w:r w:rsidR="006171A4">
          <w:rPr>
            <w:webHidden/>
          </w:rPr>
          <w:instrText xml:space="preserve"> PAGEREF _Toc425849186 \h </w:instrText>
        </w:r>
        <w:r>
          <w:rPr>
            <w:webHidden/>
          </w:rPr>
        </w:r>
        <w:r>
          <w:rPr>
            <w:webHidden/>
          </w:rPr>
          <w:fldChar w:fldCharType="separate"/>
        </w:r>
        <w:r w:rsidR="002F3000">
          <w:rPr>
            <w:webHidden/>
          </w:rPr>
          <w:t>108</w:t>
        </w:r>
        <w:r>
          <w:rPr>
            <w:webHidden/>
          </w:rPr>
          <w:fldChar w:fldCharType="end"/>
        </w:r>
      </w:hyperlink>
    </w:p>
    <w:p w:rsidR="006171A4" w:rsidRDefault="006D07F5">
      <w:pPr>
        <w:pStyle w:val="TOC2"/>
        <w:tabs>
          <w:tab w:val="left" w:pos="1200"/>
        </w:tabs>
        <w:rPr>
          <w:rFonts w:asciiTheme="minorHAnsi" w:eastAsiaTheme="minorEastAsia" w:hAnsiTheme="minorHAnsi" w:cstheme="minorBidi"/>
          <w:color w:val="auto"/>
          <w:szCs w:val="22"/>
          <w:lang w:eastAsia="en-AU"/>
        </w:rPr>
      </w:pPr>
      <w:hyperlink w:anchor="_Toc425849187" w:history="1">
        <w:r w:rsidR="006171A4" w:rsidRPr="007929E2">
          <w:rPr>
            <w:rStyle w:val="Hyperlink"/>
          </w:rPr>
          <w:t>5.12</w:t>
        </w:r>
        <w:r w:rsidR="006171A4">
          <w:rPr>
            <w:rFonts w:asciiTheme="minorHAnsi" w:eastAsiaTheme="minorEastAsia" w:hAnsiTheme="minorHAnsi" w:cstheme="minorBidi"/>
            <w:color w:val="auto"/>
            <w:szCs w:val="22"/>
            <w:lang w:eastAsia="en-AU"/>
          </w:rPr>
          <w:tab/>
        </w:r>
        <w:r w:rsidR="006171A4" w:rsidRPr="007929E2">
          <w:rPr>
            <w:rStyle w:val="Hyperlink"/>
          </w:rPr>
          <w:t>Clinical waste treatment facilities</w:t>
        </w:r>
        <w:r w:rsidR="006171A4">
          <w:rPr>
            <w:webHidden/>
          </w:rPr>
          <w:tab/>
        </w:r>
        <w:r>
          <w:rPr>
            <w:webHidden/>
          </w:rPr>
          <w:fldChar w:fldCharType="begin"/>
        </w:r>
        <w:r w:rsidR="006171A4">
          <w:rPr>
            <w:webHidden/>
          </w:rPr>
          <w:instrText xml:space="preserve"> PAGEREF _Toc425849187 \h </w:instrText>
        </w:r>
        <w:r>
          <w:rPr>
            <w:webHidden/>
          </w:rPr>
        </w:r>
        <w:r>
          <w:rPr>
            <w:webHidden/>
          </w:rPr>
          <w:fldChar w:fldCharType="separate"/>
        </w:r>
        <w:r w:rsidR="002F3000">
          <w:rPr>
            <w:webHidden/>
          </w:rPr>
          <w:t>108</w:t>
        </w:r>
        <w:r>
          <w:rPr>
            <w:webHidden/>
          </w:rPr>
          <w:fldChar w:fldCharType="end"/>
        </w:r>
      </w:hyperlink>
    </w:p>
    <w:p w:rsidR="006171A4" w:rsidRDefault="006D07F5">
      <w:pPr>
        <w:pStyle w:val="TOC2"/>
        <w:tabs>
          <w:tab w:val="left" w:pos="1200"/>
        </w:tabs>
        <w:rPr>
          <w:rFonts w:asciiTheme="minorHAnsi" w:eastAsiaTheme="minorEastAsia" w:hAnsiTheme="minorHAnsi" w:cstheme="minorBidi"/>
          <w:color w:val="auto"/>
          <w:szCs w:val="22"/>
          <w:lang w:eastAsia="en-AU"/>
        </w:rPr>
      </w:pPr>
      <w:hyperlink w:anchor="_Toc425849188" w:history="1">
        <w:r w:rsidR="006171A4" w:rsidRPr="007929E2">
          <w:rPr>
            <w:rStyle w:val="Hyperlink"/>
          </w:rPr>
          <w:t>5.13</w:t>
        </w:r>
        <w:r w:rsidR="006171A4">
          <w:rPr>
            <w:rFonts w:asciiTheme="minorHAnsi" w:eastAsiaTheme="minorEastAsia" w:hAnsiTheme="minorHAnsi" w:cstheme="minorBidi"/>
            <w:color w:val="auto"/>
            <w:szCs w:val="22"/>
            <w:lang w:eastAsia="en-AU"/>
          </w:rPr>
          <w:tab/>
        </w:r>
        <w:r w:rsidR="006171A4" w:rsidRPr="007929E2">
          <w:rPr>
            <w:rStyle w:val="Hyperlink"/>
          </w:rPr>
          <w:t>Contaminated soils treatment facilities</w:t>
        </w:r>
        <w:r w:rsidR="006171A4">
          <w:rPr>
            <w:webHidden/>
          </w:rPr>
          <w:tab/>
        </w:r>
        <w:r>
          <w:rPr>
            <w:webHidden/>
          </w:rPr>
          <w:fldChar w:fldCharType="begin"/>
        </w:r>
        <w:r w:rsidR="006171A4">
          <w:rPr>
            <w:webHidden/>
          </w:rPr>
          <w:instrText xml:space="preserve"> PAGEREF _Toc425849188 \h </w:instrText>
        </w:r>
        <w:r>
          <w:rPr>
            <w:webHidden/>
          </w:rPr>
        </w:r>
        <w:r>
          <w:rPr>
            <w:webHidden/>
          </w:rPr>
          <w:fldChar w:fldCharType="separate"/>
        </w:r>
        <w:r w:rsidR="002F3000">
          <w:rPr>
            <w:webHidden/>
          </w:rPr>
          <w:t>109</w:t>
        </w:r>
        <w:r>
          <w:rPr>
            <w:webHidden/>
          </w:rPr>
          <w:fldChar w:fldCharType="end"/>
        </w:r>
      </w:hyperlink>
    </w:p>
    <w:p w:rsidR="006171A4" w:rsidRDefault="006D07F5">
      <w:pPr>
        <w:pStyle w:val="TOC2"/>
        <w:tabs>
          <w:tab w:val="left" w:pos="1200"/>
        </w:tabs>
        <w:rPr>
          <w:rFonts w:asciiTheme="minorHAnsi" w:eastAsiaTheme="minorEastAsia" w:hAnsiTheme="minorHAnsi" w:cstheme="minorBidi"/>
          <w:color w:val="auto"/>
          <w:szCs w:val="22"/>
          <w:lang w:eastAsia="en-AU"/>
        </w:rPr>
      </w:pPr>
      <w:hyperlink w:anchor="_Toc425849189" w:history="1">
        <w:r w:rsidR="006171A4" w:rsidRPr="007929E2">
          <w:rPr>
            <w:rStyle w:val="Hyperlink"/>
          </w:rPr>
          <w:t>5.14</w:t>
        </w:r>
        <w:r w:rsidR="006171A4">
          <w:rPr>
            <w:rFonts w:asciiTheme="minorHAnsi" w:eastAsiaTheme="minorEastAsia" w:hAnsiTheme="minorHAnsi" w:cstheme="minorBidi"/>
            <w:color w:val="auto"/>
            <w:szCs w:val="22"/>
            <w:lang w:eastAsia="en-AU"/>
          </w:rPr>
          <w:tab/>
        </w:r>
        <w:r w:rsidR="006171A4" w:rsidRPr="007929E2">
          <w:rPr>
            <w:rStyle w:val="Hyperlink"/>
          </w:rPr>
          <w:t>Hazardous waste landfill facilities</w:t>
        </w:r>
        <w:r w:rsidR="006171A4">
          <w:rPr>
            <w:webHidden/>
          </w:rPr>
          <w:tab/>
        </w:r>
        <w:r>
          <w:rPr>
            <w:webHidden/>
          </w:rPr>
          <w:fldChar w:fldCharType="begin"/>
        </w:r>
        <w:r w:rsidR="006171A4">
          <w:rPr>
            <w:webHidden/>
          </w:rPr>
          <w:instrText xml:space="preserve"> PAGEREF _Toc425849189 \h </w:instrText>
        </w:r>
        <w:r>
          <w:rPr>
            <w:webHidden/>
          </w:rPr>
        </w:r>
        <w:r>
          <w:rPr>
            <w:webHidden/>
          </w:rPr>
          <w:fldChar w:fldCharType="separate"/>
        </w:r>
        <w:r w:rsidR="002F3000">
          <w:rPr>
            <w:webHidden/>
          </w:rPr>
          <w:t>109</w:t>
        </w:r>
        <w:r>
          <w:rPr>
            <w:webHidden/>
          </w:rPr>
          <w:fldChar w:fldCharType="end"/>
        </w:r>
      </w:hyperlink>
    </w:p>
    <w:p w:rsidR="006171A4" w:rsidRDefault="006D07F5">
      <w:pPr>
        <w:pStyle w:val="TOC2"/>
        <w:tabs>
          <w:tab w:val="left" w:pos="1200"/>
        </w:tabs>
        <w:rPr>
          <w:rFonts w:asciiTheme="minorHAnsi" w:eastAsiaTheme="minorEastAsia" w:hAnsiTheme="minorHAnsi" w:cstheme="minorBidi"/>
          <w:color w:val="auto"/>
          <w:szCs w:val="22"/>
          <w:lang w:eastAsia="en-AU"/>
        </w:rPr>
      </w:pPr>
      <w:hyperlink w:anchor="_Toc425849190" w:history="1">
        <w:r w:rsidR="006171A4" w:rsidRPr="007929E2">
          <w:rPr>
            <w:rStyle w:val="Hyperlink"/>
          </w:rPr>
          <w:t>5.15</w:t>
        </w:r>
        <w:r w:rsidR="006171A4">
          <w:rPr>
            <w:rFonts w:asciiTheme="minorHAnsi" w:eastAsiaTheme="minorEastAsia" w:hAnsiTheme="minorHAnsi" w:cstheme="minorBidi"/>
            <w:color w:val="auto"/>
            <w:szCs w:val="22"/>
            <w:lang w:eastAsia="en-AU"/>
          </w:rPr>
          <w:tab/>
        </w:r>
        <w:r w:rsidR="006171A4" w:rsidRPr="007929E2">
          <w:rPr>
            <w:rStyle w:val="Hyperlink"/>
          </w:rPr>
          <w:t>Landfill facilities (NEPM code N, T)</w:t>
        </w:r>
        <w:r w:rsidR="006171A4">
          <w:rPr>
            <w:webHidden/>
          </w:rPr>
          <w:tab/>
        </w:r>
        <w:r>
          <w:rPr>
            <w:webHidden/>
          </w:rPr>
          <w:fldChar w:fldCharType="begin"/>
        </w:r>
        <w:r w:rsidR="006171A4">
          <w:rPr>
            <w:webHidden/>
          </w:rPr>
          <w:instrText xml:space="preserve"> PAGEREF _Toc425849190 \h </w:instrText>
        </w:r>
        <w:r>
          <w:rPr>
            <w:webHidden/>
          </w:rPr>
        </w:r>
        <w:r>
          <w:rPr>
            <w:webHidden/>
          </w:rPr>
          <w:fldChar w:fldCharType="separate"/>
        </w:r>
        <w:r w:rsidR="002F3000">
          <w:rPr>
            <w:webHidden/>
          </w:rPr>
          <w:t>110</w:t>
        </w:r>
        <w:r>
          <w:rPr>
            <w:webHidden/>
          </w:rPr>
          <w:fldChar w:fldCharType="end"/>
        </w:r>
      </w:hyperlink>
    </w:p>
    <w:p w:rsidR="006171A4" w:rsidRDefault="006D07F5">
      <w:pPr>
        <w:pStyle w:val="TOC2"/>
        <w:tabs>
          <w:tab w:val="left" w:pos="1200"/>
        </w:tabs>
        <w:rPr>
          <w:rFonts w:asciiTheme="minorHAnsi" w:eastAsiaTheme="minorEastAsia" w:hAnsiTheme="minorHAnsi" w:cstheme="minorBidi"/>
          <w:color w:val="auto"/>
          <w:szCs w:val="22"/>
          <w:lang w:eastAsia="en-AU"/>
        </w:rPr>
      </w:pPr>
      <w:hyperlink w:anchor="_Toc425849191" w:history="1">
        <w:r w:rsidR="006171A4" w:rsidRPr="007929E2">
          <w:rPr>
            <w:rStyle w:val="Hyperlink"/>
          </w:rPr>
          <w:t>5.16</w:t>
        </w:r>
        <w:r w:rsidR="006171A4">
          <w:rPr>
            <w:rFonts w:asciiTheme="minorHAnsi" w:eastAsiaTheme="minorEastAsia" w:hAnsiTheme="minorHAnsi" w:cstheme="minorBidi"/>
            <w:color w:val="auto"/>
            <w:szCs w:val="22"/>
            <w:lang w:eastAsia="en-AU"/>
          </w:rPr>
          <w:tab/>
        </w:r>
        <w:r w:rsidR="006171A4" w:rsidRPr="007929E2">
          <w:rPr>
            <w:rStyle w:val="Hyperlink"/>
          </w:rPr>
          <w:t>POPs thermal destruction facilities</w:t>
        </w:r>
        <w:r w:rsidR="006171A4">
          <w:rPr>
            <w:webHidden/>
          </w:rPr>
          <w:tab/>
        </w:r>
        <w:r>
          <w:rPr>
            <w:webHidden/>
          </w:rPr>
          <w:fldChar w:fldCharType="begin"/>
        </w:r>
        <w:r w:rsidR="006171A4">
          <w:rPr>
            <w:webHidden/>
          </w:rPr>
          <w:instrText xml:space="preserve"> PAGEREF _Toc425849191 \h </w:instrText>
        </w:r>
        <w:r>
          <w:rPr>
            <w:webHidden/>
          </w:rPr>
        </w:r>
        <w:r>
          <w:rPr>
            <w:webHidden/>
          </w:rPr>
          <w:fldChar w:fldCharType="separate"/>
        </w:r>
        <w:r w:rsidR="002F3000">
          <w:rPr>
            <w:webHidden/>
          </w:rPr>
          <w:t>111</w:t>
        </w:r>
        <w:r>
          <w:rPr>
            <w:webHidden/>
          </w:rPr>
          <w:fldChar w:fldCharType="end"/>
        </w:r>
      </w:hyperlink>
    </w:p>
    <w:p w:rsidR="006171A4" w:rsidRDefault="006D07F5">
      <w:pPr>
        <w:pStyle w:val="TOC2"/>
        <w:tabs>
          <w:tab w:val="left" w:pos="1200"/>
        </w:tabs>
        <w:rPr>
          <w:rFonts w:asciiTheme="minorHAnsi" w:eastAsiaTheme="minorEastAsia" w:hAnsiTheme="minorHAnsi" w:cstheme="minorBidi"/>
          <w:color w:val="auto"/>
          <w:szCs w:val="22"/>
          <w:lang w:eastAsia="en-AU"/>
        </w:rPr>
      </w:pPr>
      <w:hyperlink w:anchor="_Toc425849192" w:history="1">
        <w:r w:rsidR="006171A4" w:rsidRPr="007929E2">
          <w:rPr>
            <w:rStyle w:val="Hyperlink"/>
          </w:rPr>
          <w:t>5.17</w:t>
        </w:r>
        <w:r w:rsidR="006171A4">
          <w:rPr>
            <w:rFonts w:asciiTheme="minorHAnsi" w:eastAsiaTheme="minorEastAsia" w:hAnsiTheme="minorHAnsi" w:cstheme="minorBidi"/>
            <w:color w:val="auto"/>
            <w:szCs w:val="22"/>
            <w:lang w:eastAsia="en-AU"/>
          </w:rPr>
          <w:tab/>
        </w:r>
        <w:r w:rsidR="006171A4" w:rsidRPr="007929E2">
          <w:rPr>
            <w:rStyle w:val="Hyperlink"/>
          </w:rPr>
          <w:t>Clinical waste thermal destruction facilities</w:t>
        </w:r>
        <w:r w:rsidR="006171A4">
          <w:rPr>
            <w:webHidden/>
          </w:rPr>
          <w:tab/>
        </w:r>
        <w:r>
          <w:rPr>
            <w:webHidden/>
          </w:rPr>
          <w:fldChar w:fldCharType="begin"/>
        </w:r>
        <w:r w:rsidR="006171A4">
          <w:rPr>
            <w:webHidden/>
          </w:rPr>
          <w:instrText xml:space="preserve"> PAGEREF _Toc425849192 \h </w:instrText>
        </w:r>
        <w:r>
          <w:rPr>
            <w:webHidden/>
          </w:rPr>
        </w:r>
        <w:r>
          <w:rPr>
            <w:webHidden/>
          </w:rPr>
          <w:fldChar w:fldCharType="separate"/>
        </w:r>
        <w:r w:rsidR="002F3000">
          <w:rPr>
            <w:webHidden/>
          </w:rPr>
          <w:t>112</w:t>
        </w:r>
        <w:r>
          <w:rPr>
            <w:webHidden/>
          </w:rPr>
          <w:fldChar w:fldCharType="end"/>
        </w:r>
      </w:hyperlink>
    </w:p>
    <w:p w:rsidR="006171A4" w:rsidRDefault="006D07F5">
      <w:pPr>
        <w:pStyle w:val="TOC2"/>
        <w:tabs>
          <w:tab w:val="left" w:pos="1200"/>
        </w:tabs>
        <w:rPr>
          <w:rFonts w:asciiTheme="minorHAnsi" w:eastAsiaTheme="minorEastAsia" w:hAnsiTheme="minorHAnsi" w:cstheme="minorBidi"/>
          <w:color w:val="auto"/>
          <w:szCs w:val="22"/>
          <w:lang w:eastAsia="en-AU"/>
        </w:rPr>
      </w:pPr>
      <w:hyperlink w:anchor="_Toc425849193" w:history="1">
        <w:r w:rsidR="006171A4" w:rsidRPr="007929E2">
          <w:rPr>
            <w:rStyle w:val="Hyperlink"/>
          </w:rPr>
          <w:t>5.18</w:t>
        </w:r>
        <w:r w:rsidR="006171A4">
          <w:rPr>
            <w:rFonts w:asciiTheme="minorHAnsi" w:eastAsiaTheme="minorEastAsia" w:hAnsiTheme="minorHAnsi" w:cstheme="minorBidi"/>
            <w:color w:val="auto"/>
            <w:szCs w:val="22"/>
            <w:lang w:eastAsia="en-AU"/>
          </w:rPr>
          <w:tab/>
        </w:r>
        <w:r w:rsidR="006171A4" w:rsidRPr="007929E2">
          <w:rPr>
            <w:rStyle w:val="Hyperlink"/>
          </w:rPr>
          <w:t>Transfer station or temporary storage facilities</w:t>
        </w:r>
        <w:r w:rsidR="006171A4">
          <w:rPr>
            <w:webHidden/>
          </w:rPr>
          <w:tab/>
        </w:r>
        <w:r>
          <w:rPr>
            <w:webHidden/>
          </w:rPr>
          <w:fldChar w:fldCharType="begin"/>
        </w:r>
        <w:r w:rsidR="006171A4">
          <w:rPr>
            <w:webHidden/>
          </w:rPr>
          <w:instrText xml:space="preserve"> PAGEREF _Toc425849193 \h </w:instrText>
        </w:r>
        <w:r>
          <w:rPr>
            <w:webHidden/>
          </w:rPr>
        </w:r>
        <w:r>
          <w:rPr>
            <w:webHidden/>
          </w:rPr>
          <w:fldChar w:fldCharType="separate"/>
        </w:r>
        <w:r w:rsidR="002F3000">
          <w:rPr>
            <w:webHidden/>
          </w:rPr>
          <w:t>112</w:t>
        </w:r>
        <w:r>
          <w:rPr>
            <w:webHidden/>
          </w:rPr>
          <w:fldChar w:fldCharType="end"/>
        </w:r>
      </w:hyperlink>
    </w:p>
    <w:p w:rsidR="006171A4" w:rsidRDefault="006D07F5">
      <w:pPr>
        <w:pStyle w:val="TOC1"/>
        <w:rPr>
          <w:rFonts w:asciiTheme="minorHAnsi" w:eastAsiaTheme="minorEastAsia" w:hAnsiTheme="minorHAnsi" w:cstheme="minorBidi"/>
          <w:b w:val="0"/>
          <w:bCs w:val="0"/>
          <w:color w:val="auto"/>
          <w:sz w:val="22"/>
          <w:szCs w:val="22"/>
          <w:lang w:eastAsia="en-AU"/>
        </w:rPr>
      </w:pPr>
      <w:hyperlink w:anchor="_Toc425849194" w:history="1">
        <w:r w:rsidR="006171A4" w:rsidRPr="007929E2">
          <w:rPr>
            <w:rStyle w:val="Hyperlink"/>
          </w:rPr>
          <w:t>References</w:t>
        </w:r>
        <w:r w:rsidR="006171A4">
          <w:rPr>
            <w:webHidden/>
          </w:rPr>
          <w:tab/>
        </w:r>
        <w:r>
          <w:rPr>
            <w:webHidden/>
          </w:rPr>
          <w:fldChar w:fldCharType="begin"/>
        </w:r>
        <w:r w:rsidR="006171A4">
          <w:rPr>
            <w:webHidden/>
          </w:rPr>
          <w:instrText xml:space="preserve"> PAGEREF _Toc425849194 \h </w:instrText>
        </w:r>
        <w:r>
          <w:rPr>
            <w:webHidden/>
          </w:rPr>
        </w:r>
        <w:r>
          <w:rPr>
            <w:webHidden/>
          </w:rPr>
          <w:fldChar w:fldCharType="separate"/>
        </w:r>
        <w:r w:rsidR="002F3000">
          <w:rPr>
            <w:webHidden/>
          </w:rPr>
          <w:t>113</w:t>
        </w:r>
        <w:r>
          <w:rPr>
            <w:webHidden/>
          </w:rPr>
          <w:fldChar w:fldCharType="end"/>
        </w:r>
      </w:hyperlink>
    </w:p>
    <w:p w:rsidR="00802F70" w:rsidRPr="00816657" w:rsidRDefault="006D07F5" w:rsidP="00457BB8">
      <w:pPr>
        <w:pStyle w:val="TOCHeadings"/>
        <w:rPr>
          <w:noProof/>
        </w:rPr>
      </w:pPr>
      <w:r w:rsidRPr="00816657">
        <w:rPr>
          <w:noProof/>
        </w:rPr>
        <w:fldChar w:fldCharType="end"/>
      </w:r>
      <w:bookmarkStart w:id="5" w:name="TOA"/>
      <w:bookmarkEnd w:id="4"/>
      <w:r w:rsidR="00802F70" w:rsidRPr="00816657">
        <w:rPr>
          <w:noProof/>
        </w:rPr>
        <w:t>Appendices</w:t>
      </w:r>
    </w:p>
    <w:p w:rsidR="006171A4" w:rsidRDefault="006D07F5">
      <w:pPr>
        <w:pStyle w:val="TOC2"/>
        <w:tabs>
          <w:tab w:val="left" w:pos="1134"/>
        </w:tabs>
        <w:rPr>
          <w:rFonts w:asciiTheme="minorHAnsi" w:eastAsiaTheme="minorEastAsia" w:hAnsiTheme="minorHAnsi" w:cstheme="minorBidi"/>
          <w:color w:val="auto"/>
          <w:szCs w:val="22"/>
          <w:lang w:eastAsia="en-AU"/>
        </w:rPr>
      </w:pPr>
      <w:r w:rsidRPr="006D07F5">
        <w:rPr>
          <w:b/>
          <w:bCs/>
          <w:noProof w:val="0"/>
          <w:sz w:val="28"/>
        </w:rPr>
        <w:fldChar w:fldCharType="begin"/>
      </w:r>
      <w:r w:rsidR="00802F70" w:rsidRPr="00816657">
        <w:rPr>
          <w:b/>
          <w:bCs/>
          <w:sz w:val="28"/>
        </w:rPr>
        <w:instrText xml:space="preserve"> TOC \h \z \t "Appendix Heading 1,2" </w:instrText>
      </w:r>
      <w:r w:rsidRPr="006D07F5">
        <w:rPr>
          <w:b/>
          <w:bCs/>
          <w:noProof w:val="0"/>
          <w:sz w:val="28"/>
        </w:rPr>
        <w:fldChar w:fldCharType="separate"/>
      </w:r>
      <w:hyperlink w:anchor="_Toc425849210" w:history="1">
        <w:r w:rsidR="006171A4" w:rsidRPr="007C3763">
          <w:rPr>
            <w:rStyle w:val="Hyperlink"/>
          </w:rPr>
          <w:t>A.1</w:t>
        </w:r>
        <w:r w:rsidR="006171A4">
          <w:rPr>
            <w:rFonts w:asciiTheme="minorHAnsi" w:eastAsiaTheme="minorEastAsia" w:hAnsiTheme="minorHAnsi" w:cstheme="minorBidi"/>
            <w:color w:val="auto"/>
            <w:szCs w:val="22"/>
            <w:lang w:eastAsia="en-AU"/>
          </w:rPr>
          <w:tab/>
        </w:r>
        <w:r w:rsidR="006171A4" w:rsidRPr="007C3763">
          <w:rPr>
            <w:rStyle w:val="Hyperlink"/>
          </w:rPr>
          <w:t>Definition of the waste groups with reference to NEPM codes</w:t>
        </w:r>
        <w:r w:rsidR="006171A4">
          <w:rPr>
            <w:webHidden/>
          </w:rPr>
          <w:tab/>
        </w:r>
        <w:r>
          <w:rPr>
            <w:webHidden/>
          </w:rPr>
          <w:fldChar w:fldCharType="begin"/>
        </w:r>
        <w:r w:rsidR="006171A4">
          <w:rPr>
            <w:webHidden/>
          </w:rPr>
          <w:instrText xml:space="preserve"> PAGEREF _Toc425849210 \h </w:instrText>
        </w:r>
        <w:r>
          <w:rPr>
            <w:webHidden/>
          </w:rPr>
        </w:r>
        <w:r>
          <w:rPr>
            <w:webHidden/>
          </w:rPr>
          <w:fldChar w:fldCharType="separate"/>
        </w:r>
        <w:r w:rsidR="002F3000">
          <w:rPr>
            <w:webHidden/>
          </w:rPr>
          <w:t>118</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211" w:history="1">
        <w:r w:rsidR="006171A4" w:rsidRPr="007C3763">
          <w:rPr>
            <w:rStyle w:val="Hyperlink"/>
          </w:rPr>
          <w:t>A.2</w:t>
        </w:r>
        <w:r w:rsidR="006171A4">
          <w:rPr>
            <w:rFonts w:asciiTheme="minorHAnsi" w:eastAsiaTheme="minorEastAsia" w:hAnsiTheme="minorHAnsi" w:cstheme="minorBidi"/>
            <w:color w:val="auto"/>
            <w:szCs w:val="22"/>
            <w:lang w:eastAsia="en-AU"/>
          </w:rPr>
          <w:tab/>
        </w:r>
        <w:r w:rsidR="006171A4" w:rsidRPr="007C3763">
          <w:rPr>
            <w:rStyle w:val="Hyperlink"/>
          </w:rPr>
          <w:t>Notes from consultation with jurisdictions</w:t>
        </w:r>
        <w:r w:rsidR="006171A4">
          <w:rPr>
            <w:webHidden/>
          </w:rPr>
          <w:tab/>
        </w:r>
        <w:r>
          <w:rPr>
            <w:webHidden/>
          </w:rPr>
          <w:fldChar w:fldCharType="begin"/>
        </w:r>
        <w:r w:rsidR="006171A4">
          <w:rPr>
            <w:webHidden/>
          </w:rPr>
          <w:instrText xml:space="preserve"> PAGEREF _Toc425849211 \h </w:instrText>
        </w:r>
        <w:r>
          <w:rPr>
            <w:webHidden/>
          </w:rPr>
        </w:r>
        <w:r>
          <w:rPr>
            <w:webHidden/>
          </w:rPr>
          <w:fldChar w:fldCharType="separate"/>
        </w:r>
        <w:r w:rsidR="002F3000">
          <w:rPr>
            <w:webHidden/>
          </w:rPr>
          <w:t>121</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212" w:history="1">
        <w:r w:rsidR="006171A4" w:rsidRPr="007C3763">
          <w:rPr>
            <w:rStyle w:val="Hyperlink"/>
          </w:rPr>
          <w:t>A.3</w:t>
        </w:r>
        <w:r w:rsidR="006171A4">
          <w:rPr>
            <w:rFonts w:asciiTheme="minorHAnsi" w:eastAsiaTheme="minorEastAsia" w:hAnsiTheme="minorHAnsi" w:cstheme="minorBidi"/>
            <w:color w:val="auto"/>
            <w:szCs w:val="22"/>
            <w:lang w:eastAsia="en-AU"/>
          </w:rPr>
          <w:tab/>
        </w:r>
        <w:r w:rsidR="006171A4" w:rsidRPr="007C3763">
          <w:rPr>
            <w:rStyle w:val="Hyperlink"/>
          </w:rPr>
          <w:t>Tracking system data challenges</w:t>
        </w:r>
        <w:r w:rsidR="006171A4">
          <w:rPr>
            <w:webHidden/>
          </w:rPr>
          <w:tab/>
        </w:r>
        <w:r>
          <w:rPr>
            <w:webHidden/>
          </w:rPr>
          <w:fldChar w:fldCharType="begin"/>
        </w:r>
        <w:r w:rsidR="006171A4">
          <w:rPr>
            <w:webHidden/>
          </w:rPr>
          <w:instrText xml:space="preserve"> PAGEREF _Toc425849212 \h </w:instrText>
        </w:r>
        <w:r>
          <w:rPr>
            <w:webHidden/>
          </w:rPr>
        </w:r>
        <w:r>
          <w:rPr>
            <w:webHidden/>
          </w:rPr>
          <w:fldChar w:fldCharType="separate"/>
        </w:r>
        <w:r w:rsidR="002F3000">
          <w:rPr>
            <w:webHidden/>
          </w:rPr>
          <w:t>126</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213" w:history="1">
        <w:r w:rsidR="006171A4" w:rsidRPr="007C3763">
          <w:rPr>
            <w:rStyle w:val="Hyperlink"/>
          </w:rPr>
          <w:t>A.4</w:t>
        </w:r>
        <w:r w:rsidR="006171A4">
          <w:rPr>
            <w:rFonts w:asciiTheme="minorHAnsi" w:eastAsiaTheme="minorEastAsia" w:hAnsiTheme="minorHAnsi" w:cstheme="minorBidi"/>
            <w:color w:val="auto"/>
            <w:szCs w:val="22"/>
            <w:lang w:eastAsia="en-AU"/>
          </w:rPr>
          <w:tab/>
        </w:r>
        <w:r w:rsidR="006171A4" w:rsidRPr="007C3763">
          <w:rPr>
            <w:rStyle w:val="Hyperlink"/>
          </w:rPr>
          <w:t>Historical arisings of hazardous waste</w:t>
        </w:r>
        <w:r w:rsidR="006171A4">
          <w:rPr>
            <w:webHidden/>
          </w:rPr>
          <w:tab/>
        </w:r>
        <w:r>
          <w:rPr>
            <w:webHidden/>
          </w:rPr>
          <w:fldChar w:fldCharType="begin"/>
        </w:r>
        <w:r w:rsidR="006171A4">
          <w:rPr>
            <w:webHidden/>
          </w:rPr>
          <w:instrText xml:space="preserve"> PAGEREF _Toc425849213 \h </w:instrText>
        </w:r>
        <w:r>
          <w:rPr>
            <w:webHidden/>
          </w:rPr>
        </w:r>
        <w:r>
          <w:rPr>
            <w:webHidden/>
          </w:rPr>
          <w:fldChar w:fldCharType="separate"/>
        </w:r>
        <w:r w:rsidR="002F3000">
          <w:rPr>
            <w:webHidden/>
          </w:rPr>
          <w:t>132</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214" w:history="1">
        <w:r w:rsidR="006171A4" w:rsidRPr="007C3763">
          <w:rPr>
            <w:rStyle w:val="Hyperlink"/>
          </w:rPr>
          <w:t>A.5</w:t>
        </w:r>
        <w:r w:rsidR="006171A4">
          <w:rPr>
            <w:rFonts w:asciiTheme="minorHAnsi" w:eastAsiaTheme="minorEastAsia" w:hAnsiTheme="minorHAnsi" w:cstheme="minorBidi"/>
            <w:color w:val="auto"/>
            <w:szCs w:val="22"/>
            <w:lang w:eastAsia="en-AU"/>
          </w:rPr>
          <w:tab/>
        </w:r>
        <w:r w:rsidR="006171A4" w:rsidRPr="007C3763">
          <w:rPr>
            <w:rStyle w:val="Hyperlink"/>
          </w:rPr>
          <w:t>‘New Stockholm wastes’ arising</w:t>
        </w:r>
        <w:r w:rsidR="006171A4">
          <w:rPr>
            <w:webHidden/>
          </w:rPr>
          <w:tab/>
        </w:r>
        <w:r>
          <w:rPr>
            <w:webHidden/>
          </w:rPr>
          <w:fldChar w:fldCharType="begin"/>
        </w:r>
        <w:r w:rsidR="006171A4">
          <w:rPr>
            <w:webHidden/>
          </w:rPr>
          <w:instrText xml:space="preserve"> PAGEREF _Toc425849214 \h </w:instrText>
        </w:r>
        <w:r>
          <w:rPr>
            <w:webHidden/>
          </w:rPr>
        </w:r>
        <w:r>
          <w:rPr>
            <w:webHidden/>
          </w:rPr>
          <w:fldChar w:fldCharType="separate"/>
        </w:r>
        <w:r w:rsidR="002F3000">
          <w:rPr>
            <w:webHidden/>
          </w:rPr>
          <w:t>155</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215" w:history="1">
        <w:r w:rsidR="006171A4" w:rsidRPr="007C3763">
          <w:rPr>
            <w:rStyle w:val="Hyperlink"/>
          </w:rPr>
          <w:t>A.6</w:t>
        </w:r>
        <w:r w:rsidR="006171A4">
          <w:rPr>
            <w:rFonts w:asciiTheme="minorHAnsi" w:eastAsiaTheme="minorEastAsia" w:hAnsiTheme="minorHAnsi" w:cstheme="minorBidi"/>
            <w:color w:val="auto"/>
            <w:szCs w:val="22"/>
            <w:lang w:eastAsia="en-AU"/>
          </w:rPr>
          <w:tab/>
        </w:r>
        <w:r w:rsidR="006171A4" w:rsidRPr="007C3763">
          <w:rPr>
            <w:rStyle w:val="Hyperlink"/>
          </w:rPr>
          <w:t>Contaminated biosolids arising</w:t>
        </w:r>
        <w:r w:rsidR="006171A4">
          <w:rPr>
            <w:webHidden/>
          </w:rPr>
          <w:tab/>
        </w:r>
        <w:r>
          <w:rPr>
            <w:webHidden/>
          </w:rPr>
          <w:fldChar w:fldCharType="begin"/>
        </w:r>
        <w:r w:rsidR="006171A4">
          <w:rPr>
            <w:webHidden/>
          </w:rPr>
          <w:instrText xml:space="preserve"> PAGEREF _Toc425849215 \h </w:instrText>
        </w:r>
        <w:r>
          <w:rPr>
            <w:webHidden/>
          </w:rPr>
        </w:r>
        <w:r>
          <w:rPr>
            <w:webHidden/>
          </w:rPr>
          <w:fldChar w:fldCharType="separate"/>
        </w:r>
        <w:r w:rsidR="002F3000">
          <w:rPr>
            <w:webHidden/>
          </w:rPr>
          <w:t>170</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216" w:history="1">
        <w:r w:rsidR="006171A4" w:rsidRPr="007C3763">
          <w:rPr>
            <w:rStyle w:val="Hyperlink"/>
          </w:rPr>
          <w:t>A.7</w:t>
        </w:r>
        <w:r w:rsidR="006171A4">
          <w:rPr>
            <w:rFonts w:asciiTheme="minorHAnsi" w:eastAsiaTheme="minorEastAsia" w:hAnsiTheme="minorHAnsi" w:cstheme="minorBidi"/>
            <w:color w:val="auto"/>
            <w:szCs w:val="22"/>
            <w:lang w:eastAsia="en-AU"/>
          </w:rPr>
          <w:tab/>
        </w:r>
        <w:r w:rsidR="006171A4" w:rsidRPr="007C3763">
          <w:rPr>
            <w:rStyle w:val="Hyperlink"/>
          </w:rPr>
          <w:t>Waste lithium-ion batteries arising</w:t>
        </w:r>
        <w:r w:rsidR="006171A4">
          <w:rPr>
            <w:webHidden/>
          </w:rPr>
          <w:tab/>
        </w:r>
        <w:r>
          <w:rPr>
            <w:webHidden/>
          </w:rPr>
          <w:fldChar w:fldCharType="begin"/>
        </w:r>
        <w:r w:rsidR="006171A4">
          <w:rPr>
            <w:webHidden/>
          </w:rPr>
          <w:instrText xml:space="preserve"> PAGEREF _Toc425849216 \h </w:instrText>
        </w:r>
        <w:r>
          <w:rPr>
            <w:webHidden/>
          </w:rPr>
        </w:r>
        <w:r>
          <w:rPr>
            <w:webHidden/>
          </w:rPr>
          <w:fldChar w:fldCharType="separate"/>
        </w:r>
        <w:r w:rsidR="002F3000">
          <w:rPr>
            <w:webHidden/>
          </w:rPr>
          <w:t>171</w:t>
        </w:r>
        <w:r>
          <w:rPr>
            <w:webHidden/>
          </w:rPr>
          <w:fldChar w:fldCharType="end"/>
        </w:r>
      </w:hyperlink>
    </w:p>
    <w:p w:rsidR="006171A4" w:rsidRDefault="006D07F5">
      <w:pPr>
        <w:pStyle w:val="TOC2"/>
        <w:tabs>
          <w:tab w:val="left" w:pos="1134"/>
        </w:tabs>
        <w:rPr>
          <w:rFonts w:asciiTheme="minorHAnsi" w:eastAsiaTheme="minorEastAsia" w:hAnsiTheme="minorHAnsi" w:cstheme="minorBidi"/>
          <w:color w:val="auto"/>
          <w:szCs w:val="22"/>
          <w:lang w:eastAsia="en-AU"/>
        </w:rPr>
      </w:pPr>
      <w:hyperlink w:anchor="_Toc425849217" w:history="1">
        <w:r w:rsidR="006171A4" w:rsidRPr="007C3763">
          <w:rPr>
            <w:rStyle w:val="Hyperlink"/>
          </w:rPr>
          <w:t>A.8</w:t>
        </w:r>
        <w:r w:rsidR="006171A4">
          <w:rPr>
            <w:rFonts w:asciiTheme="minorHAnsi" w:eastAsiaTheme="minorEastAsia" w:hAnsiTheme="minorHAnsi" w:cstheme="minorBidi"/>
            <w:color w:val="auto"/>
            <w:szCs w:val="22"/>
            <w:lang w:eastAsia="en-AU"/>
          </w:rPr>
          <w:tab/>
        </w:r>
        <w:r w:rsidR="006171A4" w:rsidRPr="007C3763">
          <w:rPr>
            <w:rStyle w:val="Hyperlink"/>
          </w:rPr>
          <w:t>National projected arisings scenarios of hazardous waste by waste group</w:t>
        </w:r>
        <w:r w:rsidR="006171A4">
          <w:rPr>
            <w:webHidden/>
          </w:rPr>
          <w:tab/>
        </w:r>
        <w:r>
          <w:rPr>
            <w:webHidden/>
          </w:rPr>
          <w:fldChar w:fldCharType="begin"/>
        </w:r>
        <w:r w:rsidR="006171A4">
          <w:rPr>
            <w:webHidden/>
          </w:rPr>
          <w:instrText xml:space="preserve"> PAGEREF _Toc425849217 \h </w:instrText>
        </w:r>
        <w:r>
          <w:rPr>
            <w:webHidden/>
          </w:rPr>
        </w:r>
        <w:r>
          <w:rPr>
            <w:webHidden/>
          </w:rPr>
          <w:fldChar w:fldCharType="separate"/>
        </w:r>
        <w:r w:rsidR="002F3000">
          <w:rPr>
            <w:webHidden/>
          </w:rPr>
          <w:t>172</w:t>
        </w:r>
        <w:r>
          <w:rPr>
            <w:webHidden/>
          </w:rPr>
          <w:fldChar w:fldCharType="end"/>
        </w:r>
      </w:hyperlink>
    </w:p>
    <w:p w:rsidR="00C80BF0" w:rsidRDefault="006D07F5" w:rsidP="0001725B">
      <w:pPr>
        <w:rPr>
          <w:noProof/>
        </w:rPr>
      </w:pPr>
      <w:r w:rsidRPr="00816657">
        <w:rPr>
          <w:noProof/>
        </w:rPr>
        <w:fldChar w:fldCharType="end"/>
      </w:r>
      <w:bookmarkStart w:id="6" w:name="TOF"/>
      <w:bookmarkEnd w:id="5"/>
    </w:p>
    <w:p w:rsidR="00802F70" w:rsidRPr="00816657" w:rsidRDefault="00802F70" w:rsidP="00C80BF0">
      <w:pPr>
        <w:pStyle w:val="TOCHeadings"/>
        <w:rPr>
          <w:noProof/>
        </w:rPr>
      </w:pPr>
      <w:r w:rsidRPr="00816657">
        <w:rPr>
          <w:noProof/>
        </w:rPr>
        <w:t>Figures</w:t>
      </w:r>
    </w:p>
    <w:p w:rsidR="006171A4" w:rsidRDefault="006D07F5">
      <w:pPr>
        <w:pStyle w:val="TableofFigures"/>
        <w:rPr>
          <w:rFonts w:eastAsiaTheme="minorEastAsia" w:cstheme="minorBidi"/>
          <w:color w:val="auto"/>
          <w:szCs w:val="22"/>
          <w:lang w:eastAsia="en-AU"/>
        </w:rPr>
      </w:pPr>
      <w:r w:rsidRPr="006D07F5">
        <w:rPr>
          <w:sz w:val="18"/>
        </w:rPr>
        <w:fldChar w:fldCharType="begin"/>
      </w:r>
      <w:r w:rsidR="00802F70" w:rsidRPr="00816657">
        <w:instrText xml:space="preserve"> TOC \h \z \c "Figure" </w:instrText>
      </w:r>
      <w:r w:rsidRPr="006D07F5">
        <w:rPr>
          <w:sz w:val="18"/>
        </w:rPr>
        <w:fldChar w:fldCharType="separate"/>
      </w:r>
      <w:hyperlink w:anchor="_Toc425849219" w:history="1">
        <w:r w:rsidR="006171A4" w:rsidRPr="00AF4855">
          <w:rPr>
            <w:rStyle w:val="Hyperlink"/>
          </w:rPr>
          <w:t xml:space="preserve">Figure 1: </w:t>
        </w:r>
        <w:r w:rsidR="006171A4">
          <w:rPr>
            <w:rFonts w:eastAsiaTheme="minorEastAsia" w:cstheme="minorBidi"/>
            <w:color w:val="auto"/>
            <w:szCs w:val="22"/>
            <w:lang w:eastAsia="en-AU"/>
          </w:rPr>
          <w:tab/>
        </w:r>
        <w:r w:rsidR="006171A4" w:rsidRPr="00AF4855">
          <w:rPr>
            <w:rStyle w:val="Hyperlink"/>
          </w:rPr>
          <w:t>Hierarchy for selecting the primary projection method for waste arising</w:t>
        </w:r>
        <w:r w:rsidR="006171A4">
          <w:rPr>
            <w:webHidden/>
          </w:rPr>
          <w:tab/>
        </w:r>
        <w:r>
          <w:rPr>
            <w:webHidden/>
          </w:rPr>
          <w:fldChar w:fldCharType="begin"/>
        </w:r>
        <w:r w:rsidR="006171A4">
          <w:rPr>
            <w:webHidden/>
          </w:rPr>
          <w:instrText xml:space="preserve"> PAGEREF _Toc425849219 \h </w:instrText>
        </w:r>
        <w:r>
          <w:rPr>
            <w:webHidden/>
          </w:rPr>
        </w:r>
        <w:r>
          <w:rPr>
            <w:webHidden/>
          </w:rPr>
          <w:fldChar w:fldCharType="separate"/>
        </w:r>
        <w:r w:rsidR="002F3000">
          <w:rPr>
            <w:webHidden/>
          </w:rPr>
          <w:t>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20" w:history="1">
        <w:r w:rsidR="006171A4" w:rsidRPr="00AF4855">
          <w:rPr>
            <w:rStyle w:val="Hyperlink"/>
          </w:rPr>
          <w:t xml:space="preserve">Figure 2: </w:t>
        </w:r>
        <w:r w:rsidR="006171A4">
          <w:rPr>
            <w:rFonts w:eastAsiaTheme="minorEastAsia" w:cstheme="minorBidi"/>
            <w:color w:val="auto"/>
            <w:szCs w:val="22"/>
            <w:lang w:eastAsia="en-AU"/>
          </w:rPr>
          <w:tab/>
        </w:r>
        <w:r w:rsidR="006171A4" w:rsidRPr="00AF4855">
          <w:rPr>
            <w:rStyle w:val="Hyperlink"/>
          </w:rPr>
          <w:t>Best estimate of national projections for all hazardous waste to 2034</w:t>
        </w:r>
        <w:r w:rsidR="006171A4">
          <w:rPr>
            <w:webHidden/>
          </w:rPr>
          <w:tab/>
        </w:r>
        <w:r>
          <w:rPr>
            <w:webHidden/>
          </w:rPr>
          <w:fldChar w:fldCharType="begin"/>
        </w:r>
        <w:r w:rsidR="006171A4">
          <w:rPr>
            <w:webHidden/>
          </w:rPr>
          <w:instrText xml:space="preserve"> PAGEREF _Toc425849220 \h </w:instrText>
        </w:r>
        <w:r>
          <w:rPr>
            <w:webHidden/>
          </w:rPr>
        </w:r>
        <w:r>
          <w:rPr>
            <w:webHidden/>
          </w:rPr>
          <w:fldChar w:fldCharType="separate"/>
        </w:r>
        <w:r w:rsidR="002F3000">
          <w:rPr>
            <w:webHidden/>
          </w:rPr>
          <w:t>13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21" w:history="1">
        <w:r w:rsidR="006171A4" w:rsidRPr="00AF4855">
          <w:rPr>
            <w:rStyle w:val="Hyperlink"/>
          </w:rPr>
          <w:t xml:space="preserve">Figure 3: </w:t>
        </w:r>
        <w:r w:rsidR="006171A4">
          <w:rPr>
            <w:rFonts w:eastAsiaTheme="minorEastAsia" w:cstheme="minorBidi"/>
            <w:color w:val="auto"/>
            <w:szCs w:val="22"/>
            <w:lang w:eastAsia="en-AU"/>
          </w:rPr>
          <w:tab/>
        </w:r>
        <w:r w:rsidR="006171A4" w:rsidRPr="00AF4855">
          <w:rPr>
            <w:rStyle w:val="Hyperlink"/>
          </w:rPr>
          <w:t>High estimate of national projections for all hazardous waste to 2034</w:t>
        </w:r>
        <w:r w:rsidR="006171A4">
          <w:rPr>
            <w:webHidden/>
          </w:rPr>
          <w:tab/>
        </w:r>
        <w:r>
          <w:rPr>
            <w:webHidden/>
          </w:rPr>
          <w:fldChar w:fldCharType="begin"/>
        </w:r>
        <w:r w:rsidR="006171A4">
          <w:rPr>
            <w:webHidden/>
          </w:rPr>
          <w:instrText xml:space="preserve"> PAGEREF _Toc425849221 \h </w:instrText>
        </w:r>
        <w:r>
          <w:rPr>
            <w:webHidden/>
          </w:rPr>
        </w:r>
        <w:r>
          <w:rPr>
            <w:webHidden/>
          </w:rPr>
          <w:fldChar w:fldCharType="separate"/>
        </w:r>
        <w:r w:rsidR="002F3000">
          <w:rPr>
            <w:webHidden/>
          </w:rPr>
          <w:t>15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22" w:history="1">
        <w:r w:rsidR="006171A4" w:rsidRPr="00AF4855">
          <w:rPr>
            <w:rStyle w:val="Hyperlink"/>
          </w:rPr>
          <w:t xml:space="preserve">Figure 4: </w:t>
        </w:r>
        <w:r w:rsidR="006171A4">
          <w:rPr>
            <w:rFonts w:eastAsiaTheme="minorEastAsia" w:cstheme="minorBidi"/>
            <w:color w:val="auto"/>
            <w:szCs w:val="22"/>
            <w:lang w:eastAsia="en-AU"/>
          </w:rPr>
          <w:tab/>
        </w:r>
        <w:r w:rsidR="006171A4" w:rsidRPr="00AF4855">
          <w:rPr>
            <w:rStyle w:val="Hyperlink"/>
          </w:rPr>
          <w:t>Low estimate of national projections for all hazardous waste to 2034</w:t>
        </w:r>
        <w:r w:rsidR="006171A4">
          <w:rPr>
            <w:webHidden/>
          </w:rPr>
          <w:tab/>
        </w:r>
        <w:r>
          <w:rPr>
            <w:webHidden/>
          </w:rPr>
          <w:fldChar w:fldCharType="begin"/>
        </w:r>
        <w:r w:rsidR="006171A4">
          <w:rPr>
            <w:webHidden/>
          </w:rPr>
          <w:instrText xml:space="preserve"> PAGEREF _Toc425849222 \h </w:instrText>
        </w:r>
        <w:r>
          <w:rPr>
            <w:webHidden/>
          </w:rPr>
        </w:r>
        <w:r>
          <w:rPr>
            <w:webHidden/>
          </w:rPr>
          <w:fldChar w:fldCharType="separate"/>
        </w:r>
        <w:r w:rsidR="002F3000">
          <w:rPr>
            <w:webHidden/>
          </w:rPr>
          <w:t>15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23" w:history="1">
        <w:r w:rsidR="006171A4" w:rsidRPr="00AF4855">
          <w:rPr>
            <w:rStyle w:val="Hyperlink"/>
          </w:rPr>
          <w:t>Figure 5:</w:t>
        </w:r>
        <w:r w:rsidR="006171A4">
          <w:rPr>
            <w:rFonts w:eastAsiaTheme="minorEastAsia" w:cstheme="minorBidi"/>
            <w:color w:val="auto"/>
            <w:szCs w:val="22"/>
            <w:lang w:eastAsia="en-AU"/>
          </w:rPr>
          <w:tab/>
        </w:r>
        <w:r w:rsidR="006171A4" w:rsidRPr="00AF4855">
          <w:rPr>
            <w:rStyle w:val="Hyperlink"/>
          </w:rPr>
          <w:t>Best, high and low national projection estimates of plating &amp; heat treatment waste to 2034</w:t>
        </w:r>
        <w:r w:rsidR="006171A4">
          <w:rPr>
            <w:webHidden/>
          </w:rPr>
          <w:tab/>
        </w:r>
        <w:r>
          <w:rPr>
            <w:webHidden/>
          </w:rPr>
          <w:fldChar w:fldCharType="begin"/>
        </w:r>
        <w:r w:rsidR="006171A4">
          <w:rPr>
            <w:webHidden/>
          </w:rPr>
          <w:instrText xml:space="preserve"> PAGEREF _Toc425849223 \h </w:instrText>
        </w:r>
        <w:r>
          <w:rPr>
            <w:webHidden/>
          </w:rPr>
        </w:r>
        <w:r>
          <w:rPr>
            <w:webHidden/>
          </w:rPr>
          <w:fldChar w:fldCharType="separate"/>
        </w:r>
        <w:r w:rsidR="002F3000">
          <w:rPr>
            <w:webHidden/>
          </w:rPr>
          <w:t>17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24" w:history="1">
        <w:r w:rsidR="006171A4" w:rsidRPr="00AF4855">
          <w:rPr>
            <w:rStyle w:val="Hyperlink"/>
          </w:rPr>
          <w:t xml:space="preserve">Figure 6: </w:t>
        </w:r>
        <w:r w:rsidR="006171A4">
          <w:rPr>
            <w:rFonts w:eastAsiaTheme="minorEastAsia" w:cstheme="minorBidi"/>
            <w:color w:val="auto"/>
            <w:szCs w:val="22"/>
            <w:lang w:eastAsia="en-AU"/>
          </w:rPr>
          <w:tab/>
        </w:r>
        <w:r w:rsidR="006171A4" w:rsidRPr="00AF4855">
          <w:rPr>
            <w:rStyle w:val="Hyperlink"/>
          </w:rPr>
          <w:t>Best, high and low national projection estimates of acid waste to 2034</w:t>
        </w:r>
        <w:r w:rsidR="006171A4">
          <w:rPr>
            <w:webHidden/>
          </w:rPr>
          <w:tab/>
        </w:r>
        <w:r>
          <w:rPr>
            <w:webHidden/>
          </w:rPr>
          <w:fldChar w:fldCharType="begin"/>
        </w:r>
        <w:r w:rsidR="006171A4">
          <w:rPr>
            <w:webHidden/>
          </w:rPr>
          <w:instrText xml:space="preserve"> PAGEREF _Toc425849224 \h </w:instrText>
        </w:r>
        <w:r>
          <w:rPr>
            <w:webHidden/>
          </w:rPr>
        </w:r>
        <w:r>
          <w:rPr>
            <w:webHidden/>
          </w:rPr>
          <w:fldChar w:fldCharType="separate"/>
        </w:r>
        <w:r w:rsidR="002F3000">
          <w:rPr>
            <w:webHidden/>
          </w:rPr>
          <w:t>18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25" w:history="1">
        <w:r w:rsidR="006171A4" w:rsidRPr="00AF4855">
          <w:rPr>
            <w:rStyle w:val="Hyperlink"/>
          </w:rPr>
          <w:t xml:space="preserve">Figure 7: </w:t>
        </w:r>
        <w:r w:rsidR="006171A4">
          <w:rPr>
            <w:rFonts w:eastAsiaTheme="minorEastAsia" w:cstheme="minorBidi"/>
            <w:color w:val="auto"/>
            <w:szCs w:val="22"/>
            <w:lang w:eastAsia="en-AU"/>
          </w:rPr>
          <w:tab/>
        </w:r>
        <w:r w:rsidR="006171A4" w:rsidRPr="00AF4855">
          <w:rPr>
            <w:rStyle w:val="Hyperlink"/>
          </w:rPr>
          <w:t>Best, high and low national projection estimates of alkalis waste to 2034</w:t>
        </w:r>
        <w:r w:rsidR="006171A4">
          <w:rPr>
            <w:webHidden/>
          </w:rPr>
          <w:tab/>
        </w:r>
        <w:r>
          <w:rPr>
            <w:webHidden/>
          </w:rPr>
          <w:fldChar w:fldCharType="begin"/>
        </w:r>
        <w:r w:rsidR="006171A4">
          <w:rPr>
            <w:webHidden/>
          </w:rPr>
          <w:instrText xml:space="preserve"> PAGEREF _Toc425849225 \h </w:instrText>
        </w:r>
        <w:r>
          <w:rPr>
            <w:webHidden/>
          </w:rPr>
        </w:r>
        <w:r>
          <w:rPr>
            <w:webHidden/>
          </w:rPr>
          <w:fldChar w:fldCharType="separate"/>
        </w:r>
        <w:r w:rsidR="002F3000">
          <w:rPr>
            <w:webHidden/>
          </w:rPr>
          <w:t>19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26" w:history="1">
        <w:r w:rsidR="006171A4" w:rsidRPr="00AF4855">
          <w:rPr>
            <w:rStyle w:val="Hyperlink"/>
          </w:rPr>
          <w:t xml:space="preserve">Figure 8: </w:t>
        </w:r>
        <w:r w:rsidR="006171A4">
          <w:rPr>
            <w:rFonts w:eastAsiaTheme="minorEastAsia" w:cstheme="minorBidi"/>
            <w:color w:val="auto"/>
            <w:szCs w:val="22"/>
            <w:lang w:eastAsia="en-AU"/>
          </w:rPr>
          <w:tab/>
        </w:r>
        <w:r w:rsidR="006171A4" w:rsidRPr="00AF4855">
          <w:rPr>
            <w:rStyle w:val="Hyperlink"/>
          </w:rPr>
          <w:t>Best, high and low national projection estimates of mercury; mercury compounds waste to 2034</w:t>
        </w:r>
        <w:r w:rsidR="006171A4">
          <w:rPr>
            <w:webHidden/>
          </w:rPr>
          <w:tab/>
        </w:r>
        <w:r>
          <w:rPr>
            <w:webHidden/>
          </w:rPr>
          <w:fldChar w:fldCharType="begin"/>
        </w:r>
        <w:r w:rsidR="006171A4">
          <w:rPr>
            <w:webHidden/>
          </w:rPr>
          <w:instrText xml:space="preserve"> PAGEREF _Toc425849226 \h </w:instrText>
        </w:r>
        <w:r>
          <w:rPr>
            <w:webHidden/>
          </w:rPr>
        </w:r>
        <w:r>
          <w:rPr>
            <w:webHidden/>
          </w:rPr>
          <w:fldChar w:fldCharType="separate"/>
        </w:r>
        <w:r w:rsidR="002F3000">
          <w:rPr>
            <w:webHidden/>
          </w:rPr>
          <w:t>20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27" w:history="1">
        <w:r w:rsidR="006171A4" w:rsidRPr="00AF4855">
          <w:rPr>
            <w:rStyle w:val="Hyperlink"/>
          </w:rPr>
          <w:t xml:space="preserve">Figure 9: </w:t>
        </w:r>
        <w:r w:rsidR="006171A4">
          <w:rPr>
            <w:rFonts w:eastAsiaTheme="minorEastAsia" w:cstheme="minorBidi"/>
            <w:color w:val="auto"/>
            <w:szCs w:val="22"/>
            <w:lang w:eastAsia="en-AU"/>
          </w:rPr>
          <w:tab/>
        </w:r>
        <w:r w:rsidR="006171A4" w:rsidRPr="00AF4855">
          <w:rPr>
            <w:rStyle w:val="Hyperlink"/>
          </w:rPr>
          <w:t>Best, high and low national projection estimates of lead; lead compounds waste to 2034</w:t>
        </w:r>
        <w:r w:rsidR="006171A4">
          <w:rPr>
            <w:webHidden/>
          </w:rPr>
          <w:tab/>
        </w:r>
        <w:r>
          <w:rPr>
            <w:webHidden/>
          </w:rPr>
          <w:fldChar w:fldCharType="begin"/>
        </w:r>
        <w:r w:rsidR="006171A4">
          <w:rPr>
            <w:webHidden/>
          </w:rPr>
          <w:instrText xml:space="preserve"> PAGEREF _Toc425849227 \h </w:instrText>
        </w:r>
        <w:r>
          <w:rPr>
            <w:webHidden/>
          </w:rPr>
        </w:r>
        <w:r>
          <w:rPr>
            <w:webHidden/>
          </w:rPr>
          <w:fldChar w:fldCharType="separate"/>
        </w:r>
        <w:r w:rsidR="002F3000">
          <w:rPr>
            <w:webHidden/>
          </w:rPr>
          <w:t>21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28" w:history="1">
        <w:r w:rsidR="006171A4" w:rsidRPr="00AF4855">
          <w:rPr>
            <w:rStyle w:val="Hyperlink"/>
          </w:rPr>
          <w:t xml:space="preserve">Figure 10: </w:t>
        </w:r>
        <w:r w:rsidR="006171A4">
          <w:rPr>
            <w:rFonts w:eastAsiaTheme="minorEastAsia" w:cstheme="minorBidi"/>
            <w:color w:val="auto"/>
            <w:szCs w:val="22"/>
            <w:lang w:eastAsia="en-AU"/>
          </w:rPr>
          <w:tab/>
        </w:r>
        <w:r w:rsidR="006171A4" w:rsidRPr="00AF4855">
          <w:rPr>
            <w:rStyle w:val="Hyperlink"/>
          </w:rPr>
          <w:t>Best, high and low national projection estimates of non-toxic salt waste to 2034</w:t>
        </w:r>
        <w:r w:rsidR="006171A4">
          <w:rPr>
            <w:webHidden/>
          </w:rPr>
          <w:tab/>
        </w:r>
        <w:r>
          <w:rPr>
            <w:webHidden/>
          </w:rPr>
          <w:fldChar w:fldCharType="begin"/>
        </w:r>
        <w:r w:rsidR="006171A4">
          <w:rPr>
            <w:webHidden/>
          </w:rPr>
          <w:instrText xml:space="preserve"> PAGEREF _Toc425849228 \h </w:instrText>
        </w:r>
        <w:r>
          <w:rPr>
            <w:webHidden/>
          </w:rPr>
        </w:r>
        <w:r>
          <w:rPr>
            <w:webHidden/>
          </w:rPr>
          <w:fldChar w:fldCharType="separate"/>
        </w:r>
        <w:r w:rsidR="002F3000">
          <w:rPr>
            <w:webHidden/>
          </w:rPr>
          <w:t>23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29" w:history="1">
        <w:r w:rsidR="006171A4" w:rsidRPr="00AF4855">
          <w:rPr>
            <w:rStyle w:val="Hyperlink"/>
          </w:rPr>
          <w:t xml:space="preserve">Figure 11: </w:t>
        </w:r>
        <w:r w:rsidR="006171A4">
          <w:rPr>
            <w:rFonts w:eastAsiaTheme="minorEastAsia" w:cstheme="minorBidi"/>
            <w:color w:val="auto"/>
            <w:szCs w:val="22"/>
            <w:lang w:eastAsia="en-AU"/>
          </w:rPr>
          <w:tab/>
        </w:r>
        <w:r w:rsidR="006171A4" w:rsidRPr="00AF4855">
          <w:rPr>
            <w:rStyle w:val="Hyperlink"/>
          </w:rPr>
          <w:t>Best, high and low national projection estimates of other inorganic chemical waste to 2034</w:t>
        </w:r>
        <w:r w:rsidR="006171A4">
          <w:rPr>
            <w:webHidden/>
          </w:rPr>
          <w:tab/>
        </w:r>
        <w:r>
          <w:rPr>
            <w:webHidden/>
          </w:rPr>
          <w:fldChar w:fldCharType="begin"/>
        </w:r>
        <w:r w:rsidR="006171A4">
          <w:rPr>
            <w:webHidden/>
          </w:rPr>
          <w:instrText xml:space="preserve"> PAGEREF _Toc425849229 \h </w:instrText>
        </w:r>
        <w:r>
          <w:rPr>
            <w:webHidden/>
          </w:rPr>
        </w:r>
        <w:r>
          <w:rPr>
            <w:webHidden/>
          </w:rPr>
          <w:fldChar w:fldCharType="separate"/>
        </w:r>
        <w:r w:rsidR="002F3000">
          <w:rPr>
            <w:webHidden/>
          </w:rPr>
          <w:t>24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30" w:history="1">
        <w:r w:rsidR="006171A4" w:rsidRPr="00AF4855">
          <w:rPr>
            <w:rStyle w:val="Hyperlink"/>
          </w:rPr>
          <w:t xml:space="preserve">Figure 12: </w:t>
        </w:r>
        <w:r w:rsidR="006171A4">
          <w:rPr>
            <w:rFonts w:eastAsiaTheme="minorEastAsia" w:cstheme="minorBidi"/>
            <w:color w:val="auto"/>
            <w:szCs w:val="22"/>
            <w:lang w:eastAsia="en-AU"/>
          </w:rPr>
          <w:tab/>
        </w:r>
        <w:r w:rsidR="006171A4" w:rsidRPr="00AF4855">
          <w:rPr>
            <w:rStyle w:val="Hyperlink"/>
          </w:rPr>
          <w:t>Best, high and low national projection estimates of reactive chemical waste to 2034</w:t>
        </w:r>
        <w:r w:rsidR="006171A4">
          <w:rPr>
            <w:webHidden/>
          </w:rPr>
          <w:tab/>
        </w:r>
        <w:r>
          <w:rPr>
            <w:webHidden/>
          </w:rPr>
          <w:fldChar w:fldCharType="begin"/>
        </w:r>
        <w:r w:rsidR="006171A4">
          <w:rPr>
            <w:webHidden/>
          </w:rPr>
          <w:instrText xml:space="preserve"> PAGEREF _Toc425849230 \h </w:instrText>
        </w:r>
        <w:r>
          <w:rPr>
            <w:webHidden/>
          </w:rPr>
        </w:r>
        <w:r>
          <w:rPr>
            <w:webHidden/>
          </w:rPr>
          <w:fldChar w:fldCharType="separate"/>
        </w:r>
        <w:r w:rsidR="002F3000">
          <w:rPr>
            <w:webHidden/>
          </w:rPr>
          <w:t>26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31" w:history="1">
        <w:r w:rsidR="006171A4" w:rsidRPr="00AF4855">
          <w:rPr>
            <w:rStyle w:val="Hyperlink"/>
          </w:rPr>
          <w:t xml:space="preserve">Figure 13: </w:t>
        </w:r>
        <w:r w:rsidR="006171A4">
          <w:rPr>
            <w:rFonts w:eastAsiaTheme="minorEastAsia" w:cstheme="minorBidi"/>
            <w:color w:val="auto"/>
            <w:szCs w:val="22"/>
            <w:lang w:eastAsia="en-AU"/>
          </w:rPr>
          <w:tab/>
        </w:r>
        <w:r w:rsidR="006171A4" w:rsidRPr="00AF4855">
          <w:rPr>
            <w:rStyle w:val="Hyperlink"/>
          </w:rPr>
          <w:t>Best, high and low national projection estimates of paints, resins, inks and organic sludge waste to 2034</w:t>
        </w:r>
        <w:r w:rsidR="006171A4">
          <w:rPr>
            <w:webHidden/>
          </w:rPr>
          <w:tab/>
        </w:r>
        <w:r>
          <w:rPr>
            <w:webHidden/>
          </w:rPr>
          <w:fldChar w:fldCharType="begin"/>
        </w:r>
        <w:r w:rsidR="006171A4">
          <w:rPr>
            <w:webHidden/>
          </w:rPr>
          <w:instrText xml:space="preserve"> PAGEREF _Toc425849231 \h </w:instrText>
        </w:r>
        <w:r>
          <w:rPr>
            <w:webHidden/>
          </w:rPr>
        </w:r>
        <w:r>
          <w:rPr>
            <w:webHidden/>
          </w:rPr>
          <w:fldChar w:fldCharType="separate"/>
        </w:r>
        <w:r w:rsidR="002F3000">
          <w:rPr>
            <w:webHidden/>
          </w:rPr>
          <w:t>27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32" w:history="1">
        <w:r w:rsidR="006171A4" w:rsidRPr="00AF4855">
          <w:rPr>
            <w:rStyle w:val="Hyperlink"/>
          </w:rPr>
          <w:t xml:space="preserve">Figure 14: </w:t>
        </w:r>
        <w:r w:rsidR="006171A4">
          <w:rPr>
            <w:rFonts w:eastAsiaTheme="minorEastAsia" w:cstheme="minorBidi"/>
            <w:color w:val="auto"/>
            <w:szCs w:val="22"/>
            <w:lang w:eastAsia="en-AU"/>
          </w:rPr>
          <w:tab/>
        </w:r>
        <w:r w:rsidR="006171A4" w:rsidRPr="00AF4855">
          <w:rPr>
            <w:rStyle w:val="Hyperlink"/>
          </w:rPr>
          <w:t>Best, high and low national projection estimates of organic solvent waste to 2034</w:t>
        </w:r>
        <w:r w:rsidR="006171A4">
          <w:rPr>
            <w:webHidden/>
          </w:rPr>
          <w:tab/>
        </w:r>
        <w:r>
          <w:rPr>
            <w:webHidden/>
          </w:rPr>
          <w:fldChar w:fldCharType="begin"/>
        </w:r>
        <w:r w:rsidR="006171A4">
          <w:rPr>
            <w:webHidden/>
          </w:rPr>
          <w:instrText xml:space="preserve"> PAGEREF _Toc425849232 \h </w:instrText>
        </w:r>
        <w:r>
          <w:rPr>
            <w:webHidden/>
          </w:rPr>
        </w:r>
        <w:r>
          <w:rPr>
            <w:webHidden/>
          </w:rPr>
          <w:fldChar w:fldCharType="separate"/>
        </w:r>
        <w:r w:rsidR="002F3000">
          <w:rPr>
            <w:webHidden/>
          </w:rPr>
          <w:t>28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33" w:history="1">
        <w:r w:rsidR="006171A4" w:rsidRPr="00AF4855">
          <w:rPr>
            <w:rStyle w:val="Hyperlink"/>
          </w:rPr>
          <w:t xml:space="preserve">Figure 15: </w:t>
        </w:r>
        <w:r w:rsidR="006171A4">
          <w:rPr>
            <w:rFonts w:eastAsiaTheme="minorEastAsia" w:cstheme="minorBidi"/>
            <w:color w:val="auto"/>
            <w:szCs w:val="22"/>
            <w:lang w:eastAsia="en-AU"/>
          </w:rPr>
          <w:tab/>
        </w:r>
        <w:r w:rsidR="006171A4" w:rsidRPr="00AF4855">
          <w:rPr>
            <w:rStyle w:val="Hyperlink"/>
          </w:rPr>
          <w:t>Best, high and low national projection estimates of pesticide waste to 2034</w:t>
        </w:r>
        <w:r w:rsidR="006171A4">
          <w:rPr>
            <w:webHidden/>
          </w:rPr>
          <w:tab/>
        </w:r>
        <w:r>
          <w:rPr>
            <w:webHidden/>
          </w:rPr>
          <w:fldChar w:fldCharType="begin"/>
        </w:r>
        <w:r w:rsidR="006171A4">
          <w:rPr>
            <w:webHidden/>
          </w:rPr>
          <w:instrText xml:space="preserve"> PAGEREF _Toc425849233 \h </w:instrText>
        </w:r>
        <w:r>
          <w:rPr>
            <w:webHidden/>
          </w:rPr>
        </w:r>
        <w:r>
          <w:rPr>
            <w:webHidden/>
          </w:rPr>
          <w:fldChar w:fldCharType="separate"/>
        </w:r>
        <w:r w:rsidR="002F3000">
          <w:rPr>
            <w:webHidden/>
          </w:rPr>
          <w:t>29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34" w:history="1">
        <w:r w:rsidR="006171A4" w:rsidRPr="00AF4855">
          <w:rPr>
            <w:rStyle w:val="Hyperlink"/>
          </w:rPr>
          <w:t xml:space="preserve">Figure 16: </w:t>
        </w:r>
        <w:r w:rsidR="006171A4">
          <w:rPr>
            <w:rFonts w:eastAsiaTheme="minorEastAsia" w:cstheme="minorBidi"/>
            <w:color w:val="auto"/>
            <w:szCs w:val="22"/>
            <w:lang w:eastAsia="en-AU"/>
          </w:rPr>
          <w:tab/>
        </w:r>
        <w:r w:rsidR="006171A4" w:rsidRPr="00AF4855">
          <w:rPr>
            <w:rStyle w:val="Hyperlink"/>
          </w:rPr>
          <w:t>Best, high and low national projection estimates of oil waste to 2034</w:t>
        </w:r>
        <w:r w:rsidR="006171A4">
          <w:rPr>
            <w:webHidden/>
          </w:rPr>
          <w:tab/>
        </w:r>
        <w:r>
          <w:rPr>
            <w:webHidden/>
          </w:rPr>
          <w:fldChar w:fldCharType="begin"/>
        </w:r>
        <w:r w:rsidR="006171A4">
          <w:rPr>
            <w:webHidden/>
          </w:rPr>
          <w:instrText xml:space="preserve"> PAGEREF _Toc425849234 \h </w:instrText>
        </w:r>
        <w:r>
          <w:rPr>
            <w:webHidden/>
          </w:rPr>
        </w:r>
        <w:r>
          <w:rPr>
            <w:webHidden/>
          </w:rPr>
          <w:fldChar w:fldCharType="separate"/>
        </w:r>
        <w:r w:rsidR="002F3000">
          <w:rPr>
            <w:webHidden/>
          </w:rPr>
          <w:t>31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35" w:history="1">
        <w:r w:rsidR="006171A4" w:rsidRPr="00AF4855">
          <w:rPr>
            <w:rStyle w:val="Hyperlink"/>
          </w:rPr>
          <w:t xml:space="preserve">Figure 17: </w:t>
        </w:r>
        <w:r w:rsidR="006171A4">
          <w:rPr>
            <w:rFonts w:eastAsiaTheme="minorEastAsia" w:cstheme="minorBidi"/>
            <w:color w:val="auto"/>
            <w:szCs w:val="22"/>
            <w:lang w:eastAsia="en-AU"/>
          </w:rPr>
          <w:tab/>
        </w:r>
        <w:r w:rsidR="006171A4" w:rsidRPr="00AF4855">
          <w:rPr>
            <w:rStyle w:val="Hyperlink"/>
          </w:rPr>
          <w:t>Best, high and low national projection estimates of animal effluent and residue (+ food processing waste) waste to 2034</w:t>
        </w:r>
        <w:r w:rsidR="006171A4">
          <w:rPr>
            <w:webHidden/>
          </w:rPr>
          <w:tab/>
        </w:r>
        <w:r>
          <w:rPr>
            <w:webHidden/>
          </w:rPr>
          <w:fldChar w:fldCharType="begin"/>
        </w:r>
        <w:r w:rsidR="006171A4">
          <w:rPr>
            <w:webHidden/>
          </w:rPr>
          <w:instrText xml:space="preserve"> PAGEREF _Toc425849235 \h </w:instrText>
        </w:r>
        <w:r>
          <w:rPr>
            <w:webHidden/>
          </w:rPr>
        </w:r>
        <w:r>
          <w:rPr>
            <w:webHidden/>
          </w:rPr>
          <w:fldChar w:fldCharType="separate"/>
        </w:r>
        <w:r w:rsidR="002F3000">
          <w:rPr>
            <w:webHidden/>
          </w:rPr>
          <w:t>32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36" w:history="1">
        <w:r w:rsidR="006171A4" w:rsidRPr="00AF4855">
          <w:rPr>
            <w:rStyle w:val="Hyperlink"/>
          </w:rPr>
          <w:t xml:space="preserve">Figure 18: </w:t>
        </w:r>
        <w:r w:rsidR="006171A4">
          <w:rPr>
            <w:rFonts w:eastAsiaTheme="minorEastAsia" w:cstheme="minorBidi"/>
            <w:color w:val="auto"/>
            <w:szCs w:val="22"/>
            <w:lang w:eastAsia="en-AU"/>
          </w:rPr>
          <w:tab/>
        </w:r>
        <w:r w:rsidR="006171A4" w:rsidRPr="00AF4855">
          <w:rPr>
            <w:rStyle w:val="Hyperlink"/>
          </w:rPr>
          <w:t>Best, high and low national projection estimates of grease trap waste to 2034</w:t>
        </w:r>
        <w:r w:rsidR="006171A4">
          <w:rPr>
            <w:webHidden/>
          </w:rPr>
          <w:tab/>
        </w:r>
        <w:r>
          <w:rPr>
            <w:webHidden/>
          </w:rPr>
          <w:fldChar w:fldCharType="begin"/>
        </w:r>
        <w:r w:rsidR="006171A4">
          <w:rPr>
            <w:webHidden/>
          </w:rPr>
          <w:instrText xml:space="preserve"> PAGEREF _Toc425849236 \h </w:instrText>
        </w:r>
        <w:r>
          <w:rPr>
            <w:webHidden/>
          </w:rPr>
        </w:r>
        <w:r>
          <w:rPr>
            <w:webHidden/>
          </w:rPr>
          <w:fldChar w:fldCharType="separate"/>
        </w:r>
        <w:r w:rsidR="002F3000">
          <w:rPr>
            <w:webHidden/>
          </w:rPr>
          <w:t>33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37" w:history="1">
        <w:r w:rsidR="006171A4" w:rsidRPr="00AF4855">
          <w:rPr>
            <w:rStyle w:val="Hyperlink"/>
          </w:rPr>
          <w:t xml:space="preserve">Figure 19: </w:t>
        </w:r>
        <w:r w:rsidR="006171A4">
          <w:rPr>
            <w:rFonts w:eastAsiaTheme="minorEastAsia" w:cstheme="minorBidi"/>
            <w:color w:val="auto"/>
            <w:szCs w:val="22"/>
            <w:lang w:eastAsia="en-AU"/>
          </w:rPr>
          <w:tab/>
        </w:r>
        <w:r w:rsidR="006171A4" w:rsidRPr="00AF4855">
          <w:rPr>
            <w:rStyle w:val="Hyperlink"/>
          </w:rPr>
          <w:t>Best, high and low national projection estimates of tannery and wool scouring waste to 2034</w:t>
        </w:r>
        <w:r w:rsidR="006171A4">
          <w:rPr>
            <w:webHidden/>
          </w:rPr>
          <w:tab/>
        </w:r>
        <w:r>
          <w:rPr>
            <w:webHidden/>
          </w:rPr>
          <w:fldChar w:fldCharType="begin"/>
        </w:r>
        <w:r w:rsidR="006171A4">
          <w:rPr>
            <w:webHidden/>
          </w:rPr>
          <w:instrText xml:space="preserve"> PAGEREF _Toc425849237 \h </w:instrText>
        </w:r>
        <w:r>
          <w:rPr>
            <w:webHidden/>
          </w:rPr>
        </w:r>
        <w:r>
          <w:rPr>
            <w:webHidden/>
          </w:rPr>
          <w:fldChar w:fldCharType="separate"/>
        </w:r>
        <w:r w:rsidR="002F3000">
          <w:rPr>
            <w:webHidden/>
          </w:rPr>
          <w:t>34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38" w:history="1">
        <w:r w:rsidR="006171A4" w:rsidRPr="00AF4855">
          <w:rPr>
            <w:rStyle w:val="Hyperlink"/>
          </w:rPr>
          <w:t xml:space="preserve">Figure 20: </w:t>
        </w:r>
        <w:r w:rsidR="006171A4">
          <w:rPr>
            <w:rFonts w:eastAsiaTheme="minorEastAsia" w:cstheme="minorBidi"/>
            <w:color w:val="auto"/>
            <w:szCs w:val="22"/>
            <w:lang w:eastAsia="en-AU"/>
          </w:rPr>
          <w:tab/>
        </w:r>
        <w:r w:rsidR="006171A4" w:rsidRPr="00AF4855">
          <w:rPr>
            <w:rStyle w:val="Hyperlink"/>
          </w:rPr>
          <w:t>Best, high and low national projection estimates of PFOS waste to 2034</w:t>
        </w:r>
        <w:r w:rsidR="006171A4">
          <w:rPr>
            <w:webHidden/>
          </w:rPr>
          <w:tab/>
        </w:r>
        <w:r>
          <w:rPr>
            <w:webHidden/>
          </w:rPr>
          <w:fldChar w:fldCharType="begin"/>
        </w:r>
        <w:r w:rsidR="006171A4">
          <w:rPr>
            <w:webHidden/>
          </w:rPr>
          <w:instrText xml:space="preserve"> PAGEREF _Toc425849238 \h </w:instrText>
        </w:r>
        <w:r>
          <w:rPr>
            <w:webHidden/>
          </w:rPr>
        </w:r>
        <w:r>
          <w:rPr>
            <w:webHidden/>
          </w:rPr>
          <w:fldChar w:fldCharType="separate"/>
        </w:r>
        <w:r w:rsidR="002F3000">
          <w:rPr>
            <w:webHidden/>
          </w:rPr>
          <w:t>36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39" w:history="1">
        <w:r w:rsidR="006171A4" w:rsidRPr="00AF4855">
          <w:rPr>
            <w:rStyle w:val="Hyperlink"/>
          </w:rPr>
          <w:t xml:space="preserve">Figure 21: </w:t>
        </w:r>
        <w:r w:rsidR="006171A4">
          <w:rPr>
            <w:rFonts w:eastAsiaTheme="minorEastAsia" w:cstheme="minorBidi"/>
            <w:color w:val="auto"/>
            <w:szCs w:val="22"/>
            <w:lang w:eastAsia="en-AU"/>
          </w:rPr>
          <w:tab/>
        </w:r>
        <w:r w:rsidR="006171A4" w:rsidRPr="00AF4855">
          <w:rPr>
            <w:rStyle w:val="Hyperlink"/>
          </w:rPr>
          <w:t>Best, high and low national projection estimates of POP-BDEs waste to 2034</w:t>
        </w:r>
        <w:r w:rsidR="006171A4">
          <w:rPr>
            <w:webHidden/>
          </w:rPr>
          <w:tab/>
        </w:r>
        <w:r>
          <w:rPr>
            <w:webHidden/>
          </w:rPr>
          <w:fldChar w:fldCharType="begin"/>
        </w:r>
        <w:r w:rsidR="006171A4">
          <w:rPr>
            <w:webHidden/>
          </w:rPr>
          <w:instrText xml:space="preserve"> PAGEREF _Toc425849239 \h </w:instrText>
        </w:r>
        <w:r>
          <w:rPr>
            <w:webHidden/>
          </w:rPr>
        </w:r>
        <w:r>
          <w:rPr>
            <w:webHidden/>
          </w:rPr>
          <w:fldChar w:fldCharType="separate"/>
        </w:r>
        <w:r w:rsidR="002F3000">
          <w:rPr>
            <w:webHidden/>
          </w:rPr>
          <w:t>38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40" w:history="1">
        <w:r w:rsidR="006171A4" w:rsidRPr="00AF4855">
          <w:rPr>
            <w:rStyle w:val="Hyperlink"/>
          </w:rPr>
          <w:t xml:space="preserve">Figure 22: </w:t>
        </w:r>
        <w:r w:rsidR="006171A4">
          <w:rPr>
            <w:rFonts w:eastAsiaTheme="minorEastAsia" w:cstheme="minorBidi"/>
            <w:color w:val="auto"/>
            <w:szCs w:val="22"/>
            <w:lang w:eastAsia="en-AU"/>
          </w:rPr>
          <w:tab/>
        </w:r>
        <w:r w:rsidR="006171A4" w:rsidRPr="00AF4855">
          <w:rPr>
            <w:rStyle w:val="Hyperlink"/>
          </w:rPr>
          <w:t>Best, high and low national projection estimates of HBCD waste to 2034</w:t>
        </w:r>
        <w:r w:rsidR="006171A4">
          <w:rPr>
            <w:webHidden/>
          </w:rPr>
          <w:tab/>
        </w:r>
        <w:r>
          <w:rPr>
            <w:webHidden/>
          </w:rPr>
          <w:fldChar w:fldCharType="begin"/>
        </w:r>
        <w:r w:rsidR="006171A4">
          <w:rPr>
            <w:webHidden/>
          </w:rPr>
          <w:instrText xml:space="preserve"> PAGEREF _Toc425849240 \h </w:instrText>
        </w:r>
        <w:r>
          <w:rPr>
            <w:webHidden/>
          </w:rPr>
        </w:r>
        <w:r>
          <w:rPr>
            <w:webHidden/>
          </w:rPr>
          <w:fldChar w:fldCharType="separate"/>
        </w:r>
        <w:r w:rsidR="002F3000">
          <w:rPr>
            <w:webHidden/>
          </w:rPr>
          <w:t>40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41" w:history="1">
        <w:r w:rsidR="006171A4" w:rsidRPr="00AF4855">
          <w:rPr>
            <w:rStyle w:val="Hyperlink"/>
          </w:rPr>
          <w:t xml:space="preserve">Figure 23: </w:t>
        </w:r>
        <w:r w:rsidR="006171A4">
          <w:rPr>
            <w:rFonts w:eastAsiaTheme="minorEastAsia" w:cstheme="minorBidi"/>
            <w:color w:val="auto"/>
            <w:szCs w:val="22"/>
            <w:lang w:eastAsia="en-AU"/>
          </w:rPr>
          <w:tab/>
        </w:r>
        <w:r w:rsidR="006171A4" w:rsidRPr="00AF4855">
          <w:rPr>
            <w:rStyle w:val="Hyperlink"/>
          </w:rPr>
          <w:t>Best, high and low national projection estimates of HCB waste to 2034</w:t>
        </w:r>
        <w:r w:rsidR="006171A4">
          <w:rPr>
            <w:webHidden/>
          </w:rPr>
          <w:tab/>
        </w:r>
        <w:r>
          <w:rPr>
            <w:webHidden/>
          </w:rPr>
          <w:fldChar w:fldCharType="begin"/>
        </w:r>
        <w:r w:rsidR="006171A4">
          <w:rPr>
            <w:webHidden/>
          </w:rPr>
          <w:instrText xml:space="preserve"> PAGEREF _Toc425849241 \h </w:instrText>
        </w:r>
        <w:r>
          <w:rPr>
            <w:webHidden/>
          </w:rPr>
        </w:r>
        <w:r>
          <w:rPr>
            <w:webHidden/>
          </w:rPr>
          <w:fldChar w:fldCharType="separate"/>
        </w:r>
        <w:r w:rsidR="002F3000">
          <w:rPr>
            <w:webHidden/>
          </w:rPr>
          <w:t>41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42" w:history="1">
        <w:r w:rsidR="006171A4" w:rsidRPr="00AF4855">
          <w:rPr>
            <w:rStyle w:val="Hyperlink"/>
          </w:rPr>
          <w:t xml:space="preserve">Figure 24: </w:t>
        </w:r>
        <w:r w:rsidR="006171A4">
          <w:rPr>
            <w:rFonts w:eastAsiaTheme="minorEastAsia" w:cstheme="minorBidi"/>
            <w:color w:val="auto"/>
            <w:szCs w:val="22"/>
            <w:lang w:eastAsia="en-AU"/>
          </w:rPr>
          <w:tab/>
        </w:r>
        <w:r w:rsidR="006171A4" w:rsidRPr="00AF4855">
          <w:rPr>
            <w:rStyle w:val="Hyperlink"/>
          </w:rPr>
          <w:t>Best, high and low national projection estimates of other organic chemical waste to 2034</w:t>
        </w:r>
        <w:r w:rsidR="006171A4">
          <w:rPr>
            <w:webHidden/>
          </w:rPr>
          <w:tab/>
        </w:r>
        <w:r>
          <w:rPr>
            <w:webHidden/>
          </w:rPr>
          <w:fldChar w:fldCharType="begin"/>
        </w:r>
        <w:r w:rsidR="006171A4">
          <w:rPr>
            <w:webHidden/>
          </w:rPr>
          <w:instrText xml:space="preserve"> PAGEREF _Toc425849242 \h </w:instrText>
        </w:r>
        <w:r>
          <w:rPr>
            <w:webHidden/>
          </w:rPr>
        </w:r>
        <w:r>
          <w:rPr>
            <w:webHidden/>
          </w:rPr>
          <w:fldChar w:fldCharType="separate"/>
        </w:r>
        <w:r w:rsidR="002F3000">
          <w:rPr>
            <w:webHidden/>
          </w:rPr>
          <w:t>42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43" w:history="1">
        <w:r w:rsidR="006171A4" w:rsidRPr="00AF4855">
          <w:rPr>
            <w:rStyle w:val="Hyperlink"/>
          </w:rPr>
          <w:t xml:space="preserve">Figure 25: </w:t>
        </w:r>
        <w:r w:rsidR="006171A4">
          <w:rPr>
            <w:rFonts w:eastAsiaTheme="minorEastAsia" w:cstheme="minorBidi"/>
            <w:color w:val="auto"/>
            <w:szCs w:val="22"/>
            <w:lang w:eastAsia="en-AU"/>
          </w:rPr>
          <w:tab/>
        </w:r>
        <w:r w:rsidR="006171A4" w:rsidRPr="00AF4855">
          <w:rPr>
            <w:rStyle w:val="Hyperlink"/>
          </w:rPr>
          <w:t>Best, high and low national projection estimates of contaminated soil waste to 2034</w:t>
        </w:r>
        <w:r w:rsidR="006171A4">
          <w:rPr>
            <w:webHidden/>
          </w:rPr>
          <w:tab/>
        </w:r>
        <w:r>
          <w:rPr>
            <w:webHidden/>
          </w:rPr>
          <w:fldChar w:fldCharType="begin"/>
        </w:r>
        <w:r w:rsidR="006171A4">
          <w:rPr>
            <w:webHidden/>
          </w:rPr>
          <w:instrText xml:space="preserve"> PAGEREF _Toc425849243 \h </w:instrText>
        </w:r>
        <w:r>
          <w:rPr>
            <w:webHidden/>
          </w:rPr>
        </w:r>
        <w:r>
          <w:rPr>
            <w:webHidden/>
          </w:rPr>
          <w:fldChar w:fldCharType="separate"/>
        </w:r>
        <w:r w:rsidR="002F3000">
          <w:rPr>
            <w:webHidden/>
          </w:rPr>
          <w:t>43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44" w:history="1">
        <w:r w:rsidR="006171A4" w:rsidRPr="00AF4855">
          <w:rPr>
            <w:rStyle w:val="Hyperlink"/>
          </w:rPr>
          <w:t xml:space="preserve">Figure 26: </w:t>
        </w:r>
        <w:r w:rsidR="006171A4">
          <w:rPr>
            <w:rFonts w:eastAsiaTheme="minorEastAsia" w:cstheme="minorBidi"/>
            <w:color w:val="auto"/>
            <w:szCs w:val="22"/>
            <w:lang w:eastAsia="en-AU"/>
          </w:rPr>
          <w:tab/>
        </w:r>
        <w:r w:rsidR="006171A4" w:rsidRPr="00AF4855">
          <w:rPr>
            <w:rStyle w:val="Hyperlink"/>
          </w:rPr>
          <w:t>Best, high and low national projection estimates of contaminated biosolids waste to 2034</w:t>
        </w:r>
        <w:r w:rsidR="006171A4">
          <w:rPr>
            <w:webHidden/>
          </w:rPr>
          <w:tab/>
        </w:r>
        <w:r>
          <w:rPr>
            <w:webHidden/>
          </w:rPr>
          <w:fldChar w:fldCharType="begin"/>
        </w:r>
        <w:r w:rsidR="006171A4">
          <w:rPr>
            <w:webHidden/>
          </w:rPr>
          <w:instrText xml:space="preserve"> PAGEREF _Toc425849244 \h </w:instrText>
        </w:r>
        <w:r>
          <w:rPr>
            <w:webHidden/>
          </w:rPr>
        </w:r>
        <w:r>
          <w:rPr>
            <w:webHidden/>
          </w:rPr>
          <w:fldChar w:fldCharType="separate"/>
        </w:r>
        <w:r w:rsidR="002F3000">
          <w:rPr>
            <w:webHidden/>
          </w:rPr>
          <w:t>47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45" w:history="1">
        <w:r w:rsidR="006171A4" w:rsidRPr="00AF4855">
          <w:rPr>
            <w:rStyle w:val="Hyperlink"/>
          </w:rPr>
          <w:t xml:space="preserve">Figure 27: </w:t>
        </w:r>
        <w:r w:rsidR="006171A4">
          <w:rPr>
            <w:rFonts w:eastAsiaTheme="minorEastAsia" w:cstheme="minorBidi"/>
            <w:color w:val="auto"/>
            <w:szCs w:val="22"/>
            <w:lang w:eastAsia="en-AU"/>
          </w:rPr>
          <w:tab/>
        </w:r>
        <w:r w:rsidR="006171A4" w:rsidRPr="00AF4855">
          <w:rPr>
            <w:rStyle w:val="Hyperlink"/>
          </w:rPr>
          <w:t>Best, high and low national projection estimates of other industrial treatment residue waste to 2034</w:t>
        </w:r>
        <w:r w:rsidR="006171A4">
          <w:rPr>
            <w:webHidden/>
          </w:rPr>
          <w:tab/>
        </w:r>
        <w:r>
          <w:rPr>
            <w:webHidden/>
          </w:rPr>
          <w:fldChar w:fldCharType="begin"/>
        </w:r>
        <w:r w:rsidR="006171A4">
          <w:rPr>
            <w:webHidden/>
          </w:rPr>
          <w:instrText xml:space="preserve"> PAGEREF _Toc425849245 \h </w:instrText>
        </w:r>
        <w:r>
          <w:rPr>
            <w:webHidden/>
          </w:rPr>
        </w:r>
        <w:r>
          <w:rPr>
            <w:webHidden/>
          </w:rPr>
          <w:fldChar w:fldCharType="separate"/>
        </w:r>
        <w:r w:rsidR="002F3000">
          <w:rPr>
            <w:webHidden/>
          </w:rPr>
          <w:t>48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46" w:history="1">
        <w:r w:rsidR="006171A4" w:rsidRPr="00AF4855">
          <w:rPr>
            <w:rStyle w:val="Hyperlink"/>
          </w:rPr>
          <w:t xml:space="preserve">Figure 28: </w:t>
        </w:r>
        <w:r w:rsidR="006171A4">
          <w:rPr>
            <w:rFonts w:eastAsiaTheme="minorEastAsia" w:cstheme="minorBidi"/>
            <w:color w:val="auto"/>
            <w:szCs w:val="22"/>
            <w:lang w:eastAsia="en-AU"/>
          </w:rPr>
          <w:tab/>
        </w:r>
        <w:r w:rsidR="006171A4" w:rsidRPr="00AF4855">
          <w:rPr>
            <w:rStyle w:val="Hyperlink"/>
          </w:rPr>
          <w:t>Best, high and low national projection estimates of asbestos waste to 2034</w:t>
        </w:r>
        <w:r w:rsidR="006171A4">
          <w:rPr>
            <w:webHidden/>
          </w:rPr>
          <w:tab/>
        </w:r>
        <w:r>
          <w:rPr>
            <w:webHidden/>
          </w:rPr>
          <w:fldChar w:fldCharType="begin"/>
        </w:r>
        <w:r w:rsidR="006171A4">
          <w:rPr>
            <w:webHidden/>
          </w:rPr>
          <w:instrText xml:space="preserve"> PAGEREF _Toc425849246 \h </w:instrText>
        </w:r>
        <w:r>
          <w:rPr>
            <w:webHidden/>
          </w:rPr>
        </w:r>
        <w:r>
          <w:rPr>
            <w:webHidden/>
          </w:rPr>
          <w:fldChar w:fldCharType="separate"/>
        </w:r>
        <w:r w:rsidR="002F3000">
          <w:rPr>
            <w:webHidden/>
          </w:rPr>
          <w:t>50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47" w:history="1">
        <w:r w:rsidR="006171A4" w:rsidRPr="00AF4855">
          <w:rPr>
            <w:rStyle w:val="Hyperlink"/>
          </w:rPr>
          <w:t xml:space="preserve">Figure 29: </w:t>
        </w:r>
        <w:r w:rsidR="006171A4">
          <w:rPr>
            <w:rFonts w:eastAsiaTheme="minorEastAsia" w:cstheme="minorBidi"/>
            <w:color w:val="auto"/>
            <w:szCs w:val="22"/>
            <w:lang w:eastAsia="en-AU"/>
          </w:rPr>
          <w:tab/>
        </w:r>
        <w:r w:rsidR="006171A4" w:rsidRPr="00AF4855">
          <w:rPr>
            <w:rStyle w:val="Hyperlink"/>
          </w:rPr>
          <w:t>Best, high and low national projection estimates of other soil/sludge waste to 2034</w:t>
        </w:r>
        <w:r w:rsidR="006171A4">
          <w:rPr>
            <w:webHidden/>
          </w:rPr>
          <w:tab/>
        </w:r>
        <w:r>
          <w:rPr>
            <w:webHidden/>
          </w:rPr>
          <w:fldChar w:fldCharType="begin"/>
        </w:r>
        <w:r w:rsidR="006171A4">
          <w:rPr>
            <w:webHidden/>
          </w:rPr>
          <w:instrText xml:space="preserve"> PAGEREF _Toc425849247 \h </w:instrText>
        </w:r>
        <w:r>
          <w:rPr>
            <w:webHidden/>
          </w:rPr>
        </w:r>
        <w:r>
          <w:rPr>
            <w:webHidden/>
          </w:rPr>
          <w:fldChar w:fldCharType="separate"/>
        </w:r>
        <w:r w:rsidR="002F3000">
          <w:rPr>
            <w:webHidden/>
          </w:rPr>
          <w:t>52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48" w:history="1">
        <w:r w:rsidR="006171A4" w:rsidRPr="00AF4855">
          <w:rPr>
            <w:rStyle w:val="Hyperlink"/>
          </w:rPr>
          <w:t xml:space="preserve">Figure 30: </w:t>
        </w:r>
        <w:r w:rsidR="006171A4">
          <w:rPr>
            <w:rFonts w:eastAsiaTheme="minorEastAsia" w:cstheme="minorBidi"/>
            <w:color w:val="auto"/>
            <w:szCs w:val="22"/>
            <w:lang w:eastAsia="en-AU"/>
          </w:rPr>
          <w:tab/>
        </w:r>
        <w:r w:rsidR="006171A4" w:rsidRPr="00AF4855">
          <w:rPr>
            <w:rStyle w:val="Hyperlink"/>
          </w:rPr>
          <w:t>Best, high and low national projection estimates of clinical and pharmaceutical waste to 2034</w:t>
        </w:r>
        <w:r w:rsidR="006171A4">
          <w:rPr>
            <w:webHidden/>
          </w:rPr>
          <w:tab/>
        </w:r>
        <w:r>
          <w:rPr>
            <w:webHidden/>
          </w:rPr>
          <w:fldChar w:fldCharType="begin"/>
        </w:r>
        <w:r w:rsidR="006171A4">
          <w:rPr>
            <w:webHidden/>
          </w:rPr>
          <w:instrText xml:space="preserve"> PAGEREF _Toc425849248 \h </w:instrText>
        </w:r>
        <w:r>
          <w:rPr>
            <w:webHidden/>
          </w:rPr>
        </w:r>
        <w:r>
          <w:rPr>
            <w:webHidden/>
          </w:rPr>
          <w:fldChar w:fldCharType="separate"/>
        </w:r>
        <w:r w:rsidR="002F3000">
          <w:rPr>
            <w:webHidden/>
          </w:rPr>
          <w:t>53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49" w:history="1">
        <w:r w:rsidR="006171A4" w:rsidRPr="00AF4855">
          <w:rPr>
            <w:rStyle w:val="Hyperlink"/>
          </w:rPr>
          <w:t xml:space="preserve">Figure 31: </w:t>
        </w:r>
        <w:r w:rsidR="006171A4">
          <w:rPr>
            <w:rFonts w:eastAsiaTheme="minorEastAsia" w:cstheme="minorBidi"/>
            <w:color w:val="auto"/>
            <w:szCs w:val="22"/>
            <w:lang w:eastAsia="en-AU"/>
          </w:rPr>
          <w:tab/>
        </w:r>
        <w:r w:rsidR="006171A4" w:rsidRPr="00AF4855">
          <w:rPr>
            <w:rStyle w:val="Hyperlink"/>
          </w:rPr>
          <w:t>Best, high and low national projection estimates of tyre waste to 2034</w:t>
        </w:r>
        <w:r w:rsidR="006171A4">
          <w:rPr>
            <w:webHidden/>
          </w:rPr>
          <w:tab/>
        </w:r>
        <w:r>
          <w:rPr>
            <w:webHidden/>
          </w:rPr>
          <w:fldChar w:fldCharType="begin"/>
        </w:r>
        <w:r w:rsidR="006171A4">
          <w:rPr>
            <w:webHidden/>
          </w:rPr>
          <w:instrText xml:space="preserve"> PAGEREF _Toc425849249 \h </w:instrText>
        </w:r>
        <w:r>
          <w:rPr>
            <w:webHidden/>
          </w:rPr>
        </w:r>
        <w:r>
          <w:rPr>
            <w:webHidden/>
          </w:rPr>
          <w:fldChar w:fldCharType="separate"/>
        </w:r>
        <w:r w:rsidR="002F3000">
          <w:rPr>
            <w:webHidden/>
          </w:rPr>
          <w:t>54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50" w:history="1">
        <w:r w:rsidR="006171A4" w:rsidRPr="00AF4855">
          <w:rPr>
            <w:rStyle w:val="Hyperlink"/>
          </w:rPr>
          <w:t xml:space="preserve">Figure 32: </w:t>
        </w:r>
        <w:r w:rsidR="006171A4">
          <w:rPr>
            <w:rFonts w:eastAsiaTheme="minorEastAsia" w:cstheme="minorBidi"/>
            <w:color w:val="auto"/>
            <w:szCs w:val="22"/>
            <w:lang w:eastAsia="en-AU"/>
          </w:rPr>
          <w:tab/>
        </w:r>
        <w:r w:rsidR="006171A4" w:rsidRPr="00AF4855">
          <w:rPr>
            <w:rStyle w:val="Hyperlink"/>
          </w:rPr>
          <w:t>Best, high and low national projection estimates of other miscellaneous waste to 2034</w:t>
        </w:r>
        <w:r w:rsidR="006171A4">
          <w:rPr>
            <w:webHidden/>
          </w:rPr>
          <w:tab/>
        </w:r>
        <w:r>
          <w:rPr>
            <w:webHidden/>
          </w:rPr>
          <w:fldChar w:fldCharType="begin"/>
        </w:r>
        <w:r w:rsidR="006171A4">
          <w:rPr>
            <w:webHidden/>
          </w:rPr>
          <w:instrText xml:space="preserve"> PAGEREF _Toc425849250 \h </w:instrText>
        </w:r>
        <w:r>
          <w:rPr>
            <w:webHidden/>
          </w:rPr>
        </w:r>
        <w:r>
          <w:rPr>
            <w:webHidden/>
          </w:rPr>
          <w:fldChar w:fldCharType="separate"/>
        </w:r>
        <w:r w:rsidR="002F3000">
          <w:rPr>
            <w:webHidden/>
          </w:rPr>
          <w:t>55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51" w:history="1">
        <w:r w:rsidR="006171A4" w:rsidRPr="00AF4855">
          <w:rPr>
            <w:rStyle w:val="Hyperlink"/>
          </w:rPr>
          <w:t xml:space="preserve">Figure 33: </w:t>
        </w:r>
        <w:r w:rsidR="006171A4">
          <w:rPr>
            <w:rFonts w:eastAsiaTheme="minorEastAsia" w:cstheme="minorBidi"/>
            <w:color w:val="auto"/>
            <w:szCs w:val="22"/>
            <w:lang w:eastAsia="en-AU"/>
          </w:rPr>
          <w:tab/>
        </w:r>
        <w:r w:rsidR="006171A4" w:rsidRPr="00AF4855">
          <w:rPr>
            <w:rStyle w:val="Hyperlink"/>
          </w:rPr>
          <w:t>Best, high and low national projection estimates of lithium-ion battery waste to 2034</w:t>
        </w:r>
        <w:r w:rsidR="006171A4">
          <w:rPr>
            <w:webHidden/>
          </w:rPr>
          <w:tab/>
        </w:r>
        <w:r>
          <w:rPr>
            <w:webHidden/>
          </w:rPr>
          <w:fldChar w:fldCharType="begin"/>
        </w:r>
        <w:r w:rsidR="006171A4">
          <w:rPr>
            <w:webHidden/>
          </w:rPr>
          <w:instrText xml:space="preserve"> PAGEREF _Toc425849251 \h </w:instrText>
        </w:r>
        <w:r>
          <w:rPr>
            <w:webHidden/>
          </w:rPr>
        </w:r>
        <w:r>
          <w:rPr>
            <w:webHidden/>
          </w:rPr>
          <w:fldChar w:fldCharType="separate"/>
        </w:r>
        <w:r w:rsidR="002F3000">
          <w:rPr>
            <w:webHidden/>
          </w:rPr>
          <w:t>57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52" w:history="1">
        <w:r w:rsidR="006171A4" w:rsidRPr="00AF4855">
          <w:rPr>
            <w:rStyle w:val="Hyperlink"/>
          </w:rPr>
          <w:t>Figure 34:</w:t>
        </w:r>
        <w:r w:rsidR="006171A4">
          <w:rPr>
            <w:rFonts w:eastAsiaTheme="minorEastAsia" w:cstheme="minorBidi"/>
            <w:color w:val="auto"/>
            <w:szCs w:val="22"/>
            <w:lang w:eastAsia="en-AU"/>
          </w:rPr>
          <w:tab/>
        </w:r>
        <w:r w:rsidR="006171A4" w:rsidRPr="00AF4855">
          <w:rPr>
            <w:rStyle w:val="Hyperlink"/>
          </w:rPr>
          <w:t>The fate of tracked hazardous waste in NSW, Qld and Vic, 2012-13 (tonnes)</w:t>
        </w:r>
        <w:r w:rsidR="006171A4">
          <w:rPr>
            <w:webHidden/>
          </w:rPr>
          <w:tab/>
        </w:r>
        <w:r>
          <w:rPr>
            <w:webHidden/>
          </w:rPr>
          <w:fldChar w:fldCharType="begin"/>
        </w:r>
        <w:r w:rsidR="006171A4">
          <w:rPr>
            <w:webHidden/>
          </w:rPr>
          <w:instrText xml:space="preserve"> PAGEREF _Toc425849252 \h </w:instrText>
        </w:r>
        <w:r>
          <w:rPr>
            <w:webHidden/>
          </w:rPr>
        </w:r>
        <w:r>
          <w:rPr>
            <w:webHidden/>
          </w:rPr>
          <w:fldChar w:fldCharType="separate"/>
        </w:r>
        <w:r w:rsidR="002F3000">
          <w:rPr>
            <w:webHidden/>
          </w:rPr>
          <w:t>58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53" w:history="1">
        <w:r w:rsidR="006171A4" w:rsidRPr="00AF4855">
          <w:rPr>
            <w:rStyle w:val="Hyperlink"/>
          </w:rPr>
          <w:t>Figure 35:</w:t>
        </w:r>
        <w:r w:rsidR="006171A4">
          <w:rPr>
            <w:rFonts w:eastAsiaTheme="minorEastAsia" w:cstheme="minorBidi"/>
            <w:color w:val="auto"/>
            <w:szCs w:val="22"/>
            <w:lang w:eastAsia="en-AU"/>
          </w:rPr>
          <w:tab/>
        </w:r>
        <w:r w:rsidR="006171A4" w:rsidRPr="00AF4855">
          <w:rPr>
            <w:rStyle w:val="Hyperlink"/>
          </w:rPr>
          <w:t>The fate of tracked hazardous waste in NSW, Qld and Vic, 2012-13 (percentages)</w:t>
        </w:r>
        <w:r w:rsidR="006171A4">
          <w:rPr>
            <w:webHidden/>
          </w:rPr>
          <w:tab/>
        </w:r>
        <w:r>
          <w:rPr>
            <w:webHidden/>
          </w:rPr>
          <w:fldChar w:fldCharType="begin"/>
        </w:r>
        <w:r w:rsidR="006171A4">
          <w:rPr>
            <w:webHidden/>
          </w:rPr>
          <w:instrText xml:space="preserve"> PAGEREF _Toc425849253 \h </w:instrText>
        </w:r>
        <w:r>
          <w:rPr>
            <w:webHidden/>
          </w:rPr>
        </w:r>
        <w:r>
          <w:rPr>
            <w:webHidden/>
          </w:rPr>
          <w:fldChar w:fldCharType="separate"/>
        </w:r>
        <w:r w:rsidR="002F3000">
          <w:rPr>
            <w:webHidden/>
          </w:rPr>
          <w:t>60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54" w:history="1">
        <w:r w:rsidR="006171A4" w:rsidRPr="00AF4855">
          <w:rPr>
            <w:rStyle w:val="Hyperlink"/>
          </w:rPr>
          <w:t>Figure 36:</w:t>
        </w:r>
        <w:r w:rsidR="006171A4">
          <w:rPr>
            <w:rFonts w:eastAsiaTheme="minorEastAsia" w:cstheme="minorBidi"/>
            <w:color w:val="auto"/>
            <w:szCs w:val="22"/>
            <w:lang w:eastAsia="en-AU"/>
          </w:rPr>
          <w:tab/>
        </w:r>
        <w:r w:rsidR="006171A4" w:rsidRPr="00AF4855">
          <w:rPr>
            <w:rStyle w:val="Hyperlink"/>
          </w:rPr>
          <w:t>The fate of tracked hazardous waste in NSW, 2012-13 (percentages)</w:t>
        </w:r>
        <w:r w:rsidR="006171A4">
          <w:rPr>
            <w:webHidden/>
          </w:rPr>
          <w:tab/>
        </w:r>
        <w:r>
          <w:rPr>
            <w:webHidden/>
          </w:rPr>
          <w:fldChar w:fldCharType="begin"/>
        </w:r>
        <w:r w:rsidR="006171A4">
          <w:rPr>
            <w:webHidden/>
          </w:rPr>
          <w:instrText xml:space="preserve"> PAGEREF _Toc425849254 \h </w:instrText>
        </w:r>
        <w:r>
          <w:rPr>
            <w:webHidden/>
          </w:rPr>
        </w:r>
        <w:r>
          <w:rPr>
            <w:webHidden/>
          </w:rPr>
          <w:fldChar w:fldCharType="separate"/>
        </w:r>
        <w:r w:rsidR="002F3000">
          <w:rPr>
            <w:webHidden/>
          </w:rPr>
          <w:t>61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55" w:history="1">
        <w:r w:rsidR="006171A4" w:rsidRPr="00AF4855">
          <w:rPr>
            <w:rStyle w:val="Hyperlink"/>
          </w:rPr>
          <w:t>Figure 37:</w:t>
        </w:r>
        <w:r w:rsidR="006171A4">
          <w:rPr>
            <w:rFonts w:eastAsiaTheme="minorEastAsia" w:cstheme="minorBidi"/>
            <w:color w:val="auto"/>
            <w:szCs w:val="22"/>
            <w:lang w:eastAsia="en-AU"/>
          </w:rPr>
          <w:tab/>
        </w:r>
        <w:r w:rsidR="006171A4" w:rsidRPr="00AF4855">
          <w:rPr>
            <w:rStyle w:val="Hyperlink"/>
          </w:rPr>
          <w:t>The fate of tracked hazardous waste in Qld, 2012-13 (percentages)</w:t>
        </w:r>
        <w:r w:rsidR="006171A4">
          <w:rPr>
            <w:webHidden/>
          </w:rPr>
          <w:tab/>
        </w:r>
        <w:r>
          <w:rPr>
            <w:webHidden/>
          </w:rPr>
          <w:fldChar w:fldCharType="begin"/>
        </w:r>
        <w:r w:rsidR="006171A4">
          <w:rPr>
            <w:webHidden/>
          </w:rPr>
          <w:instrText xml:space="preserve"> PAGEREF _Toc425849255 \h </w:instrText>
        </w:r>
        <w:r>
          <w:rPr>
            <w:webHidden/>
          </w:rPr>
        </w:r>
        <w:r>
          <w:rPr>
            <w:webHidden/>
          </w:rPr>
          <w:fldChar w:fldCharType="separate"/>
        </w:r>
        <w:r w:rsidR="002F3000">
          <w:rPr>
            <w:webHidden/>
          </w:rPr>
          <w:t>62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56" w:history="1">
        <w:r w:rsidR="006171A4" w:rsidRPr="00AF4855">
          <w:rPr>
            <w:rStyle w:val="Hyperlink"/>
          </w:rPr>
          <w:t>Figure 38:</w:t>
        </w:r>
        <w:r w:rsidR="006171A4">
          <w:rPr>
            <w:rFonts w:eastAsiaTheme="minorEastAsia" w:cstheme="minorBidi"/>
            <w:color w:val="auto"/>
            <w:szCs w:val="22"/>
            <w:lang w:eastAsia="en-AU"/>
          </w:rPr>
          <w:tab/>
        </w:r>
        <w:r w:rsidR="006171A4" w:rsidRPr="00AF4855">
          <w:rPr>
            <w:rStyle w:val="Hyperlink"/>
          </w:rPr>
          <w:t>The fate of tracked hazardous waste in Vic, 2012-13 (percentages)</w:t>
        </w:r>
        <w:r w:rsidR="006171A4">
          <w:rPr>
            <w:webHidden/>
          </w:rPr>
          <w:tab/>
        </w:r>
        <w:r>
          <w:rPr>
            <w:webHidden/>
          </w:rPr>
          <w:fldChar w:fldCharType="begin"/>
        </w:r>
        <w:r w:rsidR="006171A4">
          <w:rPr>
            <w:webHidden/>
          </w:rPr>
          <w:instrText xml:space="preserve"> PAGEREF _Toc425849256 \h </w:instrText>
        </w:r>
        <w:r>
          <w:rPr>
            <w:webHidden/>
          </w:rPr>
        </w:r>
        <w:r>
          <w:rPr>
            <w:webHidden/>
          </w:rPr>
          <w:fldChar w:fldCharType="separate"/>
        </w:r>
        <w:r w:rsidR="002F3000">
          <w:rPr>
            <w:webHidden/>
          </w:rPr>
          <w:t>62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57" w:history="1">
        <w:r w:rsidR="006171A4" w:rsidRPr="00AF4855">
          <w:rPr>
            <w:rStyle w:val="Hyperlink"/>
          </w:rPr>
          <w:t>Figure 39:</w:t>
        </w:r>
        <w:r w:rsidR="006171A4">
          <w:rPr>
            <w:rFonts w:eastAsiaTheme="minorEastAsia" w:cstheme="minorBidi"/>
            <w:color w:val="auto"/>
            <w:szCs w:val="22"/>
            <w:lang w:eastAsia="en-AU"/>
          </w:rPr>
          <w:tab/>
        </w:r>
        <w:r w:rsidR="006171A4" w:rsidRPr="00AF4855">
          <w:rPr>
            <w:rStyle w:val="Hyperlink"/>
          </w:rPr>
          <w:t>Hazardous waste groups arisings, coverage in capacity database, and extent of assessment</w:t>
        </w:r>
        <w:r w:rsidR="006171A4">
          <w:rPr>
            <w:webHidden/>
          </w:rPr>
          <w:tab/>
        </w:r>
        <w:r>
          <w:rPr>
            <w:webHidden/>
          </w:rPr>
          <w:fldChar w:fldCharType="begin"/>
        </w:r>
        <w:r w:rsidR="006171A4">
          <w:rPr>
            <w:webHidden/>
          </w:rPr>
          <w:instrText xml:space="preserve"> PAGEREF _Toc425849257 \h </w:instrText>
        </w:r>
        <w:r>
          <w:rPr>
            <w:webHidden/>
          </w:rPr>
        </w:r>
        <w:r>
          <w:rPr>
            <w:webHidden/>
          </w:rPr>
          <w:fldChar w:fldCharType="separate"/>
        </w:r>
        <w:r w:rsidR="002F3000">
          <w:rPr>
            <w:webHidden/>
          </w:rPr>
          <w:t>82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58" w:history="1">
        <w:r w:rsidR="006171A4" w:rsidRPr="00AF4855">
          <w:rPr>
            <w:rStyle w:val="Hyperlink"/>
          </w:rPr>
          <w:t>Figure 40:</w:t>
        </w:r>
        <w:r w:rsidR="006171A4">
          <w:rPr>
            <w:rFonts w:eastAsiaTheme="minorEastAsia" w:cstheme="minorBidi"/>
            <w:color w:val="auto"/>
            <w:szCs w:val="22"/>
            <w:lang w:eastAsia="en-AU"/>
          </w:rPr>
          <w:tab/>
        </w:r>
        <w:r w:rsidR="006171A4" w:rsidRPr="00AF4855">
          <w:rPr>
            <w:rStyle w:val="Hyperlink"/>
          </w:rPr>
          <w:t>Proportions of waste groups sent to infrastructure that has full (green), limited (yellow) or no coverage (red) in the infrastructure capacity database</w:t>
        </w:r>
        <w:r w:rsidR="006171A4">
          <w:rPr>
            <w:webHidden/>
          </w:rPr>
          <w:tab/>
        </w:r>
        <w:r>
          <w:rPr>
            <w:webHidden/>
          </w:rPr>
          <w:fldChar w:fldCharType="begin"/>
        </w:r>
        <w:r w:rsidR="006171A4">
          <w:rPr>
            <w:webHidden/>
          </w:rPr>
          <w:instrText xml:space="preserve"> PAGEREF _Toc425849258 \h </w:instrText>
        </w:r>
        <w:r>
          <w:rPr>
            <w:webHidden/>
          </w:rPr>
        </w:r>
        <w:r>
          <w:rPr>
            <w:webHidden/>
          </w:rPr>
          <w:fldChar w:fldCharType="separate"/>
        </w:r>
        <w:r w:rsidR="002F3000">
          <w:rPr>
            <w:webHidden/>
          </w:rPr>
          <w:t>84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59" w:history="1">
        <w:r w:rsidR="006171A4" w:rsidRPr="00AF4855">
          <w:rPr>
            <w:rStyle w:val="Hyperlink"/>
          </w:rPr>
          <w:t>Figure 41:</w:t>
        </w:r>
        <w:r w:rsidR="006171A4">
          <w:rPr>
            <w:rFonts w:eastAsiaTheme="minorEastAsia" w:cstheme="minorBidi"/>
            <w:color w:val="auto"/>
            <w:szCs w:val="22"/>
            <w:lang w:eastAsia="en-AU"/>
          </w:rPr>
          <w:tab/>
        </w:r>
        <w:r w:rsidR="006171A4" w:rsidRPr="00AF4855">
          <w:rPr>
            <w:rStyle w:val="Hyperlink"/>
          </w:rPr>
          <w:t>NEPM 2012-13 total imports and exports by jurisdiction</w:t>
        </w:r>
        <w:r w:rsidR="006171A4">
          <w:rPr>
            <w:webHidden/>
          </w:rPr>
          <w:tab/>
        </w:r>
        <w:r>
          <w:rPr>
            <w:webHidden/>
          </w:rPr>
          <w:fldChar w:fldCharType="begin"/>
        </w:r>
        <w:r w:rsidR="006171A4">
          <w:rPr>
            <w:webHidden/>
          </w:rPr>
          <w:instrText xml:space="preserve"> PAGEREF _Toc425849259 \h </w:instrText>
        </w:r>
        <w:r>
          <w:rPr>
            <w:webHidden/>
          </w:rPr>
        </w:r>
        <w:r>
          <w:rPr>
            <w:webHidden/>
          </w:rPr>
          <w:fldChar w:fldCharType="separate"/>
        </w:r>
        <w:r w:rsidR="002F3000">
          <w:rPr>
            <w:webHidden/>
          </w:rPr>
          <w:t>95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60" w:history="1">
        <w:r w:rsidR="006171A4" w:rsidRPr="00AF4855">
          <w:rPr>
            <w:rStyle w:val="Hyperlink"/>
          </w:rPr>
          <w:t xml:space="preserve">Figure 42: </w:t>
        </w:r>
        <w:r w:rsidR="006171A4">
          <w:rPr>
            <w:rFonts w:eastAsiaTheme="minorEastAsia" w:cstheme="minorBidi"/>
            <w:color w:val="auto"/>
            <w:szCs w:val="22"/>
            <w:lang w:eastAsia="en-AU"/>
          </w:rPr>
          <w:tab/>
        </w:r>
        <w:r w:rsidR="006171A4" w:rsidRPr="00AF4855">
          <w:rPr>
            <w:rStyle w:val="Hyperlink"/>
          </w:rPr>
          <w:t>Jurisdictional tracking by NEPM 75 analysis</w:t>
        </w:r>
        <w:r w:rsidR="006171A4">
          <w:rPr>
            <w:webHidden/>
          </w:rPr>
          <w:tab/>
        </w:r>
        <w:r>
          <w:rPr>
            <w:webHidden/>
          </w:rPr>
          <w:fldChar w:fldCharType="begin"/>
        </w:r>
        <w:r w:rsidR="006171A4">
          <w:rPr>
            <w:webHidden/>
          </w:rPr>
          <w:instrText xml:space="preserve"> PAGEREF _Toc425849260 \h </w:instrText>
        </w:r>
        <w:r>
          <w:rPr>
            <w:webHidden/>
          </w:rPr>
        </w:r>
        <w:r>
          <w:rPr>
            <w:webHidden/>
          </w:rPr>
          <w:fldChar w:fldCharType="separate"/>
        </w:r>
        <w:r w:rsidR="002F3000">
          <w:rPr>
            <w:webHidden/>
          </w:rPr>
          <w:t>127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61" w:history="1">
        <w:r w:rsidR="006171A4" w:rsidRPr="00AF4855">
          <w:rPr>
            <w:rStyle w:val="Hyperlink"/>
          </w:rPr>
          <w:t xml:space="preserve">Figure 43: </w:t>
        </w:r>
        <w:r w:rsidR="006171A4">
          <w:rPr>
            <w:rFonts w:eastAsiaTheme="minorEastAsia" w:cstheme="minorBidi"/>
            <w:color w:val="auto"/>
            <w:szCs w:val="22"/>
            <w:lang w:eastAsia="en-AU"/>
          </w:rPr>
          <w:tab/>
        </w:r>
        <w:r w:rsidR="006171A4" w:rsidRPr="00AF4855">
          <w:rPr>
            <w:rStyle w:val="Hyperlink"/>
          </w:rPr>
          <w:t>Process flow diagram for assessing the representativeness of baseline data points and correcting those considered not representative</w:t>
        </w:r>
        <w:r w:rsidR="006171A4">
          <w:rPr>
            <w:webHidden/>
          </w:rPr>
          <w:tab/>
        </w:r>
        <w:r>
          <w:rPr>
            <w:webHidden/>
          </w:rPr>
          <w:fldChar w:fldCharType="begin"/>
        </w:r>
        <w:r w:rsidR="006171A4">
          <w:rPr>
            <w:webHidden/>
          </w:rPr>
          <w:instrText xml:space="preserve"> PAGEREF _Toc425849261 \h </w:instrText>
        </w:r>
        <w:r>
          <w:rPr>
            <w:webHidden/>
          </w:rPr>
        </w:r>
        <w:r>
          <w:rPr>
            <w:webHidden/>
          </w:rPr>
          <w:fldChar w:fldCharType="separate"/>
        </w:r>
        <w:r w:rsidR="002F3000">
          <w:rPr>
            <w:webHidden/>
          </w:rPr>
          <w:t>130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62" w:history="1">
        <w:r w:rsidR="006171A4" w:rsidRPr="00AF4855">
          <w:rPr>
            <w:rStyle w:val="Hyperlink"/>
          </w:rPr>
          <w:t xml:space="preserve">Figure 44: </w:t>
        </w:r>
        <w:r w:rsidR="006171A4">
          <w:rPr>
            <w:rFonts w:eastAsiaTheme="minorEastAsia" w:cstheme="minorBidi"/>
            <w:color w:val="auto"/>
            <w:szCs w:val="22"/>
            <w:lang w:eastAsia="en-AU"/>
          </w:rPr>
          <w:tab/>
        </w:r>
        <w:r w:rsidR="006171A4" w:rsidRPr="00AF4855">
          <w:rPr>
            <w:rStyle w:val="Hyperlink"/>
          </w:rPr>
          <w:t>Historical arisings of plating and heat treatment waste</w:t>
        </w:r>
        <w:r w:rsidR="006171A4">
          <w:rPr>
            <w:webHidden/>
          </w:rPr>
          <w:tab/>
        </w:r>
        <w:r>
          <w:rPr>
            <w:webHidden/>
          </w:rPr>
          <w:fldChar w:fldCharType="begin"/>
        </w:r>
        <w:r w:rsidR="006171A4">
          <w:rPr>
            <w:webHidden/>
          </w:rPr>
          <w:instrText xml:space="preserve"> PAGEREF _Toc425849262 \h </w:instrText>
        </w:r>
        <w:r>
          <w:rPr>
            <w:webHidden/>
          </w:rPr>
        </w:r>
        <w:r>
          <w:rPr>
            <w:webHidden/>
          </w:rPr>
          <w:fldChar w:fldCharType="separate"/>
        </w:r>
        <w:r w:rsidR="002F3000">
          <w:rPr>
            <w:webHidden/>
          </w:rPr>
          <w:t>132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63" w:history="1">
        <w:r w:rsidR="006171A4" w:rsidRPr="00AF4855">
          <w:rPr>
            <w:rStyle w:val="Hyperlink"/>
          </w:rPr>
          <w:t xml:space="preserve">Figure 45: </w:t>
        </w:r>
        <w:r w:rsidR="006171A4">
          <w:rPr>
            <w:rFonts w:eastAsiaTheme="minorEastAsia" w:cstheme="minorBidi"/>
            <w:color w:val="auto"/>
            <w:szCs w:val="22"/>
            <w:lang w:eastAsia="en-AU"/>
          </w:rPr>
          <w:tab/>
        </w:r>
        <w:r w:rsidR="006171A4" w:rsidRPr="00AF4855">
          <w:rPr>
            <w:rStyle w:val="Hyperlink"/>
          </w:rPr>
          <w:t>Historical arisings of acids waste</w:t>
        </w:r>
        <w:r w:rsidR="006171A4">
          <w:rPr>
            <w:webHidden/>
          </w:rPr>
          <w:tab/>
        </w:r>
        <w:r>
          <w:rPr>
            <w:webHidden/>
          </w:rPr>
          <w:fldChar w:fldCharType="begin"/>
        </w:r>
        <w:r w:rsidR="006171A4">
          <w:rPr>
            <w:webHidden/>
          </w:rPr>
          <w:instrText xml:space="preserve"> PAGEREF _Toc425849263 \h </w:instrText>
        </w:r>
        <w:r>
          <w:rPr>
            <w:webHidden/>
          </w:rPr>
        </w:r>
        <w:r>
          <w:rPr>
            <w:webHidden/>
          </w:rPr>
          <w:fldChar w:fldCharType="separate"/>
        </w:r>
        <w:r w:rsidR="002F3000">
          <w:rPr>
            <w:webHidden/>
          </w:rPr>
          <w:t>133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64" w:history="1">
        <w:r w:rsidR="006171A4" w:rsidRPr="00AF4855">
          <w:rPr>
            <w:rStyle w:val="Hyperlink"/>
          </w:rPr>
          <w:t xml:space="preserve">Figure 46: </w:t>
        </w:r>
        <w:r w:rsidR="006171A4">
          <w:rPr>
            <w:rFonts w:eastAsiaTheme="minorEastAsia" w:cstheme="minorBidi"/>
            <w:color w:val="auto"/>
            <w:szCs w:val="22"/>
            <w:lang w:eastAsia="en-AU"/>
          </w:rPr>
          <w:tab/>
        </w:r>
        <w:r w:rsidR="006171A4" w:rsidRPr="00AF4855">
          <w:rPr>
            <w:rStyle w:val="Hyperlink"/>
          </w:rPr>
          <w:t>Historical arisings of alkalis waste</w:t>
        </w:r>
        <w:r w:rsidR="006171A4">
          <w:rPr>
            <w:webHidden/>
          </w:rPr>
          <w:tab/>
        </w:r>
        <w:r>
          <w:rPr>
            <w:webHidden/>
          </w:rPr>
          <w:fldChar w:fldCharType="begin"/>
        </w:r>
        <w:r w:rsidR="006171A4">
          <w:rPr>
            <w:webHidden/>
          </w:rPr>
          <w:instrText xml:space="preserve"> PAGEREF _Toc425849264 \h </w:instrText>
        </w:r>
        <w:r>
          <w:rPr>
            <w:webHidden/>
          </w:rPr>
        </w:r>
        <w:r>
          <w:rPr>
            <w:webHidden/>
          </w:rPr>
          <w:fldChar w:fldCharType="separate"/>
        </w:r>
        <w:r w:rsidR="002F3000">
          <w:rPr>
            <w:webHidden/>
          </w:rPr>
          <w:t>134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65" w:history="1">
        <w:r w:rsidR="006171A4" w:rsidRPr="00AF4855">
          <w:rPr>
            <w:rStyle w:val="Hyperlink"/>
          </w:rPr>
          <w:t xml:space="preserve">Figure 47: </w:t>
        </w:r>
        <w:r w:rsidR="006171A4">
          <w:rPr>
            <w:rFonts w:eastAsiaTheme="minorEastAsia" w:cstheme="minorBidi"/>
            <w:color w:val="auto"/>
            <w:szCs w:val="22"/>
            <w:lang w:eastAsia="en-AU"/>
          </w:rPr>
          <w:tab/>
        </w:r>
        <w:r w:rsidR="006171A4" w:rsidRPr="00AF4855">
          <w:rPr>
            <w:rStyle w:val="Hyperlink"/>
          </w:rPr>
          <w:t>Historical arisings of mercury; mercury compounds waste</w:t>
        </w:r>
        <w:r w:rsidR="006171A4">
          <w:rPr>
            <w:webHidden/>
          </w:rPr>
          <w:tab/>
        </w:r>
        <w:r>
          <w:rPr>
            <w:webHidden/>
          </w:rPr>
          <w:fldChar w:fldCharType="begin"/>
        </w:r>
        <w:r w:rsidR="006171A4">
          <w:rPr>
            <w:webHidden/>
          </w:rPr>
          <w:instrText xml:space="preserve"> PAGEREF _Toc425849265 \h </w:instrText>
        </w:r>
        <w:r>
          <w:rPr>
            <w:webHidden/>
          </w:rPr>
        </w:r>
        <w:r>
          <w:rPr>
            <w:webHidden/>
          </w:rPr>
          <w:fldChar w:fldCharType="separate"/>
        </w:r>
        <w:r w:rsidR="002F3000">
          <w:rPr>
            <w:webHidden/>
          </w:rPr>
          <w:t>135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66" w:history="1">
        <w:r w:rsidR="006171A4" w:rsidRPr="00AF4855">
          <w:rPr>
            <w:rStyle w:val="Hyperlink"/>
          </w:rPr>
          <w:t xml:space="preserve">Figure 48: </w:t>
        </w:r>
        <w:r w:rsidR="006171A4">
          <w:rPr>
            <w:rFonts w:eastAsiaTheme="minorEastAsia" w:cstheme="minorBidi"/>
            <w:color w:val="auto"/>
            <w:szCs w:val="22"/>
            <w:lang w:eastAsia="en-AU"/>
          </w:rPr>
          <w:tab/>
        </w:r>
        <w:r w:rsidR="006171A4" w:rsidRPr="00AF4855">
          <w:rPr>
            <w:rStyle w:val="Hyperlink"/>
          </w:rPr>
          <w:t>Historical arisings of lead; lead compounds waste</w:t>
        </w:r>
        <w:r w:rsidR="006171A4">
          <w:rPr>
            <w:webHidden/>
          </w:rPr>
          <w:tab/>
        </w:r>
        <w:r>
          <w:rPr>
            <w:webHidden/>
          </w:rPr>
          <w:fldChar w:fldCharType="begin"/>
        </w:r>
        <w:r w:rsidR="006171A4">
          <w:rPr>
            <w:webHidden/>
          </w:rPr>
          <w:instrText xml:space="preserve"> PAGEREF _Toc425849266 \h </w:instrText>
        </w:r>
        <w:r>
          <w:rPr>
            <w:webHidden/>
          </w:rPr>
        </w:r>
        <w:r>
          <w:rPr>
            <w:webHidden/>
          </w:rPr>
          <w:fldChar w:fldCharType="separate"/>
        </w:r>
        <w:r w:rsidR="002F3000">
          <w:rPr>
            <w:webHidden/>
          </w:rPr>
          <w:t>136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67" w:history="1">
        <w:r w:rsidR="006171A4" w:rsidRPr="00AF4855">
          <w:rPr>
            <w:rStyle w:val="Hyperlink"/>
          </w:rPr>
          <w:t xml:space="preserve">Figure 49: </w:t>
        </w:r>
        <w:r w:rsidR="006171A4">
          <w:rPr>
            <w:rFonts w:eastAsiaTheme="minorEastAsia" w:cstheme="minorBidi"/>
            <w:color w:val="auto"/>
            <w:szCs w:val="22"/>
            <w:lang w:eastAsia="en-AU"/>
          </w:rPr>
          <w:tab/>
        </w:r>
        <w:r w:rsidR="006171A4" w:rsidRPr="00AF4855">
          <w:rPr>
            <w:rStyle w:val="Hyperlink"/>
          </w:rPr>
          <w:t>Historical arisings of non-toxic salts waste</w:t>
        </w:r>
        <w:r w:rsidR="006171A4">
          <w:rPr>
            <w:webHidden/>
          </w:rPr>
          <w:tab/>
        </w:r>
        <w:r>
          <w:rPr>
            <w:webHidden/>
          </w:rPr>
          <w:fldChar w:fldCharType="begin"/>
        </w:r>
        <w:r w:rsidR="006171A4">
          <w:rPr>
            <w:webHidden/>
          </w:rPr>
          <w:instrText xml:space="preserve"> PAGEREF _Toc425849267 \h </w:instrText>
        </w:r>
        <w:r>
          <w:rPr>
            <w:webHidden/>
          </w:rPr>
        </w:r>
        <w:r>
          <w:rPr>
            <w:webHidden/>
          </w:rPr>
          <w:fldChar w:fldCharType="separate"/>
        </w:r>
        <w:r w:rsidR="002F3000">
          <w:rPr>
            <w:webHidden/>
          </w:rPr>
          <w:t>137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68" w:history="1">
        <w:r w:rsidR="006171A4" w:rsidRPr="00AF4855">
          <w:rPr>
            <w:rStyle w:val="Hyperlink"/>
          </w:rPr>
          <w:t xml:space="preserve">Figure 50: </w:t>
        </w:r>
        <w:r w:rsidR="006171A4">
          <w:rPr>
            <w:rFonts w:eastAsiaTheme="minorEastAsia" w:cstheme="minorBidi"/>
            <w:color w:val="auto"/>
            <w:szCs w:val="22"/>
            <w:lang w:eastAsia="en-AU"/>
          </w:rPr>
          <w:tab/>
        </w:r>
        <w:r w:rsidR="006171A4" w:rsidRPr="00AF4855">
          <w:rPr>
            <w:rStyle w:val="Hyperlink"/>
          </w:rPr>
          <w:t>Historical arisings of other inorganic chemical waste</w:t>
        </w:r>
        <w:r w:rsidR="006171A4">
          <w:rPr>
            <w:webHidden/>
          </w:rPr>
          <w:tab/>
        </w:r>
        <w:r>
          <w:rPr>
            <w:webHidden/>
          </w:rPr>
          <w:fldChar w:fldCharType="begin"/>
        </w:r>
        <w:r w:rsidR="006171A4">
          <w:rPr>
            <w:webHidden/>
          </w:rPr>
          <w:instrText xml:space="preserve"> PAGEREF _Toc425849268 \h </w:instrText>
        </w:r>
        <w:r>
          <w:rPr>
            <w:webHidden/>
          </w:rPr>
        </w:r>
        <w:r>
          <w:rPr>
            <w:webHidden/>
          </w:rPr>
          <w:fldChar w:fldCharType="separate"/>
        </w:r>
        <w:r w:rsidR="002F3000">
          <w:rPr>
            <w:webHidden/>
          </w:rPr>
          <w:t>138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69" w:history="1">
        <w:r w:rsidR="006171A4" w:rsidRPr="00AF4855">
          <w:rPr>
            <w:rStyle w:val="Hyperlink"/>
          </w:rPr>
          <w:t xml:space="preserve">Figure 51: </w:t>
        </w:r>
        <w:r w:rsidR="006171A4">
          <w:rPr>
            <w:rFonts w:eastAsiaTheme="minorEastAsia" w:cstheme="minorBidi"/>
            <w:color w:val="auto"/>
            <w:szCs w:val="22"/>
            <w:lang w:eastAsia="en-AU"/>
          </w:rPr>
          <w:tab/>
        </w:r>
        <w:r w:rsidR="006171A4" w:rsidRPr="00AF4855">
          <w:rPr>
            <w:rStyle w:val="Hyperlink"/>
          </w:rPr>
          <w:t>Historical arisings of reactive chemicals waste</w:t>
        </w:r>
        <w:r w:rsidR="006171A4">
          <w:rPr>
            <w:webHidden/>
          </w:rPr>
          <w:tab/>
        </w:r>
        <w:r>
          <w:rPr>
            <w:webHidden/>
          </w:rPr>
          <w:fldChar w:fldCharType="begin"/>
        </w:r>
        <w:r w:rsidR="006171A4">
          <w:rPr>
            <w:webHidden/>
          </w:rPr>
          <w:instrText xml:space="preserve"> PAGEREF _Toc425849269 \h </w:instrText>
        </w:r>
        <w:r>
          <w:rPr>
            <w:webHidden/>
          </w:rPr>
        </w:r>
        <w:r>
          <w:rPr>
            <w:webHidden/>
          </w:rPr>
          <w:fldChar w:fldCharType="separate"/>
        </w:r>
        <w:r w:rsidR="002F3000">
          <w:rPr>
            <w:webHidden/>
          </w:rPr>
          <w:t>139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70" w:history="1">
        <w:r w:rsidR="006171A4" w:rsidRPr="00AF4855">
          <w:rPr>
            <w:rStyle w:val="Hyperlink"/>
          </w:rPr>
          <w:t xml:space="preserve">Figure 52: </w:t>
        </w:r>
        <w:r w:rsidR="006171A4">
          <w:rPr>
            <w:rFonts w:eastAsiaTheme="minorEastAsia" w:cstheme="minorBidi"/>
            <w:color w:val="auto"/>
            <w:szCs w:val="22"/>
            <w:lang w:eastAsia="en-AU"/>
          </w:rPr>
          <w:tab/>
        </w:r>
        <w:r w:rsidR="006171A4" w:rsidRPr="00AF4855">
          <w:rPr>
            <w:rStyle w:val="Hyperlink"/>
          </w:rPr>
          <w:t>Historical arisings of paints, resins, inks, organic sludge waste</w:t>
        </w:r>
        <w:r w:rsidR="006171A4">
          <w:rPr>
            <w:webHidden/>
          </w:rPr>
          <w:tab/>
        </w:r>
        <w:r>
          <w:rPr>
            <w:webHidden/>
          </w:rPr>
          <w:fldChar w:fldCharType="begin"/>
        </w:r>
        <w:r w:rsidR="006171A4">
          <w:rPr>
            <w:webHidden/>
          </w:rPr>
          <w:instrText xml:space="preserve"> PAGEREF _Toc425849270 \h </w:instrText>
        </w:r>
        <w:r>
          <w:rPr>
            <w:webHidden/>
          </w:rPr>
        </w:r>
        <w:r>
          <w:rPr>
            <w:webHidden/>
          </w:rPr>
          <w:fldChar w:fldCharType="separate"/>
        </w:r>
        <w:r w:rsidR="002F3000">
          <w:rPr>
            <w:webHidden/>
          </w:rPr>
          <w:t>140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71" w:history="1">
        <w:r w:rsidR="006171A4" w:rsidRPr="00AF4855">
          <w:rPr>
            <w:rStyle w:val="Hyperlink"/>
          </w:rPr>
          <w:t xml:space="preserve">Figure 53: </w:t>
        </w:r>
        <w:r w:rsidR="006171A4">
          <w:rPr>
            <w:rFonts w:eastAsiaTheme="minorEastAsia" w:cstheme="minorBidi"/>
            <w:color w:val="auto"/>
            <w:szCs w:val="22"/>
            <w:lang w:eastAsia="en-AU"/>
          </w:rPr>
          <w:tab/>
        </w:r>
        <w:r w:rsidR="006171A4" w:rsidRPr="00AF4855">
          <w:rPr>
            <w:rStyle w:val="Hyperlink"/>
          </w:rPr>
          <w:t>Historical arisings of organic solvent waste</w:t>
        </w:r>
        <w:r w:rsidR="006171A4">
          <w:rPr>
            <w:webHidden/>
          </w:rPr>
          <w:tab/>
        </w:r>
        <w:r>
          <w:rPr>
            <w:webHidden/>
          </w:rPr>
          <w:fldChar w:fldCharType="begin"/>
        </w:r>
        <w:r w:rsidR="006171A4">
          <w:rPr>
            <w:webHidden/>
          </w:rPr>
          <w:instrText xml:space="preserve"> PAGEREF _Toc425849271 \h </w:instrText>
        </w:r>
        <w:r>
          <w:rPr>
            <w:webHidden/>
          </w:rPr>
        </w:r>
        <w:r>
          <w:rPr>
            <w:webHidden/>
          </w:rPr>
          <w:fldChar w:fldCharType="separate"/>
        </w:r>
        <w:r w:rsidR="002F3000">
          <w:rPr>
            <w:webHidden/>
          </w:rPr>
          <w:t>141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72" w:history="1">
        <w:r w:rsidR="006171A4" w:rsidRPr="00AF4855">
          <w:rPr>
            <w:rStyle w:val="Hyperlink"/>
          </w:rPr>
          <w:t xml:space="preserve">Figure 54: </w:t>
        </w:r>
        <w:r w:rsidR="006171A4">
          <w:rPr>
            <w:rFonts w:eastAsiaTheme="minorEastAsia" w:cstheme="minorBidi"/>
            <w:color w:val="auto"/>
            <w:szCs w:val="22"/>
            <w:lang w:eastAsia="en-AU"/>
          </w:rPr>
          <w:tab/>
        </w:r>
        <w:r w:rsidR="006171A4" w:rsidRPr="00AF4855">
          <w:rPr>
            <w:rStyle w:val="Hyperlink"/>
          </w:rPr>
          <w:t>Historical arisings of pesticide waste</w:t>
        </w:r>
        <w:r w:rsidR="006171A4">
          <w:rPr>
            <w:webHidden/>
          </w:rPr>
          <w:tab/>
        </w:r>
        <w:r>
          <w:rPr>
            <w:webHidden/>
          </w:rPr>
          <w:fldChar w:fldCharType="begin"/>
        </w:r>
        <w:r w:rsidR="006171A4">
          <w:rPr>
            <w:webHidden/>
          </w:rPr>
          <w:instrText xml:space="preserve"> PAGEREF _Toc425849272 \h </w:instrText>
        </w:r>
        <w:r>
          <w:rPr>
            <w:webHidden/>
          </w:rPr>
        </w:r>
        <w:r>
          <w:rPr>
            <w:webHidden/>
          </w:rPr>
          <w:fldChar w:fldCharType="separate"/>
        </w:r>
        <w:r w:rsidR="002F3000">
          <w:rPr>
            <w:webHidden/>
          </w:rPr>
          <w:t>142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73" w:history="1">
        <w:r w:rsidR="006171A4" w:rsidRPr="00AF4855">
          <w:rPr>
            <w:rStyle w:val="Hyperlink"/>
          </w:rPr>
          <w:t xml:space="preserve">Figure 55: </w:t>
        </w:r>
        <w:r w:rsidR="006171A4">
          <w:rPr>
            <w:rFonts w:eastAsiaTheme="minorEastAsia" w:cstheme="minorBidi"/>
            <w:color w:val="auto"/>
            <w:szCs w:val="22"/>
            <w:lang w:eastAsia="en-AU"/>
          </w:rPr>
          <w:tab/>
        </w:r>
        <w:r w:rsidR="006171A4" w:rsidRPr="00AF4855">
          <w:rPr>
            <w:rStyle w:val="Hyperlink"/>
          </w:rPr>
          <w:t>Historical arisings of Oil waste</w:t>
        </w:r>
        <w:r w:rsidR="006171A4">
          <w:rPr>
            <w:webHidden/>
          </w:rPr>
          <w:tab/>
        </w:r>
        <w:r>
          <w:rPr>
            <w:webHidden/>
          </w:rPr>
          <w:fldChar w:fldCharType="begin"/>
        </w:r>
        <w:r w:rsidR="006171A4">
          <w:rPr>
            <w:webHidden/>
          </w:rPr>
          <w:instrText xml:space="preserve"> PAGEREF _Toc425849273 \h </w:instrText>
        </w:r>
        <w:r>
          <w:rPr>
            <w:webHidden/>
          </w:rPr>
        </w:r>
        <w:r>
          <w:rPr>
            <w:webHidden/>
          </w:rPr>
          <w:fldChar w:fldCharType="separate"/>
        </w:r>
        <w:r w:rsidR="002F3000">
          <w:rPr>
            <w:webHidden/>
          </w:rPr>
          <w:t>143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74" w:history="1">
        <w:r w:rsidR="006171A4" w:rsidRPr="00AF4855">
          <w:rPr>
            <w:rStyle w:val="Hyperlink"/>
          </w:rPr>
          <w:t xml:space="preserve">Figure 56: </w:t>
        </w:r>
        <w:r w:rsidR="006171A4">
          <w:rPr>
            <w:rFonts w:eastAsiaTheme="minorEastAsia" w:cstheme="minorBidi"/>
            <w:color w:val="auto"/>
            <w:szCs w:val="22"/>
            <w:lang w:eastAsia="en-AU"/>
          </w:rPr>
          <w:tab/>
        </w:r>
        <w:r w:rsidR="006171A4" w:rsidRPr="00AF4855">
          <w:rPr>
            <w:rStyle w:val="Hyperlink"/>
          </w:rPr>
          <w:t>Historical arisings of animal effluent and residues (+ food processing waste) waste</w:t>
        </w:r>
        <w:r w:rsidR="006171A4">
          <w:rPr>
            <w:webHidden/>
          </w:rPr>
          <w:tab/>
        </w:r>
        <w:r>
          <w:rPr>
            <w:webHidden/>
          </w:rPr>
          <w:fldChar w:fldCharType="begin"/>
        </w:r>
        <w:r w:rsidR="006171A4">
          <w:rPr>
            <w:webHidden/>
          </w:rPr>
          <w:instrText xml:space="preserve"> PAGEREF _Toc425849274 \h </w:instrText>
        </w:r>
        <w:r>
          <w:rPr>
            <w:webHidden/>
          </w:rPr>
        </w:r>
        <w:r>
          <w:rPr>
            <w:webHidden/>
          </w:rPr>
          <w:fldChar w:fldCharType="separate"/>
        </w:r>
        <w:r w:rsidR="002F3000">
          <w:rPr>
            <w:webHidden/>
          </w:rPr>
          <w:t>144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75" w:history="1">
        <w:r w:rsidR="006171A4" w:rsidRPr="00AF4855">
          <w:rPr>
            <w:rStyle w:val="Hyperlink"/>
          </w:rPr>
          <w:t xml:space="preserve">Figure 57: </w:t>
        </w:r>
        <w:r w:rsidR="006171A4">
          <w:rPr>
            <w:rFonts w:eastAsiaTheme="minorEastAsia" w:cstheme="minorBidi"/>
            <w:color w:val="auto"/>
            <w:szCs w:val="22"/>
            <w:lang w:eastAsia="en-AU"/>
          </w:rPr>
          <w:tab/>
        </w:r>
        <w:r w:rsidR="006171A4" w:rsidRPr="00AF4855">
          <w:rPr>
            <w:rStyle w:val="Hyperlink"/>
          </w:rPr>
          <w:t>Historical arisings of grease trap waste</w:t>
        </w:r>
        <w:r w:rsidR="006171A4">
          <w:rPr>
            <w:webHidden/>
          </w:rPr>
          <w:tab/>
        </w:r>
        <w:r>
          <w:rPr>
            <w:webHidden/>
          </w:rPr>
          <w:fldChar w:fldCharType="begin"/>
        </w:r>
        <w:r w:rsidR="006171A4">
          <w:rPr>
            <w:webHidden/>
          </w:rPr>
          <w:instrText xml:space="preserve"> PAGEREF _Toc425849275 \h </w:instrText>
        </w:r>
        <w:r>
          <w:rPr>
            <w:webHidden/>
          </w:rPr>
        </w:r>
        <w:r>
          <w:rPr>
            <w:webHidden/>
          </w:rPr>
          <w:fldChar w:fldCharType="separate"/>
        </w:r>
        <w:r w:rsidR="002F3000">
          <w:rPr>
            <w:webHidden/>
          </w:rPr>
          <w:t>145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76" w:history="1">
        <w:r w:rsidR="006171A4" w:rsidRPr="00AF4855">
          <w:rPr>
            <w:rStyle w:val="Hyperlink"/>
          </w:rPr>
          <w:t xml:space="preserve">Figure 58: </w:t>
        </w:r>
        <w:r w:rsidR="006171A4">
          <w:rPr>
            <w:rFonts w:eastAsiaTheme="minorEastAsia" w:cstheme="minorBidi"/>
            <w:color w:val="auto"/>
            <w:szCs w:val="22"/>
            <w:lang w:eastAsia="en-AU"/>
          </w:rPr>
          <w:tab/>
        </w:r>
        <w:r w:rsidR="006171A4" w:rsidRPr="00AF4855">
          <w:rPr>
            <w:rStyle w:val="Hyperlink"/>
          </w:rPr>
          <w:t>Historical arisings of tannery and wool scouring wastes</w:t>
        </w:r>
        <w:r w:rsidR="006171A4">
          <w:rPr>
            <w:webHidden/>
          </w:rPr>
          <w:tab/>
        </w:r>
        <w:r>
          <w:rPr>
            <w:webHidden/>
          </w:rPr>
          <w:fldChar w:fldCharType="begin"/>
        </w:r>
        <w:r w:rsidR="006171A4">
          <w:rPr>
            <w:webHidden/>
          </w:rPr>
          <w:instrText xml:space="preserve"> PAGEREF _Toc425849276 \h </w:instrText>
        </w:r>
        <w:r>
          <w:rPr>
            <w:webHidden/>
          </w:rPr>
        </w:r>
        <w:r>
          <w:rPr>
            <w:webHidden/>
          </w:rPr>
          <w:fldChar w:fldCharType="separate"/>
        </w:r>
        <w:r w:rsidR="002F3000">
          <w:rPr>
            <w:webHidden/>
          </w:rPr>
          <w:t>146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77" w:history="1">
        <w:r w:rsidR="006171A4" w:rsidRPr="00AF4855">
          <w:rPr>
            <w:rStyle w:val="Hyperlink"/>
          </w:rPr>
          <w:t xml:space="preserve">Figure 59: </w:t>
        </w:r>
        <w:r w:rsidR="006171A4">
          <w:rPr>
            <w:rFonts w:eastAsiaTheme="minorEastAsia" w:cstheme="minorBidi"/>
            <w:color w:val="auto"/>
            <w:szCs w:val="22"/>
            <w:lang w:eastAsia="en-AU"/>
          </w:rPr>
          <w:tab/>
        </w:r>
        <w:r w:rsidR="006171A4" w:rsidRPr="00AF4855">
          <w:rPr>
            <w:rStyle w:val="Hyperlink"/>
          </w:rPr>
          <w:t>Historical arisings of other organic chemicals waste</w:t>
        </w:r>
        <w:r w:rsidR="006171A4">
          <w:rPr>
            <w:webHidden/>
          </w:rPr>
          <w:tab/>
        </w:r>
        <w:r>
          <w:rPr>
            <w:webHidden/>
          </w:rPr>
          <w:fldChar w:fldCharType="begin"/>
        </w:r>
        <w:r w:rsidR="006171A4">
          <w:rPr>
            <w:webHidden/>
          </w:rPr>
          <w:instrText xml:space="preserve"> PAGEREF _Toc425849277 \h </w:instrText>
        </w:r>
        <w:r>
          <w:rPr>
            <w:webHidden/>
          </w:rPr>
        </w:r>
        <w:r>
          <w:rPr>
            <w:webHidden/>
          </w:rPr>
          <w:fldChar w:fldCharType="separate"/>
        </w:r>
        <w:r w:rsidR="002F3000">
          <w:rPr>
            <w:webHidden/>
          </w:rPr>
          <w:t>147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78" w:history="1">
        <w:r w:rsidR="006171A4" w:rsidRPr="00AF4855">
          <w:rPr>
            <w:rStyle w:val="Hyperlink"/>
          </w:rPr>
          <w:t xml:space="preserve">Figure 60: </w:t>
        </w:r>
        <w:r w:rsidR="006171A4">
          <w:rPr>
            <w:rFonts w:eastAsiaTheme="minorEastAsia" w:cstheme="minorBidi"/>
            <w:color w:val="auto"/>
            <w:szCs w:val="22"/>
            <w:lang w:eastAsia="en-AU"/>
          </w:rPr>
          <w:tab/>
        </w:r>
        <w:r w:rsidR="006171A4" w:rsidRPr="00AF4855">
          <w:rPr>
            <w:rStyle w:val="Hyperlink"/>
          </w:rPr>
          <w:t>Historical arisings of contaminated soils waste</w:t>
        </w:r>
        <w:r w:rsidR="006171A4">
          <w:rPr>
            <w:webHidden/>
          </w:rPr>
          <w:tab/>
        </w:r>
        <w:r>
          <w:rPr>
            <w:webHidden/>
          </w:rPr>
          <w:fldChar w:fldCharType="begin"/>
        </w:r>
        <w:r w:rsidR="006171A4">
          <w:rPr>
            <w:webHidden/>
          </w:rPr>
          <w:instrText xml:space="preserve"> PAGEREF _Toc425849278 \h </w:instrText>
        </w:r>
        <w:r>
          <w:rPr>
            <w:webHidden/>
          </w:rPr>
        </w:r>
        <w:r>
          <w:rPr>
            <w:webHidden/>
          </w:rPr>
          <w:fldChar w:fldCharType="separate"/>
        </w:r>
        <w:r w:rsidR="002F3000">
          <w:rPr>
            <w:webHidden/>
          </w:rPr>
          <w:t>148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79" w:history="1">
        <w:r w:rsidR="006171A4" w:rsidRPr="00AF4855">
          <w:rPr>
            <w:rStyle w:val="Hyperlink"/>
          </w:rPr>
          <w:t xml:space="preserve">Figure 61: </w:t>
        </w:r>
        <w:r w:rsidR="006171A4">
          <w:rPr>
            <w:rFonts w:eastAsiaTheme="minorEastAsia" w:cstheme="minorBidi"/>
            <w:color w:val="auto"/>
            <w:szCs w:val="22"/>
            <w:lang w:eastAsia="en-AU"/>
          </w:rPr>
          <w:tab/>
        </w:r>
        <w:r w:rsidR="006171A4" w:rsidRPr="00AF4855">
          <w:rPr>
            <w:rStyle w:val="Hyperlink"/>
          </w:rPr>
          <w:t>Historical arisings of contaminated biosolids waste</w:t>
        </w:r>
        <w:r w:rsidR="006171A4">
          <w:rPr>
            <w:webHidden/>
          </w:rPr>
          <w:tab/>
        </w:r>
        <w:r>
          <w:rPr>
            <w:webHidden/>
          </w:rPr>
          <w:fldChar w:fldCharType="begin"/>
        </w:r>
        <w:r w:rsidR="006171A4">
          <w:rPr>
            <w:webHidden/>
          </w:rPr>
          <w:instrText xml:space="preserve"> PAGEREF _Toc425849279 \h </w:instrText>
        </w:r>
        <w:r>
          <w:rPr>
            <w:webHidden/>
          </w:rPr>
        </w:r>
        <w:r>
          <w:rPr>
            <w:webHidden/>
          </w:rPr>
          <w:fldChar w:fldCharType="separate"/>
        </w:r>
        <w:r w:rsidR="002F3000">
          <w:rPr>
            <w:webHidden/>
          </w:rPr>
          <w:t>149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80" w:history="1">
        <w:r w:rsidR="006171A4" w:rsidRPr="00AF4855">
          <w:rPr>
            <w:rStyle w:val="Hyperlink"/>
          </w:rPr>
          <w:t xml:space="preserve">Figure 62: </w:t>
        </w:r>
        <w:r w:rsidR="006171A4">
          <w:rPr>
            <w:rFonts w:eastAsiaTheme="minorEastAsia" w:cstheme="minorBidi"/>
            <w:color w:val="auto"/>
            <w:szCs w:val="22"/>
            <w:lang w:eastAsia="en-AU"/>
          </w:rPr>
          <w:tab/>
        </w:r>
        <w:r w:rsidR="006171A4" w:rsidRPr="00AF4855">
          <w:rPr>
            <w:rStyle w:val="Hyperlink"/>
          </w:rPr>
          <w:t>Historical arisings of asbestos waste</w:t>
        </w:r>
        <w:r w:rsidR="006171A4">
          <w:rPr>
            <w:webHidden/>
          </w:rPr>
          <w:tab/>
        </w:r>
        <w:r>
          <w:rPr>
            <w:webHidden/>
          </w:rPr>
          <w:fldChar w:fldCharType="begin"/>
        </w:r>
        <w:r w:rsidR="006171A4">
          <w:rPr>
            <w:webHidden/>
          </w:rPr>
          <w:instrText xml:space="preserve"> PAGEREF _Toc425849280 \h </w:instrText>
        </w:r>
        <w:r>
          <w:rPr>
            <w:webHidden/>
          </w:rPr>
        </w:r>
        <w:r>
          <w:rPr>
            <w:webHidden/>
          </w:rPr>
          <w:fldChar w:fldCharType="separate"/>
        </w:r>
        <w:r w:rsidR="002F3000">
          <w:rPr>
            <w:webHidden/>
          </w:rPr>
          <w:t>150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81" w:history="1">
        <w:r w:rsidR="006171A4" w:rsidRPr="00AF4855">
          <w:rPr>
            <w:rStyle w:val="Hyperlink"/>
          </w:rPr>
          <w:t xml:space="preserve">Figure 63: </w:t>
        </w:r>
        <w:r w:rsidR="006171A4">
          <w:rPr>
            <w:rFonts w:eastAsiaTheme="minorEastAsia" w:cstheme="minorBidi"/>
            <w:color w:val="auto"/>
            <w:szCs w:val="22"/>
            <w:lang w:eastAsia="en-AU"/>
          </w:rPr>
          <w:tab/>
        </w:r>
        <w:r w:rsidR="006171A4" w:rsidRPr="00AF4855">
          <w:rPr>
            <w:rStyle w:val="Hyperlink"/>
          </w:rPr>
          <w:t>Historical arisings of other soil/sludge waste</w:t>
        </w:r>
        <w:r w:rsidR="006171A4">
          <w:rPr>
            <w:webHidden/>
          </w:rPr>
          <w:tab/>
        </w:r>
        <w:r>
          <w:rPr>
            <w:webHidden/>
          </w:rPr>
          <w:fldChar w:fldCharType="begin"/>
        </w:r>
        <w:r w:rsidR="006171A4">
          <w:rPr>
            <w:webHidden/>
          </w:rPr>
          <w:instrText xml:space="preserve"> PAGEREF _Toc425849281 \h </w:instrText>
        </w:r>
        <w:r>
          <w:rPr>
            <w:webHidden/>
          </w:rPr>
        </w:r>
        <w:r>
          <w:rPr>
            <w:webHidden/>
          </w:rPr>
          <w:fldChar w:fldCharType="separate"/>
        </w:r>
        <w:r w:rsidR="002F3000">
          <w:rPr>
            <w:webHidden/>
          </w:rPr>
          <w:t>151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82" w:history="1">
        <w:r w:rsidR="006171A4" w:rsidRPr="00AF4855">
          <w:rPr>
            <w:rStyle w:val="Hyperlink"/>
          </w:rPr>
          <w:t xml:space="preserve">Figure 64: </w:t>
        </w:r>
        <w:r w:rsidR="006171A4">
          <w:rPr>
            <w:rFonts w:eastAsiaTheme="minorEastAsia" w:cstheme="minorBidi"/>
            <w:color w:val="auto"/>
            <w:szCs w:val="22"/>
            <w:lang w:eastAsia="en-AU"/>
          </w:rPr>
          <w:tab/>
        </w:r>
        <w:r w:rsidR="006171A4" w:rsidRPr="00AF4855">
          <w:rPr>
            <w:rStyle w:val="Hyperlink"/>
          </w:rPr>
          <w:t>Historical arisings of clinical and pharmaceutical waste</w:t>
        </w:r>
        <w:r w:rsidR="006171A4">
          <w:rPr>
            <w:webHidden/>
          </w:rPr>
          <w:tab/>
        </w:r>
        <w:r>
          <w:rPr>
            <w:webHidden/>
          </w:rPr>
          <w:fldChar w:fldCharType="begin"/>
        </w:r>
        <w:r w:rsidR="006171A4">
          <w:rPr>
            <w:webHidden/>
          </w:rPr>
          <w:instrText xml:space="preserve"> PAGEREF _Toc425849282 \h </w:instrText>
        </w:r>
        <w:r>
          <w:rPr>
            <w:webHidden/>
          </w:rPr>
        </w:r>
        <w:r>
          <w:rPr>
            <w:webHidden/>
          </w:rPr>
          <w:fldChar w:fldCharType="separate"/>
        </w:r>
        <w:r w:rsidR="002F3000">
          <w:rPr>
            <w:webHidden/>
          </w:rPr>
          <w:t>152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83" w:history="1">
        <w:r w:rsidR="006171A4" w:rsidRPr="00AF4855">
          <w:rPr>
            <w:rStyle w:val="Hyperlink"/>
          </w:rPr>
          <w:t xml:space="preserve">Figure 65: </w:t>
        </w:r>
        <w:r w:rsidR="006171A4">
          <w:rPr>
            <w:rFonts w:eastAsiaTheme="minorEastAsia" w:cstheme="minorBidi"/>
            <w:color w:val="auto"/>
            <w:szCs w:val="22"/>
            <w:lang w:eastAsia="en-AU"/>
          </w:rPr>
          <w:tab/>
        </w:r>
        <w:r w:rsidR="006171A4" w:rsidRPr="00AF4855">
          <w:rPr>
            <w:rStyle w:val="Hyperlink"/>
          </w:rPr>
          <w:t>Historical arisings of tyre waste</w:t>
        </w:r>
        <w:r w:rsidR="006171A4">
          <w:rPr>
            <w:webHidden/>
          </w:rPr>
          <w:tab/>
        </w:r>
        <w:r>
          <w:rPr>
            <w:webHidden/>
          </w:rPr>
          <w:fldChar w:fldCharType="begin"/>
        </w:r>
        <w:r w:rsidR="006171A4">
          <w:rPr>
            <w:webHidden/>
          </w:rPr>
          <w:instrText xml:space="preserve"> PAGEREF _Toc425849283 \h </w:instrText>
        </w:r>
        <w:r>
          <w:rPr>
            <w:webHidden/>
          </w:rPr>
        </w:r>
        <w:r>
          <w:rPr>
            <w:webHidden/>
          </w:rPr>
          <w:fldChar w:fldCharType="separate"/>
        </w:r>
        <w:r w:rsidR="002F3000">
          <w:rPr>
            <w:webHidden/>
          </w:rPr>
          <w:t>153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84" w:history="1">
        <w:r w:rsidR="006171A4" w:rsidRPr="00AF4855">
          <w:rPr>
            <w:rStyle w:val="Hyperlink"/>
          </w:rPr>
          <w:t xml:space="preserve">Figure 66: </w:t>
        </w:r>
        <w:r w:rsidR="006171A4">
          <w:rPr>
            <w:rFonts w:eastAsiaTheme="minorEastAsia" w:cstheme="minorBidi"/>
            <w:color w:val="auto"/>
            <w:szCs w:val="22"/>
            <w:lang w:eastAsia="en-AU"/>
          </w:rPr>
          <w:tab/>
        </w:r>
        <w:r w:rsidR="006171A4" w:rsidRPr="00AF4855">
          <w:rPr>
            <w:rStyle w:val="Hyperlink"/>
          </w:rPr>
          <w:t>Historical arisings of other miscellaneous waste</w:t>
        </w:r>
        <w:r w:rsidR="006171A4">
          <w:rPr>
            <w:webHidden/>
          </w:rPr>
          <w:tab/>
        </w:r>
        <w:r>
          <w:rPr>
            <w:webHidden/>
          </w:rPr>
          <w:fldChar w:fldCharType="begin"/>
        </w:r>
        <w:r w:rsidR="006171A4">
          <w:rPr>
            <w:webHidden/>
          </w:rPr>
          <w:instrText xml:space="preserve"> PAGEREF _Toc425849284 \h </w:instrText>
        </w:r>
        <w:r>
          <w:rPr>
            <w:webHidden/>
          </w:rPr>
        </w:r>
        <w:r>
          <w:rPr>
            <w:webHidden/>
          </w:rPr>
          <w:fldChar w:fldCharType="separate"/>
        </w:r>
        <w:r w:rsidR="002F3000">
          <w:rPr>
            <w:webHidden/>
          </w:rPr>
          <w:t>154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85" w:history="1">
        <w:r w:rsidR="006171A4" w:rsidRPr="00AF4855">
          <w:rPr>
            <w:rStyle w:val="Hyperlink"/>
          </w:rPr>
          <w:t xml:space="preserve">Figure 67: </w:t>
        </w:r>
        <w:r w:rsidR="006171A4">
          <w:rPr>
            <w:rFonts w:eastAsiaTheme="minorEastAsia" w:cstheme="minorBidi"/>
            <w:color w:val="auto"/>
            <w:szCs w:val="22"/>
            <w:lang w:eastAsia="en-AU"/>
          </w:rPr>
          <w:tab/>
        </w:r>
        <w:r w:rsidR="006171A4" w:rsidRPr="00AF4855">
          <w:rPr>
            <w:rStyle w:val="Hyperlink"/>
          </w:rPr>
          <w:t>OctaBDE in use for EEE applications</w:t>
        </w:r>
        <w:r w:rsidR="006171A4">
          <w:rPr>
            <w:webHidden/>
          </w:rPr>
          <w:tab/>
        </w:r>
        <w:r>
          <w:rPr>
            <w:webHidden/>
          </w:rPr>
          <w:fldChar w:fldCharType="begin"/>
        </w:r>
        <w:r w:rsidR="006171A4">
          <w:rPr>
            <w:webHidden/>
          </w:rPr>
          <w:instrText xml:space="preserve"> PAGEREF _Toc425849285 \h </w:instrText>
        </w:r>
        <w:r>
          <w:rPr>
            <w:webHidden/>
          </w:rPr>
        </w:r>
        <w:r>
          <w:rPr>
            <w:webHidden/>
          </w:rPr>
          <w:fldChar w:fldCharType="separate"/>
        </w:r>
        <w:r w:rsidR="002F3000">
          <w:rPr>
            <w:webHidden/>
          </w:rPr>
          <w:t>156</w:t>
        </w:r>
        <w:r>
          <w:rPr>
            <w:webHidden/>
          </w:rPr>
          <w:fldChar w:fldCharType="end"/>
        </w:r>
      </w:hyperlink>
    </w:p>
    <w:p w:rsidR="00802F70" w:rsidRDefault="006D07F5" w:rsidP="006F21E2">
      <w:pPr>
        <w:rPr>
          <w:noProof/>
        </w:rPr>
      </w:pPr>
      <w:r w:rsidRPr="00816657">
        <w:rPr>
          <w:noProof/>
        </w:rPr>
        <w:lastRenderedPageBreak/>
        <w:fldChar w:fldCharType="end"/>
      </w:r>
      <w:bookmarkStart w:id="7" w:name="TOT"/>
      <w:bookmarkEnd w:id="6"/>
    </w:p>
    <w:p w:rsidR="00802F70" w:rsidRPr="00816657" w:rsidRDefault="00802F70" w:rsidP="004D33C7">
      <w:pPr>
        <w:pStyle w:val="TOCHeadings"/>
        <w:rPr>
          <w:noProof/>
        </w:rPr>
      </w:pPr>
      <w:r w:rsidRPr="00816657">
        <w:rPr>
          <w:noProof/>
        </w:rPr>
        <w:t>Tables</w:t>
      </w:r>
    </w:p>
    <w:p w:rsidR="006171A4" w:rsidRDefault="006D07F5">
      <w:pPr>
        <w:pStyle w:val="TableofFigures"/>
        <w:rPr>
          <w:rFonts w:eastAsiaTheme="minorEastAsia" w:cstheme="minorBidi"/>
          <w:color w:val="auto"/>
          <w:szCs w:val="22"/>
          <w:lang w:eastAsia="en-AU"/>
        </w:rPr>
      </w:pPr>
      <w:r w:rsidRPr="006D07F5">
        <w:rPr>
          <w:sz w:val="18"/>
        </w:rPr>
        <w:fldChar w:fldCharType="begin"/>
      </w:r>
      <w:r w:rsidR="00802F70" w:rsidRPr="00816657">
        <w:instrText xml:space="preserve"> TOC \h \z \c "Table" </w:instrText>
      </w:r>
      <w:r w:rsidRPr="006D07F5">
        <w:rPr>
          <w:sz w:val="18"/>
        </w:rPr>
        <w:fldChar w:fldCharType="separate"/>
      </w:r>
      <w:hyperlink w:anchor="_Toc425849286" w:history="1">
        <w:r w:rsidR="006171A4" w:rsidRPr="009243CC">
          <w:rPr>
            <w:rStyle w:val="Hyperlink"/>
          </w:rPr>
          <w:t xml:space="preserve">Table 1: </w:t>
        </w:r>
        <w:r w:rsidR="006171A4">
          <w:rPr>
            <w:rFonts w:eastAsiaTheme="minorEastAsia" w:cstheme="minorBidi"/>
            <w:color w:val="auto"/>
            <w:szCs w:val="22"/>
            <w:lang w:eastAsia="en-AU"/>
          </w:rPr>
          <w:tab/>
        </w:r>
        <w:r w:rsidR="006171A4" w:rsidRPr="009243CC">
          <w:rPr>
            <w:rStyle w:val="Hyperlink"/>
          </w:rPr>
          <w:t>Waste groups and the inclusion of waste of particular interest</w:t>
        </w:r>
        <w:r w:rsidR="006171A4">
          <w:rPr>
            <w:webHidden/>
          </w:rPr>
          <w:tab/>
        </w:r>
        <w:r>
          <w:rPr>
            <w:webHidden/>
          </w:rPr>
          <w:fldChar w:fldCharType="begin"/>
        </w:r>
        <w:r w:rsidR="006171A4">
          <w:rPr>
            <w:webHidden/>
          </w:rPr>
          <w:instrText xml:space="preserve"> PAGEREF _Toc425849286 \h </w:instrText>
        </w:r>
        <w:r>
          <w:rPr>
            <w:webHidden/>
          </w:rPr>
        </w:r>
        <w:r>
          <w:rPr>
            <w:webHidden/>
          </w:rPr>
          <w:fldChar w:fldCharType="separate"/>
        </w:r>
        <w:r w:rsidR="002F3000">
          <w:rPr>
            <w:webHidden/>
          </w:rPr>
          <w:t>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87" w:history="1">
        <w:r w:rsidR="006171A4" w:rsidRPr="009243CC">
          <w:rPr>
            <w:rStyle w:val="Hyperlink"/>
          </w:rPr>
          <w:t xml:space="preserve">Table 2: </w:t>
        </w:r>
        <w:r w:rsidR="006171A4">
          <w:rPr>
            <w:rFonts w:eastAsiaTheme="minorEastAsia" w:cstheme="minorBidi"/>
            <w:color w:val="auto"/>
            <w:szCs w:val="22"/>
            <w:lang w:eastAsia="en-AU"/>
          </w:rPr>
          <w:tab/>
        </w:r>
        <w:r w:rsidR="006171A4" w:rsidRPr="009243CC">
          <w:rPr>
            <w:rStyle w:val="Hyperlink"/>
          </w:rPr>
          <w:t>Information and data underpinning the projections, and their uses</w:t>
        </w:r>
        <w:r w:rsidR="006171A4">
          <w:rPr>
            <w:webHidden/>
          </w:rPr>
          <w:tab/>
        </w:r>
        <w:r>
          <w:rPr>
            <w:webHidden/>
          </w:rPr>
          <w:fldChar w:fldCharType="begin"/>
        </w:r>
        <w:r w:rsidR="006171A4">
          <w:rPr>
            <w:webHidden/>
          </w:rPr>
          <w:instrText xml:space="preserve"> PAGEREF _Toc425849287 \h </w:instrText>
        </w:r>
        <w:r>
          <w:rPr>
            <w:webHidden/>
          </w:rPr>
        </w:r>
        <w:r>
          <w:rPr>
            <w:webHidden/>
          </w:rPr>
          <w:fldChar w:fldCharType="separate"/>
        </w:r>
        <w:r w:rsidR="002F3000">
          <w:rPr>
            <w:webHidden/>
          </w:rPr>
          <w:t>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88" w:history="1">
        <w:r w:rsidR="006171A4" w:rsidRPr="009243CC">
          <w:rPr>
            <w:rStyle w:val="Hyperlink"/>
          </w:rPr>
          <w:t xml:space="preserve">Table 3: </w:t>
        </w:r>
        <w:r w:rsidR="006171A4">
          <w:rPr>
            <w:rFonts w:eastAsiaTheme="minorEastAsia" w:cstheme="minorBidi"/>
            <w:color w:val="auto"/>
            <w:szCs w:val="22"/>
            <w:lang w:eastAsia="en-AU"/>
          </w:rPr>
          <w:tab/>
        </w:r>
        <w:r w:rsidR="006171A4" w:rsidRPr="009243CC">
          <w:rPr>
            <w:rStyle w:val="Hyperlink"/>
          </w:rPr>
          <w:t>Pre-existing projections used in building our projections</w:t>
        </w:r>
        <w:r w:rsidR="006171A4">
          <w:rPr>
            <w:webHidden/>
          </w:rPr>
          <w:tab/>
        </w:r>
        <w:r>
          <w:rPr>
            <w:webHidden/>
          </w:rPr>
          <w:fldChar w:fldCharType="begin"/>
        </w:r>
        <w:r w:rsidR="006171A4">
          <w:rPr>
            <w:webHidden/>
          </w:rPr>
          <w:instrText xml:space="preserve"> PAGEREF _Toc425849288 \h </w:instrText>
        </w:r>
        <w:r>
          <w:rPr>
            <w:webHidden/>
          </w:rPr>
        </w:r>
        <w:r>
          <w:rPr>
            <w:webHidden/>
          </w:rPr>
          <w:fldChar w:fldCharType="separate"/>
        </w:r>
        <w:r w:rsidR="002F3000">
          <w:rPr>
            <w:webHidden/>
          </w:rPr>
          <w:t>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89" w:history="1">
        <w:r w:rsidR="006171A4" w:rsidRPr="009243CC">
          <w:rPr>
            <w:rStyle w:val="Hyperlink"/>
          </w:rPr>
          <w:t xml:space="preserve">Table 4: </w:t>
        </w:r>
        <w:r w:rsidR="006171A4">
          <w:rPr>
            <w:rFonts w:eastAsiaTheme="minorEastAsia" w:cstheme="minorBidi"/>
            <w:color w:val="auto"/>
            <w:szCs w:val="22"/>
            <w:lang w:eastAsia="en-AU"/>
          </w:rPr>
          <w:tab/>
        </w:r>
        <w:r w:rsidR="006171A4" w:rsidRPr="009243CC">
          <w:rPr>
            <w:rStyle w:val="Hyperlink"/>
          </w:rPr>
          <w:t>Metadata of the jurisdictional hazardous waste data received</w:t>
        </w:r>
        <w:r w:rsidR="006171A4">
          <w:rPr>
            <w:webHidden/>
          </w:rPr>
          <w:tab/>
        </w:r>
        <w:r>
          <w:rPr>
            <w:webHidden/>
          </w:rPr>
          <w:fldChar w:fldCharType="begin"/>
        </w:r>
        <w:r w:rsidR="006171A4">
          <w:rPr>
            <w:webHidden/>
          </w:rPr>
          <w:instrText xml:space="preserve"> PAGEREF _Toc425849289 \h </w:instrText>
        </w:r>
        <w:r>
          <w:rPr>
            <w:webHidden/>
          </w:rPr>
        </w:r>
        <w:r>
          <w:rPr>
            <w:webHidden/>
          </w:rPr>
          <w:fldChar w:fldCharType="separate"/>
        </w:r>
        <w:r w:rsidR="002F3000">
          <w:rPr>
            <w:webHidden/>
          </w:rPr>
          <w:t>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90" w:history="1">
        <w:r w:rsidR="006171A4" w:rsidRPr="009243CC">
          <w:rPr>
            <w:rStyle w:val="Hyperlink"/>
          </w:rPr>
          <w:t xml:space="preserve">Table 5: </w:t>
        </w:r>
        <w:r w:rsidR="006171A4">
          <w:rPr>
            <w:rFonts w:eastAsiaTheme="minorEastAsia" w:cstheme="minorBidi"/>
            <w:color w:val="auto"/>
            <w:szCs w:val="22"/>
            <w:lang w:eastAsia="en-AU"/>
          </w:rPr>
          <w:tab/>
        </w:r>
        <w:r w:rsidR="006171A4" w:rsidRPr="009243CC">
          <w:rPr>
            <w:rStyle w:val="Hyperlink"/>
          </w:rPr>
          <w:t>Data challenges, effects and responses</w:t>
        </w:r>
        <w:r w:rsidR="006171A4">
          <w:rPr>
            <w:webHidden/>
          </w:rPr>
          <w:tab/>
        </w:r>
        <w:r>
          <w:rPr>
            <w:webHidden/>
          </w:rPr>
          <w:fldChar w:fldCharType="begin"/>
        </w:r>
        <w:r w:rsidR="006171A4">
          <w:rPr>
            <w:webHidden/>
          </w:rPr>
          <w:instrText xml:space="preserve"> PAGEREF _Toc425849290 \h </w:instrText>
        </w:r>
        <w:r>
          <w:rPr>
            <w:webHidden/>
          </w:rPr>
        </w:r>
        <w:r>
          <w:rPr>
            <w:webHidden/>
          </w:rPr>
          <w:fldChar w:fldCharType="separate"/>
        </w:r>
        <w:r w:rsidR="002F3000">
          <w:rPr>
            <w:webHidden/>
          </w:rPr>
          <w:t>10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91" w:history="1">
        <w:r w:rsidR="006171A4" w:rsidRPr="009243CC">
          <w:rPr>
            <w:rStyle w:val="Hyperlink"/>
          </w:rPr>
          <w:t xml:space="preserve">Table 6: </w:t>
        </w:r>
        <w:r w:rsidR="006171A4">
          <w:rPr>
            <w:rFonts w:eastAsiaTheme="minorEastAsia" w:cstheme="minorBidi"/>
            <w:color w:val="auto"/>
            <w:szCs w:val="22"/>
            <w:lang w:eastAsia="en-AU"/>
          </w:rPr>
          <w:tab/>
        </w:r>
        <w:r w:rsidR="006171A4" w:rsidRPr="009243CC">
          <w:rPr>
            <w:rStyle w:val="Hyperlink"/>
          </w:rPr>
          <w:t>Industry activity projections and analyses and their use in the projections</w:t>
        </w:r>
        <w:r w:rsidR="006171A4">
          <w:rPr>
            <w:webHidden/>
          </w:rPr>
          <w:tab/>
        </w:r>
        <w:r>
          <w:rPr>
            <w:webHidden/>
          </w:rPr>
          <w:fldChar w:fldCharType="begin"/>
        </w:r>
        <w:r w:rsidR="006171A4">
          <w:rPr>
            <w:webHidden/>
          </w:rPr>
          <w:instrText xml:space="preserve"> PAGEREF _Toc425849291 \h </w:instrText>
        </w:r>
        <w:r>
          <w:rPr>
            <w:webHidden/>
          </w:rPr>
        </w:r>
        <w:r>
          <w:rPr>
            <w:webHidden/>
          </w:rPr>
          <w:fldChar w:fldCharType="separate"/>
        </w:r>
        <w:r w:rsidR="002F3000">
          <w:rPr>
            <w:webHidden/>
          </w:rPr>
          <w:t>10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92" w:history="1">
        <w:r w:rsidR="006171A4" w:rsidRPr="009243CC">
          <w:rPr>
            <w:rStyle w:val="Hyperlink"/>
          </w:rPr>
          <w:t xml:space="preserve">Table 7: </w:t>
        </w:r>
        <w:r w:rsidR="006171A4">
          <w:rPr>
            <w:rFonts w:eastAsiaTheme="minorEastAsia" w:cstheme="minorBidi"/>
            <w:color w:val="auto"/>
            <w:szCs w:val="22"/>
            <w:lang w:eastAsia="en-AU"/>
          </w:rPr>
          <w:tab/>
        </w:r>
        <w:r w:rsidR="006171A4" w:rsidRPr="009243CC">
          <w:rPr>
            <w:rStyle w:val="Hyperlink"/>
          </w:rPr>
          <w:t>Baseline tonnages for each waste group by jurisdiction</w:t>
        </w:r>
        <w:r w:rsidR="006171A4">
          <w:rPr>
            <w:webHidden/>
          </w:rPr>
          <w:tab/>
        </w:r>
        <w:r>
          <w:rPr>
            <w:webHidden/>
          </w:rPr>
          <w:fldChar w:fldCharType="begin"/>
        </w:r>
        <w:r w:rsidR="006171A4">
          <w:rPr>
            <w:webHidden/>
          </w:rPr>
          <w:instrText xml:space="preserve"> PAGEREF _Toc425849292 \h </w:instrText>
        </w:r>
        <w:r>
          <w:rPr>
            <w:webHidden/>
          </w:rPr>
        </w:r>
        <w:r>
          <w:rPr>
            <w:webHidden/>
          </w:rPr>
          <w:fldChar w:fldCharType="separate"/>
        </w:r>
        <w:r w:rsidR="002F3000">
          <w:rPr>
            <w:webHidden/>
          </w:rPr>
          <w:t>11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93" w:history="1">
        <w:r w:rsidR="006171A4" w:rsidRPr="009243CC">
          <w:rPr>
            <w:rStyle w:val="Hyperlink"/>
          </w:rPr>
          <w:t>Table 8:</w:t>
        </w:r>
        <w:r w:rsidR="006171A4">
          <w:rPr>
            <w:rFonts w:eastAsiaTheme="minorEastAsia" w:cstheme="minorBidi"/>
            <w:color w:val="auto"/>
            <w:szCs w:val="22"/>
            <w:lang w:eastAsia="en-AU"/>
          </w:rPr>
          <w:tab/>
        </w:r>
        <w:r w:rsidR="006171A4" w:rsidRPr="009243CC">
          <w:rPr>
            <w:rStyle w:val="Hyperlink"/>
          </w:rPr>
          <w:t>Best, high and low projected rates of change for plating &amp; heat treatment waste to 2034</w:t>
        </w:r>
        <w:r w:rsidR="006171A4">
          <w:rPr>
            <w:webHidden/>
          </w:rPr>
          <w:tab/>
        </w:r>
        <w:r>
          <w:rPr>
            <w:webHidden/>
          </w:rPr>
          <w:fldChar w:fldCharType="begin"/>
        </w:r>
        <w:r w:rsidR="006171A4">
          <w:rPr>
            <w:webHidden/>
          </w:rPr>
          <w:instrText xml:space="preserve"> PAGEREF _Toc425849293 \h </w:instrText>
        </w:r>
        <w:r>
          <w:rPr>
            <w:webHidden/>
          </w:rPr>
        </w:r>
        <w:r>
          <w:rPr>
            <w:webHidden/>
          </w:rPr>
          <w:fldChar w:fldCharType="separate"/>
        </w:r>
        <w:r w:rsidR="002F3000">
          <w:rPr>
            <w:webHidden/>
          </w:rPr>
          <w:t>17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94" w:history="1">
        <w:r w:rsidR="006171A4" w:rsidRPr="009243CC">
          <w:rPr>
            <w:rStyle w:val="Hyperlink"/>
          </w:rPr>
          <w:t xml:space="preserve">Table 9: </w:t>
        </w:r>
        <w:r w:rsidR="006171A4">
          <w:rPr>
            <w:rFonts w:eastAsiaTheme="minorEastAsia" w:cstheme="minorBidi"/>
            <w:color w:val="auto"/>
            <w:szCs w:val="22"/>
            <w:lang w:eastAsia="en-AU"/>
          </w:rPr>
          <w:tab/>
        </w:r>
        <w:r w:rsidR="006171A4" w:rsidRPr="009243CC">
          <w:rPr>
            <w:rStyle w:val="Hyperlink"/>
          </w:rPr>
          <w:t>Best, high and low projected rates of change for acid waste to 2034</w:t>
        </w:r>
        <w:r w:rsidR="006171A4">
          <w:rPr>
            <w:webHidden/>
          </w:rPr>
          <w:tab/>
        </w:r>
        <w:r>
          <w:rPr>
            <w:webHidden/>
          </w:rPr>
          <w:fldChar w:fldCharType="begin"/>
        </w:r>
        <w:r w:rsidR="006171A4">
          <w:rPr>
            <w:webHidden/>
          </w:rPr>
          <w:instrText xml:space="preserve"> PAGEREF _Toc425849294 \h </w:instrText>
        </w:r>
        <w:r>
          <w:rPr>
            <w:webHidden/>
          </w:rPr>
        </w:r>
        <w:r>
          <w:rPr>
            <w:webHidden/>
          </w:rPr>
          <w:fldChar w:fldCharType="separate"/>
        </w:r>
        <w:r w:rsidR="002F3000">
          <w:rPr>
            <w:webHidden/>
          </w:rPr>
          <w:t>18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95" w:history="1">
        <w:r w:rsidR="006171A4" w:rsidRPr="009243CC">
          <w:rPr>
            <w:rStyle w:val="Hyperlink"/>
          </w:rPr>
          <w:t xml:space="preserve">Table 10: </w:t>
        </w:r>
        <w:r w:rsidR="006171A4">
          <w:rPr>
            <w:rFonts w:eastAsiaTheme="minorEastAsia" w:cstheme="minorBidi"/>
            <w:color w:val="auto"/>
            <w:szCs w:val="22"/>
            <w:lang w:eastAsia="en-AU"/>
          </w:rPr>
          <w:tab/>
        </w:r>
        <w:r w:rsidR="006171A4" w:rsidRPr="009243CC">
          <w:rPr>
            <w:rStyle w:val="Hyperlink"/>
          </w:rPr>
          <w:t>Best, high and low projected rates of change for alkali waste to 2034</w:t>
        </w:r>
        <w:r w:rsidR="006171A4">
          <w:rPr>
            <w:webHidden/>
          </w:rPr>
          <w:tab/>
        </w:r>
        <w:r>
          <w:rPr>
            <w:webHidden/>
          </w:rPr>
          <w:fldChar w:fldCharType="begin"/>
        </w:r>
        <w:r w:rsidR="006171A4">
          <w:rPr>
            <w:webHidden/>
          </w:rPr>
          <w:instrText xml:space="preserve"> PAGEREF _Toc425849295 \h </w:instrText>
        </w:r>
        <w:r>
          <w:rPr>
            <w:webHidden/>
          </w:rPr>
        </w:r>
        <w:r>
          <w:rPr>
            <w:webHidden/>
          </w:rPr>
          <w:fldChar w:fldCharType="separate"/>
        </w:r>
        <w:r w:rsidR="002F3000">
          <w:rPr>
            <w:webHidden/>
          </w:rPr>
          <w:t>19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96" w:history="1">
        <w:r w:rsidR="006171A4" w:rsidRPr="009243CC">
          <w:rPr>
            <w:rStyle w:val="Hyperlink"/>
          </w:rPr>
          <w:t xml:space="preserve">Table 11: </w:t>
        </w:r>
        <w:r w:rsidR="006171A4">
          <w:rPr>
            <w:rFonts w:eastAsiaTheme="minorEastAsia" w:cstheme="minorBidi"/>
            <w:color w:val="auto"/>
            <w:szCs w:val="22"/>
            <w:lang w:eastAsia="en-AU"/>
          </w:rPr>
          <w:tab/>
        </w:r>
        <w:r w:rsidR="006171A4" w:rsidRPr="009243CC">
          <w:rPr>
            <w:rStyle w:val="Hyperlink"/>
          </w:rPr>
          <w:t>Best, high and low projected rates of change for mercury; mercury compounds waste to 2034</w:t>
        </w:r>
        <w:r w:rsidR="006171A4">
          <w:rPr>
            <w:webHidden/>
          </w:rPr>
          <w:tab/>
        </w:r>
        <w:r>
          <w:rPr>
            <w:webHidden/>
          </w:rPr>
          <w:fldChar w:fldCharType="begin"/>
        </w:r>
        <w:r w:rsidR="006171A4">
          <w:rPr>
            <w:webHidden/>
          </w:rPr>
          <w:instrText xml:space="preserve"> PAGEREF _Toc425849296 \h </w:instrText>
        </w:r>
        <w:r>
          <w:rPr>
            <w:webHidden/>
          </w:rPr>
        </w:r>
        <w:r>
          <w:rPr>
            <w:webHidden/>
          </w:rPr>
          <w:fldChar w:fldCharType="separate"/>
        </w:r>
        <w:r w:rsidR="002F3000">
          <w:rPr>
            <w:webHidden/>
          </w:rPr>
          <w:t>20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97" w:history="1">
        <w:r w:rsidR="006171A4" w:rsidRPr="009243CC">
          <w:rPr>
            <w:rStyle w:val="Hyperlink"/>
          </w:rPr>
          <w:t xml:space="preserve">Table 12: </w:t>
        </w:r>
        <w:r w:rsidR="006171A4">
          <w:rPr>
            <w:rFonts w:eastAsiaTheme="minorEastAsia" w:cstheme="minorBidi"/>
            <w:color w:val="auto"/>
            <w:szCs w:val="22"/>
            <w:lang w:eastAsia="en-AU"/>
          </w:rPr>
          <w:tab/>
        </w:r>
        <w:r w:rsidR="006171A4" w:rsidRPr="009243CC">
          <w:rPr>
            <w:rStyle w:val="Hyperlink"/>
          </w:rPr>
          <w:t>Best, high and low projected rates of change for lead; lead compounds waste to 2034</w:t>
        </w:r>
        <w:r w:rsidR="006171A4">
          <w:rPr>
            <w:webHidden/>
          </w:rPr>
          <w:tab/>
        </w:r>
        <w:r>
          <w:rPr>
            <w:webHidden/>
          </w:rPr>
          <w:fldChar w:fldCharType="begin"/>
        </w:r>
        <w:r w:rsidR="006171A4">
          <w:rPr>
            <w:webHidden/>
          </w:rPr>
          <w:instrText xml:space="preserve"> PAGEREF _Toc425849297 \h </w:instrText>
        </w:r>
        <w:r>
          <w:rPr>
            <w:webHidden/>
          </w:rPr>
        </w:r>
        <w:r>
          <w:rPr>
            <w:webHidden/>
          </w:rPr>
          <w:fldChar w:fldCharType="separate"/>
        </w:r>
        <w:r w:rsidR="002F3000">
          <w:rPr>
            <w:webHidden/>
          </w:rPr>
          <w:t>21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98" w:history="1">
        <w:r w:rsidR="006171A4" w:rsidRPr="009243CC">
          <w:rPr>
            <w:rStyle w:val="Hyperlink"/>
          </w:rPr>
          <w:t xml:space="preserve">Table 13: </w:t>
        </w:r>
        <w:r w:rsidR="006171A4">
          <w:rPr>
            <w:rFonts w:eastAsiaTheme="minorEastAsia" w:cstheme="minorBidi"/>
            <w:color w:val="auto"/>
            <w:szCs w:val="22"/>
            <w:lang w:eastAsia="en-AU"/>
          </w:rPr>
          <w:tab/>
        </w:r>
        <w:r w:rsidR="006171A4" w:rsidRPr="009243CC">
          <w:rPr>
            <w:rStyle w:val="Hyperlink"/>
          </w:rPr>
          <w:t>Best, high and low projected rates of change for non-toxic salt waste to 2034</w:t>
        </w:r>
        <w:r w:rsidR="006171A4">
          <w:rPr>
            <w:webHidden/>
          </w:rPr>
          <w:tab/>
        </w:r>
        <w:r>
          <w:rPr>
            <w:webHidden/>
          </w:rPr>
          <w:fldChar w:fldCharType="begin"/>
        </w:r>
        <w:r w:rsidR="006171A4">
          <w:rPr>
            <w:webHidden/>
          </w:rPr>
          <w:instrText xml:space="preserve"> PAGEREF _Toc425849298 \h </w:instrText>
        </w:r>
        <w:r>
          <w:rPr>
            <w:webHidden/>
          </w:rPr>
        </w:r>
        <w:r>
          <w:rPr>
            <w:webHidden/>
          </w:rPr>
          <w:fldChar w:fldCharType="separate"/>
        </w:r>
        <w:r w:rsidR="002F3000">
          <w:rPr>
            <w:webHidden/>
          </w:rPr>
          <w:t>23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299" w:history="1">
        <w:r w:rsidR="006171A4" w:rsidRPr="009243CC">
          <w:rPr>
            <w:rStyle w:val="Hyperlink"/>
          </w:rPr>
          <w:t xml:space="preserve">Table 14: </w:t>
        </w:r>
        <w:r w:rsidR="006171A4">
          <w:rPr>
            <w:rFonts w:eastAsiaTheme="minorEastAsia" w:cstheme="minorBidi"/>
            <w:color w:val="auto"/>
            <w:szCs w:val="22"/>
            <w:lang w:eastAsia="en-AU"/>
          </w:rPr>
          <w:tab/>
        </w:r>
        <w:r w:rsidR="006171A4" w:rsidRPr="009243CC">
          <w:rPr>
            <w:rStyle w:val="Hyperlink"/>
          </w:rPr>
          <w:t>Best, high and low projected rates of change for other inorganic chemical waste to 2034</w:t>
        </w:r>
        <w:r w:rsidR="006171A4">
          <w:rPr>
            <w:webHidden/>
          </w:rPr>
          <w:tab/>
        </w:r>
        <w:r>
          <w:rPr>
            <w:webHidden/>
          </w:rPr>
          <w:fldChar w:fldCharType="begin"/>
        </w:r>
        <w:r w:rsidR="006171A4">
          <w:rPr>
            <w:webHidden/>
          </w:rPr>
          <w:instrText xml:space="preserve"> PAGEREF _Toc425849299 \h </w:instrText>
        </w:r>
        <w:r>
          <w:rPr>
            <w:webHidden/>
          </w:rPr>
        </w:r>
        <w:r>
          <w:rPr>
            <w:webHidden/>
          </w:rPr>
          <w:fldChar w:fldCharType="separate"/>
        </w:r>
        <w:r w:rsidR="002F3000">
          <w:rPr>
            <w:webHidden/>
          </w:rPr>
          <w:t>24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00" w:history="1">
        <w:r w:rsidR="006171A4" w:rsidRPr="009243CC">
          <w:rPr>
            <w:rStyle w:val="Hyperlink"/>
          </w:rPr>
          <w:t xml:space="preserve">Table 15: </w:t>
        </w:r>
        <w:r w:rsidR="006171A4">
          <w:rPr>
            <w:rFonts w:eastAsiaTheme="minorEastAsia" w:cstheme="minorBidi"/>
            <w:color w:val="auto"/>
            <w:szCs w:val="22"/>
            <w:lang w:eastAsia="en-AU"/>
          </w:rPr>
          <w:tab/>
        </w:r>
        <w:r w:rsidR="006171A4" w:rsidRPr="009243CC">
          <w:rPr>
            <w:rStyle w:val="Hyperlink"/>
          </w:rPr>
          <w:t>Best, high and low projected rates of change for reactive chemical waste to 2034</w:t>
        </w:r>
        <w:r w:rsidR="006171A4">
          <w:rPr>
            <w:webHidden/>
          </w:rPr>
          <w:tab/>
        </w:r>
        <w:r>
          <w:rPr>
            <w:webHidden/>
          </w:rPr>
          <w:fldChar w:fldCharType="begin"/>
        </w:r>
        <w:r w:rsidR="006171A4">
          <w:rPr>
            <w:webHidden/>
          </w:rPr>
          <w:instrText xml:space="preserve"> PAGEREF _Toc425849300 \h </w:instrText>
        </w:r>
        <w:r>
          <w:rPr>
            <w:webHidden/>
          </w:rPr>
        </w:r>
        <w:r>
          <w:rPr>
            <w:webHidden/>
          </w:rPr>
          <w:fldChar w:fldCharType="separate"/>
        </w:r>
        <w:r w:rsidR="002F3000">
          <w:rPr>
            <w:webHidden/>
          </w:rPr>
          <w:t>26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01" w:history="1">
        <w:r w:rsidR="006171A4" w:rsidRPr="009243CC">
          <w:rPr>
            <w:rStyle w:val="Hyperlink"/>
          </w:rPr>
          <w:t xml:space="preserve">Table 16: </w:t>
        </w:r>
        <w:r w:rsidR="006171A4">
          <w:rPr>
            <w:rFonts w:eastAsiaTheme="minorEastAsia" w:cstheme="minorBidi"/>
            <w:color w:val="auto"/>
            <w:szCs w:val="22"/>
            <w:lang w:eastAsia="en-AU"/>
          </w:rPr>
          <w:tab/>
        </w:r>
        <w:r w:rsidR="006171A4" w:rsidRPr="009243CC">
          <w:rPr>
            <w:rStyle w:val="Hyperlink"/>
          </w:rPr>
          <w:t>Best, high and low projected rates of change for paints, resins, inks and organic sludge waste to 2034</w:t>
        </w:r>
        <w:r w:rsidR="006171A4">
          <w:rPr>
            <w:webHidden/>
          </w:rPr>
          <w:tab/>
        </w:r>
        <w:r>
          <w:rPr>
            <w:webHidden/>
          </w:rPr>
          <w:fldChar w:fldCharType="begin"/>
        </w:r>
        <w:r w:rsidR="006171A4">
          <w:rPr>
            <w:webHidden/>
          </w:rPr>
          <w:instrText xml:space="preserve"> PAGEREF _Toc425849301 \h </w:instrText>
        </w:r>
        <w:r>
          <w:rPr>
            <w:webHidden/>
          </w:rPr>
        </w:r>
        <w:r>
          <w:rPr>
            <w:webHidden/>
          </w:rPr>
          <w:fldChar w:fldCharType="separate"/>
        </w:r>
        <w:r w:rsidR="002F3000">
          <w:rPr>
            <w:webHidden/>
          </w:rPr>
          <w:t>27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02" w:history="1">
        <w:r w:rsidR="006171A4" w:rsidRPr="009243CC">
          <w:rPr>
            <w:rStyle w:val="Hyperlink"/>
          </w:rPr>
          <w:t xml:space="preserve">Table 17: </w:t>
        </w:r>
        <w:r w:rsidR="006171A4">
          <w:rPr>
            <w:rFonts w:eastAsiaTheme="minorEastAsia" w:cstheme="minorBidi"/>
            <w:color w:val="auto"/>
            <w:szCs w:val="22"/>
            <w:lang w:eastAsia="en-AU"/>
          </w:rPr>
          <w:tab/>
        </w:r>
        <w:r w:rsidR="006171A4" w:rsidRPr="009243CC">
          <w:rPr>
            <w:rStyle w:val="Hyperlink"/>
          </w:rPr>
          <w:t>Best, high and low projected rates of change for organic solvent waste to 2034</w:t>
        </w:r>
        <w:r w:rsidR="006171A4">
          <w:rPr>
            <w:webHidden/>
          </w:rPr>
          <w:tab/>
        </w:r>
        <w:r>
          <w:rPr>
            <w:webHidden/>
          </w:rPr>
          <w:fldChar w:fldCharType="begin"/>
        </w:r>
        <w:r w:rsidR="006171A4">
          <w:rPr>
            <w:webHidden/>
          </w:rPr>
          <w:instrText xml:space="preserve"> PAGEREF _Toc425849302 \h </w:instrText>
        </w:r>
        <w:r>
          <w:rPr>
            <w:webHidden/>
          </w:rPr>
        </w:r>
        <w:r>
          <w:rPr>
            <w:webHidden/>
          </w:rPr>
          <w:fldChar w:fldCharType="separate"/>
        </w:r>
        <w:r w:rsidR="002F3000">
          <w:rPr>
            <w:webHidden/>
          </w:rPr>
          <w:t>28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03" w:history="1">
        <w:r w:rsidR="006171A4" w:rsidRPr="009243CC">
          <w:rPr>
            <w:rStyle w:val="Hyperlink"/>
          </w:rPr>
          <w:t xml:space="preserve">Table 18: </w:t>
        </w:r>
        <w:r w:rsidR="006171A4">
          <w:rPr>
            <w:rFonts w:eastAsiaTheme="minorEastAsia" w:cstheme="minorBidi"/>
            <w:color w:val="auto"/>
            <w:szCs w:val="22"/>
            <w:lang w:eastAsia="en-AU"/>
          </w:rPr>
          <w:tab/>
        </w:r>
        <w:r w:rsidR="006171A4" w:rsidRPr="009243CC">
          <w:rPr>
            <w:rStyle w:val="Hyperlink"/>
          </w:rPr>
          <w:t>Best, high and low projected rates of change for pesticide waste to 2034</w:t>
        </w:r>
        <w:r w:rsidR="006171A4">
          <w:rPr>
            <w:webHidden/>
          </w:rPr>
          <w:tab/>
        </w:r>
        <w:r>
          <w:rPr>
            <w:webHidden/>
          </w:rPr>
          <w:fldChar w:fldCharType="begin"/>
        </w:r>
        <w:r w:rsidR="006171A4">
          <w:rPr>
            <w:webHidden/>
          </w:rPr>
          <w:instrText xml:space="preserve"> PAGEREF _Toc425849303 \h </w:instrText>
        </w:r>
        <w:r>
          <w:rPr>
            <w:webHidden/>
          </w:rPr>
        </w:r>
        <w:r>
          <w:rPr>
            <w:webHidden/>
          </w:rPr>
          <w:fldChar w:fldCharType="separate"/>
        </w:r>
        <w:r w:rsidR="002F3000">
          <w:rPr>
            <w:webHidden/>
          </w:rPr>
          <w:t>29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04" w:history="1">
        <w:r w:rsidR="006171A4" w:rsidRPr="009243CC">
          <w:rPr>
            <w:rStyle w:val="Hyperlink"/>
          </w:rPr>
          <w:t xml:space="preserve">Table 19: </w:t>
        </w:r>
        <w:r w:rsidR="006171A4">
          <w:rPr>
            <w:rFonts w:eastAsiaTheme="minorEastAsia" w:cstheme="minorBidi"/>
            <w:color w:val="auto"/>
            <w:szCs w:val="22"/>
            <w:lang w:eastAsia="en-AU"/>
          </w:rPr>
          <w:tab/>
        </w:r>
        <w:r w:rsidR="006171A4" w:rsidRPr="009243CC">
          <w:rPr>
            <w:rStyle w:val="Hyperlink"/>
          </w:rPr>
          <w:t>Best, high and low projected rates of change for oil waste to 2034</w:t>
        </w:r>
        <w:r w:rsidR="006171A4">
          <w:rPr>
            <w:webHidden/>
          </w:rPr>
          <w:tab/>
        </w:r>
        <w:r>
          <w:rPr>
            <w:webHidden/>
          </w:rPr>
          <w:fldChar w:fldCharType="begin"/>
        </w:r>
        <w:r w:rsidR="006171A4">
          <w:rPr>
            <w:webHidden/>
          </w:rPr>
          <w:instrText xml:space="preserve"> PAGEREF _Toc425849304 \h </w:instrText>
        </w:r>
        <w:r>
          <w:rPr>
            <w:webHidden/>
          </w:rPr>
        </w:r>
        <w:r>
          <w:rPr>
            <w:webHidden/>
          </w:rPr>
          <w:fldChar w:fldCharType="separate"/>
        </w:r>
        <w:r w:rsidR="002F3000">
          <w:rPr>
            <w:webHidden/>
          </w:rPr>
          <w:t>30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05" w:history="1">
        <w:r w:rsidR="006171A4" w:rsidRPr="009243CC">
          <w:rPr>
            <w:rStyle w:val="Hyperlink"/>
          </w:rPr>
          <w:t xml:space="preserve">Table 20: </w:t>
        </w:r>
        <w:r w:rsidR="006171A4">
          <w:rPr>
            <w:rFonts w:eastAsiaTheme="minorEastAsia" w:cstheme="minorBidi"/>
            <w:color w:val="auto"/>
            <w:szCs w:val="22"/>
            <w:lang w:eastAsia="en-AU"/>
          </w:rPr>
          <w:tab/>
        </w:r>
        <w:r w:rsidR="006171A4" w:rsidRPr="009243CC">
          <w:rPr>
            <w:rStyle w:val="Hyperlink"/>
          </w:rPr>
          <w:t>Best, high and low projected rates of change for animal effluent and residue (+ food processing waste) waste to 2034</w:t>
        </w:r>
        <w:r w:rsidR="006171A4">
          <w:rPr>
            <w:webHidden/>
          </w:rPr>
          <w:tab/>
        </w:r>
        <w:r>
          <w:rPr>
            <w:webHidden/>
          </w:rPr>
          <w:fldChar w:fldCharType="begin"/>
        </w:r>
        <w:r w:rsidR="006171A4">
          <w:rPr>
            <w:webHidden/>
          </w:rPr>
          <w:instrText xml:space="preserve"> PAGEREF _Toc425849305 \h </w:instrText>
        </w:r>
        <w:r>
          <w:rPr>
            <w:webHidden/>
          </w:rPr>
        </w:r>
        <w:r>
          <w:rPr>
            <w:webHidden/>
          </w:rPr>
          <w:fldChar w:fldCharType="separate"/>
        </w:r>
        <w:r w:rsidR="002F3000">
          <w:rPr>
            <w:webHidden/>
          </w:rPr>
          <w:t>32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06" w:history="1">
        <w:r w:rsidR="006171A4" w:rsidRPr="009243CC">
          <w:rPr>
            <w:rStyle w:val="Hyperlink"/>
          </w:rPr>
          <w:t xml:space="preserve">Table 21: </w:t>
        </w:r>
        <w:r w:rsidR="006171A4">
          <w:rPr>
            <w:rFonts w:eastAsiaTheme="minorEastAsia" w:cstheme="minorBidi"/>
            <w:color w:val="auto"/>
            <w:szCs w:val="22"/>
            <w:lang w:eastAsia="en-AU"/>
          </w:rPr>
          <w:tab/>
        </w:r>
        <w:r w:rsidR="006171A4" w:rsidRPr="009243CC">
          <w:rPr>
            <w:rStyle w:val="Hyperlink"/>
          </w:rPr>
          <w:t>Best, high and low projected rates of change for grease trap waste to 2034</w:t>
        </w:r>
        <w:r w:rsidR="006171A4">
          <w:rPr>
            <w:webHidden/>
          </w:rPr>
          <w:tab/>
        </w:r>
        <w:r>
          <w:rPr>
            <w:webHidden/>
          </w:rPr>
          <w:fldChar w:fldCharType="begin"/>
        </w:r>
        <w:r w:rsidR="006171A4">
          <w:rPr>
            <w:webHidden/>
          </w:rPr>
          <w:instrText xml:space="preserve"> PAGEREF _Toc425849306 \h </w:instrText>
        </w:r>
        <w:r>
          <w:rPr>
            <w:webHidden/>
          </w:rPr>
        </w:r>
        <w:r>
          <w:rPr>
            <w:webHidden/>
          </w:rPr>
          <w:fldChar w:fldCharType="separate"/>
        </w:r>
        <w:r w:rsidR="002F3000">
          <w:rPr>
            <w:webHidden/>
          </w:rPr>
          <w:t>33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07" w:history="1">
        <w:r w:rsidR="006171A4" w:rsidRPr="009243CC">
          <w:rPr>
            <w:rStyle w:val="Hyperlink"/>
          </w:rPr>
          <w:t xml:space="preserve">Table 22: </w:t>
        </w:r>
        <w:r w:rsidR="006171A4">
          <w:rPr>
            <w:rFonts w:eastAsiaTheme="minorEastAsia" w:cstheme="minorBidi"/>
            <w:color w:val="auto"/>
            <w:szCs w:val="22"/>
            <w:lang w:eastAsia="en-AU"/>
          </w:rPr>
          <w:tab/>
        </w:r>
        <w:r w:rsidR="006171A4" w:rsidRPr="009243CC">
          <w:rPr>
            <w:rStyle w:val="Hyperlink"/>
          </w:rPr>
          <w:t>Best, high and low projected rates of change for tannery and wool scouring waste to 2034</w:t>
        </w:r>
        <w:r w:rsidR="006171A4">
          <w:rPr>
            <w:webHidden/>
          </w:rPr>
          <w:tab/>
        </w:r>
        <w:r>
          <w:rPr>
            <w:webHidden/>
          </w:rPr>
          <w:fldChar w:fldCharType="begin"/>
        </w:r>
        <w:r w:rsidR="006171A4">
          <w:rPr>
            <w:webHidden/>
          </w:rPr>
          <w:instrText xml:space="preserve"> PAGEREF _Toc425849307 \h </w:instrText>
        </w:r>
        <w:r>
          <w:rPr>
            <w:webHidden/>
          </w:rPr>
        </w:r>
        <w:r>
          <w:rPr>
            <w:webHidden/>
          </w:rPr>
          <w:fldChar w:fldCharType="separate"/>
        </w:r>
        <w:r w:rsidR="002F3000">
          <w:rPr>
            <w:webHidden/>
          </w:rPr>
          <w:t>34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08" w:history="1">
        <w:r w:rsidR="006171A4" w:rsidRPr="009243CC">
          <w:rPr>
            <w:rStyle w:val="Hyperlink"/>
          </w:rPr>
          <w:t xml:space="preserve">Table 23: </w:t>
        </w:r>
        <w:r w:rsidR="006171A4">
          <w:rPr>
            <w:rFonts w:eastAsiaTheme="minorEastAsia" w:cstheme="minorBidi"/>
            <w:color w:val="auto"/>
            <w:szCs w:val="22"/>
            <w:lang w:eastAsia="en-AU"/>
          </w:rPr>
          <w:tab/>
        </w:r>
        <w:r w:rsidR="006171A4" w:rsidRPr="009243CC">
          <w:rPr>
            <w:rStyle w:val="Hyperlink"/>
          </w:rPr>
          <w:t>Approaches used to project PFOS waste</w:t>
        </w:r>
        <w:r w:rsidR="006171A4">
          <w:rPr>
            <w:webHidden/>
          </w:rPr>
          <w:tab/>
        </w:r>
        <w:r>
          <w:rPr>
            <w:webHidden/>
          </w:rPr>
          <w:fldChar w:fldCharType="begin"/>
        </w:r>
        <w:r w:rsidR="006171A4">
          <w:rPr>
            <w:webHidden/>
          </w:rPr>
          <w:instrText xml:space="preserve"> PAGEREF _Toc425849308 \h </w:instrText>
        </w:r>
        <w:r>
          <w:rPr>
            <w:webHidden/>
          </w:rPr>
        </w:r>
        <w:r>
          <w:rPr>
            <w:webHidden/>
          </w:rPr>
          <w:fldChar w:fldCharType="separate"/>
        </w:r>
        <w:r w:rsidR="002F3000">
          <w:rPr>
            <w:webHidden/>
          </w:rPr>
          <w:t>35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09" w:history="1">
        <w:r w:rsidR="006171A4" w:rsidRPr="009243CC">
          <w:rPr>
            <w:rStyle w:val="Hyperlink"/>
          </w:rPr>
          <w:t xml:space="preserve">Table 24: </w:t>
        </w:r>
        <w:r w:rsidR="006171A4">
          <w:rPr>
            <w:rFonts w:eastAsiaTheme="minorEastAsia" w:cstheme="minorBidi"/>
            <w:color w:val="auto"/>
            <w:szCs w:val="22"/>
            <w:lang w:eastAsia="en-AU"/>
          </w:rPr>
          <w:tab/>
        </w:r>
        <w:r w:rsidR="006171A4" w:rsidRPr="009243CC">
          <w:rPr>
            <w:rStyle w:val="Hyperlink"/>
          </w:rPr>
          <w:t>Best, high and low projected tonnes for PFOS waste to 2034</w:t>
        </w:r>
        <w:r w:rsidR="006171A4">
          <w:rPr>
            <w:webHidden/>
          </w:rPr>
          <w:tab/>
        </w:r>
        <w:r>
          <w:rPr>
            <w:webHidden/>
          </w:rPr>
          <w:fldChar w:fldCharType="begin"/>
        </w:r>
        <w:r w:rsidR="006171A4">
          <w:rPr>
            <w:webHidden/>
          </w:rPr>
          <w:instrText xml:space="preserve"> PAGEREF _Toc425849309 \h </w:instrText>
        </w:r>
        <w:r>
          <w:rPr>
            <w:webHidden/>
          </w:rPr>
        </w:r>
        <w:r>
          <w:rPr>
            <w:webHidden/>
          </w:rPr>
          <w:fldChar w:fldCharType="separate"/>
        </w:r>
        <w:r w:rsidR="002F3000">
          <w:rPr>
            <w:webHidden/>
          </w:rPr>
          <w:t>36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10" w:history="1">
        <w:r w:rsidR="006171A4" w:rsidRPr="009243CC">
          <w:rPr>
            <w:rStyle w:val="Hyperlink"/>
          </w:rPr>
          <w:t xml:space="preserve">Table 25: </w:t>
        </w:r>
        <w:r w:rsidR="006171A4">
          <w:rPr>
            <w:rFonts w:eastAsiaTheme="minorEastAsia" w:cstheme="minorBidi"/>
            <w:color w:val="auto"/>
            <w:szCs w:val="22"/>
            <w:lang w:eastAsia="en-AU"/>
          </w:rPr>
          <w:tab/>
        </w:r>
        <w:r w:rsidR="006171A4" w:rsidRPr="009243CC">
          <w:rPr>
            <w:rStyle w:val="Hyperlink"/>
          </w:rPr>
          <w:t>Approaches used to project POP-BDEs waste</w:t>
        </w:r>
        <w:r w:rsidR="006171A4">
          <w:rPr>
            <w:webHidden/>
          </w:rPr>
          <w:tab/>
        </w:r>
        <w:r>
          <w:rPr>
            <w:webHidden/>
          </w:rPr>
          <w:fldChar w:fldCharType="begin"/>
        </w:r>
        <w:r w:rsidR="006171A4">
          <w:rPr>
            <w:webHidden/>
          </w:rPr>
          <w:instrText xml:space="preserve"> PAGEREF _Toc425849310 \h </w:instrText>
        </w:r>
        <w:r>
          <w:rPr>
            <w:webHidden/>
          </w:rPr>
        </w:r>
        <w:r>
          <w:rPr>
            <w:webHidden/>
          </w:rPr>
          <w:fldChar w:fldCharType="separate"/>
        </w:r>
        <w:r w:rsidR="002F3000">
          <w:rPr>
            <w:webHidden/>
          </w:rPr>
          <w:t>37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11" w:history="1">
        <w:r w:rsidR="006171A4" w:rsidRPr="009243CC">
          <w:rPr>
            <w:rStyle w:val="Hyperlink"/>
          </w:rPr>
          <w:t xml:space="preserve">Table 26: </w:t>
        </w:r>
        <w:r w:rsidR="006171A4">
          <w:rPr>
            <w:rFonts w:eastAsiaTheme="minorEastAsia" w:cstheme="minorBidi"/>
            <w:color w:val="auto"/>
            <w:szCs w:val="22"/>
            <w:lang w:eastAsia="en-AU"/>
          </w:rPr>
          <w:tab/>
        </w:r>
        <w:r w:rsidR="006171A4" w:rsidRPr="009243CC">
          <w:rPr>
            <w:rStyle w:val="Hyperlink"/>
          </w:rPr>
          <w:t>Best, high and tonnes for POP-BDEs waste to 2034</w:t>
        </w:r>
        <w:r w:rsidR="006171A4">
          <w:rPr>
            <w:webHidden/>
          </w:rPr>
          <w:tab/>
        </w:r>
        <w:r>
          <w:rPr>
            <w:webHidden/>
          </w:rPr>
          <w:fldChar w:fldCharType="begin"/>
        </w:r>
        <w:r w:rsidR="006171A4">
          <w:rPr>
            <w:webHidden/>
          </w:rPr>
          <w:instrText xml:space="preserve"> PAGEREF _Toc425849311 \h </w:instrText>
        </w:r>
        <w:r>
          <w:rPr>
            <w:webHidden/>
          </w:rPr>
        </w:r>
        <w:r>
          <w:rPr>
            <w:webHidden/>
          </w:rPr>
          <w:fldChar w:fldCharType="separate"/>
        </w:r>
        <w:r w:rsidR="002F3000">
          <w:rPr>
            <w:webHidden/>
          </w:rPr>
          <w:t>38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12" w:history="1">
        <w:r w:rsidR="006171A4" w:rsidRPr="009243CC">
          <w:rPr>
            <w:rStyle w:val="Hyperlink"/>
          </w:rPr>
          <w:t xml:space="preserve">Table 27: </w:t>
        </w:r>
        <w:r w:rsidR="006171A4">
          <w:rPr>
            <w:rFonts w:eastAsiaTheme="minorEastAsia" w:cstheme="minorBidi"/>
            <w:color w:val="auto"/>
            <w:szCs w:val="22"/>
            <w:lang w:eastAsia="en-AU"/>
          </w:rPr>
          <w:tab/>
        </w:r>
        <w:r w:rsidR="006171A4" w:rsidRPr="009243CC">
          <w:rPr>
            <w:rStyle w:val="Hyperlink"/>
          </w:rPr>
          <w:t>Approaches used to project HBCD waste</w:t>
        </w:r>
        <w:r w:rsidR="006171A4">
          <w:rPr>
            <w:webHidden/>
          </w:rPr>
          <w:tab/>
        </w:r>
        <w:r>
          <w:rPr>
            <w:webHidden/>
          </w:rPr>
          <w:fldChar w:fldCharType="begin"/>
        </w:r>
        <w:r w:rsidR="006171A4">
          <w:rPr>
            <w:webHidden/>
          </w:rPr>
          <w:instrText xml:space="preserve"> PAGEREF _Toc425849312 \h </w:instrText>
        </w:r>
        <w:r>
          <w:rPr>
            <w:webHidden/>
          </w:rPr>
        </w:r>
        <w:r>
          <w:rPr>
            <w:webHidden/>
          </w:rPr>
          <w:fldChar w:fldCharType="separate"/>
        </w:r>
        <w:r w:rsidR="002F3000">
          <w:rPr>
            <w:webHidden/>
          </w:rPr>
          <w:t>39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13" w:history="1">
        <w:r w:rsidR="006171A4" w:rsidRPr="009243CC">
          <w:rPr>
            <w:rStyle w:val="Hyperlink"/>
          </w:rPr>
          <w:t xml:space="preserve">Table 28: </w:t>
        </w:r>
        <w:r w:rsidR="006171A4">
          <w:rPr>
            <w:rFonts w:eastAsiaTheme="minorEastAsia" w:cstheme="minorBidi"/>
            <w:color w:val="auto"/>
            <w:szCs w:val="22"/>
            <w:lang w:eastAsia="en-AU"/>
          </w:rPr>
          <w:tab/>
        </w:r>
        <w:r w:rsidR="006171A4" w:rsidRPr="009243CC">
          <w:rPr>
            <w:rStyle w:val="Hyperlink"/>
          </w:rPr>
          <w:t>Best, high and low projected tonnes for HBCD waste to 2034</w:t>
        </w:r>
        <w:r w:rsidR="006171A4">
          <w:rPr>
            <w:webHidden/>
          </w:rPr>
          <w:tab/>
        </w:r>
        <w:r>
          <w:rPr>
            <w:webHidden/>
          </w:rPr>
          <w:fldChar w:fldCharType="begin"/>
        </w:r>
        <w:r w:rsidR="006171A4">
          <w:rPr>
            <w:webHidden/>
          </w:rPr>
          <w:instrText xml:space="preserve"> PAGEREF _Toc425849313 \h </w:instrText>
        </w:r>
        <w:r>
          <w:rPr>
            <w:webHidden/>
          </w:rPr>
        </w:r>
        <w:r>
          <w:rPr>
            <w:webHidden/>
          </w:rPr>
          <w:fldChar w:fldCharType="separate"/>
        </w:r>
        <w:r w:rsidR="002F3000">
          <w:rPr>
            <w:webHidden/>
          </w:rPr>
          <w:t>40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14" w:history="1">
        <w:r w:rsidR="006171A4" w:rsidRPr="009243CC">
          <w:rPr>
            <w:rStyle w:val="Hyperlink"/>
          </w:rPr>
          <w:t xml:space="preserve">Table 29: </w:t>
        </w:r>
        <w:r w:rsidR="006171A4">
          <w:rPr>
            <w:rFonts w:eastAsiaTheme="minorEastAsia" w:cstheme="minorBidi"/>
            <w:color w:val="auto"/>
            <w:szCs w:val="22"/>
            <w:lang w:eastAsia="en-AU"/>
          </w:rPr>
          <w:tab/>
        </w:r>
        <w:r w:rsidR="006171A4" w:rsidRPr="009243CC">
          <w:rPr>
            <w:rStyle w:val="Hyperlink"/>
          </w:rPr>
          <w:t>Best, high and low projected rates of change and tonnes for HCB waste to 2034</w:t>
        </w:r>
        <w:r w:rsidR="006171A4">
          <w:rPr>
            <w:webHidden/>
          </w:rPr>
          <w:tab/>
        </w:r>
        <w:r>
          <w:rPr>
            <w:webHidden/>
          </w:rPr>
          <w:fldChar w:fldCharType="begin"/>
        </w:r>
        <w:r w:rsidR="006171A4">
          <w:rPr>
            <w:webHidden/>
          </w:rPr>
          <w:instrText xml:space="preserve"> PAGEREF _Toc425849314 \h </w:instrText>
        </w:r>
        <w:r>
          <w:rPr>
            <w:webHidden/>
          </w:rPr>
        </w:r>
        <w:r>
          <w:rPr>
            <w:webHidden/>
          </w:rPr>
          <w:fldChar w:fldCharType="separate"/>
        </w:r>
        <w:r w:rsidR="002F3000">
          <w:rPr>
            <w:webHidden/>
          </w:rPr>
          <w:t>41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15" w:history="1">
        <w:r w:rsidR="006171A4" w:rsidRPr="009243CC">
          <w:rPr>
            <w:rStyle w:val="Hyperlink"/>
          </w:rPr>
          <w:t xml:space="preserve">Table 30: </w:t>
        </w:r>
        <w:r w:rsidR="006171A4">
          <w:rPr>
            <w:rFonts w:eastAsiaTheme="minorEastAsia" w:cstheme="minorBidi"/>
            <w:color w:val="auto"/>
            <w:szCs w:val="22"/>
            <w:lang w:eastAsia="en-AU"/>
          </w:rPr>
          <w:tab/>
        </w:r>
        <w:r w:rsidR="006171A4" w:rsidRPr="009243CC">
          <w:rPr>
            <w:rStyle w:val="Hyperlink"/>
          </w:rPr>
          <w:t>Best, high and low projected rates of change for other organic chemical waste to 2034</w:t>
        </w:r>
        <w:r w:rsidR="006171A4">
          <w:rPr>
            <w:webHidden/>
          </w:rPr>
          <w:tab/>
        </w:r>
        <w:r>
          <w:rPr>
            <w:webHidden/>
          </w:rPr>
          <w:fldChar w:fldCharType="begin"/>
        </w:r>
        <w:r w:rsidR="006171A4">
          <w:rPr>
            <w:webHidden/>
          </w:rPr>
          <w:instrText xml:space="preserve"> PAGEREF _Toc425849315 \h </w:instrText>
        </w:r>
        <w:r>
          <w:rPr>
            <w:webHidden/>
          </w:rPr>
        </w:r>
        <w:r>
          <w:rPr>
            <w:webHidden/>
          </w:rPr>
          <w:fldChar w:fldCharType="separate"/>
        </w:r>
        <w:r w:rsidR="002F3000">
          <w:rPr>
            <w:webHidden/>
          </w:rPr>
          <w:t>42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16" w:history="1">
        <w:r w:rsidR="006171A4" w:rsidRPr="009243CC">
          <w:rPr>
            <w:rStyle w:val="Hyperlink"/>
          </w:rPr>
          <w:t xml:space="preserve">Table 31: </w:t>
        </w:r>
        <w:r w:rsidR="006171A4">
          <w:rPr>
            <w:rFonts w:eastAsiaTheme="minorEastAsia" w:cstheme="minorBidi"/>
            <w:color w:val="auto"/>
            <w:szCs w:val="22"/>
            <w:lang w:eastAsia="en-AU"/>
          </w:rPr>
          <w:tab/>
        </w:r>
        <w:r w:rsidR="006171A4" w:rsidRPr="009243CC">
          <w:rPr>
            <w:rStyle w:val="Hyperlink"/>
          </w:rPr>
          <w:t>Best, high and low projected rates of change for contaminated soil waste to 2034</w:t>
        </w:r>
        <w:r w:rsidR="006171A4">
          <w:rPr>
            <w:webHidden/>
          </w:rPr>
          <w:tab/>
        </w:r>
        <w:r>
          <w:rPr>
            <w:webHidden/>
          </w:rPr>
          <w:fldChar w:fldCharType="begin"/>
        </w:r>
        <w:r w:rsidR="006171A4">
          <w:rPr>
            <w:webHidden/>
          </w:rPr>
          <w:instrText xml:space="preserve"> PAGEREF _Toc425849316 \h </w:instrText>
        </w:r>
        <w:r>
          <w:rPr>
            <w:webHidden/>
          </w:rPr>
        </w:r>
        <w:r>
          <w:rPr>
            <w:webHidden/>
          </w:rPr>
          <w:fldChar w:fldCharType="separate"/>
        </w:r>
        <w:r w:rsidR="002F3000">
          <w:rPr>
            <w:webHidden/>
          </w:rPr>
          <w:t>43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17" w:history="1">
        <w:r w:rsidR="006171A4" w:rsidRPr="009243CC">
          <w:rPr>
            <w:rStyle w:val="Hyperlink"/>
          </w:rPr>
          <w:t xml:space="preserve">Table 32: </w:t>
        </w:r>
        <w:r w:rsidR="006171A4">
          <w:rPr>
            <w:rFonts w:eastAsiaTheme="minorEastAsia" w:cstheme="minorBidi"/>
            <w:color w:val="auto"/>
            <w:szCs w:val="22"/>
            <w:lang w:eastAsia="en-AU"/>
          </w:rPr>
          <w:tab/>
        </w:r>
        <w:r w:rsidR="006171A4" w:rsidRPr="009243CC">
          <w:rPr>
            <w:rStyle w:val="Hyperlink"/>
          </w:rPr>
          <w:t>Best, high and low projected rates of change for contaminated biosolids waste to 2034</w:t>
        </w:r>
        <w:r w:rsidR="006171A4">
          <w:rPr>
            <w:webHidden/>
          </w:rPr>
          <w:tab/>
        </w:r>
        <w:r>
          <w:rPr>
            <w:webHidden/>
          </w:rPr>
          <w:fldChar w:fldCharType="begin"/>
        </w:r>
        <w:r w:rsidR="006171A4">
          <w:rPr>
            <w:webHidden/>
          </w:rPr>
          <w:instrText xml:space="preserve"> PAGEREF _Toc425849317 \h </w:instrText>
        </w:r>
        <w:r>
          <w:rPr>
            <w:webHidden/>
          </w:rPr>
        </w:r>
        <w:r>
          <w:rPr>
            <w:webHidden/>
          </w:rPr>
          <w:fldChar w:fldCharType="separate"/>
        </w:r>
        <w:r w:rsidR="002F3000">
          <w:rPr>
            <w:webHidden/>
          </w:rPr>
          <w:t>45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18" w:history="1">
        <w:r w:rsidR="006171A4" w:rsidRPr="009243CC">
          <w:rPr>
            <w:rStyle w:val="Hyperlink"/>
          </w:rPr>
          <w:t xml:space="preserve">Table 33: </w:t>
        </w:r>
        <w:r w:rsidR="006171A4">
          <w:rPr>
            <w:rFonts w:eastAsiaTheme="minorEastAsia" w:cstheme="minorBidi"/>
            <w:color w:val="auto"/>
            <w:szCs w:val="22"/>
            <w:lang w:eastAsia="en-AU"/>
          </w:rPr>
          <w:tab/>
        </w:r>
        <w:r w:rsidR="006171A4" w:rsidRPr="009243CC">
          <w:rPr>
            <w:rStyle w:val="Hyperlink"/>
          </w:rPr>
          <w:t>Best, high and low projected tonnes for contaminated biosolids waste to 2034</w:t>
        </w:r>
        <w:r w:rsidR="006171A4">
          <w:rPr>
            <w:webHidden/>
          </w:rPr>
          <w:tab/>
        </w:r>
        <w:r>
          <w:rPr>
            <w:webHidden/>
          </w:rPr>
          <w:fldChar w:fldCharType="begin"/>
        </w:r>
        <w:r w:rsidR="006171A4">
          <w:rPr>
            <w:webHidden/>
          </w:rPr>
          <w:instrText xml:space="preserve"> PAGEREF _Toc425849318 \h </w:instrText>
        </w:r>
        <w:r>
          <w:rPr>
            <w:webHidden/>
          </w:rPr>
        </w:r>
        <w:r>
          <w:rPr>
            <w:webHidden/>
          </w:rPr>
          <w:fldChar w:fldCharType="separate"/>
        </w:r>
        <w:r w:rsidR="002F3000">
          <w:rPr>
            <w:webHidden/>
          </w:rPr>
          <w:t>46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19" w:history="1">
        <w:r w:rsidR="006171A4" w:rsidRPr="009243CC">
          <w:rPr>
            <w:rStyle w:val="Hyperlink"/>
          </w:rPr>
          <w:t xml:space="preserve">Table 34: </w:t>
        </w:r>
        <w:r w:rsidR="006171A4">
          <w:rPr>
            <w:rFonts w:eastAsiaTheme="minorEastAsia" w:cstheme="minorBidi"/>
            <w:color w:val="auto"/>
            <w:szCs w:val="22"/>
            <w:lang w:eastAsia="en-AU"/>
          </w:rPr>
          <w:tab/>
        </w:r>
        <w:r w:rsidR="006171A4" w:rsidRPr="009243CC">
          <w:rPr>
            <w:rStyle w:val="Hyperlink"/>
          </w:rPr>
          <w:t>Best, high and low projected rates of change for other industrial treatment residue waste to 2034</w:t>
        </w:r>
        <w:r w:rsidR="006171A4">
          <w:rPr>
            <w:webHidden/>
          </w:rPr>
          <w:tab/>
        </w:r>
        <w:r>
          <w:rPr>
            <w:webHidden/>
          </w:rPr>
          <w:fldChar w:fldCharType="begin"/>
        </w:r>
        <w:r w:rsidR="006171A4">
          <w:rPr>
            <w:webHidden/>
          </w:rPr>
          <w:instrText xml:space="preserve"> PAGEREF _Toc425849319 \h </w:instrText>
        </w:r>
        <w:r>
          <w:rPr>
            <w:webHidden/>
          </w:rPr>
        </w:r>
        <w:r>
          <w:rPr>
            <w:webHidden/>
          </w:rPr>
          <w:fldChar w:fldCharType="separate"/>
        </w:r>
        <w:r w:rsidR="002F3000">
          <w:rPr>
            <w:webHidden/>
          </w:rPr>
          <w:t>48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20" w:history="1">
        <w:r w:rsidR="006171A4" w:rsidRPr="009243CC">
          <w:rPr>
            <w:rStyle w:val="Hyperlink"/>
          </w:rPr>
          <w:t xml:space="preserve">Table 35: </w:t>
        </w:r>
        <w:r w:rsidR="006171A4">
          <w:rPr>
            <w:rFonts w:eastAsiaTheme="minorEastAsia" w:cstheme="minorBidi"/>
            <w:color w:val="auto"/>
            <w:szCs w:val="22"/>
            <w:lang w:eastAsia="en-AU"/>
          </w:rPr>
          <w:tab/>
        </w:r>
        <w:r w:rsidR="006171A4" w:rsidRPr="009243CC">
          <w:rPr>
            <w:rStyle w:val="Hyperlink"/>
          </w:rPr>
          <w:t>Best, high and low projected rates of change for asbestos waste to 2034</w:t>
        </w:r>
        <w:r w:rsidR="006171A4">
          <w:rPr>
            <w:webHidden/>
          </w:rPr>
          <w:tab/>
        </w:r>
        <w:r>
          <w:rPr>
            <w:webHidden/>
          </w:rPr>
          <w:fldChar w:fldCharType="begin"/>
        </w:r>
        <w:r w:rsidR="006171A4">
          <w:rPr>
            <w:webHidden/>
          </w:rPr>
          <w:instrText xml:space="preserve"> PAGEREF _Toc425849320 \h </w:instrText>
        </w:r>
        <w:r>
          <w:rPr>
            <w:webHidden/>
          </w:rPr>
        </w:r>
        <w:r>
          <w:rPr>
            <w:webHidden/>
          </w:rPr>
          <w:fldChar w:fldCharType="separate"/>
        </w:r>
        <w:r w:rsidR="002F3000">
          <w:rPr>
            <w:webHidden/>
          </w:rPr>
          <w:t>50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21" w:history="1">
        <w:r w:rsidR="006171A4" w:rsidRPr="009243CC">
          <w:rPr>
            <w:rStyle w:val="Hyperlink"/>
          </w:rPr>
          <w:t xml:space="preserve">Table 36: </w:t>
        </w:r>
        <w:r w:rsidR="006171A4">
          <w:rPr>
            <w:rFonts w:eastAsiaTheme="minorEastAsia" w:cstheme="minorBidi"/>
            <w:color w:val="auto"/>
            <w:szCs w:val="22"/>
            <w:lang w:eastAsia="en-AU"/>
          </w:rPr>
          <w:tab/>
        </w:r>
        <w:r w:rsidR="006171A4" w:rsidRPr="009243CC">
          <w:rPr>
            <w:rStyle w:val="Hyperlink"/>
          </w:rPr>
          <w:t>Best, high and low projected rates of change for other soil/sludge waste to 2034</w:t>
        </w:r>
        <w:r w:rsidR="006171A4">
          <w:rPr>
            <w:webHidden/>
          </w:rPr>
          <w:tab/>
        </w:r>
        <w:r>
          <w:rPr>
            <w:webHidden/>
          </w:rPr>
          <w:fldChar w:fldCharType="begin"/>
        </w:r>
        <w:r w:rsidR="006171A4">
          <w:rPr>
            <w:webHidden/>
          </w:rPr>
          <w:instrText xml:space="preserve"> PAGEREF _Toc425849321 \h </w:instrText>
        </w:r>
        <w:r>
          <w:rPr>
            <w:webHidden/>
          </w:rPr>
        </w:r>
        <w:r>
          <w:rPr>
            <w:webHidden/>
          </w:rPr>
          <w:fldChar w:fldCharType="separate"/>
        </w:r>
        <w:r w:rsidR="002F3000">
          <w:rPr>
            <w:webHidden/>
          </w:rPr>
          <w:t>51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22" w:history="1">
        <w:r w:rsidR="006171A4" w:rsidRPr="009243CC">
          <w:rPr>
            <w:rStyle w:val="Hyperlink"/>
          </w:rPr>
          <w:t xml:space="preserve">Table 37: </w:t>
        </w:r>
        <w:r w:rsidR="006171A4">
          <w:rPr>
            <w:rFonts w:eastAsiaTheme="minorEastAsia" w:cstheme="minorBidi"/>
            <w:color w:val="auto"/>
            <w:szCs w:val="22"/>
            <w:lang w:eastAsia="en-AU"/>
          </w:rPr>
          <w:tab/>
        </w:r>
        <w:r w:rsidR="006171A4" w:rsidRPr="009243CC">
          <w:rPr>
            <w:rStyle w:val="Hyperlink"/>
          </w:rPr>
          <w:t>Best, high and low projected rates of change for clinical and pharmaceutical waste to 2034</w:t>
        </w:r>
        <w:r w:rsidR="006171A4">
          <w:rPr>
            <w:webHidden/>
          </w:rPr>
          <w:tab/>
        </w:r>
        <w:r>
          <w:rPr>
            <w:webHidden/>
          </w:rPr>
          <w:fldChar w:fldCharType="begin"/>
        </w:r>
        <w:r w:rsidR="006171A4">
          <w:rPr>
            <w:webHidden/>
          </w:rPr>
          <w:instrText xml:space="preserve"> PAGEREF _Toc425849322 \h </w:instrText>
        </w:r>
        <w:r>
          <w:rPr>
            <w:webHidden/>
          </w:rPr>
        </w:r>
        <w:r>
          <w:rPr>
            <w:webHidden/>
          </w:rPr>
          <w:fldChar w:fldCharType="separate"/>
        </w:r>
        <w:r w:rsidR="002F3000">
          <w:rPr>
            <w:webHidden/>
          </w:rPr>
          <w:t>53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23" w:history="1">
        <w:r w:rsidR="006171A4" w:rsidRPr="009243CC">
          <w:rPr>
            <w:rStyle w:val="Hyperlink"/>
          </w:rPr>
          <w:t xml:space="preserve">Table 38: </w:t>
        </w:r>
        <w:r w:rsidR="006171A4">
          <w:rPr>
            <w:rFonts w:eastAsiaTheme="minorEastAsia" w:cstheme="minorBidi"/>
            <w:color w:val="auto"/>
            <w:szCs w:val="22"/>
            <w:lang w:eastAsia="en-AU"/>
          </w:rPr>
          <w:tab/>
        </w:r>
        <w:r w:rsidR="006171A4" w:rsidRPr="009243CC">
          <w:rPr>
            <w:rStyle w:val="Hyperlink"/>
          </w:rPr>
          <w:t>Best, high and low projected rates of change for tyre waste to 2034</w:t>
        </w:r>
        <w:r w:rsidR="006171A4">
          <w:rPr>
            <w:webHidden/>
          </w:rPr>
          <w:tab/>
        </w:r>
        <w:r>
          <w:rPr>
            <w:webHidden/>
          </w:rPr>
          <w:fldChar w:fldCharType="begin"/>
        </w:r>
        <w:r w:rsidR="006171A4">
          <w:rPr>
            <w:webHidden/>
          </w:rPr>
          <w:instrText xml:space="preserve"> PAGEREF _Toc425849323 \h </w:instrText>
        </w:r>
        <w:r>
          <w:rPr>
            <w:webHidden/>
          </w:rPr>
        </w:r>
        <w:r>
          <w:rPr>
            <w:webHidden/>
          </w:rPr>
          <w:fldChar w:fldCharType="separate"/>
        </w:r>
        <w:r w:rsidR="002F3000">
          <w:rPr>
            <w:webHidden/>
          </w:rPr>
          <w:t>54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24" w:history="1">
        <w:r w:rsidR="006171A4" w:rsidRPr="009243CC">
          <w:rPr>
            <w:rStyle w:val="Hyperlink"/>
          </w:rPr>
          <w:t xml:space="preserve">Table 39: </w:t>
        </w:r>
        <w:r w:rsidR="006171A4">
          <w:rPr>
            <w:rFonts w:eastAsiaTheme="minorEastAsia" w:cstheme="minorBidi"/>
            <w:color w:val="auto"/>
            <w:szCs w:val="22"/>
            <w:lang w:eastAsia="en-AU"/>
          </w:rPr>
          <w:tab/>
        </w:r>
        <w:r w:rsidR="006171A4" w:rsidRPr="009243CC">
          <w:rPr>
            <w:rStyle w:val="Hyperlink"/>
          </w:rPr>
          <w:t>Best, high and low projected rates of change for other miscellaneous waste to 2034</w:t>
        </w:r>
        <w:r w:rsidR="006171A4">
          <w:rPr>
            <w:webHidden/>
          </w:rPr>
          <w:tab/>
        </w:r>
        <w:r>
          <w:rPr>
            <w:webHidden/>
          </w:rPr>
          <w:fldChar w:fldCharType="begin"/>
        </w:r>
        <w:r w:rsidR="006171A4">
          <w:rPr>
            <w:webHidden/>
          </w:rPr>
          <w:instrText xml:space="preserve"> PAGEREF _Toc425849324 \h </w:instrText>
        </w:r>
        <w:r>
          <w:rPr>
            <w:webHidden/>
          </w:rPr>
        </w:r>
        <w:r>
          <w:rPr>
            <w:webHidden/>
          </w:rPr>
          <w:fldChar w:fldCharType="separate"/>
        </w:r>
        <w:r w:rsidR="002F3000">
          <w:rPr>
            <w:webHidden/>
          </w:rPr>
          <w:t>55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25" w:history="1">
        <w:r w:rsidR="006171A4" w:rsidRPr="009243CC">
          <w:rPr>
            <w:rStyle w:val="Hyperlink"/>
          </w:rPr>
          <w:t xml:space="preserve">Table 40: </w:t>
        </w:r>
        <w:r w:rsidR="006171A4">
          <w:rPr>
            <w:rFonts w:eastAsiaTheme="minorEastAsia" w:cstheme="minorBidi"/>
            <w:color w:val="auto"/>
            <w:szCs w:val="22"/>
            <w:lang w:eastAsia="en-AU"/>
          </w:rPr>
          <w:tab/>
        </w:r>
        <w:r w:rsidR="006171A4" w:rsidRPr="009243CC">
          <w:rPr>
            <w:rStyle w:val="Hyperlink"/>
          </w:rPr>
          <w:t>Approaches used to project lithium-ion battery waste for different battery types</w:t>
        </w:r>
        <w:r w:rsidR="006171A4">
          <w:rPr>
            <w:webHidden/>
          </w:rPr>
          <w:tab/>
        </w:r>
        <w:r>
          <w:rPr>
            <w:webHidden/>
          </w:rPr>
          <w:fldChar w:fldCharType="begin"/>
        </w:r>
        <w:r w:rsidR="006171A4">
          <w:rPr>
            <w:webHidden/>
          </w:rPr>
          <w:instrText xml:space="preserve"> PAGEREF _Toc425849325 \h </w:instrText>
        </w:r>
        <w:r>
          <w:rPr>
            <w:webHidden/>
          </w:rPr>
        </w:r>
        <w:r>
          <w:rPr>
            <w:webHidden/>
          </w:rPr>
          <w:fldChar w:fldCharType="separate"/>
        </w:r>
        <w:r w:rsidR="002F3000">
          <w:rPr>
            <w:webHidden/>
          </w:rPr>
          <w:t>56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26" w:history="1">
        <w:r w:rsidR="006171A4" w:rsidRPr="009243CC">
          <w:rPr>
            <w:rStyle w:val="Hyperlink"/>
          </w:rPr>
          <w:t xml:space="preserve">Table 41: </w:t>
        </w:r>
        <w:r w:rsidR="006171A4">
          <w:rPr>
            <w:rFonts w:eastAsiaTheme="minorEastAsia" w:cstheme="minorBidi"/>
            <w:color w:val="auto"/>
            <w:szCs w:val="22"/>
            <w:lang w:eastAsia="en-AU"/>
          </w:rPr>
          <w:tab/>
        </w:r>
        <w:r w:rsidR="006171A4" w:rsidRPr="009243CC">
          <w:rPr>
            <w:rStyle w:val="Hyperlink"/>
          </w:rPr>
          <w:t>Best, high and low projected rates of change for lithium-ion battery waste to 2034</w:t>
        </w:r>
        <w:r w:rsidR="006171A4">
          <w:rPr>
            <w:webHidden/>
          </w:rPr>
          <w:tab/>
        </w:r>
        <w:r>
          <w:rPr>
            <w:webHidden/>
          </w:rPr>
          <w:fldChar w:fldCharType="begin"/>
        </w:r>
        <w:r w:rsidR="006171A4">
          <w:rPr>
            <w:webHidden/>
          </w:rPr>
          <w:instrText xml:space="preserve"> PAGEREF _Toc425849326 \h </w:instrText>
        </w:r>
        <w:r>
          <w:rPr>
            <w:webHidden/>
          </w:rPr>
        </w:r>
        <w:r>
          <w:rPr>
            <w:webHidden/>
          </w:rPr>
          <w:fldChar w:fldCharType="separate"/>
        </w:r>
        <w:r w:rsidR="002F3000">
          <w:rPr>
            <w:webHidden/>
          </w:rPr>
          <w:t>57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27" w:history="1">
        <w:r w:rsidR="006171A4" w:rsidRPr="009243CC">
          <w:rPr>
            <w:rStyle w:val="Hyperlink"/>
          </w:rPr>
          <w:t xml:space="preserve">Table 42: </w:t>
        </w:r>
        <w:r w:rsidR="006171A4">
          <w:rPr>
            <w:rFonts w:eastAsiaTheme="minorEastAsia" w:cstheme="minorBidi"/>
            <w:color w:val="auto"/>
            <w:szCs w:val="22"/>
            <w:lang w:eastAsia="en-AU"/>
          </w:rPr>
          <w:tab/>
        </w:r>
        <w:r w:rsidR="006171A4" w:rsidRPr="009243CC">
          <w:rPr>
            <w:rStyle w:val="Hyperlink"/>
          </w:rPr>
          <w:t>The fate of tracked hazardous waste in NSW, Qld and Vic, 2012-13 (tonnes)</w:t>
        </w:r>
        <w:r w:rsidR="006171A4" w:rsidRPr="009243CC">
          <w:rPr>
            <w:rStyle w:val="Hyperlink"/>
            <w:vertAlign w:val="superscript"/>
          </w:rPr>
          <w:t>18</w:t>
        </w:r>
        <w:r w:rsidR="006171A4">
          <w:rPr>
            <w:webHidden/>
          </w:rPr>
          <w:tab/>
        </w:r>
        <w:r>
          <w:rPr>
            <w:webHidden/>
          </w:rPr>
          <w:fldChar w:fldCharType="begin"/>
        </w:r>
        <w:r w:rsidR="006171A4">
          <w:rPr>
            <w:webHidden/>
          </w:rPr>
          <w:instrText xml:space="preserve"> PAGEREF _Toc425849327 \h </w:instrText>
        </w:r>
        <w:r>
          <w:rPr>
            <w:webHidden/>
          </w:rPr>
        </w:r>
        <w:r>
          <w:rPr>
            <w:webHidden/>
          </w:rPr>
          <w:fldChar w:fldCharType="separate"/>
        </w:r>
        <w:r w:rsidR="002F3000">
          <w:rPr>
            <w:webHidden/>
          </w:rPr>
          <w:t>59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28" w:history="1">
        <w:r w:rsidR="006171A4" w:rsidRPr="009243CC">
          <w:rPr>
            <w:rStyle w:val="Hyperlink"/>
          </w:rPr>
          <w:t xml:space="preserve">Table 43: </w:t>
        </w:r>
        <w:r w:rsidR="006171A4">
          <w:rPr>
            <w:rFonts w:eastAsiaTheme="minorEastAsia" w:cstheme="minorBidi"/>
            <w:color w:val="auto"/>
            <w:szCs w:val="22"/>
            <w:lang w:eastAsia="en-AU"/>
          </w:rPr>
          <w:tab/>
        </w:r>
        <w:r w:rsidR="006171A4" w:rsidRPr="009243CC">
          <w:rPr>
            <w:rStyle w:val="Hyperlink"/>
          </w:rPr>
          <w:t>The fate of tracked hazardous waste in NSW, Qld and Vic, 2012-13 (percentages)</w:t>
        </w:r>
        <w:r w:rsidR="006171A4">
          <w:rPr>
            <w:webHidden/>
          </w:rPr>
          <w:tab/>
        </w:r>
        <w:r>
          <w:rPr>
            <w:webHidden/>
          </w:rPr>
          <w:fldChar w:fldCharType="begin"/>
        </w:r>
        <w:r w:rsidR="006171A4">
          <w:rPr>
            <w:webHidden/>
          </w:rPr>
          <w:instrText xml:space="preserve"> PAGEREF _Toc425849328 \h </w:instrText>
        </w:r>
        <w:r>
          <w:rPr>
            <w:webHidden/>
          </w:rPr>
        </w:r>
        <w:r>
          <w:rPr>
            <w:webHidden/>
          </w:rPr>
          <w:fldChar w:fldCharType="separate"/>
        </w:r>
        <w:r w:rsidR="002F3000">
          <w:rPr>
            <w:webHidden/>
          </w:rPr>
          <w:t>60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29" w:history="1">
        <w:r w:rsidR="006171A4" w:rsidRPr="009243CC">
          <w:rPr>
            <w:rStyle w:val="Hyperlink"/>
          </w:rPr>
          <w:t xml:space="preserve">Table 44: </w:t>
        </w:r>
        <w:r w:rsidR="006171A4">
          <w:rPr>
            <w:rFonts w:eastAsiaTheme="minorEastAsia" w:cstheme="minorBidi"/>
            <w:color w:val="auto"/>
            <w:szCs w:val="22"/>
            <w:lang w:eastAsia="en-AU"/>
          </w:rPr>
          <w:tab/>
        </w:r>
        <w:r w:rsidR="006171A4" w:rsidRPr="009243CC">
          <w:rPr>
            <w:rStyle w:val="Hyperlink"/>
          </w:rPr>
          <w:t>Limitations to the scope of the Rawtec (2014 p.8) database of hazardous waste infrastructure in Australia</w:t>
        </w:r>
        <w:r w:rsidR="006171A4">
          <w:rPr>
            <w:webHidden/>
          </w:rPr>
          <w:tab/>
        </w:r>
        <w:r>
          <w:rPr>
            <w:webHidden/>
          </w:rPr>
          <w:fldChar w:fldCharType="begin"/>
        </w:r>
        <w:r w:rsidR="006171A4">
          <w:rPr>
            <w:webHidden/>
          </w:rPr>
          <w:instrText xml:space="preserve"> PAGEREF _Toc425849329 \h </w:instrText>
        </w:r>
        <w:r>
          <w:rPr>
            <w:webHidden/>
          </w:rPr>
        </w:r>
        <w:r>
          <w:rPr>
            <w:webHidden/>
          </w:rPr>
          <w:fldChar w:fldCharType="separate"/>
        </w:r>
        <w:r w:rsidR="002F3000">
          <w:rPr>
            <w:webHidden/>
          </w:rPr>
          <w:t>63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30" w:history="1">
        <w:r w:rsidR="006171A4" w:rsidRPr="009243CC">
          <w:rPr>
            <w:rStyle w:val="Hyperlink"/>
          </w:rPr>
          <w:t>Table 45:</w:t>
        </w:r>
        <w:r w:rsidR="006171A4">
          <w:rPr>
            <w:rFonts w:eastAsiaTheme="minorEastAsia" w:cstheme="minorBidi"/>
            <w:color w:val="auto"/>
            <w:szCs w:val="22"/>
            <w:lang w:eastAsia="en-AU"/>
          </w:rPr>
          <w:tab/>
        </w:r>
        <w:r w:rsidR="006171A4" w:rsidRPr="009243CC">
          <w:rPr>
            <w:rStyle w:val="Hyperlink"/>
          </w:rPr>
          <w:t>Infrastructure groups</w:t>
        </w:r>
        <w:r w:rsidR="006171A4">
          <w:rPr>
            <w:webHidden/>
          </w:rPr>
          <w:tab/>
        </w:r>
        <w:r>
          <w:rPr>
            <w:webHidden/>
          </w:rPr>
          <w:fldChar w:fldCharType="begin"/>
        </w:r>
        <w:r w:rsidR="006171A4">
          <w:rPr>
            <w:webHidden/>
          </w:rPr>
          <w:instrText xml:space="preserve"> PAGEREF _Toc425849330 \h </w:instrText>
        </w:r>
        <w:r>
          <w:rPr>
            <w:webHidden/>
          </w:rPr>
        </w:r>
        <w:r>
          <w:rPr>
            <w:webHidden/>
          </w:rPr>
          <w:fldChar w:fldCharType="separate"/>
        </w:r>
        <w:r w:rsidR="002F3000">
          <w:rPr>
            <w:webHidden/>
          </w:rPr>
          <w:t>65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31" w:history="1">
        <w:r w:rsidR="006171A4" w:rsidRPr="009243CC">
          <w:rPr>
            <w:rStyle w:val="Hyperlink"/>
          </w:rPr>
          <w:t xml:space="preserve">Table 46: </w:t>
        </w:r>
        <w:r w:rsidR="006171A4">
          <w:rPr>
            <w:rFonts w:eastAsiaTheme="minorEastAsia" w:cstheme="minorBidi"/>
            <w:color w:val="auto"/>
            <w:szCs w:val="22"/>
            <w:lang w:eastAsia="en-AU"/>
          </w:rPr>
          <w:tab/>
        </w:r>
        <w:r w:rsidR="006171A4" w:rsidRPr="009243CC">
          <w:rPr>
            <w:rStyle w:val="Hyperlink"/>
          </w:rPr>
          <w:t>Method for classifying companies by uniqueness</w:t>
        </w:r>
        <w:r w:rsidR="006171A4">
          <w:rPr>
            <w:webHidden/>
          </w:rPr>
          <w:tab/>
        </w:r>
        <w:r>
          <w:rPr>
            <w:webHidden/>
          </w:rPr>
          <w:fldChar w:fldCharType="begin"/>
        </w:r>
        <w:r w:rsidR="006171A4">
          <w:rPr>
            <w:webHidden/>
          </w:rPr>
          <w:instrText xml:space="preserve"> PAGEREF _Toc425849331 \h </w:instrText>
        </w:r>
        <w:r>
          <w:rPr>
            <w:webHidden/>
          </w:rPr>
        </w:r>
        <w:r>
          <w:rPr>
            <w:webHidden/>
          </w:rPr>
          <w:fldChar w:fldCharType="separate"/>
        </w:r>
        <w:r w:rsidR="002F3000">
          <w:rPr>
            <w:webHidden/>
          </w:rPr>
          <w:t>67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32" w:history="1">
        <w:r w:rsidR="006171A4" w:rsidRPr="009243CC">
          <w:rPr>
            <w:rStyle w:val="Hyperlink"/>
          </w:rPr>
          <w:t xml:space="preserve">Table 47: </w:t>
        </w:r>
        <w:r w:rsidR="006171A4">
          <w:rPr>
            <w:rFonts w:eastAsiaTheme="minorEastAsia" w:cstheme="minorBidi"/>
            <w:color w:val="auto"/>
            <w:szCs w:val="22"/>
            <w:lang w:eastAsia="en-AU"/>
          </w:rPr>
          <w:tab/>
        </w:r>
        <w:r w:rsidR="006171A4" w:rsidRPr="009243CC">
          <w:rPr>
            <w:rStyle w:val="Hyperlink"/>
          </w:rPr>
          <w:t>Method for classifying companies by operational scale</w:t>
        </w:r>
        <w:r w:rsidR="006171A4">
          <w:rPr>
            <w:webHidden/>
          </w:rPr>
          <w:tab/>
        </w:r>
        <w:r>
          <w:rPr>
            <w:webHidden/>
          </w:rPr>
          <w:fldChar w:fldCharType="begin"/>
        </w:r>
        <w:r w:rsidR="006171A4">
          <w:rPr>
            <w:webHidden/>
          </w:rPr>
          <w:instrText xml:space="preserve"> PAGEREF _Toc425849332 \h </w:instrText>
        </w:r>
        <w:r>
          <w:rPr>
            <w:webHidden/>
          </w:rPr>
        </w:r>
        <w:r>
          <w:rPr>
            <w:webHidden/>
          </w:rPr>
          <w:fldChar w:fldCharType="separate"/>
        </w:r>
        <w:r w:rsidR="002F3000">
          <w:rPr>
            <w:webHidden/>
          </w:rPr>
          <w:t>67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33" w:history="1">
        <w:r w:rsidR="006171A4" w:rsidRPr="009243CC">
          <w:rPr>
            <w:rStyle w:val="Hyperlink"/>
          </w:rPr>
          <w:t xml:space="preserve">Table 48: </w:t>
        </w:r>
        <w:r w:rsidR="006171A4">
          <w:rPr>
            <w:rFonts w:eastAsiaTheme="minorEastAsia" w:cstheme="minorBidi"/>
            <w:color w:val="auto"/>
            <w:szCs w:val="22"/>
            <w:lang w:eastAsia="en-AU"/>
          </w:rPr>
          <w:tab/>
        </w:r>
        <w:r w:rsidR="006171A4" w:rsidRPr="009243CC">
          <w:rPr>
            <w:rStyle w:val="Hyperlink"/>
          </w:rPr>
          <w:t>Industry consultation rankings</w:t>
        </w:r>
        <w:r w:rsidR="006171A4">
          <w:rPr>
            <w:webHidden/>
          </w:rPr>
          <w:tab/>
        </w:r>
        <w:r>
          <w:rPr>
            <w:webHidden/>
          </w:rPr>
          <w:fldChar w:fldCharType="begin"/>
        </w:r>
        <w:r w:rsidR="006171A4">
          <w:rPr>
            <w:webHidden/>
          </w:rPr>
          <w:instrText xml:space="preserve"> PAGEREF _Toc425849333 \h </w:instrText>
        </w:r>
        <w:r>
          <w:rPr>
            <w:webHidden/>
          </w:rPr>
        </w:r>
        <w:r>
          <w:rPr>
            <w:webHidden/>
          </w:rPr>
          <w:fldChar w:fldCharType="separate"/>
        </w:r>
        <w:r w:rsidR="002F3000">
          <w:rPr>
            <w:webHidden/>
          </w:rPr>
          <w:t>67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34" w:history="1">
        <w:r w:rsidR="006171A4" w:rsidRPr="009243CC">
          <w:rPr>
            <w:rStyle w:val="Hyperlink"/>
          </w:rPr>
          <w:t xml:space="preserve">Table 49: </w:t>
        </w:r>
        <w:r w:rsidR="006171A4">
          <w:rPr>
            <w:rFonts w:eastAsiaTheme="minorEastAsia" w:cstheme="minorBidi"/>
            <w:color w:val="auto"/>
            <w:szCs w:val="22"/>
            <w:lang w:eastAsia="en-AU"/>
          </w:rPr>
          <w:tab/>
        </w:r>
        <w:r w:rsidR="006171A4" w:rsidRPr="009243CC">
          <w:rPr>
            <w:rStyle w:val="Hyperlink"/>
          </w:rPr>
          <w:t>Questions asked of industry consultation survey respondents</w:t>
        </w:r>
        <w:r w:rsidR="006171A4">
          <w:rPr>
            <w:webHidden/>
          </w:rPr>
          <w:tab/>
        </w:r>
        <w:r>
          <w:rPr>
            <w:webHidden/>
          </w:rPr>
          <w:fldChar w:fldCharType="begin"/>
        </w:r>
        <w:r w:rsidR="006171A4">
          <w:rPr>
            <w:webHidden/>
          </w:rPr>
          <w:instrText xml:space="preserve"> PAGEREF _Toc425849334 \h </w:instrText>
        </w:r>
        <w:r>
          <w:rPr>
            <w:webHidden/>
          </w:rPr>
        </w:r>
        <w:r>
          <w:rPr>
            <w:webHidden/>
          </w:rPr>
          <w:fldChar w:fldCharType="separate"/>
        </w:r>
        <w:r w:rsidR="002F3000">
          <w:rPr>
            <w:webHidden/>
          </w:rPr>
          <w:t>68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35" w:history="1">
        <w:r w:rsidR="006171A4" w:rsidRPr="009243CC">
          <w:rPr>
            <w:rStyle w:val="Hyperlink"/>
          </w:rPr>
          <w:t>Table 50:</w:t>
        </w:r>
        <w:r w:rsidR="006171A4">
          <w:rPr>
            <w:rFonts w:eastAsiaTheme="minorEastAsia" w:cstheme="minorBidi"/>
            <w:color w:val="auto"/>
            <w:szCs w:val="22"/>
            <w:lang w:eastAsia="en-AU"/>
          </w:rPr>
          <w:tab/>
        </w:r>
        <w:r w:rsidR="006171A4" w:rsidRPr="009243CC">
          <w:rPr>
            <w:rStyle w:val="Hyperlink"/>
          </w:rPr>
          <w:t>Summary of survey results by site</w:t>
        </w:r>
        <w:r w:rsidR="006171A4">
          <w:rPr>
            <w:webHidden/>
          </w:rPr>
          <w:tab/>
        </w:r>
        <w:r>
          <w:rPr>
            <w:webHidden/>
          </w:rPr>
          <w:fldChar w:fldCharType="begin"/>
        </w:r>
        <w:r w:rsidR="006171A4">
          <w:rPr>
            <w:webHidden/>
          </w:rPr>
          <w:instrText xml:space="preserve"> PAGEREF _Toc425849335 \h </w:instrText>
        </w:r>
        <w:r>
          <w:rPr>
            <w:webHidden/>
          </w:rPr>
        </w:r>
        <w:r>
          <w:rPr>
            <w:webHidden/>
          </w:rPr>
          <w:fldChar w:fldCharType="separate"/>
        </w:r>
        <w:r w:rsidR="002F3000">
          <w:rPr>
            <w:webHidden/>
          </w:rPr>
          <w:t>69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36" w:history="1">
        <w:r w:rsidR="006171A4" w:rsidRPr="009243CC">
          <w:rPr>
            <w:rStyle w:val="Hyperlink"/>
          </w:rPr>
          <w:t>Table 51:</w:t>
        </w:r>
        <w:r w:rsidR="006171A4">
          <w:rPr>
            <w:rFonts w:eastAsiaTheme="minorEastAsia" w:cstheme="minorBidi"/>
            <w:color w:val="auto"/>
            <w:szCs w:val="22"/>
            <w:lang w:eastAsia="en-AU"/>
          </w:rPr>
          <w:tab/>
        </w:r>
        <w:r w:rsidR="006171A4" w:rsidRPr="009243CC">
          <w:rPr>
            <w:rStyle w:val="Hyperlink"/>
          </w:rPr>
          <w:t>National capacity estimate of hazardous waste infrastructure</w:t>
        </w:r>
        <w:r w:rsidR="006171A4">
          <w:rPr>
            <w:webHidden/>
          </w:rPr>
          <w:tab/>
        </w:r>
        <w:r>
          <w:rPr>
            <w:webHidden/>
          </w:rPr>
          <w:fldChar w:fldCharType="begin"/>
        </w:r>
        <w:r w:rsidR="006171A4">
          <w:rPr>
            <w:webHidden/>
          </w:rPr>
          <w:instrText xml:space="preserve"> PAGEREF _Toc425849336 \h </w:instrText>
        </w:r>
        <w:r>
          <w:rPr>
            <w:webHidden/>
          </w:rPr>
        </w:r>
        <w:r>
          <w:rPr>
            <w:webHidden/>
          </w:rPr>
          <w:fldChar w:fldCharType="separate"/>
        </w:r>
        <w:r w:rsidR="002F3000">
          <w:rPr>
            <w:webHidden/>
          </w:rPr>
          <w:t>70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37" w:history="1">
        <w:r w:rsidR="006171A4" w:rsidRPr="009243CC">
          <w:rPr>
            <w:rStyle w:val="Hyperlink"/>
            <w:rFonts w:cs="Calibri"/>
          </w:rPr>
          <w:t>Table</w:t>
        </w:r>
        <w:r w:rsidR="006171A4" w:rsidRPr="009243CC">
          <w:rPr>
            <w:rStyle w:val="Hyperlink"/>
          </w:rPr>
          <w:t xml:space="preserve"> 52:</w:t>
        </w:r>
        <w:r w:rsidR="006171A4">
          <w:rPr>
            <w:rFonts w:eastAsiaTheme="minorEastAsia" w:cstheme="minorBidi"/>
            <w:color w:val="auto"/>
            <w:szCs w:val="22"/>
            <w:lang w:eastAsia="en-AU"/>
          </w:rPr>
          <w:tab/>
        </w:r>
        <w:r w:rsidR="006171A4" w:rsidRPr="009243CC">
          <w:rPr>
            <w:rStyle w:val="Hyperlink"/>
            <w:rFonts w:cs="Calibri"/>
          </w:rPr>
          <w:t>Jurisdictional capacity estimate of hazardous waste infrastructure</w:t>
        </w:r>
        <w:r w:rsidR="006171A4">
          <w:rPr>
            <w:webHidden/>
          </w:rPr>
          <w:tab/>
        </w:r>
        <w:r>
          <w:rPr>
            <w:webHidden/>
          </w:rPr>
          <w:fldChar w:fldCharType="begin"/>
        </w:r>
        <w:r w:rsidR="006171A4">
          <w:rPr>
            <w:webHidden/>
          </w:rPr>
          <w:instrText xml:space="preserve"> PAGEREF _Toc425849337 \h </w:instrText>
        </w:r>
        <w:r>
          <w:rPr>
            <w:webHidden/>
          </w:rPr>
        </w:r>
        <w:r>
          <w:rPr>
            <w:webHidden/>
          </w:rPr>
          <w:fldChar w:fldCharType="separate"/>
        </w:r>
        <w:r w:rsidR="002F3000">
          <w:rPr>
            <w:webHidden/>
          </w:rPr>
          <w:t>72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38" w:history="1">
        <w:r w:rsidR="006171A4" w:rsidRPr="009243CC">
          <w:rPr>
            <w:rStyle w:val="Hyperlink"/>
          </w:rPr>
          <w:t xml:space="preserve">Table 53: </w:t>
        </w:r>
        <w:r w:rsidR="006171A4">
          <w:rPr>
            <w:rFonts w:eastAsiaTheme="minorEastAsia" w:cstheme="minorBidi"/>
            <w:color w:val="auto"/>
            <w:szCs w:val="22"/>
            <w:lang w:eastAsia="en-AU"/>
          </w:rPr>
          <w:tab/>
        </w:r>
        <w:r w:rsidR="006171A4" w:rsidRPr="009243CC">
          <w:rPr>
            <w:rStyle w:val="Hyperlink"/>
          </w:rPr>
          <w:t>Adjustments made to the jurisdictional fate data to enable assessment of need vs. capacity</w:t>
        </w:r>
        <w:r w:rsidR="006171A4">
          <w:rPr>
            <w:webHidden/>
          </w:rPr>
          <w:tab/>
        </w:r>
        <w:r>
          <w:rPr>
            <w:webHidden/>
          </w:rPr>
          <w:fldChar w:fldCharType="begin"/>
        </w:r>
        <w:r w:rsidR="006171A4">
          <w:rPr>
            <w:webHidden/>
          </w:rPr>
          <w:instrText xml:space="preserve"> PAGEREF _Toc425849338 \h </w:instrText>
        </w:r>
        <w:r>
          <w:rPr>
            <w:webHidden/>
          </w:rPr>
        </w:r>
        <w:r>
          <w:rPr>
            <w:webHidden/>
          </w:rPr>
          <w:fldChar w:fldCharType="separate"/>
        </w:r>
        <w:r w:rsidR="002F3000">
          <w:rPr>
            <w:webHidden/>
          </w:rPr>
          <w:t>78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39" w:history="1">
        <w:r w:rsidR="006171A4" w:rsidRPr="009243CC">
          <w:rPr>
            <w:rStyle w:val="Hyperlink"/>
          </w:rPr>
          <w:t xml:space="preserve">Table 54: </w:t>
        </w:r>
        <w:r w:rsidR="006171A4">
          <w:rPr>
            <w:rFonts w:eastAsiaTheme="minorEastAsia" w:cstheme="minorBidi"/>
            <w:color w:val="auto"/>
            <w:szCs w:val="22"/>
            <w:lang w:eastAsia="en-AU"/>
          </w:rPr>
          <w:tab/>
        </w:r>
        <w:r w:rsidR="006171A4" w:rsidRPr="009243CC">
          <w:rPr>
            <w:rStyle w:val="Hyperlink"/>
          </w:rPr>
          <w:t>Mapping of fate to infrastructure group by waste groups</w:t>
        </w:r>
        <w:r w:rsidR="006171A4">
          <w:rPr>
            <w:webHidden/>
          </w:rPr>
          <w:tab/>
        </w:r>
        <w:r>
          <w:rPr>
            <w:webHidden/>
          </w:rPr>
          <w:fldChar w:fldCharType="begin"/>
        </w:r>
        <w:r w:rsidR="006171A4">
          <w:rPr>
            <w:webHidden/>
          </w:rPr>
          <w:instrText xml:space="preserve"> PAGEREF _Toc425849339 \h </w:instrText>
        </w:r>
        <w:r>
          <w:rPr>
            <w:webHidden/>
          </w:rPr>
        </w:r>
        <w:r>
          <w:rPr>
            <w:webHidden/>
          </w:rPr>
          <w:fldChar w:fldCharType="separate"/>
        </w:r>
        <w:r w:rsidR="002F3000">
          <w:rPr>
            <w:webHidden/>
          </w:rPr>
          <w:t>79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40" w:history="1">
        <w:r w:rsidR="006171A4" w:rsidRPr="009243CC">
          <w:rPr>
            <w:rStyle w:val="Hyperlink"/>
          </w:rPr>
          <w:t>Table 55:</w:t>
        </w:r>
        <w:r w:rsidR="006171A4">
          <w:rPr>
            <w:rFonts w:eastAsiaTheme="minorEastAsia" w:cstheme="minorBidi"/>
            <w:color w:val="auto"/>
            <w:szCs w:val="22"/>
            <w:lang w:eastAsia="en-AU"/>
          </w:rPr>
          <w:tab/>
        </w:r>
        <w:r w:rsidR="006171A4" w:rsidRPr="009243CC">
          <w:rPr>
            <w:rStyle w:val="Hyperlink"/>
          </w:rPr>
          <w:t>Waste groups allocation to infrastructure groups and national average fate proportions</w:t>
        </w:r>
        <w:r w:rsidR="006171A4">
          <w:rPr>
            <w:webHidden/>
          </w:rPr>
          <w:tab/>
        </w:r>
        <w:r>
          <w:rPr>
            <w:webHidden/>
          </w:rPr>
          <w:fldChar w:fldCharType="begin"/>
        </w:r>
        <w:r w:rsidR="006171A4">
          <w:rPr>
            <w:webHidden/>
          </w:rPr>
          <w:instrText xml:space="preserve"> PAGEREF _Toc425849340 \h </w:instrText>
        </w:r>
        <w:r>
          <w:rPr>
            <w:webHidden/>
          </w:rPr>
        </w:r>
        <w:r>
          <w:rPr>
            <w:webHidden/>
          </w:rPr>
          <w:fldChar w:fldCharType="separate"/>
        </w:r>
        <w:r w:rsidR="002F3000">
          <w:rPr>
            <w:webHidden/>
          </w:rPr>
          <w:t>83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41" w:history="1">
        <w:r w:rsidR="006171A4" w:rsidRPr="009243CC">
          <w:rPr>
            <w:rStyle w:val="Hyperlink"/>
          </w:rPr>
          <w:t>Table 56:</w:t>
        </w:r>
        <w:r w:rsidR="006171A4">
          <w:rPr>
            <w:rFonts w:eastAsiaTheme="minorEastAsia" w:cstheme="minorBidi"/>
            <w:color w:val="auto"/>
            <w:szCs w:val="22"/>
            <w:lang w:eastAsia="en-AU"/>
          </w:rPr>
          <w:tab/>
        </w:r>
        <w:r w:rsidR="006171A4" w:rsidRPr="009243CC">
          <w:rPr>
            <w:rStyle w:val="Hyperlink"/>
          </w:rPr>
          <w:t>Infrastructure capacity estimates assessment of uncertainty</w:t>
        </w:r>
        <w:r w:rsidR="006171A4">
          <w:rPr>
            <w:webHidden/>
          </w:rPr>
          <w:tab/>
        </w:r>
        <w:r>
          <w:rPr>
            <w:webHidden/>
          </w:rPr>
          <w:fldChar w:fldCharType="begin"/>
        </w:r>
        <w:r w:rsidR="006171A4">
          <w:rPr>
            <w:webHidden/>
          </w:rPr>
          <w:instrText xml:space="preserve"> PAGEREF _Toc425849341 \h </w:instrText>
        </w:r>
        <w:r>
          <w:rPr>
            <w:webHidden/>
          </w:rPr>
        </w:r>
        <w:r>
          <w:rPr>
            <w:webHidden/>
          </w:rPr>
          <w:fldChar w:fldCharType="separate"/>
        </w:r>
        <w:r w:rsidR="002F3000">
          <w:rPr>
            <w:webHidden/>
          </w:rPr>
          <w:t>85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42" w:history="1">
        <w:r w:rsidR="006171A4" w:rsidRPr="009243CC">
          <w:rPr>
            <w:rStyle w:val="Hyperlink"/>
          </w:rPr>
          <w:t xml:space="preserve">Table 57: </w:t>
        </w:r>
        <w:r w:rsidR="006171A4">
          <w:rPr>
            <w:rFonts w:eastAsiaTheme="minorEastAsia" w:cstheme="minorBidi"/>
            <w:color w:val="auto"/>
            <w:szCs w:val="22"/>
            <w:lang w:eastAsia="en-AU"/>
          </w:rPr>
          <w:tab/>
        </w:r>
        <w:r w:rsidR="006171A4" w:rsidRPr="009243CC">
          <w:rPr>
            <w:rStyle w:val="Hyperlink"/>
          </w:rPr>
          <w:t>National assessment of projected arisings vs. infrastructure capacity</w:t>
        </w:r>
        <w:r w:rsidR="006171A4">
          <w:rPr>
            <w:webHidden/>
          </w:rPr>
          <w:tab/>
        </w:r>
        <w:r>
          <w:rPr>
            <w:webHidden/>
          </w:rPr>
          <w:fldChar w:fldCharType="begin"/>
        </w:r>
        <w:r w:rsidR="006171A4">
          <w:rPr>
            <w:webHidden/>
          </w:rPr>
          <w:instrText xml:space="preserve"> PAGEREF _Toc425849342 \h </w:instrText>
        </w:r>
        <w:r>
          <w:rPr>
            <w:webHidden/>
          </w:rPr>
        </w:r>
        <w:r>
          <w:rPr>
            <w:webHidden/>
          </w:rPr>
          <w:fldChar w:fldCharType="separate"/>
        </w:r>
        <w:r w:rsidR="002F3000">
          <w:rPr>
            <w:webHidden/>
          </w:rPr>
          <w:t>86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43" w:history="1">
        <w:r w:rsidR="006171A4" w:rsidRPr="009243CC">
          <w:rPr>
            <w:rStyle w:val="Hyperlink"/>
          </w:rPr>
          <w:t>Table 58:</w:t>
        </w:r>
        <w:r w:rsidR="006171A4">
          <w:rPr>
            <w:rFonts w:eastAsiaTheme="minorEastAsia" w:cstheme="minorBidi"/>
            <w:color w:val="auto"/>
            <w:szCs w:val="22"/>
            <w:lang w:eastAsia="en-AU"/>
          </w:rPr>
          <w:tab/>
        </w:r>
        <w:r w:rsidR="006171A4" w:rsidRPr="009243CC">
          <w:rPr>
            <w:rStyle w:val="Hyperlink"/>
          </w:rPr>
          <w:t>NEPM 2012-13 net imports/exports by jurisdiction and NEMP 15 code</w:t>
        </w:r>
        <w:r w:rsidR="006171A4">
          <w:rPr>
            <w:webHidden/>
          </w:rPr>
          <w:tab/>
        </w:r>
        <w:r>
          <w:rPr>
            <w:webHidden/>
          </w:rPr>
          <w:fldChar w:fldCharType="begin"/>
        </w:r>
        <w:r w:rsidR="006171A4">
          <w:rPr>
            <w:webHidden/>
          </w:rPr>
          <w:instrText xml:space="preserve"> PAGEREF _Toc425849343 \h </w:instrText>
        </w:r>
        <w:r>
          <w:rPr>
            <w:webHidden/>
          </w:rPr>
        </w:r>
        <w:r>
          <w:rPr>
            <w:webHidden/>
          </w:rPr>
          <w:fldChar w:fldCharType="separate"/>
        </w:r>
        <w:r w:rsidR="002F3000">
          <w:rPr>
            <w:webHidden/>
          </w:rPr>
          <w:t>95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44" w:history="1">
        <w:r w:rsidR="006171A4" w:rsidRPr="009243CC">
          <w:rPr>
            <w:rStyle w:val="Hyperlink"/>
          </w:rPr>
          <w:t>Table 59:</w:t>
        </w:r>
        <w:r w:rsidR="006171A4">
          <w:rPr>
            <w:rFonts w:eastAsiaTheme="minorEastAsia" w:cstheme="minorBidi"/>
            <w:color w:val="auto"/>
            <w:szCs w:val="22"/>
            <w:lang w:eastAsia="en-AU"/>
          </w:rPr>
          <w:tab/>
        </w:r>
        <w:r w:rsidR="006171A4" w:rsidRPr="009243CC">
          <w:rPr>
            <w:rStyle w:val="Hyperlink"/>
            <w:shd w:val="clear" w:color="auto" w:fill="FFFFFF" w:themeFill="background1"/>
          </w:rPr>
          <w:t>ACT assessment of projected arisings vs. infrastructure capacity</w:t>
        </w:r>
        <w:r w:rsidR="006171A4">
          <w:rPr>
            <w:webHidden/>
          </w:rPr>
          <w:tab/>
        </w:r>
        <w:r>
          <w:rPr>
            <w:webHidden/>
          </w:rPr>
          <w:fldChar w:fldCharType="begin"/>
        </w:r>
        <w:r w:rsidR="006171A4">
          <w:rPr>
            <w:webHidden/>
          </w:rPr>
          <w:instrText xml:space="preserve"> PAGEREF _Toc425849344 \h </w:instrText>
        </w:r>
        <w:r>
          <w:rPr>
            <w:webHidden/>
          </w:rPr>
        </w:r>
        <w:r>
          <w:rPr>
            <w:webHidden/>
          </w:rPr>
          <w:fldChar w:fldCharType="separate"/>
        </w:r>
        <w:r w:rsidR="002F3000">
          <w:rPr>
            <w:webHidden/>
          </w:rPr>
          <w:t>96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45" w:history="1">
        <w:r w:rsidR="006171A4" w:rsidRPr="009243CC">
          <w:rPr>
            <w:rStyle w:val="Hyperlink"/>
          </w:rPr>
          <w:t>Table 60:</w:t>
        </w:r>
        <w:r w:rsidR="006171A4">
          <w:rPr>
            <w:rFonts w:eastAsiaTheme="minorEastAsia" w:cstheme="minorBidi"/>
            <w:color w:val="auto"/>
            <w:szCs w:val="22"/>
            <w:lang w:eastAsia="en-AU"/>
          </w:rPr>
          <w:tab/>
        </w:r>
        <w:r w:rsidR="006171A4" w:rsidRPr="009243CC">
          <w:rPr>
            <w:rStyle w:val="Hyperlink"/>
            <w:shd w:val="clear" w:color="auto" w:fill="FFFFFF" w:themeFill="background1"/>
          </w:rPr>
          <w:t>NSW assessment of projected arisings vs. infrastructure capacity</w:t>
        </w:r>
        <w:r w:rsidR="006171A4">
          <w:rPr>
            <w:webHidden/>
          </w:rPr>
          <w:tab/>
        </w:r>
        <w:r>
          <w:rPr>
            <w:webHidden/>
          </w:rPr>
          <w:fldChar w:fldCharType="begin"/>
        </w:r>
        <w:r w:rsidR="006171A4">
          <w:rPr>
            <w:webHidden/>
          </w:rPr>
          <w:instrText xml:space="preserve"> PAGEREF _Toc425849345 \h </w:instrText>
        </w:r>
        <w:r>
          <w:rPr>
            <w:webHidden/>
          </w:rPr>
        </w:r>
        <w:r>
          <w:rPr>
            <w:webHidden/>
          </w:rPr>
          <w:fldChar w:fldCharType="separate"/>
        </w:r>
        <w:r w:rsidR="002F3000">
          <w:rPr>
            <w:webHidden/>
          </w:rPr>
          <w:t>97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46" w:history="1">
        <w:r w:rsidR="006171A4" w:rsidRPr="009243CC">
          <w:rPr>
            <w:rStyle w:val="Hyperlink"/>
          </w:rPr>
          <w:t>Table 61:</w:t>
        </w:r>
        <w:r w:rsidR="006171A4">
          <w:rPr>
            <w:rFonts w:eastAsiaTheme="minorEastAsia" w:cstheme="minorBidi"/>
            <w:color w:val="auto"/>
            <w:szCs w:val="22"/>
            <w:lang w:eastAsia="en-AU"/>
          </w:rPr>
          <w:tab/>
        </w:r>
        <w:r w:rsidR="006171A4" w:rsidRPr="009243CC">
          <w:rPr>
            <w:rStyle w:val="Hyperlink"/>
            <w:shd w:val="clear" w:color="auto" w:fill="FFFFFF" w:themeFill="background1"/>
          </w:rPr>
          <w:t>NT assessment of projected arisings vs. infrastructure capacity</w:t>
        </w:r>
        <w:r w:rsidR="006171A4">
          <w:rPr>
            <w:webHidden/>
          </w:rPr>
          <w:tab/>
        </w:r>
        <w:r>
          <w:rPr>
            <w:webHidden/>
          </w:rPr>
          <w:fldChar w:fldCharType="begin"/>
        </w:r>
        <w:r w:rsidR="006171A4">
          <w:rPr>
            <w:webHidden/>
          </w:rPr>
          <w:instrText xml:space="preserve"> PAGEREF _Toc425849346 \h </w:instrText>
        </w:r>
        <w:r>
          <w:rPr>
            <w:webHidden/>
          </w:rPr>
        </w:r>
        <w:r>
          <w:rPr>
            <w:webHidden/>
          </w:rPr>
          <w:fldChar w:fldCharType="separate"/>
        </w:r>
        <w:r w:rsidR="002F3000">
          <w:rPr>
            <w:webHidden/>
          </w:rPr>
          <w:t>98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47" w:history="1">
        <w:r w:rsidR="006171A4" w:rsidRPr="009243CC">
          <w:rPr>
            <w:rStyle w:val="Hyperlink"/>
          </w:rPr>
          <w:t>Table 62:</w:t>
        </w:r>
        <w:r w:rsidR="006171A4">
          <w:rPr>
            <w:rFonts w:eastAsiaTheme="minorEastAsia" w:cstheme="minorBidi"/>
            <w:color w:val="auto"/>
            <w:szCs w:val="22"/>
            <w:lang w:eastAsia="en-AU"/>
          </w:rPr>
          <w:tab/>
        </w:r>
        <w:r w:rsidR="006171A4" w:rsidRPr="009243CC">
          <w:rPr>
            <w:rStyle w:val="Hyperlink"/>
            <w:shd w:val="clear" w:color="auto" w:fill="FFFFFF" w:themeFill="background1"/>
          </w:rPr>
          <w:t>Qld assessment of projected arisings vs. infrastructure capacity</w:t>
        </w:r>
        <w:r w:rsidR="006171A4">
          <w:rPr>
            <w:webHidden/>
          </w:rPr>
          <w:tab/>
        </w:r>
        <w:r>
          <w:rPr>
            <w:webHidden/>
          </w:rPr>
          <w:fldChar w:fldCharType="begin"/>
        </w:r>
        <w:r w:rsidR="006171A4">
          <w:rPr>
            <w:webHidden/>
          </w:rPr>
          <w:instrText xml:space="preserve"> PAGEREF _Toc425849347 \h </w:instrText>
        </w:r>
        <w:r>
          <w:rPr>
            <w:webHidden/>
          </w:rPr>
        </w:r>
        <w:r>
          <w:rPr>
            <w:webHidden/>
          </w:rPr>
          <w:fldChar w:fldCharType="separate"/>
        </w:r>
        <w:r w:rsidR="002F3000">
          <w:rPr>
            <w:webHidden/>
          </w:rPr>
          <w:t>99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48" w:history="1">
        <w:r w:rsidR="006171A4" w:rsidRPr="009243CC">
          <w:rPr>
            <w:rStyle w:val="Hyperlink"/>
          </w:rPr>
          <w:t>Table 63:</w:t>
        </w:r>
        <w:r w:rsidR="006171A4">
          <w:rPr>
            <w:rFonts w:eastAsiaTheme="minorEastAsia" w:cstheme="minorBidi"/>
            <w:color w:val="auto"/>
            <w:szCs w:val="22"/>
            <w:lang w:eastAsia="en-AU"/>
          </w:rPr>
          <w:tab/>
        </w:r>
        <w:r w:rsidR="006171A4" w:rsidRPr="009243CC">
          <w:rPr>
            <w:rStyle w:val="Hyperlink"/>
            <w:shd w:val="clear" w:color="auto" w:fill="FFFFFF" w:themeFill="background1"/>
          </w:rPr>
          <w:t>SA assessment of projected arisings vs. infrastructure capacity</w:t>
        </w:r>
        <w:r w:rsidR="006171A4">
          <w:rPr>
            <w:webHidden/>
          </w:rPr>
          <w:tab/>
        </w:r>
        <w:r>
          <w:rPr>
            <w:webHidden/>
          </w:rPr>
          <w:fldChar w:fldCharType="begin"/>
        </w:r>
        <w:r w:rsidR="006171A4">
          <w:rPr>
            <w:webHidden/>
          </w:rPr>
          <w:instrText xml:space="preserve"> PAGEREF _Toc425849348 \h </w:instrText>
        </w:r>
        <w:r>
          <w:rPr>
            <w:webHidden/>
          </w:rPr>
        </w:r>
        <w:r>
          <w:rPr>
            <w:webHidden/>
          </w:rPr>
          <w:fldChar w:fldCharType="separate"/>
        </w:r>
        <w:r w:rsidR="002F3000">
          <w:rPr>
            <w:webHidden/>
          </w:rPr>
          <w:t>100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49" w:history="1">
        <w:r w:rsidR="006171A4" w:rsidRPr="009243CC">
          <w:rPr>
            <w:rStyle w:val="Hyperlink"/>
          </w:rPr>
          <w:t>Table 64:</w:t>
        </w:r>
        <w:r w:rsidR="006171A4">
          <w:rPr>
            <w:rFonts w:eastAsiaTheme="minorEastAsia" w:cstheme="minorBidi"/>
            <w:color w:val="auto"/>
            <w:szCs w:val="22"/>
            <w:lang w:eastAsia="en-AU"/>
          </w:rPr>
          <w:tab/>
        </w:r>
        <w:r w:rsidR="006171A4" w:rsidRPr="009243CC">
          <w:rPr>
            <w:rStyle w:val="Hyperlink"/>
            <w:shd w:val="clear" w:color="auto" w:fill="FFFFFF" w:themeFill="background1"/>
          </w:rPr>
          <w:t>Tas assessment of projected arisings vs. infrastructure capacity</w:t>
        </w:r>
        <w:r w:rsidR="006171A4">
          <w:rPr>
            <w:webHidden/>
          </w:rPr>
          <w:tab/>
        </w:r>
        <w:r>
          <w:rPr>
            <w:webHidden/>
          </w:rPr>
          <w:fldChar w:fldCharType="begin"/>
        </w:r>
        <w:r w:rsidR="006171A4">
          <w:rPr>
            <w:webHidden/>
          </w:rPr>
          <w:instrText xml:space="preserve"> PAGEREF _Toc425849349 \h </w:instrText>
        </w:r>
        <w:r>
          <w:rPr>
            <w:webHidden/>
          </w:rPr>
        </w:r>
        <w:r>
          <w:rPr>
            <w:webHidden/>
          </w:rPr>
          <w:fldChar w:fldCharType="separate"/>
        </w:r>
        <w:r w:rsidR="002F3000">
          <w:rPr>
            <w:webHidden/>
          </w:rPr>
          <w:t>101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50" w:history="1">
        <w:r w:rsidR="006171A4" w:rsidRPr="009243CC">
          <w:rPr>
            <w:rStyle w:val="Hyperlink"/>
          </w:rPr>
          <w:t>Table 65:</w:t>
        </w:r>
        <w:r w:rsidR="006171A4">
          <w:rPr>
            <w:rFonts w:eastAsiaTheme="minorEastAsia" w:cstheme="minorBidi"/>
            <w:color w:val="auto"/>
            <w:szCs w:val="22"/>
            <w:lang w:eastAsia="en-AU"/>
          </w:rPr>
          <w:tab/>
        </w:r>
        <w:r w:rsidR="006171A4" w:rsidRPr="009243CC">
          <w:rPr>
            <w:rStyle w:val="Hyperlink"/>
            <w:shd w:val="clear" w:color="auto" w:fill="FFFFFF" w:themeFill="background1"/>
          </w:rPr>
          <w:t>Vic assessment of projected arisings vs. infrastructure capacity</w:t>
        </w:r>
        <w:r w:rsidR="006171A4">
          <w:rPr>
            <w:webHidden/>
          </w:rPr>
          <w:tab/>
        </w:r>
        <w:r>
          <w:rPr>
            <w:webHidden/>
          </w:rPr>
          <w:fldChar w:fldCharType="begin"/>
        </w:r>
        <w:r w:rsidR="006171A4">
          <w:rPr>
            <w:webHidden/>
          </w:rPr>
          <w:instrText xml:space="preserve"> PAGEREF _Toc425849350 \h </w:instrText>
        </w:r>
        <w:r>
          <w:rPr>
            <w:webHidden/>
          </w:rPr>
        </w:r>
        <w:r>
          <w:rPr>
            <w:webHidden/>
          </w:rPr>
          <w:fldChar w:fldCharType="separate"/>
        </w:r>
        <w:r w:rsidR="002F3000">
          <w:rPr>
            <w:webHidden/>
          </w:rPr>
          <w:t>102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51" w:history="1">
        <w:r w:rsidR="006171A4" w:rsidRPr="009243CC">
          <w:rPr>
            <w:rStyle w:val="Hyperlink"/>
          </w:rPr>
          <w:t>Table 66:</w:t>
        </w:r>
        <w:r w:rsidR="006171A4">
          <w:rPr>
            <w:rFonts w:eastAsiaTheme="minorEastAsia" w:cstheme="minorBidi"/>
            <w:color w:val="auto"/>
            <w:szCs w:val="22"/>
            <w:lang w:eastAsia="en-AU"/>
          </w:rPr>
          <w:tab/>
        </w:r>
        <w:r w:rsidR="006171A4" w:rsidRPr="009243CC">
          <w:rPr>
            <w:rStyle w:val="Hyperlink"/>
            <w:shd w:val="clear" w:color="auto" w:fill="FFFFFF" w:themeFill="background1"/>
          </w:rPr>
          <w:t>WA assessment of projected arisings vs. infrastructure capacity</w:t>
        </w:r>
        <w:r w:rsidR="006171A4">
          <w:rPr>
            <w:webHidden/>
          </w:rPr>
          <w:tab/>
        </w:r>
        <w:r>
          <w:rPr>
            <w:webHidden/>
          </w:rPr>
          <w:fldChar w:fldCharType="begin"/>
        </w:r>
        <w:r w:rsidR="006171A4">
          <w:rPr>
            <w:webHidden/>
          </w:rPr>
          <w:instrText xml:space="preserve"> PAGEREF _Toc425849351 \h </w:instrText>
        </w:r>
        <w:r>
          <w:rPr>
            <w:webHidden/>
          </w:rPr>
        </w:r>
        <w:r>
          <w:rPr>
            <w:webHidden/>
          </w:rPr>
          <w:fldChar w:fldCharType="separate"/>
        </w:r>
        <w:r w:rsidR="002F3000">
          <w:rPr>
            <w:webHidden/>
          </w:rPr>
          <w:t>103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52" w:history="1">
        <w:r w:rsidR="006171A4" w:rsidRPr="009243CC">
          <w:rPr>
            <w:rStyle w:val="Hyperlink"/>
          </w:rPr>
          <w:t xml:space="preserve">Table 67: </w:t>
        </w:r>
        <w:r w:rsidR="006171A4">
          <w:rPr>
            <w:rFonts w:eastAsiaTheme="minorEastAsia" w:cstheme="minorBidi"/>
            <w:color w:val="auto"/>
            <w:szCs w:val="22"/>
            <w:lang w:eastAsia="en-AU"/>
          </w:rPr>
          <w:tab/>
        </w:r>
        <w:r w:rsidR="006171A4" w:rsidRPr="009243CC">
          <w:rPr>
            <w:rStyle w:val="Hyperlink"/>
          </w:rPr>
          <w:t>The fraction of waste allocated to treatment types associated with risk of multiple-counting, based on available tracking data for financial year 2012-13</w:t>
        </w:r>
        <w:r w:rsidR="006171A4">
          <w:rPr>
            <w:webHidden/>
          </w:rPr>
          <w:tab/>
        </w:r>
        <w:r>
          <w:rPr>
            <w:webHidden/>
          </w:rPr>
          <w:fldChar w:fldCharType="begin"/>
        </w:r>
        <w:r w:rsidR="006171A4">
          <w:rPr>
            <w:webHidden/>
          </w:rPr>
          <w:instrText xml:space="preserve"> PAGEREF _Toc425849352 \h </w:instrText>
        </w:r>
        <w:r>
          <w:rPr>
            <w:webHidden/>
          </w:rPr>
        </w:r>
        <w:r>
          <w:rPr>
            <w:webHidden/>
          </w:rPr>
          <w:fldChar w:fldCharType="separate"/>
        </w:r>
        <w:r w:rsidR="002F3000">
          <w:rPr>
            <w:webHidden/>
          </w:rPr>
          <w:t>129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53" w:history="1">
        <w:r w:rsidR="006171A4" w:rsidRPr="009243CC">
          <w:rPr>
            <w:rStyle w:val="Hyperlink"/>
          </w:rPr>
          <w:t xml:space="preserve">Table 68: </w:t>
        </w:r>
        <w:r w:rsidR="006171A4">
          <w:rPr>
            <w:rFonts w:eastAsiaTheme="minorEastAsia" w:cstheme="minorBidi"/>
            <w:color w:val="auto"/>
            <w:szCs w:val="22"/>
            <w:lang w:eastAsia="en-AU"/>
          </w:rPr>
          <w:tab/>
        </w:r>
        <w:r w:rsidR="006171A4" w:rsidRPr="009243CC">
          <w:rPr>
            <w:rStyle w:val="Hyperlink"/>
          </w:rPr>
          <w:t>Method for converting measurement units into tonnes</w:t>
        </w:r>
        <w:r w:rsidR="006171A4">
          <w:rPr>
            <w:webHidden/>
          </w:rPr>
          <w:tab/>
        </w:r>
        <w:r>
          <w:rPr>
            <w:webHidden/>
          </w:rPr>
          <w:fldChar w:fldCharType="begin"/>
        </w:r>
        <w:r w:rsidR="006171A4">
          <w:rPr>
            <w:webHidden/>
          </w:rPr>
          <w:instrText xml:space="preserve"> PAGEREF _Toc425849353 \h </w:instrText>
        </w:r>
        <w:r>
          <w:rPr>
            <w:webHidden/>
          </w:rPr>
        </w:r>
        <w:r>
          <w:rPr>
            <w:webHidden/>
          </w:rPr>
          <w:fldChar w:fldCharType="separate"/>
        </w:r>
        <w:r w:rsidR="002F3000">
          <w:rPr>
            <w:webHidden/>
          </w:rPr>
          <w:t>131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54" w:history="1">
        <w:r w:rsidR="006171A4" w:rsidRPr="009243CC">
          <w:rPr>
            <w:rStyle w:val="Hyperlink"/>
          </w:rPr>
          <w:t xml:space="preserve">Table 69: </w:t>
        </w:r>
        <w:r w:rsidR="006171A4">
          <w:rPr>
            <w:rFonts w:eastAsiaTheme="minorEastAsia" w:cstheme="minorBidi"/>
            <w:color w:val="auto"/>
            <w:szCs w:val="22"/>
            <w:lang w:eastAsia="en-AU"/>
          </w:rPr>
          <w:tab/>
        </w:r>
        <w:r w:rsidR="006171A4" w:rsidRPr="009243CC">
          <w:rPr>
            <w:rStyle w:val="Hyperlink"/>
          </w:rPr>
          <w:t>Potential POP-BDE Wastes</w:t>
        </w:r>
        <w:r w:rsidR="006171A4">
          <w:rPr>
            <w:webHidden/>
          </w:rPr>
          <w:tab/>
        </w:r>
        <w:r>
          <w:rPr>
            <w:webHidden/>
          </w:rPr>
          <w:fldChar w:fldCharType="begin"/>
        </w:r>
        <w:r w:rsidR="006171A4">
          <w:rPr>
            <w:webHidden/>
          </w:rPr>
          <w:instrText xml:space="preserve"> PAGEREF _Toc425849354 \h </w:instrText>
        </w:r>
        <w:r>
          <w:rPr>
            <w:webHidden/>
          </w:rPr>
        </w:r>
        <w:r>
          <w:rPr>
            <w:webHidden/>
          </w:rPr>
          <w:fldChar w:fldCharType="separate"/>
        </w:r>
        <w:r w:rsidR="002F3000">
          <w:rPr>
            <w:webHidden/>
          </w:rPr>
          <w:t>157</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55" w:history="1">
        <w:r w:rsidR="006171A4" w:rsidRPr="009243CC">
          <w:rPr>
            <w:rStyle w:val="Hyperlink"/>
          </w:rPr>
          <w:t xml:space="preserve">Table 70: </w:t>
        </w:r>
        <w:r w:rsidR="006171A4">
          <w:rPr>
            <w:rFonts w:eastAsiaTheme="minorEastAsia" w:cstheme="minorBidi"/>
            <w:color w:val="auto"/>
            <w:szCs w:val="22"/>
            <w:lang w:eastAsia="en-AU"/>
          </w:rPr>
          <w:tab/>
        </w:r>
        <w:r w:rsidR="006171A4" w:rsidRPr="009243CC">
          <w:rPr>
            <w:rStyle w:val="Hyperlink"/>
          </w:rPr>
          <w:t>Distribution of HBCD by use pattern</w:t>
        </w:r>
        <w:r w:rsidR="006171A4">
          <w:rPr>
            <w:webHidden/>
          </w:rPr>
          <w:tab/>
        </w:r>
        <w:r>
          <w:rPr>
            <w:webHidden/>
          </w:rPr>
          <w:fldChar w:fldCharType="begin"/>
        </w:r>
        <w:r w:rsidR="006171A4">
          <w:rPr>
            <w:webHidden/>
          </w:rPr>
          <w:instrText xml:space="preserve"> PAGEREF _Toc425849355 \h </w:instrText>
        </w:r>
        <w:r>
          <w:rPr>
            <w:webHidden/>
          </w:rPr>
        </w:r>
        <w:r>
          <w:rPr>
            <w:webHidden/>
          </w:rPr>
          <w:fldChar w:fldCharType="separate"/>
        </w:r>
        <w:r w:rsidR="002F3000">
          <w:rPr>
            <w:webHidden/>
          </w:rPr>
          <w:t>159</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56" w:history="1">
        <w:r w:rsidR="006171A4" w:rsidRPr="009243CC">
          <w:rPr>
            <w:rStyle w:val="Hyperlink"/>
          </w:rPr>
          <w:t xml:space="preserve">Table 71: </w:t>
        </w:r>
        <w:r w:rsidR="006171A4">
          <w:rPr>
            <w:rFonts w:eastAsiaTheme="minorEastAsia" w:cstheme="minorBidi"/>
            <w:color w:val="auto"/>
            <w:szCs w:val="22"/>
            <w:lang w:eastAsia="en-AU"/>
          </w:rPr>
          <w:tab/>
        </w:r>
        <w:r w:rsidR="006171A4" w:rsidRPr="009243CC">
          <w:rPr>
            <w:rStyle w:val="Hyperlink"/>
          </w:rPr>
          <w:t>Quantity of HBCD imported into Australia</w:t>
        </w:r>
        <w:r w:rsidR="006171A4">
          <w:rPr>
            <w:webHidden/>
          </w:rPr>
          <w:tab/>
        </w:r>
        <w:r>
          <w:rPr>
            <w:webHidden/>
          </w:rPr>
          <w:fldChar w:fldCharType="begin"/>
        </w:r>
        <w:r w:rsidR="006171A4">
          <w:rPr>
            <w:webHidden/>
          </w:rPr>
          <w:instrText xml:space="preserve"> PAGEREF _Toc425849356 \h </w:instrText>
        </w:r>
        <w:r>
          <w:rPr>
            <w:webHidden/>
          </w:rPr>
        </w:r>
        <w:r>
          <w:rPr>
            <w:webHidden/>
          </w:rPr>
          <w:fldChar w:fldCharType="separate"/>
        </w:r>
        <w:r w:rsidR="002F3000">
          <w:rPr>
            <w:webHidden/>
          </w:rPr>
          <w:t>160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57" w:history="1">
        <w:r w:rsidR="006171A4" w:rsidRPr="009243CC">
          <w:rPr>
            <w:rStyle w:val="Hyperlink"/>
          </w:rPr>
          <w:t xml:space="preserve">Table 72: </w:t>
        </w:r>
        <w:r w:rsidR="006171A4">
          <w:rPr>
            <w:rFonts w:eastAsiaTheme="minorEastAsia" w:cstheme="minorBidi"/>
            <w:color w:val="auto"/>
            <w:szCs w:val="22"/>
            <w:lang w:eastAsia="en-AU"/>
          </w:rPr>
          <w:tab/>
        </w:r>
        <w:r w:rsidR="006171A4" w:rsidRPr="009243CC">
          <w:rPr>
            <w:rStyle w:val="Hyperlink"/>
          </w:rPr>
          <w:t>Concentrations of HBCD in biosolids as reported in the literature</w:t>
        </w:r>
        <w:r w:rsidR="006171A4">
          <w:rPr>
            <w:webHidden/>
          </w:rPr>
          <w:tab/>
        </w:r>
        <w:r>
          <w:rPr>
            <w:webHidden/>
          </w:rPr>
          <w:fldChar w:fldCharType="begin"/>
        </w:r>
        <w:r w:rsidR="006171A4">
          <w:rPr>
            <w:webHidden/>
          </w:rPr>
          <w:instrText xml:space="preserve"> PAGEREF _Toc425849357 \h </w:instrText>
        </w:r>
        <w:r>
          <w:rPr>
            <w:webHidden/>
          </w:rPr>
        </w:r>
        <w:r>
          <w:rPr>
            <w:webHidden/>
          </w:rPr>
          <w:fldChar w:fldCharType="separate"/>
        </w:r>
        <w:r w:rsidR="002F3000">
          <w:rPr>
            <w:webHidden/>
          </w:rPr>
          <w:t>161</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58" w:history="1">
        <w:r w:rsidR="006171A4" w:rsidRPr="009243CC">
          <w:rPr>
            <w:rStyle w:val="Hyperlink"/>
          </w:rPr>
          <w:t xml:space="preserve">Table 73: </w:t>
        </w:r>
        <w:r w:rsidR="006171A4">
          <w:rPr>
            <w:rFonts w:eastAsiaTheme="minorEastAsia" w:cstheme="minorBidi"/>
            <w:color w:val="auto"/>
            <w:szCs w:val="22"/>
            <w:lang w:eastAsia="en-AU"/>
          </w:rPr>
          <w:tab/>
        </w:r>
        <w:r w:rsidR="006171A4" w:rsidRPr="009243CC">
          <w:rPr>
            <w:rStyle w:val="Hyperlink"/>
          </w:rPr>
          <w:t>Summary of PFOS applications and estimates of PFOS use and stocks in 2013</w:t>
        </w:r>
        <w:r w:rsidR="006171A4">
          <w:rPr>
            <w:webHidden/>
          </w:rPr>
          <w:tab/>
        </w:r>
        <w:r>
          <w:rPr>
            <w:webHidden/>
          </w:rPr>
          <w:fldChar w:fldCharType="begin"/>
        </w:r>
        <w:r w:rsidR="006171A4">
          <w:rPr>
            <w:webHidden/>
          </w:rPr>
          <w:instrText xml:space="preserve"> PAGEREF _Toc425849358 \h </w:instrText>
        </w:r>
        <w:r>
          <w:rPr>
            <w:webHidden/>
          </w:rPr>
        </w:r>
        <w:r>
          <w:rPr>
            <w:webHidden/>
          </w:rPr>
          <w:fldChar w:fldCharType="separate"/>
        </w:r>
        <w:r w:rsidR="002F3000">
          <w:rPr>
            <w:webHidden/>
          </w:rPr>
          <w:t>162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59" w:history="1">
        <w:r w:rsidR="006171A4" w:rsidRPr="009243CC">
          <w:rPr>
            <w:rStyle w:val="Hyperlink"/>
          </w:rPr>
          <w:t xml:space="preserve">Table 74: </w:t>
        </w:r>
        <w:r w:rsidR="006171A4">
          <w:rPr>
            <w:rFonts w:eastAsiaTheme="minorEastAsia" w:cstheme="minorBidi"/>
            <w:color w:val="auto"/>
            <w:szCs w:val="22"/>
            <w:lang w:eastAsia="en-AU"/>
          </w:rPr>
          <w:tab/>
        </w:r>
        <w:r w:rsidR="006171A4" w:rsidRPr="009243CC">
          <w:rPr>
            <w:rStyle w:val="Hyperlink"/>
          </w:rPr>
          <w:t>AFFF concentrates and PFOS in stocks by industry sector</w:t>
        </w:r>
        <w:r w:rsidR="006171A4">
          <w:rPr>
            <w:webHidden/>
          </w:rPr>
          <w:tab/>
        </w:r>
        <w:r>
          <w:rPr>
            <w:webHidden/>
          </w:rPr>
          <w:fldChar w:fldCharType="begin"/>
        </w:r>
        <w:r w:rsidR="006171A4">
          <w:rPr>
            <w:webHidden/>
          </w:rPr>
          <w:instrText xml:space="preserve"> PAGEREF _Toc425849359 \h </w:instrText>
        </w:r>
        <w:r>
          <w:rPr>
            <w:webHidden/>
          </w:rPr>
        </w:r>
        <w:r>
          <w:rPr>
            <w:webHidden/>
          </w:rPr>
          <w:fldChar w:fldCharType="separate"/>
        </w:r>
        <w:r w:rsidR="002F3000">
          <w:rPr>
            <w:webHidden/>
          </w:rPr>
          <w:t>163</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60" w:history="1">
        <w:r w:rsidR="006171A4" w:rsidRPr="009243CC">
          <w:rPr>
            <w:rStyle w:val="Hyperlink"/>
          </w:rPr>
          <w:t xml:space="preserve">Table 75: </w:t>
        </w:r>
        <w:r w:rsidR="006171A4">
          <w:rPr>
            <w:rFonts w:eastAsiaTheme="minorEastAsia" w:cstheme="minorBidi"/>
            <w:color w:val="auto"/>
            <w:szCs w:val="22"/>
            <w:lang w:eastAsia="en-AU"/>
          </w:rPr>
          <w:tab/>
        </w:r>
        <w:r w:rsidR="006171A4" w:rsidRPr="009243CC">
          <w:rPr>
            <w:rStyle w:val="Hyperlink"/>
          </w:rPr>
          <w:t>Potential PFOS wastes</w:t>
        </w:r>
        <w:r w:rsidR="006171A4">
          <w:rPr>
            <w:webHidden/>
          </w:rPr>
          <w:tab/>
        </w:r>
        <w:r>
          <w:rPr>
            <w:webHidden/>
          </w:rPr>
          <w:fldChar w:fldCharType="begin"/>
        </w:r>
        <w:r w:rsidR="006171A4">
          <w:rPr>
            <w:webHidden/>
          </w:rPr>
          <w:instrText xml:space="preserve"> PAGEREF _Toc425849360 \h </w:instrText>
        </w:r>
        <w:r>
          <w:rPr>
            <w:webHidden/>
          </w:rPr>
        </w:r>
        <w:r>
          <w:rPr>
            <w:webHidden/>
          </w:rPr>
          <w:fldChar w:fldCharType="separate"/>
        </w:r>
        <w:r w:rsidR="002F3000">
          <w:rPr>
            <w:webHidden/>
          </w:rPr>
          <w:t>164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61" w:history="1">
        <w:r w:rsidR="006171A4" w:rsidRPr="009243CC">
          <w:rPr>
            <w:rStyle w:val="Hyperlink"/>
          </w:rPr>
          <w:t xml:space="preserve">Table 76: </w:t>
        </w:r>
        <w:r w:rsidR="006171A4">
          <w:rPr>
            <w:rFonts w:eastAsiaTheme="minorEastAsia" w:cstheme="minorBidi"/>
            <w:color w:val="auto"/>
            <w:szCs w:val="22"/>
            <w:lang w:eastAsia="en-AU"/>
          </w:rPr>
          <w:tab/>
        </w:r>
        <w:r w:rsidR="006171A4" w:rsidRPr="009243CC">
          <w:rPr>
            <w:rStyle w:val="Hyperlink"/>
          </w:rPr>
          <w:t>Estimated baseline year arisings of POPs in biosolids under different LPCL settings</w:t>
        </w:r>
        <w:r w:rsidR="006171A4">
          <w:rPr>
            <w:webHidden/>
          </w:rPr>
          <w:tab/>
        </w:r>
        <w:r>
          <w:rPr>
            <w:webHidden/>
          </w:rPr>
          <w:fldChar w:fldCharType="begin"/>
        </w:r>
        <w:r w:rsidR="006171A4">
          <w:rPr>
            <w:webHidden/>
          </w:rPr>
          <w:instrText xml:space="preserve"> PAGEREF _Toc425849361 \h </w:instrText>
        </w:r>
        <w:r>
          <w:rPr>
            <w:webHidden/>
          </w:rPr>
        </w:r>
        <w:r>
          <w:rPr>
            <w:webHidden/>
          </w:rPr>
          <w:fldChar w:fldCharType="separate"/>
        </w:r>
        <w:r w:rsidR="002F3000">
          <w:rPr>
            <w:webHidden/>
          </w:rPr>
          <w:t>165</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62" w:history="1">
        <w:r w:rsidR="006171A4" w:rsidRPr="009243CC">
          <w:rPr>
            <w:rStyle w:val="Hyperlink"/>
          </w:rPr>
          <w:t xml:space="preserve">Table 77: </w:t>
        </w:r>
        <w:r w:rsidR="006171A4">
          <w:rPr>
            <w:rFonts w:eastAsiaTheme="minorEastAsia" w:cstheme="minorBidi"/>
            <w:color w:val="auto"/>
            <w:szCs w:val="22"/>
            <w:lang w:eastAsia="en-AU"/>
          </w:rPr>
          <w:tab/>
        </w:r>
        <w:r w:rsidR="006171A4" w:rsidRPr="009243CC">
          <w:rPr>
            <w:rStyle w:val="Hyperlink"/>
          </w:rPr>
          <w:t>Estimated baseline year arisings of other POP-wastes, under different LPCL settings</w:t>
        </w:r>
        <w:r w:rsidR="006171A4">
          <w:rPr>
            <w:webHidden/>
          </w:rPr>
          <w:tab/>
        </w:r>
        <w:r>
          <w:rPr>
            <w:webHidden/>
          </w:rPr>
          <w:fldChar w:fldCharType="begin"/>
        </w:r>
        <w:r w:rsidR="006171A4">
          <w:rPr>
            <w:webHidden/>
          </w:rPr>
          <w:instrText xml:space="preserve"> PAGEREF _Toc425849362 \h </w:instrText>
        </w:r>
        <w:r>
          <w:rPr>
            <w:webHidden/>
          </w:rPr>
        </w:r>
        <w:r>
          <w:rPr>
            <w:webHidden/>
          </w:rPr>
          <w:fldChar w:fldCharType="separate"/>
        </w:r>
        <w:r w:rsidR="002F3000">
          <w:rPr>
            <w:webHidden/>
          </w:rPr>
          <w:t>166</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63" w:history="1">
        <w:r w:rsidR="006171A4" w:rsidRPr="009243CC">
          <w:rPr>
            <w:rStyle w:val="Hyperlink"/>
          </w:rPr>
          <w:t xml:space="preserve">Table 78: </w:t>
        </w:r>
        <w:r w:rsidR="006171A4">
          <w:rPr>
            <w:rFonts w:eastAsiaTheme="minorEastAsia" w:cstheme="minorBidi"/>
            <w:color w:val="auto"/>
            <w:szCs w:val="22"/>
            <w:lang w:eastAsia="en-AU"/>
          </w:rPr>
          <w:tab/>
        </w:r>
        <w:r w:rsidR="006171A4" w:rsidRPr="009243CC">
          <w:rPr>
            <w:rStyle w:val="Hyperlink"/>
          </w:rPr>
          <w:t>Estimated baseline year arisings of all ‘new’ POP-wastes, under different LPCL settings</w:t>
        </w:r>
        <w:r w:rsidR="006171A4">
          <w:rPr>
            <w:webHidden/>
          </w:rPr>
          <w:tab/>
        </w:r>
        <w:r>
          <w:rPr>
            <w:webHidden/>
          </w:rPr>
          <w:fldChar w:fldCharType="begin"/>
        </w:r>
        <w:r w:rsidR="006171A4">
          <w:rPr>
            <w:webHidden/>
          </w:rPr>
          <w:instrText xml:space="preserve"> PAGEREF _Toc425849363 \h </w:instrText>
        </w:r>
        <w:r>
          <w:rPr>
            <w:webHidden/>
          </w:rPr>
        </w:r>
        <w:r>
          <w:rPr>
            <w:webHidden/>
          </w:rPr>
          <w:fldChar w:fldCharType="separate"/>
        </w:r>
        <w:r w:rsidR="002F3000">
          <w:rPr>
            <w:webHidden/>
          </w:rPr>
          <w:t>168</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64" w:history="1">
        <w:r w:rsidR="006171A4" w:rsidRPr="009243CC">
          <w:rPr>
            <w:rStyle w:val="Hyperlink"/>
          </w:rPr>
          <w:t xml:space="preserve">Table 79: </w:t>
        </w:r>
        <w:r w:rsidR="006171A4">
          <w:rPr>
            <w:rFonts w:eastAsiaTheme="minorEastAsia" w:cstheme="minorBidi"/>
            <w:color w:val="auto"/>
            <w:szCs w:val="22"/>
            <w:lang w:eastAsia="en-AU"/>
          </w:rPr>
          <w:tab/>
        </w:r>
        <w:r w:rsidR="006171A4" w:rsidRPr="009243CC">
          <w:rPr>
            <w:rStyle w:val="Hyperlink"/>
          </w:rPr>
          <w:t>Upper limits for classification of biosolids as C2 in Victoria (see EPA Vic 2004)</w:t>
        </w:r>
        <w:r w:rsidR="006171A4">
          <w:rPr>
            <w:webHidden/>
          </w:rPr>
          <w:tab/>
        </w:r>
        <w:r>
          <w:rPr>
            <w:webHidden/>
          </w:rPr>
          <w:fldChar w:fldCharType="begin"/>
        </w:r>
        <w:r w:rsidR="006171A4">
          <w:rPr>
            <w:webHidden/>
          </w:rPr>
          <w:instrText xml:space="preserve"> PAGEREF _Toc425849364 \h </w:instrText>
        </w:r>
        <w:r>
          <w:rPr>
            <w:webHidden/>
          </w:rPr>
        </w:r>
        <w:r>
          <w:rPr>
            <w:webHidden/>
          </w:rPr>
          <w:fldChar w:fldCharType="separate"/>
        </w:r>
        <w:r w:rsidR="002F3000">
          <w:rPr>
            <w:webHidden/>
          </w:rPr>
          <w:t>170</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65" w:history="1">
        <w:r w:rsidR="006171A4" w:rsidRPr="009243CC">
          <w:rPr>
            <w:rStyle w:val="Hyperlink"/>
          </w:rPr>
          <w:t xml:space="preserve">Table 80: </w:t>
        </w:r>
        <w:r w:rsidR="006171A4">
          <w:rPr>
            <w:rFonts w:eastAsiaTheme="minorEastAsia" w:cstheme="minorBidi"/>
            <w:color w:val="auto"/>
            <w:szCs w:val="22"/>
            <w:lang w:eastAsia="en-AU"/>
          </w:rPr>
          <w:tab/>
        </w:r>
        <w:r w:rsidR="006171A4" w:rsidRPr="009243CC">
          <w:rPr>
            <w:rStyle w:val="Hyperlink"/>
          </w:rPr>
          <w:t>Best estimate scenario for all groups</w:t>
        </w:r>
        <w:r w:rsidR="006171A4">
          <w:rPr>
            <w:webHidden/>
          </w:rPr>
          <w:tab/>
        </w:r>
        <w:r>
          <w:rPr>
            <w:webHidden/>
          </w:rPr>
          <w:fldChar w:fldCharType="begin"/>
        </w:r>
        <w:r w:rsidR="006171A4">
          <w:rPr>
            <w:webHidden/>
          </w:rPr>
          <w:instrText xml:space="preserve"> PAGEREF _Toc425849365 \h </w:instrText>
        </w:r>
        <w:r>
          <w:rPr>
            <w:webHidden/>
          </w:rPr>
        </w:r>
        <w:r>
          <w:rPr>
            <w:webHidden/>
          </w:rPr>
          <w:fldChar w:fldCharType="separate"/>
        </w:r>
        <w:r w:rsidR="002F3000">
          <w:rPr>
            <w:webHidden/>
          </w:rPr>
          <w:t>172</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66" w:history="1">
        <w:r w:rsidR="006171A4" w:rsidRPr="009243CC">
          <w:rPr>
            <w:rStyle w:val="Hyperlink"/>
          </w:rPr>
          <w:t xml:space="preserve">Table 81: </w:t>
        </w:r>
        <w:r w:rsidR="006171A4">
          <w:rPr>
            <w:rFonts w:eastAsiaTheme="minorEastAsia" w:cstheme="minorBidi"/>
            <w:color w:val="auto"/>
            <w:szCs w:val="22"/>
            <w:lang w:eastAsia="en-AU"/>
          </w:rPr>
          <w:tab/>
        </w:r>
        <w:r w:rsidR="006171A4" w:rsidRPr="009243CC">
          <w:rPr>
            <w:rStyle w:val="Hyperlink"/>
          </w:rPr>
          <w:t>High estimate scenario for all groups</w:t>
        </w:r>
        <w:r w:rsidR="006171A4">
          <w:rPr>
            <w:webHidden/>
          </w:rPr>
          <w:tab/>
        </w:r>
        <w:r>
          <w:rPr>
            <w:webHidden/>
          </w:rPr>
          <w:fldChar w:fldCharType="begin"/>
        </w:r>
        <w:r w:rsidR="006171A4">
          <w:rPr>
            <w:webHidden/>
          </w:rPr>
          <w:instrText xml:space="preserve"> PAGEREF _Toc425849366 \h </w:instrText>
        </w:r>
        <w:r>
          <w:rPr>
            <w:webHidden/>
          </w:rPr>
        </w:r>
        <w:r>
          <w:rPr>
            <w:webHidden/>
          </w:rPr>
          <w:fldChar w:fldCharType="separate"/>
        </w:r>
        <w:r w:rsidR="002F3000">
          <w:rPr>
            <w:webHidden/>
          </w:rPr>
          <w:t>174</w:t>
        </w:r>
        <w:r>
          <w:rPr>
            <w:webHidden/>
          </w:rPr>
          <w:fldChar w:fldCharType="end"/>
        </w:r>
      </w:hyperlink>
    </w:p>
    <w:p w:rsidR="006171A4" w:rsidRDefault="006D07F5">
      <w:pPr>
        <w:pStyle w:val="TableofFigures"/>
        <w:rPr>
          <w:rFonts w:eastAsiaTheme="minorEastAsia" w:cstheme="minorBidi"/>
          <w:color w:val="auto"/>
          <w:szCs w:val="22"/>
          <w:lang w:eastAsia="en-AU"/>
        </w:rPr>
      </w:pPr>
      <w:hyperlink w:anchor="_Toc425849367" w:history="1">
        <w:r w:rsidR="006171A4" w:rsidRPr="009243CC">
          <w:rPr>
            <w:rStyle w:val="Hyperlink"/>
          </w:rPr>
          <w:t xml:space="preserve">Table 82: </w:t>
        </w:r>
        <w:r w:rsidR="006171A4">
          <w:rPr>
            <w:rFonts w:eastAsiaTheme="minorEastAsia" w:cstheme="minorBidi"/>
            <w:color w:val="auto"/>
            <w:szCs w:val="22"/>
            <w:lang w:eastAsia="en-AU"/>
          </w:rPr>
          <w:tab/>
        </w:r>
        <w:r w:rsidR="006171A4" w:rsidRPr="009243CC">
          <w:rPr>
            <w:rStyle w:val="Hyperlink"/>
          </w:rPr>
          <w:t>Low estimate scenario for all groups</w:t>
        </w:r>
        <w:r w:rsidR="006171A4">
          <w:rPr>
            <w:webHidden/>
          </w:rPr>
          <w:tab/>
        </w:r>
        <w:r>
          <w:rPr>
            <w:webHidden/>
          </w:rPr>
          <w:fldChar w:fldCharType="begin"/>
        </w:r>
        <w:r w:rsidR="006171A4">
          <w:rPr>
            <w:webHidden/>
          </w:rPr>
          <w:instrText xml:space="preserve"> PAGEREF _Toc425849367 \h </w:instrText>
        </w:r>
        <w:r>
          <w:rPr>
            <w:webHidden/>
          </w:rPr>
        </w:r>
        <w:r>
          <w:rPr>
            <w:webHidden/>
          </w:rPr>
          <w:fldChar w:fldCharType="separate"/>
        </w:r>
        <w:r w:rsidR="002F3000">
          <w:rPr>
            <w:webHidden/>
          </w:rPr>
          <w:t>176</w:t>
        </w:r>
        <w:r>
          <w:rPr>
            <w:webHidden/>
          </w:rPr>
          <w:fldChar w:fldCharType="end"/>
        </w:r>
      </w:hyperlink>
    </w:p>
    <w:p w:rsidR="007B1046" w:rsidRPr="00816657" w:rsidRDefault="006D07F5" w:rsidP="00EE4EAD">
      <w:pPr>
        <w:rPr>
          <w:noProof/>
        </w:rPr>
      </w:pPr>
      <w:r w:rsidRPr="00816657">
        <w:rPr>
          <w:noProof/>
        </w:rPr>
        <w:fldChar w:fldCharType="end"/>
      </w:r>
      <w:bookmarkStart w:id="8" w:name="Glossary"/>
      <w:bookmarkEnd w:id="7"/>
    </w:p>
    <w:p w:rsidR="00EC1B0C" w:rsidRDefault="00EC1B0C">
      <w:pPr>
        <w:spacing w:line="240" w:lineRule="auto"/>
        <w:rPr>
          <w:rFonts w:ascii="Arial Rounded MT Bold" w:hAnsi="Arial Rounded MT Bold" w:cs="Arial"/>
          <w:b/>
          <w:noProof/>
          <w:color w:val="0000FF"/>
        </w:rPr>
      </w:pPr>
      <w:r>
        <w:rPr>
          <w:noProof/>
        </w:rPr>
        <w:br w:type="page"/>
      </w:r>
    </w:p>
    <w:p w:rsidR="00802F70" w:rsidRPr="00816657" w:rsidRDefault="00802F70" w:rsidP="004D33C7">
      <w:pPr>
        <w:pStyle w:val="TOCHeadings"/>
        <w:rPr>
          <w:noProof/>
        </w:rPr>
      </w:pPr>
      <w:r w:rsidRPr="00816657">
        <w:rPr>
          <w:noProof/>
        </w:rPr>
        <w:lastRenderedPageBreak/>
        <w:t>Abbreviations &amp; glossary</w:t>
      </w:r>
    </w:p>
    <w:tbl>
      <w:tblPr>
        <w:tblW w:w="0" w:type="auto"/>
        <w:tblCellMar>
          <w:top w:w="28" w:type="dxa"/>
          <w:bottom w:w="28" w:type="dxa"/>
        </w:tblCellMar>
        <w:tblLook w:val="0000"/>
      </w:tblPr>
      <w:tblGrid>
        <w:gridCol w:w="1668"/>
        <w:gridCol w:w="7800"/>
      </w:tblGrid>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The Act</w:t>
            </w:r>
          </w:p>
        </w:tc>
        <w:tc>
          <w:tcPr>
            <w:tcW w:w="7800" w:type="dxa"/>
          </w:tcPr>
          <w:p w:rsidR="008A3967" w:rsidRPr="00816657" w:rsidRDefault="008A3967" w:rsidP="00D06841">
            <w:pPr>
              <w:rPr>
                <w:rFonts w:asciiTheme="minorHAnsi" w:hAnsiTheme="minorHAnsi" w:cs="Arial"/>
                <w:i/>
                <w:szCs w:val="20"/>
              </w:rPr>
            </w:pPr>
            <w:r w:rsidRPr="00816657">
              <w:rPr>
                <w:rFonts w:cs="Arial"/>
                <w:i/>
                <w:szCs w:val="20"/>
              </w:rPr>
              <w:t>Hazardous Waste (Regulation of Exports and Imports) Act 1989</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AFFF</w:t>
            </w:r>
          </w:p>
        </w:tc>
        <w:tc>
          <w:tcPr>
            <w:tcW w:w="7800" w:type="dxa"/>
          </w:tcPr>
          <w:p w:rsidR="008A3967" w:rsidRPr="00816657" w:rsidRDefault="008A3967" w:rsidP="00D06841">
            <w:pPr>
              <w:rPr>
                <w:rFonts w:cs="Arial"/>
                <w:i/>
                <w:szCs w:val="20"/>
              </w:rPr>
            </w:pPr>
            <w:r w:rsidRPr="00816657">
              <w:rPr>
                <w:rFonts w:cs="Times New Roman"/>
                <w:color w:val="000000"/>
                <w:szCs w:val="20"/>
                <w:lang w:eastAsia="en-AU"/>
              </w:rPr>
              <w:t>Aqueous film forming foams</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ANZSIC</w:t>
            </w:r>
          </w:p>
        </w:tc>
        <w:tc>
          <w:tcPr>
            <w:tcW w:w="7800" w:type="dxa"/>
          </w:tcPr>
          <w:p w:rsidR="008A3967" w:rsidRPr="00816657" w:rsidRDefault="008A3967" w:rsidP="00D06841">
            <w:pPr>
              <w:rPr>
                <w:rFonts w:cs="Times New Roman"/>
                <w:color w:val="000000"/>
                <w:szCs w:val="20"/>
                <w:lang w:eastAsia="en-AU"/>
              </w:rPr>
            </w:pPr>
            <w:r w:rsidRPr="00816657">
              <w:rPr>
                <w:rFonts w:cs="Times New Roman"/>
                <w:color w:val="000000"/>
                <w:szCs w:val="20"/>
                <w:lang w:eastAsia="en-AU"/>
              </w:rPr>
              <w:t>Australia and New Zealand Standard Industry Codes</w:t>
            </w:r>
          </w:p>
        </w:tc>
      </w:tr>
      <w:bookmarkEnd w:id="8"/>
      <w:tr w:rsidR="00A84BEA" w:rsidRPr="00816657" w:rsidTr="00D06841">
        <w:tc>
          <w:tcPr>
            <w:tcW w:w="1668"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Basel Convention</w:t>
            </w:r>
          </w:p>
        </w:tc>
        <w:tc>
          <w:tcPr>
            <w:tcW w:w="7800" w:type="dxa"/>
          </w:tcPr>
          <w:p w:rsidR="00A84BEA" w:rsidRPr="00816657" w:rsidRDefault="00A84BEA" w:rsidP="00D06841">
            <w:pPr>
              <w:rPr>
                <w:rFonts w:asciiTheme="minorHAnsi" w:hAnsiTheme="minorHAnsi" w:cs="Arial"/>
                <w:szCs w:val="20"/>
              </w:rPr>
            </w:pPr>
            <w:r w:rsidRPr="00816657">
              <w:rPr>
                <w:rFonts w:asciiTheme="minorHAnsi" w:hAnsiTheme="minorHAnsi" w:cs="Arial"/>
                <w:i/>
                <w:szCs w:val="20"/>
              </w:rPr>
              <w:t>The Basel Convention on the Control of Transboundary Movements of Hazardous Wastes and their Disposal</w:t>
            </w:r>
            <w:r w:rsidRPr="00816657">
              <w:rPr>
                <w:rFonts w:asciiTheme="minorHAnsi" w:hAnsiTheme="minorHAnsi" w:cs="Arial"/>
                <w:szCs w:val="20"/>
              </w:rPr>
              <w:t>.</w:t>
            </w:r>
            <w:r w:rsidR="000C7135" w:rsidRPr="00816657">
              <w:rPr>
                <w:rFonts w:asciiTheme="minorHAnsi" w:hAnsiTheme="minorHAnsi" w:cs="Arial"/>
                <w:szCs w:val="20"/>
              </w:rPr>
              <w:t xml:space="preserve"> </w:t>
            </w:r>
            <w:r w:rsidRPr="00816657">
              <w:rPr>
                <w:rFonts w:asciiTheme="minorHAnsi" w:hAnsiTheme="minorHAnsi" w:cs="Arial"/>
                <w:szCs w:val="20"/>
              </w:rPr>
              <w:t>The Convention puts an onus on exporting countries to ensure that hazardous wastes are managed in an environmentally sound manner in the country of import.</w:t>
            </w:r>
          </w:p>
        </w:tc>
      </w:tr>
      <w:tr w:rsidR="00E02699" w:rsidRPr="00816657" w:rsidTr="00D06841">
        <w:tc>
          <w:tcPr>
            <w:tcW w:w="1668" w:type="dxa"/>
          </w:tcPr>
          <w:p w:rsidR="00E02699" w:rsidRPr="00816657" w:rsidRDefault="00E02699" w:rsidP="00D06841">
            <w:pPr>
              <w:rPr>
                <w:rFonts w:asciiTheme="minorHAnsi" w:hAnsiTheme="minorHAnsi" w:cs="Arial"/>
                <w:szCs w:val="20"/>
              </w:rPr>
            </w:pPr>
            <w:r w:rsidRPr="00816657">
              <w:t>CAGR</w:t>
            </w:r>
          </w:p>
        </w:tc>
        <w:tc>
          <w:tcPr>
            <w:tcW w:w="7800" w:type="dxa"/>
          </w:tcPr>
          <w:p w:rsidR="00E02699" w:rsidRPr="00816657" w:rsidRDefault="00E02699" w:rsidP="00D06841">
            <w:pPr>
              <w:rPr>
                <w:rFonts w:asciiTheme="minorHAnsi" w:hAnsiTheme="minorHAnsi" w:cs="Arial"/>
                <w:szCs w:val="20"/>
              </w:rPr>
            </w:pPr>
            <w:r w:rsidRPr="00816657">
              <w:rPr>
                <w:rFonts w:asciiTheme="minorHAnsi" w:hAnsiTheme="minorHAnsi" w:cs="Arial"/>
                <w:szCs w:val="20"/>
              </w:rPr>
              <w:t>Compound annual growth rate.</w:t>
            </w:r>
          </w:p>
        </w:tc>
      </w:tr>
      <w:tr w:rsidR="008A3967" w:rsidRPr="00816657" w:rsidTr="00D06841">
        <w:tc>
          <w:tcPr>
            <w:tcW w:w="1668" w:type="dxa"/>
          </w:tcPr>
          <w:p w:rsidR="008A3967" w:rsidRPr="00816657" w:rsidRDefault="008A3967" w:rsidP="00D06841">
            <w:r w:rsidRPr="00816657">
              <w:t>CPT</w:t>
            </w:r>
          </w:p>
        </w:tc>
        <w:tc>
          <w:tcPr>
            <w:tcW w:w="7800"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Chemical or physical treatment (facility)</w:t>
            </w:r>
          </w:p>
        </w:tc>
      </w:tr>
      <w:tr w:rsidR="00A84BEA" w:rsidRPr="00816657" w:rsidTr="00D06841">
        <w:tc>
          <w:tcPr>
            <w:tcW w:w="1668"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Controlled Waste</w:t>
            </w:r>
          </w:p>
        </w:tc>
        <w:tc>
          <w:tcPr>
            <w:tcW w:w="7800"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Waste that falls under the control of the Controlled Waste National Environment Protection Measure.</w:t>
            </w:r>
            <w:r w:rsidR="000C7135" w:rsidRPr="00816657">
              <w:rPr>
                <w:rFonts w:asciiTheme="minorHAnsi" w:hAnsiTheme="minorHAnsi" w:cs="Arial"/>
                <w:szCs w:val="20"/>
              </w:rPr>
              <w:t xml:space="preserve"> </w:t>
            </w:r>
            <w:r w:rsidRPr="00816657">
              <w:rPr>
                <w:rFonts w:asciiTheme="minorHAnsi" w:hAnsiTheme="minorHAnsi" w:cs="Arial"/>
                <w:szCs w:val="20"/>
              </w:rPr>
              <w:t>Generally equivalent to hazardous waste, although definitional differences of the latter exist across jurisdictions</w:t>
            </w:r>
          </w:p>
        </w:tc>
      </w:tr>
      <w:tr w:rsidR="00A84BEA" w:rsidRPr="00816657" w:rsidTr="00D06841">
        <w:tc>
          <w:tcPr>
            <w:tcW w:w="1668"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Controlled Waste NEPM</w:t>
            </w:r>
          </w:p>
        </w:tc>
        <w:tc>
          <w:tcPr>
            <w:tcW w:w="7800"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 xml:space="preserve">National Environment Protection (Movement of Controlled Waste between </w:t>
            </w:r>
            <w:r w:rsidR="00B8412B" w:rsidRPr="00816657">
              <w:rPr>
                <w:rFonts w:asciiTheme="minorHAnsi" w:hAnsiTheme="minorHAnsi" w:cs="Arial"/>
                <w:szCs w:val="20"/>
              </w:rPr>
              <w:t>States and Territories</w:t>
            </w:r>
            <w:r w:rsidRPr="00816657">
              <w:rPr>
                <w:rFonts w:asciiTheme="minorHAnsi" w:hAnsiTheme="minorHAnsi" w:cs="Arial"/>
                <w:szCs w:val="20"/>
              </w:rPr>
              <w:t>) Measure.</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DoE</w:t>
            </w:r>
          </w:p>
        </w:tc>
        <w:tc>
          <w:tcPr>
            <w:tcW w:w="7800"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The Australian Government Department of the Environment</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EPS</w:t>
            </w:r>
          </w:p>
        </w:tc>
        <w:tc>
          <w:tcPr>
            <w:tcW w:w="7800"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Expanded polystyrene</w:t>
            </w:r>
          </w:p>
        </w:tc>
      </w:tr>
      <w:tr w:rsidR="00A84BEA" w:rsidRPr="00816657" w:rsidTr="00D06841">
        <w:tc>
          <w:tcPr>
            <w:tcW w:w="1668"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Hazardous waste</w:t>
            </w:r>
          </w:p>
        </w:tc>
        <w:tc>
          <w:tcPr>
            <w:tcW w:w="7800"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 xml:space="preserve">A hazardous waste, as defined in the Australian Government’s </w:t>
            </w:r>
            <w:r w:rsidRPr="00816657">
              <w:rPr>
                <w:rFonts w:asciiTheme="minorHAnsi" w:hAnsiTheme="minorHAnsi" w:cs="Arial"/>
                <w:i/>
                <w:szCs w:val="20"/>
              </w:rPr>
              <w:t xml:space="preserve">National Waste Policy: Less waste, more resources </w:t>
            </w:r>
            <w:r w:rsidRPr="00816657">
              <w:rPr>
                <w:rFonts w:asciiTheme="minorHAnsi" w:hAnsiTheme="minorHAnsi" w:cs="Arial"/>
                <w:szCs w:val="20"/>
              </w:rPr>
              <w:t xml:space="preserve">(2009), is a substance or object that exhibits hazardous characteristics, is no longer fit for its intended use and requires disposal. </w:t>
            </w:r>
            <w:r w:rsidR="00920D3C" w:rsidRPr="00816657">
              <w:rPr>
                <w:rFonts w:asciiTheme="minorHAnsi" w:hAnsiTheme="minorHAnsi" w:cs="Arial"/>
                <w:szCs w:val="20"/>
              </w:rPr>
              <w:t>According to the Act, h</w:t>
            </w:r>
            <w:r w:rsidRPr="00816657">
              <w:rPr>
                <w:rFonts w:asciiTheme="minorHAnsi" w:hAnsiTheme="minorHAnsi" w:cs="Arial"/>
                <w:szCs w:val="20"/>
              </w:rPr>
              <w:t xml:space="preserve">azardous waste means: </w:t>
            </w:r>
          </w:p>
          <w:p w:rsidR="00A84BEA" w:rsidRPr="00816657" w:rsidRDefault="00A84BEA" w:rsidP="00D06841">
            <w:pPr>
              <w:rPr>
                <w:rFonts w:asciiTheme="minorHAnsi" w:hAnsiTheme="minorHAnsi" w:cs="Arial"/>
                <w:szCs w:val="20"/>
              </w:rPr>
            </w:pPr>
            <w:r w:rsidRPr="00816657">
              <w:rPr>
                <w:rFonts w:asciiTheme="minorHAnsi" w:hAnsiTheme="minorHAnsi" w:cs="Arial"/>
                <w:szCs w:val="20"/>
              </w:rPr>
              <w:t xml:space="preserve">(a) waste prescribed by the regulations, where the waste has any of the characteristics mentioned in Annex III to the Basel Convention; or </w:t>
            </w:r>
          </w:p>
          <w:p w:rsidR="00A84BEA" w:rsidRPr="00816657" w:rsidRDefault="00A84BEA" w:rsidP="00D06841">
            <w:pPr>
              <w:rPr>
                <w:rFonts w:asciiTheme="minorHAnsi" w:hAnsiTheme="minorHAnsi" w:cs="Arial"/>
                <w:szCs w:val="20"/>
              </w:rPr>
            </w:pPr>
            <w:r w:rsidRPr="00816657">
              <w:rPr>
                <w:rFonts w:asciiTheme="minorHAnsi" w:hAnsiTheme="minorHAnsi" w:cs="Arial"/>
                <w:szCs w:val="20"/>
              </w:rPr>
              <w:t xml:space="preserve">(b) wastes covered by paragraph 1(a) of Article 1 of the Basel Convention; or </w:t>
            </w:r>
          </w:p>
          <w:p w:rsidR="00A84BEA" w:rsidRPr="00816657" w:rsidRDefault="00A84BEA" w:rsidP="00D06841">
            <w:pPr>
              <w:rPr>
                <w:rFonts w:asciiTheme="minorHAnsi" w:hAnsiTheme="minorHAnsi" w:cs="Arial"/>
                <w:szCs w:val="20"/>
              </w:rPr>
            </w:pPr>
            <w:r w:rsidRPr="00816657">
              <w:rPr>
                <w:rFonts w:asciiTheme="minorHAnsi" w:hAnsiTheme="minorHAnsi" w:cs="Arial"/>
                <w:szCs w:val="20"/>
              </w:rPr>
              <w:t xml:space="preserve">(c) household waste; or </w:t>
            </w:r>
          </w:p>
          <w:p w:rsidR="00A84BEA" w:rsidRPr="00816657" w:rsidRDefault="00A84BEA" w:rsidP="00D06841">
            <w:pPr>
              <w:rPr>
                <w:rFonts w:asciiTheme="minorHAnsi" w:hAnsiTheme="minorHAnsi" w:cs="Arial"/>
                <w:szCs w:val="20"/>
              </w:rPr>
            </w:pPr>
            <w:r w:rsidRPr="00816657">
              <w:rPr>
                <w:rFonts w:asciiTheme="minorHAnsi" w:hAnsiTheme="minorHAnsi" w:cs="Arial"/>
                <w:szCs w:val="20"/>
              </w:rPr>
              <w:t xml:space="preserve">(d) </w:t>
            </w:r>
            <w:proofErr w:type="gramStart"/>
            <w:r w:rsidRPr="00816657">
              <w:rPr>
                <w:rFonts w:asciiTheme="minorHAnsi" w:hAnsiTheme="minorHAnsi" w:cs="Arial"/>
                <w:szCs w:val="20"/>
              </w:rPr>
              <w:t>residues</w:t>
            </w:r>
            <w:proofErr w:type="gramEnd"/>
            <w:r w:rsidRPr="00816657">
              <w:rPr>
                <w:rFonts w:asciiTheme="minorHAnsi" w:hAnsiTheme="minorHAnsi" w:cs="Arial"/>
                <w:szCs w:val="20"/>
              </w:rPr>
              <w:t xml:space="preserve"> arising from the incineration of household waste; but does not include wastes covered by paragraph 4 of Article 1 of the Basel Convention.</w:t>
            </w:r>
          </w:p>
        </w:tc>
      </w:tr>
      <w:tr w:rsidR="00A84BEA" w:rsidRPr="00816657" w:rsidTr="00D06841">
        <w:tc>
          <w:tcPr>
            <w:tcW w:w="1668"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Interstate data</w:t>
            </w:r>
          </w:p>
        </w:tc>
        <w:tc>
          <w:tcPr>
            <w:tcW w:w="7800"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Data collected about hazardous waste generated in one jurisdiction and treated in another, through cross-border transport under the Controlled Waste NEPM</w:t>
            </w:r>
          </w:p>
        </w:tc>
      </w:tr>
      <w:tr w:rsidR="00A84BEA" w:rsidRPr="00816657" w:rsidTr="00D06841">
        <w:tc>
          <w:tcPr>
            <w:tcW w:w="1668"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Intrastate data</w:t>
            </w:r>
          </w:p>
        </w:tc>
        <w:tc>
          <w:tcPr>
            <w:tcW w:w="7800"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Data collected about hazardous waste generated, transported and treated within the one jurisdiction</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kt</w:t>
            </w:r>
          </w:p>
        </w:tc>
        <w:tc>
          <w:tcPr>
            <w:tcW w:w="7800"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Kilotonnes (thousands of tonnes)</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LPCL</w:t>
            </w:r>
          </w:p>
        </w:tc>
        <w:tc>
          <w:tcPr>
            <w:tcW w:w="7800" w:type="dxa"/>
          </w:tcPr>
          <w:p w:rsidR="008A3967" w:rsidRPr="00816657" w:rsidRDefault="008A3967" w:rsidP="00D06841">
            <w:pPr>
              <w:rPr>
                <w:rFonts w:asciiTheme="minorHAnsi" w:hAnsiTheme="minorHAnsi" w:cs="Arial"/>
                <w:szCs w:val="20"/>
              </w:rPr>
            </w:pPr>
            <w:r w:rsidRPr="00816657">
              <w:t>Low POP concentration limit</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Mt</w:t>
            </w:r>
          </w:p>
        </w:tc>
        <w:tc>
          <w:tcPr>
            <w:tcW w:w="7800" w:type="dxa"/>
          </w:tcPr>
          <w:p w:rsidR="008A3967" w:rsidRPr="00816657" w:rsidRDefault="008A3967" w:rsidP="00D06841">
            <w:r w:rsidRPr="00816657">
              <w:t>Megatonnes (millions of tonnes)</w:t>
            </w:r>
          </w:p>
        </w:tc>
      </w:tr>
      <w:tr w:rsidR="00A84BEA" w:rsidRPr="00816657" w:rsidTr="00D06841">
        <w:tc>
          <w:tcPr>
            <w:tcW w:w="1668" w:type="dxa"/>
          </w:tcPr>
          <w:p w:rsidR="00A84BEA" w:rsidRPr="00816657" w:rsidRDefault="00A84BEA" w:rsidP="00D06841">
            <w:pPr>
              <w:rPr>
                <w:rFonts w:asciiTheme="minorHAnsi" w:hAnsiTheme="minorHAnsi" w:cs="Arial"/>
                <w:szCs w:val="20"/>
              </w:rPr>
            </w:pPr>
            <w:r w:rsidRPr="00816657">
              <w:rPr>
                <w:rFonts w:asciiTheme="minorHAnsi" w:hAnsiTheme="minorHAnsi" w:cs="Arial"/>
                <w:szCs w:val="20"/>
              </w:rPr>
              <w:t>NEPM</w:t>
            </w:r>
          </w:p>
        </w:tc>
        <w:tc>
          <w:tcPr>
            <w:tcW w:w="7800" w:type="dxa"/>
          </w:tcPr>
          <w:p w:rsidR="00A84BEA" w:rsidRPr="00816657" w:rsidRDefault="008A3967" w:rsidP="00D06841">
            <w:pPr>
              <w:rPr>
                <w:rFonts w:asciiTheme="minorHAnsi" w:hAnsiTheme="minorHAnsi" w:cs="Arial"/>
                <w:szCs w:val="20"/>
              </w:rPr>
            </w:pPr>
            <w:r w:rsidRPr="00816657">
              <w:rPr>
                <w:rFonts w:asciiTheme="minorHAnsi" w:hAnsiTheme="minorHAnsi" w:cs="Arial"/>
                <w:i/>
                <w:szCs w:val="20"/>
              </w:rPr>
              <w:t>National Environment Protection (Movement of Controlled Waste between States and Territories) Measure 1998</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PCB</w:t>
            </w:r>
          </w:p>
        </w:tc>
        <w:tc>
          <w:tcPr>
            <w:tcW w:w="7800" w:type="dxa"/>
          </w:tcPr>
          <w:p w:rsidR="008A3967" w:rsidRPr="00816657" w:rsidRDefault="008A3967" w:rsidP="00D06841">
            <w:pPr>
              <w:rPr>
                <w:rFonts w:asciiTheme="minorHAnsi" w:hAnsiTheme="minorHAnsi" w:cs="Arial"/>
                <w:szCs w:val="20"/>
              </w:rPr>
            </w:pPr>
            <w:r w:rsidRPr="00816657">
              <w:rPr>
                <w:rFonts w:asciiTheme="minorHAnsi" w:hAnsiTheme="minorHAnsi"/>
                <w:color w:val="222222"/>
                <w:shd w:val="clear" w:color="auto" w:fill="FFFFFF"/>
              </w:rPr>
              <w:t>P</w:t>
            </w:r>
            <w:r w:rsidRPr="00816657">
              <w:rPr>
                <w:rFonts w:asciiTheme="minorHAnsi" w:hAnsiTheme="minorHAnsi" w:cs="Arial"/>
                <w:color w:val="222222"/>
                <w:shd w:val="clear" w:color="auto" w:fill="FFFFFF"/>
              </w:rPr>
              <w:t>olychlorinated biphenyl</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PFOS</w:t>
            </w:r>
          </w:p>
        </w:tc>
        <w:tc>
          <w:tcPr>
            <w:tcW w:w="7800" w:type="dxa"/>
          </w:tcPr>
          <w:p w:rsidR="008A3967" w:rsidRPr="00816657" w:rsidRDefault="006D07F5" w:rsidP="00D06841">
            <w:pPr>
              <w:rPr>
                <w:rFonts w:asciiTheme="minorHAnsi" w:hAnsiTheme="minorHAnsi"/>
                <w:color w:val="222222"/>
                <w:shd w:val="clear" w:color="auto" w:fill="FFFFFF"/>
              </w:rPr>
            </w:pPr>
            <w:hyperlink r:id="rId17" w:history="1">
              <w:r w:rsidR="008A3967" w:rsidRPr="00816657">
                <w:t>Perfluorooctane sulfonate</w:t>
              </w:r>
            </w:hyperlink>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POP</w:t>
            </w:r>
          </w:p>
        </w:tc>
        <w:tc>
          <w:tcPr>
            <w:tcW w:w="7800" w:type="dxa"/>
          </w:tcPr>
          <w:p w:rsidR="008A3967" w:rsidRPr="00816657" w:rsidRDefault="008A3967" w:rsidP="00D06841">
            <w:r w:rsidRPr="00816657">
              <w:rPr>
                <w:rFonts w:cs="Arial"/>
              </w:rPr>
              <w:t>Persistent organic pollutant</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POP-BDE</w:t>
            </w:r>
          </w:p>
        </w:tc>
        <w:tc>
          <w:tcPr>
            <w:tcW w:w="7800" w:type="dxa"/>
          </w:tcPr>
          <w:p w:rsidR="008A3967" w:rsidRPr="00816657" w:rsidRDefault="008A3967" w:rsidP="00D06841">
            <w:pPr>
              <w:rPr>
                <w:rFonts w:cs="Arial"/>
              </w:rPr>
            </w:pPr>
            <w:r w:rsidRPr="00816657">
              <w:t>Persistent organic pollutants - bromodiphenyl ethers (various forms)</w:t>
            </w:r>
          </w:p>
        </w:tc>
      </w:tr>
      <w:tr w:rsidR="00C56298" w:rsidRPr="00816657" w:rsidTr="00D06841">
        <w:tc>
          <w:tcPr>
            <w:tcW w:w="1668" w:type="dxa"/>
          </w:tcPr>
          <w:p w:rsidR="00C56298" w:rsidRPr="00816657" w:rsidRDefault="00C56298" w:rsidP="00D06841">
            <w:pPr>
              <w:rPr>
                <w:rFonts w:asciiTheme="minorHAnsi" w:hAnsiTheme="minorHAnsi" w:cs="Arial"/>
                <w:szCs w:val="20"/>
              </w:rPr>
            </w:pPr>
            <w:r w:rsidRPr="00816657">
              <w:t>Potential infrastructure capacity</w:t>
            </w:r>
          </w:p>
        </w:tc>
        <w:tc>
          <w:tcPr>
            <w:tcW w:w="7800" w:type="dxa"/>
          </w:tcPr>
          <w:p w:rsidR="00C56298" w:rsidRPr="00816657" w:rsidRDefault="00C56298" w:rsidP="00D06841">
            <w:pPr>
              <w:rPr>
                <w:rFonts w:asciiTheme="minorHAnsi" w:hAnsiTheme="minorHAnsi" w:cs="Arial"/>
                <w:szCs w:val="20"/>
              </w:rPr>
            </w:pPr>
            <w:r w:rsidRPr="00816657">
              <w:t xml:space="preserve">Refers to the maximum capacity that the current infrastructure set </w:t>
            </w:r>
            <w:r w:rsidR="00A650B1" w:rsidRPr="00816657">
              <w:rPr>
                <w:u w:val="single"/>
              </w:rPr>
              <w:t>and</w:t>
            </w:r>
            <w:r w:rsidR="00A650B1" w:rsidRPr="00816657">
              <w:t xml:space="preserve"> those facilities that are under development </w:t>
            </w:r>
            <w:r w:rsidRPr="00816657">
              <w:rPr>
                <w:u w:val="single"/>
              </w:rPr>
              <w:t>could</w:t>
            </w:r>
            <w:r w:rsidRPr="00816657">
              <w:t xml:space="preserve"> process on an annual basis. For some sites</w:t>
            </w:r>
            <w:r w:rsidR="00CA5E0B" w:rsidRPr="00816657">
              <w:t>,</w:t>
            </w:r>
            <w:r w:rsidRPr="00816657">
              <w:t xml:space="preserve"> </w:t>
            </w:r>
            <w:r w:rsidR="00CA5E0B" w:rsidRPr="00816657">
              <w:t xml:space="preserve">an </w:t>
            </w:r>
            <w:r w:rsidRPr="00816657">
              <w:t>EPA licence or planning permit amendments may be required to process the potential tonnage.</w:t>
            </w:r>
            <w:r w:rsidR="00070985">
              <w:t xml:space="preserve"> The maximum capacity at current operating infrastructure has been combined with the capacity of planned infrastructure, that industry identified during consultation, to protect the commercial information regarding planned site developments. Industry stated that planned infrastructure information is particularly sensitive and must be protected.</w:t>
            </w:r>
          </w:p>
        </w:tc>
      </w:tr>
      <w:tr w:rsidR="004A6A3B" w:rsidRPr="00816657" w:rsidTr="00D06841">
        <w:tc>
          <w:tcPr>
            <w:tcW w:w="1668" w:type="dxa"/>
          </w:tcPr>
          <w:p w:rsidR="004A6A3B" w:rsidRPr="00816657" w:rsidRDefault="003A6FBB" w:rsidP="00D06841">
            <w:pPr>
              <w:rPr>
                <w:rFonts w:asciiTheme="minorHAnsi" w:hAnsiTheme="minorHAnsi"/>
                <w:szCs w:val="20"/>
              </w:rPr>
            </w:pPr>
            <w:r>
              <w:rPr>
                <w:rFonts w:asciiTheme="minorHAnsi" w:hAnsiTheme="minorHAnsi"/>
                <w:szCs w:val="20"/>
              </w:rPr>
              <w:lastRenderedPageBreak/>
              <w:t>Waste groups</w:t>
            </w:r>
          </w:p>
        </w:tc>
        <w:tc>
          <w:tcPr>
            <w:tcW w:w="7800" w:type="dxa"/>
          </w:tcPr>
          <w:p w:rsidR="004A6A3B" w:rsidRPr="00816657" w:rsidRDefault="00173C69" w:rsidP="00D06841">
            <w:pPr>
              <w:rPr>
                <w:rFonts w:asciiTheme="minorHAnsi" w:hAnsiTheme="minorHAnsi"/>
                <w:szCs w:val="20"/>
              </w:rPr>
            </w:pPr>
            <w:r w:rsidRPr="00816657">
              <w:rPr>
                <w:rFonts w:asciiTheme="minorHAnsi" w:hAnsiTheme="minorHAnsi"/>
                <w:szCs w:val="20"/>
              </w:rPr>
              <w:t>The classification system adopted for generating the projections of waste arisings (closely follows the NEPM categories</w:t>
            </w:r>
            <w:r w:rsidR="00CF76E1" w:rsidRPr="00816657">
              <w:rPr>
                <w:rFonts w:asciiTheme="minorHAnsi" w:hAnsiTheme="minorHAnsi"/>
                <w:szCs w:val="20"/>
              </w:rPr>
              <w:t>.</w:t>
            </w:r>
            <w:r w:rsidR="003A290E" w:rsidRPr="00816657">
              <w:rPr>
                <w:rFonts w:asciiTheme="minorHAnsi" w:hAnsiTheme="minorHAnsi"/>
                <w:szCs w:val="20"/>
              </w:rPr>
              <w:t xml:space="preserve"> </w:t>
            </w:r>
          </w:p>
        </w:tc>
      </w:tr>
      <w:tr w:rsidR="004A6A3B" w:rsidRPr="00816657" w:rsidTr="00D06841">
        <w:tc>
          <w:tcPr>
            <w:tcW w:w="1668" w:type="dxa"/>
          </w:tcPr>
          <w:p w:rsidR="004A6A3B" w:rsidRPr="00816657" w:rsidRDefault="004A6A3B" w:rsidP="00D06841">
            <w:pPr>
              <w:rPr>
                <w:rFonts w:asciiTheme="minorHAnsi" w:hAnsiTheme="minorHAnsi"/>
                <w:szCs w:val="20"/>
                <w:highlight w:val="yellow"/>
              </w:rPr>
            </w:pPr>
            <w:r w:rsidRPr="00816657">
              <w:rPr>
                <w:rFonts w:asciiTheme="minorHAnsi" w:hAnsiTheme="minorHAnsi"/>
                <w:szCs w:val="20"/>
              </w:rPr>
              <w:t>Inf</w:t>
            </w:r>
            <w:r w:rsidR="008A6836">
              <w:rPr>
                <w:rFonts w:asciiTheme="minorHAnsi" w:hAnsiTheme="minorHAnsi"/>
                <w:szCs w:val="20"/>
              </w:rPr>
              <w:t>rastructure</w:t>
            </w:r>
            <w:r w:rsidRPr="00816657">
              <w:rPr>
                <w:rFonts w:asciiTheme="minorHAnsi" w:hAnsiTheme="minorHAnsi"/>
                <w:szCs w:val="20"/>
              </w:rPr>
              <w:t xml:space="preserve"> groups</w:t>
            </w:r>
          </w:p>
        </w:tc>
        <w:tc>
          <w:tcPr>
            <w:tcW w:w="7800" w:type="dxa"/>
          </w:tcPr>
          <w:p w:rsidR="004A6A3B" w:rsidRPr="00816657" w:rsidRDefault="00AE76DB" w:rsidP="00D06841">
            <w:pPr>
              <w:rPr>
                <w:rFonts w:asciiTheme="minorHAnsi" w:hAnsiTheme="minorHAnsi"/>
                <w:szCs w:val="20"/>
              </w:rPr>
            </w:pPr>
            <w:r w:rsidRPr="00816657">
              <w:rPr>
                <w:rFonts w:asciiTheme="minorHAnsi" w:hAnsiTheme="minorHAnsi"/>
                <w:szCs w:val="20"/>
              </w:rPr>
              <w:t xml:space="preserve">The Rawtec (2014) database provided information on infrastructure ‘treatment activities’ and on the types of waste received by NEPM 15 codes and for a few sites by NEPM 75 codes. This information was combined with industry survey responses to produce a set of hazardous waste infrastructure groups that could be used to compare </w:t>
            </w:r>
            <w:r w:rsidR="003A6FBB">
              <w:rPr>
                <w:rFonts w:asciiTheme="minorHAnsi" w:hAnsiTheme="minorHAnsi"/>
                <w:szCs w:val="20"/>
              </w:rPr>
              <w:t xml:space="preserve">waste group </w:t>
            </w:r>
            <w:r w:rsidRPr="00816657">
              <w:rPr>
                <w:rFonts w:asciiTheme="minorHAnsi" w:hAnsiTheme="minorHAnsi"/>
                <w:szCs w:val="20"/>
              </w:rPr>
              <w:t xml:space="preserve">arisings and fate to the current and potential infrastructure capacity. </w:t>
            </w:r>
          </w:p>
        </w:tc>
      </w:tr>
      <w:tr w:rsidR="00A84BEA" w:rsidRPr="00816657" w:rsidTr="00D06841">
        <w:tc>
          <w:tcPr>
            <w:tcW w:w="1668" w:type="dxa"/>
          </w:tcPr>
          <w:p w:rsidR="00A84BEA" w:rsidRPr="00816657" w:rsidRDefault="00A84BEA" w:rsidP="00D06841">
            <w:pPr>
              <w:rPr>
                <w:rFonts w:asciiTheme="minorHAnsi" w:hAnsiTheme="minorHAnsi"/>
                <w:szCs w:val="20"/>
              </w:rPr>
            </w:pPr>
            <w:r w:rsidRPr="00816657">
              <w:rPr>
                <w:rFonts w:asciiTheme="minorHAnsi" w:hAnsiTheme="minorHAnsi"/>
                <w:szCs w:val="20"/>
              </w:rPr>
              <w:t>Tracking system</w:t>
            </w:r>
          </w:p>
        </w:tc>
        <w:tc>
          <w:tcPr>
            <w:tcW w:w="7800" w:type="dxa"/>
          </w:tcPr>
          <w:p w:rsidR="00A84BEA" w:rsidRPr="00816657" w:rsidRDefault="00A84BEA" w:rsidP="00D06841">
            <w:pPr>
              <w:rPr>
                <w:rFonts w:asciiTheme="minorHAnsi" w:hAnsiTheme="minorHAnsi"/>
                <w:szCs w:val="20"/>
              </w:rPr>
            </w:pPr>
            <w:r w:rsidRPr="00816657">
              <w:rPr>
                <w:rFonts w:asciiTheme="minorHAnsi" w:hAnsiTheme="minorHAnsi"/>
                <w:szCs w:val="20"/>
              </w:rPr>
              <w:t>Jurisdiction-based hazardous waste tracking systems, which are in place in New South Wales, Queensland, South Australia, Western Australia and Victoria. These tracking systems can be either online, paper-based, or a combination of both these mechanisms.</w:t>
            </w:r>
          </w:p>
        </w:tc>
      </w:tr>
      <w:tr w:rsidR="008A3967" w:rsidRPr="00816657" w:rsidTr="00D06841">
        <w:tc>
          <w:tcPr>
            <w:tcW w:w="1668"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Tracked data</w:t>
            </w:r>
          </w:p>
        </w:tc>
        <w:tc>
          <w:tcPr>
            <w:tcW w:w="7800" w:type="dxa"/>
          </w:tcPr>
          <w:p w:rsidR="008A3967" w:rsidRPr="00816657" w:rsidRDefault="008A3967" w:rsidP="00D06841">
            <w:pPr>
              <w:rPr>
                <w:rFonts w:asciiTheme="minorHAnsi" w:hAnsiTheme="minorHAnsi" w:cs="Arial"/>
                <w:szCs w:val="20"/>
              </w:rPr>
            </w:pPr>
            <w:r w:rsidRPr="00816657">
              <w:rPr>
                <w:rFonts w:asciiTheme="minorHAnsi" w:hAnsiTheme="minorHAnsi" w:cs="Arial"/>
                <w:szCs w:val="20"/>
              </w:rPr>
              <w:t>Hazardous waste collected under the arrangements of a tracking system</w:t>
            </w:r>
          </w:p>
        </w:tc>
      </w:tr>
      <w:tr w:rsidR="00A84BEA" w:rsidRPr="00816657" w:rsidTr="00D06841">
        <w:tc>
          <w:tcPr>
            <w:tcW w:w="1668" w:type="dxa"/>
          </w:tcPr>
          <w:p w:rsidR="00A84BEA" w:rsidRPr="00816657" w:rsidRDefault="00A84BEA" w:rsidP="00D06841">
            <w:pPr>
              <w:rPr>
                <w:rFonts w:asciiTheme="minorHAnsi" w:hAnsiTheme="minorHAnsi"/>
                <w:szCs w:val="20"/>
              </w:rPr>
            </w:pPr>
            <w:r w:rsidRPr="00816657">
              <w:rPr>
                <w:rFonts w:asciiTheme="minorHAnsi" w:hAnsiTheme="minorHAnsi"/>
                <w:szCs w:val="20"/>
              </w:rPr>
              <w:t>Treatment</w:t>
            </w:r>
          </w:p>
        </w:tc>
        <w:tc>
          <w:tcPr>
            <w:tcW w:w="7800" w:type="dxa"/>
          </w:tcPr>
          <w:p w:rsidR="00A84BEA" w:rsidRPr="00816657" w:rsidRDefault="00A84BEA" w:rsidP="00D06841">
            <w:pPr>
              <w:rPr>
                <w:rFonts w:asciiTheme="minorHAnsi" w:hAnsiTheme="minorHAnsi"/>
                <w:szCs w:val="20"/>
              </w:rPr>
            </w:pPr>
            <w:r w:rsidRPr="00816657">
              <w:rPr>
                <w:rFonts w:asciiTheme="minorHAnsi" w:hAnsiTheme="minorHAnsi"/>
                <w:szCs w:val="20"/>
              </w:rPr>
              <w:t xml:space="preserve">Treatment of waste is the removal, reduction or immobilisation of a hazardous characteristic to enable the waste to be reused, recycled, sent to </w:t>
            </w:r>
            <w:proofErr w:type="gramStart"/>
            <w:r w:rsidRPr="00816657">
              <w:rPr>
                <w:rFonts w:asciiTheme="minorHAnsi" w:hAnsiTheme="minorHAnsi"/>
                <w:szCs w:val="20"/>
              </w:rPr>
              <w:t>an Energy</w:t>
            </w:r>
            <w:proofErr w:type="gramEnd"/>
            <w:r w:rsidRPr="00816657">
              <w:rPr>
                <w:rFonts w:asciiTheme="minorHAnsi" w:hAnsiTheme="minorHAnsi"/>
                <w:szCs w:val="20"/>
              </w:rPr>
              <w:t xml:space="preserve"> from Waste facility or disposed.</w:t>
            </w:r>
          </w:p>
        </w:tc>
      </w:tr>
      <w:tr w:rsidR="00A84BEA" w:rsidRPr="00816657" w:rsidTr="00D06841">
        <w:tc>
          <w:tcPr>
            <w:tcW w:w="1668" w:type="dxa"/>
          </w:tcPr>
          <w:p w:rsidR="00A84BEA" w:rsidRPr="00816657" w:rsidRDefault="00A84BEA" w:rsidP="00D06841">
            <w:pPr>
              <w:rPr>
                <w:rFonts w:asciiTheme="minorHAnsi" w:hAnsiTheme="minorHAnsi"/>
                <w:szCs w:val="20"/>
              </w:rPr>
            </w:pPr>
            <w:r w:rsidRPr="00816657">
              <w:rPr>
                <w:rFonts w:asciiTheme="minorHAnsi" w:hAnsiTheme="minorHAnsi"/>
                <w:szCs w:val="20"/>
              </w:rPr>
              <w:t>Waste</w:t>
            </w:r>
          </w:p>
        </w:tc>
        <w:tc>
          <w:tcPr>
            <w:tcW w:w="7800" w:type="dxa"/>
          </w:tcPr>
          <w:p w:rsidR="00A84BEA" w:rsidRPr="00816657" w:rsidRDefault="00A84BEA" w:rsidP="00D06841">
            <w:pPr>
              <w:rPr>
                <w:rFonts w:asciiTheme="minorHAnsi" w:hAnsiTheme="minorHAnsi"/>
                <w:szCs w:val="20"/>
              </w:rPr>
            </w:pPr>
            <w:r w:rsidRPr="00816657">
              <w:rPr>
                <w:rFonts w:asciiTheme="minorHAnsi" w:hAnsiTheme="minorHAnsi"/>
                <w:szCs w:val="20"/>
              </w:rPr>
              <w:t>(For data collation purposes) is materials or products that are unwanted or have been discarded, rejected or abandoned. Waste includes materials or products that are recycled, converted to energy, or disposed. Materials and products that are reused (for their original or another purpose without reprocessing) are not solid waste because they remain in use.</w:t>
            </w:r>
          </w:p>
        </w:tc>
      </w:tr>
      <w:tr w:rsidR="00D2303E" w:rsidRPr="00816657" w:rsidTr="00D06841">
        <w:tc>
          <w:tcPr>
            <w:tcW w:w="1668" w:type="dxa"/>
          </w:tcPr>
          <w:p w:rsidR="00D2303E" w:rsidRPr="00816657" w:rsidRDefault="00D2303E" w:rsidP="00D06841">
            <w:pPr>
              <w:rPr>
                <w:rFonts w:asciiTheme="minorHAnsi" w:hAnsiTheme="minorHAnsi"/>
                <w:szCs w:val="20"/>
              </w:rPr>
            </w:pPr>
            <w:r w:rsidRPr="00816657">
              <w:rPr>
                <w:rFonts w:asciiTheme="minorHAnsi" w:hAnsiTheme="minorHAnsi"/>
                <w:szCs w:val="20"/>
              </w:rPr>
              <w:t>Waste arisings</w:t>
            </w:r>
          </w:p>
        </w:tc>
        <w:tc>
          <w:tcPr>
            <w:tcW w:w="7800" w:type="dxa"/>
          </w:tcPr>
          <w:p w:rsidR="00D2303E" w:rsidRPr="00816657" w:rsidRDefault="008A3967" w:rsidP="00D06841">
            <w:pPr>
              <w:rPr>
                <w:rFonts w:asciiTheme="minorHAnsi" w:hAnsiTheme="minorHAnsi"/>
                <w:szCs w:val="20"/>
              </w:rPr>
            </w:pPr>
            <w:r w:rsidRPr="00816657">
              <w:t>H</w:t>
            </w:r>
            <w:r w:rsidR="00D2303E" w:rsidRPr="00816657">
              <w:t xml:space="preserve">azardous waste is said to ‘arise’ when it causes demand for processing, storage, </w:t>
            </w:r>
            <w:proofErr w:type="gramStart"/>
            <w:r w:rsidR="00D2303E" w:rsidRPr="00816657">
              <w:t>treatment</w:t>
            </w:r>
            <w:proofErr w:type="gramEnd"/>
            <w:r w:rsidR="00D2303E" w:rsidRPr="00816657">
              <w:t xml:space="preserve"> or disposal infrastructure.</w:t>
            </w:r>
          </w:p>
        </w:tc>
      </w:tr>
      <w:tr w:rsidR="00A84BEA" w:rsidRPr="00816657" w:rsidTr="00D06841">
        <w:tc>
          <w:tcPr>
            <w:tcW w:w="1668" w:type="dxa"/>
          </w:tcPr>
          <w:p w:rsidR="00A84BEA" w:rsidRPr="00816657" w:rsidRDefault="00A84BEA" w:rsidP="00D06841">
            <w:pPr>
              <w:rPr>
                <w:rFonts w:asciiTheme="minorHAnsi" w:hAnsiTheme="minorHAnsi" w:cs="Arial"/>
                <w:szCs w:val="20"/>
              </w:rPr>
            </w:pPr>
            <w:r w:rsidRPr="00816657">
              <w:rPr>
                <w:rFonts w:asciiTheme="minorHAnsi" w:hAnsiTheme="minorHAnsi"/>
                <w:szCs w:val="20"/>
              </w:rPr>
              <w:t>Waste Code</w:t>
            </w:r>
          </w:p>
        </w:tc>
        <w:tc>
          <w:tcPr>
            <w:tcW w:w="7800" w:type="dxa"/>
          </w:tcPr>
          <w:p w:rsidR="00A84BEA" w:rsidRPr="00816657" w:rsidRDefault="00A84BEA" w:rsidP="00D06841">
            <w:pPr>
              <w:rPr>
                <w:rFonts w:asciiTheme="minorHAnsi" w:hAnsiTheme="minorHAnsi" w:cs="Arial"/>
                <w:szCs w:val="20"/>
              </w:rPr>
            </w:pPr>
            <w:r w:rsidRPr="00816657">
              <w:rPr>
                <w:rFonts w:asciiTheme="minorHAnsi" w:hAnsiTheme="minorHAnsi"/>
                <w:szCs w:val="20"/>
              </w:rPr>
              <w:t>Three-digit code typically used by jurisdictions to describe NEPM-listed wastes.</w:t>
            </w:r>
            <w:r w:rsidR="000C7135" w:rsidRPr="00816657">
              <w:rPr>
                <w:rFonts w:asciiTheme="minorHAnsi" w:hAnsiTheme="minorHAnsi"/>
                <w:szCs w:val="20"/>
              </w:rPr>
              <w:t xml:space="preserve"> </w:t>
            </w:r>
            <w:r w:rsidRPr="00816657">
              <w:rPr>
                <w:rFonts w:asciiTheme="minorHAnsi" w:hAnsiTheme="minorHAnsi"/>
                <w:szCs w:val="20"/>
              </w:rPr>
              <w:t>These are also referred to as ’NEPM codes’ although it is noted that the actual codes do not appear in the NEPM itself.</w:t>
            </w:r>
          </w:p>
        </w:tc>
      </w:tr>
      <w:tr w:rsidR="00DA68D3" w:rsidRPr="00816657" w:rsidTr="00D06841">
        <w:tc>
          <w:tcPr>
            <w:tcW w:w="1668" w:type="dxa"/>
          </w:tcPr>
          <w:p w:rsidR="00DA68D3" w:rsidRPr="00816657" w:rsidRDefault="00DA68D3" w:rsidP="00D06841">
            <w:pPr>
              <w:rPr>
                <w:rFonts w:asciiTheme="minorHAnsi" w:hAnsiTheme="minorHAnsi" w:cs="Arial"/>
                <w:szCs w:val="20"/>
              </w:rPr>
            </w:pPr>
            <w:r w:rsidRPr="00816657">
              <w:rPr>
                <w:rFonts w:asciiTheme="minorHAnsi" w:hAnsiTheme="minorHAnsi" w:cs="Arial"/>
                <w:szCs w:val="20"/>
              </w:rPr>
              <w:t>Waste fate</w:t>
            </w:r>
          </w:p>
        </w:tc>
        <w:tc>
          <w:tcPr>
            <w:tcW w:w="7800" w:type="dxa"/>
          </w:tcPr>
          <w:p w:rsidR="00DA68D3" w:rsidRPr="00816657" w:rsidRDefault="00DA68D3" w:rsidP="00D06841">
            <w:pPr>
              <w:rPr>
                <w:rFonts w:asciiTheme="minorHAnsi" w:hAnsiTheme="minorHAnsi" w:cs="Arial"/>
                <w:szCs w:val="20"/>
              </w:rPr>
            </w:pPr>
            <w:r w:rsidRPr="00816657">
              <w:rPr>
                <w:rFonts w:asciiTheme="minorHAnsi" w:hAnsiTheme="minorHAnsi" w:cs="Arial"/>
                <w:szCs w:val="20"/>
              </w:rPr>
              <w:t>Refers to the destination of the waste within the set of defined end points. It includes reuse, treatment, recycling</w:t>
            </w:r>
            <w:r w:rsidR="00920CFE" w:rsidRPr="00816657">
              <w:rPr>
                <w:rFonts w:asciiTheme="minorHAnsi" w:hAnsiTheme="minorHAnsi" w:cs="Arial"/>
                <w:szCs w:val="20"/>
              </w:rPr>
              <w:t>, energy recovery</w:t>
            </w:r>
            <w:r w:rsidR="00EE25D4" w:rsidRPr="00816657">
              <w:rPr>
                <w:rFonts w:asciiTheme="minorHAnsi" w:hAnsiTheme="minorHAnsi" w:cs="Arial"/>
                <w:szCs w:val="20"/>
              </w:rPr>
              <w:t>,</w:t>
            </w:r>
            <w:r w:rsidRPr="00816657">
              <w:rPr>
                <w:rFonts w:asciiTheme="minorHAnsi" w:hAnsiTheme="minorHAnsi" w:cs="Arial"/>
                <w:szCs w:val="20"/>
              </w:rPr>
              <w:t xml:space="preserve"> and disposal.</w:t>
            </w:r>
            <w:r w:rsidR="00EE25D4" w:rsidRPr="00816657">
              <w:rPr>
                <w:rFonts w:asciiTheme="minorHAnsi" w:hAnsiTheme="minorHAnsi" w:cs="Arial"/>
                <w:szCs w:val="20"/>
              </w:rPr>
              <w:t xml:space="preserve"> Waste transfer and storage should not generally </w:t>
            </w:r>
            <w:proofErr w:type="gramStart"/>
            <w:r w:rsidR="00EE25D4" w:rsidRPr="00816657">
              <w:rPr>
                <w:rFonts w:asciiTheme="minorHAnsi" w:hAnsiTheme="minorHAnsi" w:cs="Arial"/>
                <w:szCs w:val="20"/>
              </w:rPr>
              <w:t>considered</w:t>
            </w:r>
            <w:proofErr w:type="gramEnd"/>
            <w:r w:rsidR="00EE25D4" w:rsidRPr="00816657">
              <w:rPr>
                <w:rFonts w:asciiTheme="minorHAnsi" w:hAnsiTheme="minorHAnsi" w:cs="Arial"/>
                <w:szCs w:val="20"/>
              </w:rPr>
              <w:t xml:space="preserve"> as a waste fate. </w:t>
            </w:r>
            <w:r w:rsidR="00920CFE" w:rsidRPr="00816657">
              <w:rPr>
                <w:rFonts w:asciiTheme="minorHAnsi" w:hAnsiTheme="minorHAnsi" w:cs="Arial"/>
                <w:szCs w:val="20"/>
              </w:rPr>
              <w:t>The term f</w:t>
            </w:r>
            <w:r w:rsidRPr="00816657">
              <w:rPr>
                <w:rFonts w:asciiTheme="minorHAnsi" w:hAnsiTheme="minorHAnsi" w:cs="Arial"/>
                <w:szCs w:val="20"/>
              </w:rPr>
              <w:t>ate does not infer that the waste material is destroyed or lost.</w:t>
            </w:r>
            <w:r w:rsidR="00F954D8" w:rsidRPr="00816657">
              <w:rPr>
                <w:rFonts w:asciiTheme="minorHAnsi" w:hAnsiTheme="minorHAnsi" w:cs="Arial"/>
                <w:szCs w:val="20"/>
              </w:rPr>
              <w:t xml:space="preserve"> </w:t>
            </w:r>
          </w:p>
        </w:tc>
      </w:tr>
      <w:tr w:rsidR="008A3967" w:rsidRPr="00816657" w:rsidTr="00D06841">
        <w:tc>
          <w:tcPr>
            <w:tcW w:w="1668" w:type="dxa"/>
          </w:tcPr>
          <w:p w:rsidR="008A3967" w:rsidRPr="00816657" w:rsidRDefault="008A3967" w:rsidP="00D06841">
            <w:pPr>
              <w:rPr>
                <w:rFonts w:asciiTheme="minorHAnsi" w:hAnsiTheme="minorHAnsi"/>
                <w:szCs w:val="20"/>
              </w:rPr>
            </w:pPr>
            <w:r w:rsidRPr="00816657">
              <w:rPr>
                <w:rFonts w:asciiTheme="minorHAnsi" w:hAnsiTheme="minorHAnsi"/>
                <w:szCs w:val="20"/>
              </w:rPr>
              <w:t>WEEE</w:t>
            </w:r>
          </w:p>
        </w:tc>
        <w:tc>
          <w:tcPr>
            <w:tcW w:w="7800" w:type="dxa"/>
          </w:tcPr>
          <w:p w:rsidR="008A3967" w:rsidRPr="00816657" w:rsidRDefault="008A3967" w:rsidP="00D06841">
            <w:pPr>
              <w:rPr>
                <w:rFonts w:asciiTheme="minorHAnsi" w:hAnsiTheme="minorHAnsi"/>
                <w:szCs w:val="20"/>
              </w:rPr>
            </w:pPr>
            <w:r w:rsidRPr="00816657">
              <w:rPr>
                <w:rFonts w:asciiTheme="minorHAnsi" w:hAnsiTheme="minorHAnsi"/>
                <w:szCs w:val="20"/>
              </w:rPr>
              <w:t>Waste electrical and electronic equipment</w:t>
            </w:r>
          </w:p>
        </w:tc>
      </w:tr>
    </w:tbl>
    <w:p w:rsidR="005046D3" w:rsidRDefault="005046D3" w:rsidP="00F810CB">
      <w:pPr>
        <w:rPr>
          <w:noProof/>
        </w:rPr>
      </w:pPr>
    </w:p>
    <w:p w:rsidR="00D06841" w:rsidRPr="00816657" w:rsidRDefault="00D06841" w:rsidP="00F810CB">
      <w:pPr>
        <w:rPr>
          <w:noProof/>
        </w:rPr>
      </w:pPr>
    </w:p>
    <w:p w:rsidR="00126A20" w:rsidRPr="00816657" w:rsidRDefault="00126A20" w:rsidP="00126A20">
      <w:pPr>
        <w:pStyle w:val="Heading3"/>
      </w:pPr>
      <w:r w:rsidRPr="00816657">
        <w:t>Acknowledgements</w:t>
      </w:r>
    </w:p>
    <w:p w:rsidR="00126A20" w:rsidRPr="00C80BF0" w:rsidRDefault="00126A20" w:rsidP="00126A20">
      <w:pPr>
        <w:pStyle w:val="BodyText"/>
        <w:rPr>
          <w:sz w:val="20"/>
          <w:szCs w:val="20"/>
        </w:rPr>
      </w:pPr>
      <w:r w:rsidRPr="00C80BF0">
        <w:rPr>
          <w:sz w:val="20"/>
          <w:szCs w:val="20"/>
        </w:rPr>
        <w:t xml:space="preserve">This project could not have been completed without the valuable input of government and industry stakeholders. The project team would like to thanks all of those who have taken the time to respond to our requests for input. </w:t>
      </w:r>
    </w:p>
    <w:p w:rsidR="00166045" w:rsidRPr="00C80BF0" w:rsidRDefault="00166045" w:rsidP="00126A20">
      <w:pPr>
        <w:pStyle w:val="BodyText"/>
        <w:rPr>
          <w:sz w:val="20"/>
          <w:szCs w:val="20"/>
        </w:rPr>
      </w:pPr>
    </w:p>
    <w:p w:rsidR="00126A20" w:rsidRPr="00C80BF0" w:rsidRDefault="00DC1168" w:rsidP="00126A20">
      <w:pPr>
        <w:pStyle w:val="BodyText"/>
        <w:rPr>
          <w:sz w:val="20"/>
          <w:szCs w:val="20"/>
        </w:rPr>
      </w:pPr>
      <w:r w:rsidRPr="00C80BF0">
        <w:rPr>
          <w:sz w:val="20"/>
          <w:szCs w:val="20"/>
        </w:rPr>
        <w:t>Federal and state g</w:t>
      </w:r>
      <w:r w:rsidR="00126A20" w:rsidRPr="00C80BF0">
        <w:rPr>
          <w:sz w:val="20"/>
          <w:szCs w:val="20"/>
        </w:rPr>
        <w:t>overnment stakeholders we need to thank:</w:t>
      </w:r>
    </w:p>
    <w:p w:rsidR="00126A20" w:rsidRPr="00C80BF0" w:rsidRDefault="00282C60" w:rsidP="00126A20">
      <w:pPr>
        <w:pStyle w:val="BodyText"/>
        <w:rPr>
          <w:sz w:val="20"/>
          <w:szCs w:val="20"/>
        </w:rPr>
      </w:pPr>
      <w:r w:rsidRPr="00C80BF0">
        <w:rPr>
          <w:sz w:val="20"/>
          <w:szCs w:val="20"/>
        </w:rPr>
        <w:t>Andrew McNee, Andrew Morgan, David Powers, Des Clayton, Dr Paul Starr, Dr Sara Broomhall, Emma Young, Glenn Ellis, Greg Thomas, Jaim</w:t>
      </w:r>
      <w:r w:rsidR="003B34D2">
        <w:rPr>
          <w:sz w:val="20"/>
          <w:szCs w:val="20"/>
        </w:rPr>
        <w:t>ie Clarke, John Horan, John Vanz</w:t>
      </w:r>
      <w:r w:rsidRPr="00C80BF0">
        <w:rPr>
          <w:sz w:val="20"/>
          <w:szCs w:val="20"/>
        </w:rPr>
        <w:t>o, Kate Hamer, Kylie Hughes, Laurence Knight, Lee Eeles, Louise Sindall, Mark Bannister, Paul Bainton, Paul Kesby, Reuben Gregor, Sally Thomas, Scott McKenzie, Scott Mears, Steven Sergi, Tim Eaton, Tony Hodgson.</w:t>
      </w:r>
    </w:p>
    <w:p w:rsidR="00166045" w:rsidRPr="00C80BF0" w:rsidRDefault="00166045" w:rsidP="00126A20">
      <w:pPr>
        <w:pStyle w:val="BodyText"/>
        <w:rPr>
          <w:sz w:val="20"/>
          <w:szCs w:val="20"/>
        </w:rPr>
      </w:pPr>
    </w:p>
    <w:p w:rsidR="00C21147" w:rsidRDefault="00C21147">
      <w:pPr>
        <w:spacing w:line="240" w:lineRule="auto"/>
        <w:rPr>
          <w:color w:val="080808"/>
          <w:szCs w:val="20"/>
        </w:rPr>
      </w:pPr>
      <w:r>
        <w:rPr>
          <w:szCs w:val="20"/>
        </w:rPr>
        <w:br w:type="page"/>
      </w:r>
    </w:p>
    <w:p w:rsidR="00126A20" w:rsidRPr="00C80BF0" w:rsidRDefault="00126A20" w:rsidP="00236A0C">
      <w:pPr>
        <w:pStyle w:val="BodyText"/>
        <w:spacing w:after="120"/>
        <w:rPr>
          <w:sz w:val="20"/>
          <w:szCs w:val="20"/>
        </w:rPr>
      </w:pPr>
      <w:r w:rsidRPr="00C80BF0">
        <w:rPr>
          <w:sz w:val="20"/>
          <w:szCs w:val="20"/>
        </w:rPr>
        <w:lastRenderedPageBreak/>
        <w:t>Industry</w:t>
      </w:r>
      <w:r w:rsidR="00DC1168" w:rsidRPr="00C80BF0">
        <w:rPr>
          <w:sz w:val="20"/>
          <w:szCs w:val="20"/>
        </w:rPr>
        <w:t xml:space="preserve"> and local</w:t>
      </w:r>
      <w:r w:rsidRPr="00C80BF0">
        <w:rPr>
          <w:sz w:val="20"/>
          <w:szCs w:val="20"/>
        </w:rPr>
        <w:t xml:space="preserve"> </w:t>
      </w:r>
      <w:r w:rsidR="00DC1168" w:rsidRPr="00C80BF0">
        <w:rPr>
          <w:sz w:val="20"/>
          <w:szCs w:val="20"/>
        </w:rPr>
        <w:t xml:space="preserve">government </w:t>
      </w:r>
      <w:r w:rsidRPr="00C80BF0">
        <w:rPr>
          <w:sz w:val="20"/>
          <w:szCs w:val="20"/>
        </w:rPr>
        <w:t>stakeholders we need to thank:</w:t>
      </w:r>
    </w:p>
    <w:tbl>
      <w:tblPr>
        <w:tblW w:w="7773" w:type="dxa"/>
        <w:tblInd w:w="-34" w:type="dxa"/>
        <w:tblLook w:val="04A0"/>
      </w:tblPr>
      <w:tblGrid>
        <w:gridCol w:w="4253"/>
        <w:gridCol w:w="3520"/>
      </w:tblGrid>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ABM Envirosafe Treatment Plant</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18" w:history="1">
              <w:r w:rsidR="002A2D86" w:rsidRPr="00C80BF0">
                <w:rPr>
                  <w:rFonts w:cs="Times New Roman"/>
                  <w:color w:val="auto"/>
                  <w:szCs w:val="20"/>
                  <w:lang w:eastAsia="en-AU"/>
                </w:rPr>
                <w:t>Clive lynn</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Ace Waste</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John Homewood, Kevin Maddick</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Auscol</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Ryan Knight</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Australian Refined Alloys </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19" w:history="1">
              <w:r w:rsidR="002A2D86" w:rsidRPr="00C80BF0">
                <w:rPr>
                  <w:rFonts w:cs="Times New Roman"/>
                  <w:color w:val="auto"/>
                  <w:szCs w:val="20"/>
                  <w:lang w:eastAsia="en-AU"/>
                </w:rPr>
                <w:t>Todd Vains</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Bowser Landfill</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Courtney</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Bradbury Industrial Services Pty Ltd</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20" w:history="1">
              <w:r w:rsidR="002A2D86" w:rsidRPr="00C80BF0">
                <w:rPr>
                  <w:rFonts w:cs="Times New Roman"/>
                  <w:color w:val="auto"/>
                  <w:szCs w:val="20"/>
                  <w:lang w:eastAsia="en-AU"/>
                </w:rPr>
                <w:t>John Hewitson</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Castlemaine Landfill</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Dallas Giles</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CMA </w:t>
            </w:r>
            <w:r w:rsidR="003B34D2">
              <w:rPr>
                <w:rFonts w:cs="Times New Roman"/>
                <w:color w:val="auto"/>
                <w:szCs w:val="20"/>
                <w:lang w:eastAsia="en-AU"/>
              </w:rPr>
              <w:t>Ecocycle</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Nick Dodd</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Coast and Valley Oil</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Cootamundra Soil Recycling Facility</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21" w:history="1">
              <w:r w:rsidR="002A2D86" w:rsidRPr="00C80BF0">
                <w:rPr>
                  <w:rFonts w:cs="Times New Roman"/>
                  <w:color w:val="auto"/>
                  <w:szCs w:val="20"/>
                  <w:lang w:eastAsia="en-AU"/>
                </w:rPr>
                <w:t>Maxine Imrie</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Dooen Landfill</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Mario Malibiran</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Drums Go Round</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Mike Ritchie</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Eaglehawk Eco Centre</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Gary Leech</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Gannawarra Shire Council Landfill</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 Adam Cooper</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Geocycle</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Ross Nicholls</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Hanson's Wollert Landfill </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Harry Taylor</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Hi-Quality</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Lance Ingrams</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J.J.Richards</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Kurt Whalan</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Jackson Street Waste Management Centre</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Shafiq Mohamed </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Koonwarra Landfill</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Peter Roberts</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Mildura Landfill</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Sarah O'connor</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MRI (Australia)</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Will LeMessurier</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National Resource Recovery</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Tim</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NYRSTAR</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Bertus DeVilliers</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Onslow Refuse Disposal Site</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Andrew Johnson</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Regain </w:t>
            </w:r>
          </w:p>
        </w:tc>
        <w:tc>
          <w:tcPr>
            <w:tcW w:w="3520" w:type="dxa"/>
            <w:shd w:val="clear" w:color="000000" w:fill="FFFFFF"/>
            <w:noWrap/>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Bernie Cooper</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Renex</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Peter Mirkov </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Sims E-Recycling</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Troy Ruediger</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SITA</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Mark Globan</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Solveco</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22" w:history="1">
              <w:r w:rsidR="002A2D86" w:rsidRPr="00C80BF0">
                <w:rPr>
                  <w:rFonts w:cs="Times New Roman"/>
                  <w:color w:val="auto"/>
                  <w:szCs w:val="20"/>
                  <w:lang w:eastAsia="en-AU"/>
                </w:rPr>
                <w:t>Geoff</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Solvents Australia</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23" w:history="1">
              <w:r w:rsidR="002A2D86" w:rsidRPr="00C80BF0">
                <w:rPr>
                  <w:rFonts w:cs="Times New Roman"/>
                  <w:color w:val="auto"/>
                  <w:szCs w:val="20"/>
                  <w:lang w:eastAsia="en-AU"/>
                </w:rPr>
                <w:t>Colin</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State Waste Services</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24" w:history="1">
              <w:r w:rsidR="002A2D86" w:rsidRPr="00C80BF0">
                <w:rPr>
                  <w:rFonts w:cs="Times New Roman"/>
                  <w:color w:val="auto"/>
                  <w:szCs w:val="20"/>
                  <w:lang w:eastAsia="en-AU"/>
                </w:rPr>
                <w:t>Chris</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Stawell and Ararat Regional Landfill</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Jordan</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SteriHealth </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Pablo Perez-Reigosa </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Swan Hill Landfill</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Jordan</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Toxfree</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25" w:history="1">
              <w:r w:rsidR="002A2D86" w:rsidRPr="00C80BF0">
                <w:rPr>
                  <w:rFonts w:cs="Times New Roman"/>
                  <w:color w:val="auto"/>
                  <w:szCs w:val="20"/>
                  <w:lang w:eastAsia="en-AU"/>
                </w:rPr>
                <w:t>Adam Greenwood, Karl Baltpurvins</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Transpacific </w:t>
            </w:r>
          </w:p>
        </w:tc>
        <w:tc>
          <w:tcPr>
            <w:tcW w:w="3520" w:type="dxa"/>
            <w:shd w:val="clear" w:color="000000" w:fill="FFFFFF"/>
            <w:noWrap/>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Paul Vujic</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Veolia</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26" w:history="1">
              <w:r w:rsidR="002A2D86" w:rsidRPr="00C80BF0">
                <w:rPr>
                  <w:rFonts w:cs="Times New Roman"/>
                  <w:color w:val="auto"/>
                  <w:szCs w:val="20"/>
                  <w:lang w:eastAsia="en-AU"/>
                </w:rPr>
                <w:t>Matt Stanelos, Max Spedding</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VIP Steel Packaging</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27" w:history="1">
              <w:r w:rsidR="002A2D86" w:rsidRPr="00C80BF0">
                <w:rPr>
                  <w:rFonts w:cs="Times New Roman"/>
                  <w:color w:val="auto"/>
                  <w:szCs w:val="20"/>
                  <w:lang w:eastAsia="en-AU"/>
                </w:rPr>
                <w:t>Helen Szabo</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 xml:space="preserve">Weston Aluminium </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28" w:history="1">
              <w:r w:rsidR="002A2D86" w:rsidRPr="00C80BF0">
                <w:rPr>
                  <w:rFonts w:cs="Times New Roman"/>
                  <w:color w:val="auto"/>
                  <w:szCs w:val="20"/>
                  <w:lang w:eastAsia="en-AU"/>
                </w:rPr>
                <w:t>Ian Burns, Garbis Simonian</w:t>
              </w:r>
            </w:hyperlink>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Windell Refuse Site</w:t>
            </w:r>
          </w:p>
        </w:tc>
        <w:tc>
          <w:tcPr>
            <w:tcW w:w="3520"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Mel Rowe</w:t>
            </w:r>
          </w:p>
        </w:tc>
      </w:tr>
      <w:tr w:rsidR="002A2D86" w:rsidRPr="00C80BF0" w:rsidTr="00CE38C1">
        <w:trPr>
          <w:trHeight w:val="270"/>
        </w:trPr>
        <w:tc>
          <w:tcPr>
            <w:tcW w:w="4253" w:type="dxa"/>
            <w:shd w:val="clear" w:color="000000" w:fill="FFFFFF"/>
            <w:hideMark/>
          </w:tcPr>
          <w:p w:rsidR="002A2D86" w:rsidRPr="00C80BF0" w:rsidRDefault="002A2D86" w:rsidP="002A2D86">
            <w:pPr>
              <w:spacing w:line="240" w:lineRule="auto"/>
              <w:rPr>
                <w:rFonts w:cs="Times New Roman"/>
                <w:color w:val="auto"/>
                <w:szCs w:val="20"/>
                <w:lang w:eastAsia="en-AU"/>
              </w:rPr>
            </w:pPr>
            <w:r w:rsidRPr="00C80BF0">
              <w:rPr>
                <w:rFonts w:cs="Times New Roman"/>
                <w:color w:val="auto"/>
                <w:szCs w:val="20"/>
                <w:lang w:eastAsia="en-AU"/>
              </w:rPr>
              <w:t>Wren Oil</w:t>
            </w:r>
          </w:p>
        </w:tc>
        <w:tc>
          <w:tcPr>
            <w:tcW w:w="3520" w:type="dxa"/>
            <w:shd w:val="clear" w:color="000000" w:fill="FFFFFF"/>
            <w:hideMark/>
          </w:tcPr>
          <w:p w:rsidR="002A2D86" w:rsidRPr="00C80BF0" w:rsidRDefault="006D07F5" w:rsidP="002A2D86">
            <w:pPr>
              <w:spacing w:line="240" w:lineRule="auto"/>
              <w:rPr>
                <w:rFonts w:cs="Times New Roman"/>
                <w:color w:val="auto"/>
                <w:szCs w:val="20"/>
                <w:lang w:eastAsia="en-AU"/>
              </w:rPr>
            </w:pPr>
            <w:hyperlink r:id="rId29" w:history="1">
              <w:r w:rsidR="002A2D86" w:rsidRPr="00C80BF0">
                <w:rPr>
                  <w:rFonts w:cs="Times New Roman"/>
                  <w:color w:val="auto"/>
                  <w:szCs w:val="20"/>
                  <w:lang w:eastAsia="en-AU"/>
                </w:rPr>
                <w:t>Peter</w:t>
              </w:r>
            </w:hyperlink>
          </w:p>
        </w:tc>
      </w:tr>
    </w:tbl>
    <w:p w:rsidR="00126A20" w:rsidRPr="00816657" w:rsidRDefault="00126A20" w:rsidP="00F810CB">
      <w:pPr>
        <w:rPr>
          <w:noProof/>
        </w:rPr>
      </w:pPr>
    </w:p>
    <w:p w:rsidR="005046D3" w:rsidRPr="00816657" w:rsidRDefault="005046D3" w:rsidP="00F810CB">
      <w:pPr>
        <w:pStyle w:val="SectionHeader"/>
        <w:sectPr w:rsidR="005046D3" w:rsidRPr="00816657" w:rsidSect="00F810CB">
          <w:footerReference w:type="default" r:id="rId30"/>
          <w:headerReference w:type="first" r:id="rId31"/>
          <w:footerReference w:type="first" r:id="rId32"/>
          <w:pgSz w:w="11907" w:h="16840" w:code="9"/>
          <w:pgMar w:top="1928" w:right="1077" w:bottom="1559" w:left="1474" w:header="709" w:footer="709" w:gutter="0"/>
          <w:pgNumType w:fmt="lowerRoman"/>
          <w:cols w:space="708"/>
          <w:docGrid w:linePitch="360"/>
        </w:sectPr>
      </w:pPr>
    </w:p>
    <w:p w:rsidR="000C3AC6" w:rsidRPr="00816657" w:rsidRDefault="002C5480" w:rsidP="000C3AC6">
      <w:pPr>
        <w:pStyle w:val="Heading1"/>
        <w:numPr>
          <w:ilvl w:val="0"/>
          <w:numId w:val="0"/>
        </w:numPr>
        <w:ind w:left="851" w:hanging="851"/>
      </w:pPr>
      <w:bookmarkStart w:id="9" w:name="_Toc408308712"/>
      <w:bookmarkStart w:id="10" w:name="_Toc425849147"/>
      <w:r>
        <w:lastRenderedPageBreak/>
        <w:t>Executive s</w:t>
      </w:r>
      <w:r w:rsidR="000C3AC6" w:rsidRPr="00816657">
        <w:t>ummary</w:t>
      </w:r>
      <w:bookmarkEnd w:id="9"/>
      <w:bookmarkEnd w:id="10"/>
    </w:p>
    <w:p w:rsidR="0094068C" w:rsidRPr="00816657" w:rsidRDefault="001C65A0" w:rsidP="001C65A0">
      <w:pPr>
        <w:pStyle w:val="Heading3"/>
      </w:pPr>
      <w:r w:rsidRPr="00816657">
        <w:t>Introduction</w:t>
      </w:r>
    </w:p>
    <w:p w:rsidR="001C65A0" w:rsidRPr="00816657" w:rsidRDefault="0093525E" w:rsidP="001C65A0">
      <w:pPr>
        <w:rPr>
          <w:rFonts w:cs="Arial"/>
          <w:sz w:val="22"/>
        </w:rPr>
      </w:pPr>
      <w:proofErr w:type="gramStart"/>
      <w:r w:rsidRPr="00816657">
        <w:rPr>
          <w:rFonts w:cs="Arial"/>
          <w:sz w:val="22"/>
        </w:rPr>
        <w:t xml:space="preserve">Following a commitment in the </w:t>
      </w:r>
      <w:r w:rsidRPr="00816657">
        <w:rPr>
          <w:rFonts w:cs="Arial"/>
          <w:i/>
          <w:sz w:val="22"/>
        </w:rPr>
        <w:t>National Waste Policy: Less Waste, More Resources</w:t>
      </w:r>
      <w:r w:rsidRPr="00816657">
        <w:rPr>
          <w:rFonts w:cs="Arial"/>
          <w:sz w:val="22"/>
        </w:rPr>
        <w:t>, i</w:t>
      </w:r>
      <w:r w:rsidR="001C65A0" w:rsidRPr="00816657">
        <w:rPr>
          <w:rFonts w:cs="Arial"/>
          <w:sz w:val="22"/>
        </w:rPr>
        <w:t xml:space="preserve">n June 2014 </w:t>
      </w:r>
      <w:r w:rsidRPr="00816657">
        <w:rPr>
          <w:rFonts w:cs="Arial"/>
          <w:sz w:val="22"/>
        </w:rPr>
        <w:t xml:space="preserve">the </w:t>
      </w:r>
      <w:r w:rsidR="001C65A0" w:rsidRPr="00816657">
        <w:rPr>
          <w:rFonts w:cs="Arial"/>
          <w:sz w:val="22"/>
        </w:rPr>
        <w:t xml:space="preserve">Australian Government Department of the Environment (DoE) commissioned </w:t>
      </w:r>
      <w:r w:rsidRPr="00816657">
        <w:rPr>
          <w:rFonts w:cs="Arial"/>
          <w:sz w:val="22"/>
        </w:rPr>
        <w:t>this project</w:t>
      </w:r>
      <w:r w:rsidR="001C65A0" w:rsidRPr="00816657">
        <w:rPr>
          <w:rFonts w:cs="Arial"/>
          <w:sz w:val="22"/>
        </w:rPr>
        <w:t xml:space="preserve"> to assess Australia’s current and future hazardous waste infrastructure capacity and needs.</w:t>
      </w:r>
      <w:proofErr w:type="gramEnd"/>
    </w:p>
    <w:p w:rsidR="00956D70" w:rsidRPr="00816657" w:rsidRDefault="00956D70" w:rsidP="001C65A0">
      <w:pPr>
        <w:rPr>
          <w:rFonts w:cs="Arial"/>
          <w:sz w:val="22"/>
        </w:rPr>
      </w:pPr>
    </w:p>
    <w:p w:rsidR="0093525E" w:rsidRPr="00816657" w:rsidRDefault="0093525E" w:rsidP="0093525E">
      <w:pPr>
        <w:rPr>
          <w:rFonts w:cs="Arial"/>
          <w:sz w:val="22"/>
        </w:rPr>
      </w:pPr>
      <w:r w:rsidRPr="00816657">
        <w:rPr>
          <w:rFonts w:cs="Arial"/>
          <w:sz w:val="22"/>
        </w:rPr>
        <w:t>The project ha</w:t>
      </w:r>
      <w:r w:rsidR="002C5480">
        <w:rPr>
          <w:rFonts w:cs="Arial"/>
          <w:sz w:val="22"/>
        </w:rPr>
        <w:t>d</w:t>
      </w:r>
      <w:r w:rsidRPr="00816657">
        <w:rPr>
          <w:rFonts w:cs="Arial"/>
          <w:sz w:val="22"/>
        </w:rPr>
        <w:t xml:space="preserve"> three parts:</w:t>
      </w:r>
    </w:p>
    <w:p w:rsidR="0093525E" w:rsidRPr="00816657" w:rsidRDefault="0093525E" w:rsidP="0093525E">
      <w:pPr>
        <w:pStyle w:val="ListNumber"/>
        <w:numPr>
          <w:ilvl w:val="0"/>
          <w:numId w:val="18"/>
        </w:numPr>
        <w:ind w:left="340" w:hanging="340"/>
      </w:pPr>
      <w:r w:rsidRPr="00816657">
        <w:t>Prepare projections of hazardous waste arisings and fates over the coming 20 years.</w:t>
      </w:r>
    </w:p>
    <w:p w:rsidR="0093525E" w:rsidRPr="00816657" w:rsidRDefault="0093525E" w:rsidP="0093525E">
      <w:pPr>
        <w:pStyle w:val="ListNumber"/>
        <w:numPr>
          <w:ilvl w:val="0"/>
          <w:numId w:val="18"/>
        </w:numPr>
        <w:ind w:left="340" w:hanging="340"/>
      </w:pPr>
      <w:r w:rsidRPr="00816657">
        <w:t xml:space="preserve">Consult with industry to estimate Australia’s current hazardous waste infrastructure capacity, its distribution and expected future. </w:t>
      </w:r>
    </w:p>
    <w:p w:rsidR="0093525E" w:rsidRPr="00816657" w:rsidRDefault="0093525E" w:rsidP="0093525E">
      <w:pPr>
        <w:pStyle w:val="ListNumber"/>
        <w:numPr>
          <w:ilvl w:val="0"/>
          <w:numId w:val="18"/>
        </w:numPr>
        <w:ind w:left="340" w:hanging="340"/>
      </w:pPr>
      <w:r w:rsidRPr="00816657">
        <w:t>Combine the results of the first two parts to identify the extent to which current infrastructure meets future needs, considering the nature and locations of particular infrastructure.</w:t>
      </w:r>
    </w:p>
    <w:p w:rsidR="0093525E" w:rsidRPr="00816657" w:rsidRDefault="0093525E" w:rsidP="001C65A0">
      <w:pPr>
        <w:rPr>
          <w:rFonts w:cs="Arial"/>
          <w:sz w:val="22"/>
        </w:rPr>
      </w:pPr>
    </w:p>
    <w:p w:rsidR="00557C6A" w:rsidRDefault="00557C6A" w:rsidP="00B13534">
      <w:pPr>
        <w:pStyle w:val="BodyText"/>
        <w:rPr>
          <w:rFonts w:cs="Arial"/>
        </w:rPr>
      </w:pPr>
      <w:r>
        <w:rPr>
          <w:rFonts w:cs="Arial"/>
        </w:rPr>
        <w:t>Each part of the project is discussed below.</w:t>
      </w:r>
    </w:p>
    <w:p w:rsidR="00E04990" w:rsidRDefault="00E04990" w:rsidP="00E04990">
      <w:pPr>
        <w:pStyle w:val="BodyText"/>
      </w:pPr>
    </w:p>
    <w:p w:rsidR="00E04990" w:rsidRDefault="00E04990" w:rsidP="007F5BD4">
      <w:pPr>
        <w:pStyle w:val="Heading3"/>
      </w:pPr>
      <w:r>
        <w:t xml:space="preserve">Limitations and uncertainty </w:t>
      </w:r>
    </w:p>
    <w:p w:rsidR="002C5480" w:rsidRDefault="002C5480" w:rsidP="002C5480">
      <w:pPr>
        <w:pStyle w:val="BodyText"/>
      </w:pPr>
      <w:r>
        <w:t>This assessment of projected hazardous waste infrastructure need vs. capacity is affected by the following:</w:t>
      </w:r>
    </w:p>
    <w:p w:rsidR="002C5480" w:rsidRDefault="002C5480" w:rsidP="002C5480">
      <w:pPr>
        <w:pStyle w:val="ListNumber3"/>
        <w:numPr>
          <w:ilvl w:val="0"/>
          <w:numId w:val="45"/>
        </w:numPr>
        <w:spacing w:before="80"/>
        <w:ind w:left="425" w:hanging="425"/>
        <w:contextualSpacing w:val="0"/>
      </w:pPr>
      <w:r>
        <w:t>the levels of uncertainty in the projected arisings of hazardous wastes</w:t>
      </w:r>
    </w:p>
    <w:p w:rsidR="002C5480" w:rsidRDefault="002C5480" w:rsidP="002C5480">
      <w:pPr>
        <w:pStyle w:val="ListNumber3"/>
        <w:numPr>
          <w:ilvl w:val="0"/>
          <w:numId w:val="45"/>
        </w:numPr>
        <w:spacing w:before="80"/>
        <w:ind w:left="425" w:hanging="425"/>
        <w:contextualSpacing w:val="0"/>
      </w:pPr>
      <w:r>
        <w:t xml:space="preserve">the levels of uncertainty in assuming how much of each waste’s arisings will be managed by what infrastructure (the assumed fate) </w:t>
      </w:r>
    </w:p>
    <w:p w:rsidR="002C5480" w:rsidRDefault="002C5480" w:rsidP="002C5480">
      <w:pPr>
        <w:pStyle w:val="ListNumber3"/>
        <w:numPr>
          <w:ilvl w:val="0"/>
          <w:numId w:val="45"/>
        </w:numPr>
        <w:spacing w:before="80"/>
        <w:ind w:left="425" w:hanging="425"/>
        <w:contextualSpacing w:val="0"/>
      </w:pPr>
      <w:proofErr w:type="gramStart"/>
      <w:r>
        <w:t>the</w:t>
      </w:r>
      <w:proofErr w:type="gramEnd"/>
      <w:r>
        <w:t xml:space="preserve"> limitations and levels of uncertainty of the assessment of the current hazardous waste infrastructure capacity. </w:t>
      </w:r>
    </w:p>
    <w:p w:rsidR="002C5480" w:rsidRDefault="002C5480" w:rsidP="002C5480">
      <w:pPr>
        <w:pStyle w:val="BodyText"/>
        <w:shd w:val="clear" w:color="auto" w:fill="FFFFFF" w:themeFill="background1"/>
      </w:pPr>
    </w:p>
    <w:p w:rsidR="002C5480" w:rsidRDefault="002C5480" w:rsidP="002C5480">
      <w:pPr>
        <w:pStyle w:val="BodyText"/>
        <w:shd w:val="clear" w:color="auto" w:fill="FFFFFF" w:themeFill="background1"/>
      </w:pPr>
      <w:proofErr w:type="gramStart"/>
      <w:r>
        <w:t>The limitations and uncertainty of the a</w:t>
      </w:r>
      <w:r w:rsidRPr="00816657">
        <w:t>ssessment of projected need vs. capacity</w:t>
      </w:r>
      <w:r>
        <w:t xml:space="preserve"> included in this report need to be carefully considered.</w:t>
      </w:r>
      <w:proofErr w:type="gramEnd"/>
      <w:r>
        <w:t xml:space="preserve"> See Section </w:t>
      </w:r>
      <w:fldSimple w:instr=" REF _Ref419402884 \r \h  \* MERGEFORMAT ">
        <w:r w:rsidR="002F3000">
          <w:t>4.2</w:t>
        </w:r>
      </w:fldSimple>
      <w:r>
        <w:t xml:space="preserve"> for detailed analysis of uncertainty.</w:t>
      </w:r>
    </w:p>
    <w:p w:rsidR="00D06841" w:rsidRPr="00816657" w:rsidRDefault="00D06841" w:rsidP="00D06841">
      <w:pPr>
        <w:pStyle w:val="BodyText"/>
        <w:shd w:val="clear" w:color="auto" w:fill="FFFFFF" w:themeFill="background1"/>
        <w:rPr>
          <w:rFonts w:cs="Arial"/>
        </w:rPr>
      </w:pPr>
    </w:p>
    <w:p w:rsidR="001C65A0" w:rsidRPr="00816657" w:rsidRDefault="001C65A0">
      <w:pPr>
        <w:pStyle w:val="Heading3"/>
      </w:pPr>
      <w:r w:rsidRPr="00816657">
        <w:t>Projections of hazardous waste infrastructure needs</w:t>
      </w:r>
    </w:p>
    <w:p w:rsidR="00C27B71" w:rsidRDefault="00C27B71" w:rsidP="00C27B71">
      <w:pPr>
        <w:pStyle w:val="BodyText"/>
        <w:rPr>
          <w:rFonts w:cs="Arial"/>
        </w:rPr>
      </w:pPr>
      <w:r w:rsidRPr="00816657">
        <w:rPr>
          <w:rFonts w:cs="Arial"/>
        </w:rPr>
        <w:t xml:space="preserve">Hazardous waste is taken to correspond with </w:t>
      </w:r>
      <w:r w:rsidRPr="00816657">
        <w:t xml:space="preserve">the wastes that the states and territories (the jurisdictions) regulate as requiring particularly high levels of management and control. An important aspect of the context for this project is the potential for ‘new’ hazardous waste streams to arise due </w:t>
      </w:r>
      <w:r>
        <w:t xml:space="preserve">mainly </w:t>
      </w:r>
      <w:r w:rsidRPr="00816657">
        <w:t xml:space="preserve">to changes under the Stockholm </w:t>
      </w:r>
      <w:r w:rsidRPr="00816657">
        <w:rPr>
          <w:rFonts w:cs="Arial"/>
        </w:rPr>
        <w:t>Convention on Persistent Organic Pollutants.</w:t>
      </w:r>
    </w:p>
    <w:p w:rsidR="00C27B71" w:rsidRDefault="00C27B71" w:rsidP="001C65A0">
      <w:pPr>
        <w:pStyle w:val="BodyText"/>
      </w:pPr>
    </w:p>
    <w:p w:rsidR="00817607" w:rsidRDefault="002C5480" w:rsidP="002C5480">
      <w:pPr>
        <w:pStyle w:val="BodyText"/>
      </w:pPr>
      <w:r>
        <w:t>Twenty-nine</w:t>
      </w:r>
      <w:r w:rsidRPr="00816657">
        <w:t xml:space="preserve"> waste groups</w:t>
      </w:r>
      <w:r>
        <w:t xml:space="preserve"> were defined for use in the projections. These</w:t>
      </w:r>
      <w:r w:rsidRPr="00816657">
        <w:t xml:space="preserve"> </w:t>
      </w:r>
      <w:r w:rsidR="00AB5D3F" w:rsidRPr="00816657">
        <w:t>closely correspond</w:t>
      </w:r>
      <w:r>
        <w:t>ed</w:t>
      </w:r>
      <w:r w:rsidR="00AB5D3F" w:rsidRPr="00816657">
        <w:t xml:space="preserve"> with the </w:t>
      </w:r>
      <w:r w:rsidR="00FC029F" w:rsidRPr="00816657">
        <w:rPr>
          <w:rFonts w:asciiTheme="minorHAnsi" w:hAnsiTheme="minorHAnsi" w:cs="Arial"/>
          <w:i/>
          <w:szCs w:val="20"/>
        </w:rPr>
        <w:t>National Environment Protection (Movement of Controlled Waste between States and Territories) Measure 1998</w:t>
      </w:r>
      <w:r w:rsidR="00FC029F" w:rsidRPr="00816657">
        <w:rPr>
          <w:rFonts w:asciiTheme="minorHAnsi" w:hAnsiTheme="minorHAnsi" w:cs="Arial"/>
          <w:szCs w:val="20"/>
        </w:rPr>
        <w:t xml:space="preserve"> (the NEPM)</w:t>
      </w:r>
      <w:r>
        <w:t>. S</w:t>
      </w:r>
      <w:r w:rsidR="00817607" w:rsidRPr="00816657">
        <w:t>ome categories</w:t>
      </w:r>
      <w:r>
        <w:t xml:space="preserve"> were</w:t>
      </w:r>
      <w:r w:rsidR="00817607" w:rsidRPr="00816657">
        <w:t xml:space="preserve"> disaggregated where a component waste </w:t>
      </w:r>
      <w:r w:rsidR="00817607">
        <w:t>was of particular interest to DoE</w:t>
      </w:r>
      <w:r w:rsidR="006B7881">
        <w:t>.</w:t>
      </w:r>
      <w:r w:rsidR="00817607">
        <w:t xml:space="preserve"> </w:t>
      </w:r>
      <w:r w:rsidR="00817607" w:rsidRPr="00816657">
        <w:t>The waste groups are listed in</w:t>
      </w:r>
      <w:r w:rsidR="00817607">
        <w:t xml:space="preserve"> Table S1</w:t>
      </w:r>
      <w:r w:rsidR="00817607" w:rsidRPr="00816657">
        <w:t>.</w:t>
      </w:r>
      <w:r>
        <w:t xml:space="preserve"> </w:t>
      </w:r>
      <w:r w:rsidR="002D12F3">
        <w:t xml:space="preserve">The </w:t>
      </w:r>
      <w:r w:rsidR="005949DC">
        <w:t xml:space="preserve">selection and </w:t>
      </w:r>
      <w:r w:rsidR="002D12F3">
        <w:t>formation of the waste groups is discussed in detail in Sections 1 and 2 of this report.</w:t>
      </w:r>
    </w:p>
    <w:p w:rsidR="002C5480" w:rsidRDefault="002C5480">
      <w:pPr>
        <w:spacing w:line="240" w:lineRule="auto"/>
        <w:rPr>
          <w:color w:val="080808"/>
          <w:sz w:val="22"/>
        </w:rPr>
      </w:pPr>
      <w:r>
        <w:br w:type="page"/>
      </w:r>
    </w:p>
    <w:p w:rsidR="00665DEC" w:rsidRPr="002C5480" w:rsidRDefault="00665DEC" w:rsidP="001C65A0">
      <w:pPr>
        <w:pStyle w:val="BodyText"/>
        <w:rPr>
          <w:sz w:val="2"/>
          <w:szCs w:val="2"/>
        </w:rPr>
      </w:pPr>
    </w:p>
    <w:p w:rsidR="00B1004A" w:rsidRPr="00816657" w:rsidRDefault="00B1004A" w:rsidP="00B1004A">
      <w:pPr>
        <w:pStyle w:val="BodyText"/>
        <w:spacing w:after="120" w:line="260" w:lineRule="atLeast"/>
        <w:rPr>
          <w:b/>
          <w:color w:val="0000FF" w:themeColor="text2"/>
        </w:rPr>
      </w:pPr>
      <w:r w:rsidRPr="00816657">
        <w:rPr>
          <w:b/>
          <w:color w:val="0000FF" w:themeColor="text2"/>
        </w:rPr>
        <w:t>Table S1:</w:t>
      </w:r>
      <w:r w:rsidR="00D06841">
        <w:rPr>
          <w:b/>
          <w:color w:val="0000FF" w:themeColor="text2"/>
        </w:rPr>
        <w:t xml:space="preserve"> </w:t>
      </w:r>
      <w:r w:rsidR="008945C7">
        <w:rPr>
          <w:b/>
          <w:color w:val="0000FF" w:themeColor="text2"/>
        </w:rPr>
        <w:tab/>
        <w:t>‘Waste groups’ and wastes of particular interest</w:t>
      </w:r>
    </w:p>
    <w:tbl>
      <w:tblPr>
        <w:tblW w:w="9513" w:type="dxa"/>
        <w:tblInd w:w="93" w:type="dxa"/>
        <w:tblBorders>
          <w:top w:val="single" w:sz="4" w:space="0" w:color="808080"/>
          <w:bottom w:val="single" w:sz="4" w:space="0" w:color="808080"/>
        </w:tblBorders>
        <w:shd w:val="clear" w:color="000000" w:fill="auto"/>
        <w:tblLook w:val="04A0"/>
      </w:tblPr>
      <w:tblGrid>
        <w:gridCol w:w="419"/>
        <w:gridCol w:w="3140"/>
        <w:gridCol w:w="1418"/>
        <w:gridCol w:w="4536"/>
      </w:tblGrid>
      <w:tr w:rsidR="008945C7" w:rsidRPr="00816657" w:rsidTr="00557C6A">
        <w:trPr>
          <w:trHeight w:val="255"/>
          <w:tblHeader/>
        </w:trPr>
        <w:tc>
          <w:tcPr>
            <w:tcW w:w="419" w:type="dxa"/>
            <w:tcBorders>
              <w:top w:val="single" w:sz="4" w:space="0" w:color="808080"/>
              <w:bottom w:val="single" w:sz="4" w:space="0" w:color="808080"/>
            </w:tcBorders>
            <w:shd w:val="clear" w:color="000000" w:fill="auto"/>
            <w:vAlign w:val="bottom"/>
          </w:tcPr>
          <w:p w:rsidR="008945C7" w:rsidRPr="00816657" w:rsidRDefault="008945C7" w:rsidP="00557C6A">
            <w:pPr>
              <w:spacing w:line="240" w:lineRule="auto"/>
              <w:jc w:val="right"/>
              <w:rPr>
                <w:rFonts w:cs="Times New Roman"/>
                <w:b/>
                <w:color w:val="000000"/>
                <w:szCs w:val="20"/>
                <w:lang w:eastAsia="en-AU"/>
              </w:rPr>
            </w:pPr>
          </w:p>
        </w:tc>
        <w:tc>
          <w:tcPr>
            <w:tcW w:w="3140" w:type="dxa"/>
            <w:tcBorders>
              <w:top w:val="single" w:sz="4" w:space="0" w:color="808080"/>
              <w:bottom w:val="single" w:sz="4" w:space="0" w:color="808080"/>
            </w:tcBorders>
            <w:shd w:val="clear" w:color="000000" w:fill="auto"/>
            <w:vAlign w:val="bottom"/>
          </w:tcPr>
          <w:p w:rsidR="008945C7" w:rsidRPr="00816657" w:rsidRDefault="008945C7" w:rsidP="00557C6A">
            <w:pPr>
              <w:spacing w:line="240" w:lineRule="auto"/>
              <w:rPr>
                <w:rFonts w:cs="Times New Roman"/>
                <w:b/>
                <w:color w:val="000000"/>
                <w:szCs w:val="20"/>
                <w:lang w:eastAsia="en-AU"/>
              </w:rPr>
            </w:pPr>
            <w:r>
              <w:rPr>
                <w:rFonts w:cs="Times New Roman"/>
                <w:b/>
                <w:color w:val="000000"/>
                <w:szCs w:val="20"/>
                <w:lang w:eastAsia="en-AU"/>
              </w:rPr>
              <w:t>Waste</w:t>
            </w:r>
            <w:r w:rsidRPr="00816657">
              <w:rPr>
                <w:rFonts w:cs="Times New Roman"/>
                <w:b/>
                <w:color w:val="000000"/>
                <w:szCs w:val="20"/>
                <w:lang w:eastAsia="en-AU"/>
              </w:rPr>
              <w:t xml:space="preserve"> group</w:t>
            </w:r>
          </w:p>
        </w:tc>
        <w:tc>
          <w:tcPr>
            <w:tcW w:w="1418" w:type="dxa"/>
            <w:tcBorders>
              <w:top w:val="single" w:sz="4" w:space="0" w:color="808080"/>
              <w:bottom w:val="single" w:sz="4" w:space="0" w:color="808080"/>
            </w:tcBorders>
            <w:shd w:val="clear" w:color="000000" w:fill="auto"/>
            <w:vAlign w:val="bottom"/>
          </w:tcPr>
          <w:p w:rsidR="008945C7" w:rsidRPr="00816657" w:rsidRDefault="008945C7" w:rsidP="00557C6A">
            <w:pPr>
              <w:spacing w:line="240" w:lineRule="auto"/>
              <w:rPr>
                <w:rFonts w:cs="Times New Roman"/>
                <w:b/>
                <w:color w:val="000000"/>
                <w:szCs w:val="20"/>
                <w:lang w:eastAsia="en-AU"/>
              </w:rPr>
            </w:pPr>
            <w:r w:rsidRPr="00816657">
              <w:rPr>
                <w:rFonts w:cs="Times New Roman"/>
                <w:b/>
                <w:color w:val="000000"/>
                <w:szCs w:val="20"/>
                <w:lang w:eastAsia="en-AU"/>
              </w:rPr>
              <w:t>Closest NEPM category</w:t>
            </w:r>
          </w:p>
        </w:tc>
        <w:tc>
          <w:tcPr>
            <w:tcW w:w="4536" w:type="dxa"/>
            <w:tcBorders>
              <w:top w:val="single" w:sz="4" w:space="0" w:color="808080"/>
              <w:bottom w:val="single" w:sz="4" w:space="0" w:color="808080"/>
            </w:tcBorders>
            <w:shd w:val="clear" w:color="000000" w:fill="auto"/>
            <w:vAlign w:val="bottom"/>
          </w:tcPr>
          <w:p w:rsidR="008945C7" w:rsidRPr="00816657" w:rsidRDefault="005F5680" w:rsidP="00557C6A">
            <w:pPr>
              <w:spacing w:line="240" w:lineRule="auto"/>
              <w:rPr>
                <w:rFonts w:cs="Times New Roman"/>
                <w:b/>
                <w:color w:val="000000"/>
                <w:szCs w:val="20"/>
                <w:lang w:eastAsia="en-AU"/>
              </w:rPr>
            </w:pPr>
            <w:r>
              <w:rPr>
                <w:rFonts w:cs="Times New Roman"/>
                <w:b/>
                <w:color w:val="000000"/>
                <w:szCs w:val="20"/>
                <w:lang w:eastAsia="en-AU"/>
              </w:rPr>
              <w:t>The component of particular interest</w:t>
            </w:r>
            <w:r w:rsidR="008945C7">
              <w:rPr>
                <w:rFonts w:cs="Times New Roman"/>
                <w:b/>
                <w:color w:val="000000"/>
                <w:szCs w:val="20"/>
                <w:lang w:eastAsia="en-AU"/>
              </w:rPr>
              <w:t xml:space="preserve"> </w:t>
            </w: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1</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Plating &amp; heat treatment</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A</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Acids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B</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3</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Alkalis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C</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4</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Mercury &amp; compounds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D120</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Pr>
                <w:rFonts w:cs="Times New Roman"/>
                <w:color w:val="000000"/>
                <w:szCs w:val="20"/>
                <w:lang w:eastAsia="en-AU"/>
              </w:rPr>
              <w:t>Mercury wastes</w:t>
            </w: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5</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Lead &amp; compounds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D220</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Pr>
                <w:rFonts w:cs="Times New Roman"/>
                <w:color w:val="000000"/>
                <w:szCs w:val="20"/>
                <w:lang w:eastAsia="en-AU"/>
              </w:rPr>
              <w:t>Lead wastes and waste lead acid batteries</w:t>
            </w: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6</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Non-toxic salts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D300</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Pr>
                <w:rFonts w:cs="Times New Roman"/>
                <w:color w:val="000000"/>
                <w:szCs w:val="20"/>
                <w:lang w:eastAsia="en-AU"/>
              </w:rPr>
              <w:t>Coal seam gas wastes</w:t>
            </w:r>
          </w:p>
        </w:tc>
      </w:tr>
      <w:tr w:rsidR="008945C7" w:rsidRPr="00816657" w:rsidTr="00557C6A">
        <w:trPr>
          <w:trHeight w:val="28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7</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Other inorganic chemicals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Other D</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Pr>
                <w:rFonts w:cs="Times New Roman"/>
                <w:color w:val="000000"/>
                <w:szCs w:val="20"/>
                <w:lang w:eastAsia="en-AU"/>
              </w:rPr>
              <w:t xml:space="preserve">Spent </w:t>
            </w:r>
            <w:r w:rsidR="00061B2C">
              <w:rPr>
                <w:rFonts w:cs="Times New Roman"/>
                <w:color w:val="000000"/>
                <w:szCs w:val="20"/>
                <w:lang w:eastAsia="en-AU"/>
              </w:rPr>
              <w:t>pot</w:t>
            </w:r>
            <w:r>
              <w:rPr>
                <w:rFonts w:cs="Times New Roman"/>
                <w:color w:val="000000"/>
                <w:szCs w:val="20"/>
                <w:lang w:eastAsia="en-AU"/>
              </w:rPr>
              <w:t>lining wastes from Aluminium industry.</w:t>
            </w: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8</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Reactive chemicals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E</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9</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Paints, resins, inks, organic sludges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F</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10</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Organic solvents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G</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11</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Pesticides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H</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12</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Oils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J</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Pr>
                <w:rFonts w:cs="Times New Roman"/>
                <w:color w:val="000000"/>
                <w:szCs w:val="20"/>
                <w:lang w:eastAsia="en-AU"/>
              </w:rPr>
              <w:t>Waste oil and oil/water mixtures</w:t>
            </w:r>
          </w:p>
        </w:tc>
      </w:tr>
      <w:tr w:rsidR="006B7881" w:rsidRPr="00816657" w:rsidTr="00557C6A">
        <w:trPr>
          <w:trHeight w:val="255"/>
        </w:trPr>
        <w:tc>
          <w:tcPr>
            <w:tcW w:w="419" w:type="dxa"/>
            <w:tcBorders>
              <w:top w:val="single" w:sz="4" w:space="0" w:color="808080"/>
              <w:bottom w:val="single" w:sz="4" w:space="0" w:color="808080"/>
            </w:tcBorders>
            <w:shd w:val="clear" w:color="000000" w:fill="auto"/>
          </w:tcPr>
          <w:p w:rsidR="006B7881" w:rsidRPr="00816657" w:rsidRDefault="006B7881" w:rsidP="00557C6A">
            <w:pPr>
              <w:spacing w:line="240" w:lineRule="auto"/>
              <w:rPr>
                <w:rFonts w:cs="Times New Roman"/>
                <w:color w:val="000000"/>
                <w:szCs w:val="20"/>
                <w:lang w:eastAsia="en-AU"/>
              </w:rPr>
            </w:pPr>
            <w:r w:rsidRPr="00816657">
              <w:rPr>
                <w:rFonts w:cs="Times New Roman"/>
                <w:color w:val="000000"/>
                <w:szCs w:val="20"/>
                <w:lang w:eastAsia="en-AU"/>
              </w:rPr>
              <w:t>13</w:t>
            </w:r>
          </w:p>
        </w:tc>
        <w:tc>
          <w:tcPr>
            <w:tcW w:w="3140" w:type="dxa"/>
            <w:tcBorders>
              <w:top w:val="single" w:sz="4" w:space="0" w:color="808080"/>
              <w:bottom w:val="single" w:sz="4" w:space="0" w:color="808080"/>
            </w:tcBorders>
            <w:shd w:val="clear" w:color="000000" w:fill="auto"/>
          </w:tcPr>
          <w:p w:rsidR="006B7881" w:rsidRPr="00816657" w:rsidRDefault="006B7881" w:rsidP="00557C6A">
            <w:pPr>
              <w:spacing w:line="240" w:lineRule="auto"/>
              <w:rPr>
                <w:rFonts w:cs="Times New Roman"/>
                <w:color w:val="000000"/>
                <w:szCs w:val="20"/>
                <w:lang w:eastAsia="en-AU"/>
              </w:rPr>
            </w:pPr>
            <w:r w:rsidRPr="00816657">
              <w:rPr>
                <w:rFonts w:cs="Times New Roman"/>
                <w:color w:val="000000"/>
                <w:szCs w:val="20"/>
                <w:lang w:eastAsia="en-AU"/>
              </w:rPr>
              <w:t>Animal effluent and residues (+ food processing waste)</w:t>
            </w:r>
          </w:p>
        </w:tc>
        <w:tc>
          <w:tcPr>
            <w:tcW w:w="1418" w:type="dxa"/>
            <w:tcBorders>
              <w:top w:val="single" w:sz="4" w:space="0" w:color="808080"/>
              <w:bottom w:val="single" w:sz="4" w:space="0" w:color="808080"/>
            </w:tcBorders>
            <w:shd w:val="clear" w:color="000000" w:fill="auto"/>
            <w:noWrap/>
            <w:hideMark/>
          </w:tcPr>
          <w:p w:rsidR="006B7881" w:rsidRPr="00816657" w:rsidRDefault="006B7881" w:rsidP="00557C6A">
            <w:pPr>
              <w:spacing w:line="240" w:lineRule="auto"/>
              <w:rPr>
                <w:rFonts w:cs="Times New Roman"/>
                <w:color w:val="000000"/>
                <w:szCs w:val="20"/>
                <w:lang w:eastAsia="en-AU"/>
              </w:rPr>
            </w:pPr>
            <w:r w:rsidRPr="00816657">
              <w:rPr>
                <w:rFonts w:cs="Times New Roman"/>
                <w:color w:val="000000"/>
                <w:szCs w:val="20"/>
                <w:lang w:eastAsia="en-AU"/>
              </w:rPr>
              <w:t>K100</w:t>
            </w:r>
          </w:p>
        </w:tc>
        <w:tc>
          <w:tcPr>
            <w:tcW w:w="4536" w:type="dxa"/>
            <w:tcBorders>
              <w:top w:val="single" w:sz="4" w:space="0" w:color="808080"/>
              <w:bottom w:val="single" w:sz="4" w:space="0" w:color="808080"/>
            </w:tcBorders>
            <w:shd w:val="clear" w:color="000000" w:fill="auto"/>
          </w:tcPr>
          <w:p w:rsidR="006B7881" w:rsidRPr="00816657" w:rsidRDefault="006B7881" w:rsidP="00557C6A">
            <w:pPr>
              <w:spacing w:line="240" w:lineRule="auto"/>
              <w:rPr>
                <w:rFonts w:cs="Times New Roman"/>
                <w:color w:val="000000"/>
                <w:szCs w:val="20"/>
                <w:lang w:eastAsia="en-AU"/>
              </w:rPr>
            </w:pPr>
            <w:r>
              <w:rPr>
                <w:rFonts w:cs="Times New Roman"/>
                <w:color w:val="000000"/>
                <w:szCs w:val="20"/>
                <w:lang w:eastAsia="en-AU"/>
              </w:rPr>
              <w:t>Large tonnage low hazard organic waste</w:t>
            </w:r>
          </w:p>
        </w:tc>
      </w:tr>
      <w:tr w:rsidR="006B7881" w:rsidRPr="00816657" w:rsidTr="00557C6A">
        <w:trPr>
          <w:trHeight w:val="255"/>
        </w:trPr>
        <w:tc>
          <w:tcPr>
            <w:tcW w:w="419" w:type="dxa"/>
            <w:tcBorders>
              <w:top w:val="single" w:sz="4" w:space="0" w:color="808080"/>
              <w:bottom w:val="single" w:sz="4" w:space="0" w:color="808080"/>
            </w:tcBorders>
            <w:shd w:val="clear" w:color="000000" w:fill="auto"/>
          </w:tcPr>
          <w:p w:rsidR="006B7881" w:rsidRPr="00816657" w:rsidRDefault="006B7881" w:rsidP="00557C6A">
            <w:pPr>
              <w:spacing w:line="240" w:lineRule="auto"/>
              <w:rPr>
                <w:rFonts w:cs="Times New Roman"/>
                <w:color w:val="000000"/>
                <w:szCs w:val="20"/>
                <w:lang w:eastAsia="en-AU"/>
              </w:rPr>
            </w:pPr>
            <w:r w:rsidRPr="00816657">
              <w:rPr>
                <w:rFonts w:cs="Times New Roman"/>
                <w:color w:val="000000"/>
                <w:szCs w:val="20"/>
                <w:lang w:eastAsia="en-AU"/>
              </w:rPr>
              <w:t>14</w:t>
            </w:r>
          </w:p>
        </w:tc>
        <w:tc>
          <w:tcPr>
            <w:tcW w:w="3140" w:type="dxa"/>
            <w:tcBorders>
              <w:top w:val="single" w:sz="4" w:space="0" w:color="808080"/>
              <w:bottom w:val="single" w:sz="4" w:space="0" w:color="808080"/>
            </w:tcBorders>
            <w:shd w:val="clear" w:color="000000" w:fill="auto"/>
          </w:tcPr>
          <w:p w:rsidR="006B7881" w:rsidRPr="00816657" w:rsidRDefault="006B7881" w:rsidP="00557C6A">
            <w:pPr>
              <w:spacing w:line="240" w:lineRule="auto"/>
              <w:rPr>
                <w:rFonts w:cs="Times New Roman"/>
                <w:color w:val="000000"/>
                <w:szCs w:val="20"/>
                <w:lang w:eastAsia="en-AU"/>
              </w:rPr>
            </w:pPr>
            <w:r w:rsidRPr="00816657">
              <w:rPr>
                <w:rFonts w:cs="Times New Roman"/>
                <w:color w:val="000000"/>
                <w:szCs w:val="20"/>
                <w:lang w:eastAsia="en-AU"/>
              </w:rPr>
              <w:t>Grease trap waste</w:t>
            </w:r>
          </w:p>
        </w:tc>
        <w:tc>
          <w:tcPr>
            <w:tcW w:w="1418" w:type="dxa"/>
            <w:tcBorders>
              <w:top w:val="single" w:sz="4" w:space="0" w:color="808080"/>
              <w:bottom w:val="single" w:sz="4" w:space="0" w:color="808080"/>
            </w:tcBorders>
            <w:shd w:val="clear" w:color="000000" w:fill="auto"/>
            <w:noWrap/>
            <w:hideMark/>
          </w:tcPr>
          <w:p w:rsidR="006B7881" w:rsidRPr="00816657" w:rsidRDefault="006B7881" w:rsidP="00557C6A">
            <w:pPr>
              <w:spacing w:line="240" w:lineRule="auto"/>
              <w:rPr>
                <w:rFonts w:cs="Times New Roman"/>
                <w:color w:val="000000"/>
                <w:szCs w:val="20"/>
                <w:lang w:eastAsia="en-AU"/>
              </w:rPr>
            </w:pPr>
            <w:r w:rsidRPr="00816657">
              <w:rPr>
                <w:rFonts w:cs="Times New Roman"/>
                <w:color w:val="000000"/>
                <w:szCs w:val="20"/>
                <w:lang w:eastAsia="en-AU"/>
              </w:rPr>
              <w:t>K110</w:t>
            </w:r>
          </w:p>
        </w:tc>
        <w:tc>
          <w:tcPr>
            <w:tcW w:w="4536" w:type="dxa"/>
            <w:tcBorders>
              <w:top w:val="single" w:sz="4" w:space="0" w:color="808080"/>
              <w:bottom w:val="single" w:sz="4" w:space="0" w:color="808080"/>
            </w:tcBorders>
            <w:shd w:val="clear" w:color="000000" w:fill="auto"/>
          </w:tcPr>
          <w:p w:rsidR="006B7881" w:rsidRPr="00816657" w:rsidRDefault="006B7881" w:rsidP="00557C6A">
            <w:pPr>
              <w:spacing w:line="240" w:lineRule="auto"/>
              <w:rPr>
                <w:rFonts w:cs="Times New Roman"/>
                <w:color w:val="000000"/>
                <w:szCs w:val="20"/>
                <w:lang w:eastAsia="en-AU"/>
              </w:rPr>
            </w:pPr>
            <w:r>
              <w:rPr>
                <w:rFonts w:cs="Times New Roman"/>
                <w:color w:val="000000"/>
                <w:szCs w:val="20"/>
                <w:lang w:eastAsia="en-AU"/>
              </w:rPr>
              <w:t>Large tonnage low hazard organic waste</w:t>
            </w:r>
          </w:p>
        </w:tc>
      </w:tr>
      <w:tr w:rsidR="006B7881" w:rsidRPr="00816657" w:rsidTr="00557C6A">
        <w:trPr>
          <w:trHeight w:val="255"/>
        </w:trPr>
        <w:tc>
          <w:tcPr>
            <w:tcW w:w="419" w:type="dxa"/>
            <w:tcBorders>
              <w:top w:val="single" w:sz="4" w:space="0" w:color="808080"/>
              <w:bottom w:val="single" w:sz="4" w:space="0" w:color="808080"/>
            </w:tcBorders>
            <w:shd w:val="clear" w:color="000000" w:fill="auto"/>
          </w:tcPr>
          <w:p w:rsidR="006B7881" w:rsidRPr="00816657" w:rsidRDefault="006B7881" w:rsidP="00557C6A">
            <w:pPr>
              <w:spacing w:line="240" w:lineRule="auto"/>
              <w:rPr>
                <w:rFonts w:cs="Times New Roman"/>
                <w:color w:val="000000"/>
                <w:szCs w:val="20"/>
                <w:lang w:eastAsia="en-AU"/>
              </w:rPr>
            </w:pPr>
            <w:r w:rsidRPr="00816657">
              <w:rPr>
                <w:rFonts w:cs="Times New Roman"/>
                <w:color w:val="000000"/>
                <w:szCs w:val="20"/>
                <w:lang w:eastAsia="en-AU"/>
              </w:rPr>
              <w:t>15</w:t>
            </w:r>
          </w:p>
        </w:tc>
        <w:tc>
          <w:tcPr>
            <w:tcW w:w="3140" w:type="dxa"/>
            <w:tcBorders>
              <w:top w:val="single" w:sz="4" w:space="0" w:color="808080"/>
              <w:bottom w:val="single" w:sz="4" w:space="0" w:color="808080"/>
            </w:tcBorders>
            <w:shd w:val="clear" w:color="000000" w:fill="auto"/>
          </w:tcPr>
          <w:p w:rsidR="006B7881" w:rsidRPr="00816657" w:rsidRDefault="006B7881" w:rsidP="00557C6A">
            <w:pPr>
              <w:spacing w:line="240" w:lineRule="auto"/>
              <w:rPr>
                <w:rFonts w:cs="Times New Roman"/>
                <w:color w:val="000000"/>
                <w:szCs w:val="20"/>
                <w:lang w:eastAsia="en-AU"/>
              </w:rPr>
            </w:pPr>
            <w:r w:rsidRPr="00816657">
              <w:rPr>
                <w:rFonts w:cs="Times New Roman"/>
                <w:color w:val="000000"/>
                <w:szCs w:val="20"/>
                <w:lang w:eastAsia="en-AU"/>
              </w:rPr>
              <w:t>Tannery &amp; wool scouring wastes</w:t>
            </w:r>
          </w:p>
        </w:tc>
        <w:tc>
          <w:tcPr>
            <w:tcW w:w="1418" w:type="dxa"/>
            <w:tcBorders>
              <w:top w:val="single" w:sz="4" w:space="0" w:color="808080"/>
              <w:bottom w:val="single" w:sz="4" w:space="0" w:color="808080"/>
            </w:tcBorders>
            <w:shd w:val="clear" w:color="000000" w:fill="auto"/>
            <w:noWrap/>
            <w:hideMark/>
          </w:tcPr>
          <w:p w:rsidR="006B7881" w:rsidRPr="00816657" w:rsidRDefault="006B7881" w:rsidP="00557C6A">
            <w:pPr>
              <w:spacing w:line="240" w:lineRule="auto"/>
              <w:rPr>
                <w:rFonts w:cs="Times New Roman"/>
                <w:color w:val="000000"/>
                <w:szCs w:val="20"/>
                <w:lang w:eastAsia="en-AU"/>
              </w:rPr>
            </w:pPr>
            <w:r w:rsidRPr="00816657">
              <w:rPr>
                <w:rFonts w:cs="Times New Roman"/>
                <w:color w:val="000000"/>
                <w:szCs w:val="20"/>
                <w:lang w:eastAsia="en-AU"/>
              </w:rPr>
              <w:t>K140 &amp; 190</w:t>
            </w:r>
          </w:p>
        </w:tc>
        <w:tc>
          <w:tcPr>
            <w:tcW w:w="4536" w:type="dxa"/>
            <w:tcBorders>
              <w:top w:val="single" w:sz="4" w:space="0" w:color="808080"/>
              <w:bottom w:val="single" w:sz="4" w:space="0" w:color="808080"/>
            </w:tcBorders>
            <w:shd w:val="clear" w:color="000000" w:fill="auto"/>
          </w:tcPr>
          <w:p w:rsidR="006B7881" w:rsidRPr="00816657" w:rsidRDefault="006B7881" w:rsidP="00557C6A">
            <w:pPr>
              <w:spacing w:line="240" w:lineRule="auto"/>
              <w:rPr>
                <w:rFonts w:cs="Times New Roman"/>
                <w:color w:val="000000"/>
                <w:szCs w:val="20"/>
                <w:lang w:eastAsia="en-AU"/>
              </w:rPr>
            </w:pPr>
            <w:r>
              <w:rPr>
                <w:rFonts w:cs="Times New Roman"/>
                <w:color w:val="000000"/>
                <w:szCs w:val="20"/>
                <w:lang w:eastAsia="en-AU"/>
              </w:rPr>
              <w:t>Large tonnage low hazard organic waste</w:t>
            </w:r>
          </w:p>
        </w:tc>
      </w:tr>
      <w:tr w:rsidR="008D2D3F" w:rsidRPr="00816657" w:rsidTr="00557C6A">
        <w:trPr>
          <w:trHeight w:val="255"/>
        </w:trPr>
        <w:tc>
          <w:tcPr>
            <w:tcW w:w="419" w:type="dxa"/>
            <w:tcBorders>
              <w:top w:val="single" w:sz="4" w:space="0" w:color="808080"/>
              <w:bottom w:val="single" w:sz="4" w:space="0" w:color="808080"/>
            </w:tcBorders>
            <w:shd w:val="clear" w:color="000000" w:fill="auto"/>
          </w:tcPr>
          <w:p w:rsidR="008D2D3F" w:rsidRPr="00816657" w:rsidRDefault="008D2D3F" w:rsidP="00557C6A">
            <w:pPr>
              <w:spacing w:line="240" w:lineRule="auto"/>
              <w:rPr>
                <w:rFonts w:cs="Times New Roman"/>
                <w:color w:val="000000"/>
                <w:szCs w:val="20"/>
                <w:lang w:eastAsia="en-AU"/>
              </w:rPr>
            </w:pPr>
            <w:r w:rsidRPr="00816657">
              <w:rPr>
                <w:rFonts w:cs="Times New Roman"/>
                <w:color w:val="000000"/>
                <w:szCs w:val="20"/>
                <w:lang w:eastAsia="en-AU"/>
              </w:rPr>
              <w:t>16</w:t>
            </w:r>
          </w:p>
        </w:tc>
        <w:tc>
          <w:tcPr>
            <w:tcW w:w="3140" w:type="dxa"/>
            <w:tcBorders>
              <w:top w:val="single" w:sz="4" w:space="0" w:color="808080"/>
              <w:bottom w:val="single" w:sz="4" w:space="0" w:color="808080"/>
            </w:tcBorders>
            <w:shd w:val="clear" w:color="000000" w:fill="auto"/>
          </w:tcPr>
          <w:p w:rsidR="008D2D3F" w:rsidRPr="00816657" w:rsidRDefault="008D2D3F" w:rsidP="00557C6A">
            <w:pPr>
              <w:spacing w:line="240" w:lineRule="auto"/>
              <w:rPr>
                <w:rFonts w:cs="Times New Roman"/>
                <w:color w:val="000000"/>
                <w:szCs w:val="20"/>
                <w:lang w:eastAsia="en-AU"/>
              </w:rPr>
            </w:pPr>
            <w:r w:rsidRPr="00816657">
              <w:rPr>
                <w:rFonts w:cs="Times New Roman"/>
                <w:color w:val="000000"/>
                <w:szCs w:val="20"/>
                <w:lang w:eastAsia="en-AU"/>
              </w:rPr>
              <w:t>PFOS</w:t>
            </w:r>
          </w:p>
        </w:tc>
        <w:tc>
          <w:tcPr>
            <w:tcW w:w="1418" w:type="dxa"/>
            <w:tcBorders>
              <w:top w:val="single" w:sz="4" w:space="0" w:color="808080"/>
              <w:bottom w:val="single" w:sz="4" w:space="0" w:color="808080"/>
            </w:tcBorders>
            <w:shd w:val="clear" w:color="000000" w:fill="auto"/>
            <w:noWrap/>
            <w:hideMark/>
          </w:tcPr>
          <w:p w:rsidR="008D2D3F" w:rsidRPr="00816657" w:rsidRDefault="008D2D3F" w:rsidP="00557C6A">
            <w:pPr>
              <w:spacing w:line="240" w:lineRule="auto"/>
              <w:rPr>
                <w:rFonts w:cs="Times New Roman"/>
                <w:color w:val="000000"/>
                <w:szCs w:val="20"/>
                <w:lang w:eastAsia="en-AU"/>
              </w:rPr>
            </w:pPr>
            <w:r w:rsidRPr="00816657">
              <w:rPr>
                <w:rFonts w:cs="Times New Roman"/>
                <w:color w:val="000000"/>
                <w:szCs w:val="20"/>
                <w:lang w:eastAsia="en-AU"/>
              </w:rPr>
              <w:t>M160a</w:t>
            </w:r>
          </w:p>
        </w:tc>
        <w:tc>
          <w:tcPr>
            <w:tcW w:w="4536" w:type="dxa"/>
            <w:tcBorders>
              <w:top w:val="single" w:sz="4" w:space="0" w:color="808080"/>
              <w:bottom w:val="single" w:sz="4" w:space="0" w:color="808080"/>
            </w:tcBorders>
            <w:shd w:val="clear" w:color="000000" w:fill="auto"/>
          </w:tcPr>
          <w:p w:rsidR="008D2D3F" w:rsidRPr="00816657" w:rsidRDefault="008D2D3F" w:rsidP="00557C6A">
            <w:pPr>
              <w:spacing w:line="240" w:lineRule="auto"/>
              <w:rPr>
                <w:rFonts w:cs="Times New Roman"/>
                <w:color w:val="000000"/>
                <w:szCs w:val="20"/>
                <w:lang w:eastAsia="en-AU"/>
              </w:rPr>
            </w:pPr>
            <w:r w:rsidRPr="00816657">
              <w:t xml:space="preserve">Perfluorooctanesulfonic acid </w:t>
            </w:r>
            <w:r>
              <w:t>(</w:t>
            </w:r>
            <w:r w:rsidRPr="00816657">
              <w:rPr>
                <w:rFonts w:cs="Times New Roman"/>
                <w:color w:val="000000"/>
                <w:szCs w:val="20"/>
                <w:lang w:eastAsia="en-AU"/>
              </w:rPr>
              <w:t>PFOS</w:t>
            </w:r>
            <w:r>
              <w:rPr>
                <w:rFonts w:cs="Times New Roman"/>
                <w:color w:val="000000"/>
                <w:szCs w:val="20"/>
                <w:lang w:eastAsia="en-AU"/>
              </w:rPr>
              <w:t>) including potential PFOS contaminated biosolids</w:t>
            </w:r>
          </w:p>
        </w:tc>
      </w:tr>
      <w:tr w:rsidR="008D2D3F" w:rsidRPr="00816657" w:rsidTr="00557C6A">
        <w:trPr>
          <w:trHeight w:val="255"/>
        </w:trPr>
        <w:tc>
          <w:tcPr>
            <w:tcW w:w="419" w:type="dxa"/>
            <w:tcBorders>
              <w:top w:val="single" w:sz="4" w:space="0" w:color="808080"/>
              <w:bottom w:val="single" w:sz="4" w:space="0" w:color="808080"/>
            </w:tcBorders>
            <w:shd w:val="clear" w:color="000000" w:fill="auto"/>
          </w:tcPr>
          <w:p w:rsidR="008D2D3F" w:rsidRPr="00816657" w:rsidRDefault="008D2D3F" w:rsidP="00557C6A">
            <w:pPr>
              <w:spacing w:line="240" w:lineRule="auto"/>
              <w:rPr>
                <w:rFonts w:cs="Times New Roman"/>
                <w:color w:val="000000"/>
                <w:szCs w:val="20"/>
                <w:lang w:eastAsia="en-AU"/>
              </w:rPr>
            </w:pPr>
            <w:r w:rsidRPr="00816657">
              <w:rPr>
                <w:rFonts w:cs="Times New Roman"/>
                <w:color w:val="000000"/>
                <w:szCs w:val="20"/>
                <w:lang w:eastAsia="en-AU"/>
              </w:rPr>
              <w:t>17</w:t>
            </w:r>
          </w:p>
        </w:tc>
        <w:tc>
          <w:tcPr>
            <w:tcW w:w="3140" w:type="dxa"/>
            <w:tcBorders>
              <w:top w:val="single" w:sz="4" w:space="0" w:color="808080"/>
              <w:bottom w:val="single" w:sz="4" w:space="0" w:color="808080"/>
            </w:tcBorders>
            <w:shd w:val="clear" w:color="000000" w:fill="auto"/>
          </w:tcPr>
          <w:p w:rsidR="008D2D3F" w:rsidRPr="00816657" w:rsidRDefault="008D2D3F" w:rsidP="00557C6A">
            <w:pPr>
              <w:spacing w:line="240" w:lineRule="auto"/>
              <w:rPr>
                <w:rFonts w:cs="Times New Roman"/>
                <w:color w:val="000000"/>
                <w:szCs w:val="20"/>
                <w:lang w:eastAsia="en-AU"/>
              </w:rPr>
            </w:pPr>
            <w:r w:rsidRPr="00816657">
              <w:rPr>
                <w:rFonts w:cs="Times New Roman"/>
                <w:color w:val="000000"/>
                <w:szCs w:val="20"/>
                <w:lang w:eastAsia="en-AU"/>
              </w:rPr>
              <w:t>POP-BDEs</w:t>
            </w:r>
          </w:p>
        </w:tc>
        <w:tc>
          <w:tcPr>
            <w:tcW w:w="1418" w:type="dxa"/>
            <w:tcBorders>
              <w:top w:val="single" w:sz="4" w:space="0" w:color="808080"/>
              <w:bottom w:val="single" w:sz="4" w:space="0" w:color="808080"/>
            </w:tcBorders>
            <w:shd w:val="clear" w:color="000000" w:fill="auto"/>
            <w:noWrap/>
            <w:hideMark/>
          </w:tcPr>
          <w:p w:rsidR="008D2D3F" w:rsidRPr="00816657" w:rsidRDefault="008D2D3F" w:rsidP="00557C6A">
            <w:pPr>
              <w:spacing w:line="240" w:lineRule="auto"/>
              <w:rPr>
                <w:rFonts w:cs="Times New Roman"/>
                <w:color w:val="000000"/>
                <w:szCs w:val="20"/>
                <w:lang w:eastAsia="en-AU"/>
              </w:rPr>
            </w:pPr>
            <w:r w:rsidRPr="00816657">
              <w:rPr>
                <w:rFonts w:cs="Times New Roman"/>
                <w:color w:val="000000"/>
                <w:szCs w:val="20"/>
                <w:lang w:eastAsia="en-AU"/>
              </w:rPr>
              <w:t>M160b</w:t>
            </w:r>
          </w:p>
        </w:tc>
        <w:tc>
          <w:tcPr>
            <w:tcW w:w="4536" w:type="dxa"/>
            <w:tcBorders>
              <w:top w:val="single" w:sz="4" w:space="0" w:color="808080"/>
              <w:bottom w:val="single" w:sz="4" w:space="0" w:color="808080"/>
            </w:tcBorders>
            <w:shd w:val="clear" w:color="000000" w:fill="auto"/>
          </w:tcPr>
          <w:p w:rsidR="008D2D3F" w:rsidRPr="00816657" w:rsidRDefault="008D2D3F" w:rsidP="00557C6A">
            <w:pPr>
              <w:spacing w:line="240" w:lineRule="auto"/>
              <w:rPr>
                <w:rFonts w:cs="Times New Roman"/>
                <w:color w:val="000000"/>
                <w:szCs w:val="20"/>
                <w:lang w:eastAsia="en-AU"/>
              </w:rPr>
            </w:pPr>
            <w:r w:rsidRPr="0018301D">
              <w:rPr>
                <w:rFonts w:cs="Times New Roman"/>
                <w:color w:val="000000"/>
                <w:szCs w:val="20"/>
                <w:lang w:eastAsia="en-AU"/>
              </w:rPr>
              <w:t>Polybrominated diphenyl ethers (PBDEs)</w:t>
            </w:r>
            <w:r>
              <w:rPr>
                <w:rFonts w:cs="Times New Roman"/>
                <w:color w:val="000000"/>
                <w:szCs w:val="20"/>
                <w:lang w:eastAsia="en-AU"/>
              </w:rPr>
              <w:t xml:space="preserve"> including potential PBDEs contaminated biosolids</w:t>
            </w:r>
          </w:p>
        </w:tc>
      </w:tr>
      <w:tr w:rsidR="008D2D3F" w:rsidRPr="00816657" w:rsidTr="00557C6A">
        <w:trPr>
          <w:trHeight w:val="255"/>
        </w:trPr>
        <w:tc>
          <w:tcPr>
            <w:tcW w:w="419" w:type="dxa"/>
            <w:tcBorders>
              <w:top w:val="single" w:sz="4" w:space="0" w:color="808080"/>
              <w:bottom w:val="single" w:sz="4" w:space="0" w:color="808080"/>
            </w:tcBorders>
            <w:shd w:val="clear" w:color="000000" w:fill="auto"/>
          </w:tcPr>
          <w:p w:rsidR="008D2D3F" w:rsidRPr="00816657" w:rsidRDefault="008D2D3F" w:rsidP="00557C6A">
            <w:pPr>
              <w:spacing w:line="240" w:lineRule="auto"/>
              <w:rPr>
                <w:rFonts w:cs="Times New Roman"/>
                <w:color w:val="000000"/>
                <w:szCs w:val="20"/>
                <w:lang w:eastAsia="en-AU"/>
              </w:rPr>
            </w:pPr>
            <w:r w:rsidRPr="00816657">
              <w:rPr>
                <w:rFonts w:cs="Times New Roman"/>
                <w:color w:val="000000"/>
                <w:szCs w:val="20"/>
                <w:lang w:eastAsia="en-AU"/>
              </w:rPr>
              <w:t>18</w:t>
            </w:r>
          </w:p>
        </w:tc>
        <w:tc>
          <w:tcPr>
            <w:tcW w:w="3140" w:type="dxa"/>
            <w:tcBorders>
              <w:top w:val="single" w:sz="4" w:space="0" w:color="808080"/>
              <w:bottom w:val="single" w:sz="4" w:space="0" w:color="808080"/>
            </w:tcBorders>
            <w:shd w:val="clear" w:color="000000" w:fill="auto"/>
          </w:tcPr>
          <w:p w:rsidR="008D2D3F" w:rsidRPr="00816657" w:rsidRDefault="008D2D3F" w:rsidP="00557C6A">
            <w:pPr>
              <w:spacing w:line="240" w:lineRule="auto"/>
              <w:rPr>
                <w:rFonts w:cs="Times New Roman"/>
                <w:color w:val="000000"/>
                <w:szCs w:val="20"/>
                <w:lang w:eastAsia="en-AU"/>
              </w:rPr>
            </w:pPr>
            <w:r w:rsidRPr="00816657">
              <w:rPr>
                <w:rFonts w:cs="Times New Roman"/>
                <w:color w:val="000000"/>
                <w:szCs w:val="20"/>
                <w:lang w:eastAsia="en-AU"/>
              </w:rPr>
              <w:t>HBCD</w:t>
            </w:r>
          </w:p>
        </w:tc>
        <w:tc>
          <w:tcPr>
            <w:tcW w:w="1418" w:type="dxa"/>
            <w:tcBorders>
              <w:top w:val="single" w:sz="4" w:space="0" w:color="808080"/>
              <w:bottom w:val="single" w:sz="4" w:space="0" w:color="808080"/>
            </w:tcBorders>
            <w:shd w:val="clear" w:color="000000" w:fill="auto"/>
            <w:noWrap/>
            <w:hideMark/>
          </w:tcPr>
          <w:p w:rsidR="008D2D3F" w:rsidRPr="00816657" w:rsidRDefault="008D2D3F" w:rsidP="00557C6A">
            <w:pPr>
              <w:spacing w:line="240" w:lineRule="auto"/>
              <w:rPr>
                <w:rFonts w:cs="Times New Roman"/>
                <w:color w:val="000000"/>
                <w:szCs w:val="20"/>
                <w:lang w:eastAsia="en-AU"/>
              </w:rPr>
            </w:pPr>
            <w:r w:rsidRPr="00816657">
              <w:rPr>
                <w:rFonts w:cs="Times New Roman"/>
                <w:color w:val="000000"/>
                <w:szCs w:val="20"/>
                <w:lang w:eastAsia="en-AU"/>
              </w:rPr>
              <w:t>M160c</w:t>
            </w:r>
          </w:p>
        </w:tc>
        <w:tc>
          <w:tcPr>
            <w:tcW w:w="4536" w:type="dxa"/>
            <w:tcBorders>
              <w:top w:val="single" w:sz="4" w:space="0" w:color="808080"/>
              <w:bottom w:val="single" w:sz="4" w:space="0" w:color="808080"/>
            </w:tcBorders>
            <w:shd w:val="clear" w:color="000000" w:fill="auto"/>
          </w:tcPr>
          <w:p w:rsidR="008D2D3F" w:rsidRPr="00816657" w:rsidRDefault="008D2D3F" w:rsidP="00557C6A">
            <w:pPr>
              <w:spacing w:line="240" w:lineRule="auto"/>
              <w:rPr>
                <w:rFonts w:cs="Times New Roman"/>
                <w:color w:val="000000"/>
                <w:szCs w:val="20"/>
                <w:lang w:eastAsia="en-AU"/>
              </w:rPr>
            </w:pPr>
            <w:r w:rsidRPr="00816657">
              <w:t>Hexabromocyclododecane</w:t>
            </w:r>
            <w:r w:rsidRPr="00816657">
              <w:rPr>
                <w:rFonts w:cs="Times New Roman"/>
                <w:color w:val="000000"/>
                <w:szCs w:val="20"/>
                <w:lang w:eastAsia="en-AU"/>
              </w:rPr>
              <w:t xml:space="preserve"> </w:t>
            </w:r>
            <w:r>
              <w:rPr>
                <w:rFonts w:cs="Times New Roman"/>
                <w:color w:val="000000"/>
                <w:szCs w:val="20"/>
                <w:lang w:eastAsia="en-AU"/>
              </w:rPr>
              <w:t>(</w:t>
            </w:r>
            <w:r w:rsidRPr="00816657">
              <w:rPr>
                <w:rFonts w:cs="Times New Roman"/>
                <w:color w:val="000000"/>
                <w:szCs w:val="20"/>
                <w:lang w:eastAsia="en-AU"/>
              </w:rPr>
              <w:t>HBCD</w:t>
            </w:r>
            <w:r>
              <w:rPr>
                <w:rFonts w:cs="Times New Roman"/>
                <w:color w:val="000000"/>
                <w:szCs w:val="20"/>
                <w:lang w:eastAsia="en-AU"/>
              </w:rPr>
              <w:t>) including</w:t>
            </w:r>
            <w:r w:rsidR="00D06841">
              <w:rPr>
                <w:rFonts w:cs="Times New Roman"/>
                <w:color w:val="000000"/>
                <w:szCs w:val="20"/>
                <w:lang w:eastAsia="en-AU"/>
              </w:rPr>
              <w:t xml:space="preserve"> </w:t>
            </w:r>
            <w:r>
              <w:rPr>
                <w:rFonts w:cs="Times New Roman"/>
                <w:color w:val="000000"/>
                <w:szCs w:val="20"/>
                <w:lang w:eastAsia="en-AU"/>
              </w:rPr>
              <w:t>potential HBCD contaminated biosolids</w:t>
            </w: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19</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HCB</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M160d</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Pr>
                <w:rFonts w:cs="Times New Roman"/>
                <w:color w:val="000000"/>
                <w:szCs w:val="20"/>
                <w:lang w:eastAsia="en-AU"/>
              </w:rPr>
              <w:t xml:space="preserve">Orica stockpile of </w:t>
            </w:r>
            <w:r w:rsidRPr="00EF791A">
              <w:rPr>
                <w:rFonts w:cs="Times New Roman"/>
                <w:color w:val="000000"/>
                <w:szCs w:val="20"/>
                <w:lang w:eastAsia="en-AU"/>
              </w:rPr>
              <w:t>Hexachlorobenzene</w:t>
            </w:r>
            <w:r>
              <w:rPr>
                <w:rFonts w:cs="Times New Roman"/>
                <w:color w:val="000000"/>
                <w:szCs w:val="20"/>
                <w:lang w:eastAsia="en-AU"/>
              </w:rPr>
              <w:t xml:space="preserve"> </w:t>
            </w: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20</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Other organic chemicals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Other M</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21</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Contaminated soils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N120</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Pr>
                <w:rFonts w:cs="Times New Roman"/>
                <w:color w:val="000000"/>
                <w:szCs w:val="20"/>
                <w:lang w:eastAsia="en-AU"/>
              </w:rPr>
              <w:t>Contaminated soils</w:t>
            </w: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22</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Contaminated biosolids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N205a</w:t>
            </w:r>
          </w:p>
        </w:tc>
        <w:tc>
          <w:tcPr>
            <w:tcW w:w="4536" w:type="dxa"/>
            <w:tcBorders>
              <w:top w:val="single" w:sz="4" w:space="0" w:color="808080"/>
              <w:bottom w:val="single" w:sz="4" w:space="0" w:color="808080"/>
            </w:tcBorders>
            <w:shd w:val="clear" w:color="000000" w:fill="auto"/>
          </w:tcPr>
          <w:p w:rsidR="008945C7" w:rsidRPr="00816657" w:rsidRDefault="008945C7">
            <w:pPr>
              <w:spacing w:line="240" w:lineRule="auto"/>
              <w:rPr>
                <w:rFonts w:cs="Times New Roman"/>
                <w:color w:val="000000"/>
                <w:szCs w:val="20"/>
                <w:lang w:eastAsia="en-AU"/>
              </w:rPr>
            </w:pPr>
            <w:r>
              <w:rPr>
                <w:rFonts w:cs="Times New Roman"/>
                <w:color w:val="000000"/>
                <w:szCs w:val="20"/>
                <w:lang w:eastAsia="en-AU"/>
              </w:rPr>
              <w:t>C</w:t>
            </w:r>
            <w:r w:rsidRPr="00816657">
              <w:rPr>
                <w:rFonts w:cs="Times New Roman"/>
                <w:color w:val="000000"/>
                <w:szCs w:val="20"/>
                <w:lang w:eastAsia="en-AU"/>
              </w:rPr>
              <w:t xml:space="preserve">ontaminated biosolids </w:t>
            </w:r>
            <w:r>
              <w:rPr>
                <w:rFonts w:cs="Times New Roman"/>
                <w:color w:val="000000"/>
                <w:szCs w:val="20"/>
                <w:lang w:eastAsia="en-AU"/>
              </w:rPr>
              <w:t xml:space="preserve">potential inorganics contamination. </w:t>
            </w:r>
            <w:r w:rsidR="00665DEC">
              <w:rPr>
                <w:rFonts w:cs="Times New Roman"/>
                <w:color w:val="000000"/>
                <w:szCs w:val="20"/>
                <w:lang w:eastAsia="en-AU"/>
              </w:rPr>
              <w:t xml:space="preserve">Potential </w:t>
            </w:r>
            <w:r>
              <w:rPr>
                <w:rFonts w:cs="Times New Roman"/>
                <w:color w:val="000000"/>
                <w:szCs w:val="20"/>
                <w:lang w:eastAsia="en-AU"/>
              </w:rPr>
              <w:t>POP contam</w:t>
            </w:r>
            <w:r w:rsidR="00665DEC">
              <w:rPr>
                <w:rFonts w:cs="Times New Roman"/>
                <w:color w:val="000000"/>
                <w:szCs w:val="20"/>
                <w:lang w:eastAsia="en-AU"/>
              </w:rPr>
              <w:t>.</w:t>
            </w:r>
            <w:r>
              <w:rPr>
                <w:rFonts w:cs="Times New Roman"/>
                <w:color w:val="000000"/>
                <w:szCs w:val="20"/>
                <w:lang w:eastAsia="en-AU"/>
              </w:rPr>
              <w:t xml:space="preserve"> see M160a-c</w:t>
            </w: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23</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Other industrial treatment residues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N205b</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24</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Asbestos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N220</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Pr>
                <w:rFonts w:cs="Times New Roman"/>
                <w:color w:val="000000"/>
                <w:szCs w:val="20"/>
                <w:lang w:eastAsia="en-AU"/>
              </w:rPr>
              <w:t xml:space="preserve">Waste asbestos </w:t>
            </w: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25</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Other soil/sludges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Other N</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26</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Clinical &amp; pharmaceutical</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R</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27</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Tyres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T140</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Pr>
                <w:rFonts w:cs="Times New Roman"/>
                <w:color w:val="000000"/>
                <w:szCs w:val="20"/>
                <w:lang w:eastAsia="en-AU"/>
              </w:rPr>
              <w:t>Tyres</w:t>
            </w: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28</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Other miscellaneous</w:t>
            </w:r>
          </w:p>
        </w:tc>
        <w:tc>
          <w:tcPr>
            <w:tcW w:w="1418" w:type="dxa"/>
            <w:tcBorders>
              <w:top w:val="single" w:sz="4" w:space="0" w:color="808080"/>
              <w:bottom w:val="single" w:sz="4" w:space="0" w:color="808080"/>
            </w:tcBorders>
            <w:shd w:val="clear" w:color="000000" w:fill="auto"/>
            <w:noWrap/>
            <w:hideMark/>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Other T</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p>
        </w:tc>
      </w:tr>
      <w:tr w:rsidR="008945C7" w:rsidRPr="00816657" w:rsidTr="00557C6A">
        <w:trPr>
          <w:trHeight w:val="255"/>
        </w:trPr>
        <w:tc>
          <w:tcPr>
            <w:tcW w:w="419"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29</w:t>
            </w:r>
          </w:p>
        </w:tc>
        <w:tc>
          <w:tcPr>
            <w:tcW w:w="3140"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Lithium-ion batteries</w:t>
            </w:r>
            <w:r w:rsidR="002D12F3">
              <w:rPr>
                <w:rStyle w:val="FootnoteReference"/>
              </w:rPr>
              <w:footnoteReference w:id="1"/>
            </w:r>
          </w:p>
        </w:tc>
        <w:tc>
          <w:tcPr>
            <w:tcW w:w="1418" w:type="dxa"/>
            <w:tcBorders>
              <w:top w:val="single" w:sz="4" w:space="0" w:color="808080"/>
              <w:bottom w:val="single" w:sz="4" w:space="0" w:color="808080"/>
            </w:tcBorders>
            <w:shd w:val="clear" w:color="000000" w:fill="auto"/>
            <w:noWrap/>
          </w:tcPr>
          <w:p w:rsidR="008945C7" w:rsidRPr="00816657" w:rsidRDefault="008945C7" w:rsidP="00557C6A">
            <w:pPr>
              <w:spacing w:line="240" w:lineRule="auto"/>
              <w:rPr>
                <w:rFonts w:cs="Times New Roman"/>
                <w:color w:val="000000"/>
                <w:szCs w:val="20"/>
                <w:lang w:eastAsia="en-AU"/>
              </w:rPr>
            </w:pPr>
            <w:r w:rsidRPr="00816657">
              <w:rPr>
                <w:rFonts w:cs="Times New Roman"/>
                <w:color w:val="000000"/>
                <w:szCs w:val="20"/>
                <w:lang w:eastAsia="en-AU"/>
              </w:rPr>
              <w:t>n/a</w:t>
            </w:r>
          </w:p>
        </w:tc>
        <w:tc>
          <w:tcPr>
            <w:tcW w:w="4536" w:type="dxa"/>
            <w:tcBorders>
              <w:top w:val="single" w:sz="4" w:space="0" w:color="808080"/>
              <w:bottom w:val="single" w:sz="4" w:space="0" w:color="808080"/>
            </w:tcBorders>
            <w:shd w:val="clear" w:color="000000" w:fill="auto"/>
          </w:tcPr>
          <w:p w:rsidR="008945C7" w:rsidRPr="00816657" w:rsidRDefault="008945C7" w:rsidP="00557C6A">
            <w:pPr>
              <w:spacing w:line="240" w:lineRule="auto"/>
              <w:rPr>
                <w:rFonts w:cs="Times New Roman"/>
                <w:color w:val="000000"/>
                <w:szCs w:val="20"/>
                <w:lang w:eastAsia="en-AU"/>
              </w:rPr>
            </w:pPr>
            <w:r>
              <w:rPr>
                <w:rFonts w:cs="Times New Roman"/>
                <w:color w:val="000000"/>
                <w:szCs w:val="20"/>
                <w:lang w:eastAsia="en-AU"/>
              </w:rPr>
              <w:t xml:space="preserve">Waste </w:t>
            </w:r>
            <w:r w:rsidR="00A6715A">
              <w:rPr>
                <w:rFonts w:cs="Times New Roman"/>
                <w:color w:val="000000"/>
                <w:szCs w:val="20"/>
                <w:lang w:eastAsia="en-AU"/>
              </w:rPr>
              <w:t>lithium-ion</w:t>
            </w:r>
            <w:r>
              <w:rPr>
                <w:rFonts w:cs="Times New Roman"/>
                <w:color w:val="000000"/>
                <w:szCs w:val="20"/>
                <w:lang w:eastAsia="en-AU"/>
              </w:rPr>
              <w:t xml:space="preserve"> batteries</w:t>
            </w:r>
          </w:p>
        </w:tc>
      </w:tr>
    </w:tbl>
    <w:p w:rsidR="008945C7" w:rsidRPr="00816657" w:rsidRDefault="008945C7" w:rsidP="008945C7">
      <w:pPr>
        <w:spacing w:line="240" w:lineRule="auto"/>
        <w:rPr>
          <w:color w:val="080808"/>
          <w:sz w:val="2"/>
          <w:szCs w:val="2"/>
        </w:rPr>
      </w:pPr>
    </w:p>
    <w:p w:rsidR="008945C7" w:rsidRDefault="008945C7" w:rsidP="008945C7">
      <w:pPr>
        <w:spacing w:line="240" w:lineRule="auto"/>
        <w:rPr>
          <w:color w:val="080808"/>
          <w:sz w:val="22"/>
        </w:rPr>
      </w:pPr>
    </w:p>
    <w:p w:rsidR="00665DEC" w:rsidRDefault="00665DEC" w:rsidP="007C635B">
      <w:pPr>
        <w:pStyle w:val="BodyText"/>
      </w:pPr>
      <w:r w:rsidRPr="00816657">
        <w:t xml:space="preserve">Projections were built on the basis of a wide range of data </w:t>
      </w:r>
      <w:r>
        <w:t xml:space="preserve">(documented in </w:t>
      </w:r>
      <w:fldSimple w:instr=" REF _Ref406062144 \h  \* MERGEFORMAT ">
        <w:r w:rsidR="002F3000" w:rsidRPr="00816657">
          <w:t xml:space="preserve">Table </w:t>
        </w:r>
        <w:r w:rsidR="002F3000">
          <w:rPr>
            <w:noProof/>
          </w:rPr>
          <w:t>2</w:t>
        </w:r>
      </w:fldSimple>
      <w:r>
        <w:t xml:space="preserve"> of the report)</w:t>
      </w:r>
      <w:r w:rsidRPr="00816657">
        <w:t>. The most important input was from data reports from the states and territories. Waste tracking systems in Qld, NSW, SA, Vic and WA require companies generating, transporting and treating or disposing hazardous waste to provide a record to government of each transaction to which they are a party. These systems were established to ensure that hazardous waste is appropriately managed. Data from these systems was collected, collated and analysed, together with other jurisdictional waste data.</w:t>
      </w:r>
    </w:p>
    <w:p w:rsidR="007C635B" w:rsidRPr="00816657" w:rsidRDefault="007C635B" w:rsidP="007C635B">
      <w:pPr>
        <w:pStyle w:val="BodyText"/>
      </w:pPr>
    </w:p>
    <w:p w:rsidR="00665DEC" w:rsidRPr="00816657" w:rsidRDefault="00665DEC" w:rsidP="007C635B">
      <w:pPr>
        <w:pStyle w:val="BodyText"/>
      </w:pPr>
      <w:r w:rsidRPr="00816657">
        <w:t xml:space="preserve">A baseline tonnage figure was established for each of 29 waste groups in each jurisdiction, typically based on the most recent datum available. </w:t>
      </w:r>
      <w:r>
        <w:t>Three s</w:t>
      </w:r>
      <w:r w:rsidRPr="00816657">
        <w:t xml:space="preserve">cenarios (best, high and low estimates) of future quantities of each waste group until 2034 were developed based on considerations that varied </w:t>
      </w:r>
      <w:r w:rsidR="007C635B">
        <w:t>with</w:t>
      </w:r>
      <w:r w:rsidRPr="00816657">
        <w:t xml:space="preserve"> the waste group. </w:t>
      </w:r>
      <w:r>
        <w:t xml:space="preserve">Providing three scenarios reflects the highly uncertain nature of projecting future quantities of hazardous </w:t>
      </w:r>
      <w:r>
        <w:lastRenderedPageBreak/>
        <w:t xml:space="preserve">wastes. </w:t>
      </w:r>
      <w:r w:rsidRPr="00816657">
        <w:t>In most cases, the projections were linked to apparent trends, projected economic and population growth, and the anticipated prospects of the industries generating the waste.</w:t>
      </w:r>
      <w:r>
        <w:t xml:space="preserve"> </w:t>
      </w:r>
    </w:p>
    <w:p w:rsidR="00665DEC" w:rsidRPr="00816657" w:rsidRDefault="00665DEC" w:rsidP="007C635B">
      <w:pPr>
        <w:pStyle w:val="BodyText"/>
      </w:pPr>
    </w:p>
    <w:p w:rsidR="00665DEC" w:rsidRPr="00816657" w:rsidRDefault="00665DEC" w:rsidP="00665DEC">
      <w:pPr>
        <w:pStyle w:val="BodyText"/>
      </w:pPr>
      <w:r w:rsidRPr="00816657">
        <w:t xml:space="preserve">The projected waste arisings </w:t>
      </w:r>
      <w:r>
        <w:t xml:space="preserve">for each waste group </w:t>
      </w:r>
      <w:r w:rsidRPr="00816657">
        <w:t xml:space="preserve">under the best estimate scenario are shown in Figure S1. Under this scenario, the quantity of hazardous waste rises from about </w:t>
      </w:r>
      <w:r w:rsidRPr="00807B36">
        <w:t>5.7 million tonnes (Mt) in 2013-14 to 9.9 Mt in 2033-34. This represents an average growth rate of 2.8% per year.</w:t>
      </w:r>
      <w:r w:rsidRPr="00816657">
        <w:t xml:space="preserve"> The top six groups – alkalis, oils, grease trap waste, contaminated soils, asbestos and tyres – represent about three-quarters of the </w:t>
      </w:r>
      <w:r w:rsidRPr="009211E8">
        <w:rPr>
          <w:rFonts w:asciiTheme="minorHAnsi" w:hAnsiTheme="minorHAnsi"/>
          <w:color w:val="auto"/>
        </w:rPr>
        <w:t xml:space="preserve">hazardous waste volumes </w:t>
      </w:r>
      <w:r w:rsidRPr="00816657">
        <w:t xml:space="preserve">at both the start and end of the projection period. Some waste groups are projected to grow strongly over this period, including: lithium-ion batteries </w:t>
      </w:r>
      <w:r>
        <w:t>(</w:t>
      </w:r>
      <w:r w:rsidRPr="00816657">
        <w:t>average growth rate 12% per year); non-toxic salts (9.0%); oils (6.1%); and alkalis (5.7%). In addition, the combined M160 ‘new Stockholm wastes’ (PFOS, POP-BDEs, HBCD and HCB) grow from 3,800 t in 2013-14 to 28,000 t in 2033-34, following Australia’s assumed ratification of the new wastes in 2016-17. Seven groups decline, including: tannery and wool scouring wastes (average decline of 4.1% per year); other organic chemicals (2%); and acids (0.9%).</w:t>
      </w:r>
    </w:p>
    <w:p w:rsidR="00665DEC" w:rsidRDefault="00665DEC" w:rsidP="007F5BD4">
      <w:pPr>
        <w:pStyle w:val="BodyText"/>
        <w:keepNext/>
        <w:tabs>
          <w:tab w:val="left" w:pos="720"/>
          <w:tab w:val="left" w:pos="1440"/>
          <w:tab w:val="left" w:pos="2160"/>
          <w:tab w:val="left" w:pos="2880"/>
          <w:tab w:val="left" w:pos="3600"/>
          <w:tab w:val="left" w:pos="4320"/>
          <w:tab w:val="left" w:pos="5040"/>
          <w:tab w:val="left" w:pos="5760"/>
          <w:tab w:val="left" w:pos="6480"/>
          <w:tab w:val="left" w:pos="7200"/>
          <w:tab w:val="left" w:pos="7911"/>
        </w:tabs>
        <w:spacing w:after="120" w:line="260" w:lineRule="atLeast"/>
      </w:pPr>
    </w:p>
    <w:p w:rsidR="00304B54" w:rsidRPr="00816657" w:rsidRDefault="00817607" w:rsidP="007F5BD4">
      <w:pPr>
        <w:pStyle w:val="BodyText"/>
        <w:keepNext/>
        <w:tabs>
          <w:tab w:val="left" w:pos="720"/>
          <w:tab w:val="left" w:pos="1440"/>
          <w:tab w:val="left" w:pos="2160"/>
          <w:tab w:val="left" w:pos="2880"/>
          <w:tab w:val="left" w:pos="3600"/>
          <w:tab w:val="left" w:pos="4320"/>
          <w:tab w:val="left" w:pos="5040"/>
          <w:tab w:val="left" w:pos="5760"/>
          <w:tab w:val="left" w:pos="6480"/>
          <w:tab w:val="left" w:pos="7200"/>
          <w:tab w:val="left" w:pos="7911"/>
        </w:tabs>
        <w:spacing w:after="120" w:line="260" w:lineRule="atLeast"/>
      </w:pPr>
      <w:r w:rsidRPr="00987D6E">
        <w:rPr>
          <w:noProof/>
          <w:lang w:eastAsia="en-AU"/>
        </w:rPr>
        <w:drawing>
          <wp:anchor distT="0" distB="0" distL="114300" distR="114300" simplePos="0" relativeHeight="251654656" behindDoc="0" locked="0" layoutInCell="1" allowOverlap="1">
            <wp:simplePos x="0" y="0"/>
            <wp:positionH relativeFrom="column">
              <wp:posOffset>-431165</wp:posOffset>
            </wp:positionH>
            <wp:positionV relativeFrom="paragraph">
              <wp:posOffset>328930</wp:posOffset>
            </wp:positionV>
            <wp:extent cx="7035800" cy="45358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35800" cy="4535805"/>
                    </a:xfrm>
                    <a:prstGeom prst="rect">
                      <a:avLst/>
                    </a:prstGeom>
                  </pic:spPr>
                </pic:pic>
              </a:graphicData>
            </a:graphic>
          </wp:anchor>
        </w:drawing>
      </w:r>
      <w:r w:rsidR="00BE4A90" w:rsidRPr="00816657">
        <w:rPr>
          <w:b/>
          <w:color w:val="0000FF" w:themeColor="text2"/>
        </w:rPr>
        <w:t xml:space="preserve">Figure S1: </w:t>
      </w:r>
      <w:r w:rsidR="00BE4A90" w:rsidRPr="00816657">
        <w:rPr>
          <w:b/>
          <w:color w:val="0000FF" w:themeColor="text2"/>
        </w:rPr>
        <w:tab/>
        <w:t>Best estimate of national projections for all hazardous waste to 2034</w:t>
      </w:r>
    </w:p>
    <w:p w:rsidR="00304B54" w:rsidRPr="00816657" w:rsidRDefault="00304B54" w:rsidP="007F5BD4">
      <w:pPr>
        <w:pStyle w:val="BodyText"/>
        <w:keepNext/>
      </w:pPr>
    </w:p>
    <w:p w:rsidR="00FC029F" w:rsidRDefault="00FC029F" w:rsidP="008F3625">
      <w:pPr>
        <w:pStyle w:val="BodyText"/>
      </w:pPr>
    </w:p>
    <w:p w:rsidR="008F3625" w:rsidRPr="00816657" w:rsidRDefault="008F3625" w:rsidP="008F3625">
      <w:pPr>
        <w:pStyle w:val="BodyText"/>
      </w:pPr>
      <w:r w:rsidRPr="00816657">
        <w:t xml:space="preserve">Section </w:t>
      </w:r>
      <w:r w:rsidR="006D07F5">
        <w:fldChar w:fldCharType="begin"/>
      </w:r>
      <w:r w:rsidR="00022D51">
        <w:instrText xml:space="preserve"> REF _Ref419370324 \r \h </w:instrText>
      </w:r>
      <w:r w:rsidR="006D07F5">
        <w:fldChar w:fldCharType="separate"/>
      </w:r>
      <w:r w:rsidR="002F3000">
        <w:t>2.6</w:t>
      </w:r>
      <w:r w:rsidR="006D07F5">
        <w:fldChar w:fldCharType="end"/>
      </w:r>
      <w:r w:rsidRPr="00816657">
        <w:t xml:space="preserve"> provides an account for each waste group of industry sources, considerations</w:t>
      </w:r>
      <w:r w:rsidR="00CF7C42" w:rsidRPr="00816657">
        <w:t xml:space="preserve"> and factors applied</w:t>
      </w:r>
      <w:r w:rsidRPr="00816657">
        <w:t xml:space="preserve"> in developing the projections, </w:t>
      </w:r>
      <w:r w:rsidR="00CF7C42" w:rsidRPr="00816657">
        <w:t>the arithmetical methods used, and a figure showing the projected quantities in the best, high and low estimate scenarios.</w:t>
      </w:r>
    </w:p>
    <w:p w:rsidR="007C635B" w:rsidRDefault="007C635B">
      <w:pPr>
        <w:spacing w:line="240" w:lineRule="auto"/>
        <w:rPr>
          <w:color w:val="080808"/>
          <w:sz w:val="22"/>
        </w:rPr>
      </w:pPr>
      <w:r>
        <w:br w:type="page"/>
      </w:r>
    </w:p>
    <w:p w:rsidR="00304B54" w:rsidRPr="00816657" w:rsidRDefault="00CF7C42">
      <w:pPr>
        <w:pStyle w:val="Heading3"/>
      </w:pPr>
      <w:r w:rsidRPr="00816657">
        <w:lastRenderedPageBreak/>
        <w:t>The fate of hazardous wastes</w:t>
      </w:r>
    </w:p>
    <w:p w:rsidR="004254E4" w:rsidRPr="00816657" w:rsidRDefault="004015E8" w:rsidP="004254E4">
      <w:pPr>
        <w:pStyle w:val="BodyText"/>
      </w:pPr>
      <w:r w:rsidRPr="00816657">
        <w:t>Data on the fate</w:t>
      </w:r>
      <w:r w:rsidR="002D12F3">
        <w:t xml:space="preserve"> (i.e. how the waste is managed)</w:t>
      </w:r>
      <w:r w:rsidRPr="00816657">
        <w:t xml:space="preserve"> of hazardous waste </w:t>
      </w:r>
      <w:r w:rsidR="004254E4" w:rsidRPr="00816657">
        <w:t xml:space="preserve">in 2012-13 </w:t>
      </w:r>
      <w:r w:rsidR="00956D70" w:rsidRPr="00816657">
        <w:t>was compiled from NSW, Qld and Vic tracking system data</w:t>
      </w:r>
      <w:r w:rsidR="004254E4" w:rsidRPr="00816657">
        <w:t xml:space="preserve">. This provided a basis for estimating </w:t>
      </w:r>
      <w:r w:rsidR="002613ED">
        <w:t xml:space="preserve">the fate proportions for SA, WA, NT, ACT, and </w:t>
      </w:r>
      <w:proofErr w:type="gramStart"/>
      <w:r w:rsidR="002613ED">
        <w:t>Tas</w:t>
      </w:r>
      <w:proofErr w:type="gramEnd"/>
      <w:r w:rsidR="007C635B">
        <w:t>, from which</w:t>
      </w:r>
      <w:r w:rsidR="002613ED">
        <w:t xml:space="preserve"> fate data was not available</w:t>
      </w:r>
      <w:r w:rsidR="004254E4" w:rsidRPr="00816657">
        <w:t>.</w:t>
      </w:r>
      <w:r w:rsidR="002613ED">
        <w:t xml:space="preserve"> </w:t>
      </w:r>
      <w:r w:rsidR="004254E4" w:rsidRPr="00816657">
        <w:t xml:space="preserve">The overall tonnage </w:t>
      </w:r>
      <w:r w:rsidR="002613ED">
        <w:t xml:space="preserve">data </w:t>
      </w:r>
      <w:r w:rsidR="004254E4" w:rsidRPr="00816657">
        <w:t>by fate is presented in Figure S2</w:t>
      </w:r>
      <w:r w:rsidRPr="00816657">
        <w:t xml:space="preserve">. </w:t>
      </w:r>
      <w:r w:rsidR="00074B9D">
        <w:t xml:space="preserve">See Section </w:t>
      </w:r>
      <w:r w:rsidR="006D07F5">
        <w:fldChar w:fldCharType="begin"/>
      </w:r>
      <w:r w:rsidR="00074B9D">
        <w:instrText xml:space="preserve"> REF _Ref420950573 \r \h </w:instrText>
      </w:r>
      <w:r w:rsidR="006D07F5">
        <w:fldChar w:fldCharType="separate"/>
      </w:r>
      <w:r w:rsidR="002F3000">
        <w:t>2.7</w:t>
      </w:r>
      <w:r w:rsidR="006D07F5">
        <w:fldChar w:fldCharType="end"/>
      </w:r>
      <w:r w:rsidR="00074B9D">
        <w:t xml:space="preserve"> for detailed analysis of available fate data.</w:t>
      </w:r>
    </w:p>
    <w:p w:rsidR="00390D79" w:rsidRDefault="00390D79" w:rsidP="004015E8">
      <w:pPr>
        <w:pStyle w:val="BodyText"/>
        <w:rPr>
          <w:b/>
          <w:color w:val="0000FF" w:themeColor="text2"/>
        </w:rPr>
      </w:pPr>
    </w:p>
    <w:p w:rsidR="004254E4" w:rsidRDefault="00817607" w:rsidP="004015E8">
      <w:pPr>
        <w:pStyle w:val="BodyText"/>
        <w:rPr>
          <w:b/>
          <w:color w:val="0000FF" w:themeColor="text2"/>
        </w:rPr>
      </w:pPr>
      <w:r w:rsidRPr="00747841">
        <w:rPr>
          <w:noProof/>
          <w:lang w:eastAsia="en-AU"/>
        </w:rPr>
        <w:drawing>
          <wp:anchor distT="0" distB="0" distL="114300" distR="114300" simplePos="0" relativeHeight="251655680" behindDoc="0" locked="0" layoutInCell="1" allowOverlap="1">
            <wp:simplePos x="0" y="0"/>
            <wp:positionH relativeFrom="column">
              <wp:posOffset>-424815</wp:posOffset>
            </wp:positionH>
            <wp:positionV relativeFrom="paragraph">
              <wp:posOffset>335915</wp:posOffset>
            </wp:positionV>
            <wp:extent cx="6626225" cy="6419215"/>
            <wp:effectExtent l="0" t="0" r="317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26225" cy="6419215"/>
                    </a:xfrm>
                    <a:prstGeom prst="rect">
                      <a:avLst/>
                    </a:prstGeom>
                  </pic:spPr>
                </pic:pic>
              </a:graphicData>
            </a:graphic>
          </wp:anchor>
        </w:drawing>
      </w:r>
      <w:r w:rsidR="004254E4" w:rsidRPr="00816657">
        <w:rPr>
          <w:b/>
          <w:color w:val="0000FF" w:themeColor="text2"/>
        </w:rPr>
        <w:t xml:space="preserve">Figure S2: </w:t>
      </w:r>
      <w:r w:rsidR="004254E4" w:rsidRPr="00816657">
        <w:rPr>
          <w:b/>
          <w:color w:val="0000FF" w:themeColor="text2"/>
        </w:rPr>
        <w:tab/>
      </w:r>
      <w:r w:rsidR="004254E4" w:rsidRPr="00807B36">
        <w:rPr>
          <w:b/>
          <w:color w:val="0000FF" w:themeColor="text2"/>
        </w:rPr>
        <w:t>The fate of tracked hazardous waste in NSW, Qld and Vic, 2012-13</w:t>
      </w:r>
    </w:p>
    <w:p w:rsidR="00557C6A" w:rsidRPr="007F5BD4" w:rsidRDefault="00557C6A">
      <w:pPr>
        <w:pStyle w:val="BodyText"/>
      </w:pPr>
    </w:p>
    <w:p w:rsidR="00A55C59" w:rsidRDefault="00A55C59">
      <w:pPr>
        <w:pStyle w:val="BodyText"/>
      </w:pPr>
    </w:p>
    <w:p w:rsidR="007C635B" w:rsidRDefault="007C635B">
      <w:pPr>
        <w:spacing w:line="240" w:lineRule="auto"/>
        <w:rPr>
          <w:color w:val="080808"/>
          <w:sz w:val="22"/>
        </w:rPr>
      </w:pPr>
      <w:r>
        <w:br w:type="page"/>
      </w:r>
    </w:p>
    <w:p w:rsidR="004015E8" w:rsidRPr="00816657" w:rsidRDefault="004254E4">
      <w:pPr>
        <w:pStyle w:val="Heading3"/>
      </w:pPr>
      <w:r w:rsidRPr="00557C6A">
        <w:lastRenderedPageBreak/>
        <w:t>Hazardous</w:t>
      </w:r>
      <w:r w:rsidRPr="00816657">
        <w:t xml:space="preserve"> waste infrastructure assessment</w:t>
      </w:r>
    </w:p>
    <w:p w:rsidR="0047222F" w:rsidRPr="00816657" w:rsidRDefault="008704AD" w:rsidP="004254E4">
      <w:pPr>
        <w:pStyle w:val="BodyText"/>
      </w:pPr>
      <w:r w:rsidRPr="00816657">
        <w:t>The starting point of the hazardous infrastructure assessment was a</w:t>
      </w:r>
      <w:r w:rsidR="00684317">
        <w:t>n infrastructure</w:t>
      </w:r>
      <w:r w:rsidRPr="00816657">
        <w:t xml:space="preserve"> database produced for DoE by Rawtec (2014). Companies included on that list (and others identified during the project) were asked a series of questions designed to understand the type, scale and potential capacity of their infrastructure. In total, 126 companies were contacted in relation to 24</w:t>
      </w:r>
      <w:r w:rsidR="008A6836">
        <w:t>1</w:t>
      </w:r>
      <w:r w:rsidRPr="00816657">
        <w:t xml:space="preserve"> sites. A site response rate of 64% was achieved.</w:t>
      </w:r>
    </w:p>
    <w:p w:rsidR="0047222F" w:rsidRPr="00816657" w:rsidRDefault="0047222F" w:rsidP="004254E4">
      <w:pPr>
        <w:pStyle w:val="BodyText"/>
      </w:pPr>
    </w:p>
    <w:p w:rsidR="00E67EF7" w:rsidRDefault="007C635B" w:rsidP="004254E4">
      <w:pPr>
        <w:pStyle w:val="BodyText"/>
      </w:pPr>
      <w:r w:rsidRPr="00816657">
        <w:t xml:space="preserve">Similarly, infrastructure was </w:t>
      </w:r>
      <w:r>
        <w:t xml:space="preserve">allocated </w:t>
      </w:r>
      <w:r w:rsidRPr="00816657">
        <w:t>into one of 17</w:t>
      </w:r>
      <w:r>
        <w:t xml:space="preserve"> ‘infrastructure </w:t>
      </w:r>
      <w:r w:rsidRPr="00816657">
        <w:t>groups</w:t>
      </w:r>
      <w:r>
        <w:t>’</w:t>
      </w:r>
      <w:r w:rsidRPr="00816657">
        <w:t xml:space="preserve"> based on</w:t>
      </w:r>
      <w:r>
        <w:t xml:space="preserve"> the main </w:t>
      </w:r>
      <w:r w:rsidRPr="00464591">
        <w:t>wastes received</w:t>
      </w:r>
      <w:r>
        <w:t xml:space="preserve"> </w:t>
      </w:r>
      <w:r w:rsidRPr="00F31548">
        <w:t>and</w:t>
      </w:r>
      <w:r>
        <w:t xml:space="preserve"> the primary function</w:t>
      </w:r>
      <w:r w:rsidRPr="00464591">
        <w:rPr>
          <w:vertAlign w:val="superscript"/>
        </w:rPr>
        <w:footnoteReference w:id="2"/>
      </w:r>
      <w:r>
        <w:t>. Infrastructure group examples include ‘Oil re-refining’, ‘POP thermal destruction’, ‘Clinical waste treatment’ and ‘Clinical waste thermal destruction’</w:t>
      </w:r>
      <w:r w:rsidRPr="00464591">
        <w:t>.</w:t>
      </w:r>
      <w:r>
        <w:t xml:space="preserve"> See </w:t>
      </w:r>
      <w:r w:rsidR="00597452">
        <w:t xml:space="preserve">Table </w:t>
      </w:r>
      <w:r w:rsidR="003C412C">
        <w:t>S</w:t>
      </w:r>
      <w:r w:rsidR="00597452">
        <w:t xml:space="preserve">2 below </w:t>
      </w:r>
      <w:r w:rsidR="00E67EF7">
        <w:t>for a description of the infrastructure groups</w:t>
      </w:r>
      <w:r w:rsidR="00E67EF7" w:rsidRPr="00816657">
        <w:t>.</w:t>
      </w:r>
      <w:r w:rsidR="003C412C">
        <w:t xml:space="preserve"> </w:t>
      </w:r>
    </w:p>
    <w:p w:rsidR="00E67EF7" w:rsidRDefault="00E67EF7" w:rsidP="004254E4">
      <w:pPr>
        <w:pStyle w:val="BodyText"/>
      </w:pPr>
    </w:p>
    <w:p w:rsidR="00597452" w:rsidRDefault="00597452" w:rsidP="004254E4">
      <w:pPr>
        <w:pStyle w:val="BodyText"/>
      </w:pPr>
      <w:r w:rsidRPr="00816657">
        <w:rPr>
          <w:b/>
          <w:color w:val="0000FF" w:themeColor="text2"/>
        </w:rPr>
        <w:t>Table S2:</w:t>
      </w:r>
      <w:r>
        <w:rPr>
          <w:b/>
          <w:color w:val="0000FF" w:themeColor="text2"/>
        </w:rPr>
        <w:tab/>
        <w:t>Infrastructure groups description and coverage</w:t>
      </w:r>
    </w:p>
    <w:tbl>
      <w:tblPr>
        <w:tblW w:w="5003" w:type="pct"/>
        <w:tblLayout w:type="fixed"/>
        <w:tblCellMar>
          <w:top w:w="28" w:type="dxa"/>
          <w:bottom w:w="28" w:type="dxa"/>
        </w:tblCellMar>
        <w:tblLook w:val="04A0"/>
      </w:tblPr>
      <w:tblGrid>
        <w:gridCol w:w="1952"/>
        <w:gridCol w:w="7796"/>
      </w:tblGrid>
      <w:tr w:rsidR="00597452" w:rsidRPr="00464591" w:rsidTr="00C06108">
        <w:trPr>
          <w:trHeight w:val="201"/>
        </w:trPr>
        <w:tc>
          <w:tcPr>
            <w:tcW w:w="1001" w:type="pct"/>
            <w:tcBorders>
              <w:top w:val="nil"/>
              <w:left w:val="nil"/>
              <w:bottom w:val="nil"/>
              <w:right w:val="nil"/>
            </w:tcBorders>
            <w:shd w:val="clear" w:color="auto" w:fill="auto"/>
            <w:vAlign w:val="bottom"/>
            <w:hideMark/>
          </w:tcPr>
          <w:p w:rsidR="00597452" w:rsidRPr="00464591" w:rsidRDefault="00684317" w:rsidP="008D2D3F">
            <w:pPr>
              <w:spacing w:line="240" w:lineRule="auto"/>
              <w:rPr>
                <w:rFonts w:cs="Times New Roman"/>
                <w:b/>
                <w:bCs/>
                <w:color w:val="000000"/>
                <w:szCs w:val="20"/>
                <w:lang w:eastAsia="en-AU"/>
              </w:rPr>
            </w:pPr>
            <w:r>
              <w:rPr>
                <w:rFonts w:cs="Times New Roman"/>
                <w:b/>
                <w:bCs/>
                <w:color w:val="000000"/>
                <w:szCs w:val="20"/>
                <w:lang w:eastAsia="en-AU"/>
              </w:rPr>
              <w:t>Infrastructure group</w:t>
            </w:r>
          </w:p>
        </w:tc>
        <w:tc>
          <w:tcPr>
            <w:tcW w:w="3999" w:type="pct"/>
            <w:tcBorders>
              <w:top w:val="nil"/>
              <w:left w:val="nil"/>
              <w:bottom w:val="nil"/>
              <w:right w:val="nil"/>
            </w:tcBorders>
            <w:shd w:val="clear" w:color="auto" w:fill="auto"/>
            <w:vAlign w:val="bottom"/>
            <w:hideMark/>
          </w:tcPr>
          <w:p w:rsidR="00597452" w:rsidRPr="00464591" w:rsidRDefault="00597452" w:rsidP="008D2D3F">
            <w:pPr>
              <w:spacing w:line="240" w:lineRule="auto"/>
              <w:rPr>
                <w:rFonts w:cs="Times New Roman"/>
                <w:b/>
                <w:bCs/>
                <w:color w:val="auto"/>
                <w:szCs w:val="20"/>
                <w:lang w:eastAsia="en-AU"/>
              </w:rPr>
            </w:pPr>
            <w:r w:rsidRPr="00464591">
              <w:rPr>
                <w:rFonts w:cs="Times New Roman"/>
                <w:b/>
                <w:bCs/>
                <w:color w:val="auto"/>
                <w:szCs w:val="20"/>
                <w:lang w:eastAsia="en-AU"/>
              </w:rPr>
              <w:t>Description</w:t>
            </w:r>
          </w:p>
        </w:tc>
      </w:tr>
      <w:tr w:rsidR="00597452" w:rsidRPr="00464591" w:rsidTr="00C06108">
        <w:trPr>
          <w:trHeight w:val="255"/>
        </w:trPr>
        <w:tc>
          <w:tcPr>
            <w:tcW w:w="5000" w:type="pct"/>
            <w:gridSpan w:val="2"/>
            <w:tcBorders>
              <w:top w:val="nil"/>
              <w:left w:val="nil"/>
              <w:bottom w:val="single" w:sz="4" w:space="0" w:color="808080" w:themeColor="background1" w:themeShade="80"/>
              <w:right w:val="nil"/>
            </w:tcBorders>
            <w:shd w:val="clear" w:color="000000" w:fill="C5D9F1"/>
            <w:noWrap/>
            <w:vAlign w:val="bottom"/>
            <w:hideMark/>
          </w:tcPr>
          <w:p w:rsidR="00597452" w:rsidRPr="00464591" w:rsidRDefault="00597452" w:rsidP="008D2D3F">
            <w:pPr>
              <w:spacing w:line="240" w:lineRule="auto"/>
              <w:rPr>
                <w:rFonts w:cs="Times New Roman"/>
                <w:b/>
                <w:bCs/>
                <w:color w:val="auto"/>
                <w:szCs w:val="20"/>
                <w:lang w:eastAsia="en-AU"/>
              </w:rPr>
            </w:pPr>
            <w:r w:rsidRPr="00464591">
              <w:rPr>
                <w:rFonts w:cs="Times New Roman"/>
                <w:b/>
                <w:bCs/>
                <w:color w:val="000000"/>
                <w:szCs w:val="20"/>
                <w:lang w:eastAsia="en-AU"/>
              </w:rPr>
              <w:t>Recovery: recycling and energy recovery (ER)</w:t>
            </w:r>
            <w:r w:rsidRPr="00464591">
              <w:rPr>
                <w:rFonts w:cs="Times New Roman"/>
                <w:b/>
                <w:bCs/>
                <w:color w:val="auto"/>
                <w:szCs w:val="20"/>
                <w:lang w:eastAsia="en-AU"/>
              </w:rPr>
              <w:t> </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Hazwaste packaging fac.</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 xml:space="preserve">Facilities that recycle industrial packing that </w:t>
            </w:r>
            <w:proofErr w:type="gramStart"/>
            <w:r w:rsidRPr="00464591">
              <w:rPr>
                <w:rFonts w:cs="Times New Roman"/>
                <w:color w:val="000000"/>
                <w:szCs w:val="20"/>
                <w:lang w:eastAsia="en-AU"/>
              </w:rPr>
              <w:t>contains</w:t>
            </w:r>
            <w:proofErr w:type="gramEnd"/>
            <w:r w:rsidRPr="00464591">
              <w:rPr>
                <w:rFonts w:cs="Times New Roman"/>
                <w:color w:val="000000"/>
                <w:szCs w:val="20"/>
                <w:lang w:eastAsia="en-AU"/>
              </w:rPr>
              <w:t xml:space="preserve"> residual hazardous wastes. Containers are typically refurbished and reused or materials are recycled.</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E-waste fac.</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noWrap/>
          </w:tcPr>
          <w:p w:rsidR="00597452" w:rsidRPr="00464591" w:rsidRDefault="00597452">
            <w:pPr>
              <w:spacing w:line="240" w:lineRule="auto"/>
              <w:rPr>
                <w:rFonts w:cs="Times New Roman"/>
                <w:color w:val="000000"/>
                <w:szCs w:val="20"/>
                <w:lang w:eastAsia="en-AU"/>
              </w:rPr>
            </w:pPr>
            <w:r w:rsidRPr="00464591">
              <w:rPr>
                <w:rFonts w:cs="Times New Roman"/>
                <w:color w:val="000000"/>
                <w:szCs w:val="20"/>
                <w:lang w:eastAsia="en-AU"/>
              </w:rPr>
              <w:t xml:space="preserve">Major e-waste physical/chemical and manual disassembly processing facilities. Facilities receive inorganic hazardous wastes, such as copper, cobalt, and lead. </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Oil re-refining fac.</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Default="00597452" w:rsidP="008D2D3F">
            <w:pPr>
              <w:spacing w:line="240" w:lineRule="auto"/>
              <w:rPr>
                <w:rFonts w:cs="Times New Roman"/>
                <w:color w:val="000000"/>
                <w:szCs w:val="20"/>
                <w:lang w:eastAsia="en-AU"/>
              </w:rPr>
            </w:pPr>
            <w:r w:rsidRPr="00961536">
              <w:rPr>
                <w:rFonts w:cs="Times New Roman"/>
                <w:color w:val="000000"/>
                <w:szCs w:val="20"/>
                <w:lang w:eastAsia="en-AU"/>
              </w:rPr>
              <w:t xml:space="preserve">Facilities that re-refine (recycle) waste oil. </w:t>
            </w:r>
          </w:p>
          <w:p w:rsidR="00597452" w:rsidRPr="00961536" w:rsidRDefault="00597452">
            <w:pPr>
              <w:spacing w:line="240" w:lineRule="auto"/>
              <w:rPr>
                <w:rFonts w:cs="Times New Roman"/>
                <w:color w:val="000000"/>
                <w:szCs w:val="20"/>
                <w:lang w:eastAsia="en-AU"/>
              </w:rPr>
            </w:pPr>
            <w:r w:rsidRPr="009211E8">
              <w:rPr>
                <w:rFonts w:cs="Times New Roman"/>
                <w:color w:val="000000"/>
                <w:szCs w:val="20"/>
                <w:lang w:eastAsia="en-AU"/>
              </w:rPr>
              <w:t>Facilities that dewatering and filter waste oil (only)</w:t>
            </w:r>
            <w:r>
              <w:rPr>
                <w:rFonts w:cs="Times New Roman"/>
                <w:b/>
                <w:color w:val="000000"/>
                <w:szCs w:val="20"/>
                <w:lang w:eastAsia="en-AU"/>
              </w:rPr>
              <w:t xml:space="preserve"> </w:t>
            </w:r>
            <w:r>
              <w:rPr>
                <w:rFonts w:cs="Times New Roman"/>
                <w:color w:val="000000"/>
                <w:szCs w:val="20"/>
                <w:lang w:eastAsia="en-AU"/>
              </w:rPr>
              <w:t xml:space="preserve">are </w:t>
            </w:r>
            <w:r w:rsidRPr="00C06108">
              <w:rPr>
                <w:rFonts w:cs="Times New Roman"/>
                <w:color w:val="000000"/>
                <w:szCs w:val="20"/>
                <w:lang w:eastAsia="en-AU"/>
              </w:rPr>
              <w:t>not included in this group</w:t>
            </w:r>
            <w:r w:rsidRPr="00464591">
              <w:rPr>
                <w:rFonts w:cs="Times New Roman"/>
                <w:color w:val="000000"/>
                <w:szCs w:val="20"/>
                <w:lang w:eastAsia="en-AU"/>
              </w:rPr>
              <w:t xml:space="preserve"> as the primary function is</w:t>
            </w:r>
            <w:r>
              <w:rPr>
                <w:rFonts w:cs="Times New Roman"/>
                <w:color w:val="000000"/>
                <w:szCs w:val="20"/>
                <w:lang w:eastAsia="en-AU"/>
              </w:rPr>
              <w:t xml:space="preserve"> assumed to be </w:t>
            </w:r>
            <w:r w:rsidRPr="00464591">
              <w:rPr>
                <w:rFonts w:cs="Times New Roman"/>
                <w:color w:val="000000"/>
                <w:szCs w:val="20"/>
                <w:lang w:eastAsia="en-AU"/>
              </w:rPr>
              <w:t>transfer waste oil onto oil re-refining facilities.</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Lead fac.</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Facilities that recycle lead. Typically the lead is from used lead acid batteries.</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Mercury fac.</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Facilities that recycle mercury. Used fluorescent light fittings are usually a key waste.</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Solvents/paints fac.</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Facilities that recycle paints, resins, inks, organic sludges and/or organic solvents.</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Solvents/paints fac. (ER)</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pPr>
              <w:spacing w:line="240" w:lineRule="auto"/>
              <w:rPr>
                <w:rFonts w:cs="Times New Roman"/>
                <w:color w:val="000000"/>
                <w:szCs w:val="20"/>
                <w:lang w:eastAsia="en-AU"/>
              </w:rPr>
            </w:pPr>
            <w:r w:rsidRPr="00464591">
              <w:rPr>
                <w:rFonts w:cs="Times New Roman"/>
                <w:color w:val="000000"/>
                <w:szCs w:val="20"/>
                <w:lang w:eastAsia="en-AU"/>
              </w:rPr>
              <w:t>Facilities that recover solvents, paints, organics solvents for the purposes of energy recovery. The energy recovery may occur off-site from the facility.</w:t>
            </w:r>
            <w:r>
              <w:rPr>
                <w:rFonts w:cs="Times New Roman"/>
                <w:color w:val="000000"/>
                <w:szCs w:val="20"/>
                <w:lang w:eastAsia="en-AU"/>
              </w:rPr>
              <w:t xml:space="preserve"> </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 xml:space="preserve">Spent </w:t>
            </w:r>
            <w:r w:rsidR="00061B2C">
              <w:rPr>
                <w:rFonts w:cs="Times New Roman"/>
                <w:color w:val="000000"/>
                <w:szCs w:val="20"/>
                <w:lang w:eastAsia="en-AU"/>
              </w:rPr>
              <w:t>pot</w:t>
            </w:r>
            <w:r w:rsidRPr="00464591">
              <w:rPr>
                <w:rFonts w:cs="Times New Roman"/>
                <w:color w:val="000000"/>
                <w:szCs w:val="20"/>
                <w:lang w:eastAsia="en-AU"/>
              </w:rPr>
              <w:t>lining fac.</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 xml:space="preserve">Facilities that recycle spent </w:t>
            </w:r>
            <w:r w:rsidR="00061B2C">
              <w:rPr>
                <w:rFonts w:cs="Times New Roman"/>
                <w:color w:val="000000"/>
                <w:szCs w:val="20"/>
                <w:lang w:eastAsia="en-AU"/>
              </w:rPr>
              <w:t>pot</w:t>
            </w:r>
            <w:r w:rsidRPr="00464591">
              <w:rPr>
                <w:rFonts w:cs="Times New Roman"/>
                <w:color w:val="000000"/>
                <w:szCs w:val="20"/>
                <w:lang w:eastAsia="en-AU"/>
              </w:rPr>
              <w:t>lining waste from the aluminium industry.</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Organics fac. (NEPM code K wastes)</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tcPr>
          <w:p w:rsidR="00597452" w:rsidRPr="00464591" w:rsidRDefault="00597452" w:rsidP="00C06108">
            <w:pPr>
              <w:spacing w:line="240" w:lineRule="auto"/>
              <w:rPr>
                <w:rFonts w:cs="Times New Roman"/>
                <w:color w:val="000000"/>
                <w:szCs w:val="20"/>
                <w:lang w:eastAsia="en-AU"/>
              </w:rPr>
            </w:pPr>
            <w:r w:rsidRPr="00464591">
              <w:rPr>
                <w:rFonts w:cs="Times New Roman"/>
                <w:color w:val="000000"/>
                <w:szCs w:val="20"/>
                <w:lang w:eastAsia="en-AU"/>
              </w:rPr>
              <w:t>Facilities that recycle a range of low hazard organic wastes such as grease trap waste, cooking oil, anima</w:t>
            </w:r>
            <w:r w:rsidRPr="00961536">
              <w:rPr>
                <w:rFonts w:cs="Times New Roman"/>
                <w:color w:val="000000"/>
                <w:szCs w:val="20"/>
                <w:lang w:eastAsia="en-AU"/>
              </w:rPr>
              <w:t xml:space="preserve">l effluents, etc. </w:t>
            </w:r>
            <w:r w:rsidRPr="00C06108">
              <w:rPr>
                <w:rFonts w:cs="Times New Roman"/>
                <w:b/>
                <w:color w:val="000000"/>
                <w:szCs w:val="20"/>
                <w:lang w:eastAsia="en-AU"/>
              </w:rPr>
              <w:t>Coverage limitation</w:t>
            </w:r>
            <w:r w:rsidRPr="00464591">
              <w:rPr>
                <w:rFonts w:cs="Times New Roman"/>
                <w:color w:val="000000"/>
                <w:szCs w:val="20"/>
                <w:lang w:eastAsia="en-AU"/>
              </w:rPr>
              <w:t>: “</w:t>
            </w:r>
            <w:r w:rsidR="00C276B0">
              <w:rPr>
                <w:rFonts w:cs="Times New Roman"/>
                <w:i/>
                <w:color w:val="000000"/>
                <w:szCs w:val="20"/>
                <w:lang w:eastAsia="en-AU"/>
              </w:rPr>
              <w:t>G</w:t>
            </w:r>
            <w:r w:rsidRPr="00464591">
              <w:rPr>
                <w:rFonts w:cs="Times New Roman"/>
                <w:i/>
                <w:color w:val="000000"/>
                <w:szCs w:val="20"/>
                <w:lang w:eastAsia="en-AU"/>
              </w:rPr>
              <w:t>r</w:t>
            </w:r>
            <w:r w:rsidRPr="00464591">
              <w:rPr>
                <w:rFonts w:asciiTheme="minorHAnsi" w:hAnsiTheme="minorHAnsi" w:cs="Calibri"/>
                <w:i/>
                <w:color w:val="auto"/>
                <w:szCs w:val="20"/>
              </w:rPr>
              <w:t xml:space="preserve">ease trap was captured where the </w:t>
            </w:r>
            <w:r w:rsidR="00C276B0">
              <w:rPr>
                <w:rFonts w:asciiTheme="minorHAnsi" w:hAnsiTheme="minorHAnsi" w:cs="Calibri"/>
                <w:i/>
                <w:color w:val="auto"/>
                <w:szCs w:val="20"/>
              </w:rPr>
              <w:t>…</w:t>
            </w:r>
            <w:r w:rsidRPr="00464591">
              <w:rPr>
                <w:rFonts w:asciiTheme="minorHAnsi" w:hAnsiTheme="minorHAnsi" w:cs="Calibri"/>
                <w:i/>
                <w:color w:val="auto"/>
                <w:szCs w:val="20"/>
              </w:rPr>
              <w:t xml:space="preserve"> facility also treated other hazardous wastes. Grease trap to composting facilities was not included” </w:t>
            </w:r>
            <w:r w:rsidRPr="00464591">
              <w:rPr>
                <w:rFonts w:asciiTheme="minorHAnsi" w:hAnsiTheme="minorHAnsi" w:cs="Calibri"/>
                <w:color w:val="auto"/>
                <w:szCs w:val="20"/>
              </w:rPr>
              <w:t>Rawtec (2014)</w:t>
            </w:r>
            <w:r w:rsidRPr="00464591">
              <w:rPr>
                <w:rFonts w:asciiTheme="minorHAnsi" w:hAnsiTheme="minorHAnsi" w:cs="Calibri"/>
                <w:i/>
                <w:color w:val="auto"/>
                <w:szCs w:val="20"/>
              </w:rPr>
              <w:t>.</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000000" w:fill="C5D9F1"/>
            <w:noWrap/>
            <w:hideMark/>
          </w:tcPr>
          <w:p w:rsidR="00597452" w:rsidRPr="00464591" w:rsidRDefault="00597452" w:rsidP="008D2D3F">
            <w:pPr>
              <w:spacing w:line="240" w:lineRule="auto"/>
              <w:rPr>
                <w:rFonts w:cs="Times New Roman"/>
                <w:b/>
                <w:bCs/>
                <w:color w:val="000000"/>
                <w:szCs w:val="20"/>
                <w:lang w:eastAsia="en-AU"/>
              </w:rPr>
            </w:pPr>
            <w:r w:rsidRPr="00464591">
              <w:rPr>
                <w:rFonts w:cs="Times New Roman"/>
                <w:b/>
                <w:bCs/>
                <w:color w:val="000000"/>
                <w:szCs w:val="20"/>
                <w:lang w:eastAsia="en-AU"/>
              </w:rPr>
              <w:t>Treatment (T)</w:t>
            </w:r>
          </w:p>
        </w:tc>
        <w:tc>
          <w:tcPr>
            <w:tcW w:w="3999" w:type="pct"/>
            <w:tcBorders>
              <w:top w:val="single" w:sz="4" w:space="0" w:color="808080" w:themeColor="background1" w:themeShade="80"/>
              <w:left w:val="nil"/>
              <w:bottom w:val="single" w:sz="4" w:space="0" w:color="808080" w:themeColor="background1" w:themeShade="80"/>
              <w:right w:val="nil"/>
            </w:tcBorders>
            <w:shd w:val="clear" w:color="000000" w:fill="C5D9F1"/>
            <w:noWrap/>
          </w:tcPr>
          <w:p w:rsidR="00597452" w:rsidRPr="00464591" w:rsidRDefault="00597452" w:rsidP="008D2D3F">
            <w:pPr>
              <w:spacing w:line="240" w:lineRule="auto"/>
              <w:rPr>
                <w:rFonts w:cs="Times New Roman"/>
                <w:color w:val="000000"/>
                <w:szCs w:val="20"/>
                <w:lang w:eastAsia="en-AU"/>
              </w:rPr>
            </w:pP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pPr>
              <w:spacing w:line="240" w:lineRule="auto"/>
              <w:rPr>
                <w:rFonts w:cs="Times New Roman"/>
                <w:color w:val="000000"/>
                <w:szCs w:val="20"/>
                <w:lang w:eastAsia="en-AU"/>
              </w:rPr>
            </w:pPr>
            <w:r w:rsidRPr="00464591">
              <w:rPr>
                <w:rFonts w:cs="Times New Roman"/>
                <w:color w:val="000000"/>
                <w:szCs w:val="20"/>
                <w:lang w:eastAsia="en-AU"/>
              </w:rPr>
              <w:t xml:space="preserve">Chemical and </w:t>
            </w:r>
            <w:r w:rsidR="007C635B" w:rsidRPr="00464591">
              <w:rPr>
                <w:rFonts w:cs="Times New Roman"/>
                <w:color w:val="000000"/>
                <w:szCs w:val="20"/>
                <w:lang w:eastAsia="en-AU"/>
              </w:rPr>
              <w:t xml:space="preserve">physical treatment </w:t>
            </w:r>
            <w:r w:rsidRPr="00464591">
              <w:rPr>
                <w:rFonts w:cs="Times New Roman"/>
                <w:color w:val="000000"/>
                <w:szCs w:val="20"/>
                <w:lang w:eastAsia="en-AU"/>
              </w:rPr>
              <w:t>(CPT) plant</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pPr>
              <w:spacing w:line="240" w:lineRule="auto"/>
              <w:rPr>
                <w:rFonts w:cs="Times New Roman"/>
                <w:color w:val="000000"/>
                <w:szCs w:val="20"/>
                <w:lang w:eastAsia="en-AU"/>
              </w:rPr>
            </w:pPr>
            <w:r w:rsidRPr="00464591">
              <w:rPr>
                <w:rFonts w:cs="Times New Roman"/>
                <w:color w:val="000000"/>
                <w:szCs w:val="20"/>
                <w:lang w:eastAsia="en-AU"/>
              </w:rPr>
              <w:t xml:space="preserve">Sophisticated and significant capital expenditure facilities that provide a range of chemical and physical treatments to a broad range of waste groups. This is a large and critical infrastructure group. Often licensed to receive almost all NEPM 15 waste codes. Rawtec (2014) lists most CPT sites as receiving codes B, C, D, E, F, G, H, J, K, L, M, N, R, and T. Processes can include all chemical treatments (e.g. oxidation, reduction, precipitation, neutralisation, etc.) and physical treatments (e.g. sedimentation, filtration, adsorption, immobilisation, etc.) </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Clinical waste fac. (T)</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Facilities that treat clinical waste typically using an autoclave.</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Soils treatment fac.</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pPr>
              <w:spacing w:line="240" w:lineRule="auto"/>
              <w:rPr>
                <w:rFonts w:cs="Times New Roman"/>
                <w:color w:val="000000"/>
                <w:szCs w:val="20"/>
                <w:lang w:eastAsia="en-AU"/>
              </w:rPr>
            </w:pPr>
            <w:r w:rsidRPr="00464591">
              <w:rPr>
                <w:rFonts w:cs="Times New Roman"/>
                <w:color w:val="000000"/>
                <w:szCs w:val="20"/>
                <w:lang w:eastAsia="en-AU"/>
              </w:rPr>
              <w:t xml:space="preserve">Facilities that treat contaminated soils. Treatment processes include biodegradation and thermal destruction of contaminants. </w:t>
            </w:r>
          </w:p>
        </w:tc>
      </w:tr>
      <w:tr w:rsidR="00597452" w:rsidRPr="00464591" w:rsidTr="00C06108">
        <w:trPr>
          <w:trHeight w:val="255"/>
        </w:trPr>
        <w:tc>
          <w:tcPr>
            <w:tcW w:w="5000" w:type="pct"/>
            <w:gridSpan w:val="2"/>
            <w:tcBorders>
              <w:top w:val="single" w:sz="4" w:space="0" w:color="808080" w:themeColor="background1" w:themeShade="80"/>
              <w:left w:val="nil"/>
              <w:bottom w:val="single" w:sz="4" w:space="0" w:color="808080" w:themeColor="background1" w:themeShade="80"/>
              <w:right w:val="nil"/>
            </w:tcBorders>
            <w:shd w:val="clear" w:color="000000" w:fill="C5D9F1"/>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b/>
                <w:bCs/>
                <w:color w:val="000000"/>
                <w:szCs w:val="20"/>
                <w:lang w:eastAsia="en-AU"/>
              </w:rPr>
              <w:t>Disposal: landfill, thermal destruction (TD)</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 xml:space="preserve">Hazwaste landfill </w:t>
            </w:r>
            <w:r>
              <w:rPr>
                <w:rFonts w:cs="Times New Roman"/>
                <w:color w:val="000000"/>
                <w:szCs w:val="20"/>
                <w:lang w:eastAsia="en-AU"/>
              </w:rPr>
              <w:t xml:space="preserve">disposal </w:t>
            </w:r>
            <w:r w:rsidRPr="00464591">
              <w:rPr>
                <w:rFonts w:cs="Times New Roman"/>
                <w:color w:val="000000"/>
                <w:szCs w:val="20"/>
                <w:lang w:eastAsia="en-AU"/>
              </w:rPr>
              <w:t xml:space="preserve">fac. </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A small number of landfill facilities that are licensed to dispos</w:t>
            </w:r>
            <w:r>
              <w:rPr>
                <w:rFonts w:cs="Times New Roman"/>
                <w:color w:val="000000"/>
                <w:szCs w:val="20"/>
                <w:lang w:eastAsia="en-AU"/>
              </w:rPr>
              <w:t>e</w:t>
            </w:r>
            <w:r w:rsidRPr="00464591">
              <w:rPr>
                <w:rFonts w:cs="Times New Roman"/>
                <w:color w:val="000000"/>
                <w:szCs w:val="20"/>
                <w:lang w:eastAsia="en-AU"/>
              </w:rPr>
              <w:t xml:space="preserve"> of a wide range of hazardous wastes many of which can only be landfilled at these sites. </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 xml:space="preserve">Landfill </w:t>
            </w:r>
            <w:r>
              <w:rPr>
                <w:rFonts w:cs="Times New Roman"/>
                <w:color w:val="000000"/>
                <w:szCs w:val="20"/>
                <w:lang w:eastAsia="en-AU"/>
              </w:rPr>
              <w:t xml:space="preserve">disposal </w:t>
            </w:r>
            <w:r w:rsidRPr="00464591">
              <w:rPr>
                <w:rFonts w:cs="Times New Roman"/>
                <w:color w:val="000000"/>
                <w:szCs w:val="20"/>
                <w:lang w:eastAsia="en-AU"/>
              </w:rPr>
              <w:t>fac. (NEPM codes N, T only)</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tcPr>
          <w:p w:rsidR="00597452" w:rsidRPr="00464591" w:rsidRDefault="00597452" w:rsidP="00C276B0">
            <w:pPr>
              <w:spacing w:line="240" w:lineRule="auto"/>
              <w:rPr>
                <w:rFonts w:cs="Times New Roman"/>
                <w:color w:val="000000"/>
                <w:szCs w:val="20"/>
                <w:lang w:eastAsia="en-AU"/>
              </w:rPr>
            </w:pPr>
            <w:r w:rsidRPr="00464591">
              <w:rPr>
                <w:rFonts w:cs="Times New Roman"/>
                <w:color w:val="000000"/>
                <w:szCs w:val="20"/>
                <w:lang w:eastAsia="en-AU"/>
              </w:rPr>
              <w:t xml:space="preserve">Landfill facilities that are generally only licensed to </w:t>
            </w:r>
            <w:r>
              <w:rPr>
                <w:rFonts w:cs="Times New Roman"/>
                <w:color w:val="000000"/>
                <w:szCs w:val="20"/>
                <w:lang w:eastAsia="en-AU"/>
              </w:rPr>
              <w:t xml:space="preserve">dispose </w:t>
            </w:r>
            <w:r w:rsidRPr="00464591">
              <w:rPr>
                <w:rFonts w:cs="Times New Roman"/>
                <w:color w:val="000000"/>
                <w:szCs w:val="20"/>
                <w:lang w:eastAsia="en-AU"/>
              </w:rPr>
              <w:t>low level contaminated soils, asbestos, and tyres (NEPM 15 codes N and T). These landfills also generally dispose of non-hazardous wastes which are typically the majority of the tonnages disposed at the site.</w:t>
            </w:r>
            <w:r w:rsidR="00D06841">
              <w:rPr>
                <w:rFonts w:cs="Times New Roman"/>
                <w:color w:val="000000"/>
                <w:szCs w:val="20"/>
                <w:lang w:eastAsia="en-AU"/>
              </w:rPr>
              <w:t xml:space="preserve"> </w:t>
            </w:r>
            <w:r w:rsidRPr="00464591">
              <w:lastRenderedPageBreak/>
              <w:t xml:space="preserve">Rawtec </w:t>
            </w:r>
            <w:r w:rsidR="00C276B0">
              <w:t>(</w:t>
            </w:r>
            <w:r w:rsidRPr="00464591">
              <w:t>2014</w:t>
            </w:r>
            <w:r w:rsidR="00C276B0">
              <w:t xml:space="preserve"> p.7)</w:t>
            </w:r>
            <w:r w:rsidRPr="00464591">
              <w:t xml:space="preserve"> states that the database does </w:t>
            </w:r>
            <w:r w:rsidRPr="00C276B0">
              <w:t>not</w:t>
            </w:r>
            <w:r w:rsidRPr="00464591">
              <w:t xml:space="preserve"> include “</w:t>
            </w:r>
            <w:r w:rsidRPr="00464591">
              <w:rPr>
                <w:i/>
              </w:rPr>
              <w:t>sites that dispose of asbestos and tyres (e.g. landfills), except where those sites also manage other hazardous wastes. This is because those sites are not usually considered as hazardous waste treatment or disposal facilities</w:t>
            </w:r>
            <w:r w:rsidR="00C276B0">
              <w:rPr>
                <w:i/>
              </w:rPr>
              <w:t>”.</w:t>
            </w:r>
            <w:r w:rsidR="00C276B0">
              <w:t xml:space="preserve"> </w:t>
            </w:r>
            <w:r w:rsidRPr="007F5BD4">
              <w:t xml:space="preserve">This group is </w:t>
            </w:r>
            <w:r w:rsidR="00C276B0">
              <w:t>not covered by</w:t>
            </w:r>
            <w:r w:rsidRPr="007F5BD4">
              <w:t xml:space="preserve"> </w:t>
            </w:r>
            <w:r w:rsidR="00C276B0">
              <w:t xml:space="preserve">the infrastructure </w:t>
            </w:r>
            <w:r w:rsidRPr="007F5BD4">
              <w:t xml:space="preserve">database </w:t>
            </w:r>
            <w:r w:rsidR="00C276B0">
              <w:t xml:space="preserve">or </w:t>
            </w:r>
            <w:r w:rsidRPr="00464591">
              <w:rPr>
                <w:rFonts w:cs="Times New Roman"/>
                <w:color w:val="0C0C0C" w:themeColor="text1"/>
                <w:szCs w:val="20"/>
                <w:lang w:eastAsia="en-AU"/>
              </w:rPr>
              <w:t xml:space="preserve">capacity assessment. </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hideMark/>
          </w:tcPr>
          <w:p w:rsidR="00597452" w:rsidRPr="00464591" w:rsidRDefault="00597452">
            <w:pPr>
              <w:spacing w:line="240" w:lineRule="auto"/>
              <w:rPr>
                <w:rFonts w:cs="Times New Roman"/>
                <w:color w:val="000000"/>
                <w:szCs w:val="20"/>
                <w:lang w:eastAsia="en-AU"/>
              </w:rPr>
            </w:pPr>
            <w:r w:rsidRPr="00464591">
              <w:rPr>
                <w:rFonts w:cs="Times New Roman"/>
                <w:color w:val="000000"/>
                <w:szCs w:val="20"/>
                <w:lang w:eastAsia="en-AU"/>
              </w:rPr>
              <w:lastRenderedPageBreak/>
              <w:t>POPs fac (TD).</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tcPr>
          <w:p w:rsidR="00597452" w:rsidRPr="00464591" w:rsidRDefault="00597452" w:rsidP="00C06108">
            <w:pPr>
              <w:spacing w:line="240" w:lineRule="auto"/>
              <w:rPr>
                <w:rFonts w:cs="Times New Roman"/>
                <w:color w:val="000000"/>
                <w:szCs w:val="20"/>
                <w:lang w:eastAsia="en-AU"/>
              </w:rPr>
            </w:pPr>
            <w:r w:rsidRPr="00464591">
              <w:rPr>
                <w:rFonts w:cs="Times New Roman"/>
                <w:color w:val="000000"/>
                <w:szCs w:val="20"/>
                <w:lang w:eastAsia="en-AU"/>
              </w:rPr>
              <w:t xml:space="preserve">Facilities </w:t>
            </w:r>
            <w:proofErr w:type="gramStart"/>
            <w:r w:rsidRPr="00464591">
              <w:rPr>
                <w:rFonts w:cs="Times New Roman"/>
                <w:color w:val="000000"/>
                <w:szCs w:val="20"/>
                <w:lang w:eastAsia="en-AU"/>
              </w:rPr>
              <w:t>that</w:t>
            </w:r>
            <w:r>
              <w:rPr>
                <w:rFonts w:cs="Times New Roman"/>
                <w:color w:val="000000"/>
                <w:szCs w:val="20"/>
                <w:lang w:eastAsia="en-AU"/>
              </w:rPr>
              <w:t xml:space="preserve"> are</w:t>
            </w:r>
            <w:proofErr w:type="gramEnd"/>
            <w:r>
              <w:rPr>
                <w:rFonts w:cs="Times New Roman"/>
                <w:color w:val="000000"/>
                <w:szCs w:val="20"/>
                <w:lang w:eastAsia="en-AU"/>
              </w:rPr>
              <w:t xml:space="preserve"> able to destroy</w:t>
            </w:r>
            <w:r w:rsidRPr="00464591">
              <w:rPr>
                <w:rFonts w:cs="Times New Roman"/>
                <w:color w:val="000000"/>
                <w:szCs w:val="20"/>
                <w:lang w:eastAsia="en-AU"/>
              </w:rPr>
              <w:t xml:space="preserve"> persistent organic compounds (POPs) by thermal destruction.</w:t>
            </w:r>
            <w:r w:rsidR="00D06841">
              <w:rPr>
                <w:rFonts w:cs="Times New Roman"/>
                <w:color w:val="000000"/>
                <w:szCs w:val="20"/>
                <w:lang w:eastAsia="en-AU"/>
              </w:rPr>
              <w:t xml:space="preserve"> </w:t>
            </w:r>
            <w:r w:rsidRPr="00C06108">
              <w:rPr>
                <w:rFonts w:cs="Times New Roman"/>
                <w:b/>
                <w:color w:val="000000"/>
                <w:szCs w:val="20"/>
                <w:lang w:eastAsia="en-AU"/>
              </w:rPr>
              <w:t>Coverage limitation</w:t>
            </w:r>
            <w:r w:rsidRPr="00464591">
              <w:rPr>
                <w:rFonts w:cs="Times New Roman"/>
                <w:color w:val="000000"/>
                <w:szCs w:val="20"/>
                <w:lang w:eastAsia="en-AU"/>
              </w:rPr>
              <w:t>: “</w:t>
            </w:r>
            <w:r w:rsidRPr="00464591">
              <w:rPr>
                <w:rFonts w:cs="Times New Roman"/>
                <w:i/>
                <w:color w:val="000000"/>
                <w:szCs w:val="20"/>
                <w:lang w:eastAsia="en-AU"/>
              </w:rPr>
              <w:t xml:space="preserve">smelters and </w:t>
            </w:r>
            <w:r w:rsidRPr="00464591">
              <w:rPr>
                <w:rFonts w:asciiTheme="minorHAnsi" w:hAnsiTheme="minorHAnsi" w:cs="Calibri"/>
                <w:i/>
                <w:color w:val="auto"/>
                <w:szCs w:val="20"/>
              </w:rPr>
              <w:t xml:space="preserve">cement kilns are not considered as hazardous waste treatment facilities and therefore are not captured in this dataset, however it is still acknowledged that they may process some hazardous wastes” </w:t>
            </w:r>
            <w:r w:rsidRPr="00464591">
              <w:rPr>
                <w:rFonts w:asciiTheme="minorHAnsi" w:hAnsiTheme="minorHAnsi" w:cs="Calibri"/>
                <w:color w:val="auto"/>
                <w:szCs w:val="20"/>
              </w:rPr>
              <w:t>Rawtec (2014)</w:t>
            </w:r>
            <w:r w:rsidRPr="00464591">
              <w:rPr>
                <w:rFonts w:asciiTheme="minorHAnsi" w:hAnsiTheme="minorHAnsi" w:cs="Calibri"/>
                <w:i/>
                <w:color w:val="auto"/>
                <w:szCs w:val="20"/>
              </w:rPr>
              <w:t>.</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597452" w:rsidRPr="00464591" w:rsidRDefault="00597452" w:rsidP="008D2D3F">
            <w:pPr>
              <w:spacing w:line="240" w:lineRule="auto"/>
              <w:rPr>
                <w:rFonts w:cs="Times New Roman"/>
                <w:color w:val="000000"/>
                <w:szCs w:val="20"/>
                <w:lang w:eastAsia="en-AU"/>
              </w:rPr>
            </w:pPr>
            <w:r w:rsidRPr="00464591">
              <w:rPr>
                <w:rFonts w:cs="Times New Roman"/>
                <w:color w:val="000000"/>
                <w:szCs w:val="20"/>
                <w:lang w:eastAsia="en-AU"/>
              </w:rPr>
              <w:t>Clinical waste fac. (TD)</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597452" w:rsidRPr="00464591" w:rsidRDefault="00597452">
            <w:pPr>
              <w:spacing w:line="240" w:lineRule="auto"/>
              <w:rPr>
                <w:rFonts w:cs="Times New Roman"/>
                <w:color w:val="000000"/>
                <w:szCs w:val="20"/>
                <w:lang w:eastAsia="en-AU"/>
              </w:rPr>
            </w:pPr>
            <w:r w:rsidRPr="00464591">
              <w:rPr>
                <w:rFonts w:cs="Times New Roman"/>
                <w:color w:val="000000"/>
                <w:szCs w:val="20"/>
                <w:lang w:eastAsia="en-AU"/>
              </w:rPr>
              <w:t xml:space="preserve">Facilities that dispose of medical waste by thermal destruction. </w:t>
            </w:r>
          </w:p>
        </w:tc>
      </w:tr>
      <w:tr w:rsidR="00597452" w:rsidRPr="00464591" w:rsidTr="00C06108">
        <w:trPr>
          <w:trHeight w:val="255"/>
        </w:trPr>
        <w:tc>
          <w:tcPr>
            <w:tcW w:w="1001" w:type="pct"/>
            <w:tcBorders>
              <w:top w:val="single" w:sz="4" w:space="0" w:color="808080" w:themeColor="background1" w:themeShade="80"/>
              <w:left w:val="nil"/>
              <w:bottom w:val="single" w:sz="4" w:space="0" w:color="808080" w:themeColor="background1" w:themeShade="80"/>
              <w:right w:val="nil"/>
            </w:tcBorders>
            <w:shd w:val="clear" w:color="auto" w:fill="BED3F4"/>
            <w:noWrap/>
            <w:hideMark/>
          </w:tcPr>
          <w:p w:rsidR="00597452" w:rsidRPr="00464591" w:rsidRDefault="00597452" w:rsidP="00C06108">
            <w:pPr>
              <w:spacing w:line="240" w:lineRule="auto"/>
              <w:rPr>
                <w:rFonts w:cs="Times New Roman"/>
                <w:b/>
                <w:bCs/>
                <w:color w:val="000000"/>
                <w:szCs w:val="20"/>
                <w:lang w:eastAsia="en-AU"/>
              </w:rPr>
            </w:pPr>
            <w:r w:rsidRPr="00464591">
              <w:rPr>
                <w:rFonts w:cs="Times New Roman"/>
                <w:b/>
                <w:bCs/>
                <w:color w:val="000000"/>
                <w:szCs w:val="20"/>
                <w:lang w:eastAsia="en-AU"/>
              </w:rPr>
              <w:t>Transfer station or temporary storage fac.</w:t>
            </w:r>
          </w:p>
        </w:tc>
        <w:tc>
          <w:tcPr>
            <w:tcW w:w="3999"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tcPr>
          <w:p w:rsidR="00597452" w:rsidRPr="00464591" w:rsidRDefault="00597452" w:rsidP="00C06108">
            <w:pPr>
              <w:spacing w:line="240" w:lineRule="auto"/>
              <w:rPr>
                <w:rFonts w:cs="Times New Roman"/>
                <w:color w:val="000000"/>
                <w:szCs w:val="20"/>
                <w:lang w:eastAsia="en-AU"/>
              </w:rPr>
            </w:pPr>
            <w:r w:rsidRPr="00464591">
              <w:rPr>
                <w:rFonts w:cs="Times New Roman"/>
                <w:color w:val="000000"/>
                <w:szCs w:val="20"/>
                <w:lang w:eastAsia="en-AU"/>
              </w:rPr>
              <w:t xml:space="preserve">Facilities for the transfer or temporary storage of hazardous wastes. Some of these facilities receive a wide range of wastes, others only specific wastes. </w:t>
            </w:r>
            <w:r w:rsidRPr="00C06108">
              <w:rPr>
                <w:rFonts w:cs="Times New Roman"/>
                <w:b/>
                <w:color w:val="000000"/>
                <w:szCs w:val="20"/>
                <w:lang w:eastAsia="en-AU"/>
              </w:rPr>
              <w:t>Coverage limitation</w:t>
            </w:r>
            <w:r w:rsidRPr="00464591">
              <w:rPr>
                <w:rFonts w:cs="Times New Roman"/>
                <w:color w:val="000000"/>
                <w:szCs w:val="20"/>
                <w:lang w:eastAsia="en-AU"/>
              </w:rPr>
              <w:t>: “</w:t>
            </w:r>
            <w:r w:rsidRPr="00464591">
              <w:rPr>
                <w:rFonts w:cs="Times New Roman"/>
                <w:i/>
                <w:color w:val="000000"/>
                <w:szCs w:val="20"/>
                <w:lang w:eastAsia="en-AU"/>
              </w:rPr>
              <w:t>s</w:t>
            </w:r>
            <w:r w:rsidRPr="00464591">
              <w:rPr>
                <w:rFonts w:asciiTheme="minorHAnsi" w:hAnsiTheme="minorHAnsi" w:cs="Calibri"/>
                <w:i/>
                <w:color w:val="auto"/>
                <w:szCs w:val="20"/>
              </w:rPr>
              <w:t xml:space="preserve">ome intermediate storage facilities are included in this dataset. </w:t>
            </w:r>
            <w:r w:rsidR="00C276B0">
              <w:rPr>
                <w:rFonts w:asciiTheme="minorHAnsi" w:hAnsiTheme="minorHAnsi" w:cs="Calibri"/>
                <w:i/>
                <w:color w:val="auto"/>
                <w:szCs w:val="20"/>
              </w:rPr>
              <w:t>…</w:t>
            </w:r>
            <w:r w:rsidRPr="00464591">
              <w:rPr>
                <w:rFonts w:asciiTheme="minorHAnsi" w:hAnsiTheme="minorHAnsi" w:cs="Calibri"/>
                <w:i/>
                <w:color w:val="auto"/>
                <w:szCs w:val="20"/>
              </w:rPr>
              <w:t xml:space="preserve"> </w:t>
            </w:r>
            <w:proofErr w:type="gramStart"/>
            <w:r w:rsidRPr="00464591">
              <w:rPr>
                <w:rFonts w:asciiTheme="minorHAnsi" w:hAnsiTheme="minorHAnsi" w:cs="Calibri"/>
                <w:i/>
                <w:color w:val="auto"/>
                <w:szCs w:val="20"/>
              </w:rPr>
              <w:t>other</w:t>
            </w:r>
            <w:proofErr w:type="gramEnd"/>
            <w:r w:rsidRPr="00464591">
              <w:rPr>
                <w:rFonts w:asciiTheme="minorHAnsi" w:hAnsiTheme="minorHAnsi" w:cs="Calibri"/>
                <w:i/>
                <w:color w:val="auto"/>
                <w:szCs w:val="20"/>
              </w:rPr>
              <w:t xml:space="preserve"> facilities which deal with hazardous wastes </w:t>
            </w:r>
            <w:r w:rsidR="00C276B0">
              <w:rPr>
                <w:rFonts w:asciiTheme="minorHAnsi" w:hAnsiTheme="minorHAnsi" w:cs="Calibri"/>
                <w:i/>
                <w:color w:val="auto"/>
                <w:szCs w:val="20"/>
              </w:rPr>
              <w:t>…</w:t>
            </w:r>
            <w:r w:rsidRPr="00464591">
              <w:rPr>
                <w:rFonts w:asciiTheme="minorHAnsi" w:hAnsiTheme="minorHAnsi" w:cs="Calibri"/>
                <w:i/>
                <w:color w:val="auto"/>
                <w:szCs w:val="20"/>
              </w:rPr>
              <w:t xml:space="preserve"> are not included in the dataset, such as smaller storage facilities and transfer stations” </w:t>
            </w:r>
            <w:r w:rsidRPr="00464591">
              <w:rPr>
                <w:rFonts w:asciiTheme="minorHAnsi" w:hAnsiTheme="minorHAnsi" w:cs="Calibri"/>
                <w:color w:val="auto"/>
                <w:szCs w:val="20"/>
              </w:rPr>
              <w:t>Rawtec (2014)</w:t>
            </w:r>
            <w:r w:rsidRPr="00464591">
              <w:rPr>
                <w:rFonts w:asciiTheme="minorHAnsi" w:hAnsiTheme="minorHAnsi" w:cs="Calibri"/>
                <w:i/>
                <w:color w:val="auto"/>
                <w:szCs w:val="20"/>
              </w:rPr>
              <w:t>.</w:t>
            </w:r>
          </w:p>
        </w:tc>
      </w:tr>
    </w:tbl>
    <w:p w:rsidR="003C412C" w:rsidRDefault="003C412C" w:rsidP="003C412C">
      <w:pPr>
        <w:spacing w:line="240" w:lineRule="auto"/>
        <w:rPr>
          <w:rFonts w:cs="Arial"/>
          <w:i/>
          <w:color w:val="0000FF"/>
          <w:szCs w:val="20"/>
        </w:rPr>
      </w:pPr>
      <w:r w:rsidRPr="00464591">
        <w:rPr>
          <w:rFonts w:cs="Arial"/>
          <w:i/>
          <w:color w:val="0000FF"/>
          <w:szCs w:val="20"/>
        </w:rPr>
        <w:t xml:space="preserve">Note: </w:t>
      </w:r>
      <w:r w:rsidRPr="00464591">
        <w:rPr>
          <w:rFonts w:cs="Arial"/>
          <w:i/>
          <w:color w:val="0000FF"/>
          <w:szCs w:val="20"/>
          <w:shd w:val="clear" w:color="auto" w:fill="D9D9D9" w:themeFill="background1" w:themeFillShade="D9"/>
        </w:rPr>
        <w:t>shaded grey</w:t>
      </w:r>
      <w:r w:rsidRPr="00464591">
        <w:rPr>
          <w:rFonts w:cs="Arial"/>
          <w:i/>
          <w:color w:val="0000FF"/>
          <w:szCs w:val="20"/>
        </w:rPr>
        <w:t xml:space="preserve"> infrastructure groups have coverage limitations as noted. </w:t>
      </w:r>
    </w:p>
    <w:p w:rsidR="00684317" w:rsidRPr="00C06108" w:rsidRDefault="00684317" w:rsidP="00C06108">
      <w:pPr>
        <w:pStyle w:val="BodyText"/>
      </w:pPr>
    </w:p>
    <w:p w:rsidR="009B196A" w:rsidRPr="00C06108" w:rsidRDefault="009B196A" w:rsidP="00C06108">
      <w:pPr>
        <w:pStyle w:val="BodyText"/>
      </w:pPr>
      <w:r w:rsidRPr="00C06108">
        <w:t xml:space="preserve">The scope and coverage </w:t>
      </w:r>
      <w:r w:rsidR="00684317" w:rsidRPr="00C06108">
        <w:t>of the infrastructure database</w:t>
      </w:r>
      <w:r w:rsidRPr="00C06108">
        <w:t xml:space="preserve"> </w:t>
      </w:r>
      <w:r w:rsidR="00684317" w:rsidRPr="00C06108">
        <w:t xml:space="preserve">constrains the </w:t>
      </w:r>
      <w:r w:rsidRPr="00C06108">
        <w:t xml:space="preserve">assessment of infrastructure capacity </w:t>
      </w:r>
      <w:r w:rsidR="00684317" w:rsidRPr="00C06108">
        <w:t>against projected</w:t>
      </w:r>
      <w:r w:rsidRPr="00C06108">
        <w:t xml:space="preserve"> arisings. </w:t>
      </w:r>
      <w:r w:rsidR="00684317" w:rsidRPr="00C06108">
        <w:t xml:space="preserve">Some hazardous wastes are managed </w:t>
      </w:r>
      <w:r w:rsidR="00C276B0" w:rsidRPr="00C06108">
        <w:t>in</w:t>
      </w:r>
      <w:r w:rsidR="00684317" w:rsidRPr="00C06108">
        <w:t xml:space="preserve"> facilities that are not included </w:t>
      </w:r>
      <w:r w:rsidR="00C276B0" w:rsidRPr="00C06108">
        <w:t>in</w:t>
      </w:r>
      <w:r w:rsidR="00684317" w:rsidRPr="00C06108">
        <w:t xml:space="preserve"> the infrastructure database</w:t>
      </w:r>
      <w:r w:rsidR="00C276B0" w:rsidRPr="00C06108">
        <w:t xml:space="preserve">, while others are </w:t>
      </w:r>
      <w:r w:rsidR="00C06108">
        <w:t>sent to</w:t>
      </w:r>
      <w:r w:rsidR="00C276B0" w:rsidRPr="00C06108">
        <w:t xml:space="preserve"> infrastructure with limited coverage in the database</w:t>
      </w:r>
      <w:r w:rsidR="00722403" w:rsidRPr="00C06108">
        <w:t>.</w:t>
      </w:r>
      <w:r w:rsidR="00C276B0" w:rsidRPr="00C06108">
        <w:t xml:space="preserve"> This results in an under-estimation of the capacity of these infrastructure groups and an inaccurate estimate of the period when the capacity of these groups will be exceeded</w:t>
      </w:r>
      <w:r w:rsidR="00722403" w:rsidRPr="00C06108">
        <w:t xml:space="preserve">. Figure S3 illustrates which infrastructure groups are out of the capacity assessment scope or have limited coverage. </w:t>
      </w:r>
    </w:p>
    <w:p w:rsidR="00D006DC" w:rsidRPr="00C06108" w:rsidRDefault="00D006DC" w:rsidP="00C06108">
      <w:pPr>
        <w:pStyle w:val="BodyText"/>
      </w:pPr>
    </w:p>
    <w:p w:rsidR="009B196A" w:rsidRDefault="009B196A" w:rsidP="007F5BD4">
      <w:pPr>
        <w:keepNext/>
        <w:ind w:left="992" w:right="-142" w:hanging="992"/>
        <w:rPr>
          <w:b/>
          <w:color w:val="0000FF" w:themeColor="text2"/>
        </w:rPr>
      </w:pPr>
      <w:r w:rsidRPr="00816657">
        <w:rPr>
          <w:b/>
          <w:color w:val="0000FF" w:themeColor="text2"/>
        </w:rPr>
        <w:t>Figure S</w:t>
      </w:r>
      <w:r>
        <w:rPr>
          <w:b/>
          <w:color w:val="0000FF" w:themeColor="text2"/>
        </w:rPr>
        <w:t>3</w:t>
      </w:r>
      <w:r w:rsidRPr="00816657">
        <w:rPr>
          <w:b/>
          <w:color w:val="0000FF" w:themeColor="text2"/>
        </w:rPr>
        <w:t>:</w:t>
      </w:r>
      <w:r w:rsidR="00BA4748" w:rsidRPr="00BA4748">
        <w:rPr>
          <w:rFonts w:asciiTheme="minorHAnsi" w:hAnsiTheme="minorHAnsi" w:cs="Calibri"/>
          <w:b/>
          <w:noProof/>
          <w:color w:val="0000FF"/>
          <w:sz w:val="22"/>
        </w:rPr>
        <w:t xml:space="preserve"> </w:t>
      </w:r>
      <w:r w:rsidR="00722403">
        <w:rPr>
          <w:rFonts w:asciiTheme="minorHAnsi" w:hAnsiTheme="minorHAnsi" w:cs="Calibri"/>
          <w:b/>
          <w:noProof/>
          <w:color w:val="0000FF"/>
          <w:sz w:val="22"/>
        </w:rPr>
        <w:t>H</w:t>
      </w:r>
      <w:r w:rsidR="00BA4748" w:rsidRPr="00CA5534">
        <w:rPr>
          <w:rFonts w:asciiTheme="minorHAnsi" w:hAnsiTheme="minorHAnsi" w:cs="Calibri"/>
          <w:b/>
          <w:noProof/>
          <w:color w:val="0000FF"/>
          <w:sz w:val="22"/>
        </w:rPr>
        <w:t xml:space="preserve">azardous waste </w:t>
      </w:r>
      <w:r w:rsidR="00722403">
        <w:rPr>
          <w:rFonts w:asciiTheme="minorHAnsi" w:hAnsiTheme="minorHAnsi" w:cs="Calibri"/>
          <w:b/>
          <w:noProof/>
          <w:color w:val="0000FF"/>
          <w:sz w:val="22"/>
        </w:rPr>
        <w:t xml:space="preserve">groups </w:t>
      </w:r>
      <w:r w:rsidR="00BA4748" w:rsidRPr="00CA5534">
        <w:rPr>
          <w:rFonts w:asciiTheme="minorHAnsi" w:hAnsiTheme="minorHAnsi" w:cs="Calibri"/>
          <w:b/>
          <w:noProof/>
          <w:color w:val="0000FF"/>
          <w:sz w:val="22"/>
        </w:rPr>
        <w:t>arisings</w:t>
      </w:r>
      <w:r w:rsidR="00722403">
        <w:rPr>
          <w:rFonts w:asciiTheme="minorHAnsi" w:hAnsiTheme="minorHAnsi" w:cs="Calibri"/>
          <w:b/>
          <w:noProof/>
          <w:color w:val="0000FF"/>
          <w:sz w:val="22"/>
        </w:rPr>
        <w:t>,</w:t>
      </w:r>
      <w:r w:rsidR="00BA4748" w:rsidRPr="00CA5534">
        <w:rPr>
          <w:rFonts w:asciiTheme="minorHAnsi" w:hAnsiTheme="minorHAnsi" w:cs="Calibri"/>
          <w:b/>
          <w:noProof/>
          <w:color w:val="0000FF"/>
          <w:sz w:val="22"/>
        </w:rPr>
        <w:t xml:space="preserve"> </w:t>
      </w:r>
      <w:r w:rsidR="00722403">
        <w:rPr>
          <w:rFonts w:asciiTheme="minorHAnsi" w:hAnsiTheme="minorHAnsi" w:cs="Calibri"/>
          <w:b/>
          <w:noProof/>
          <w:color w:val="0000FF"/>
          <w:sz w:val="22"/>
        </w:rPr>
        <w:t xml:space="preserve">coverage in </w:t>
      </w:r>
      <w:r w:rsidR="00BA4748" w:rsidRPr="00CA5534">
        <w:rPr>
          <w:rFonts w:asciiTheme="minorHAnsi" w:hAnsiTheme="minorHAnsi" w:cs="Calibri"/>
          <w:b/>
          <w:noProof/>
          <w:color w:val="0000FF"/>
          <w:sz w:val="22"/>
        </w:rPr>
        <w:t>capacity database</w:t>
      </w:r>
      <w:r w:rsidR="00722403">
        <w:rPr>
          <w:rFonts w:asciiTheme="minorHAnsi" w:hAnsiTheme="minorHAnsi" w:cs="Calibri"/>
          <w:b/>
          <w:noProof/>
          <w:color w:val="0000FF"/>
          <w:sz w:val="22"/>
        </w:rPr>
        <w:t>, and</w:t>
      </w:r>
      <w:r w:rsidR="00BA4748" w:rsidRPr="00CA5534">
        <w:rPr>
          <w:rFonts w:asciiTheme="minorHAnsi" w:hAnsiTheme="minorHAnsi" w:cs="Calibri"/>
          <w:b/>
          <w:noProof/>
          <w:color w:val="0000FF"/>
          <w:sz w:val="22"/>
        </w:rPr>
        <w:t xml:space="preserve"> extent of </w:t>
      </w:r>
      <w:r w:rsidR="00BA4748">
        <w:rPr>
          <w:rFonts w:asciiTheme="minorHAnsi" w:hAnsiTheme="minorHAnsi" w:cs="Calibri"/>
          <w:b/>
          <w:noProof/>
          <w:color w:val="0000FF"/>
          <w:sz w:val="22"/>
        </w:rPr>
        <w:t>assessment</w:t>
      </w:r>
    </w:p>
    <w:p w:rsidR="00A05A70" w:rsidRDefault="00C06108" w:rsidP="00C06108">
      <w:pPr>
        <w:pStyle w:val="BodyText"/>
        <w:jc w:val="center"/>
      </w:pPr>
      <w:r w:rsidRPr="00CA5534">
        <w:rPr>
          <w:rFonts w:asciiTheme="minorHAnsi" w:hAnsiTheme="minorHAnsi" w:cs="Calibri"/>
          <w:b/>
          <w:noProof/>
          <w:color w:val="0000FF"/>
          <w:lang w:eastAsia="en-AU"/>
        </w:rPr>
        <w:drawing>
          <wp:inline distT="0" distB="0" distL="0" distR="0">
            <wp:extent cx="5739256" cy="470175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 groups coverage.emf"/>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42948" cy="4704782"/>
                    </a:xfrm>
                    <a:prstGeom prst="rect">
                      <a:avLst/>
                    </a:prstGeom>
                  </pic:spPr>
                </pic:pic>
              </a:graphicData>
            </a:graphic>
          </wp:inline>
        </w:drawing>
      </w:r>
    </w:p>
    <w:p w:rsidR="00A05A70" w:rsidRDefault="00A05A70" w:rsidP="00A05A70">
      <w:pPr>
        <w:pStyle w:val="BodyText"/>
      </w:pPr>
      <w:r>
        <w:lastRenderedPageBreak/>
        <w:t>T</w:t>
      </w:r>
      <w:r w:rsidRPr="00816657">
        <w:t xml:space="preserve">he capacity of each </w:t>
      </w:r>
      <w:r>
        <w:t xml:space="preserve">infrastructure </w:t>
      </w:r>
      <w:r w:rsidRPr="00816657">
        <w:t xml:space="preserve">groups was compiled by jurisdiction. Data gaps were filled through estimates based on EPA licence limits and average capacity reported by survey respondents in the relevant group. </w:t>
      </w:r>
      <w:r>
        <w:t xml:space="preserve">Section </w:t>
      </w:r>
      <w:r w:rsidR="006D07F5">
        <w:fldChar w:fldCharType="begin"/>
      </w:r>
      <w:r>
        <w:instrText xml:space="preserve"> REF _Ref420062067 \r \h </w:instrText>
      </w:r>
      <w:r w:rsidR="006D07F5">
        <w:fldChar w:fldCharType="separate"/>
      </w:r>
      <w:r w:rsidR="002F3000">
        <w:t>4.2</w:t>
      </w:r>
      <w:r w:rsidR="006D07F5">
        <w:fldChar w:fldCharType="end"/>
      </w:r>
      <w:r>
        <w:t xml:space="preserve"> provides detailed analysis of the limitations and uncertainty associated with the infrastructure capacity assessment and provides an overall estimate of uncertainty for each infrastructure group. </w:t>
      </w:r>
      <w:r w:rsidRPr="00816657">
        <w:t>The national capacity is summarised in Table S</w:t>
      </w:r>
      <w:r w:rsidR="00597452">
        <w:t>3</w:t>
      </w:r>
      <w:r>
        <w:t>, including the overall estimates of uncertainty for each infrastructure group.</w:t>
      </w:r>
      <w:r w:rsidRPr="0095313A">
        <w:t xml:space="preserve"> </w:t>
      </w:r>
      <w:r w:rsidRPr="00816657">
        <w:t xml:space="preserve">The difference between overall </w:t>
      </w:r>
      <w:r w:rsidRPr="0037748D">
        <w:t>arisings (5.7 Mt)</w:t>
      </w:r>
      <w:r w:rsidRPr="00816657">
        <w:t xml:space="preserve"> and overall capacity (3.0 Mt) is mainly attributable to the limits on the scope of the infrastructure database.</w:t>
      </w:r>
    </w:p>
    <w:p w:rsidR="00A05A70" w:rsidRDefault="008C0AE0" w:rsidP="008C0AE0">
      <w:pPr>
        <w:pStyle w:val="BodyText"/>
        <w:tabs>
          <w:tab w:val="left" w:pos="5676"/>
        </w:tabs>
      </w:pPr>
      <w:r>
        <w:tab/>
      </w:r>
    </w:p>
    <w:p w:rsidR="0047222F" w:rsidRPr="00816657" w:rsidRDefault="0047222F" w:rsidP="0047222F">
      <w:pPr>
        <w:pStyle w:val="BodyText"/>
        <w:spacing w:after="120" w:line="260" w:lineRule="atLeast"/>
        <w:rPr>
          <w:b/>
          <w:color w:val="0000FF" w:themeColor="text2"/>
        </w:rPr>
      </w:pPr>
      <w:r w:rsidRPr="00816657">
        <w:rPr>
          <w:b/>
          <w:color w:val="0000FF" w:themeColor="text2"/>
        </w:rPr>
        <w:t>Table S</w:t>
      </w:r>
      <w:r w:rsidR="00597452">
        <w:rPr>
          <w:b/>
          <w:color w:val="0000FF" w:themeColor="text2"/>
        </w:rPr>
        <w:t>3</w:t>
      </w:r>
      <w:r w:rsidRPr="00816657">
        <w:rPr>
          <w:b/>
          <w:color w:val="0000FF" w:themeColor="text2"/>
        </w:rPr>
        <w:t xml:space="preserve">: </w:t>
      </w:r>
      <w:r w:rsidRPr="00816657">
        <w:rPr>
          <w:b/>
          <w:color w:val="0000FF" w:themeColor="text2"/>
        </w:rPr>
        <w:tab/>
        <w:t>National capacity estimate of hazardous waste infrastructure</w:t>
      </w:r>
    </w:p>
    <w:tbl>
      <w:tblPr>
        <w:tblW w:w="5366" w:type="pct"/>
        <w:tblLayout w:type="fixed"/>
        <w:tblLook w:val="04A0"/>
      </w:tblPr>
      <w:tblGrid>
        <w:gridCol w:w="3790"/>
        <w:gridCol w:w="696"/>
        <w:gridCol w:w="1717"/>
        <w:gridCol w:w="1560"/>
        <w:gridCol w:w="1984"/>
        <w:gridCol w:w="236"/>
        <w:gridCol w:w="236"/>
        <w:gridCol w:w="236"/>
      </w:tblGrid>
      <w:tr w:rsidR="00023770" w:rsidRPr="00816657" w:rsidTr="007F5BD4">
        <w:trPr>
          <w:gridAfter w:val="3"/>
          <w:wAfter w:w="339" w:type="pct"/>
          <w:trHeight w:val="106"/>
        </w:trPr>
        <w:tc>
          <w:tcPr>
            <w:tcW w:w="1813" w:type="pct"/>
            <w:vMerge w:val="restart"/>
            <w:tcBorders>
              <w:top w:val="nil"/>
              <w:left w:val="nil"/>
              <w:right w:val="nil"/>
            </w:tcBorders>
            <w:shd w:val="clear" w:color="auto" w:fill="auto"/>
            <w:vAlign w:val="bottom"/>
          </w:tcPr>
          <w:p w:rsidR="00E67EF7" w:rsidRPr="00816657" w:rsidRDefault="00E67EF7" w:rsidP="00DF4368">
            <w:pPr>
              <w:spacing w:line="240" w:lineRule="auto"/>
              <w:rPr>
                <w:rFonts w:cs="Times New Roman"/>
                <w:b/>
                <w:bCs/>
                <w:color w:val="000000"/>
                <w:szCs w:val="20"/>
                <w:lang w:eastAsia="en-AU"/>
              </w:rPr>
            </w:pPr>
            <w:r w:rsidRPr="00816657">
              <w:rPr>
                <w:rFonts w:cs="Times New Roman"/>
                <w:b/>
                <w:bCs/>
                <w:color w:val="000000"/>
                <w:szCs w:val="20"/>
                <w:lang w:eastAsia="en-AU"/>
              </w:rPr>
              <w:t>Hazardous waste infrastructure group</w:t>
            </w:r>
          </w:p>
        </w:tc>
        <w:tc>
          <w:tcPr>
            <w:tcW w:w="333" w:type="pct"/>
            <w:vMerge w:val="restart"/>
            <w:tcBorders>
              <w:top w:val="nil"/>
              <w:left w:val="nil"/>
              <w:right w:val="nil"/>
            </w:tcBorders>
            <w:shd w:val="clear" w:color="auto" w:fill="auto"/>
            <w:noWrap/>
            <w:vAlign w:val="bottom"/>
          </w:tcPr>
          <w:p w:rsidR="00E67EF7" w:rsidRPr="00816657" w:rsidRDefault="00E67EF7" w:rsidP="00DF4368">
            <w:pPr>
              <w:spacing w:line="240" w:lineRule="auto"/>
              <w:jc w:val="center"/>
              <w:rPr>
                <w:rFonts w:cs="Times New Roman"/>
                <w:b/>
                <w:bCs/>
                <w:color w:val="auto"/>
                <w:szCs w:val="20"/>
                <w:lang w:eastAsia="en-AU"/>
              </w:rPr>
            </w:pPr>
            <w:r w:rsidRPr="00816657">
              <w:rPr>
                <w:rFonts w:cs="Times New Roman"/>
                <w:b/>
                <w:bCs/>
                <w:color w:val="auto"/>
                <w:szCs w:val="20"/>
                <w:lang w:eastAsia="en-AU"/>
              </w:rPr>
              <w:t>No. sites</w:t>
            </w:r>
          </w:p>
        </w:tc>
        <w:tc>
          <w:tcPr>
            <w:tcW w:w="820" w:type="pct"/>
            <w:vMerge w:val="restart"/>
            <w:tcBorders>
              <w:top w:val="nil"/>
              <w:left w:val="nil"/>
              <w:right w:val="nil"/>
            </w:tcBorders>
            <w:shd w:val="clear" w:color="auto" w:fill="auto"/>
            <w:vAlign w:val="bottom"/>
          </w:tcPr>
          <w:p w:rsidR="00E67EF7" w:rsidRPr="00816657" w:rsidRDefault="00E67EF7" w:rsidP="00DF4368">
            <w:pPr>
              <w:spacing w:line="240" w:lineRule="auto"/>
              <w:jc w:val="center"/>
              <w:rPr>
                <w:rFonts w:cs="Times New Roman"/>
                <w:b/>
                <w:bCs/>
                <w:color w:val="auto"/>
                <w:szCs w:val="20"/>
                <w:lang w:eastAsia="en-AU"/>
              </w:rPr>
            </w:pPr>
            <w:r w:rsidRPr="00816657">
              <w:rPr>
                <w:rFonts w:cs="Times New Roman"/>
                <w:b/>
                <w:bCs/>
                <w:color w:val="auto"/>
                <w:szCs w:val="20"/>
                <w:lang w:eastAsia="en-AU"/>
              </w:rPr>
              <w:t>Est. currently received (kt/yr)</w:t>
            </w:r>
            <w:r w:rsidRPr="00816657">
              <w:rPr>
                <w:rStyle w:val="FootnoteReference"/>
                <w:rFonts w:cs="Times New Roman"/>
                <w:b/>
                <w:bCs/>
                <w:color w:val="auto"/>
                <w:szCs w:val="20"/>
                <w:lang w:eastAsia="en-AU"/>
              </w:rPr>
              <w:footnoteReference w:id="3"/>
            </w:r>
          </w:p>
        </w:tc>
        <w:tc>
          <w:tcPr>
            <w:tcW w:w="746" w:type="pct"/>
            <w:vMerge w:val="restart"/>
            <w:tcBorders>
              <w:top w:val="nil"/>
              <w:left w:val="nil"/>
            </w:tcBorders>
            <w:shd w:val="clear" w:color="auto" w:fill="auto"/>
            <w:vAlign w:val="bottom"/>
          </w:tcPr>
          <w:p w:rsidR="00E67EF7" w:rsidRPr="00816657" w:rsidRDefault="00E67EF7" w:rsidP="00DF4368">
            <w:pPr>
              <w:spacing w:line="240" w:lineRule="auto"/>
              <w:jc w:val="center"/>
              <w:rPr>
                <w:rFonts w:cs="Times New Roman"/>
                <w:b/>
                <w:bCs/>
                <w:color w:val="auto"/>
                <w:szCs w:val="20"/>
                <w:lang w:eastAsia="en-AU"/>
              </w:rPr>
            </w:pPr>
            <w:r w:rsidRPr="00816657">
              <w:rPr>
                <w:rFonts w:cs="Times New Roman"/>
                <w:b/>
                <w:bCs/>
                <w:color w:val="auto"/>
                <w:szCs w:val="20"/>
                <w:lang w:eastAsia="en-AU"/>
              </w:rPr>
              <w:t>Est. potential capacity (kt/yr)</w:t>
            </w:r>
            <w:r w:rsidRPr="00816657">
              <w:rPr>
                <w:rStyle w:val="FootnoteReference"/>
                <w:rFonts w:cs="Times New Roman"/>
                <w:b/>
                <w:bCs/>
                <w:color w:val="auto"/>
                <w:szCs w:val="20"/>
                <w:lang w:eastAsia="en-AU"/>
              </w:rPr>
              <w:footnoteReference w:id="4"/>
            </w:r>
          </w:p>
        </w:tc>
        <w:tc>
          <w:tcPr>
            <w:tcW w:w="949" w:type="pct"/>
            <w:tcBorders>
              <w:top w:val="nil"/>
            </w:tcBorders>
          </w:tcPr>
          <w:p w:rsidR="00E67EF7" w:rsidRPr="00816657" w:rsidRDefault="00E67EF7" w:rsidP="00DF4368">
            <w:pPr>
              <w:spacing w:line="240" w:lineRule="auto"/>
              <w:jc w:val="center"/>
              <w:rPr>
                <w:rFonts w:cs="Times New Roman"/>
                <w:b/>
                <w:bCs/>
                <w:color w:val="auto"/>
                <w:szCs w:val="20"/>
                <w:lang w:eastAsia="en-AU"/>
              </w:rPr>
            </w:pPr>
          </w:p>
        </w:tc>
      </w:tr>
      <w:tr w:rsidR="00023770" w:rsidRPr="00816657" w:rsidTr="007F5BD4">
        <w:trPr>
          <w:gridAfter w:val="3"/>
          <w:wAfter w:w="339" w:type="pct"/>
          <w:trHeight w:val="106"/>
        </w:trPr>
        <w:tc>
          <w:tcPr>
            <w:tcW w:w="1813" w:type="pct"/>
            <w:vMerge/>
            <w:tcBorders>
              <w:left w:val="nil"/>
              <w:bottom w:val="single" w:sz="4" w:space="0" w:color="808080" w:themeColor="background1" w:themeShade="80"/>
            </w:tcBorders>
            <w:shd w:val="clear" w:color="auto" w:fill="auto"/>
            <w:vAlign w:val="bottom"/>
            <w:hideMark/>
          </w:tcPr>
          <w:p w:rsidR="00E67EF7" w:rsidRPr="00816657" w:rsidRDefault="00E67EF7" w:rsidP="00DF4368">
            <w:pPr>
              <w:spacing w:line="240" w:lineRule="auto"/>
              <w:rPr>
                <w:rFonts w:cs="Times New Roman"/>
                <w:b/>
                <w:bCs/>
                <w:color w:val="000000"/>
                <w:szCs w:val="20"/>
                <w:lang w:eastAsia="en-AU"/>
              </w:rPr>
            </w:pPr>
          </w:p>
        </w:tc>
        <w:tc>
          <w:tcPr>
            <w:tcW w:w="333" w:type="pct"/>
            <w:vMerge/>
            <w:tcBorders>
              <w:bottom w:val="single" w:sz="4" w:space="0" w:color="808080" w:themeColor="background1" w:themeShade="80"/>
            </w:tcBorders>
            <w:shd w:val="clear" w:color="auto" w:fill="auto"/>
            <w:noWrap/>
            <w:vAlign w:val="bottom"/>
            <w:hideMark/>
          </w:tcPr>
          <w:p w:rsidR="00E67EF7" w:rsidRPr="00816657" w:rsidRDefault="00E67EF7" w:rsidP="00DF4368">
            <w:pPr>
              <w:spacing w:line="240" w:lineRule="auto"/>
              <w:jc w:val="center"/>
              <w:rPr>
                <w:rFonts w:cs="Times New Roman"/>
                <w:b/>
                <w:bCs/>
                <w:color w:val="auto"/>
                <w:szCs w:val="20"/>
                <w:lang w:eastAsia="en-AU"/>
              </w:rPr>
            </w:pPr>
          </w:p>
        </w:tc>
        <w:tc>
          <w:tcPr>
            <w:tcW w:w="820" w:type="pct"/>
            <w:vMerge/>
            <w:tcBorders>
              <w:bottom w:val="single" w:sz="4" w:space="0" w:color="808080" w:themeColor="background1" w:themeShade="80"/>
            </w:tcBorders>
            <w:shd w:val="clear" w:color="auto" w:fill="auto"/>
            <w:vAlign w:val="bottom"/>
            <w:hideMark/>
          </w:tcPr>
          <w:p w:rsidR="00E67EF7" w:rsidRPr="00816657" w:rsidRDefault="00E67EF7" w:rsidP="00DF4368">
            <w:pPr>
              <w:spacing w:line="240" w:lineRule="auto"/>
              <w:jc w:val="center"/>
              <w:rPr>
                <w:rFonts w:cs="Times New Roman"/>
                <w:b/>
                <w:bCs/>
                <w:color w:val="auto"/>
                <w:szCs w:val="20"/>
                <w:lang w:eastAsia="en-AU"/>
              </w:rPr>
            </w:pPr>
          </w:p>
        </w:tc>
        <w:tc>
          <w:tcPr>
            <w:tcW w:w="746" w:type="pct"/>
            <w:vMerge/>
            <w:tcBorders>
              <w:bottom w:val="single" w:sz="4" w:space="0" w:color="808080" w:themeColor="background1" w:themeShade="80"/>
            </w:tcBorders>
            <w:shd w:val="clear" w:color="auto" w:fill="auto"/>
            <w:vAlign w:val="bottom"/>
            <w:hideMark/>
          </w:tcPr>
          <w:p w:rsidR="00E67EF7" w:rsidRPr="00816657" w:rsidRDefault="00E67EF7" w:rsidP="00DF4368">
            <w:pPr>
              <w:spacing w:line="240" w:lineRule="auto"/>
              <w:jc w:val="center"/>
              <w:rPr>
                <w:rFonts w:cs="Times New Roman"/>
                <w:b/>
                <w:bCs/>
                <w:color w:val="auto"/>
                <w:szCs w:val="20"/>
                <w:lang w:eastAsia="en-AU"/>
              </w:rPr>
            </w:pPr>
          </w:p>
        </w:tc>
        <w:tc>
          <w:tcPr>
            <w:tcW w:w="949" w:type="pct"/>
            <w:tcBorders>
              <w:bottom w:val="single" w:sz="4" w:space="0" w:color="808080" w:themeColor="background1" w:themeShade="80"/>
            </w:tcBorders>
          </w:tcPr>
          <w:p w:rsidR="00E67EF7" w:rsidRPr="00816657" w:rsidRDefault="00E67EF7" w:rsidP="00DF4368">
            <w:pPr>
              <w:spacing w:line="240" w:lineRule="auto"/>
              <w:jc w:val="center"/>
              <w:rPr>
                <w:rFonts w:cs="Times New Roman"/>
                <w:b/>
                <w:bCs/>
                <w:color w:val="auto"/>
                <w:szCs w:val="20"/>
                <w:lang w:eastAsia="en-AU"/>
              </w:rPr>
            </w:pPr>
            <w:r>
              <w:rPr>
                <w:rFonts w:cs="Times New Roman"/>
                <w:b/>
                <w:bCs/>
                <w:color w:val="auto"/>
                <w:szCs w:val="20"/>
                <w:lang w:eastAsia="en-AU"/>
              </w:rPr>
              <w:t>Uncertainty of capacity assessment</w:t>
            </w:r>
          </w:p>
        </w:tc>
      </w:tr>
      <w:tr w:rsidR="00023770" w:rsidRPr="00816657" w:rsidTr="00FB658B">
        <w:trPr>
          <w:gridAfter w:val="3"/>
          <w:wAfter w:w="339" w:type="pct"/>
          <w:trHeight w:val="255"/>
        </w:trPr>
        <w:tc>
          <w:tcPr>
            <w:tcW w:w="3713" w:type="pct"/>
            <w:gridSpan w:val="4"/>
            <w:tcBorders>
              <w:top w:val="single" w:sz="4" w:space="0" w:color="808080" w:themeColor="background1" w:themeShade="80"/>
              <w:left w:val="nil"/>
            </w:tcBorders>
            <w:shd w:val="clear" w:color="000000" w:fill="C5D9F1"/>
            <w:noWrap/>
            <w:vAlign w:val="bottom"/>
            <w:hideMark/>
          </w:tcPr>
          <w:p w:rsidR="00E67EF7" w:rsidRPr="00816657" w:rsidRDefault="00E67EF7" w:rsidP="00DF4368">
            <w:pPr>
              <w:spacing w:line="240" w:lineRule="auto"/>
              <w:rPr>
                <w:rFonts w:cs="Times New Roman"/>
                <w:b/>
                <w:bCs/>
                <w:color w:val="auto"/>
                <w:szCs w:val="20"/>
                <w:lang w:eastAsia="en-AU"/>
              </w:rPr>
            </w:pPr>
            <w:r>
              <w:rPr>
                <w:b/>
                <w:bCs/>
                <w:color w:val="000000"/>
                <w:szCs w:val="20"/>
              </w:rPr>
              <w:t>Recovery: recycling and energy recovery (ER)</w:t>
            </w:r>
          </w:p>
        </w:tc>
        <w:tc>
          <w:tcPr>
            <w:tcW w:w="949" w:type="pct"/>
            <w:tcBorders>
              <w:top w:val="single" w:sz="4" w:space="0" w:color="808080" w:themeColor="background1" w:themeShade="80"/>
            </w:tcBorders>
            <w:shd w:val="clear" w:color="000000" w:fill="C5D9F1"/>
          </w:tcPr>
          <w:p w:rsidR="00E67EF7" w:rsidRDefault="00E67EF7" w:rsidP="00DF4368">
            <w:pPr>
              <w:spacing w:line="240" w:lineRule="auto"/>
              <w:rPr>
                <w:b/>
                <w:bCs/>
                <w:color w:val="000000"/>
                <w:szCs w:val="20"/>
              </w:rPr>
            </w:pPr>
          </w:p>
        </w:tc>
      </w:tr>
      <w:tr w:rsidR="00023770" w:rsidRPr="00816657" w:rsidTr="00FB658B">
        <w:trPr>
          <w:gridAfter w:val="3"/>
          <w:wAfter w:w="339" w:type="pct"/>
          <w:trHeight w:val="255"/>
        </w:trPr>
        <w:tc>
          <w:tcPr>
            <w:tcW w:w="1813" w:type="pct"/>
            <w:tcBorders>
              <w:top w:val="nil"/>
              <w:left w:val="nil"/>
              <w:bottom w:val="single" w:sz="4" w:space="0" w:color="D9D9D9" w:themeColor="background1" w:themeShade="D9"/>
            </w:tcBorders>
            <w:shd w:val="clear" w:color="auto" w:fill="auto"/>
            <w:noWrap/>
            <w:vAlign w:val="bottom"/>
            <w:hideMark/>
          </w:tcPr>
          <w:p w:rsidR="00E67EF7" w:rsidRPr="00816657" w:rsidRDefault="00E67EF7" w:rsidP="00DF4368">
            <w:pPr>
              <w:spacing w:line="240" w:lineRule="auto"/>
              <w:rPr>
                <w:rFonts w:cs="Times New Roman"/>
                <w:color w:val="000000"/>
                <w:szCs w:val="20"/>
                <w:lang w:eastAsia="en-AU"/>
              </w:rPr>
            </w:pPr>
            <w:r>
              <w:rPr>
                <w:color w:val="000000"/>
                <w:szCs w:val="20"/>
              </w:rPr>
              <w:t>Hazwaste packaging fac.</w:t>
            </w:r>
          </w:p>
        </w:tc>
        <w:tc>
          <w:tcPr>
            <w:tcW w:w="333" w:type="pct"/>
            <w:tcBorders>
              <w:top w:val="nil"/>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31 </w:t>
            </w:r>
          </w:p>
        </w:tc>
        <w:tc>
          <w:tcPr>
            <w:tcW w:w="821" w:type="pct"/>
            <w:tcBorders>
              <w:top w:val="nil"/>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                 22 </w:t>
            </w:r>
          </w:p>
        </w:tc>
        <w:tc>
          <w:tcPr>
            <w:tcW w:w="746" w:type="pct"/>
            <w:tcBorders>
              <w:top w:val="nil"/>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55 </w:t>
            </w:r>
          </w:p>
        </w:tc>
        <w:tc>
          <w:tcPr>
            <w:tcW w:w="949" w:type="pct"/>
            <w:tcBorders>
              <w:top w:val="nil"/>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Moderate</w:t>
            </w:r>
          </w:p>
        </w:tc>
      </w:tr>
      <w:tr w:rsidR="00023770" w:rsidRPr="00816657" w:rsidTr="00FB658B">
        <w:trPr>
          <w:gridAfter w:val="3"/>
          <w:wAfter w:w="339" w:type="pct"/>
          <w:trHeight w:val="255"/>
        </w:trPr>
        <w:tc>
          <w:tcPr>
            <w:tcW w:w="1813" w:type="pct"/>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E67EF7" w:rsidRPr="00816657" w:rsidRDefault="00E67EF7" w:rsidP="00DF4368">
            <w:pPr>
              <w:spacing w:line="240" w:lineRule="auto"/>
              <w:rPr>
                <w:rFonts w:cs="Times New Roman"/>
                <w:color w:val="000000"/>
                <w:szCs w:val="20"/>
                <w:lang w:eastAsia="en-AU"/>
              </w:rPr>
            </w:pPr>
            <w:r>
              <w:rPr>
                <w:color w:val="000000"/>
                <w:szCs w:val="20"/>
              </w:rPr>
              <w:t>E-waste fac.</w:t>
            </w:r>
          </w:p>
        </w:tc>
        <w:tc>
          <w:tcPr>
            <w:tcW w:w="333"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12 </w:t>
            </w:r>
          </w:p>
        </w:tc>
        <w:tc>
          <w:tcPr>
            <w:tcW w:w="821"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                 64 </w:t>
            </w:r>
          </w:p>
        </w:tc>
        <w:tc>
          <w:tcPr>
            <w:tcW w:w="746"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161 </w:t>
            </w:r>
          </w:p>
        </w:tc>
        <w:tc>
          <w:tcPr>
            <w:tcW w:w="949" w:type="pct"/>
            <w:tcBorders>
              <w:top w:val="single" w:sz="4" w:space="0" w:color="D9D9D9" w:themeColor="background1" w:themeShade="D9"/>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Moderate</w:t>
            </w:r>
          </w:p>
        </w:tc>
      </w:tr>
      <w:tr w:rsidR="00023770" w:rsidRPr="00816657" w:rsidTr="00FB658B">
        <w:trPr>
          <w:gridAfter w:val="3"/>
          <w:wAfter w:w="339" w:type="pct"/>
          <w:trHeight w:val="255"/>
        </w:trPr>
        <w:tc>
          <w:tcPr>
            <w:tcW w:w="1813" w:type="pct"/>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E67EF7" w:rsidRPr="00816657" w:rsidRDefault="00E67EF7" w:rsidP="00DF4368">
            <w:pPr>
              <w:spacing w:line="240" w:lineRule="auto"/>
              <w:rPr>
                <w:rFonts w:cs="Times New Roman"/>
                <w:color w:val="000000"/>
                <w:szCs w:val="20"/>
                <w:lang w:eastAsia="en-AU"/>
              </w:rPr>
            </w:pPr>
            <w:r>
              <w:rPr>
                <w:color w:val="000000"/>
                <w:szCs w:val="20"/>
              </w:rPr>
              <w:t>Oil re-refining fac.</w:t>
            </w:r>
          </w:p>
        </w:tc>
        <w:tc>
          <w:tcPr>
            <w:tcW w:w="333"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13 </w:t>
            </w:r>
          </w:p>
        </w:tc>
        <w:tc>
          <w:tcPr>
            <w:tcW w:w="821"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               363 </w:t>
            </w:r>
          </w:p>
        </w:tc>
        <w:tc>
          <w:tcPr>
            <w:tcW w:w="746"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694 </w:t>
            </w:r>
          </w:p>
        </w:tc>
        <w:tc>
          <w:tcPr>
            <w:tcW w:w="949" w:type="pct"/>
            <w:tcBorders>
              <w:top w:val="single" w:sz="4" w:space="0" w:color="D9D9D9" w:themeColor="background1" w:themeShade="D9"/>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Moderate</w:t>
            </w:r>
          </w:p>
        </w:tc>
      </w:tr>
      <w:tr w:rsidR="00023770" w:rsidRPr="00816657" w:rsidTr="00FB658B">
        <w:trPr>
          <w:gridAfter w:val="3"/>
          <w:wAfter w:w="339" w:type="pct"/>
          <w:trHeight w:val="255"/>
        </w:trPr>
        <w:tc>
          <w:tcPr>
            <w:tcW w:w="1813" w:type="pct"/>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E67EF7" w:rsidRPr="00816657" w:rsidRDefault="00E67EF7" w:rsidP="00DF4368">
            <w:pPr>
              <w:spacing w:line="240" w:lineRule="auto"/>
              <w:rPr>
                <w:rFonts w:cs="Times New Roman"/>
                <w:color w:val="000000"/>
                <w:szCs w:val="20"/>
                <w:lang w:eastAsia="en-AU"/>
              </w:rPr>
            </w:pPr>
            <w:r>
              <w:rPr>
                <w:color w:val="000000"/>
                <w:szCs w:val="20"/>
              </w:rPr>
              <w:t>Lead fac.</w:t>
            </w:r>
          </w:p>
        </w:tc>
        <w:tc>
          <w:tcPr>
            <w:tcW w:w="333"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4 </w:t>
            </w:r>
          </w:p>
        </w:tc>
        <w:tc>
          <w:tcPr>
            <w:tcW w:w="821"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               106 </w:t>
            </w:r>
          </w:p>
        </w:tc>
        <w:tc>
          <w:tcPr>
            <w:tcW w:w="746"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188 </w:t>
            </w:r>
          </w:p>
        </w:tc>
        <w:tc>
          <w:tcPr>
            <w:tcW w:w="949" w:type="pct"/>
            <w:tcBorders>
              <w:top w:val="single" w:sz="4" w:space="0" w:color="D9D9D9" w:themeColor="background1" w:themeShade="D9"/>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Low</w:t>
            </w:r>
          </w:p>
        </w:tc>
      </w:tr>
      <w:tr w:rsidR="00023770" w:rsidRPr="00816657" w:rsidTr="00FB658B">
        <w:trPr>
          <w:gridAfter w:val="3"/>
          <w:wAfter w:w="339" w:type="pct"/>
          <w:trHeight w:val="255"/>
        </w:trPr>
        <w:tc>
          <w:tcPr>
            <w:tcW w:w="1813" w:type="pct"/>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E67EF7" w:rsidRPr="00816657" w:rsidRDefault="00E67EF7" w:rsidP="00BF7415">
            <w:pPr>
              <w:spacing w:line="240" w:lineRule="auto"/>
              <w:rPr>
                <w:rFonts w:cs="Times New Roman"/>
                <w:color w:val="000000"/>
                <w:szCs w:val="20"/>
                <w:lang w:eastAsia="en-AU"/>
              </w:rPr>
            </w:pPr>
            <w:r>
              <w:rPr>
                <w:color w:val="000000"/>
                <w:szCs w:val="20"/>
              </w:rPr>
              <w:t>Mercury fac.</w:t>
            </w:r>
          </w:p>
        </w:tc>
        <w:tc>
          <w:tcPr>
            <w:tcW w:w="333"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2 </w:t>
            </w:r>
          </w:p>
        </w:tc>
        <w:tc>
          <w:tcPr>
            <w:tcW w:w="821" w:type="pct"/>
            <w:tcBorders>
              <w:top w:val="single" w:sz="4" w:space="0" w:color="D9D9D9" w:themeColor="background1" w:themeShade="D9"/>
              <w:bottom w:val="single" w:sz="4" w:space="0" w:color="D9D9D9" w:themeColor="background1" w:themeShade="D9"/>
            </w:tcBorders>
            <w:shd w:val="clear" w:color="auto" w:fill="FF0000"/>
            <w:noWrap/>
            <w:vAlign w:val="bottom"/>
            <w:hideMark/>
          </w:tcPr>
          <w:p w:rsidR="00E67EF7" w:rsidRPr="00FB658B" w:rsidRDefault="00E67EF7" w:rsidP="00FB658B">
            <w:pPr>
              <w:jc w:val="right"/>
              <w:rPr>
                <w:color w:val="0C0C0C" w:themeColor="text1"/>
                <w:szCs w:val="20"/>
                <w:highlight w:val="red"/>
              </w:rPr>
            </w:pPr>
            <w:r w:rsidRPr="00FB658B">
              <w:rPr>
                <w:color w:val="0C0C0C" w:themeColor="text1"/>
                <w:szCs w:val="20"/>
                <w:highlight w:val="red"/>
              </w:rPr>
              <w:t xml:space="preserve">             </w:t>
            </w:r>
          </w:p>
        </w:tc>
        <w:tc>
          <w:tcPr>
            <w:tcW w:w="746" w:type="pct"/>
            <w:tcBorders>
              <w:top w:val="single" w:sz="4" w:space="0" w:color="D9D9D9" w:themeColor="background1" w:themeShade="D9"/>
              <w:bottom w:val="single" w:sz="4" w:space="0" w:color="D9D9D9" w:themeColor="background1" w:themeShade="D9"/>
            </w:tcBorders>
            <w:shd w:val="clear" w:color="auto" w:fill="FF0000"/>
            <w:noWrap/>
            <w:vAlign w:val="bottom"/>
            <w:hideMark/>
          </w:tcPr>
          <w:p w:rsidR="00E67EF7" w:rsidRPr="00FB658B" w:rsidRDefault="00E67EF7" w:rsidP="00DF4368">
            <w:pPr>
              <w:jc w:val="right"/>
              <w:rPr>
                <w:color w:val="0C0C0C" w:themeColor="text1"/>
                <w:szCs w:val="20"/>
                <w:highlight w:val="red"/>
              </w:rPr>
            </w:pPr>
            <w:r w:rsidRPr="00FB658B">
              <w:rPr>
                <w:color w:val="0C0C0C" w:themeColor="text1"/>
                <w:szCs w:val="20"/>
                <w:highlight w:val="red"/>
              </w:rPr>
              <w:t xml:space="preserve"> </w:t>
            </w:r>
          </w:p>
        </w:tc>
        <w:tc>
          <w:tcPr>
            <w:tcW w:w="949" w:type="pct"/>
            <w:tcBorders>
              <w:top w:val="single" w:sz="4" w:space="0" w:color="D9D9D9" w:themeColor="background1" w:themeShade="D9"/>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Low</w:t>
            </w:r>
          </w:p>
        </w:tc>
      </w:tr>
      <w:tr w:rsidR="00023770" w:rsidRPr="00816657" w:rsidTr="00FB658B">
        <w:trPr>
          <w:gridAfter w:val="3"/>
          <w:wAfter w:w="339" w:type="pct"/>
          <w:trHeight w:val="255"/>
        </w:trPr>
        <w:tc>
          <w:tcPr>
            <w:tcW w:w="1813" w:type="pct"/>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E67EF7" w:rsidRPr="00816657" w:rsidRDefault="00E67EF7" w:rsidP="00BF7415">
            <w:pPr>
              <w:spacing w:line="240" w:lineRule="auto"/>
              <w:rPr>
                <w:rFonts w:cs="Times New Roman"/>
                <w:color w:val="000000"/>
                <w:szCs w:val="20"/>
                <w:lang w:eastAsia="en-AU"/>
              </w:rPr>
            </w:pPr>
            <w:r>
              <w:rPr>
                <w:color w:val="000000"/>
                <w:szCs w:val="20"/>
              </w:rPr>
              <w:t>Solvents/paints fac.</w:t>
            </w:r>
          </w:p>
        </w:tc>
        <w:tc>
          <w:tcPr>
            <w:tcW w:w="333"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5 </w:t>
            </w:r>
          </w:p>
        </w:tc>
        <w:tc>
          <w:tcPr>
            <w:tcW w:w="821"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FB658B" w:rsidRDefault="00E67EF7" w:rsidP="00DF4368">
            <w:pPr>
              <w:jc w:val="right"/>
              <w:rPr>
                <w:color w:val="0C0C0C" w:themeColor="text1"/>
                <w:szCs w:val="20"/>
              </w:rPr>
            </w:pPr>
            <w:r w:rsidRPr="00FB658B">
              <w:rPr>
                <w:color w:val="0C0C0C" w:themeColor="text1"/>
                <w:szCs w:val="20"/>
              </w:rPr>
              <w:t xml:space="preserve">                 10 </w:t>
            </w:r>
          </w:p>
        </w:tc>
        <w:tc>
          <w:tcPr>
            <w:tcW w:w="746"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FB658B" w:rsidRDefault="00E67EF7" w:rsidP="00DF4368">
            <w:pPr>
              <w:jc w:val="right"/>
              <w:rPr>
                <w:color w:val="0C0C0C" w:themeColor="text1"/>
                <w:szCs w:val="20"/>
              </w:rPr>
            </w:pPr>
            <w:r w:rsidRPr="00FB658B">
              <w:rPr>
                <w:color w:val="0C0C0C" w:themeColor="text1"/>
                <w:szCs w:val="20"/>
              </w:rPr>
              <w:t xml:space="preserve">16 </w:t>
            </w:r>
          </w:p>
        </w:tc>
        <w:tc>
          <w:tcPr>
            <w:tcW w:w="949" w:type="pct"/>
            <w:tcBorders>
              <w:top w:val="single" w:sz="4" w:space="0" w:color="D9D9D9" w:themeColor="background1" w:themeShade="D9"/>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High</w:t>
            </w:r>
          </w:p>
        </w:tc>
      </w:tr>
      <w:tr w:rsidR="00023770" w:rsidRPr="00816657" w:rsidTr="00FB658B">
        <w:trPr>
          <w:gridAfter w:val="3"/>
          <w:wAfter w:w="339" w:type="pct"/>
          <w:trHeight w:val="255"/>
        </w:trPr>
        <w:tc>
          <w:tcPr>
            <w:tcW w:w="1813" w:type="pct"/>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E67EF7" w:rsidRPr="00816657" w:rsidRDefault="00E67EF7" w:rsidP="0028286E">
            <w:pPr>
              <w:spacing w:line="240" w:lineRule="auto"/>
              <w:rPr>
                <w:rFonts w:cs="Times New Roman"/>
                <w:color w:val="000000"/>
                <w:szCs w:val="20"/>
                <w:lang w:eastAsia="en-AU"/>
              </w:rPr>
            </w:pPr>
            <w:r>
              <w:rPr>
                <w:color w:val="000000"/>
                <w:szCs w:val="20"/>
              </w:rPr>
              <w:t>Solvents/paints fac. (ER)</w:t>
            </w:r>
          </w:p>
        </w:tc>
        <w:tc>
          <w:tcPr>
            <w:tcW w:w="333"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1 </w:t>
            </w:r>
          </w:p>
        </w:tc>
        <w:tc>
          <w:tcPr>
            <w:tcW w:w="821" w:type="pct"/>
            <w:tcBorders>
              <w:top w:val="single" w:sz="4" w:space="0" w:color="D9D9D9" w:themeColor="background1" w:themeShade="D9"/>
              <w:bottom w:val="single" w:sz="4" w:space="0" w:color="D9D9D9" w:themeColor="background1" w:themeShade="D9"/>
            </w:tcBorders>
            <w:shd w:val="clear" w:color="auto" w:fill="FF0000"/>
            <w:noWrap/>
            <w:vAlign w:val="bottom"/>
            <w:hideMark/>
          </w:tcPr>
          <w:p w:rsidR="00E67EF7" w:rsidRPr="00FB658B" w:rsidRDefault="00E67EF7" w:rsidP="00FB658B">
            <w:pPr>
              <w:jc w:val="right"/>
              <w:rPr>
                <w:color w:val="0C0C0C" w:themeColor="text1"/>
                <w:szCs w:val="20"/>
                <w:highlight w:val="red"/>
              </w:rPr>
            </w:pPr>
            <w:r w:rsidRPr="00FB658B">
              <w:rPr>
                <w:color w:val="0C0C0C" w:themeColor="text1"/>
                <w:szCs w:val="20"/>
                <w:highlight w:val="red"/>
              </w:rPr>
              <w:t xml:space="preserve">             </w:t>
            </w:r>
          </w:p>
        </w:tc>
        <w:tc>
          <w:tcPr>
            <w:tcW w:w="746" w:type="pct"/>
            <w:tcBorders>
              <w:top w:val="single" w:sz="4" w:space="0" w:color="D9D9D9" w:themeColor="background1" w:themeShade="D9"/>
              <w:bottom w:val="single" w:sz="4" w:space="0" w:color="D9D9D9" w:themeColor="background1" w:themeShade="D9"/>
            </w:tcBorders>
            <w:shd w:val="clear" w:color="auto" w:fill="FF0000"/>
            <w:noWrap/>
            <w:vAlign w:val="bottom"/>
            <w:hideMark/>
          </w:tcPr>
          <w:p w:rsidR="00E67EF7" w:rsidRPr="00FB658B" w:rsidRDefault="00E67EF7" w:rsidP="00DF4368">
            <w:pPr>
              <w:jc w:val="right"/>
              <w:rPr>
                <w:color w:val="0C0C0C" w:themeColor="text1"/>
                <w:szCs w:val="20"/>
                <w:highlight w:val="red"/>
              </w:rPr>
            </w:pPr>
          </w:p>
        </w:tc>
        <w:tc>
          <w:tcPr>
            <w:tcW w:w="949" w:type="pct"/>
            <w:tcBorders>
              <w:top w:val="single" w:sz="4" w:space="0" w:color="D9D9D9" w:themeColor="background1" w:themeShade="D9"/>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Low</w:t>
            </w:r>
          </w:p>
        </w:tc>
      </w:tr>
      <w:tr w:rsidR="00023770" w:rsidRPr="00816657" w:rsidTr="00FB658B">
        <w:trPr>
          <w:gridAfter w:val="3"/>
          <w:wAfter w:w="339" w:type="pct"/>
          <w:trHeight w:val="255"/>
        </w:trPr>
        <w:tc>
          <w:tcPr>
            <w:tcW w:w="1813" w:type="pct"/>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E67EF7" w:rsidRPr="00816657" w:rsidRDefault="00E67EF7" w:rsidP="00BF7415">
            <w:pPr>
              <w:spacing w:line="240" w:lineRule="auto"/>
              <w:rPr>
                <w:rFonts w:cs="Times New Roman"/>
                <w:color w:val="000000"/>
                <w:szCs w:val="20"/>
                <w:lang w:eastAsia="en-AU"/>
              </w:rPr>
            </w:pPr>
            <w:r>
              <w:rPr>
                <w:color w:val="000000"/>
                <w:szCs w:val="20"/>
              </w:rPr>
              <w:t xml:space="preserve">Spent </w:t>
            </w:r>
            <w:r w:rsidR="00061B2C">
              <w:rPr>
                <w:color w:val="000000"/>
                <w:szCs w:val="20"/>
              </w:rPr>
              <w:t>pot</w:t>
            </w:r>
            <w:r>
              <w:rPr>
                <w:color w:val="000000"/>
                <w:szCs w:val="20"/>
              </w:rPr>
              <w:t>lining fac.</w:t>
            </w:r>
          </w:p>
        </w:tc>
        <w:tc>
          <w:tcPr>
            <w:tcW w:w="333"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rPr>
                <w:color w:val="000000"/>
                <w:szCs w:val="20"/>
              </w:rPr>
            </w:pPr>
            <w:r>
              <w:rPr>
                <w:color w:val="000000"/>
                <w:szCs w:val="20"/>
              </w:rPr>
              <w:t xml:space="preserve">5 </w:t>
            </w:r>
          </w:p>
        </w:tc>
        <w:tc>
          <w:tcPr>
            <w:tcW w:w="821" w:type="pct"/>
            <w:tcBorders>
              <w:top w:val="single" w:sz="4" w:space="0" w:color="D9D9D9" w:themeColor="background1" w:themeShade="D9"/>
              <w:bottom w:val="single" w:sz="4" w:space="0" w:color="D9D9D9" w:themeColor="background1" w:themeShade="D9"/>
            </w:tcBorders>
            <w:shd w:val="clear" w:color="auto" w:fill="FF0000"/>
            <w:noWrap/>
            <w:vAlign w:val="bottom"/>
            <w:hideMark/>
          </w:tcPr>
          <w:p w:rsidR="00E67EF7" w:rsidRPr="00FB658B" w:rsidRDefault="00E67EF7" w:rsidP="00FB658B">
            <w:pPr>
              <w:jc w:val="right"/>
              <w:rPr>
                <w:color w:val="0C0C0C" w:themeColor="text1"/>
                <w:szCs w:val="20"/>
                <w:highlight w:val="red"/>
              </w:rPr>
            </w:pPr>
            <w:r w:rsidRPr="00FB658B">
              <w:rPr>
                <w:color w:val="0C0C0C" w:themeColor="text1"/>
                <w:szCs w:val="20"/>
                <w:highlight w:val="red"/>
              </w:rPr>
              <w:t xml:space="preserve">            </w:t>
            </w:r>
          </w:p>
        </w:tc>
        <w:tc>
          <w:tcPr>
            <w:tcW w:w="746" w:type="pct"/>
            <w:tcBorders>
              <w:top w:val="single" w:sz="4" w:space="0" w:color="D9D9D9" w:themeColor="background1" w:themeShade="D9"/>
              <w:bottom w:val="single" w:sz="4" w:space="0" w:color="D9D9D9" w:themeColor="background1" w:themeShade="D9"/>
            </w:tcBorders>
            <w:shd w:val="clear" w:color="auto" w:fill="FF0000"/>
            <w:noWrap/>
            <w:vAlign w:val="bottom"/>
            <w:hideMark/>
          </w:tcPr>
          <w:p w:rsidR="00E67EF7" w:rsidRPr="00FB658B" w:rsidRDefault="00E67EF7" w:rsidP="00DF4368">
            <w:pPr>
              <w:jc w:val="right"/>
              <w:rPr>
                <w:color w:val="0C0C0C" w:themeColor="text1"/>
                <w:szCs w:val="20"/>
                <w:highlight w:val="red"/>
              </w:rPr>
            </w:pPr>
            <w:r w:rsidRPr="00FB658B">
              <w:rPr>
                <w:color w:val="0C0C0C" w:themeColor="text1"/>
                <w:szCs w:val="20"/>
                <w:highlight w:val="red"/>
              </w:rPr>
              <w:t xml:space="preserve"> </w:t>
            </w:r>
          </w:p>
        </w:tc>
        <w:tc>
          <w:tcPr>
            <w:tcW w:w="949" w:type="pct"/>
            <w:tcBorders>
              <w:top w:val="single" w:sz="4" w:space="0" w:color="D9D9D9" w:themeColor="background1" w:themeShade="D9"/>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Low</w:t>
            </w:r>
          </w:p>
        </w:tc>
      </w:tr>
      <w:tr w:rsidR="00023770" w:rsidRPr="00816657" w:rsidTr="00FB658B">
        <w:trPr>
          <w:gridAfter w:val="3"/>
          <w:wAfter w:w="339" w:type="pct"/>
          <w:trHeight w:val="255"/>
        </w:trPr>
        <w:tc>
          <w:tcPr>
            <w:tcW w:w="1813" w:type="pct"/>
            <w:tcBorders>
              <w:top w:val="single" w:sz="4" w:space="0" w:color="D9D9D9" w:themeColor="background1" w:themeShade="D9"/>
              <w:left w:val="nil"/>
              <w:bottom w:val="nil"/>
            </w:tcBorders>
            <w:shd w:val="clear" w:color="auto" w:fill="D9D9D9" w:themeFill="background1" w:themeFillShade="D9"/>
            <w:noWrap/>
            <w:vAlign w:val="bottom"/>
            <w:hideMark/>
          </w:tcPr>
          <w:p w:rsidR="00E67EF7" w:rsidRPr="00816657" w:rsidRDefault="00E67EF7" w:rsidP="00DF4368">
            <w:pPr>
              <w:spacing w:line="240" w:lineRule="auto"/>
              <w:rPr>
                <w:rFonts w:cs="Times New Roman"/>
                <w:color w:val="000000"/>
                <w:szCs w:val="20"/>
                <w:lang w:eastAsia="en-AU"/>
              </w:rPr>
            </w:pPr>
            <w:r>
              <w:rPr>
                <w:color w:val="000000"/>
                <w:szCs w:val="20"/>
              </w:rPr>
              <w:t xml:space="preserve">Organics fac. </w:t>
            </w:r>
          </w:p>
        </w:tc>
        <w:tc>
          <w:tcPr>
            <w:tcW w:w="333" w:type="pct"/>
            <w:tcBorders>
              <w:top w:val="single" w:sz="4" w:space="0" w:color="D9D9D9" w:themeColor="background1" w:themeShade="D9"/>
              <w:bottom w:val="nil"/>
            </w:tcBorders>
            <w:shd w:val="clear" w:color="auto" w:fill="D9D9D9" w:themeFill="background1" w:themeFillShade="D9"/>
            <w:noWrap/>
            <w:vAlign w:val="bottom"/>
            <w:hideMark/>
          </w:tcPr>
          <w:p w:rsidR="00E67EF7" w:rsidRPr="00816657" w:rsidRDefault="00E67EF7" w:rsidP="00DF4368">
            <w:pPr>
              <w:jc w:val="right"/>
              <w:rPr>
                <w:color w:val="000000"/>
                <w:szCs w:val="20"/>
              </w:rPr>
            </w:pPr>
            <w:r>
              <w:rPr>
                <w:color w:val="000000"/>
                <w:szCs w:val="20"/>
              </w:rPr>
              <w:t xml:space="preserve">12 </w:t>
            </w:r>
          </w:p>
        </w:tc>
        <w:tc>
          <w:tcPr>
            <w:tcW w:w="821" w:type="pct"/>
            <w:tcBorders>
              <w:top w:val="single" w:sz="4" w:space="0" w:color="D9D9D9" w:themeColor="background1" w:themeShade="D9"/>
              <w:bottom w:val="nil"/>
            </w:tcBorders>
            <w:shd w:val="clear" w:color="auto" w:fill="D9D9D9" w:themeFill="background1" w:themeFillShade="D9"/>
            <w:noWrap/>
            <w:vAlign w:val="bottom"/>
            <w:hideMark/>
          </w:tcPr>
          <w:p w:rsidR="00E67EF7" w:rsidRPr="00FB658B" w:rsidRDefault="00E67EF7" w:rsidP="00DF4368">
            <w:pPr>
              <w:jc w:val="right"/>
              <w:rPr>
                <w:color w:val="0C0C0C" w:themeColor="text1"/>
                <w:szCs w:val="20"/>
              </w:rPr>
            </w:pPr>
            <w:r w:rsidRPr="00FB658B">
              <w:rPr>
                <w:color w:val="0C0C0C" w:themeColor="text1"/>
                <w:szCs w:val="20"/>
              </w:rPr>
              <w:t xml:space="preserve">               205 </w:t>
            </w:r>
          </w:p>
        </w:tc>
        <w:tc>
          <w:tcPr>
            <w:tcW w:w="746" w:type="pct"/>
            <w:tcBorders>
              <w:top w:val="single" w:sz="4" w:space="0" w:color="D9D9D9" w:themeColor="background1" w:themeShade="D9"/>
              <w:bottom w:val="nil"/>
            </w:tcBorders>
            <w:shd w:val="clear" w:color="auto" w:fill="D9D9D9" w:themeFill="background1" w:themeFillShade="D9"/>
            <w:noWrap/>
            <w:vAlign w:val="bottom"/>
            <w:hideMark/>
          </w:tcPr>
          <w:p w:rsidR="00E67EF7" w:rsidRPr="00FB658B" w:rsidRDefault="00E67EF7" w:rsidP="00DF4368">
            <w:pPr>
              <w:jc w:val="right"/>
              <w:rPr>
                <w:color w:val="0C0C0C" w:themeColor="text1"/>
                <w:szCs w:val="20"/>
              </w:rPr>
            </w:pPr>
            <w:r w:rsidRPr="00FB658B">
              <w:rPr>
                <w:color w:val="0C0C0C" w:themeColor="text1"/>
                <w:szCs w:val="20"/>
              </w:rPr>
              <w:t xml:space="preserve">273 </w:t>
            </w:r>
          </w:p>
        </w:tc>
        <w:tc>
          <w:tcPr>
            <w:tcW w:w="949" w:type="pct"/>
            <w:tcBorders>
              <w:top w:val="single" w:sz="4" w:space="0" w:color="D9D9D9" w:themeColor="background1" w:themeShade="D9"/>
              <w:bottom w:val="nil"/>
            </w:tcBorders>
            <w:shd w:val="clear" w:color="auto" w:fill="D9D9D9" w:themeFill="background1" w:themeFillShade="D9"/>
            <w:vAlign w:val="center"/>
          </w:tcPr>
          <w:p w:rsidR="00E67EF7" w:rsidRPr="00023770" w:rsidRDefault="00E67EF7" w:rsidP="00DF4368">
            <w:pPr>
              <w:jc w:val="right"/>
              <w:rPr>
                <w:color w:val="000000"/>
                <w:szCs w:val="20"/>
              </w:rPr>
            </w:pPr>
            <w:r w:rsidRPr="007F5BD4">
              <w:rPr>
                <w:rFonts w:cs="Times New Roman"/>
                <w:color w:val="000000"/>
                <w:szCs w:val="20"/>
                <w:lang w:eastAsia="en-AU"/>
              </w:rPr>
              <w:t>Very high</w:t>
            </w:r>
          </w:p>
        </w:tc>
      </w:tr>
      <w:tr w:rsidR="00023770" w:rsidRPr="00816657" w:rsidTr="00FB658B">
        <w:trPr>
          <w:gridAfter w:val="3"/>
          <w:wAfter w:w="339" w:type="pct"/>
          <w:trHeight w:val="255"/>
        </w:trPr>
        <w:tc>
          <w:tcPr>
            <w:tcW w:w="1813" w:type="pct"/>
            <w:tcBorders>
              <w:top w:val="nil"/>
              <w:left w:val="nil"/>
              <w:right w:val="nil"/>
            </w:tcBorders>
            <w:shd w:val="clear" w:color="000000" w:fill="C5D9F1"/>
            <w:noWrap/>
            <w:vAlign w:val="bottom"/>
            <w:hideMark/>
          </w:tcPr>
          <w:p w:rsidR="00E67EF7" w:rsidRPr="00816657" w:rsidRDefault="00E67EF7" w:rsidP="00DF4368">
            <w:pPr>
              <w:spacing w:line="240" w:lineRule="auto"/>
              <w:rPr>
                <w:rFonts w:cs="Times New Roman"/>
                <w:b/>
                <w:bCs/>
                <w:color w:val="000000"/>
                <w:szCs w:val="20"/>
                <w:lang w:eastAsia="en-AU"/>
              </w:rPr>
            </w:pPr>
            <w:r>
              <w:rPr>
                <w:b/>
                <w:bCs/>
                <w:color w:val="000000"/>
                <w:szCs w:val="20"/>
              </w:rPr>
              <w:t xml:space="preserve">Treatment </w:t>
            </w:r>
          </w:p>
        </w:tc>
        <w:tc>
          <w:tcPr>
            <w:tcW w:w="333" w:type="pct"/>
            <w:tcBorders>
              <w:top w:val="nil"/>
              <w:left w:val="nil"/>
              <w:right w:val="nil"/>
            </w:tcBorders>
            <w:shd w:val="clear" w:color="000000" w:fill="C5D9F1"/>
            <w:noWrap/>
            <w:vAlign w:val="bottom"/>
            <w:hideMark/>
          </w:tcPr>
          <w:p w:rsidR="00E67EF7" w:rsidRPr="00816657" w:rsidRDefault="00E67EF7" w:rsidP="00DF4368">
            <w:pPr>
              <w:jc w:val="right"/>
            </w:pPr>
            <w:r>
              <w:rPr>
                <w:color w:val="000000"/>
                <w:szCs w:val="20"/>
              </w:rPr>
              <w:t> </w:t>
            </w:r>
          </w:p>
        </w:tc>
        <w:tc>
          <w:tcPr>
            <w:tcW w:w="821" w:type="pct"/>
            <w:tcBorders>
              <w:top w:val="nil"/>
              <w:left w:val="nil"/>
              <w:right w:val="nil"/>
            </w:tcBorders>
            <w:shd w:val="clear" w:color="000000" w:fill="C5D9F1"/>
            <w:noWrap/>
            <w:vAlign w:val="bottom"/>
            <w:hideMark/>
          </w:tcPr>
          <w:p w:rsidR="00E67EF7" w:rsidRPr="00FB658B" w:rsidRDefault="00E67EF7" w:rsidP="00DF4368">
            <w:pPr>
              <w:jc w:val="right"/>
              <w:rPr>
                <w:color w:val="0C0C0C" w:themeColor="text1"/>
              </w:rPr>
            </w:pPr>
            <w:r w:rsidRPr="00FB658B">
              <w:rPr>
                <w:color w:val="0C0C0C" w:themeColor="text1"/>
                <w:szCs w:val="20"/>
              </w:rPr>
              <w:t> </w:t>
            </w:r>
          </w:p>
        </w:tc>
        <w:tc>
          <w:tcPr>
            <w:tcW w:w="746" w:type="pct"/>
            <w:tcBorders>
              <w:top w:val="nil"/>
              <w:left w:val="nil"/>
            </w:tcBorders>
            <w:shd w:val="clear" w:color="000000" w:fill="C5D9F1"/>
            <w:noWrap/>
            <w:vAlign w:val="bottom"/>
            <w:hideMark/>
          </w:tcPr>
          <w:p w:rsidR="00E67EF7" w:rsidRPr="00FB658B" w:rsidRDefault="00E67EF7" w:rsidP="00DF4368">
            <w:pPr>
              <w:jc w:val="right"/>
              <w:rPr>
                <w:color w:val="0C0C0C" w:themeColor="text1"/>
              </w:rPr>
            </w:pPr>
            <w:r w:rsidRPr="00FB658B">
              <w:rPr>
                <w:color w:val="0C0C0C" w:themeColor="text1"/>
                <w:szCs w:val="20"/>
              </w:rPr>
              <w:t> </w:t>
            </w:r>
          </w:p>
        </w:tc>
        <w:tc>
          <w:tcPr>
            <w:tcW w:w="949" w:type="pct"/>
            <w:tcBorders>
              <w:top w:val="nil"/>
            </w:tcBorders>
            <w:shd w:val="clear" w:color="000000" w:fill="C5D9F1"/>
            <w:vAlign w:val="center"/>
          </w:tcPr>
          <w:p w:rsidR="00E67EF7" w:rsidRPr="00023770" w:rsidRDefault="00E67EF7" w:rsidP="00DF4368">
            <w:pPr>
              <w:jc w:val="right"/>
              <w:rPr>
                <w:color w:val="000000"/>
                <w:szCs w:val="20"/>
              </w:rPr>
            </w:pPr>
            <w:r w:rsidRPr="007F5BD4">
              <w:rPr>
                <w:rFonts w:cs="Times New Roman"/>
                <w:bCs/>
                <w:color w:val="000000"/>
                <w:szCs w:val="20"/>
                <w:lang w:eastAsia="en-AU"/>
              </w:rPr>
              <w:t> </w:t>
            </w:r>
          </w:p>
        </w:tc>
      </w:tr>
      <w:tr w:rsidR="00023770" w:rsidRPr="00816657" w:rsidTr="00FB658B">
        <w:trPr>
          <w:gridAfter w:val="3"/>
          <w:wAfter w:w="339" w:type="pct"/>
          <w:trHeight w:val="255"/>
        </w:trPr>
        <w:tc>
          <w:tcPr>
            <w:tcW w:w="1813" w:type="pct"/>
            <w:tcBorders>
              <w:top w:val="nil"/>
              <w:left w:val="nil"/>
              <w:bottom w:val="single" w:sz="4" w:space="0" w:color="D9D9D9" w:themeColor="background1" w:themeShade="D9"/>
            </w:tcBorders>
            <w:shd w:val="clear" w:color="auto" w:fill="auto"/>
            <w:noWrap/>
            <w:vAlign w:val="bottom"/>
            <w:hideMark/>
          </w:tcPr>
          <w:p w:rsidR="00E67EF7" w:rsidRPr="00816657" w:rsidRDefault="00E67EF7" w:rsidP="0028286E">
            <w:pPr>
              <w:spacing w:line="240" w:lineRule="auto"/>
              <w:rPr>
                <w:rFonts w:cs="Times New Roman"/>
                <w:color w:val="000000"/>
                <w:szCs w:val="20"/>
                <w:lang w:eastAsia="en-AU"/>
              </w:rPr>
            </w:pPr>
            <w:r>
              <w:rPr>
                <w:color w:val="000000"/>
                <w:szCs w:val="20"/>
              </w:rPr>
              <w:t>CPT plant</w:t>
            </w:r>
          </w:p>
        </w:tc>
        <w:tc>
          <w:tcPr>
            <w:tcW w:w="333" w:type="pct"/>
            <w:tcBorders>
              <w:top w:val="nil"/>
              <w:bottom w:val="single" w:sz="4" w:space="0" w:color="D9D9D9" w:themeColor="background1" w:themeShade="D9"/>
            </w:tcBorders>
            <w:shd w:val="clear" w:color="auto" w:fill="auto"/>
            <w:noWrap/>
            <w:vAlign w:val="bottom"/>
            <w:hideMark/>
          </w:tcPr>
          <w:p w:rsidR="00E67EF7" w:rsidRPr="00816657" w:rsidRDefault="00E67EF7" w:rsidP="00DF4368">
            <w:pPr>
              <w:jc w:val="right"/>
            </w:pPr>
            <w:r>
              <w:rPr>
                <w:color w:val="000000"/>
                <w:szCs w:val="20"/>
              </w:rPr>
              <w:t xml:space="preserve">49 </w:t>
            </w:r>
          </w:p>
        </w:tc>
        <w:tc>
          <w:tcPr>
            <w:tcW w:w="821" w:type="pct"/>
            <w:tcBorders>
              <w:top w:val="nil"/>
              <w:bottom w:val="single" w:sz="4" w:space="0" w:color="D9D9D9" w:themeColor="background1" w:themeShade="D9"/>
            </w:tcBorders>
            <w:shd w:val="clear" w:color="auto" w:fill="auto"/>
            <w:noWrap/>
            <w:vAlign w:val="bottom"/>
            <w:hideMark/>
          </w:tcPr>
          <w:p w:rsidR="00E67EF7" w:rsidRPr="00FB658B" w:rsidRDefault="00E67EF7" w:rsidP="00DF4368">
            <w:pPr>
              <w:jc w:val="right"/>
              <w:rPr>
                <w:color w:val="0C0C0C" w:themeColor="text1"/>
              </w:rPr>
            </w:pPr>
            <w:r w:rsidRPr="00FB658B">
              <w:rPr>
                <w:color w:val="0C0C0C" w:themeColor="text1"/>
                <w:szCs w:val="20"/>
              </w:rPr>
              <w:t xml:space="preserve">            1,159 </w:t>
            </w:r>
          </w:p>
        </w:tc>
        <w:tc>
          <w:tcPr>
            <w:tcW w:w="746" w:type="pct"/>
            <w:tcBorders>
              <w:top w:val="nil"/>
              <w:bottom w:val="single" w:sz="4" w:space="0" w:color="D9D9D9" w:themeColor="background1" w:themeShade="D9"/>
            </w:tcBorders>
            <w:shd w:val="clear" w:color="auto" w:fill="auto"/>
            <w:noWrap/>
            <w:vAlign w:val="bottom"/>
            <w:hideMark/>
          </w:tcPr>
          <w:p w:rsidR="00E67EF7" w:rsidRPr="00FB658B" w:rsidRDefault="00E67EF7" w:rsidP="00DF4368">
            <w:pPr>
              <w:jc w:val="right"/>
              <w:rPr>
                <w:color w:val="0C0C0C" w:themeColor="text1"/>
              </w:rPr>
            </w:pPr>
            <w:r w:rsidRPr="00FB658B">
              <w:rPr>
                <w:color w:val="0C0C0C" w:themeColor="text1"/>
                <w:szCs w:val="20"/>
              </w:rPr>
              <w:t xml:space="preserve">1,559 </w:t>
            </w:r>
          </w:p>
        </w:tc>
        <w:tc>
          <w:tcPr>
            <w:tcW w:w="949" w:type="pct"/>
            <w:tcBorders>
              <w:top w:val="nil"/>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Moderate</w:t>
            </w:r>
          </w:p>
        </w:tc>
      </w:tr>
      <w:tr w:rsidR="00023770" w:rsidRPr="00816657" w:rsidTr="00FB658B">
        <w:trPr>
          <w:gridAfter w:val="3"/>
          <w:wAfter w:w="339" w:type="pct"/>
          <w:trHeight w:val="255"/>
        </w:trPr>
        <w:tc>
          <w:tcPr>
            <w:tcW w:w="1813" w:type="pct"/>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E67EF7" w:rsidRPr="00816657" w:rsidRDefault="00E67EF7" w:rsidP="005E385D">
            <w:pPr>
              <w:spacing w:line="240" w:lineRule="auto"/>
              <w:rPr>
                <w:rFonts w:cs="Times New Roman"/>
                <w:color w:val="000000"/>
                <w:szCs w:val="20"/>
                <w:lang w:eastAsia="en-AU"/>
              </w:rPr>
            </w:pPr>
            <w:r>
              <w:rPr>
                <w:color w:val="000000"/>
                <w:szCs w:val="20"/>
              </w:rPr>
              <w:t>Clinical waste fac. (T)</w:t>
            </w:r>
          </w:p>
        </w:tc>
        <w:tc>
          <w:tcPr>
            <w:tcW w:w="333"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816657" w:rsidRDefault="00E67EF7" w:rsidP="00DF4368">
            <w:pPr>
              <w:jc w:val="right"/>
            </w:pPr>
            <w:r>
              <w:rPr>
                <w:color w:val="000000"/>
                <w:szCs w:val="20"/>
              </w:rPr>
              <w:t xml:space="preserve">10 </w:t>
            </w:r>
          </w:p>
        </w:tc>
        <w:tc>
          <w:tcPr>
            <w:tcW w:w="821"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FB658B" w:rsidRDefault="00E67EF7" w:rsidP="00DF4368">
            <w:pPr>
              <w:jc w:val="right"/>
              <w:rPr>
                <w:color w:val="0C0C0C" w:themeColor="text1"/>
              </w:rPr>
            </w:pPr>
            <w:r w:rsidRPr="00FB658B">
              <w:rPr>
                <w:color w:val="0C0C0C" w:themeColor="text1"/>
                <w:szCs w:val="20"/>
              </w:rPr>
              <w:t xml:space="preserve">                 26 </w:t>
            </w:r>
          </w:p>
        </w:tc>
        <w:tc>
          <w:tcPr>
            <w:tcW w:w="746" w:type="pct"/>
            <w:tcBorders>
              <w:top w:val="single" w:sz="4" w:space="0" w:color="D9D9D9" w:themeColor="background1" w:themeShade="D9"/>
              <w:bottom w:val="single" w:sz="4" w:space="0" w:color="D9D9D9" w:themeColor="background1" w:themeShade="D9"/>
            </w:tcBorders>
            <w:shd w:val="clear" w:color="auto" w:fill="auto"/>
            <w:noWrap/>
            <w:vAlign w:val="bottom"/>
            <w:hideMark/>
          </w:tcPr>
          <w:p w:rsidR="00E67EF7" w:rsidRPr="00FB658B" w:rsidRDefault="00E67EF7" w:rsidP="00DF4368">
            <w:pPr>
              <w:jc w:val="right"/>
              <w:rPr>
                <w:color w:val="0C0C0C" w:themeColor="text1"/>
              </w:rPr>
            </w:pPr>
            <w:r w:rsidRPr="00FB658B">
              <w:rPr>
                <w:color w:val="0C0C0C" w:themeColor="text1"/>
                <w:szCs w:val="20"/>
              </w:rPr>
              <w:t xml:space="preserve">26 </w:t>
            </w:r>
          </w:p>
        </w:tc>
        <w:tc>
          <w:tcPr>
            <w:tcW w:w="949" w:type="pct"/>
            <w:tcBorders>
              <w:top w:val="single" w:sz="4" w:space="0" w:color="D9D9D9" w:themeColor="background1" w:themeShade="D9"/>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High</w:t>
            </w:r>
          </w:p>
        </w:tc>
      </w:tr>
      <w:tr w:rsidR="00023770" w:rsidRPr="00816657" w:rsidTr="00FB658B">
        <w:trPr>
          <w:gridAfter w:val="3"/>
          <w:wAfter w:w="339" w:type="pct"/>
          <w:trHeight w:val="255"/>
        </w:trPr>
        <w:tc>
          <w:tcPr>
            <w:tcW w:w="1813" w:type="pct"/>
            <w:tcBorders>
              <w:top w:val="single" w:sz="4" w:space="0" w:color="D9D9D9" w:themeColor="background1" w:themeShade="D9"/>
              <w:left w:val="nil"/>
              <w:bottom w:val="nil"/>
            </w:tcBorders>
            <w:shd w:val="clear" w:color="auto" w:fill="auto"/>
            <w:noWrap/>
            <w:vAlign w:val="bottom"/>
            <w:hideMark/>
          </w:tcPr>
          <w:p w:rsidR="00E67EF7" w:rsidRPr="00816657" w:rsidRDefault="00E67EF7" w:rsidP="00DF4368">
            <w:pPr>
              <w:spacing w:line="240" w:lineRule="auto"/>
              <w:rPr>
                <w:rFonts w:cs="Times New Roman"/>
                <w:color w:val="000000"/>
                <w:szCs w:val="20"/>
                <w:lang w:eastAsia="en-AU"/>
              </w:rPr>
            </w:pPr>
            <w:r>
              <w:rPr>
                <w:color w:val="000000"/>
                <w:szCs w:val="20"/>
              </w:rPr>
              <w:t>Soils treatment fac.</w:t>
            </w:r>
          </w:p>
        </w:tc>
        <w:tc>
          <w:tcPr>
            <w:tcW w:w="333" w:type="pct"/>
            <w:tcBorders>
              <w:top w:val="single" w:sz="4" w:space="0" w:color="D9D9D9" w:themeColor="background1" w:themeShade="D9"/>
              <w:bottom w:val="nil"/>
            </w:tcBorders>
            <w:shd w:val="clear" w:color="auto" w:fill="auto"/>
            <w:noWrap/>
            <w:vAlign w:val="bottom"/>
            <w:hideMark/>
          </w:tcPr>
          <w:p w:rsidR="00E67EF7" w:rsidRPr="00816657" w:rsidRDefault="00E67EF7" w:rsidP="00DF4368">
            <w:pPr>
              <w:jc w:val="right"/>
            </w:pPr>
            <w:r>
              <w:rPr>
                <w:color w:val="000000"/>
                <w:szCs w:val="20"/>
              </w:rPr>
              <w:t xml:space="preserve">4 </w:t>
            </w:r>
          </w:p>
        </w:tc>
        <w:tc>
          <w:tcPr>
            <w:tcW w:w="821" w:type="pct"/>
            <w:tcBorders>
              <w:top w:val="single" w:sz="4" w:space="0" w:color="D9D9D9" w:themeColor="background1" w:themeShade="D9"/>
              <w:bottom w:val="nil"/>
            </w:tcBorders>
            <w:shd w:val="clear" w:color="auto" w:fill="auto"/>
            <w:noWrap/>
            <w:vAlign w:val="bottom"/>
            <w:hideMark/>
          </w:tcPr>
          <w:p w:rsidR="00E67EF7" w:rsidRPr="00FB658B" w:rsidRDefault="00E67EF7" w:rsidP="00DF4368">
            <w:pPr>
              <w:jc w:val="right"/>
              <w:rPr>
                <w:color w:val="0C0C0C" w:themeColor="text1"/>
              </w:rPr>
            </w:pPr>
            <w:r w:rsidRPr="00FB658B">
              <w:rPr>
                <w:color w:val="0C0C0C" w:themeColor="text1"/>
                <w:szCs w:val="20"/>
              </w:rPr>
              <w:t xml:space="preserve">                 74 </w:t>
            </w:r>
          </w:p>
        </w:tc>
        <w:tc>
          <w:tcPr>
            <w:tcW w:w="746" w:type="pct"/>
            <w:tcBorders>
              <w:top w:val="single" w:sz="4" w:space="0" w:color="D9D9D9" w:themeColor="background1" w:themeShade="D9"/>
              <w:bottom w:val="nil"/>
            </w:tcBorders>
            <w:shd w:val="clear" w:color="auto" w:fill="auto"/>
            <w:noWrap/>
            <w:vAlign w:val="bottom"/>
            <w:hideMark/>
          </w:tcPr>
          <w:p w:rsidR="00E67EF7" w:rsidRPr="00FB658B" w:rsidRDefault="00E67EF7" w:rsidP="00DF4368">
            <w:pPr>
              <w:jc w:val="right"/>
              <w:rPr>
                <w:color w:val="0C0C0C" w:themeColor="text1"/>
              </w:rPr>
            </w:pPr>
            <w:r w:rsidRPr="00FB658B">
              <w:rPr>
                <w:color w:val="0C0C0C" w:themeColor="text1"/>
                <w:szCs w:val="20"/>
              </w:rPr>
              <w:t xml:space="preserve">185 </w:t>
            </w:r>
          </w:p>
        </w:tc>
        <w:tc>
          <w:tcPr>
            <w:tcW w:w="949" w:type="pct"/>
            <w:tcBorders>
              <w:top w:val="single" w:sz="4" w:space="0" w:color="D9D9D9" w:themeColor="background1" w:themeShade="D9"/>
              <w:bottom w:val="nil"/>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Moderate</w:t>
            </w:r>
          </w:p>
        </w:tc>
      </w:tr>
      <w:tr w:rsidR="00023770" w:rsidRPr="00816657" w:rsidTr="00FB658B">
        <w:trPr>
          <w:trHeight w:val="255"/>
        </w:trPr>
        <w:tc>
          <w:tcPr>
            <w:tcW w:w="3713" w:type="pct"/>
            <w:gridSpan w:val="4"/>
            <w:tcBorders>
              <w:top w:val="nil"/>
              <w:left w:val="nil"/>
            </w:tcBorders>
            <w:shd w:val="clear" w:color="000000" w:fill="C5D9F1"/>
            <w:noWrap/>
            <w:vAlign w:val="bottom"/>
            <w:hideMark/>
          </w:tcPr>
          <w:p w:rsidR="00E67EF7" w:rsidRPr="00FB658B" w:rsidRDefault="00E67EF7" w:rsidP="0047222F">
            <w:pPr>
              <w:spacing w:line="240" w:lineRule="auto"/>
              <w:rPr>
                <w:rFonts w:cs="Times New Roman"/>
                <w:color w:val="0C0C0C" w:themeColor="text1"/>
                <w:szCs w:val="20"/>
                <w:lang w:eastAsia="en-AU"/>
              </w:rPr>
            </w:pPr>
            <w:r w:rsidRPr="00FB658B">
              <w:rPr>
                <w:b/>
                <w:bCs/>
                <w:color w:val="0C0C0C" w:themeColor="text1"/>
                <w:szCs w:val="20"/>
              </w:rPr>
              <w:t>Disposal: landfill, thermal destruction (TD)</w:t>
            </w:r>
          </w:p>
        </w:tc>
        <w:tc>
          <w:tcPr>
            <w:tcW w:w="949" w:type="pct"/>
            <w:tcBorders>
              <w:top w:val="nil"/>
            </w:tcBorders>
            <w:shd w:val="clear" w:color="000000" w:fill="C5D9F1"/>
          </w:tcPr>
          <w:p w:rsidR="00E67EF7" w:rsidRPr="007F5BD4" w:rsidRDefault="00E67EF7" w:rsidP="0047222F">
            <w:pPr>
              <w:spacing w:line="240" w:lineRule="auto"/>
              <w:rPr>
                <w:bCs/>
                <w:color w:val="000000"/>
                <w:szCs w:val="20"/>
              </w:rPr>
            </w:pPr>
          </w:p>
        </w:tc>
        <w:tc>
          <w:tcPr>
            <w:tcW w:w="113" w:type="pct"/>
            <w:tcBorders>
              <w:left w:val="nil"/>
            </w:tcBorders>
          </w:tcPr>
          <w:p w:rsidR="00E67EF7" w:rsidRPr="00816657" w:rsidRDefault="00E67EF7">
            <w:pPr>
              <w:spacing w:line="240" w:lineRule="auto"/>
            </w:pPr>
          </w:p>
        </w:tc>
        <w:tc>
          <w:tcPr>
            <w:tcW w:w="113" w:type="pct"/>
          </w:tcPr>
          <w:p w:rsidR="00E67EF7" w:rsidRPr="00816657" w:rsidRDefault="00E67EF7">
            <w:pPr>
              <w:spacing w:line="240" w:lineRule="auto"/>
            </w:pPr>
          </w:p>
        </w:tc>
        <w:tc>
          <w:tcPr>
            <w:tcW w:w="113" w:type="pct"/>
            <w:vAlign w:val="center"/>
          </w:tcPr>
          <w:p w:rsidR="00E67EF7" w:rsidRPr="00816657" w:rsidRDefault="00E67EF7">
            <w:pPr>
              <w:spacing w:line="240" w:lineRule="auto"/>
            </w:pPr>
            <w:r w:rsidRPr="007657B6">
              <w:rPr>
                <w:rFonts w:cs="Times New Roman"/>
                <w:b/>
                <w:bCs/>
                <w:color w:val="000000"/>
                <w:szCs w:val="20"/>
                <w:lang w:eastAsia="en-AU"/>
              </w:rPr>
              <w:t> </w:t>
            </w:r>
          </w:p>
        </w:tc>
      </w:tr>
      <w:tr w:rsidR="00023770" w:rsidRPr="00816657" w:rsidTr="007F5BD4">
        <w:trPr>
          <w:gridAfter w:val="3"/>
          <w:wAfter w:w="339" w:type="pct"/>
          <w:trHeight w:val="255"/>
        </w:trPr>
        <w:tc>
          <w:tcPr>
            <w:tcW w:w="1813" w:type="pct"/>
            <w:tcBorders>
              <w:top w:val="nil"/>
              <w:left w:val="nil"/>
              <w:bottom w:val="single" w:sz="4" w:space="0" w:color="D9D9D9" w:themeColor="background1" w:themeShade="D9"/>
              <w:right w:val="nil"/>
            </w:tcBorders>
            <w:shd w:val="clear" w:color="auto" w:fill="auto"/>
            <w:noWrap/>
            <w:vAlign w:val="bottom"/>
            <w:hideMark/>
          </w:tcPr>
          <w:p w:rsidR="00E67EF7" w:rsidRPr="00816657" w:rsidRDefault="00E67EF7" w:rsidP="00DF4368">
            <w:pPr>
              <w:spacing w:line="240" w:lineRule="auto"/>
              <w:rPr>
                <w:rFonts w:cs="Times New Roman"/>
                <w:color w:val="000000"/>
                <w:szCs w:val="20"/>
                <w:lang w:eastAsia="en-AU"/>
              </w:rPr>
            </w:pPr>
            <w:r>
              <w:rPr>
                <w:color w:val="000000"/>
                <w:szCs w:val="20"/>
              </w:rPr>
              <w:t xml:space="preserve">Hazwaste landfill fac. </w:t>
            </w:r>
          </w:p>
        </w:tc>
        <w:tc>
          <w:tcPr>
            <w:tcW w:w="333" w:type="pct"/>
            <w:tcBorders>
              <w:top w:val="nil"/>
              <w:left w:val="nil"/>
              <w:bottom w:val="single" w:sz="4" w:space="0" w:color="D9D9D9" w:themeColor="background1" w:themeShade="D9"/>
              <w:right w:val="nil"/>
            </w:tcBorders>
            <w:shd w:val="clear" w:color="auto" w:fill="auto"/>
            <w:noWrap/>
            <w:vAlign w:val="bottom"/>
            <w:hideMark/>
          </w:tcPr>
          <w:p w:rsidR="00E67EF7" w:rsidRPr="00816657" w:rsidRDefault="00E67EF7" w:rsidP="00DF4368">
            <w:pPr>
              <w:jc w:val="right"/>
            </w:pPr>
            <w:r>
              <w:rPr>
                <w:color w:val="000000"/>
                <w:szCs w:val="20"/>
              </w:rPr>
              <w:t xml:space="preserve">7 </w:t>
            </w:r>
          </w:p>
        </w:tc>
        <w:tc>
          <w:tcPr>
            <w:tcW w:w="820" w:type="pct"/>
            <w:tcBorders>
              <w:top w:val="nil"/>
              <w:left w:val="nil"/>
              <w:bottom w:val="single" w:sz="4" w:space="0" w:color="D9D9D9" w:themeColor="background1" w:themeShade="D9"/>
              <w:right w:val="nil"/>
            </w:tcBorders>
            <w:shd w:val="clear" w:color="auto" w:fill="auto"/>
            <w:noWrap/>
            <w:vAlign w:val="bottom"/>
            <w:hideMark/>
          </w:tcPr>
          <w:p w:rsidR="00E67EF7" w:rsidRPr="00FB658B" w:rsidRDefault="00E67EF7" w:rsidP="00DF4368">
            <w:pPr>
              <w:jc w:val="right"/>
              <w:rPr>
                <w:color w:val="0C0C0C" w:themeColor="text1"/>
              </w:rPr>
            </w:pPr>
            <w:r w:rsidRPr="00FB658B">
              <w:rPr>
                <w:color w:val="0C0C0C" w:themeColor="text1"/>
                <w:szCs w:val="20"/>
              </w:rPr>
              <w:t xml:space="preserve">               208 </w:t>
            </w:r>
          </w:p>
        </w:tc>
        <w:tc>
          <w:tcPr>
            <w:tcW w:w="746" w:type="pct"/>
            <w:tcBorders>
              <w:top w:val="nil"/>
              <w:left w:val="nil"/>
              <w:bottom w:val="single" w:sz="4" w:space="0" w:color="D9D9D9" w:themeColor="background1" w:themeShade="D9"/>
            </w:tcBorders>
            <w:shd w:val="clear" w:color="auto" w:fill="auto"/>
            <w:noWrap/>
            <w:vAlign w:val="bottom"/>
            <w:hideMark/>
          </w:tcPr>
          <w:p w:rsidR="00E67EF7" w:rsidRPr="00FB658B" w:rsidRDefault="00E67EF7" w:rsidP="00DF4368">
            <w:pPr>
              <w:jc w:val="right"/>
              <w:rPr>
                <w:color w:val="0C0C0C" w:themeColor="text1"/>
              </w:rPr>
            </w:pPr>
            <w:r w:rsidRPr="00FB658B">
              <w:rPr>
                <w:color w:val="0C0C0C" w:themeColor="text1"/>
                <w:szCs w:val="20"/>
              </w:rPr>
              <w:t xml:space="preserve">274 </w:t>
            </w:r>
          </w:p>
        </w:tc>
        <w:tc>
          <w:tcPr>
            <w:tcW w:w="949" w:type="pct"/>
            <w:tcBorders>
              <w:top w:val="nil"/>
              <w:bottom w:val="single" w:sz="4" w:space="0" w:color="D9D9D9" w:themeColor="background1" w:themeShade="D9"/>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High</w:t>
            </w:r>
          </w:p>
        </w:tc>
      </w:tr>
      <w:tr w:rsidR="00023770" w:rsidRPr="00816657" w:rsidTr="007F5BD4">
        <w:trPr>
          <w:gridAfter w:val="3"/>
          <w:wAfter w:w="339" w:type="pct"/>
          <w:trHeight w:val="255"/>
        </w:trPr>
        <w:tc>
          <w:tcPr>
            <w:tcW w:w="1813" w:type="pct"/>
            <w:tcBorders>
              <w:top w:val="single" w:sz="4" w:space="0" w:color="D9D9D9" w:themeColor="background1" w:themeShade="D9"/>
              <w:left w:val="nil"/>
              <w:bottom w:val="single" w:sz="4" w:space="0" w:color="808080" w:themeColor="background1" w:themeShade="80"/>
              <w:right w:val="nil"/>
            </w:tcBorders>
            <w:shd w:val="clear" w:color="auto" w:fill="D9D9D9" w:themeFill="background1" w:themeFillShade="D9"/>
            <w:noWrap/>
            <w:vAlign w:val="bottom"/>
            <w:hideMark/>
          </w:tcPr>
          <w:p w:rsidR="00E67EF7" w:rsidRPr="00816657" w:rsidRDefault="00E67EF7" w:rsidP="005E385D">
            <w:pPr>
              <w:spacing w:line="240" w:lineRule="auto"/>
              <w:rPr>
                <w:rFonts w:cs="Times New Roman"/>
                <w:color w:val="000000"/>
                <w:szCs w:val="20"/>
                <w:lang w:eastAsia="en-AU"/>
              </w:rPr>
            </w:pPr>
            <w:r>
              <w:rPr>
                <w:color w:val="000000"/>
                <w:szCs w:val="20"/>
              </w:rPr>
              <w:t>Landfill fac. (NEPM code N, T)</w:t>
            </w:r>
          </w:p>
        </w:tc>
        <w:tc>
          <w:tcPr>
            <w:tcW w:w="333" w:type="pct"/>
            <w:tcBorders>
              <w:top w:val="single" w:sz="4" w:space="0" w:color="D9D9D9" w:themeColor="background1" w:themeShade="D9"/>
              <w:left w:val="nil"/>
              <w:bottom w:val="single" w:sz="4" w:space="0" w:color="808080" w:themeColor="background1" w:themeShade="80"/>
              <w:right w:val="nil"/>
            </w:tcBorders>
            <w:shd w:val="clear" w:color="auto" w:fill="D9D9D9" w:themeFill="background1" w:themeFillShade="D9"/>
            <w:noWrap/>
            <w:vAlign w:val="bottom"/>
            <w:hideMark/>
          </w:tcPr>
          <w:p w:rsidR="00E67EF7" w:rsidRPr="00816657" w:rsidRDefault="00E67EF7" w:rsidP="00DF4368">
            <w:pPr>
              <w:jc w:val="right"/>
            </w:pPr>
            <w:r>
              <w:rPr>
                <w:color w:val="000000"/>
                <w:szCs w:val="20"/>
              </w:rPr>
              <w:t xml:space="preserve">27 </w:t>
            </w:r>
          </w:p>
        </w:tc>
        <w:tc>
          <w:tcPr>
            <w:tcW w:w="820" w:type="pct"/>
            <w:tcBorders>
              <w:top w:val="single" w:sz="4" w:space="0" w:color="D9D9D9" w:themeColor="background1" w:themeShade="D9"/>
              <w:left w:val="nil"/>
              <w:bottom w:val="single" w:sz="4" w:space="0" w:color="808080" w:themeColor="background1" w:themeShade="80"/>
              <w:right w:val="nil"/>
            </w:tcBorders>
            <w:shd w:val="clear" w:color="auto" w:fill="D9D9D9" w:themeFill="background1" w:themeFillShade="D9"/>
            <w:noWrap/>
            <w:vAlign w:val="bottom"/>
            <w:hideMark/>
          </w:tcPr>
          <w:p w:rsidR="00E67EF7" w:rsidRPr="00FB658B" w:rsidRDefault="00E67EF7" w:rsidP="00DF4368">
            <w:pPr>
              <w:jc w:val="right"/>
              <w:rPr>
                <w:color w:val="0C0C0C" w:themeColor="text1"/>
              </w:rPr>
            </w:pPr>
            <w:r w:rsidRPr="00FB658B">
              <w:rPr>
                <w:color w:val="0C0C0C" w:themeColor="text1"/>
                <w:szCs w:val="20"/>
              </w:rPr>
              <w:t xml:space="preserve">               433 </w:t>
            </w:r>
          </w:p>
        </w:tc>
        <w:tc>
          <w:tcPr>
            <w:tcW w:w="746" w:type="pct"/>
            <w:tcBorders>
              <w:top w:val="single" w:sz="4" w:space="0" w:color="D9D9D9" w:themeColor="background1" w:themeShade="D9"/>
              <w:left w:val="nil"/>
              <w:bottom w:val="single" w:sz="4" w:space="0" w:color="808080" w:themeColor="background1" w:themeShade="80"/>
            </w:tcBorders>
            <w:shd w:val="clear" w:color="auto" w:fill="D9D9D9" w:themeFill="background1" w:themeFillShade="D9"/>
            <w:noWrap/>
            <w:vAlign w:val="bottom"/>
            <w:hideMark/>
          </w:tcPr>
          <w:p w:rsidR="00E67EF7" w:rsidRPr="00FB658B" w:rsidRDefault="00E67EF7" w:rsidP="00DF4368">
            <w:pPr>
              <w:jc w:val="right"/>
              <w:rPr>
                <w:color w:val="0C0C0C" w:themeColor="text1"/>
              </w:rPr>
            </w:pPr>
            <w:r w:rsidRPr="00FB658B">
              <w:rPr>
                <w:color w:val="0C0C0C" w:themeColor="text1"/>
                <w:szCs w:val="20"/>
              </w:rPr>
              <w:t xml:space="preserve">761 </w:t>
            </w:r>
          </w:p>
        </w:tc>
        <w:tc>
          <w:tcPr>
            <w:tcW w:w="949" w:type="pct"/>
            <w:tcBorders>
              <w:top w:val="single" w:sz="4" w:space="0" w:color="D9D9D9" w:themeColor="background1" w:themeShade="D9"/>
              <w:bottom w:val="single" w:sz="4" w:space="0" w:color="808080" w:themeColor="background1" w:themeShade="80"/>
            </w:tcBorders>
            <w:shd w:val="clear" w:color="auto" w:fill="D9D9D9" w:themeFill="background1" w:themeFillShade="D9"/>
            <w:vAlign w:val="center"/>
          </w:tcPr>
          <w:p w:rsidR="00E67EF7" w:rsidRPr="00023770" w:rsidRDefault="00E67EF7" w:rsidP="00DF4368">
            <w:pPr>
              <w:jc w:val="right"/>
              <w:rPr>
                <w:color w:val="000000"/>
                <w:szCs w:val="20"/>
              </w:rPr>
            </w:pPr>
            <w:r w:rsidRPr="007F5BD4">
              <w:rPr>
                <w:rFonts w:cs="Times New Roman"/>
                <w:color w:val="000000"/>
                <w:szCs w:val="20"/>
                <w:lang w:eastAsia="en-AU"/>
              </w:rPr>
              <w:t>Na</w:t>
            </w:r>
          </w:p>
        </w:tc>
      </w:tr>
      <w:tr w:rsidR="00023770" w:rsidRPr="00816657" w:rsidTr="00FB658B">
        <w:trPr>
          <w:gridAfter w:val="3"/>
          <w:wAfter w:w="339" w:type="pct"/>
          <w:trHeight w:val="255"/>
        </w:trPr>
        <w:tc>
          <w:tcPr>
            <w:tcW w:w="1813" w:type="pct"/>
            <w:tcBorders>
              <w:top w:val="single" w:sz="4" w:space="0" w:color="808080" w:themeColor="background1" w:themeShade="80"/>
              <w:left w:val="nil"/>
              <w:bottom w:val="single" w:sz="4" w:space="0" w:color="D9D9D9" w:themeColor="background1" w:themeShade="D9"/>
              <w:right w:val="nil"/>
            </w:tcBorders>
            <w:shd w:val="clear" w:color="auto" w:fill="D9D9D9" w:themeFill="background1" w:themeFillShade="D9"/>
            <w:noWrap/>
            <w:vAlign w:val="bottom"/>
            <w:hideMark/>
          </w:tcPr>
          <w:p w:rsidR="00E67EF7" w:rsidRPr="00816657" w:rsidRDefault="00E67EF7" w:rsidP="00B2264F">
            <w:pPr>
              <w:spacing w:line="240" w:lineRule="auto"/>
              <w:rPr>
                <w:rFonts w:cs="Times New Roman"/>
                <w:color w:val="000000"/>
                <w:szCs w:val="20"/>
                <w:lang w:eastAsia="en-AU"/>
              </w:rPr>
            </w:pPr>
            <w:r>
              <w:rPr>
                <w:color w:val="000000"/>
                <w:szCs w:val="20"/>
              </w:rPr>
              <w:t>POPs fac. (TD)</w:t>
            </w:r>
          </w:p>
        </w:tc>
        <w:tc>
          <w:tcPr>
            <w:tcW w:w="333" w:type="pct"/>
            <w:tcBorders>
              <w:top w:val="single" w:sz="4" w:space="0" w:color="808080" w:themeColor="background1" w:themeShade="80"/>
              <w:left w:val="nil"/>
              <w:bottom w:val="single" w:sz="4" w:space="0" w:color="D9D9D9" w:themeColor="background1" w:themeShade="D9"/>
              <w:right w:val="nil"/>
            </w:tcBorders>
            <w:shd w:val="clear" w:color="auto" w:fill="D9D9D9" w:themeFill="background1" w:themeFillShade="D9"/>
            <w:noWrap/>
            <w:vAlign w:val="bottom"/>
            <w:hideMark/>
          </w:tcPr>
          <w:p w:rsidR="00E67EF7" w:rsidRPr="00816657" w:rsidRDefault="00E67EF7" w:rsidP="00DF4368">
            <w:pPr>
              <w:jc w:val="right"/>
            </w:pPr>
            <w:r>
              <w:rPr>
                <w:color w:val="000000"/>
                <w:szCs w:val="20"/>
              </w:rPr>
              <w:t xml:space="preserve">1 </w:t>
            </w:r>
          </w:p>
        </w:tc>
        <w:tc>
          <w:tcPr>
            <w:tcW w:w="820" w:type="pct"/>
            <w:tcBorders>
              <w:top w:val="single" w:sz="4" w:space="0" w:color="808080" w:themeColor="background1" w:themeShade="80"/>
              <w:left w:val="nil"/>
              <w:bottom w:val="single" w:sz="4" w:space="0" w:color="D9D9D9" w:themeColor="background1" w:themeShade="D9"/>
              <w:right w:val="nil"/>
            </w:tcBorders>
            <w:shd w:val="clear" w:color="auto" w:fill="FF0000"/>
            <w:noWrap/>
            <w:vAlign w:val="bottom"/>
            <w:hideMark/>
          </w:tcPr>
          <w:p w:rsidR="00E67EF7" w:rsidRPr="00FB658B" w:rsidRDefault="00E67EF7" w:rsidP="00FB658B">
            <w:pPr>
              <w:jc w:val="right"/>
              <w:rPr>
                <w:color w:val="0C0C0C" w:themeColor="text1"/>
                <w:highlight w:val="red"/>
              </w:rPr>
            </w:pPr>
            <w:r w:rsidRPr="00FB658B">
              <w:rPr>
                <w:color w:val="0C0C0C" w:themeColor="text1"/>
                <w:szCs w:val="20"/>
                <w:highlight w:val="red"/>
              </w:rPr>
              <w:t xml:space="preserve">                   </w:t>
            </w:r>
          </w:p>
        </w:tc>
        <w:tc>
          <w:tcPr>
            <w:tcW w:w="746" w:type="pct"/>
            <w:tcBorders>
              <w:top w:val="single" w:sz="4" w:space="0" w:color="808080" w:themeColor="background1" w:themeShade="80"/>
              <w:left w:val="nil"/>
              <w:bottom w:val="single" w:sz="4" w:space="0" w:color="D9D9D9" w:themeColor="background1" w:themeShade="D9"/>
            </w:tcBorders>
            <w:shd w:val="clear" w:color="auto" w:fill="FF0000"/>
            <w:noWrap/>
            <w:vAlign w:val="bottom"/>
            <w:hideMark/>
          </w:tcPr>
          <w:p w:rsidR="00E67EF7" w:rsidRPr="00FB658B" w:rsidRDefault="00E67EF7" w:rsidP="00DF4368">
            <w:pPr>
              <w:jc w:val="right"/>
              <w:rPr>
                <w:color w:val="0C0C0C" w:themeColor="text1"/>
                <w:highlight w:val="red"/>
              </w:rPr>
            </w:pPr>
            <w:r w:rsidRPr="00FB658B">
              <w:rPr>
                <w:color w:val="0C0C0C" w:themeColor="text1"/>
                <w:szCs w:val="20"/>
                <w:highlight w:val="red"/>
              </w:rPr>
              <w:t xml:space="preserve"> </w:t>
            </w:r>
          </w:p>
        </w:tc>
        <w:tc>
          <w:tcPr>
            <w:tcW w:w="949" w:type="pct"/>
            <w:tcBorders>
              <w:top w:val="single" w:sz="4" w:space="0" w:color="808080" w:themeColor="background1" w:themeShade="80"/>
              <w:bottom w:val="single" w:sz="4" w:space="0" w:color="D9D9D9" w:themeColor="background1" w:themeShade="D9"/>
            </w:tcBorders>
            <w:shd w:val="clear" w:color="auto" w:fill="D9D9D9" w:themeFill="background1" w:themeFillShade="D9"/>
            <w:vAlign w:val="center"/>
          </w:tcPr>
          <w:p w:rsidR="00E67EF7" w:rsidRPr="00023770" w:rsidRDefault="00E67EF7" w:rsidP="00DF4368">
            <w:pPr>
              <w:jc w:val="right"/>
              <w:rPr>
                <w:color w:val="000000"/>
                <w:szCs w:val="20"/>
              </w:rPr>
            </w:pPr>
            <w:r w:rsidRPr="007F5BD4">
              <w:rPr>
                <w:rFonts w:cs="Times New Roman"/>
                <w:color w:val="000000"/>
                <w:szCs w:val="20"/>
                <w:lang w:eastAsia="en-AU"/>
              </w:rPr>
              <w:t>Very high</w:t>
            </w:r>
          </w:p>
        </w:tc>
      </w:tr>
      <w:tr w:rsidR="00023770" w:rsidRPr="00816657" w:rsidTr="007F5BD4">
        <w:trPr>
          <w:gridAfter w:val="3"/>
          <w:wAfter w:w="339" w:type="pct"/>
          <w:trHeight w:val="255"/>
        </w:trPr>
        <w:tc>
          <w:tcPr>
            <w:tcW w:w="1813" w:type="pct"/>
            <w:tcBorders>
              <w:top w:val="single" w:sz="4" w:space="0" w:color="D9D9D9" w:themeColor="background1" w:themeShade="D9"/>
              <w:left w:val="nil"/>
              <w:bottom w:val="nil"/>
              <w:right w:val="nil"/>
            </w:tcBorders>
            <w:shd w:val="clear" w:color="auto" w:fill="auto"/>
            <w:noWrap/>
            <w:vAlign w:val="bottom"/>
            <w:hideMark/>
          </w:tcPr>
          <w:p w:rsidR="00E67EF7" w:rsidRPr="00816657" w:rsidRDefault="00CF76E1" w:rsidP="005E385D">
            <w:pPr>
              <w:spacing w:line="240" w:lineRule="auto"/>
              <w:rPr>
                <w:rFonts w:cs="Times New Roman"/>
                <w:color w:val="000000"/>
                <w:szCs w:val="20"/>
                <w:lang w:eastAsia="en-AU"/>
              </w:rPr>
            </w:pPr>
            <w:r w:rsidRPr="00E97D4C">
              <w:rPr>
                <w:rStyle w:val="BodyTextChar"/>
                <w:sz w:val="20"/>
              </w:rPr>
              <w:t>Clinical</w:t>
            </w:r>
            <w:r w:rsidR="00E67EF7">
              <w:rPr>
                <w:color w:val="000000"/>
                <w:szCs w:val="20"/>
              </w:rPr>
              <w:t xml:space="preserve"> waste fac. (TD)</w:t>
            </w:r>
          </w:p>
        </w:tc>
        <w:tc>
          <w:tcPr>
            <w:tcW w:w="333" w:type="pct"/>
            <w:tcBorders>
              <w:top w:val="single" w:sz="4" w:space="0" w:color="D9D9D9" w:themeColor="background1" w:themeShade="D9"/>
              <w:left w:val="nil"/>
              <w:bottom w:val="nil"/>
              <w:right w:val="nil"/>
            </w:tcBorders>
            <w:shd w:val="clear" w:color="auto" w:fill="auto"/>
            <w:noWrap/>
            <w:vAlign w:val="bottom"/>
            <w:hideMark/>
          </w:tcPr>
          <w:p w:rsidR="00E67EF7" w:rsidRPr="00816657" w:rsidRDefault="00E67EF7" w:rsidP="00DF4368">
            <w:pPr>
              <w:jc w:val="right"/>
            </w:pPr>
            <w:r>
              <w:rPr>
                <w:color w:val="000000"/>
                <w:szCs w:val="20"/>
              </w:rPr>
              <w:t xml:space="preserve">6 </w:t>
            </w:r>
          </w:p>
        </w:tc>
        <w:tc>
          <w:tcPr>
            <w:tcW w:w="820" w:type="pct"/>
            <w:tcBorders>
              <w:top w:val="single" w:sz="4" w:space="0" w:color="D9D9D9" w:themeColor="background1" w:themeShade="D9"/>
              <w:left w:val="nil"/>
              <w:bottom w:val="nil"/>
              <w:right w:val="nil"/>
            </w:tcBorders>
            <w:shd w:val="clear" w:color="auto" w:fill="auto"/>
            <w:noWrap/>
            <w:vAlign w:val="bottom"/>
            <w:hideMark/>
          </w:tcPr>
          <w:p w:rsidR="00E67EF7" w:rsidRPr="00816657" w:rsidRDefault="00E67EF7" w:rsidP="00DF4368">
            <w:pPr>
              <w:jc w:val="right"/>
            </w:pPr>
            <w:r>
              <w:rPr>
                <w:color w:val="000000"/>
                <w:szCs w:val="20"/>
              </w:rPr>
              <w:t xml:space="preserve">                 17 </w:t>
            </w:r>
          </w:p>
        </w:tc>
        <w:tc>
          <w:tcPr>
            <w:tcW w:w="746" w:type="pct"/>
            <w:tcBorders>
              <w:top w:val="single" w:sz="4" w:space="0" w:color="D9D9D9" w:themeColor="background1" w:themeShade="D9"/>
              <w:left w:val="nil"/>
              <w:bottom w:val="nil"/>
            </w:tcBorders>
            <w:shd w:val="clear" w:color="auto" w:fill="auto"/>
            <w:noWrap/>
            <w:vAlign w:val="bottom"/>
            <w:hideMark/>
          </w:tcPr>
          <w:p w:rsidR="00E67EF7" w:rsidRPr="00816657" w:rsidRDefault="00E67EF7" w:rsidP="00DF4368">
            <w:pPr>
              <w:jc w:val="right"/>
            </w:pPr>
            <w:r>
              <w:rPr>
                <w:color w:val="000000"/>
                <w:szCs w:val="20"/>
              </w:rPr>
              <w:t xml:space="preserve">30 </w:t>
            </w:r>
          </w:p>
        </w:tc>
        <w:tc>
          <w:tcPr>
            <w:tcW w:w="949" w:type="pct"/>
            <w:tcBorders>
              <w:top w:val="single" w:sz="4" w:space="0" w:color="D9D9D9" w:themeColor="background1" w:themeShade="D9"/>
              <w:bottom w:val="nil"/>
            </w:tcBorders>
            <w:vAlign w:val="center"/>
          </w:tcPr>
          <w:p w:rsidR="00E67EF7" w:rsidRPr="00023770" w:rsidRDefault="00E67EF7" w:rsidP="00DF4368">
            <w:pPr>
              <w:jc w:val="right"/>
              <w:rPr>
                <w:color w:val="000000"/>
                <w:szCs w:val="20"/>
              </w:rPr>
            </w:pPr>
            <w:r w:rsidRPr="007F5BD4">
              <w:rPr>
                <w:rFonts w:cs="Times New Roman"/>
                <w:color w:val="000000"/>
                <w:szCs w:val="20"/>
                <w:lang w:eastAsia="en-AU"/>
              </w:rPr>
              <w:t>Low</w:t>
            </w:r>
          </w:p>
        </w:tc>
      </w:tr>
      <w:tr w:rsidR="00023770" w:rsidRPr="00816657" w:rsidTr="007F5BD4">
        <w:trPr>
          <w:gridAfter w:val="3"/>
          <w:wAfter w:w="339" w:type="pct"/>
          <w:trHeight w:val="255"/>
        </w:trPr>
        <w:tc>
          <w:tcPr>
            <w:tcW w:w="1813" w:type="pct"/>
            <w:tcBorders>
              <w:top w:val="nil"/>
              <w:left w:val="nil"/>
              <w:bottom w:val="single" w:sz="4" w:space="0" w:color="808080" w:themeColor="background1" w:themeShade="80"/>
              <w:right w:val="nil"/>
            </w:tcBorders>
            <w:shd w:val="clear" w:color="000000" w:fill="C5D9F1"/>
            <w:noWrap/>
            <w:vAlign w:val="bottom"/>
            <w:hideMark/>
          </w:tcPr>
          <w:p w:rsidR="00E67EF7" w:rsidRPr="00816657" w:rsidRDefault="00E67EF7" w:rsidP="00DF4368">
            <w:pPr>
              <w:spacing w:line="240" w:lineRule="auto"/>
              <w:rPr>
                <w:rFonts w:cs="Times New Roman"/>
                <w:b/>
                <w:bCs/>
                <w:color w:val="000000"/>
                <w:szCs w:val="20"/>
                <w:lang w:eastAsia="en-AU"/>
              </w:rPr>
            </w:pPr>
            <w:r>
              <w:rPr>
                <w:b/>
                <w:bCs/>
                <w:color w:val="000000"/>
                <w:szCs w:val="20"/>
              </w:rPr>
              <w:t>Transfer station or temporary storage fac.</w:t>
            </w:r>
          </w:p>
        </w:tc>
        <w:tc>
          <w:tcPr>
            <w:tcW w:w="333" w:type="pct"/>
            <w:tcBorders>
              <w:top w:val="nil"/>
              <w:left w:val="nil"/>
              <w:bottom w:val="single" w:sz="4" w:space="0" w:color="808080" w:themeColor="background1" w:themeShade="80"/>
              <w:right w:val="nil"/>
            </w:tcBorders>
            <w:shd w:val="clear" w:color="auto" w:fill="D9D9D9" w:themeFill="background1" w:themeFillShade="D9"/>
            <w:noWrap/>
            <w:vAlign w:val="bottom"/>
            <w:hideMark/>
          </w:tcPr>
          <w:p w:rsidR="00E67EF7" w:rsidRPr="00816657" w:rsidRDefault="00E67EF7" w:rsidP="00DF4368">
            <w:pPr>
              <w:jc w:val="right"/>
            </w:pPr>
            <w:r>
              <w:rPr>
                <w:color w:val="000000"/>
                <w:szCs w:val="20"/>
              </w:rPr>
              <w:t xml:space="preserve">43 </w:t>
            </w:r>
          </w:p>
        </w:tc>
        <w:tc>
          <w:tcPr>
            <w:tcW w:w="820" w:type="pct"/>
            <w:tcBorders>
              <w:top w:val="nil"/>
              <w:left w:val="nil"/>
              <w:bottom w:val="single" w:sz="4" w:space="0" w:color="808080" w:themeColor="background1" w:themeShade="80"/>
              <w:right w:val="nil"/>
            </w:tcBorders>
            <w:shd w:val="clear" w:color="auto" w:fill="D9D9D9" w:themeFill="background1" w:themeFillShade="D9"/>
            <w:noWrap/>
            <w:vAlign w:val="bottom"/>
            <w:hideMark/>
          </w:tcPr>
          <w:p w:rsidR="00E67EF7" w:rsidRPr="00816657" w:rsidRDefault="00E67EF7" w:rsidP="00DF4368">
            <w:pPr>
              <w:jc w:val="right"/>
            </w:pPr>
            <w:r>
              <w:rPr>
                <w:color w:val="000000"/>
                <w:szCs w:val="20"/>
              </w:rPr>
              <w:t xml:space="preserve">               232 </w:t>
            </w:r>
          </w:p>
        </w:tc>
        <w:tc>
          <w:tcPr>
            <w:tcW w:w="746" w:type="pct"/>
            <w:tcBorders>
              <w:top w:val="nil"/>
              <w:left w:val="nil"/>
              <w:bottom w:val="single" w:sz="4" w:space="0" w:color="808080" w:themeColor="background1" w:themeShade="80"/>
            </w:tcBorders>
            <w:shd w:val="clear" w:color="auto" w:fill="D9D9D9" w:themeFill="background1" w:themeFillShade="D9"/>
            <w:noWrap/>
            <w:vAlign w:val="bottom"/>
            <w:hideMark/>
          </w:tcPr>
          <w:p w:rsidR="00E67EF7" w:rsidRPr="00816657" w:rsidRDefault="00E67EF7" w:rsidP="00DF4368">
            <w:pPr>
              <w:jc w:val="right"/>
            </w:pPr>
            <w:r>
              <w:rPr>
                <w:color w:val="000000"/>
                <w:szCs w:val="20"/>
              </w:rPr>
              <w:t xml:space="preserve">335 </w:t>
            </w:r>
          </w:p>
        </w:tc>
        <w:tc>
          <w:tcPr>
            <w:tcW w:w="949" w:type="pct"/>
            <w:tcBorders>
              <w:top w:val="nil"/>
              <w:bottom w:val="single" w:sz="4" w:space="0" w:color="808080" w:themeColor="background1" w:themeShade="80"/>
            </w:tcBorders>
            <w:shd w:val="clear" w:color="auto" w:fill="D9D9D9" w:themeFill="background1" w:themeFillShade="D9"/>
            <w:vAlign w:val="center"/>
          </w:tcPr>
          <w:p w:rsidR="00E67EF7" w:rsidRPr="00023770" w:rsidRDefault="00E67EF7" w:rsidP="00DF4368">
            <w:pPr>
              <w:jc w:val="right"/>
              <w:rPr>
                <w:color w:val="000000"/>
                <w:szCs w:val="20"/>
              </w:rPr>
            </w:pPr>
            <w:r w:rsidRPr="007F5BD4">
              <w:rPr>
                <w:rFonts w:cs="Times New Roman"/>
                <w:color w:val="000000"/>
                <w:szCs w:val="20"/>
                <w:lang w:eastAsia="en-AU"/>
              </w:rPr>
              <w:t>Very high</w:t>
            </w:r>
          </w:p>
        </w:tc>
      </w:tr>
      <w:tr w:rsidR="00023770" w:rsidRPr="00816657" w:rsidTr="007F5BD4">
        <w:trPr>
          <w:gridAfter w:val="3"/>
          <w:wAfter w:w="339" w:type="pct"/>
          <w:trHeight w:val="255"/>
        </w:trPr>
        <w:tc>
          <w:tcPr>
            <w:tcW w:w="1813" w:type="pct"/>
            <w:tcBorders>
              <w:top w:val="single" w:sz="4" w:space="0" w:color="808080" w:themeColor="background1" w:themeShade="80"/>
              <w:left w:val="nil"/>
              <w:right w:val="nil"/>
            </w:tcBorders>
            <w:shd w:val="clear" w:color="auto" w:fill="auto"/>
            <w:noWrap/>
            <w:vAlign w:val="bottom"/>
            <w:hideMark/>
          </w:tcPr>
          <w:p w:rsidR="00E67EF7" w:rsidRPr="00303DDE" w:rsidRDefault="00E67EF7" w:rsidP="00DF4368">
            <w:pPr>
              <w:spacing w:line="240" w:lineRule="auto"/>
              <w:jc w:val="right"/>
              <w:rPr>
                <w:rFonts w:cs="Times New Roman"/>
                <w:b/>
                <w:bCs/>
                <w:color w:val="000000"/>
                <w:szCs w:val="20"/>
                <w:lang w:eastAsia="en-AU"/>
              </w:rPr>
            </w:pPr>
            <w:r w:rsidRPr="00303DDE">
              <w:rPr>
                <w:b/>
                <w:bCs/>
                <w:color w:val="000000"/>
                <w:szCs w:val="20"/>
              </w:rPr>
              <w:t>Total</w:t>
            </w:r>
          </w:p>
        </w:tc>
        <w:tc>
          <w:tcPr>
            <w:tcW w:w="333" w:type="pct"/>
            <w:tcBorders>
              <w:top w:val="single" w:sz="4" w:space="0" w:color="808080" w:themeColor="background1" w:themeShade="80"/>
              <w:left w:val="nil"/>
              <w:right w:val="nil"/>
            </w:tcBorders>
            <w:shd w:val="clear" w:color="auto" w:fill="auto"/>
            <w:noWrap/>
            <w:vAlign w:val="bottom"/>
            <w:hideMark/>
          </w:tcPr>
          <w:p w:rsidR="00E67EF7" w:rsidRPr="00303DDE" w:rsidRDefault="00E67EF7" w:rsidP="00DF4368">
            <w:pPr>
              <w:jc w:val="right"/>
              <w:rPr>
                <w:b/>
              </w:rPr>
            </w:pPr>
            <w:r w:rsidRPr="007F5BD4">
              <w:rPr>
                <w:b/>
                <w:color w:val="000000"/>
                <w:szCs w:val="20"/>
              </w:rPr>
              <w:t xml:space="preserve">232 </w:t>
            </w:r>
          </w:p>
        </w:tc>
        <w:tc>
          <w:tcPr>
            <w:tcW w:w="820" w:type="pct"/>
            <w:tcBorders>
              <w:top w:val="single" w:sz="4" w:space="0" w:color="808080" w:themeColor="background1" w:themeShade="80"/>
              <w:left w:val="nil"/>
              <w:right w:val="nil"/>
            </w:tcBorders>
            <w:shd w:val="clear" w:color="auto" w:fill="auto"/>
            <w:noWrap/>
            <w:vAlign w:val="bottom"/>
            <w:hideMark/>
          </w:tcPr>
          <w:p w:rsidR="00E67EF7" w:rsidRPr="00303DDE" w:rsidRDefault="00E67EF7" w:rsidP="00DF4368">
            <w:pPr>
              <w:jc w:val="right"/>
              <w:rPr>
                <w:b/>
              </w:rPr>
            </w:pPr>
            <w:r w:rsidRPr="007F5BD4">
              <w:rPr>
                <w:b/>
                <w:szCs w:val="20"/>
              </w:rPr>
              <w:t xml:space="preserve">            3,052 </w:t>
            </w:r>
          </w:p>
        </w:tc>
        <w:tc>
          <w:tcPr>
            <w:tcW w:w="746" w:type="pct"/>
            <w:tcBorders>
              <w:top w:val="single" w:sz="4" w:space="0" w:color="808080" w:themeColor="background1" w:themeShade="80"/>
              <w:left w:val="nil"/>
            </w:tcBorders>
            <w:shd w:val="clear" w:color="auto" w:fill="auto"/>
            <w:noWrap/>
            <w:vAlign w:val="bottom"/>
            <w:hideMark/>
          </w:tcPr>
          <w:p w:rsidR="00E67EF7" w:rsidRPr="00303DDE" w:rsidRDefault="00E67EF7" w:rsidP="00DF4368">
            <w:pPr>
              <w:jc w:val="right"/>
              <w:rPr>
                <w:b/>
              </w:rPr>
            </w:pPr>
            <w:r w:rsidRPr="007F5BD4">
              <w:rPr>
                <w:b/>
                <w:szCs w:val="20"/>
              </w:rPr>
              <w:t xml:space="preserve">        4,780 </w:t>
            </w:r>
          </w:p>
        </w:tc>
        <w:tc>
          <w:tcPr>
            <w:tcW w:w="949" w:type="pct"/>
            <w:tcBorders>
              <w:top w:val="single" w:sz="4" w:space="0" w:color="808080" w:themeColor="background1" w:themeShade="80"/>
            </w:tcBorders>
          </w:tcPr>
          <w:p w:rsidR="00E67EF7" w:rsidRPr="00303DDE" w:rsidRDefault="00E67EF7" w:rsidP="00DF4368">
            <w:pPr>
              <w:jc w:val="right"/>
              <w:rPr>
                <w:b/>
                <w:szCs w:val="20"/>
              </w:rPr>
            </w:pPr>
          </w:p>
        </w:tc>
      </w:tr>
    </w:tbl>
    <w:p w:rsidR="00FE1B91" w:rsidRPr="007F5BD4" w:rsidRDefault="00FE1B91" w:rsidP="004254E4">
      <w:pPr>
        <w:pStyle w:val="BodyText"/>
        <w:rPr>
          <w:rFonts w:cs="Arial"/>
          <w:i/>
          <w:color w:val="0000FF"/>
          <w:sz w:val="20"/>
          <w:szCs w:val="20"/>
        </w:rPr>
      </w:pPr>
      <w:r w:rsidRPr="007F5BD4">
        <w:rPr>
          <w:rFonts w:cs="Arial"/>
          <w:i/>
          <w:color w:val="0000FF"/>
          <w:sz w:val="20"/>
          <w:szCs w:val="20"/>
        </w:rPr>
        <w:t xml:space="preserve">Notes: </w:t>
      </w:r>
      <w:r w:rsidRPr="007F5BD4">
        <w:rPr>
          <w:rFonts w:cs="Arial"/>
          <w:i/>
          <w:color w:val="0000FF"/>
          <w:sz w:val="20"/>
          <w:szCs w:val="20"/>
          <w:shd w:val="clear" w:color="auto" w:fill="D9D9D9" w:themeFill="background1" w:themeFillShade="D9"/>
        </w:rPr>
        <w:t>shaded grey</w:t>
      </w:r>
      <w:r w:rsidRPr="007F5BD4">
        <w:rPr>
          <w:rFonts w:cs="Arial"/>
          <w:i/>
          <w:color w:val="0000FF"/>
          <w:sz w:val="20"/>
          <w:szCs w:val="20"/>
        </w:rPr>
        <w:t xml:space="preserve"> infrastructure groups have coverage limitations. Landfill fac. (NEPM codes N, T only) inf. group is outside of the capacity assessment scope</w:t>
      </w:r>
      <w:r>
        <w:rPr>
          <w:rFonts w:cs="Arial"/>
          <w:i/>
          <w:color w:val="0000FF"/>
          <w:sz w:val="20"/>
          <w:szCs w:val="20"/>
        </w:rPr>
        <w:t>.</w:t>
      </w:r>
      <w:r w:rsidR="00D06841">
        <w:rPr>
          <w:rFonts w:cs="Arial"/>
          <w:i/>
          <w:color w:val="0000FF"/>
          <w:sz w:val="20"/>
          <w:szCs w:val="20"/>
        </w:rPr>
        <w:t xml:space="preserve"> </w:t>
      </w:r>
    </w:p>
    <w:p w:rsidR="00A05A70" w:rsidRPr="00816657" w:rsidRDefault="00A05A70" w:rsidP="004254E4">
      <w:pPr>
        <w:pStyle w:val="BodyText"/>
      </w:pPr>
    </w:p>
    <w:p w:rsidR="00A05A70" w:rsidRPr="00816657" w:rsidRDefault="00A05A70">
      <w:pPr>
        <w:pStyle w:val="Heading3"/>
      </w:pPr>
      <w:r w:rsidRPr="00557C6A">
        <w:t>Assessment</w:t>
      </w:r>
      <w:r w:rsidRPr="00816657">
        <w:t xml:space="preserve"> of projected need vs. capacity of hazardous waste infrastructure</w:t>
      </w:r>
    </w:p>
    <w:p w:rsidR="00A05A70" w:rsidRPr="00816657" w:rsidRDefault="00A05A70" w:rsidP="00A05A70">
      <w:pPr>
        <w:pStyle w:val="BodyText"/>
      </w:pPr>
      <w:r w:rsidRPr="00816657">
        <w:t>The assessment of need against capacity involved four main steps</w:t>
      </w:r>
      <w:r w:rsidRPr="005C513C">
        <w:t xml:space="preserve"> </w:t>
      </w:r>
      <w:r>
        <w:t xml:space="preserve">(refer to Section </w:t>
      </w:r>
      <w:r w:rsidR="006D07F5">
        <w:fldChar w:fldCharType="begin"/>
      </w:r>
      <w:r>
        <w:instrText xml:space="preserve"> REF _Ref419553398 \r \h </w:instrText>
      </w:r>
      <w:r w:rsidR="006D07F5">
        <w:fldChar w:fldCharType="separate"/>
      </w:r>
      <w:r w:rsidR="002F3000">
        <w:t>4.1</w:t>
      </w:r>
      <w:r w:rsidR="006D07F5">
        <w:fldChar w:fldCharType="end"/>
      </w:r>
      <w:r>
        <w:t xml:space="preserve"> for a detailed discussion of these steps)</w:t>
      </w:r>
      <w:r w:rsidRPr="00816657">
        <w:t>:</w:t>
      </w:r>
    </w:p>
    <w:p w:rsidR="00A05A70" w:rsidRPr="00816657" w:rsidRDefault="00A05A70" w:rsidP="00A05A70">
      <w:pPr>
        <w:pStyle w:val="ListNumber"/>
        <w:numPr>
          <w:ilvl w:val="0"/>
          <w:numId w:val="27"/>
        </w:numPr>
      </w:pPr>
      <w:r w:rsidRPr="00816657">
        <w:t>The fate of 2012-13 waste arisings were expressed in proportions</w:t>
      </w:r>
      <w:r>
        <w:t xml:space="preserve"> (percentages)</w:t>
      </w:r>
      <w:r w:rsidRPr="00816657">
        <w:t xml:space="preserve"> and adjusted to remove anomalies</w:t>
      </w:r>
      <w:r>
        <w:t>.</w:t>
      </w:r>
    </w:p>
    <w:p w:rsidR="00A05A70" w:rsidRPr="00816657" w:rsidRDefault="00A05A70" w:rsidP="00A05A70">
      <w:pPr>
        <w:pStyle w:val="ListNumber"/>
        <w:numPr>
          <w:ilvl w:val="0"/>
          <w:numId w:val="27"/>
        </w:numPr>
      </w:pPr>
      <w:r w:rsidRPr="00816657">
        <w:t>For each waste group, the fate</w:t>
      </w:r>
      <w:r w:rsidR="00A55C59">
        <w:t xml:space="preserve"> proportions </w:t>
      </w:r>
      <w:r w:rsidRPr="00816657">
        <w:t xml:space="preserve">were </w:t>
      </w:r>
      <w:r>
        <w:t>allocated</w:t>
      </w:r>
      <w:r w:rsidRPr="00816657">
        <w:t xml:space="preserve"> to an infrastructure group</w:t>
      </w:r>
      <w:r>
        <w:t>.</w:t>
      </w:r>
      <w:r w:rsidR="00D06841">
        <w:t xml:space="preserve"> </w:t>
      </w:r>
      <w:r>
        <w:t>Table S</w:t>
      </w:r>
      <w:r w:rsidR="0050321A">
        <w:t>4</w:t>
      </w:r>
      <w:r>
        <w:t xml:space="preserve"> illustrates these allocations and includes the</w:t>
      </w:r>
      <w:r w:rsidR="008C0AE0">
        <w:t xml:space="preserve"> estimated</w:t>
      </w:r>
      <w:r>
        <w:t xml:space="preserve"> </w:t>
      </w:r>
      <w:r w:rsidR="008C0AE0">
        <w:t>‘</w:t>
      </w:r>
      <w:r w:rsidRPr="008C0AE0">
        <w:t>national average</w:t>
      </w:r>
      <w:r w:rsidR="008C0AE0">
        <w:t>’</w:t>
      </w:r>
      <w:r w:rsidRPr="000B5DF2">
        <w:t xml:space="preserve"> </w:t>
      </w:r>
      <w:r w:rsidR="00A55C59">
        <w:t>proportions of each waste group</w:t>
      </w:r>
      <w:r>
        <w:t xml:space="preserve"> sent to each infrastructure group. The table also </w:t>
      </w:r>
      <w:r w:rsidR="008C0AE0">
        <w:t>shows</w:t>
      </w:r>
      <w:r>
        <w:t xml:space="preserve"> the extent </w:t>
      </w:r>
      <w:r w:rsidR="008C0AE0">
        <w:t xml:space="preserve">to which </w:t>
      </w:r>
      <w:r>
        <w:t xml:space="preserve">waste arisings </w:t>
      </w:r>
      <w:r w:rsidR="008C0AE0">
        <w:t>can</w:t>
      </w:r>
      <w:r>
        <w:t xml:space="preserve"> be compared to infrastructure capacity (</w:t>
      </w:r>
      <w:r w:rsidR="008C0AE0">
        <w:t>taking into account</w:t>
      </w:r>
      <w:r>
        <w:t xml:space="preserve"> the limitations of the </w:t>
      </w:r>
      <w:r w:rsidR="008C0AE0">
        <w:t xml:space="preserve">infrastructure </w:t>
      </w:r>
      <w:r>
        <w:t>database).</w:t>
      </w:r>
      <w:r w:rsidR="0050321A">
        <w:t xml:space="preserve"> The 2015 estimated arisings are also included in the waste groups to illustrate the tonnage significance of the waste groups that are sent to infrastructure with limited or no coverage in the capacity database.</w:t>
      </w:r>
    </w:p>
    <w:p w:rsidR="004B1A41" w:rsidRDefault="004B1A41">
      <w:pPr>
        <w:spacing w:line="240" w:lineRule="auto"/>
        <w:rPr>
          <w:color w:val="080808"/>
          <w:sz w:val="22"/>
        </w:rPr>
        <w:sectPr w:rsidR="004B1A41" w:rsidSect="00544D86">
          <w:headerReference w:type="default" r:id="rId36"/>
          <w:pgSz w:w="11907" w:h="16840" w:code="9"/>
          <w:pgMar w:top="1531" w:right="1077" w:bottom="1134" w:left="1304" w:header="709" w:footer="709" w:gutter="0"/>
          <w:pgNumType w:fmt="lowerRoman"/>
          <w:cols w:space="708"/>
          <w:docGrid w:linePitch="360"/>
        </w:sectPr>
      </w:pPr>
    </w:p>
    <w:p w:rsidR="006935B1" w:rsidRDefault="006935B1" w:rsidP="007F5BD4">
      <w:pPr>
        <w:pStyle w:val="BodyText"/>
        <w:spacing w:after="120" w:line="260" w:lineRule="atLeast"/>
        <w:rPr>
          <w:rFonts w:asciiTheme="minorHAnsi" w:hAnsiTheme="minorHAnsi" w:cs="Calibri"/>
          <w:b/>
          <w:noProof/>
          <w:color w:val="0000FF"/>
        </w:rPr>
      </w:pPr>
      <w:r w:rsidRPr="00816657">
        <w:rPr>
          <w:b/>
          <w:color w:val="0000FF" w:themeColor="text2"/>
        </w:rPr>
        <w:lastRenderedPageBreak/>
        <w:t>Table S</w:t>
      </w:r>
      <w:r w:rsidR="00BB22D7">
        <w:rPr>
          <w:b/>
          <w:color w:val="0000FF" w:themeColor="text2"/>
        </w:rPr>
        <w:t>4</w:t>
      </w:r>
      <w:r w:rsidRPr="00816657">
        <w:rPr>
          <w:b/>
          <w:color w:val="0000FF" w:themeColor="text2"/>
        </w:rPr>
        <w:t>:</w:t>
      </w:r>
      <w:r w:rsidRPr="00816657">
        <w:rPr>
          <w:b/>
          <w:color w:val="0000FF" w:themeColor="text2"/>
        </w:rPr>
        <w:tab/>
      </w:r>
      <w:r w:rsidR="00944095">
        <w:rPr>
          <w:b/>
          <w:color w:val="0000FF" w:themeColor="text2"/>
        </w:rPr>
        <w:t xml:space="preserve">Waste </w:t>
      </w:r>
      <w:r w:rsidR="00944095" w:rsidRPr="00CA5534">
        <w:rPr>
          <w:rFonts w:asciiTheme="minorHAnsi" w:hAnsiTheme="minorHAnsi" w:cs="Calibri"/>
          <w:b/>
          <w:noProof/>
          <w:color w:val="0000FF"/>
        </w:rPr>
        <w:t xml:space="preserve">groups </w:t>
      </w:r>
      <w:r w:rsidR="00944095">
        <w:rPr>
          <w:rFonts w:asciiTheme="minorHAnsi" w:hAnsiTheme="minorHAnsi" w:cs="Calibri"/>
          <w:b/>
          <w:noProof/>
          <w:color w:val="0000FF"/>
        </w:rPr>
        <w:t>allocation to infrastructure groups</w:t>
      </w:r>
      <w:r w:rsidR="00BB22D7">
        <w:rPr>
          <w:rFonts w:asciiTheme="minorHAnsi" w:hAnsiTheme="minorHAnsi" w:cs="Calibri"/>
          <w:b/>
          <w:noProof/>
          <w:color w:val="0000FF"/>
        </w:rPr>
        <w:t>,</w:t>
      </w:r>
      <w:r w:rsidR="00944095">
        <w:rPr>
          <w:rFonts w:asciiTheme="minorHAnsi" w:hAnsiTheme="minorHAnsi" w:cs="Calibri"/>
          <w:b/>
          <w:noProof/>
          <w:color w:val="0000FF"/>
        </w:rPr>
        <w:t xml:space="preserve"> </w:t>
      </w:r>
      <w:r w:rsidR="00944095" w:rsidRPr="00CA5534">
        <w:rPr>
          <w:rFonts w:asciiTheme="minorHAnsi" w:hAnsiTheme="minorHAnsi" w:cs="Calibri"/>
          <w:b/>
          <w:noProof/>
          <w:color w:val="0000FF"/>
        </w:rPr>
        <w:t>national average fate proportions</w:t>
      </w:r>
      <w:r w:rsidR="00BB22D7">
        <w:rPr>
          <w:rFonts w:asciiTheme="minorHAnsi" w:hAnsiTheme="minorHAnsi" w:cs="Calibri"/>
          <w:b/>
          <w:noProof/>
          <w:color w:val="0000FF"/>
        </w:rPr>
        <w:t>, and 2015 best estimate arisings</w:t>
      </w:r>
      <w:r w:rsidR="00D53D83">
        <w:rPr>
          <w:rFonts w:asciiTheme="minorHAnsi" w:hAnsiTheme="minorHAnsi" w:cs="Calibri"/>
          <w:b/>
          <w:noProof/>
          <w:color w:val="0000FF"/>
        </w:rPr>
        <w:t xml:space="preserve"> </w:t>
      </w:r>
    </w:p>
    <w:p w:rsidR="004B1A41" w:rsidRDefault="00BB22D7" w:rsidP="00714AE6">
      <w:pPr>
        <w:pStyle w:val="BodyText"/>
        <w:spacing w:after="120" w:line="260" w:lineRule="atLeast"/>
        <w:sectPr w:rsidR="004B1A41" w:rsidSect="007F5BD4">
          <w:headerReference w:type="default" r:id="rId37"/>
          <w:footerReference w:type="default" r:id="rId38"/>
          <w:pgSz w:w="16840" w:h="11907" w:orient="landscape" w:code="9"/>
          <w:pgMar w:top="1418" w:right="1531" w:bottom="1077" w:left="1134" w:header="709" w:footer="709" w:gutter="0"/>
          <w:pgNumType w:fmt="lowerRoman"/>
          <w:cols w:space="708"/>
          <w:docGrid w:linePitch="360"/>
        </w:sectPr>
      </w:pPr>
      <w:r w:rsidRPr="00BB22D7">
        <w:rPr>
          <w:noProof/>
          <w:lang w:eastAsia="en-AU"/>
        </w:rPr>
        <w:drawing>
          <wp:inline distT="0" distB="0" distL="0" distR="0">
            <wp:extent cx="8953500" cy="5645679"/>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8964132" cy="5652383"/>
                    </a:xfrm>
                    <a:prstGeom prst="rect">
                      <a:avLst/>
                    </a:prstGeom>
                  </pic:spPr>
                </pic:pic>
              </a:graphicData>
            </a:graphic>
          </wp:inline>
        </w:drawing>
      </w:r>
    </w:p>
    <w:p w:rsidR="008C0AE0" w:rsidRPr="00816657" w:rsidRDefault="008C0AE0" w:rsidP="008C0AE0">
      <w:pPr>
        <w:pStyle w:val="ListNumber"/>
        <w:numPr>
          <w:ilvl w:val="0"/>
          <w:numId w:val="27"/>
        </w:numPr>
      </w:pPr>
      <w:r w:rsidRPr="00816657">
        <w:lastRenderedPageBreak/>
        <w:t xml:space="preserve">The tonnes of each waste </w:t>
      </w:r>
      <w:r>
        <w:t xml:space="preserve">sent </w:t>
      </w:r>
      <w:r w:rsidRPr="00816657">
        <w:t>to each infrastructure group were projected for each year and scenario, assuming waste is sent to the various infrastructure groups in the same proportions as 2012-13</w:t>
      </w:r>
      <w:r>
        <w:t xml:space="preserve"> (i.e. the recovery rate of each waste group remains constant over the projection period)</w:t>
      </w:r>
      <w:r w:rsidRPr="00816657">
        <w:t>.</w:t>
      </w:r>
    </w:p>
    <w:p w:rsidR="008C0AE0" w:rsidRPr="00816657" w:rsidRDefault="008C0AE0" w:rsidP="008C0AE0">
      <w:pPr>
        <w:pStyle w:val="ListNumber"/>
        <w:numPr>
          <w:ilvl w:val="0"/>
          <w:numId w:val="27"/>
        </w:numPr>
      </w:pPr>
      <w:r w:rsidRPr="00816657">
        <w:t>The projected tonnages sent to each infrastructure group were compared with capacity.</w:t>
      </w:r>
    </w:p>
    <w:p w:rsidR="008C0AE0" w:rsidRDefault="008C0AE0" w:rsidP="008C0AE0">
      <w:pPr>
        <w:pStyle w:val="BodyText"/>
      </w:pPr>
    </w:p>
    <w:p w:rsidR="008C0AE0" w:rsidRPr="008C0AE0" w:rsidRDefault="008C0AE0" w:rsidP="008C0AE0">
      <w:pPr>
        <w:pStyle w:val="BodyText"/>
      </w:pPr>
      <w:r w:rsidRPr="008C0AE0">
        <w:t xml:space="preserve">The results of the comparison are shown in Table S5 on a national basis. Estimates shaded grey are considered inaccurate due mainly to the infrastructure group having limited coverage in the capacity assessment. Separate jurisdictional assessments were undertaken (see </w:t>
      </w:r>
      <w:fldSimple w:instr=" REF _Ref409389114 \h  \* MERGEFORMAT ">
        <w:r w:rsidR="002F3000" w:rsidRPr="00816657">
          <w:t xml:space="preserve">Table </w:t>
        </w:r>
        <w:r w:rsidR="002F3000">
          <w:t>59</w:t>
        </w:r>
      </w:fldSimple>
      <w:r w:rsidRPr="008C0AE0">
        <w:t xml:space="preserve"> to </w:t>
      </w:r>
      <w:fldSimple w:instr=" REF _Ref420495416 \h  \* MERGEFORMAT ">
        <w:r w:rsidR="002F3000" w:rsidRPr="00D72038">
          <w:t xml:space="preserve">Table </w:t>
        </w:r>
        <w:r w:rsidR="002F3000">
          <w:t>66</w:t>
        </w:r>
      </w:fldSimple>
      <w:r w:rsidRPr="008C0AE0">
        <w:t xml:space="preserve">). </w:t>
      </w:r>
    </w:p>
    <w:p w:rsidR="008C0AE0" w:rsidRPr="008C0AE0" w:rsidRDefault="008C0AE0" w:rsidP="008C0AE0">
      <w:pPr>
        <w:pStyle w:val="BodyText"/>
      </w:pPr>
    </w:p>
    <w:p w:rsidR="003E7BFA" w:rsidRPr="00816657" w:rsidRDefault="003E7BFA" w:rsidP="00714AE6">
      <w:pPr>
        <w:pStyle w:val="BodyText"/>
        <w:spacing w:after="120" w:line="260" w:lineRule="atLeast"/>
        <w:rPr>
          <w:b/>
          <w:color w:val="0000FF" w:themeColor="text2"/>
        </w:rPr>
      </w:pPr>
      <w:r w:rsidRPr="00816657">
        <w:rPr>
          <w:b/>
          <w:color w:val="0000FF" w:themeColor="text2"/>
        </w:rPr>
        <w:t>Table S</w:t>
      </w:r>
      <w:r w:rsidR="0050321A">
        <w:rPr>
          <w:b/>
          <w:color w:val="0000FF" w:themeColor="text2"/>
        </w:rPr>
        <w:t>5</w:t>
      </w:r>
      <w:r w:rsidRPr="00816657">
        <w:rPr>
          <w:b/>
          <w:color w:val="0000FF" w:themeColor="text2"/>
        </w:rPr>
        <w:t xml:space="preserve">: </w:t>
      </w:r>
      <w:r w:rsidRPr="00816657">
        <w:rPr>
          <w:b/>
          <w:color w:val="0000FF" w:themeColor="text2"/>
        </w:rPr>
        <w:tab/>
        <w:t>National assessment of projected arisings vs. infrastructure capacity</w:t>
      </w:r>
    </w:p>
    <w:tbl>
      <w:tblPr>
        <w:tblW w:w="11303" w:type="dxa"/>
        <w:tblLayout w:type="fixed"/>
        <w:tblLook w:val="04A0"/>
      </w:tblPr>
      <w:tblGrid>
        <w:gridCol w:w="3936"/>
        <w:gridCol w:w="1273"/>
        <w:gridCol w:w="144"/>
        <w:gridCol w:w="1273"/>
        <w:gridCol w:w="1417"/>
        <w:gridCol w:w="1276"/>
        <w:gridCol w:w="1984"/>
      </w:tblGrid>
      <w:tr w:rsidR="00795276" w:rsidRPr="00816657" w:rsidTr="007F5BD4">
        <w:trPr>
          <w:gridAfter w:val="1"/>
          <w:wAfter w:w="1984" w:type="dxa"/>
          <w:cantSplit/>
        </w:trPr>
        <w:tc>
          <w:tcPr>
            <w:tcW w:w="3936" w:type="dxa"/>
            <w:tcBorders>
              <w:top w:val="nil"/>
              <w:left w:val="nil"/>
              <w:bottom w:val="single" w:sz="4" w:space="0" w:color="808080"/>
              <w:right w:val="nil"/>
            </w:tcBorders>
            <w:shd w:val="clear" w:color="000000" w:fill="C5D9F1"/>
            <w:vAlign w:val="center"/>
            <w:hideMark/>
          </w:tcPr>
          <w:p w:rsidR="00795276" w:rsidRPr="00816657" w:rsidRDefault="00795276" w:rsidP="00DF4368">
            <w:pPr>
              <w:spacing w:line="240" w:lineRule="auto"/>
              <w:jc w:val="center"/>
              <w:rPr>
                <w:rFonts w:cs="Times New Roman"/>
                <w:b/>
                <w:bCs/>
                <w:color w:val="000000"/>
                <w:szCs w:val="20"/>
                <w:lang w:eastAsia="en-AU"/>
              </w:rPr>
            </w:pPr>
            <w:r w:rsidRPr="00816657">
              <w:rPr>
                <w:rFonts w:cs="Times New Roman"/>
                <w:b/>
                <w:bCs/>
                <w:color w:val="000000"/>
                <w:szCs w:val="20"/>
                <w:lang w:eastAsia="en-AU"/>
              </w:rPr>
              <w:t>Infrastructure group</w:t>
            </w:r>
          </w:p>
        </w:tc>
        <w:tc>
          <w:tcPr>
            <w:tcW w:w="1417" w:type="dxa"/>
            <w:gridSpan w:val="2"/>
            <w:tcBorders>
              <w:top w:val="nil"/>
              <w:left w:val="nil"/>
              <w:bottom w:val="single" w:sz="4" w:space="0" w:color="808080"/>
              <w:right w:val="nil"/>
            </w:tcBorders>
            <w:shd w:val="clear" w:color="000000" w:fill="C5D9F1"/>
          </w:tcPr>
          <w:p w:rsidR="00795276" w:rsidRPr="00816657" w:rsidRDefault="00795276">
            <w:pPr>
              <w:spacing w:line="240" w:lineRule="auto"/>
              <w:jc w:val="center"/>
              <w:rPr>
                <w:rFonts w:cs="Times New Roman"/>
                <w:b/>
                <w:bCs/>
                <w:color w:val="000000"/>
                <w:szCs w:val="20"/>
                <w:lang w:eastAsia="en-AU"/>
              </w:rPr>
            </w:pPr>
            <w:r>
              <w:rPr>
                <w:rFonts w:cs="Times New Roman"/>
                <w:b/>
                <w:bCs/>
                <w:color w:val="auto"/>
                <w:szCs w:val="20"/>
                <w:lang w:eastAsia="en-AU"/>
              </w:rPr>
              <w:t xml:space="preserve">Uncertainty of cap. </w:t>
            </w:r>
            <w:proofErr w:type="gramStart"/>
            <w:r>
              <w:rPr>
                <w:rFonts w:cs="Times New Roman"/>
                <w:b/>
                <w:bCs/>
                <w:color w:val="auto"/>
                <w:szCs w:val="20"/>
                <w:lang w:eastAsia="en-AU"/>
              </w:rPr>
              <w:t>ass</w:t>
            </w:r>
            <w:proofErr w:type="gramEnd"/>
            <w:r>
              <w:rPr>
                <w:rFonts w:cs="Times New Roman"/>
                <w:b/>
                <w:bCs/>
                <w:color w:val="auto"/>
                <w:szCs w:val="20"/>
                <w:lang w:eastAsia="en-AU"/>
              </w:rPr>
              <w:t>.</w:t>
            </w:r>
          </w:p>
        </w:tc>
        <w:tc>
          <w:tcPr>
            <w:tcW w:w="3966" w:type="dxa"/>
            <w:gridSpan w:val="3"/>
            <w:tcBorders>
              <w:top w:val="nil"/>
              <w:left w:val="nil"/>
              <w:bottom w:val="single" w:sz="4" w:space="0" w:color="808080"/>
              <w:right w:val="single" w:sz="4" w:space="0" w:color="BFBFBF"/>
            </w:tcBorders>
            <w:shd w:val="clear" w:color="000000" w:fill="C5D9F1"/>
            <w:vAlign w:val="center"/>
            <w:hideMark/>
          </w:tcPr>
          <w:p w:rsidR="00795276" w:rsidRPr="00816657" w:rsidRDefault="00795276" w:rsidP="00DF4368">
            <w:pPr>
              <w:spacing w:line="240" w:lineRule="auto"/>
              <w:jc w:val="center"/>
              <w:rPr>
                <w:rFonts w:cs="Times New Roman"/>
                <w:b/>
                <w:bCs/>
                <w:color w:val="000000"/>
                <w:szCs w:val="20"/>
                <w:lang w:eastAsia="en-AU"/>
              </w:rPr>
            </w:pPr>
            <w:r w:rsidRPr="00816657">
              <w:rPr>
                <w:rFonts w:cs="Times New Roman"/>
                <w:b/>
                <w:bCs/>
                <w:color w:val="000000"/>
                <w:szCs w:val="20"/>
                <w:lang w:eastAsia="en-AU"/>
              </w:rPr>
              <w:t>Estimate year that arisings exceed capacity</w:t>
            </w:r>
          </w:p>
          <w:p w:rsidR="00795276" w:rsidRPr="00816657" w:rsidRDefault="00795276">
            <w:pPr>
              <w:spacing w:line="240" w:lineRule="auto"/>
              <w:jc w:val="center"/>
              <w:rPr>
                <w:rFonts w:cs="Times New Roman"/>
                <w:b/>
                <w:bCs/>
                <w:color w:val="000000"/>
                <w:szCs w:val="20"/>
                <w:lang w:eastAsia="en-AU"/>
              </w:rPr>
            </w:pPr>
            <w:r w:rsidRPr="00816657">
              <w:rPr>
                <w:rFonts w:cs="Times New Roman"/>
                <w:b/>
                <w:bCs/>
                <w:color w:val="000000"/>
                <w:szCs w:val="20"/>
                <w:lang w:eastAsia="en-AU"/>
              </w:rPr>
              <w:t>Best                  High                    Low</w:t>
            </w:r>
          </w:p>
        </w:tc>
      </w:tr>
      <w:tr w:rsidR="00795276" w:rsidRPr="00816657" w:rsidTr="00795276">
        <w:trPr>
          <w:gridAfter w:val="1"/>
          <w:wAfter w:w="1984" w:type="dxa"/>
          <w:cantSplit/>
        </w:trPr>
        <w:tc>
          <w:tcPr>
            <w:tcW w:w="9319" w:type="dxa"/>
            <w:gridSpan w:val="6"/>
            <w:tcBorders>
              <w:top w:val="single" w:sz="4" w:space="0" w:color="808080"/>
              <w:left w:val="nil"/>
              <w:bottom w:val="nil"/>
              <w:right w:val="nil"/>
            </w:tcBorders>
            <w:shd w:val="clear" w:color="000000" w:fill="C5D9F1"/>
          </w:tcPr>
          <w:p w:rsidR="00795276" w:rsidRPr="00816657" w:rsidRDefault="00795276" w:rsidP="00DF4368">
            <w:pPr>
              <w:spacing w:line="240" w:lineRule="auto"/>
              <w:rPr>
                <w:rFonts w:cs="Times New Roman"/>
                <w:b/>
                <w:bCs/>
                <w:color w:val="000000"/>
                <w:szCs w:val="20"/>
                <w:lang w:eastAsia="en-AU"/>
              </w:rPr>
            </w:pPr>
            <w:r w:rsidRPr="00816657">
              <w:rPr>
                <w:rFonts w:cs="Times New Roman"/>
                <w:b/>
                <w:bCs/>
                <w:color w:val="000000"/>
                <w:szCs w:val="20"/>
                <w:lang w:eastAsia="en-AU"/>
              </w:rPr>
              <w:t>Recovery: recycling and energy recovery (ER)</w:t>
            </w:r>
          </w:p>
        </w:tc>
      </w:tr>
      <w:tr w:rsidR="006676BF" w:rsidRPr="00816657" w:rsidTr="007F5BD4">
        <w:trPr>
          <w:gridAfter w:val="1"/>
          <w:wAfter w:w="1984" w:type="dxa"/>
          <w:cantSplit/>
        </w:trPr>
        <w:tc>
          <w:tcPr>
            <w:tcW w:w="3936" w:type="dxa"/>
            <w:tcBorders>
              <w:top w:val="nil"/>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Hazwaste packaging fac.</w:t>
            </w:r>
          </w:p>
        </w:tc>
        <w:tc>
          <w:tcPr>
            <w:tcW w:w="1273" w:type="dxa"/>
            <w:tcBorders>
              <w:top w:val="single" w:sz="4" w:space="0" w:color="D9D9D9"/>
              <w:left w:val="nil"/>
              <w:bottom w:val="single" w:sz="4" w:space="0" w:color="808080"/>
              <w:right w:val="single" w:sz="4" w:space="0" w:color="BFBFBF"/>
            </w:tcBorders>
            <w:shd w:val="clear" w:color="000000" w:fill="FFFFFF"/>
            <w:noWrap/>
            <w:vAlign w:val="center"/>
          </w:tcPr>
          <w:p w:rsidR="006676BF" w:rsidRPr="00816657" w:rsidRDefault="006676BF">
            <w:pPr>
              <w:spacing w:line="240" w:lineRule="auto"/>
              <w:rPr>
                <w:rFonts w:cs="Times New Roman"/>
                <w:color w:val="000000"/>
                <w:szCs w:val="20"/>
                <w:lang w:eastAsia="en-AU"/>
              </w:rPr>
            </w:pPr>
            <w:r w:rsidRPr="00577B8F">
              <w:rPr>
                <w:rFonts w:cs="Times New Roman"/>
                <w:color w:val="000000"/>
                <w:szCs w:val="20"/>
                <w:lang w:eastAsia="en-AU"/>
              </w:rPr>
              <w:t>Moderate</w:t>
            </w:r>
          </w:p>
        </w:tc>
        <w:tc>
          <w:tcPr>
            <w:tcW w:w="1417" w:type="dxa"/>
            <w:gridSpan w:val="2"/>
            <w:tcBorders>
              <w:top w:val="single" w:sz="4" w:space="0" w:color="D9D9D9"/>
              <w:left w:val="nil"/>
              <w:bottom w:val="single" w:sz="4" w:space="0" w:color="808080"/>
              <w:right w:val="single" w:sz="4" w:space="0" w:color="BFBFBF" w:themeColor="background1" w:themeShade="BF"/>
            </w:tcBorders>
            <w:shd w:val="clear" w:color="000000" w:fill="FFFFFF"/>
          </w:tcPr>
          <w:p w:rsidR="006676BF" w:rsidRPr="00816657" w:rsidDel="005C513C" w:rsidRDefault="006676BF" w:rsidP="007F5BD4">
            <w:pPr>
              <w:spacing w:line="240" w:lineRule="auto"/>
              <w:jc w:val="center"/>
              <w:rPr>
                <w:rFonts w:cs="Times New Roman"/>
                <w:color w:val="000000"/>
                <w:szCs w:val="20"/>
                <w:lang w:eastAsia="en-AU"/>
              </w:rPr>
            </w:pPr>
            <w:r w:rsidRPr="00E3430E">
              <w:t>&gt;2034</w:t>
            </w:r>
          </w:p>
        </w:tc>
        <w:tc>
          <w:tcPr>
            <w:tcW w:w="1417" w:type="dxa"/>
            <w:tcBorders>
              <w:top w:val="single" w:sz="4" w:space="0" w:color="D9D9D9"/>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rsidP="007F5BD4">
            <w:pPr>
              <w:spacing w:line="240" w:lineRule="auto"/>
              <w:jc w:val="center"/>
              <w:rPr>
                <w:rFonts w:cs="Times New Roman"/>
                <w:color w:val="000000"/>
                <w:szCs w:val="20"/>
                <w:lang w:eastAsia="en-AU"/>
              </w:rPr>
            </w:pPr>
            <w:r w:rsidRPr="00E3430E">
              <w:t>&gt;2034</w:t>
            </w:r>
          </w:p>
        </w:tc>
        <w:tc>
          <w:tcPr>
            <w:tcW w:w="1276" w:type="dxa"/>
            <w:tcBorders>
              <w:top w:val="single" w:sz="4" w:space="0" w:color="D9D9D9"/>
              <w:left w:val="nil"/>
              <w:bottom w:val="single" w:sz="4" w:space="0" w:color="808080"/>
              <w:right w:val="single" w:sz="4" w:space="0" w:color="BFBFBF"/>
            </w:tcBorders>
            <w:shd w:val="clear" w:color="000000" w:fill="FFFFFF"/>
            <w:noWrap/>
          </w:tcPr>
          <w:p w:rsidR="006676BF" w:rsidRPr="00816657" w:rsidRDefault="006676BF" w:rsidP="007F5BD4">
            <w:pPr>
              <w:spacing w:line="240" w:lineRule="auto"/>
              <w:jc w:val="center"/>
              <w:rPr>
                <w:rFonts w:cs="Times New Roman"/>
                <w:color w:val="000000"/>
                <w:szCs w:val="20"/>
                <w:lang w:eastAsia="en-AU"/>
              </w:rPr>
            </w:pPr>
            <w:r w:rsidRPr="00E3430E">
              <w:t>&gt;2034</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E-waste fac.</w:t>
            </w:r>
          </w:p>
        </w:tc>
        <w:tc>
          <w:tcPr>
            <w:tcW w:w="1273" w:type="dxa"/>
            <w:tcBorders>
              <w:top w:val="nil"/>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Moderate</w:t>
            </w:r>
          </w:p>
        </w:tc>
        <w:tc>
          <w:tcPr>
            <w:tcW w:w="1417" w:type="dxa"/>
            <w:gridSpan w:val="2"/>
            <w:tcBorders>
              <w:top w:val="nil"/>
              <w:left w:val="nil"/>
              <w:bottom w:val="single" w:sz="4" w:space="0" w:color="808080"/>
              <w:right w:val="single" w:sz="4" w:space="0" w:color="BFBFBF" w:themeColor="background1" w:themeShade="BF"/>
            </w:tcBorders>
            <w:shd w:val="clear" w:color="000000" w:fill="FFFFFF"/>
          </w:tcPr>
          <w:p w:rsidR="006676BF" w:rsidRPr="00816657" w:rsidRDefault="006676BF">
            <w:pPr>
              <w:spacing w:line="240" w:lineRule="auto"/>
              <w:jc w:val="center"/>
              <w:rPr>
                <w:rFonts w:cs="Times New Roman"/>
                <w:color w:val="000000"/>
                <w:szCs w:val="20"/>
                <w:lang w:eastAsia="en-AU"/>
              </w:rPr>
            </w:pPr>
            <w:r w:rsidRPr="00E3430E">
              <w:t>&gt;2034</w:t>
            </w:r>
          </w:p>
        </w:tc>
        <w:tc>
          <w:tcPr>
            <w:tcW w:w="1417" w:type="dxa"/>
            <w:tcBorders>
              <w:top w:val="nil"/>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2034</w:t>
            </w:r>
          </w:p>
        </w:tc>
        <w:tc>
          <w:tcPr>
            <w:tcW w:w="1276" w:type="dxa"/>
            <w:tcBorders>
              <w:top w:val="nil"/>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Oil re-refining fac.</w:t>
            </w:r>
          </w:p>
        </w:tc>
        <w:tc>
          <w:tcPr>
            <w:tcW w:w="1273" w:type="dxa"/>
            <w:tcBorders>
              <w:top w:val="nil"/>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Moderate</w:t>
            </w:r>
          </w:p>
        </w:tc>
        <w:tc>
          <w:tcPr>
            <w:tcW w:w="1417" w:type="dxa"/>
            <w:gridSpan w:val="2"/>
            <w:tcBorders>
              <w:top w:val="nil"/>
              <w:left w:val="nil"/>
              <w:bottom w:val="single" w:sz="4" w:space="0" w:color="808080"/>
              <w:right w:val="single" w:sz="4" w:space="0" w:color="BFBFBF" w:themeColor="background1" w:themeShade="BF"/>
            </w:tcBorders>
            <w:shd w:val="clear" w:color="000000" w:fill="FFFFFF"/>
          </w:tcPr>
          <w:p w:rsidR="006676BF" w:rsidRPr="00816657" w:rsidDel="005C513C" w:rsidRDefault="006676BF">
            <w:pPr>
              <w:spacing w:line="240" w:lineRule="auto"/>
              <w:jc w:val="center"/>
              <w:rPr>
                <w:rFonts w:cs="Times New Roman"/>
                <w:color w:val="000000"/>
                <w:szCs w:val="20"/>
                <w:lang w:eastAsia="en-AU"/>
              </w:rPr>
            </w:pPr>
            <w:r w:rsidRPr="00E3430E">
              <w:t>2023</w:t>
            </w:r>
          </w:p>
        </w:tc>
        <w:tc>
          <w:tcPr>
            <w:tcW w:w="1417" w:type="dxa"/>
            <w:tcBorders>
              <w:top w:val="nil"/>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2020</w:t>
            </w:r>
          </w:p>
        </w:tc>
        <w:tc>
          <w:tcPr>
            <w:tcW w:w="1276" w:type="dxa"/>
            <w:tcBorders>
              <w:top w:val="nil"/>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Lead fac.</w:t>
            </w:r>
          </w:p>
        </w:tc>
        <w:tc>
          <w:tcPr>
            <w:tcW w:w="1273" w:type="dxa"/>
            <w:tcBorders>
              <w:top w:val="nil"/>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Low</w:t>
            </w:r>
          </w:p>
        </w:tc>
        <w:tc>
          <w:tcPr>
            <w:tcW w:w="1417" w:type="dxa"/>
            <w:gridSpan w:val="2"/>
            <w:tcBorders>
              <w:top w:val="nil"/>
              <w:left w:val="nil"/>
              <w:bottom w:val="single" w:sz="4" w:space="0" w:color="808080"/>
              <w:right w:val="single" w:sz="4" w:space="0" w:color="BFBFBF" w:themeColor="background1" w:themeShade="BF"/>
            </w:tcBorders>
            <w:shd w:val="clear" w:color="000000" w:fill="FFFFFF"/>
          </w:tcPr>
          <w:p w:rsidR="006676BF" w:rsidRPr="00816657" w:rsidDel="005C513C" w:rsidRDefault="006676BF">
            <w:pPr>
              <w:spacing w:line="240" w:lineRule="auto"/>
              <w:jc w:val="center"/>
              <w:rPr>
                <w:rFonts w:cs="Times New Roman"/>
                <w:color w:val="000000"/>
                <w:szCs w:val="20"/>
                <w:lang w:eastAsia="en-AU"/>
              </w:rPr>
            </w:pPr>
            <w:r w:rsidRPr="00E3430E">
              <w:t>2031</w:t>
            </w:r>
          </w:p>
        </w:tc>
        <w:tc>
          <w:tcPr>
            <w:tcW w:w="1417" w:type="dxa"/>
            <w:tcBorders>
              <w:top w:val="nil"/>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2022</w:t>
            </w:r>
          </w:p>
        </w:tc>
        <w:tc>
          <w:tcPr>
            <w:tcW w:w="1276" w:type="dxa"/>
            <w:tcBorders>
              <w:top w:val="nil"/>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Mercury fac.</w:t>
            </w:r>
          </w:p>
        </w:tc>
        <w:tc>
          <w:tcPr>
            <w:tcW w:w="1273" w:type="dxa"/>
            <w:tcBorders>
              <w:top w:val="nil"/>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Low</w:t>
            </w:r>
          </w:p>
        </w:tc>
        <w:tc>
          <w:tcPr>
            <w:tcW w:w="1417" w:type="dxa"/>
            <w:gridSpan w:val="2"/>
            <w:tcBorders>
              <w:top w:val="nil"/>
              <w:left w:val="nil"/>
              <w:bottom w:val="single" w:sz="4" w:space="0" w:color="808080"/>
              <w:right w:val="single" w:sz="4" w:space="0" w:color="BFBFBF" w:themeColor="background1" w:themeShade="BF"/>
            </w:tcBorders>
            <w:shd w:val="clear" w:color="000000" w:fill="FFFFFF"/>
          </w:tcPr>
          <w:p w:rsidR="006676BF" w:rsidRPr="00816657" w:rsidRDefault="006676BF">
            <w:pPr>
              <w:spacing w:line="240" w:lineRule="auto"/>
              <w:jc w:val="center"/>
              <w:rPr>
                <w:rFonts w:cs="Times New Roman"/>
                <w:color w:val="000000"/>
                <w:szCs w:val="20"/>
                <w:lang w:eastAsia="en-AU"/>
              </w:rPr>
            </w:pPr>
            <w:r w:rsidRPr="00E3430E">
              <w:t>&gt;2034</w:t>
            </w:r>
          </w:p>
        </w:tc>
        <w:tc>
          <w:tcPr>
            <w:tcW w:w="1417" w:type="dxa"/>
            <w:tcBorders>
              <w:top w:val="nil"/>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c>
          <w:tcPr>
            <w:tcW w:w="1276" w:type="dxa"/>
            <w:tcBorders>
              <w:top w:val="nil"/>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Solvents/paints fac.</w:t>
            </w:r>
          </w:p>
        </w:tc>
        <w:tc>
          <w:tcPr>
            <w:tcW w:w="1273" w:type="dxa"/>
            <w:tcBorders>
              <w:top w:val="nil"/>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A6A6A6"/>
                <w:szCs w:val="20"/>
                <w:lang w:eastAsia="en-AU"/>
              </w:rPr>
            </w:pPr>
            <w:r w:rsidRPr="00577B8F">
              <w:rPr>
                <w:rFonts w:cs="Times New Roman"/>
                <w:color w:val="000000"/>
                <w:szCs w:val="20"/>
                <w:lang w:eastAsia="en-AU"/>
              </w:rPr>
              <w:t>High</w:t>
            </w:r>
          </w:p>
        </w:tc>
        <w:tc>
          <w:tcPr>
            <w:tcW w:w="1417" w:type="dxa"/>
            <w:gridSpan w:val="2"/>
            <w:tcBorders>
              <w:top w:val="nil"/>
              <w:left w:val="nil"/>
              <w:bottom w:val="single" w:sz="4" w:space="0" w:color="808080"/>
              <w:right w:val="single" w:sz="4" w:space="0" w:color="BFBFBF" w:themeColor="background1" w:themeShade="BF"/>
            </w:tcBorders>
            <w:shd w:val="clear" w:color="000000" w:fill="FFFFFF"/>
          </w:tcPr>
          <w:p w:rsidR="006676BF" w:rsidRPr="00816657" w:rsidDel="005C513C" w:rsidRDefault="006676BF">
            <w:pPr>
              <w:spacing w:line="240" w:lineRule="auto"/>
              <w:jc w:val="center"/>
              <w:rPr>
                <w:rFonts w:cs="Times New Roman"/>
                <w:color w:val="A6A6A6"/>
                <w:szCs w:val="20"/>
                <w:lang w:eastAsia="en-AU"/>
              </w:rPr>
            </w:pPr>
            <w:r w:rsidRPr="00E3430E">
              <w:t>2015</w:t>
            </w:r>
          </w:p>
        </w:tc>
        <w:tc>
          <w:tcPr>
            <w:tcW w:w="1417" w:type="dxa"/>
            <w:tcBorders>
              <w:top w:val="nil"/>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A6A6A6"/>
                <w:szCs w:val="20"/>
                <w:lang w:eastAsia="en-AU"/>
              </w:rPr>
            </w:pPr>
            <w:r w:rsidRPr="00E3430E">
              <w:t>2015</w:t>
            </w:r>
          </w:p>
        </w:tc>
        <w:tc>
          <w:tcPr>
            <w:tcW w:w="1276" w:type="dxa"/>
            <w:tcBorders>
              <w:top w:val="nil"/>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A6A6A6"/>
                <w:szCs w:val="20"/>
                <w:lang w:eastAsia="en-AU"/>
              </w:rPr>
            </w:pPr>
            <w:r w:rsidRPr="00E3430E">
              <w:t>2015</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auto"/>
            <w:hideMark/>
          </w:tcPr>
          <w:p w:rsidR="006676BF" w:rsidRPr="00816657" w:rsidRDefault="006676BF" w:rsidP="002E762B">
            <w:pPr>
              <w:spacing w:line="240" w:lineRule="auto"/>
              <w:rPr>
                <w:rFonts w:cs="Times New Roman"/>
                <w:color w:val="000000"/>
                <w:szCs w:val="20"/>
                <w:lang w:eastAsia="en-AU"/>
              </w:rPr>
            </w:pPr>
            <w:r w:rsidRPr="00BF34A9">
              <w:t>Solvents/paints fac. (ER)</w:t>
            </w:r>
          </w:p>
        </w:tc>
        <w:tc>
          <w:tcPr>
            <w:tcW w:w="1273" w:type="dxa"/>
            <w:tcBorders>
              <w:top w:val="nil"/>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Low</w:t>
            </w:r>
          </w:p>
        </w:tc>
        <w:tc>
          <w:tcPr>
            <w:tcW w:w="1417" w:type="dxa"/>
            <w:gridSpan w:val="2"/>
            <w:tcBorders>
              <w:top w:val="nil"/>
              <w:left w:val="nil"/>
              <w:bottom w:val="single" w:sz="4" w:space="0" w:color="808080"/>
              <w:right w:val="single" w:sz="4" w:space="0" w:color="BFBFBF" w:themeColor="background1" w:themeShade="BF"/>
            </w:tcBorders>
            <w:shd w:val="clear" w:color="000000" w:fill="FFFFFF"/>
          </w:tcPr>
          <w:p w:rsidR="006676BF" w:rsidRPr="00816657" w:rsidRDefault="006676BF">
            <w:pPr>
              <w:spacing w:line="240" w:lineRule="auto"/>
              <w:jc w:val="center"/>
              <w:rPr>
                <w:rFonts w:cs="Times New Roman"/>
                <w:color w:val="000000"/>
                <w:szCs w:val="20"/>
                <w:lang w:eastAsia="en-AU"/>
              </w:rPr>
            </w:pPr>
            <w:r w:rsidRPr="00E3430E">
              <w:t>&gt;2034</w:t>
            </w:r>
          </w:p>
        </w:tc>
        <w:tc>
          <w:tcPr>
            <w:tcW w:w="1417" w:type="dxa"/>
            <w:tcBorders>
              <w:top w:val="nil"/>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2030</w:t>
            </w:r>
          </w:p>
        </w:tc>
        <w:tc>
          <w:tcPr>
            <w:tcW w:w="1276" w:type="dxa"/>
            <w:tcBorders>
              <w:top w:val="nil"/>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 xml:space="preserve">Spent </w:t>
            </w:r>
            <w:r w:rsidR="00061B2C">
              <w:t>pot</w:t>
            </w:r>
            <w:r w:rsidRPr="00BF34A9">
              <w:t>lining fac.</w:t>
            </w:r>
          </w:p>
        </w:tc>
        <w:tc>
          <w:tcPr>
            <w:tcW w:w="1273" w:type="dxa"/>
            <w:tcBorders>
              <w:top w:val="nil"/>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Low</w:t>
            </w:r>
          </w:p>
        </w:tc>
        <w:tc>
          <w:tcPr>
            <w:tcW w:w="1417" w:type="dxa"/>
            <w:gridSpan w:val="2"/>
            <w:tcBorders>
              <w:top w:val="nil"/>
              <w:left w:val="nil"/>
              <w:bottom w:val="single" w:sz="4" w:space="0" w:color="808080"/>
              <w:right w:val="single" w:sz="4" w:space="0" w:color="BFBFBF" w:themeColor="background1" w:themeShade="BF"/>
            </w:tcBorders>
            <w:shd w:val="clear" w:color="000000" w:fill="FFFFFF"/>
          </w:tcPr>
          <w:p w:rsidR="006676BF" w:rsidRPr="00816657" w:rsidDel="005C513C" w:rsidRDefault="006676BF">
            <w:pPr>
              <w:spacing w:line="240" w:lineRule="auto"/>
              <w:jc w:val="center"/>
              <w:rPr>
                <w:rFonts w:cs="Times New Roman"/>
                <w:color w:val="000000"/>
                <w:szCs w:val="20"/>
                <w:lang w:eastAsia="en-AU"/>
              </w:rPr>
            </w:pPr>
            <w:r w:rsidRPr="00E3430E">
              <w:t>&gt;2034</w:t>
            </w:r>
          </w:p>
        </w:tc>
        <w:tc>
          <w:tcPr>
            <w:tcW w:w="1417" w:type="dxa"/>
            <w:tcBorders>
              <w:top w:val="nil"/>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FB658B">
            <w:pPr>
              <w:spacing w:line="240" w:lineRule="auto"/>
              <w:jc w:val="center"/>
              <w:rPr>
                <w:rFonts w:cs="Times New Roman"/>
                <w:color w:val="000000"/>
                <w:szCs w:val="20"/>
                <w:lang w:eastAsia="en-AU"/>
              </w:rPr>
            </w:pPr>
            <w:r>
              <w:rPr>
                <w:rFonts w:cs="Times New Roman"/>
                <w:color w:val="000000"/>
                <w:szCs w:val="20"/>
                <w:lang w:eastAsia="en-AU"/>
              </w:rPr>
              <w:t>2017</w:t>
            </w:r>
          </w:p>
        </w:tc>
        <w:tc>
          <w:tcPr>
            <w:tcW w:w="1276" w:type="dxa"/>
            <w:tcBorders>
              <w:top w:val="nil"/>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D9D9D9" w:themeFill="background1" w:themeFillShade="D9"/>
            <w:hideMark/>
          </w:tcPr>
          <w:p w:rsidR="006676BF" w:rsidRPr="00816657" w:rsidRDefault="006676BF" w:rsidP="002E762B">
            <w:pPr>
              <w:spacing w:line="240" w:lineRule="auto"/>
              <w:rPr>
                <w:rFonts w:cs="Times New Roman"/>
                <w:color w:val="000000"/>
                <w:szCs w:val="20"/>
                <w:lang w:eastAsia="en-AU"/>
              </w:rPr>
            </w:pPr>
            <w:r w:rsidRPr="00BF34A9">
              <w:t xml:space="preserve">Organics fac. </w:t>
            </w:r>
          </w:p>
        </w:tc>
        <w:tc>
          <w:tcPr>
            <w:tcW w:w="1273" w:type="dxa"/>
            <w:tcBorders>
              <w:top w:val="single" w:sz="4" w:space="0" w:color="D9D9D9"/>
              <w:left w:val="nil"/>
              <w:bottom w:val="single" w:sz="4" w:space="0" w:color="808080"/>
              <w:right w:val="single" w:sz="4" w:space="0" w:color="BFBFBF"/>
            </w:tcBorders>
            <w:shd w:val="clear" w:color="auto" w:fill="D9D9D9" w:themeFill="background1" w:themeFillShade="D9"/>
            <w:noWrap/>
            <w:vAlign w:val="center"/>
          </w:tcPr>
          <w:p w:rsidR="006676BF" w:rsidRPr="00816657" w:rsidRDefault="006676BF" w:rsidP="007F5BD4">
            <w:pPr>
              <w:spacing w:line="240" w:lineRule="auto"/>
              <w:rPr>
                <w:rFonts w:cs="Times New Roman"/>
                <w:color w:val="A6A6A6"/>
                <w:szCs w:val="20"/>
                <w:lang w:eastAsia="en-AU"/>
              </w:rPr>
            </w:pPr>
            <w:r w:rsidRPr="00577B8F">
              <w:rPr>
                <w:rFonts w:cs="Times New Roman"/>
                <w:color w:val="000000"/>
                <w:szCs w:val="20"/>
                <w:lang w:eastAsia="en-AU"/>
              </w:rPr>
              <w:t>Very high</w:t>
            </w:r>
          </w:p>
        </w:tc>
        <w:tc>
          <w:tcPr>
            <w:tcW w:w="1417" w:type="dxa"/>
            <w:gridSpan w:val="2"/>
            <w:tcBorders>
              <w:top w:val="single" w:sz="4" w:space="0" w:color="D9D9D9"/>
              <w:left w:val="nil"/>
              <w:bottom w:val="single" w:sz="4" w:space="0" w:color="808080"/>
              <w:right w:val="single" w:sz="4" w:space="0" w:color="BFBFBF" w:themeColor="background1" w:themeShade="BF"/>
            </w:tcBorders>
            <w:shd w:val="clear" w:color="auto" w:fill="D9D9D9" w:themeFill="background1" w:themeFillShade="D9"/>
          </w:tcPr>
          <w:p w:rsidR="006676BF" w:rsidRPr="00816657" w:rsidDel="005C513C" w:rsidRDefault="006676BF">
            <w:pPr>
              <w:spacing w:line="240" w:lineRule="auto"/>
              <w:jc w:val="center"/>
              <w:rPr>
                <w:rFonts w:cs="Times New Roman"/>
                <w:color w:val="A6A6A6"/>
                <w:szCs w:val="20"/>
                <w:lang w:eastAsia="en-AU"/>
              </w:rPr>
            </w:pPr>
            <w:r w:rsidRPr="00E3430E">
              <w:t>2015</w:t>
            </w:r>
          </w:p>
        </w:tc>
        <w:tc>
          <w:tcPr>
            <w:tcW w:w="1417" w:type="dxa"/>
            <w:tcBorders>
              <w:top w:val="single" w:sz="4" w:space="0" w:color="D9D9D9"/>
              <w:left w:val="single" w:sz="4" w:space="0" w:color="BFBFBF" w:themeColor="background1" w:themeShade="BF"/>
              <w:bottom w:val="single" w:sz="4" w:space="0" w:color="808080"/>
              <w:right w:val="single" w:sz="4" w:space="0" w:color="BFBFBF"/>
            </w:tcBorders>
            <w:shd w:val="clear" w:color="auto" w:fill="D9D9D9" w:themeFill="background1" w:themeFillShade="D9"/>
            <w:noWrap/>
          </w:tcPr>
          <w:p w:rsidR="006676BF" w:rsidRPr="00816657" w:rsidRDefault="006676BF">
            <w:pPr>
              <w:spacing w:line="240" w:lineRule="auto"/>
              <w:jc w:val="center"/>
              <w:rPr>
                <w:rFonts w:cs="Times New Roman"/>
                <w:color w:val="A6A6A6"/>
                <w:szCs w:val="20"/>
                <w:lang w:eastAsia="en-AU"/>
              </w:rPr>
            </w:pPr>
            <w:r w:rsidRPr="00E3430E">
              <w:t>2015</w:t>
            </w:r>
          </w:p>
        </w:tc>
        <w:tc>
          <w:tcPr>
            <w:tcW w:w="1276" w:type="dxa"/>
            <w:tcBorders>
              <w:top w:val="single" w:sz="4" w:space="0" w:color="D9D9D9"/>
              <w:left w:val="nil"/>
              <w:bottom w:val="single" w:sz="4" w:space="0" w:color="808080"/>
              <w:right w:val="single" w:sz="4" w:space="0" w:color="BFBFBF"/>
            </w:tcBorders>
            <w:shd w:val="clear" w:color="auto" w:fill="D9D9D9" w:themeFill="background1" w:themeFillShade="D9"/>
            <w:noWrap/>
          </w:tcPr>
          <w:p w:rsidR="006676BF" w:rsidRPr="00816657" w:rsidRDefault="006676BF">
            <w:pPr>
              <w:spacing w:line="240" w:lineRule="auto"/>
              <w:jc w:val="center"/>
              <w:rPr>
                <w:rFonts w:cs="Times New Roman"/>
                <w:color w:val="A6A6A6"/>
                <w:szCs w:val="20"/>
                <w:lang w:eastAsia="en-AU"/>
              </w:rPr>
            </w:pPr>
            <w:r w:rsidRPr="00E3430E">
              <w:t>2015</w:t>
            </w:r>
          </w:p>
        </w:tc>
      </w:tr>
      <w:tr w:rsidR="006676BF" w:rsidRPr="00816657" w:rsidTr="007F5BD4">
        <w:trPr>
          <w:gridAfter w:val="1"/>
          <w:wAfter w:w="1984" w:type="dxa"/>
          <w:cantSplit/>
        </w:trPr>
        <w:tc>
          <w:tcPr>
            <w:tcW w:w="3936" w:type="dxa"/>
            <w:tcBorders>
              <w:top w:val="single" w:sz="4" w:space="0" w:color="808080"/>
              <w:left w:val="nil"/>
              <w:bottom w:val="nil"/>
              <w:right w:val="nil"/>
            </w:tcBorders>
            <w:shd w:val="clear" w:color="000000" w:fill="C5D9F1"/>
            <w:noWrap/>
            <w:hideMark/>
          </w:tcPr>
          <w:p w:rsidR="006676BF" w:rsidRPr="00795276" w:rsidRDefault="006676BF" w:rsidP="00DF4368">
            <w:pPr>
              <w:spacing w:line="240" w:lineRule="auto"/>
              <w:rPr>
                <w:rFonts w:cs="Times New Roman"/>
                <w:b/>
                <w:bCs/>
                <w:color w:val="000000"/>
                <w:szCs w:val="20"/>
                <w:lang w:eastAsia="en-AU"/>
              </w:rPr>
            </w:pPr>
            <w:r w:rsidRPr="007F5BD4">
              <w:rPr>
                <w:b/>
              </w:rPr>
              <w:t xml:space="preserve">Treatment </w:t>
            </w:r>
          </w:p>
        </w:tc>
        <w:tc>
          <w:tcPr>
            <w:tcW w:w="1273" w:type="dxa"/>
            <w:tcBorders>
              <w:top w:val="nil"/>
              <w:left w:val="nil"/>
              <w:bottom w:val="nil"/>
              <w:right w:val="nil"/>
            </w:tcBorders>
            <w:shd w:val="clear" w:color="000000" w:fill="C5D9F1"/>
            <w:noWrap/>
            <w:vAlign w:val="center"/>
          </w:tcPr>
          <w:p w:rsidR="006676BF" w:rsidRPr="00816657" w:rsidRDefault="006676BF" w:rsidP="007F5BD4">
            <w:pPr>
              <w:spacing w:line="240" w:lineRule="auto"/>
              <w:rPr>
                <w:rFonts w:cs="Times New Roman"/>
                <w:b/>
                <w:bCs/>
                <w:color w:val="000000"/>
                <w:szCs w:val="20"/>
                <w:lang w:eastAsia="en-AU"/>
              </w:rPr>
            </w:pPr>
            <w:r w:rsidRPr="00577B8F">
              <w:rPr>
                <w:rFonts w:cs="Times New Roman"/>
                <w:bCs/>
                <w:color w:val="000000"/>
                <w:szCs w:val="20"/>
                <w:lang w:eastAsia="en-AU"/>
              </w:rPr>
              <w:t> </w:t>
            </w:r>
          </w:p>
        </w:tc>
        <w:tc>
          <w:tcPr>
            <w:tcW w:w="1417" w:type="dxa"/>
            <w:gridSpan w:val="2"/>
            <w:tcBorders>
              <w:top w:val="nil"/>
              <w:left w:val="nil"/>
              <w:bottom w:val="nil"/>
              <w:right w:val="single" w:sz="4" w:space="0" w:color="BFBFBF" w:themeColor="background1" w:themeShade="BF"/>
            </w:tcBorders>
            <w:shd w:val="clear" w:color="000000" w:fill="C5D9F1"/>
          </w:tcPr>
          <w:p w:rsidR="006676BF" w:rsidRPr="00816657" w:rsidRDefault="006676BF">
            <w:pPr>
              <w:spacing w:line="240" w:lineRule="auto"/>
              <w:jc w:val="center"/>
              <w:rPr>
                <w:rFonts w:cs="Times New Roman"/>
                <w:b/>
                <w:bCs/>
                <w:color w:val="000000"/>
                <w:szCs w:val="20"/>
                <w:lang w:eastAsia="en-AU"/>
              </w:rPr>
            </w:pPr>
          </w:p>
        </w:tc>
        <w:tc>
          <w:tcPr>
            <w:tcW w:w="1417" w:type="dxa"/>
            <w:tcBorders>
              <w:top w:val="nil"/>
              <w:left w:val="single" w:sz="4" w:space="0" w:color="BFBFBF" w:themeColor="background1" w:themeShade="BF"/>
              <w:bottom w:val="nil"/>
              <w:right w:val="nil"/>
            </w:tcBorders>
            <w:shd w:val="clear" w:color="000000" w:fill="C5D9F1"/>
            <w:noWrap/>
          </w:tcPr>
          <w:p w:rsidR="006676BF" w:rsidRPr="00816657" w:rsidRDefault="006676BF">
            <w:pPr>
              <w:spacing w:line="240" w:lineRule="auto"/>
              <w:jc w:val="center"/>
              <w:rPr>
                <w:rFonts w:cs="Times New Roman"/>
                <w:b/>
                <w:bCs/>
                <w:color w:val="000000"/>
                <w:szCs w:val="20"/>
                <w:lang w:eastAsia="en-AU"/>
              </w:rPr>
            </w:pPr>
          </w:p>
        </w:tc>
        <w:tc>
          <w:tcPr>
            <w:tcW w:w="1276" w:type="dxa"/>
            <w:tcBorders>
              <w:top w:val="nil"/>
              <w:left w:val="nil"/>
              <w:bottom w:val="nil"/>
              <w:right w:val="nil"/>
            </w:tcBorders>
            <w:shd w:val="clear" w:color="000000" w:fill="C5D9F1"/>
            <w:noWrap/>
          </w:tcPr>
          <w:p w:rsidR="006676BF" w:rsidRPr="00816657" w:rsidRDefault="006676BF">
            <w:pPr>
              <w:spacing w:line="240" w:lineRule="auto"/>
              <w:jc w:val="center"/>
              <w:rPr>
                <w:rFonts w:cs="Times New Roman"/>
                <w:b/>
                <w:bCs/>
                <w:color w:val="000000"/>
                <w:szCs w:val="20"/>
                <w:lang w:eastAsia="en-AU"/>
              </w:rPr>
            </w:pPr>
          </w:p>
        </w:tc>
      </w:tr>
      <w:tr w:rsidR="006676BF" w:rsidRPr="00816657" w:rsidTr="007F5BD4">
        <w:trPr>
          <w:gridAfter w:val="1"/>
          <w:wAfter w:w="1984" w:type="dxa"/>
          <w:cantSplit/>
        </w:trPr>
        <w:tc>
          <w:tcPr>
            <w:tcW w:w="3936" w:type="dxa"/>
            <w:tcBorders>
              <w:top w:val="nil"/>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CPT plant</w:t>
            </w:r>
          </w:p>
        </w:tc>
        <w:tc>
          <w:tcPr>
            <w:tcW w:w="1273" w:type="dxa"/>
            <w:tcBorders>
              <w:top w:val="single" w:sz="4" w:space="0" w:color="D9D9D9"/>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Moderate</w:t>
            </w:r>
          </w:p>
        </w:tc>
        <w:tc>
          <w:tcPr>
            <w:tcW w:w="1417" w:type="dxa"/>
            <w:gridSpan w:val="2"/>
            <w:tcBorders>
              <w:top w:val="single" w:sz="4" w:space="0" w:color="D9D9D9"/>
              <w:left w:val="nil"/>
              <w:bottom w:val="single" w:sz="4" w:space="0" w:color="808080"/>
              <w:right w:val="single" w:sz="4" w:space="0" w:color="BFBFBF" w:themeColor="background1" w:themeShade="BF"/>
            </w:tcBorders>
            <w:shd w:val="clear" w:color="000000" w:fill="FFFFFF"/>
          </w:tcPr>
          <w:p w:rsidR="006676BF" w:rsidRPr="00816657" w:rsidDel="005C513C" w:rsidRDefault="006676BF">
            <w:pPr>
              <w:spacing w:line="240" w:lineRule="auto"/>
              <w:jc w:val="center"/>
              <w:rPr>
                <w:rFonts w:cs="Times New Roman"/>
                <w:color w:val="000000"/>
                <w:szCs w:val="20"/>
                <w:lang w:eastAsia="en-AU"/>
              </w:rPr>
            </w:pPr>
            <w:r w:rsidRPr="00E3430E">
              <w:t>&gt;2034</w:t>
            </w:r>
          </w:p>
        </w:tc>
        <w:tc>
          <w:tcPr>
            <w:tcW w:w="1417" w:type="dxa"/>
            <w:tcBorders>
              <w:top w:val="single" w:sz="4" w:space="0" w:color="D9D9D9"/>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2030</w:t>
            </w:r>
          </w:p>
        </w:tc>
        <w:tc>
          <w:tcPr>
            <w:tcW w:w="1276" w:type="dxa"/>
            <w:tcBorders>
              <w:top w:val="single" w:sz="4" w:space="0" w:color="D9D9D9"/>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Clinical waste fac. (T)</w:t>
            </w:r>
          </w:p>
        </w:tc>
        <w:tc>
          <w:tcPr>
            <w:tcW w:w="1273" w:type="dxa"/>
            <w:tcBorders>
              <w:top w:val="single" w:sz="4" w:space="0" w:color="D9D9D9"/>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High</w:t>
            </w:r>
          </w:p>
        </w:tc>
        <w:tc>
          <w:tcPr>
            <w:tcW w:w="1417" w:type="dxa"/>
            <w:gridSpan w:val="2"/>
            <w:tcBorders>
              <w:top w:val="single" w:sz="4" w:space="0" w:color="D9D9D9"/>
              <w:left w:val="nil"/>
              <w:bottom w:val="single" w:sz="4" w:space="0" w:color="808080"/>
              <w:right w:val="single" w:sz="4" w:space="0" w:color="BFBFBF" w:themeColor="background1" w:themeShade="BF"/>
            </w:tcBorders>
            <w:shd w:val="clear" w:color="000000" w:fill="FFFFFF"/>
          </w:tcPr>
          <w:p w:rsidR="006676BF" w:rsidRPr="00816657" w:rsidDel="005C513C" w:rsidRDefault="006676BF">
            <w:pPr>
              <w:spacing w:line="240" w:lineRule="auto"/>
              <w:jc w:val="center"/>
              <w:rPr>
                <w:rFonts w:cs="Times New Roman"/>
                <w:color w:val="000000"/>
                <w:szCs w:val="20"/>
                <w:lang w:eastAsia="en-AU"/>
              </w:rPr>
            </w:pPr>
            <w:r w:rsidRPr="00E3430E">
              <w:t>2026</w:t>
            </w:r>
          </w:p>
        </w:tc>
        <w:tc>
          <w:tcPr>
            <w:tcW w:w="1417" w:type="dxa"/>
            <w:tcBorders>
              <w:top w:val="single" w:sz="4" w:space="0" w:color="D9D9D9"/>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2020</w:t>
            </w:r>
          </w:p>
        </w:tc>
        <w:tc>
          <w:tcPr>
            <w:tcW w:w="1276" w:type="dxa"/>
            <w:tcBorders>
              <w:top w:val="single" w:sz="4" w:space="0" w:color="D9D9D9"/>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Soils treatment fac.</w:t>
            </w:r>
          </w:p>
        </w:tc>
        <w:tc>
          <w:tcPr>
            <w:tcW w:w="1273" w:type="dxa"/>
            <w:tcBorders>
              <w:top w:val="single" w:sz="4" w:space="0" w:color="D9D9D9"/>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Moderate</w:t>
            </w:r>
          </w:p>
        </w:tc>
        <w:tc>
          <w:tcPr>
            <w:tcW w:w="1417" w:type="dxa"/>
            <w:gridSpan w:val="2"/>
            <w:tcBorders>
              <w:top w:val="single" w:sz="4" w:space="0" w:color="D9D9D9"/>
              <w:left w:val="nil"/>
              <w:bottom w:val="single" w:sz="4" w:space="0" w:color="808080"/>
              <w:right w:val="single" w:sz="4" w:space="0" w:color="BFBFBF" w:themeColor="background1" w:themeShade="BF"/>
            </w:tcBorders>
            <w:shd w:val="clear" w:color="000000" w:fill="FFFFFF"/>
          </w:tcPr>
          <w:p w:rsidR="006676BF" w:rsidRPr="00816657" w:rsidRDefault="006676BF">
            <w:pPr>
              <w:spacing w:line="240" w:lineRule="auto"/>
              <w:jc w:val="center"/>
              <w:rPr>
                <w:rFonts w:cs="Times New Roman"/>
                <w:color w:val="000000"/>
                <w:szCs w:val="20"/>
                <w:lang w:eastAsia="en-AU"/>
              </w:rPr>
            </w:pPr>
            <w:r w:rsidRPr="00E3430E">
              <w:t>&gt;2034</w:t>
            </w:r>
          </w:p>
        </w:tc>
        <w:tc>
          <w:tcPr>
            <w:tcW w:w="1417" w:type="dxa"/>
            <w:tcBorders>
              <w:top w:val="single" w:sz="4" w:space="0" w:color="D9D9D9"/>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c>
          <w:tcPr>
            <w:tcW w:w="1276" w:type="dxa"/>
            <w:tcBorders>
              <w:top w:val="single" w:sz="4" w:space="0" w:color="D9D9D9"/>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&gt;2034</w:t>
            </w:r>
          </w:p>
        </w:tc>
      </w:tr>
      <w:tr w:rsidR="006676BF" w:rsidRPr="00816657" w:rsidTr="00FB658B">
        <w:trPr>
          <w:cantSplit/>
          <w:trHeight w:val="275"/>
        </w:trPr>
        <w:tc>
          <w:tcPr>
            <w:tcW w:w="9319" w:type="dxa"/>
            <w:gridSpan w:val="6"/>
            <w:tcBorders>
              <w:top w:val="single" w:sz="4" w:space="0" w:color="808080"/>
              <w:left w:val="single" w:sz="4" w:space="0" w:color="BFBFBF" w:themeColor="background1" w:themeShade="BF"/>
              <w:bottom w:val="nil"/>
              <w:right w:val="nil"/>
            </w:tcBorders>
            <w:shd w:val="clear" w:color="000000" w:fill="C5D9F1"/>
          </w:tcPr>
          <w:p w:rsidR="006676BF" w:rsidRPr="00795276" w:rsidRDefault="006676BF">
            <w:pPr>
              <w:spacing w:line="240" w:lineRule="auto"/>
              <w:rPr>
                <w:rFonts w:cs="Times New Roman"/>
                <w:b/>
                <w:bCs/>
                <w:color w:val="000000"/>
                <w:szCs w:val="20"/>
                <w:lang w:eastAsia="en-AU"/>
              </w:rPr>
            </w:pPr>
            <w:r w:rsidRPr="007F5BD4">
              <w:rPr>
                <w:b/>
              </w:rPr>
              <w:t>Disposal: landfill, thermal destruction (TD)</w:t>
            </w:r>
          </w:p>
        </w:tc>
        <w:tc>
          <w:tcPr>
            <w:tcW w:w="1984" w:type="dxa"/>
          </w:tcPr>
          <w:p w:rsidR="006676BF" w:rsidRPr="00816657" w:rsidRDefault="006676BF">
            <w:pPr>
              <w:spacing w:line="240" w:lineRule="auto"/>
            </w:pPr>
          </w:p>
        </w:tc>
      </w:tr>
      <w:tr w:rsidR="006676BF" w:rsidRPr="00816657" w:rsidTr="007F5BD4">
        <w:trPr>
          <w:gridAfter w:val="1"/>
          <w:wAfter w:w="1984" w:type="dxa"/>
          <w:cantSplit/>
        </w:trPr>
        <w:tc>
          <w:tcPr>
            <w:tcW w:w="3936" w:type="dxa"/>
            <w:tcBorders>
              <w:top w:val="nil"/>
              <w:left w:val="nil"/>
              <w:bottom w:val="single" w:sz="4" w:space="0" w:color="808080"/>
              <w:right w:val="nil"/>
            </w:tcBorders>
            <w:shd w:val="clear" w:color="auto" w:fill="auto"/>
            <w:noWrap/>
            <w:hideMark/>
          </w:tcPr>
          <w:p w:rsidR="006676BF" w:rsidRPr="00816657" w:rsidRDefault="006676BF" w:rsidP="002E762B">
            <w:pPr>
              <w:spacing w:line="240" w:lineRule="auto"/>
              <w:rPr>
                <w:rFonts w:cs="Times New Roman"/>
                <w:color w:val="000000"/>
                <w:szCs w:val="20"/>
                <w:lang w:eastAsia="en-AU"/>
              </w:rPr>
            </w:pPr>
            <w:r w:rsidRPr="00BF34A9">
              <w:t xml:space="preserve">Hazwaste landfill fac. </w:t>
            </w:r>
          </w:p>
        </w:tc>
        <w:tc>
          <w:tcPr>
            <w:tcW w:w="1273" w:type="dxa"/>
            <w:tcBorders>
              <w:top w:val="single" w:sz="4" w:space="0" w:color="D9D9D9"/>
              <w:left w:val="nil"/>
              <w:bottom w:val="single" w:sz="4" w:space="0" w:color="808080"/>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High</w:t>
            </w:r>
          </w:p>
        </w:tc>
        <w:tc>
          <w:tcPr>
            <w:tcW w:w="1417" w:type="dxa"/>
            <w:gridSpan w:val="2"/>
            <w:tcBorders>
              <w:top w:val="single" w:sz="4" w:space="0" w:color="D9D9D9"/>
              <w:left w:val="nil"/>
              <w:bottom w:val="single" w:sz="4" w:space="0" w:color="808080"/>
              <w:right w:val="single" w:sz="4" w:space="0" w:color="BFBFBF" w:themeColor="background1" w:themeShade="BF"/>
            </w:tcBorders>
            <w:shd w:val="clear" w:color="000000" w:fill="FFFFFF"/>
          </w:tcPr>
          <w:p w:rsidR="006676BF" w:rsidRPr="00816657" w:rsidDel="005C513C" w:rsidRDefault="006676BF">
            <w:pPr>
              <w:spacing w:line="240" w:lineRule="auto"/>
              <w:jc w:val="center"/>
              <w:rPr>
                <w:rFonts w:cs="Times New Roman"/>
                <w:color w:val="000000"/>
                <w:szCs w:val="20"/>
                <w:lang w:eastAsia="en-AU"/>
              </w:rPr>
            </w:pPr>
            <w:r w:rsidRPr="00E3430E">
              <w:t>2015</w:t>
            </w:r>
          </w:p>
        </w:tc>
        <w:tc>
          <w:tcPr>
            <w:tcW w:w="1417" w:type="dxa"/>
            <w:tcBorders>
              <w:top w:val="single" w:sz="4" w:space="0" w:color="D9D9D9"/>
              <w:left w:val="single" w:sz="4" w:space="0" w:color="BFBFBF" w:themeColor="background1" w:themeShade="BF"/>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2015</w:t>
            </w:r>
          </w:p>
        </w:tc>
        <w:tc>
          <w:tcPr>
            <w:tcW w:w="1276" w:type="dxa"/>
            <w:tcBorders>
              <w:top w:val="single" w:sz="4" w:space="0" w:color="D9D9D9"/>
              <w:left w:val="nil"/>
              <w:bottom w:val="single" w:sz="4" w:space="0" w:color="808080"/>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2015</w:t>
            </w:r>
          </w:p>
        </w:tc>
      </w:tr>
      <w:tr w:rsidR="006676BF" w:rsidRPr="00816657" w:rsidTr="007F5BD4">
        <w:trPr>
          <w:gridAfter w:val="1"/>
          <w:wAfter w:w="1984" w:type="dxa"/>
          <w:cantSplit/>
        </w:trPr>
        <w:tc>
          <w:tcPr>
            <w:tcW w:w="3936" w:type="dxa"/>
            <w:tcBorders>
              <w:top w:val="single" w:sz="4" w:space="0" w:color="808080"/>
              <w:left w:val="nil"/>
              <w:bottom w:val="single" w:sz="4" w:space="0" w:color="808080"/>
              <w:right w:val="nil"/>
            </w:tcBorders>
            <w:shd w:val="clear" w:color="auto" w:fill="D9D9D9" w:themeFill="background1" w:themeFillShade="D9"/>
            <w:noWrap/>
            <w:hideMark/>
          </w:tcPr>
          <w:p w:rsidR="006676BF" w:rsidRPr="00816657" w:rsidRDefault="006676BF" w:rsidP="002E762B">
            <w:pPr>
              <w:spacing w:line="240" w:lineRule="auto"/>
              <w:rPr>
                <w:rFonts w:cs="Times New Roman"/>
                <w:color w:val="000000"/>
                <w:szCs w:val="20"/>
                <w:lang w:eastAsia="en-AU"/>
              </w:rPr>
            </w:pPr>
            <w:r w:rsidRPr="00BF34A9">
              <w:t>Landfill fac. (NEPM code N, T)</w:t>
            </w:r>
          </w:p>
        </w:tc>
        <w:tc>
          <w:tcPr>
            <w:tcW w:w="1273" w:type="dxa"/>
            <w:tcBorders>
              <w:top w:val="single" w:sz="4" w:space="0" w:color="D9D9D9"/>
              <w:left w:val="nil"/>
              <w:bottom w:val="single" w:sz="4" w:space="0" w:color="808080"/>
              <w:right w:val="single" w:sz="4" w:space="0" w:color="BFBFBF"/>
            </w:tcBorders>
            <w:shd w:val="clear" w:color="auto" w:fill="D9D9D9" w:themeFill="background1" w:themeFillShade="D9"/>
            <w:noWrap/>
            <w:vAlign w:val="center"/>
          </w:tcPr>
          <w:p w:rsidR="006676BF" w:rsidRPr="00816657" w:rsidRDefault="006676BF" w:rsidP="007F5BD4">
            <w:pPr>
              <w:spacing w:line="240" w:lineRule="auto"/>
              <w:rPr>
                <w:rFonts w:cs="Times New Roman"/>
                <w:color w:val="A6A6A6"/>
                <w:szCs w:val="20"/>
                <w:lang w:eastAsia="en-AU"/>
              </w:rPr>
            </w:pPr>
            <w:r w:rsidRPr="00577B8F">
              <w:rPr>
                <w:rFonts w:cs="Times New Roman"/>
                <w:color w:val="000000"/>
                <w:szCs w:val="20"/>
                <w:lang w:eastAsia="en-AU"/>
              </w:rPr>
              <w:t>Na</w:t>
            </w:r>
          </w:p>
        </w:tc>
        <w:tc>
          <w:tcPr>
            <w:tcW w:w="1417" w:type="dxa"/>
            <w:gridSpan w:val="2"/>
            <w:tcBorders>
              <w:top w:val="single" w:sz="4" w:space="0" w:color="D9D9D9"/>
              <w:left w:val="nil"/>
              <w:bottom w:val="single" w:sz="4" w:space="0" w:color="808080"/>
              <w:right w:val="single" w:sz="4" w:space="0" w:color="BFBFBF" w:themeColor="background1" w:themeShade="BF"/>
            </w:tcBorders>
            <w:shd w:val="clear" w:color="auto" w:fill="D9D9D9" w:themeFill="background1" w:themeFillShade="D9"/>
          </w:tcPr>
          <w:p w:rsidR="006676BF" w:rsidRPr="00816657" w:rsidDel="005C513C" w:rsidRDefault="006676BF">
            <w:pPr>
              <w:spacing w:line="240" w:lineRule="auto"/>
              <w:jc w:val="center"/>
              <w:rPr>
                <w:rFonts w:cs="Times New Roman"/>
                <w:color w:val="A6A6A6"/>
                <w:szCs w:val="20"/>
                <w:lang w:eastAsia="en-AU"/>
              </w:rPr>
            </w:pPr>
            <w:r w:rsidRPr="00E3430E">
              <w:t>2015</w:t>
            </w:r>
          </w:p>
        </w:tc>
        <w:tc>
          <w:tcPr>
            <w:tcW w:w="1417" w:type="dxa"/>
            <w:tcBorders>
              <w:top w:val="single" w:sz="4" w:space="0" w:color="D9D9D9"/>
              <w:left w:val="single" w:sz="4" w:space="0" w:color="BFBFBF" w:themeColor="background1" w:themeShade="BF"/>
              <w:bottom w:val="single" w:sz="4" w:space="0" w:color="808080"/>
              <w:right w:val="single" w:sz="4" w:space="0" w:color="BFBFBF"/>
            </w:tcBorders>
            <w:shd w:val="clear" w:color="auto" w:fill="D9D9D9" w:themeFill="background1" w:themeFillShade="D9"/>
            <w:noWrap/>
          </w:tcPr>
          <w:p w:rsidR="006676BF" w:rsidRPr="00816657" w:rsidRDefault="006676BF">
            <w:pPr>
              <w:spacing w:line="240" w:lineRule="auto"/>
              <w:jc w:val="center"/>
              <w:rPr>
                <w:rFonts w:cs="Times New Roman"/>
                <w:color w:val="A6A6A6"/>
                <w:szCs w:val="20"/>
                <w:lang w:eastAsia="en-AU"/>
              </w:rPr>
            </w:pPr>
            <w:r w:rsidRPr="00E3430E">
              <w:t>2015</w:t>
            </w:r>
          </w:p>
        </w:tc>
        <w:tc>
          <w:tcPr>
            <w:tcW w:w="1276" w:type="dxa"/>
            <w:tcBorders>
              <w:top w:val="single" w:sz="4" w:space="0" w:color="D9D9D9"/>
              <w:left w:val="nil"/>
              <w:bottom w:val="single" w:sz="4" w:space="0" w:color="808080"/>
              <w:right w:val="single" w:sz="4" w:space="0" w:color="BFBFBF"/>
            </w:tcBorders>
            <w:shd w:val="clear" w:color="auto" w:fill="D9D9D9" w:themeFill="background1" w:themeFillShade="D9"/>
            <w:noWrap/>
          </w:tcPr>
          <w:p w:rsidR="006676BF" w:rsidRPr="00816657" w:rsidRDefault="006676BF">
            <w:pPr>
              <w:spacing w:line="240" w:lineRule="auto"/>
              <w:jc w:val="center"/>
              <w:rPr>
                <w:rFonts w:cs="Times New Roman"/>
                <w:color w:val="A6A6A6"/>
                <w:szCs w:val="20"/>
                <w:lang w:eastAsia="en-AU"/>
              </w:rPr>
            </w:pPr>
            <w:r w:rsidRPr="00E3430E">
              <w:t>2015</w:t>
            </w:r>
          </w:p>
        </w:tc>
      </w:tr>
      <w:tr w:rsidR="006676BF" w:rsidRPr="00816657" w:rsidTr="007F5BD4">
        <w:trPr>
          <w:gridAfter w:val="1"/>
          <w:wAfter w:w="1984" w:type="dxa"/>
          <w:cantSplit/>
        </w:trPr>
        <w:tc>
          <w:tcPr>
            <w:tcW w:w="3936" w:type="dxa"/>
            <w:tcBorders>
              <w:top w:val="single" w:sz="4" w:space="0" w:color="808080"/>
              <w:left w:val="nil"/>
              <w:bottom w:val="single" w:sz="4" w:space="0" w:color="808080"/>
            </w:tcBorders>
            <w:shd w:val="clear" w:color="auto" w:fill="D9D9D9" w:themeFill="background1" w:themeFillShade="D9"/>
            <w:hideMark/>
          </w:tcPr>
          <w:p w:rsidR="006676BF" w:rsidRPr="00816657" w:rsidRDefault="006676BF" w:rsidP="002E762B">
            <w:pPr>
              <w:spacing w:line="240" w:lineRule="auto"/>
              <w:rPr>
                <w:rFonts w:cs="Times New Roman"/>
                <w:color w:val="000000"/>
                <w:szCs w:val="20"/>
                <w:lang w:eastAsia="en-AU"/>
              </w:rPr>
            </w:pPr>
            <w:r w:rsidRPr="00BF34A9">
              <w:t>POPs fac. (TD)</w:t>
            </w:r>
          </w:p>
        </w:tc>
        <w:tc>
          <w:tcPr>
            <w:tcW w:w="1273" w:type="dxa"/>
            <w:tcBorders>
              <w:top w:val="single" w:sz="4" w:space="0" w:color="808080"/>
              <w:bottom w:val="single" w:sz="4" w:space="0" w:color="808080"/>
              <w:right w:val="single" w:sz="4" w:space="0" w:color="BFBFBF"/>
            </w:tcBorders>
            <w:shd w:val="clear" w:color="auto" w:fill="D9D9D9" w:themeFill="background1" w:themeFillShade="D9"/>
            <w:noWrap/>
            <w:vAlign w:val="center"/>
          </w:tcPr>
          <w:p w:rsidR="006676BF" w:rsidRPr="00816657" w:rsidRDefault="006676BF" w:rsidP="007F5BD4">
            <w:pPr>
              <w:spacing w:line="240" w:lineRule="auto"/>
              <w:rPr>
                <w:rFonts w:cs="Times New Roman"/>
                <w:color w:val="auto"/>
                <w:szCs w:val="20"/>
                <w:lang w:eastAsia="en-AU"/>
              </w:rPr>
            </w:pPr>
            <w:r w:rsidRPr="00577B8F">
              <w:rPr>
                <w:rFonts w:cs="Times New Roman"/>
                <w:color w:val="000000"/>
                <w:szCs w:val="20"/>
                <w:lang w:eastAsia="en-AU"/>
              </w:rPr>
              <w:t>Very high</w:t>
            </w:r>
          </w:p>
        </w:tc>
        <w:tc>
          <w:tcPr>
            <w:tcW w:w="1417" w:type="dxa"/>
            <w:gridSpan w:val="2"/>
            <w:tcBorders>
              <w:top w:val="single" w:sz="4" w:space="0" w:color="D9D9D9"/>
              <w:bottom w:val="single" w:sz="4" w:space="0" w:color="808080"/>
              <w:right w:val="single" w:sz="4" w:space="0" w:color="BFBFBF" w:themeColor="background1" w:themeShade="BF"/>
            </w:tcBorders>
            <w:shd w:val="clear" w:color="auto" w:fill="D9D9D9" w:themeFill="background1" w:themeFillShade="D9"/>
          </w:tcPr>
          <w:p w:rsidR="006676BF" w:rsidRPr="00816657" w:rsidDel="005C513C" w:rsidRDefault="006676BF">
            <w:pPr>
              <w:spacing w:line="240" w:lineRule="auto"/>
              <w:jc w:val="center"/>
              <w:rPr>
                <w:rFonts w:cs="Times New Roman"/>
                <w:color w:val="auto"/>
                <w:szCs w:val="20"/>
                <w:lang w:eastAsia="en-AU"/>
              </w:rPr>
            </w:pPr>
            <w:r w:rsidRPr="00E3430E">
              <w:t>2015</w:t>
            </w:r>
          </w:p>
        </w:tc>
        <w:tc>
          <w:tcPr>
            <w:tcW w:w="1417" w:type="dxa"/>
            <w:tcBorders>
              <w:top w:val="single" w:sz="4" w:space="0" w:color="D9D9D9"/>
              <w:left w:val="single" w:sz="4" w:space="0" w:color="BFBFBF" w:themeColor="background1" w:themeShade="BF"/>
              <w:bottom w:val="single" w:sz="4" w:space="0" w:color="808080"/>
              <w:right w:val="single" w:sz="4" w:space="0" w:color="BFBFBF"/>
            </w:tcBorders>
            <w:shd w:val="clear" w:color="auto" w:fill="D9D9D9" w:themeFill="background1" w:themeFillShade="D9"/>
            <w:noWrap/>
          </w:tcPr>
          <w:p w:rsidR="006676BF" w:rsidRPr="00816657" w:rsidRDefault="006676BF">
            <w:pPr>
              <w:spacing w:line="240" w:lineRule="auto"/>
              <w:jc w:val="center"/>
              <w:rPr>
                <w:rFonts w:cs="Times New Roman"/>
                <w:color w:val="auto"/>
                <w:szCs w:val="20"/>
                <w:lang w:eastAsia="en-AU"/>
              </w:rPr>
            </w:pPr>
            <w:r w:rsidRPr="00E3430E">
              <w:t>2015</w:t>
            </w:r>
          </w:p>
        </w:tc>
        <w:tc>
          <w:tcPr>
            <w:tcW w:w="1276" w:type="dxa"/>
            <w:tcBorders>
              <w:top w:val="single" w:sz="4" w:space="0" w:color="D9D9D9"/>
              <w:left w:val="nil"/>
              <w:bottom w:val="single" w:sz="4" w:space="0" w:color="808080"/>
              <w:right w:val="single" w:sz="4" w:space="0" w:color="BFBFBF"/>
            </w:tcBorders>
            <w:shd w:val="clear" w:color="auto" w:fill="D9D9D9" w:themeFill="background1" w:themeFillShade="D9"/>
            <w:noWrap/>
          </w:tcPr>
          <w:p w:rsidR="006676BF" w:rsidRPr="00816657" w:rsidRDefault="006676BF">
            <w:pPr>
              <w:spacing w:line="240" w:lineRule="auto"/>
              <w:jc w:val="center"/>
              <w:rPr>
                <w:rFonts w:cs="Times New Roman"/>
                <w:color w:val="auto"/>
                <w:szCs w:val="20"/>
                <w:lang w:eastAsia="en-AU"/>
              </w:rPr>
            </w:pPr>
            <w:r w:rsidRPr="00E3430E">
              <w:t>2015</w:t>
            </w:r>
          </w:p>
        </w:tc>
      </w:tr>
      <w:tr w:rsidR="006676BF" w:rsidRPr="00816657" w:rsidTr="007F5BD4">
        <w:trPr>
          <w:gridAfter w:val="1"/>
          <w:wAfter w:w="1984" w:type="dxa"/>
          <w:cantSplit/>
        </w:trPr>
        <w:tc>
          <w:tcPr>
            <w:tcW w:w="3936" w:type="dxa"/>
            <w:tcBorders>
              <w:top w:val="single" w:sz="4" w:space="0" w:color="BFBFBF"/>
              <w:left w:val="nil"/>
              <w:bottom w:val="single" w:sz="4" w:space="0" w:color="BFBFBF"/>
              <w:right w:val="nil"/>
            </w:tcBorders>
            <w:shd w:val="clear" w:color="auto" w:fill="auto"/>
            <w:noWrap/>
            <w:hideMark/>
          </w:tcPr>
          <w:p w:rsidR="006676BF" w:rsidRPr="00816657" w:rsidRDefault="006676BF">
            <w:pPr>
              <w:spacing w:line="240" w:lineRule="auto"/>
              <w:rPr>
                <w:rFonts w:cs="Times New Roman"/>
                <w:color w:val="000000"/>
                <w:szCs w:val="20"/>
                <w:lang w:eastAsia="en-AU"/>
              </w:rPr>
            </w:pPr>
            <w:r w:rsidRPr="00BF34A9">
              <w:t>Clinical waste fac. (TD)</w:t>
            </w:r>
          </w:p>
        </w:tc>
        <w:tc>
          <w:tcPr>
            <w:tcW w:w="1273" w:type="dxa"/>
            <w:tcBorders>
              <w:top w:val="single" w:sz="4" w:space="0" w:color="BFBFBF"/>
              <w:left w:val="nil"/>
              <w:bottom w:val="single" w:sz="4" w:space="0" w:color="BFBFBF"/>
              <w:right w:val="single" w:sz="4" w:space="0" w:color="BFBFBF"/>
            </w:tcBorders>
            <w:shd w:val="clear" w:color="000000" w:fill="FFFFFF"/>
            <w:noWrap/>
            <w:vAlign w:val="center"/>
          </w:tcPr>
          <w:p w:rsidR="006676BF" w:rsidRPr="00816657" w:rsidRDefault="006676BF" w:rsidP="007F5BD4">
            <w:pPr>
              <w:spacing w:line="240" w:lineRule="auto"/>
              <w:rPr>
                <w:rFonts w:cs="Times New Roman"/>
                <w:color w:val="000000"/>
                <w:szCs w:val="20"/>
                <w:lang w:eastAsia="en-AU"/>
              </w:rPr>
            </w:pPr>
            <w:r w:rsidRPr="00577B8F">
              <w:rPr>
                <w:rFonts w:cs="Times New Roman"/>
                <w:color w:val="000000"/>
                <w:szCs w:val="20"/>
                <w:lang w:eastAsia="en-AU"/>
              </w:rPr>
              <w:t>Low</w:t>
            </w:r>
          </w:p>
        </w:tc>
        <w:tc>
          <w:tcPr>
            <w:tcW w:w="1417" w:type="dxa"/>
            <w:gridSpan w:val="2"/>
            <w:tcBorders>
              <w:top w:val="single" w:sz="4" w:space="0" w:color="BFBFBF"/>
              <w:left w:val="nil"/>
              <w:bottom w:val="single" w:sz="4" w:space="0" w:color="BFBFBF"/>
              <w:right w:val="single" w:sz="4" w:space="0" w:color="BFBFBF" w:themeColor="background1" w:themeShade="BF"/>
            </w:tcBorders>
            <w:shd w:val="clear" w:color="000000" w:fill="FFFFFF"/>
          </w:tcPr>
          <w:p w:rsidR="006676BF" w:rsidRPr="00816657" w:rsidDel="005C513C" w:rsidRDefault="006676BF">
            <w:pPr>
              <w:spacing w:line="240" w:lineRule="auto"/>
              <w:jc w:val="center"/>
              <w:rPr>
                <w:rFonts w:cs="Times New Roman"/>
                <w:color w:val="000000"/>
                <w:szCs w:val="20"/>
                <w:lang w:eastAsia="en-AU"/>
              </w:rPr>
            </w:pPr>
            <w:r w:rsidRPr="00E3430E">
              <w:t>2024</w:t>
            </w:r>
          </w:p>
        </w:tc>
        <w:tc>
          <w:tcPr>
            <w:tcW w:w="1417" w:type="dxa"/>
            <w:tcBorders>
              <w:top w:val="single" w:sz="4" w:space="0" w:color="BFBFBF"/>
              <w:left w:val="single" w:sz="4" w:space="0" w:color="BFBFBF" w:themeColor="background1" w:themeShade="BF"/>
              <w:bottom w:val="single" w:sz="4" w:space="0" w:color="BFBFBF"/>
              <w:right w:val="single" w:sz="4" w:space="0" w:color="BFBFBF"/>
            </w:tcBorders>
            <w:shd w:val="clear" w:color="000000" w:fill="FFFFFF"/>
            <w:noWrap/>
          </w:tcPr>
          <w:p w:rsidR="006676BF" w:rsidRPr="00816657" w:rsidRDefault="006676BF">
            <w:pPr>
              <w:spacing w:line="240" w:lineRule="auto"/>
              <w:jc w:val="center"/>
              <w:rPr>
                <w:rFonts w:cs="Times New Roman"/>
                <w:color w:val="000000"/>
                <w:szCs w:val="20"/>
                <w:lang w:eastAsia="en-AU"/>
              </w:rPr>
            </w:pPr>
            <w:r w:rsidRPr="00E3430E">
              <w:t>2019</w:t>
            </w:r>
          </w:p>
        </w:tc>
        <w:tc>
          <w:tcPr>
            <w:tcW w:w="1276" w:type="dxa"/>
            <w:tcBorders>
              <w:top w:val="single" w:sz="4" w:space="0" w:color="BFBFBF"/>
              <w:left w:val="nil"/>
              <w:bottom w:val="single" w:sz="4" w:space="0" w:color="BFBFBF"/>
              <w:right w:val="single" w:sz="4" w:space="0" w:color="BFBFBF"/>
            </w:tcBorders>
            <w:shd w:val="clear" w:color="000000" w:fill="FFFFFF"/>
          </w:tcPr>
          <w:p w:rsidR="006676BF" w:rsidRPr="00816657" w:rsidRDefault="006676BF">
            <w:pPr>
              <w:spacing w:line="240" w:lineRule="auto"/>
              <w:jc w:val="center"/>
              <w:rPr>
                <w:rFonts w:cs="Times New Roman"/>
                <w:color w:val="000000"/>
                <w:szCs w:val="20"/>
                <w:lang w:eastAsia="en-AU"/>
              </w:rPr>
            </w:pPr>
            <w:r w:rsidRPr="00E3430E">
              <w:t>&gt;2034</w:t>
            </w:r>
          </w:p>
        </w:tc>
      </w:tr>
      <w:tr w:rsidR="006676BF" w:rsidRPr="00816657" w:rsidTr="007F5BD4">
        <w:trPr>
          <w:gridAfter w:val="1"/>
          <w:wAfter w:w="1984" w:type="dxa"/>
          <w:cantSplit/>
        </w:trPr>
        <w:tc>
          <w:tcPr>
            <w:tcW w:w="3936" w:type="dxa"/>
            <w:tcBorders>
              <w:top w:val="single" w:sz="4" w:space="0" w:color="BFBFBF"/>
              <w:left w:val="nil"/>
              <w:bottom w:val="single" w:sz="4" w:space="0" w:color="808080"/>
              <w:right w:val="nil"/>
            </w:tcBorders>
            <w:shd w:val="clear" w:color="000000" w:fill="C5D9F1"/>
            <w:hideMark/>
          </w:tcPr>
          <w:p w:rsidR="006676BF" w:rsidRPr="00795276" w:rsidRDefault="006676BF" w:rsidP="003E7BFA">
            <w:pPr>
              <w:spacing w:line="240" w:lineRule="auto"/>
              <w:rPr>
                <w:rFonts w:cs="Times New Roman"/>
                <w:b/>
                <w:bCs/>
                <w:color w:val="000000"/>
                <w:szCs w:val="20"/>
                <w:lang w:eastAsia="en-AU"/>
              </w:rPr>
            </w:pPr>
            <w:r w:rsidRPr="007F5BD4">
              <w:rPr>
                <w:b/>
              </w:rPr>
              <w:t>Transfer station or temporary storage fac.</w:t>
            </w:r>
          </w:p>
        </w:tc>
        <w:tc>
          <w:tcPr>
            <w:tcW w:w="1273" w:type="dxa"/>
            <w:tcBorders>
              <w:top w:val="single" w:sz="4" w:space="0" w:color="BFBFBF"/>
              <w:left w:val="nil"/>
              <w:bottom w:val="single" w:sz="4" w:space="0" w:color="808080"/>
              <w:right w:val="single" w:sz="4" w:space="0" w:color="BFBFBF"/>
            </w:tcBorders>
            <w:shd w:val="clear" w:color="auto" w:fill="D9D9D9" w:themeFill="background1" w:themeFillShade="D9"/>
            <w:noWrap/>
            <w:vAlign w:val="center"/>
          </w:tcPr>
          <w:p w:rsidR="006676BF" w:rsidRPr="00816657" w:rsidRDefault="006676BF" w:rsidP="007F5BD4">
            <w:pPr>
              <w:spacing w:line="240" w:lineRule="auto"/>
              <w:rPr>
                <w:rFonts w:cs="Times New Roman"/>
                <w:color w:val="A6A6A6"/>
                <w:szCs w:val="20"/>
                <w:lang w:eastAsia="en-AU"/>
              </w:rPr>
            </w:pPr>
            <w:r w:rsidRPr="00577B8F">
              <w:rPr>
                <w:rFonts w:cs="Times New Roman"/>
                <w:color w:val="000000"/>
                <w:szCs w:val="20"/>
                <w:lang w:eastAsia="en-AU"/>
              </w:rPr>
              <w:t>Very high</w:t>
            </w:r>
          </w:p>
        </w:tc>
        <w:tc>
          <w:tcPr>
            <w:tcW w:w="1417" w:type="dxa"/>
            <w:gridSpan w:val="2"/>
            <w:tcBorders>
              <w:top w:val="single" w:sz="4" w:space="0" w:color="BFBFBF"/>
              <w:left w:val="nil"/>
              <w:bottom w:val="single" w:sz="4" w:space="0" w:color="808080"/>
              <w:right w:val="single" w:sz="4" w:space="0" w:color="BFBFBF" w:themeColor="background1" w:themeShade="BF"/>
            </w:tcBorders>
            <w:shd w:val="clear" w:color="auto" w:fill="D9D9D9" w:themeFill="background1" w:themeFillShade="D9"/>
          </w:tcPr>
          <w:p w:rsidR="006676BF" w:rsidRPr="00816657" w:rsidDel="005C513C" w:rsidRDefault="006676BF">
            <w:pPr>
              <w:spacing w:line="240" w:lineRule="auto"/>
              <w:jc w:val="center"/>
              <w:rPr>
                <w:rFonts w:cs="Times New Roman"/>
                <w:color w:val="A6A6A6"/>
                <w:szCs w:val="20"/>
                <w:lang w:eastAsia="en-AU"/>
              </w:rPr>
            </w:pPr>
            <w:r w:rsidRPr="00E3430E">
              <w:t>2015</w:t>
            </w:r>
          </w:p>
        </w:tc>
        <w:tc>
          <w:tcPr>
            <w:tcW w:w="1417" w:type="dxa"/>
            <w:tcBorders>
              <w:top w:val="single" w:sz="4" w:space="0" w:color="BFBFBF"/>
              <w:left w:val="single" w:sz="4" w:space="0" w:color="BFBFBF" w:themeColor="background1" w:themeShade="BF"/>
              <w:bottom w:val="single" w:sz="4" w:space="0" w:color="808080"/>
              <w:right w:val="single" w:sz="4" w:space="0" w:color="BFBFBF"/>
            </w:tcBorders>
            <w:shd w:val="clear" w:color="auto" w:fill="D9D9D9" w:themeFill="background1" w:themeFillShade="D9"/>
            <w:noWrap/>
          </w:tcPr>
          <w:p w:rsidR="006676BF" w:rsidRPr="00816657" w:rsidRDefault="006676BF">
            <w:pPr>
              <w:spacing w:line="240" w:lineRule="auto"/>
              <w:jc w:val="center"/>
              <w:rPr>
                <w:rFonts w:cs="Times New Roman"/>
                <w:color w:val="A6A6A6"/>
                <w:szCs w:val="20"/>
                <w:lang w:eastAsia="en-AU"/>
              </w:rPr>
            </w:pPr>
            <w:r w:rsidRPr="00E3430E">
              <w:t>2015</w:t>
            </w:r>
          </w:p>
        </w:tc>
        <w:tc>
          <w:tcPr>
            <w:tcW w:w="1276" w:type="dxa"/>
            <w:tcBorders>
              <w:top w:val="single" w:sz="4" w:space="0" w:color="BFBFBF"/>
              <w:left w:val="nil"/>
              <w:bottom w:val="single" w:sz="4" w:space="0" w:color="808080"/>
              <w:right w:val="single" w:sz="4" w:space="0" w:color="BFBFBF"/>
            </w:tcBorders>
            <w:shd w:val="clear" w:color="auto" w:fill="D9D9D9" w:themeFill="background1" w:themeFillShade="D9"/>
          </w:tcPr>
          <w:p w:rsidR="006676BF" w:rsidRPr="00816657" w:rsidRDefault="006676BF">
            <w:pPr>
              <w:spacing w:line="240" w:lineRule="auto"/>
              <w:jc w:val="center"/>
              <w:rPr>
                <w:rFonts w:cs="Times New Roman"/>
                <w:color w:val="A6A6A6"/>
                <w:szCs w:val="20"/>
                <w:lang w:eastAsia="en-AU"/>
              </w:rPr>
            </w:pPr>
            <w:r w:rsidRPr="00E3430E">
              <w:t>2015</w:t>
            </w:r>
          </w:p>
        </w:tc>
      </w:tr>
    </w:tbl>
    <w:p w:rsidR="00795276" w:rsidRPr="00577B8F" w:rsidRDefault="00795276" w:rsidP="00795276">
      <w:pPr>
        <w:pStyle w:val="BodyText"/>
        <w:rPr>
          <w:rFonts w:cs="Arial"/>
          <w:i/>
          <w:color w:val="0000FF"/>
          <w:sz w:val="20"/>
          <w:szCs w:val="20"/>
        </w:rPr>
      </w:pPr>
      <w:r w:rsidRPr="00577B8F">
        <w:rPr>
          <w:rFonts w:cs="Arial"/>
          <w:i/>
          <w:color w:val="0000FF"/>
          <w:sz w:val="20"/>
          <w:szCs w:val="20"/>
        </w:rPr>
        <w:t xml:space="preserve">Notes: </w:t>
      </w:r>
      <w:r w:rsidRPr="00577B8F">
        <w:rPr>
          <w:rFonts w:cs="Arial"/>
          <w:i/>
          <w:color w:val="0000FF"/>
          <w:sz w:val="20"/>
          <w:szCs w:val="20"/>
          <w:shd w:val="clear" w:color="auto" w:fill="D9D9D9" w:themeFill="background1" w:themeFillShade="D9"/>
        </w:rPr>
        <w:t>shaded grey</w:t>
      </w:r>
      <w:r w:rsidRPr="00577B8F">
        <w:rPr>
          <w:rFonts w:cs="Arial"/>
          <w:i/>
          <w:color w:val="0000FF"/>
          <w:sz w:val="20"/>
          <w:szCs w:val="20"/>
        </w:rPr>
        <w:t xml:space="preserve"> infrastructure groups have coverage limitations. Landfill fac. (NEPM codes N, T only) inf. group is outside of the capacity assessment scope</w:t>
      </w:r>
      <w:r>
        <w:rPr>
          <w:rFonts w:cs="Arial"/>
          <w:i/>
          <w:color w:val="0000FF"/>
          <w:sz w:val="20"/>
          <w:szCs w:val="20"/>
        </w:rPr>
        <w:t xml:space="preserve">, see discussion in Section </w:t>
      </w:r>
      <w:r w:rsidR="006D07F5">
        <w:rPr>
          <w:rFonts w:cs="Arial"/>
          <w:i/>
          <w:color w:val="0000FF"/>
          <w:sz w:val="20"/>
          <w:szCs w:val="20"/>
        </w:rPr>
        <w:fldChar w:fldCharType="begin"/>
      </w:r>
      <w:r>
        <w:rPr>
          <w:rFonts w:cs="Arial"/>
          <w:i/>
          <w:color w:val="0000FF"/>
          <w:sz w:val="20"/>
          <w:szCs w:val="20"/>
        </w:rPr>
        <w:instrText xml:space="preserve"> REF _Ref419197816 \r \h </w:instrText>
      </w:r>
      <w:r w:rsidR="006D07F5">
        <w:rPr>
          <w:rFonts w:cs="Arial"/>
          <w:i/>
          <w:color w:val="0000FF"/>
          <w:sz w:val="20"/>
          <w:szCs w:val="20"/>
        </w:rPr>
      </w:r>
      <w:r w:rsidR="006D07F5">
        <w:rPr>
          <w:rFonts w:cs="Arial"/>
          <w:i/>
          <w:color w:val="0000FF"/>
          <w:sz w:val="20"/>
          <w:szCs w:val="20"/>
        </w:rPr>
        <w:fldChar w:fldCharType="separate"/>
      </w:r>
      <w:r w:rsidR="002F3000">
        <w:rPr>
          <w:rFonts w:cs="Arial"/>
          <w:i/>
          <w:color w:val="0000FF"/>
          <w:sz w:val="20"/>
          <w:szCs w:val="20"/>
        </w:rPr>
        <w:t>3.2</w:t>
      </w:r>
      <w:r w:rsidR="006D07F5">
        <w:rPr>
          <w:rFonts w:cs="Arial"/>
          <w:i/>
          <w:color w:val="0000FF"/>
          <w:sz w:val="20"/>
          <w:szCs w:val="20"/>
        </w:rPr>
        <w:fldChar w:fldCharType="end"/>
      </w:r>
      <w:r>
        <w:rPr>
          <w:rFonts w:cs="Arial"/>
          <w:i/>
          <w:color w:val="0000FF"/>
          <w:sz w:val="20"/>
          <w:szCs w:val="20"/>
        </w:rPr>
        <w:t>.</w:t>
      </w:r>
      <w:r w:rsidR="00D06841">
        <w:rPr>
          <w:rFonts w:cs="Arial"/>
          <w:i/>
          <w:color w:val="0000FF"/>
          <w:sz w:val="20"/>
          <w:szCs w:val="20"/>
        </w:rPr>
        <w:t xml:space="preserve"> </w:t>
      </w:r>
      <w:r w:rsidRPr="00577B8F">
        <w:rPr>
          <w:rFonts w:cs="Arial"/>
          <w:i/>
          <w:color w:val="0000FF"/>
          <w:sz w:val="20"/>
          <w:szCs w:val="20"/>
        </w:rPr>
        <w:t xml:space="preserve"> </w:t>
      </w:r>
    </w:p>
    <w:p w:rsidR="003E7BFA" w:rsidRPr="00816657" w:rsidRDefault="003E7BFA" w:rsidP="00B25AAF">
      <w:pPr>
        <w:pStyle w:val="BodyText"/>
      </w:pPr>
    </w:p>
    <w:p w:rsidR="00B25AAF" w:rsidRPr="00371EF9" w:rsidRDefault="00CA41BB" w:rsidP="00371EF9">
      <w:pPr>
        <w:pStyle w:val="BodyText"/>
        <w:spacing w:before="120" w:after="240"/>
        <w:rPr>
          <w:rFonts w:ascii="Arial Rounded MT Bold" w:hAnsi="Arial Rounded MT Bold"/>
          <w:color w:val="0000FF"/>
          <w:sz w:val="28"/>
          <w:szCs w:val="28"/>
        </w:rPr>
      </w:pPr>
      <w:r w:rsidRPr="00371EF9">
        <w:rPr>
          <w:rFonts w:ascii="Arial Rounded MT Bold" w:hAnsi="Arial Rounded MT Bold"/>
          <w:color w:val="0000FF"/>
          <w:sz w:val="28"/>
          <w:szCs w:val="28"/>
        </w:rPr>
        <w:t>Conclusions</w:t>
      </w:r>
      <w:r w:rsidR="00662365" w:rsidRPr="00371EF9">
        <w:rPr>
          <w:rFonts w:ascii="Arial Rounded MT Bold" w:hAnsi="Arial Rounded MT Bold"/>
          <w:color w:val="0000FF"/>
          <w:sz w:val="28"/>
          <w:szCs w:val="28"/>
        </w:rPr>
        <w:t xml:space="preserve"> </w:t>
      </w:r>
      <w:r w:rsidR="00EF4C88" w:rsidRPr="00371EF9">
        <w:rPr>
          <w:rFonts w:ascii="Arial Rounded MT Bold" w:hAnsi="Arial Rounded MT Bold"/>
          <w:color w:val="0000FF"/>
          <w:sz w:val="28"/>
          <w:szCs w:val="28"/>
        </w:rPr>
        <w:t>and recommendations</w:t>
      </w:r>
    </w:p>
    <w:p w:rsidR="004151B0" w:rsidRDefault="004151B0" w:rsidP="007F5BD4">
      <w:pPr>
        <w:pStyle w:val="Heading3"/>
      </w:pPr>
      <w:r>
        <w:t>Uncertainty in assessing need vs capacity</w:t>
      </w:r>
    </w:p>
    <w:p w:rsidR="004151B0" w:rsidRDefault="004151B0" w:rsidP="004151B0">
      <w:pPr>
        <w:pStyle w:val="BodyText"/>
      </w:pPr>
      <w:r w:rsidRPr="00816657">
        <w:t xml:space="preserve">Future scenarios are inherently uncertain. The arisings of hazardous waste are influenced by industrial markets, development activities, social licences, government regulations and technological innovations that are all unpredictable. The infrastructure servicing this waste is difficult to characterise, changeable and information on its activities is limited and hard to obtain. The ‘language’ of the jurisdictional data (e.g. NEPM codes) differs from that of the industry, creating problems and uncertainties in matching the two. As a result of these uncertainties, the key conclusions of this analysis, which are given below, should be taken as indicative. </w:t>
      </w:r>
      <w:r>
        <w:t xml:space="preserve">The various dimensions of the uncertainty included in the assessment are discussed in detail in Section </w:t>
      </w:r>
      <w:r w:rsidR="006D07F5">
        <w:fldChar w:fldCharType="begin"/>
      </w:r>
      <w:r>
        <w:instrText xml:space="preserve"> REF _Ref419458961 \r \h </w:instrText>
      </w:r>
      <w:r w:rsidR="006D07F5">
        <w:fldChar w:fldCharType="separate"/>
      </w:r>
      <w:r w:rsidR="002F3000">
        <w:t>4</w:t>
      </w:r>
      <w:r w:rsidR="006D07F5">
        <w:fldChar w:fldCharType="end"/>
      </w:r>
      <w:r>
        <w:t xml:space="preserve">. </w:t>
      </w:r>
    </w:p>
    <w:p w:rsidR="004151B0" w:rsidRDefault="004151B0" w:rsidP="004151B0">
      <w:pPr>
        <w:pStyle w:val="BodyText"/>
      </w:pPr>
    </w:p>
    <w:p w:rsidR="00F22DD5" w:rsidRDefault="00F22DD5" w:rsidP="00F22DD5">
      <w:pPr>
        <w:pStyle w:val="BodyText"/>
      </w:pPr>
      <w:r>
        <w:rPr>
          <w:b/>
        </w:rPr>
        <w:t xml:space="preserve">Recommendation 1: </w:t>
      </w:r>
      <w:r w:rsidR="00D732DE">
        <w:t>DoE should work with the jurisdictions to improve hazardous waste tracking system data so that fate is consistently recorded and categorised</w:t>
      </w:r>
      <w:r>
        <w:t>.</w:t>
      </w:r>
    </w:p>
    <w:p w:rsidR="004151B0" w:rsidRDefault="004151B0" w:rsidP="004151B0">
      <w:pPr>
        <w:pStyle w:val="BodyText"/>
      </w:pPr>
    </w:p>
    <w:p w:rsidR="00457A84" w:rsidRDefault="00457A84">
      <w:pPr>
        <w:spacing w:line="240" w:lineRule="auto"/>
        <w:rPr>
          <w:color w:val="080808"/>
          <w:sz w:val="22"/>
        </w:rPr>
      </w:pPr>
      <w:r>
        <w:br w:type="page"/>
      </w:r>
    </w:p>
    <w:p w:rsidR="004151B0" w:rsidRDefault="004151B0" w:rsidP="007F5BD4">
      <w:pPr>
        <w:pStyle w:val="Heading3"/>
      </w:pPr>
      <w:r>
        <w:lastRenderedPageBreak/>
        <w:t>Hazwaste packaging recycling facilities</w:t>
      </w:r>
    </w:p>
    <w:p w:rsidR="00457A84" w:rsidRDefault="00457A84" w:rsidP="00457A84">
      <w:pPr>
        <w:pStyle w:val="BodyText"/>
        <w:rPr>
          <w:color w:val="000000"/>
          <w:szCs w:val="20"/>
        </w:rPr>
      </w:pPr>
      <w:r>
        <w:rPr>
          <w:color w:val="000000"/>
          <w:szCs w:val="20"/>
        </w:rPr>
        <w:t xml:space="preserve">The national assessment indicates that under all scenarios over the next 20 years the potential capacity of Australia's current and planned hazardous waste packaging recycling infrastructure will be able to recycle waste arisings. The infrastructure capacity assessment for this group has moderate uncertainty due to a low response rate during consultation and the infrastructure group being highly diffuse increasing the probability of capacity not being included in the capacity database. </w:t>
      </w:r>
    </w:p>
    <w:p w:rsidR="00457A84" w:rsidRDefault="00457A84" w:rsidP="00457A84">
      <w:pPr>
        <w:pStyle w:val="BodyText"/>
        <w:rPr>
          <w:color w:val="000000"/>
          <w:szCs w:val="20"/>
        </w:rPr>
      </w:pPr>
    </w:p>
    <w:p w:rsidR="00457A84" w:rsidRDefault="00457A84" w:rsidP="00457A84">
      <w:pPr>
        <w:pStyle w:val="BodyText"/>
      </w:pPr>
      <w:r w:rsidRPr="00816657">
        <w:t xml:space="preserve">A shortfall in current capacity to </w:t>
      </w:r>
      <w:r>
        <w:t xml:space="preserve">recycle </w:t>
      </w:r>
      <w:r w:rsidRPr="00816657">
        <w:t xml:space="preserve">hazardous waste packaging is apparent in Qld. </w:t>
      </w:r>
      <w:r>
        <w:t xml:space="preserve">Contaminated containers </w:t>
      </w:r>
      <w:r w:rsidRPr="00816657">
        <w:t>are voluminous and cannot be cost-effectively transported. Some survey respondents commented on a broader need for improved recovery options for small hazardous waste packaging</w:t>
      </w:r>
      <w:r>
        <w:t xml:space="preserve"> and small</w:t>
      </w:r>
      <w:r w:rsidRPr="00EA25B9">
        <w:t xml:space="preserve"> </w:t>
      </w:r>
      <w:r w:rsidRPr="00816657">
        <w:t>packages of waste hazardous goods</w:t>
      </w:r>
      <w:r>
        <w:t>, however, planned infrastructure included in the potential capacity should provide the capacity and coverage required</w:t>
      </w:r>
      <w:r w:rsidRPr="00816657">
        <w:t xml:space="preserve">. </w:t>
      </w:r>
    </w:p>
    <w:p w:rsidR="00CF7565" w:rsidRDefault="00CF7565" w:rsidP="007F5BD4">
      <w:pPr>
        <w:pStyle w:val="BodyText"/>
      </w:pPr>
    </w:p>
    <w:p w:rsidR="004151B0" w:rsidRDefault="004151B0" w:rsidP="007F5BD4">
      <w:pPr>
        <w:pStyle w:val="Heading3"/>
      </w:pPr>
      <w:r>
        <w:t xml:space="preserve">E-waste </w:t>
      </w:r>
      <w:r w:rsidRPr="0026221C">
        <w:t xml:space="preserve">major physical/chemical </w:t>
      </w:r>
      <w:r>
        <w:t xml:space="preserve">&amp; </w:t>
      </w:r>
      <w:r w:rsidRPr="0026221C">
        <w:t xml:space="preserve">disassembly </w:t>
      </w:r>
      <w:r>
        <w:t>facilities</w:t>
      </w:r>
    </w:p>
    <w:p w:rsidR="00457A84" w:rsidRDefault="00457A84" w:rsidP="00457A84">
      <w:pPr>
        <w:pStyle w:val="BodyText"/>
        <w:rPr>
          <w:color w:val="000000"/>
          <w:szCs w:val="20"/>
        </w:rPr>
      </w:pPr>
      <w:r>
        <w:rPr>
          <w:color w:val="000000"/>
          <w:szCs w:val="20"/>
        </w:rPr>
        <w:t xml:space="preserve">The national assessment indicates that under the best and low scenarios over the next 20 years the potential capacity of Australia's current hazardous e-waste (major physical/chemical and manual disassembly processing) infrastructure will be able to recycle waste arisings. Capacity could become constrained by 2034 if e-waste arisings grow very strongly. </w:t>
      </w:r>
    </w:p>
    <w:p w:rsidR="00457A84" w:rsidRDefault="00457A84" w:rsidP="00457A84">
      <w:pPr>
        <w:pStyle w:val="BodyText"/>
        <w:rPr>
          <w:color w:val="000000"/>
          <w:szCs w:val="20"/>
        </w:rPr>
      </w:pPr>
    </w:p>
    <w:p w:rsidR="00457A84" w:rsidRDefault="00457A84" w:rsidP="00457A84">
      <w:pPr>
        <w:pStyle w:val="BodyText"/>
        <w:rPr>
          <w:color w:val="000000"/>
          <w:szCs w:val="20"/>
        </w:rPr>
      </w:pPr>
      <w:r>
        <w:rPr>
          <w:color w:val="000000"/>
          <w:szCs w:val="20"/>
        </w:rPr>
        <w:t xml:space="preserve">It must be noted that estimates assume </w:t>
      </w:r>
      <w:r w:rsidRPr="008F5A72">
        <w:rPr>
          <w:color w:val="000000"/>
          <w:szCs w:val="20"/>
        </w:rPr>
        <w:t>no change</w:t>
      </w:r>
      <w:r>
        <w:rPr>
          <w:color w:val="000000"/>
          <w:szCs w:val="20"/>
        </w:rPr>
        <w:t xml:space="preserve"> to the current estimated proportions of fate of e-waste, which is mostly landfill. Changes to product stewardship agreements or landfill bans on e-waste would significantly change these estimates. The infrastructure capacity assessment for this group has moderate uncertainty due moderate response rate during consultation and the infrastructure group capacity having some overlap with other functions (such as PCB oil decontamination) resulting in a likely overestimate of the infrastructure group capacity.</w:t>
      </w:r>
    </w:p>
    <w:p w:rsidR="00457A84" w:rsidRDefault="00457A84" w:rsidP="00457A84">
      <w:pPr>
        <w:pStyle w:val="BodyText"/>
        <w:rPr>
          <w:color w:val="000000"/>
          <w:szCs w:val="20"/>
        </w:rPr>
      </w:pPr>
    </w:p>
    <w:p w:rsidR="00457A84" w:rsidRDefault="00457A84" w:rsidP="00457A84">
      <w:pPr>
        <w:pStyle w:val="BodyText"/>
      </w:pPr>
      <w:proofErr w:type="gramStart"/>
      <w:r w:rsidRPr="00816657">
        <w:t>A s</w:t>
      </w:r>
      <w:r>
        <w:t>hortfall in current capacity to</w:t>
      </w:r>
      <w:r w:rsidRPr="00816657">
        <w:t xml:space="preserve"> apparent in </w:t>
      </w:r>
      <w:r>
        <w:t>NT and WA.</w:t>
      </w:r>
      <w:proofErr w:type="gramEnd"/>
      <w:r>
        <w:t xml:space="preserve"> </w:t>
      </w:r>
      <w:proofErr w:type="gramStart"/>
      <w:r w:rsidR="003F0014">
        <w:t>e</w:t>
      </w:r>
      <w:r>
        <w:t>-waste</w:t>
      </w:r>
      <w:proofErr w:type="gramEnd"/>
      <w:r>
        <w:t xml:space="preserve"> in these jurisdictions is likely sent interstate or is sent to landfill.</w:t>
      </w:r>
    </w:p>
    <w:p w:rsidR="00AA3DBF" w:rsidRDefault="00AA3DBF" w:rsidP="00457A84">
      <w:pPr>
        <w:pStyle w:val="BodyText"/>
      </w:pPr>
    </w:p>
    <w:p w:rsidR="00D56385" w:rsidRPr="00AA3DBF" w:rsidRDefault="00D56385" w:rsidP="00D56385">
      <w:pPr>
        <w:pStyle w:val="BodyText"/>
        <w:rPr>
          <w:b/>
        </w:rPr>
      </w:pPr>
      <w:r>
        <w:rPr>
          <w:b/>
        </w:rPr>
        <w:t>Lithium-ion batteries infrastructure</w:t>
      </w:r>
    </w:p>
    <w:p w:rsidR="005A1992" w:rsidRDefault="009E5EA5" w:rsidP="00D56385">
      <w:pPr>
        <w:pStyle w:val="BodyText"/>
      </w:pPr>
      <w:r>
        <w:t>The p</w:t>
      </w:r>
      <w:r w:rsidR="00D56385">
        <w:t>otential arisings of lithium-ion batteries, which are not currently regulated as hazardous wastes, a</w:t>
      </w:r>
      <w:r w:rsidR="00D56385" w:rsidRPr="00803950">
        <w:t>re assessed</w:t>
      </w:r>
      <w:r w:rsidR="00D56385">
        <w:t xml:space="preserve"> is this report</w:t>
      </w:r>
      <w:r w:rsidR="00D56385" w:rsidRPr="00803950">
        <w:t xml:space="preserve"> </w:t>
      </w:r>
      <w:r w:rsidR="00D56385">
        <w:t xml:space="preserve">due </w:t>
      </w:r>
      <w:r w:rsidR="00D56385" w:rsidRPr="00803950">
        <w:t xml:space="preserve">their potential to have a significant impact on hazardous </w:t>
      </w:r>
      <w:r w:rsidR="00D56385">
        <w:t xml:space="preserve">and non-hazardous </w:t>
      </w:r>
      <w:r w:rsidR="00D56385" w:rsidRPr="00803950">
        <w:t xml:space="preserve">waste infrastructure. </w:t>
      </w:r>
      <w:r>
        <w:t>Waste l</w:t>
      </w:r>
      <w:r w:rsidR="00D56385" w:rsidRPr="00803950">
        <w:t>ithium-ion batter</w:t>
      </w:r>
      <w:r w:rsidR="00D56385">
        <w:t xml:space="preserve">ies are projected to increase at an </w:t>
      </w:r>
      <w:r w:rsidR="00D56385" w:rsidRPr="00816657">
        <w:t xml:space="preserve">average growth rate </w:t>
      </w:r>
      <w:r>
        <w:t xml:space="preserve">of </w:t>
      </w:r>
      <w:r w:rsidR="00D56385" w:rsidRPr="00816657">
        <w:t>12% per year</w:t>
      </w:r>
      <w:r w:rsidR="00D56385">
        <w:t xml:space="preserve"> (under best estimate scenario), and</w:t>
      </w:r>
      <w:r w:rsidR="00D56385" w:rsidRPr="00803950">
        <w:t xml:space="preserve"> if not appropriately managed</w:t>
      </w:r>
      <w:r w:rsidR="00D56385">
        <w:t>, represent</w:t>
      </w:r>
      <w:r w:rsidR="00D56385" w:rsidRPr="00803950">
        <w:t xml:space="preserve"> a safety hazard due to risks of causing explosions and or fire (ABRI 2014).</w:t>
      </w:r>
      <w:r w:rsidR="00D56385">
        <w:t xml:space="preserve"> </w:t>
      </w:r>
    </w:p>
    <w:p w:rsidR="005A1992" w:rsidRDefault="005A1992" w:rsidP="00D56385">
      <w:pPr>
        <w:pStyle w:val="BodyText"/>
      </w:pPr>
    </w:p>
    <w:p w:rsidR="009E5EA5" w:rsidRDefault="00D56385" w:rsidP="00D56385">
      <w:pPr>
        <w:pStyle w:val="BodyText"/>
      </w:pPr>
      <w:r>
        <w:t xml:space="preserve">Whilst this assessment does not indicate a shortfall in the overall e-waste processing capacity in Australia, at the time of writing there </w:t>
      </w:r>
      <w:r w:rsidR="003A1AA8">
        <w:t>are</w:t>
      </w:r>
      <w:r>
        <w:t xml:space="preserve"> no </w:t>
      </w:r>
      <w:r w:rsidR="005A1992">
        <w:t>e</w:t>
      </w:r>
      <w:r>
        <w:t>-waste facilities with lithium-ion recycling capacity. All lithium-ion batteries that are recovered are exported overseas for recycling.</w:t>
      </w:r>
      <w:r w:rsidR="005A1992">
        <w:t xml:space="preserve"> In addition, </w:t>
      </w:r>
      <w:r>
        <w:t>Australia has</w:t>
      </w:r>
      <w:r w:rsidR="005A1992">
        <w:t xml:space="preserve"> no specific lithium-ion battery collection/transfer infrastructure (lithium-ion batteries that are recovered are collected with other battery</w:t>
      </w:r>
      <w:r>
        <w:t xml:space="preserve"> </w:t>
      </w:r>
      <w:r w:rsidR="005A1992">
        <w:t>types).</w:t>
      </w:r>
      <w:r w:rsidR="009E5EA5">
        <w:t xml:space="preserve"> The collection of potentially flammable lithium-ion batteries without appropriate infrastructure could create a fire hazard with</w:t>
      </w:r>
      <w:r w:rsidR="00F923CA">
        <w:t>in</w:t>
      </w:r>
      <w:r w:rsidR="009E5EA5">
        <w:t xml:space="preserve"> the collection infrastructure </w:t>
      </w:r>
      <w:r w:rsidR="00F923CA">
        <w:t xml:space="preserve">for </w:t>
      </w:r>
      <w:r w:rsidR="009E5EA5">
        <w:t>other batteries.</w:t>
      </w:r>
    </w:p>
    <w:p w:rsidR="009E5EA5" w:rsidRDefault="009E5EA5" w:rsidP="00D56385">
      <w:pPr>
        <w:pStyle w:val="BodyText"/>
      </w:pPr>
    </w:p>
    <w:p w:rsidR="00D56385" w:rsidRDefault="008A37B8" w:rsidP="00D56385">
      <w:pPr>
        <w:pStyle w:val="BodyText"/>
      </w:pPr>
      <w:r w:rsidRPr="00297818">
        <w:rPr>
          <w:b/>
        </w:rPr>
        <w:t>Recommendation 2:</w:t>
      </w:r>
      <w:r>
        <w:rPr>
          <w:b/>
        </w:rPr>
        <w:t xml:space="preserve"> </w:t>
      </w:r>
      <w:r w:rsidR="005A1992">
        <w:t>Th</w:t>
      </w:r>
      <w:r w:rsidR="00D85B2E">
        <w:t>e</w:t>
      </w:r>
      <w:r w:rsidR="005A1992">
        <w:t xml:space="preserve"> potential hazard</w:t>
      </w:r>
      <w:r w:rsidR="009E5EA5">
        <w:t>s</w:t>
      </w:r>
      <w:r w:rsidR="005A1992">
        <w:t xml:space="preserve"> posed by lithium-ion batteries</w:t>
      </w:r>
      <w:r w:rsidR="00F923CA">
        <w:t>,</w:t>
      </w:r>
      <w:r w:rsidR="005A1992">
        <w:t xml:space="preserve"> </w:t>
      </w:r>
      <w:r w:rsidR="00F923CA">
        <w:t xml:space="preserve">and the best means of managing these hazards, </w:t>
      </w:r>
      <w:r w:rsidR="005A1992">
        <w:t xml:space="preserve">needs </w:t>
      </w:r>
      <w:r w:rsidR="00F923CA">
        <w:t>further</w:t>
      </w:r>
      <w:r w:rsidR="005A1992">
        <w:t xml:space="preserve"> assessment. </w:t>
      </w:r>
      <w:r w:rsidR="009E5EA5">
        <w:t>Following</w:t>
      </w:r>
      <w:r w:rsidR="00F923CA">
        <w:t xml:space="preserve"> the</w:t>
      </w:r>
      <w:r w:rsidR="00D85B2E">
        <w:t xml:space="preserve"> </w:t>
      </w:r>
      <w:r w:rsidR="00F923CA">
        <w:t xml:space="preserve">assessment of </w:t>
      </w:r>
      <w:r w:rsidR="00D85B2E">
        <w:t>hazard</w:t>
      </w:r>
      <w:r w:rsidR="005A1992">
        <w:t xml:space="preserve">, assessment of the collection and processing infrastructure </w:t>
      </w:r>
      <w:r w:rsidR="00F923CA">
        <w:t xml:space="preserve">needs </w:t>
      </w:r>
      <w:r w:rsidR="005A1992">
        <w:t xml:space="preserve">for lithium-ion batteries in Australia </w:t>
      </w:r>
      <w:r w:rsidR="00F923CA">
        <w:t xml:space="preserve">should be </w:t>
      </w:r>
      <w:r w:rsidR="005A1992">
        <w:t xml:space="preserve">completed. </w:t>
      </w:r>
      <w:r w:rsidR="00D56385">
        <w:t xml:space="preserve">  </w:t>
      </w:r>
    </w:p>
    <w:p w:rsidR="00F923CA" w:rsidRDefault="00F923CA" w:rsidP="00D56385">
      <w:pPr>
        <w:pStyle w:val="BodyText"/>
      </w:pPr>
    </w:p>
    <w:p w:rsidR="00F923CA" w:rsidRDefault="00F923CA" w:rsidP="00D56385">
      <w:pPr>
        <w:pStyle w:val="BodyText"/>
      </w:pPr>
    </w:p>
    <w:p w:rsidR="00D56385" w:rsidRDefault="00D56385" w:rsidP="00D56385">
      <w:pPr>
        <w:pStyle w:val="BodyText"/>
      </w:pPr>
    </w:p>
    <w:p w:rsidR="004151B0" w:rsidRDefault="004151B0" w:rsidP="007F5BD4">
      <w:pPr>
        <w:pStyle w:val="Heading3"/>
      </w:pPr>
      <w:r>
        <w:t>Oil re-refining facilities</w:t>
      </w:r>
    </w:p>
    <w:p w:rsidR="00457A84" w:rsidRDefault="00457A84" w:rsidP="00457A84">
      <w:pPr>
        <w:pStyle w:val="BodyText"/>
        <w:rPr>
          <w:color w:val="000000"/>
          <w:szCs w:val="20"/>
        </w:rPr>
      </w:pPr>
      <w:r>
        <w:rPr>
          <w:color w:val="000000"/>
          <w:szCs w:val="20"/>
        </w:rPr>
        <w:lastRenderedPageBreak/>
        <w:t xml:space="preserve">At a national level, based on projected increases in waste oil arisings in Qld and WA (from the mining industry), the best estimate scenario projects that waste oil re-refining capacity in Australia could be exceeded in 2023 or by 2020 under the high scenario. Changes in the rates of growth of the mining industry in Qld and WA could have a significant impact on this assessment. Under a low arisings scenario (which includes Qld and WA arisings increasing at national rate of economic growth) waste oil re-refining capacity in Australia is likely to be sufficient beyond 2034. </w:t>
      </w:r>
      <w:r>
        <w:rPr>
          <w:color w:val="000000"/>
          <w:szCs w:val="20"/>
        </w:rPr>
        <w:br/>
      </w:r>
      <w:r>
        <w:rPr>
          <w:color w:val="000000"/>
          <w:szCs w:val="20"/>
        </w:rPr>
        <w:br/>
        <w:t xml:space="preserve">The infrastructure capacity assessment for this group has moderate uncertainty due to the group's capacity having some overlap with the transfer station or temporary storage infrastructure group resulting in a potential overestimate of the infrastructure group capacity. </w:t>
      </w:r>
    </w:p>
    <w:p w:rsidR="00457A84" w:rsidRDefault="00457A84" w:rsidP="00457A84">
      <w:pPr>
        <w:pStyle w:val="BodyText"/>
        <w:rPr>
          <w:color w:val="000000"/>
          <w:szCs w:val="20"/>
        </w:rPr>
      </w:pPr>
    </w:p>
    <w:p w:rsidR="00457A84" w:rsidRDefault="00457A84" w:rsidP="00457A84">
      <w:pPr>
        <w:pStyle w:val="BodyText"/>
        <w:rPr>
          <w:color w:val="000000"/>
          <w:szCs w:val="20"/>
        </w:rPr>
      </w:pPr>
      <w:r>
        <w:rPr>
          <w:color w:val="000000"/>
          <w:szCs w:val="20"/>
        </w:rPr>
        <w:t xml:space="preserve">Offsetting the potential overestimation of this group’s capacity is the allocating of </w:t>
      </w:r>
      <w:r w:rsidRPr="007F5BD4">
        <w:rPr>
          <w:color w:val="000000"/>
          <w:szCs w:val="20"/>
          <w:u w:val="single"/>
        </w:rPr>
        <w:t>all</w:t>
      </w:r>
      <w:r>
        <w:rPr>
          <w:color w:val="000000"/>
          <w:szCs w:val="20"/>
        </w:rPr>
        <w:t xml:space="preserve"> NEPM J codes recycling tonnages to this group. Some of the J code 'recycling' tonnage is likely to be </w:t>
      </w:r>
      <w:r w:rsidRPr="008F5A72">
        <w:rPr>
          <w:i/>
          <w:color w:val="000000"/>
          <w:szCs w:val="20"/>
        </w:rPr>
        <w:t>J120</w:t>
      </w:r>
      <w:r>
        <w:rPr>
          <w:color w:val="000000"/>
          <w:szCs w:val="20"/>
        </w:rPr>
        <w:t xml:space="preserve"> </w:t>
      </w:r>
      <w:r>
        <w:rPr>
          <w:i/>
          <w:iCs/>
          <w:color w:val="000000"/>
          <w:szCs w:val="20"/>
        </w:rPr>
        <w:t>Waste oil/water, hydrocarbons/water mixtures or emulsions</w:t>
      </w:r>
      <w:r>
        <w:rPr>
          <w:color w:val="000000"/>
          <w:szCs w:val="20"/>
        </w:rPr>
        <w:t xml:space="preserve"> that is taken to facilities that are filtering and dewatering only (not re-refining) resulting in an overestimate of the arisings of oils being sent to re-refining. In addition some waste oils ‘recycling’ may actually be sent for energy recovery which, again, would result in an overestimate of waste oil re-refining demand. </w:t>
      </w:r>
    </w:p>
    <w:p w:rsidR="00457A84" w:rsidRDefault="00457A84" w:rsidP="00457A84">
      <w:pPr>
        <w:pStyle w:val="BodyText"/>
        <w:rPr>
          <w:color w:val="000000"/>
          <w:szCs w:val="20"/>
        </w:rPr>
      </w:pPr>
    </w:p>
    <w:p w:rsidR="00457A84" w:rsidRDefault="00457A84" w:rsidP="00457A84">
      <w:pPr>
        <w:pStyle w:val="BodyText"/>
      </w:pPr>
      <w:r>
        <w:t>No re-refining capacity was identified in the ACT or NT, from which waste oils are likely transported interstate. Qld o</w:t>
      </w:r>
      <w:r w:rsidRPr="00D46FD1">
        <w:t xml:space="preserve">il re-refining capacity could be currently constrained locally. However, almost all of the </w:t>
      </w:r>
      <w:r>
        <w:t>t</w:t>
      </w:r>
      <w:r w:rsidRPr="00D46FD1">
        <w:t>ransfer</w:t>
      </w:r>
      <w:r>
        <w:t xml:space="preserve"> station and temporary storage </w:t>
      </w:r>
      <w:r w:rsidRPr="00D46FD1">
        <w:t xml:space="preserve">capacity in Qld is for waste oil </w:t>
      </w:r>
      <w:r>
        <w:t>prior to transport</w:t>
      </w:r>
      <w:r w:rsidRPr="00D46FD1">
        <w:t xml:space="preserve"> to re-refining or </w:t>
      </w:r>
      <w:r>
        <w:t xml:space="preserve">some alternative </w:t>
      </w:r>
      <w:r w:rsidRPr="00D46FD1">
        <w:t>in Qld or interstate</w:t>
      </w:r>
      <w:r>
        <w:t xml:space="preserve">, suggesting </w:t>
      </w:r>
      <w:r w:rsidRPr="00D46FD1">
        <w:t xml:space="preserve">that Qld should be able to manage waste oil arisings. </w:t>
      </w:r>
      <w:r>
        <w:t>WA’s o</w:t>
      </w:r>
      <w:r w:rsidRPr="00841A13">
        <w:t>il re-refining capacity could be constrained by 2027 or 2024 if mining sector grows very strongly.</w:t>
      </w:r>
      <w:r>
        <w:t xml:space="preserve"> Vic, NSW, SA, </w:t>
      </w:r>
      <w:proofErr w:type="gramStart"/>
      <w:r>
        <w:t>Tas</w:t>
      </w:r>
      <w:proofErr w:type="gramEnd"/>
      <w:r>
        <w:t xml:space="preserve"> oil re-refining capacity should be sufficient.</w:t>
      </w:r>
    </w:p>
    <w:p w:rsidR="00457A84" w:rsidRDefault="00457A84" w:rsidP="00457A84">
      <w:pPr>
        <w:pStyle w:val="BodyText"/>
      </w:pPr>
    </w:p>
    <w:p w:rsidR="00A075C2" w:rsidRDefault="00A075C2" w:rsidP="00A075C2">
      <w:pPr>
        <w:pStyle w:val="BodyText"/>
      </w:pPr>
      <w:r w:rsidRPr="00A075C2">
        <w:t>The Product Stewardship for Oil Program was introduced by the Australian Government in 2001</w:t>
      </w:r>
      <w:r>
        <w:t xml:space="preserve">. It provides </w:t>
      </w:r>
      <w:r w:rsidRPr="00A075C2">
        <w:t>a financial incentive (of 50 cents/litre) for industry to re-refine waste oil for sale</w:t>
      </w:r>
      <w:r>
        <w:t xml:space="preserve">. There appears to be some uncertainty as to what activities and materials are eligible, and it is possible that some subsidies are being expended on mixtures of oil and water and potentially storage and transfer activities. </w:t>
      </w:r>
    </w:p>
    <w:p w:rsidR="00A075C2" w:rsidRDefault="00A075C2" w:rsidP="00A075C2">
      <w:pPr>
        <w:pStyle w:val="BodyText"/>
      </w:pPr>
    </w:p>
    <w:p w:rsidR="00CF7565" w:rsidRDefault="00A075C2" w:rsidP="00A075C2">
      <w:pPr>
        <w:pStyle w:val="BodyText"/>
      </w:pPr>
      <w:r w:rsidRPr="00A075C2">
        <w:rPr>
          <w:b/>
        </w:rPr>
        <w:t xml:space="preserve">Recommendation </w:t>
      </w:r>
      <w:r w:rsidR="008A37B8">
        <w:rPr>
          <w:b/>
        </w:rPr>
        <w:t>3</w:t>
      </w:r>
      <w:r w:rsidRPr="00A075C2">
        <w:rPr>
          <w:b/>
        </w:rPr>
        <w:t>:</w:t>
      </w:r>
      <w:r w:rsidRPr="00A075C2">
        <w:t xml:space="preserve"> DoE should </w:t>
      </w:r>
      <w:r>
        <w:t>assess</w:t>
      </w:r>
      <w:r w:rsidRPr="00A075C2">
        <w:t xml:space="preserve"> waste oil infrastructure to </w:t>
      </w:r>
      <w:r>
        <w:t>clarify</w:t>
      </w:r>
      <w:r w:rsidRPr="00A075C2">
        <w:t xml:space="preserve"> which sites are providing re-refining of oils for sale </w:t>
      </w:r>
      <w:r>
        <w:t>that qualify them for the product stewardship payment.</w:t>
      </w:r>
    </w:p>
    <w:p w:rsidR="00A075C2" w:rsidRDefault="00A075C2" w:rsidP="007F5BD4">
      <w:pPr>
        <w:pStyle w:val="BodyText"/>
      </w:pPr>
    </w:p>
    <w:p w:rsidR="004151B0" w:rsidRDefault="004151B0" w:rsidP="007F5BD4">
      <w:pPr>
        <w:pStyle w:val="Heading3"/>
      </w:pPr>
      <w:r>
        <w:t xml:space="preserve">Lead recycling facilities </w:t>
      </w:r>
    </w:p>
    <w:p w:rsidR="00457A84" w:rsidRDefault="00457A84" w:rsidP="00457A84">
      <w:pPr>
        <w:pStyle w:val="BodyText"/>
        <w:rPr>
          <w:color w:val="000000"/>
          <w:szCs w:val="20"/>
        </w:rPr>
      </w:pPr>
      <w:r>
        <w:rPr>
          <w:color w:val="000000"/>
          <w:szCs w:val="20"/>
        </w:rPr>
        <w:t xml:space="preserve">At a national level, based on the best estimate projection of arisings increasing at the rate of population growth the current and planned lead recycling infrastructure could be exceeded by 2031. Based on the high estimate projection of arisings increasing strongly at 3.5% per annum capacity could be met in 2022. Under a low scenario of no growth in arisings capacity is not expected to be exceeded over the next 20 years. </w:t>
      </w:r>
    </w:p>
    <w:p w:rsidR="00457A84" w:rsidRDefault="00457A84" w:rsidP="00457A84">
      <w:pPr>
        <w:pStyle w:val="BodyText"/>
      </w:pPr>
    </w:p>
    <w:p w:rsidR="00457A84" w:rsidRDefault="00457A84" w:rsidP="00457A84">
      <w:pPr>
        <w:pStyle w:val="BodyText"/>
      </w:pPr>
      <w:r>
        <w:t>Recycling capacity for l</w:t>
      </w:r>
      <w:r w:rsidRPr="00816657">
        <w:t xml:space="preserve">ead </w:t>
      </w:r>
      <w:r>
        <w:t xml:space="preserve">acid batteries is all located in </w:t>
      </w:r>
      <w:r w:rsidRPr="00816657">
        <w:t xml:space="preserve">NSW, </w:t>
      </w:r>
      <w:r>
        <w:t>so lead acid batteries are transported from other jurisdictions to NSW or exported overseas under an export permit. Developments in WA should see less lead acid batteries transported from WA to NSW.</w:t>
      </w:r>
    </w:p>
    <w:p w:rsidR="00CF7565" w:rsidRDefault="00CF7565" w:rsidP="007F5BD4">
      <w:pPr>
        <w:pStyle w:val="BodyText"/>
      </w:pPr>
    </w:p>
    <w:p w:rsidR="004151B0" w:rsidRDefault="004151B0" w:rsidP="007F5BD4">
      <w:pPr>
        <w:pStyle w:val="Heading3"/>
      </w:pPr>
      <w:r>
        <w:t>Mercury recycling facilities</w:t>
      </w:r>
    </w:p>
    <w:p w:rsidR="00457A84" w:rsidRDefault="00457A84" w:rsidP="00457A84">
      <w:pPr>
        <w:pStyle w:val="BodyText"/>
        <w:rPr>
          <w:color w:val="000000"/>
          <w:szCs w:val="20"/>
        </w:rPr>
      </w:pPr>
      <w:r>
        <w:rPr>
          <w:color w:val="000000"/>
          <w:szCs w:val="20"/>
        </w:rPr>
        <w:t>At a national level, the assessment indicates that under all scenarios over the next 20 years the potential capacity of Australia's current mercury waste recycling infrastructure will be able to recycle waste arisings.</w:t>
      </w:r>
    </w:p>
    <w:p w:rsidR="00457A84" w:rsidRDefault="00457A84" w:rsidP="00457A84">
      <w:pPr>
        <w:pStyle w:val="BodyText"/>
      </w:pPr>
    </w:p>
    <w:p w:rsidR="00457A84" w:rsidRDefault="00457A84" w:rsidP="00457A84">
      <w:pPr>
        <w:pStyle w:val="BodyText"/>
      </w:pPr>
      <w:r>
        <w:t>Mercury processing capacity was identified in Vic (the majority) and a small amount in NSW. All other jurisdictions are likely transferring mercury wastes to Vic and NSW.</w:t>
      </w:r>
    </w:p>
    <w:p w:rsidR="00457A84" w:rsidRDefault="00457A84" w:rsidP="00457A84">
      <w:pPr>
        <w:pStyle w:val="BodyText"/>
      </w:pPr>
    </w:p>
    <w:p w:rsidR="00457A84" w:rsidRDefault="00457A84" w:rsidP="00457A84">
      <w:pPr>
        <w:pStyle w:val="BodyText"/>
        <w:rPr>
          <w:shd w:val="clear" w:color="auto" w:fill="FF0000"/>
        </w:rPr>
      </w:pPr>
      <w:r>
        <w:lastRenderedPageBreak/>
        <w:t xml:space="preserve">CMA Ecocycle </w:t>
      </w:r>
      <w:proofErr w:type="gramStart"/>
      <w:r>
        <w:t>are</w:t>
      </w:r>
      <w:proofErr w:type="gramEnd"/>
      <w:r>
        <w:t xml:space="preserve"> the main provider of mercury infrastructure with transfer facilities located around Australia and a processing facility in Melbourne. </w:t>
      </w:r>
      <w:proofErr w:type="gramStart"/>
      <w:r w:rsidR="00F5585F">
        <w:rPr>
          <w:shd w:val="clear" w:color="auto" w:fill="FF0000"/>
        </w:rPr>
        <w:t>CIC.</w:t>
      </w:r>
      <w:proofErr w:type="gramEnd"/>
    </w:p>
    <w:p w:rsidR="00FB658B" w:rsidRDefault="00FB658B" w:rsidP="00457A84">
      <w:pPr>
        <w:pStyle w:val="BodyText"/>
        <w:rPr>
          <w:color w:val="FFFFFF" w:themeColor="background1"/>
          <w:shd w:val="clear" w:color="auto" w:fill="FF0000"/>
        </w:rPr>
      </w:pPr>
    </w:p>
    <w:p w:rsidR="00F22DD5" w:rsidRDefault="00F22DD5" w:rsidP="00F22DD5">
      <w:pPr>
        <w:pStyle w:val="BodyText"/>
        <w:rPr>
          <w:color w:val="FFFFFF" w:themeColor="background1"/>
          <w:shd w:val="clear" w:color="auto" w:fill="FF0000"/>
        </w:rPr>
      </w:pPr>
      <w:r>
        <w:rPr>
          <w:b/>
          <w:color w:val="FFFFFF" w:themeColor="background1"/>
          <w:shd w:val="clear" w:color="auto" w:fill="FF0000"/>
        </w:rPr>
        <w:t xml:space="preserve">Recommendation </w:t>
      </w:r>
      <w:r w:rsidR="008F5061">
        <w:rPr>
          <w:b/>
          <w:color w:val="FFFFFF" w:themeColor="background1"/>
          <w:shd w:val="clear" w:color="auto" w:fill="FF0000"/>
        </w:rPr>
        <w:t>4</w:t>
      </w:r>
      <w:r>
        <w:rPr>
          <w:b/>
          <w:color w:val="FFFFFF" w:themeColor="background1"/>
          <w:shd w:val="clear" w:color="auto" w:fill="FF0000"/>
        </w:rPr>
        <w:t xml:space="preserve">: </w:t>
      </w:r>
      <w:r w:rsidR="00F5585F">
        <w:rPr>
          <w:b/>
          <w:color w:val="FFFFFF" w:themeColor="background1"/>
          <w:shd w:val="clear" w:color="auto" w:fill="FF0000"/>
        </w:rPr>
        <w:t>CIC</w:t>
      </w:r>
    </w:p>
    <w:p w:rsidR="00CF7565" w:rsidRDefault="00CF7565" w:rsidP="007F5BD4">
      <w:pPr>
        <w:pStyle w:val="BodyText"/>
      </w:pPr>
    </w:p>
    <w:p w:rsidR="00AD75B2" w:rsidRPr="00AD75B2" w:rsidRDefault="00AD75B2" w:rsidP="00AD75B2">
      <w:pPr>
        <w:pStyle w:val="BodyText"/>
        <w:rPr>
          <w:color w:val="000000"/>
          <w:szCs w:val="20"/>
        </w:rPr>
      </w:pPr>
      <w:r w:rsidRPr="00AD75B2">
        <w:rPr>
          <w:b/>
          <w:color w:val="000000"/>
          <w:szCs w:val="20"/>
        </w:rPr>
        <w:t xml:space="preserve">Recommendation </w:t>
      </w:r>
      <w:r w:rsidR="008F5061">
        <w:rPr>
          <w:b/>
          <w:color w:val="000000"/>
          <w:szCs w:val="20"/>
        </w:rPr>
        <w:t>5</w:t>
      </w:r>
      <w:r w:rsidRPr="00AD75B2">
        <w:rPr>
          <w:b/>
          <w:color w:val="000000"/>
          <w:szCs w:val="20"/>
        </w:rPr>
        <w:t xml:space="preserve">: </w:t>
      </w:r>
      <w:r w:rsidRPr="00AD75B2">
        <w:rPr>
          <w:color w:val="000000"/>
          <w:szCs w:val="20"/>
        </w:rPr>
        <w:t>State and</w:t>
      </w:r>
      <w:r>
        <w:rPr>
          <w:color w:val="000000"/>
          <w:szCs w:val="20"/>
        </w:rPr>
        <w:t xml:space="preserve"> territory governments should require financial assurances from companies that process and store wastes to avoid the risk of ‘orphaned’ stockpiles. </w:t>
      </w:r>
    </w:p>
    <w:p w:rsidR="00AD75B2" w:rsidRDefault="00AD75B2" w:rsidP="007F5BD4">
      <w:pPr>
        <w:pStyle w:val="BodyText"/>
      </w:pPr>
    </w:p>
    <w:p w:rsidR="004151B0" w:rsidRDefault="004151B0" w:rsidP="007F5BD4">
      <w:pPr>
        <w:pStyle w:val="Heading3"/>
      </w:pPr>
      <w:r>
        <w:t xml:space="preserve">Solvents/paints recycling facilities </w:t>
      </w:r>
    </w:p>
    <w:p w:rsidR="00457A84" w:rsidRDefault="00457A84" w:rsidP="00457A84">
      <w:pPr>
        <w:pStyle w:val="BodyText"/>
        <w:rPr>
          <w:color w:val="000000"/>
          <w:szCs w:val="20"/>
        </w:rPr>
      </w:pPr>
      <w:r>
        <w:rPr>
          <w:color w:val="000000"/>
          <w:szCs w:val="20"/>
        </w:rPr>
        <w:t>At a national level, the assessment indicates that under all scenarios the current capacity of solvents/paints recycling is being exceeded. This is unlikely to be accurate due to the high level of uncertainty in the capacity assessment for this group. A number of factors need to be considered:</w:t>
      </w:r>
    </w:p>
    <w:p w:rsidR="00457A84" w:rsidRPr="00C64304" w:rsidRDefault="00457A84" w:rsidP="00457A84">
      <w:pPr>
        <w:pStyle w:val="Bullet1"/>
        <w:numPr>
          <w:ilvl w:val="0"/>
          <w:numId w:val="71"/>
        </w:numPr>
      </w:pPr>
      <w:r>
        <w:rPr>
          <w:color w:val="000000"/>
          <w:szCs w:val="20"/>
        </w:rPr>
        <w:t>It is likely that some materials sent to energy recovery are recorded as recycled (resulting in over estimate of arisings to recycling and underestimate to energy recovery)</w:t>
      </w:r>
    </w:p>
    <w:p w:rsidR="00457A84" w:rsidRPr="00C64304" w:rsidRDefault="00457A84" w:rsidP="00457A84">
      <w:pPr>
        <w:pStyle w:val="Bullet1"/>
        <w:numPr>
          <w:ilvl w:val="0"/>
          <w:numId w:val="71"/>
        </w:numPr>
      </w:pPr>
      <w:r>
        <w:rPr>
          <w:color w:val="000000"/>
          <w:szCs w:val="20"/>
        </w:rPr>
        <w:t>Some solvent/paint recycling capacity is likely to be within the CPT infrastructure group</w:t>
      </w:r>
    </w:p>
    <w:p w:rsidR="00457A84" w:rsidRDefault="00457A84" w:rsidP="00457A84">
      <w:pPr>
        <w:pStyle w:val="Bullet1"/>
        <w:numPr>
          <w:ilvl w:val="0"/>
          <w:numId w:val="71"/>
        </w:numPr>
      </w:pPr>
      <w:proofErr w:type="gramStart"/>
      <w:r>
        <w:rPr>
          <w:color w:val="000000"/>
          <w:szCs w:val="20"/>
        </w:rPr>
        <w:t>Some smaller operators that recycle solvents/paint may not have not been captured in the infrastructure database.</w:t>
      </w:r>
      <w:proofErr w:type="gramEnd"/>
      <w:r>
        <w:t xml:space="preserve"> </w:t>
      </w:r>
    </w:p>
    <w:p w:rsidR="00457A84" w:rsidRDefault="00457A84" w:rsidP="00457A84">
      <w:pPr>
        <w:pStyle w:val="BodyText"/>
      </w:pPr>
    </w:p>
    <w:p w:rsidR="00457A84" w:rsidRDefault="00457A84" w:rsidP="00457A84">
      <w:pPr>
        <w:pStyle w:val="BodyText"/>
      </w:pPr>
      <w:r>
        <w:rPr>
          <w:color w:val="000000"/>
          <w:szCs w:val="20"/>
        </w:rPr>
        <w:t>Based on industry consultation and this assessment, a national shortage of this infrastructure over the next 20 years is considered unlikely</w:t>
      </w:r>
      <w:r>
        <w:t xml:space="preserve">. Solvent/paints recycling infrastructure was identified in all jurisdictions apart from ACT, SA, </w:t>
      </w:r>
      <w:proofErr w:type="gramStart"/>
      <w:r>
        <w:t>Tas</w:t>
      </w:r>
      <w:proofErr w:type="gramEnd"/>
      <w:r>
        <w:t xml:space="preserve"> and NT. In these jurisdictions, solvents/paint waste is sent interstate, managed within other infrastructure groups or taken to sites not identified in the capacity database.</w:t>
      </w:r>
    </w:p>
    <w:p w:rsidR="00457A84" w:rsidRDefault="00457A84" w:rsidP="00457A84">
      <w:pPr>
        <w:pStyle w:val="BodyText"/>
      </w:pPr>
    </w:p>
    <w:p w:rsidR="004151B0" w:rsidRDefault="004151B0" w:rsidP="007F5BD4">
      <w:pPr>
        <w:pStyle w:val="Heading3"/>
      </w:pPr>
      <w:r>
        <w:t>Solvents/paints energy recovery facilities</w:t>
      </w:r>
    </w:p>
    <w:p w:rsidR="00457A84" w:rsidRDefault="00457A84" w:rsidP="00457A84">
      <w:pPr>
        <w:pStyle w:val="BodyText"/>
        <w:rPr>
          <w:color w:val="000000"/>
          <w:szCs w:val="20"/>
        </w:rPr>
      </w:pPr>
      <w:r>
        <w:rPr>
          <w:color w:val="000000"/>
          <w:szCs w:val="20"/>
        </w:rPr>
        <w:t xml:space="preserve">At a national level, the assessment indicates that under the best and low scenarios over the next 20 years the potential capacity of Australia's current solvents/paints energy recovery infrastructure will be able to manage waste arisings. If paints, resins, inks, organic sludges grow very strongly (at 3.8%p.a.) capacity could be exceeded by 2030. </w:t>
      </w:r>
    </w:p>
    <w:p w:rsidR="00457A84" w:rsidRDefault="00457A84" w:rsidP="00457A84">
      <w:pPr>
        <w:pStyle w:val="BodyText"/>
        <w:rPr>
          <w:color w:val="000000"/>
          <w:szCs w:val="20"/>
        </w:rPr>
      </w:pPr>
      <w:r>
        <w:rPr>
          <w:color w:val="000000"/>
          <w:szCs w:val="20"/>
        </w:rPr>
        <w:br/>
        <w:t>It is noted some solvents/paints recycling tonnages may actually be sent to energy recovery infrastructure. This could result in the infrastructure need exceeding capacity sooner than is estimated here.</w:t>
      </w:r>
    </w:p>
    <w:p w:rsidR="00457A84" w:rsidRDefault="00457A84" w:rsidP="00457A84">
      <w:pPr>
        <w:pStyle w:val="BodyText"/>
        <w:rPr>
          <w:color w:val="000000"/>
          <w:szCs w:val="20"/>
        </w:rPr>
      </w:pPr>
    </w:p>
    <w:p w:rsidR="00457A84" w:rsidRDefault="00457A84" w:rsidP="00457A84">
      <w:pPr>
        <w:pStyle w:val="BodyText"/>
        <w:rPr>
          <w:color w:val="000000"/>
          <w:szCs w:val="20"/>
        </w:rPr>
      </w:pPr>
      <w:r>
        <w:rPr>
          <w:color w:val="000000"/>
          <w:szCs w:val="20"/>
        </w:rPr>
        <w:t xml:space="preserve">Victoria has the only facility (GeoCycle) that recovers paints, resins, inks, organic sludges for the purposes </w:t>
      </w:r>
      <w:r w:rsidRPr="007F5BD4">
        <w:rPr>
          <w:color w:val="000000"/>
          <w:szCs w:val="20"/>
        </w:rPr>
        <w:t>of energy recovery</w:t>
      </w:r>
      <w:r>
        <w:rPr>
          <w:color w:val="000000"/>
          <w:szCs w:val="20"/>
        </w:rPr>
        <w:t xml:space="preserve">. Other jurisdictions are likely to send these wastes to Victoria. </w:t>
      </w:r>
    </w:p>
    <w:p w:rsidR="00CF7565" w:rsidRDefault="00CF7565" w:rsidP="007F5BD4">
      <w:pPr>
        <w:pStyle w:val="BodyText"/>
      </w:pPr>
    </w:p>
    <w:p w:rsidR="004151B0" w:rsidRDefault="004151B0" w:rsidP="007F5BD4">
      <w:pPr>
        <w:pStyle w:val="Heading3"/>
      </w:pPr>
      <w:r>
        <w:t xml:space="preserve">Spent </w:t>
      </w:r>
      <w:r w:rsidR="00061B2C">
        <w:t>pot</w:t>
      </w:r>
      <w:r>
        <w:t xml:space="preserve">lining recycling facilities </w:t>
      </w:r>
    </w:p>
    <w:p w:rsidR="00FB658B" w:rsidRDefault="00457A84" w:rsidP="00457A84">
      <w:pPr>
        <w:pStyle w:val="BodyText"/>
        <w:rPr>
          <w:color w:val="000000"/>
          <w:szCs w:val="20"/>
        </w:rPr>
      </w:pPr>
      <w:r>
        <w:rPr>
          <w:color w:val="000000"/>
          <w:szCs w:val="20"/>
        </w:rPr>
        <w:t xml:space="preserve">For SPL wastes the current estimated arisings are based on the tonnages of SPL </w:t>
      </w:r>
      <w:r w:rsidRPr="004058BC">
        <w:rPr>
          <w:color w:val="000000"/>
          <w:szCs w:val="20"/>
        </w:rPr>
        <w:t>recycled</w:t>
      </w:r>
      <w:r>
        <w:rPr>
          <w:color w:val="000000"/>
          <w:szCs w:val="20"/>
        </w:rPr>
        <w:t xml:space="preserve"> in 2014. Waste tracking system data could not be used because much of the SPL recycling infrastructure is located on aluminium smelting sites (the generation sites) so no tracking data is collected. </w:t>
      </w:r>
      <w:r>
        <w:rPr>
          <w:color w:val="000000"/>
          <w:szCs w:val="20"/>
        </w:rPr>
        <w:br/>
      </w:r>
      <w:r>
        <w:rPr>
          <w:color w:val="000000"/>
          <w:szCs w:val="20"/>
        </w:rPr>
        <w:br/>
        <w:t xml:space="preserve">Industry estimates around 900 kt of spent </w:t>
      </w:r>
      <w:r w:rsidR="00061B2C">
        <w:rPr>
          <w:color w:val="000000"/>
          <w:szCs w:val="20"/>
        </w:rPr>
        <w:t>pot</w:t>
      </w:r>
      <w:r>
        <w:rPr>
          <w:color w:val="000000"/>
          <w:szCs w:val="20"/>
        </w:rPr>
        <w:t>lining are in storage/stockpiles in NSW and Vic (</w:t>
      </w:r>
      <w:r w:rsidRPr="00816657">
        <w:t>sufficient to more than half fill the Melbourne Cricket Ground</w:t>
      </w:r>
      <w:r>
        <w:rPr>
          <w:color w:val="000000"/>
          <w:szCs w:val="20"/>
        </w:rPr>
        <w:t xml:space="preserve">. The best and low projection scenarios assume that </w:t>
      </w:r>
      <w:proofErr w:type="gramStart"/>
      <w:r>
        <w:rPr>
          <w:color w:val="000000"/>
          <w:szCs w:val="20"/>
        </w:rPr>
        <w:t>these stockpile</w:t>
      </w:r>
      <w:proofErr w:type="gramEnd"/>
      <w:r>
        <w:rPr>
          <w:color w:val="000000"/>
          <w:szCs w:val="20"/>
        </w:rPr>
        <w:t xml:space="preserve"> remains </w:t>
      </w:r>
      <w:r w:rsidRPr="004058BC">
        <w:rPr>
          <w:i/>
          <w:color w:val="000000"/>
          <w:szCs w:val="20"/>
        </w:rPr>
        <w:t>in situ</w:t>
      </w:r>
      <w:r>
        <w:rPr>
          <w:color w:val="000000"/>
          <w:szCs w:val="20"/>
        </w:rPr>
        <w:t xml:space="preserve">. Under these scenarios it is estimated that the current SPL recycling infrastructure capacity will not be exceeded over the 20 year projection period. Under the high scenario it is assumed that the SPL stockpile is released </w:t>
      </w:r>
      <w:r w:rsidRPr="004058BC">
        <w:rPr>
          <w:color w:val="000000"/>
          <w:szCs w:val="20"/>
        </w:rPr>
        <w:t>over a 10 year period (at a rate of 90kt/yr.) beginning in 2017</w:t>
      </w:r>
      <w:r>
        <w:rPr>
          <w:color w:val="000000"/>
          <w:szCs w:val="20"/>
        </w:rPr>
        <w:t xml:space="preserve">. </w:t>
      </w:r>
    </w:p>
    <w:p w:rsidR="00457A84" w:rsidRDefault="00F5585F" w:rsidP="00457A84">
      <w:pPr>
        <w:pStyle w:val="BodyText"/>
        <w:rPr>
          <w:color w:val="000000"/>
          <w:szCs w:val="20"/>
          <w:shd w:val="clear" w:color="auto" w:fill="FF0000"/>
        </w:rPr>
      </w:pPr>
      <w:proofErr w:type="gramStart"/>
      <w:r>
        <w:rPr>
          <w:color w:val="000000"/>
          <w:szCs w:val="20"/>
          <w:shd w:val="clear" w:color="auto" w:fill="FF0000"/>
        </w:rPr>
        <w:t>CIC.</w:t>
      </w:r>
      <w:proofErr w:type="gramEnd"/>
    </w:p>
    <w:p w:rsidR="00F5585F" w:rsidRDefault="00F5585F" w:rsidP="00457A84">
      <w:pPr>
        <w:pStyle w:val="BodyText"/>
      </w:pPr>
    </w:p>
    <w:p w:rsidR="00457A84" w:rsidRDefault="00457A84" w:rsidP="00457A84">
      <w:pPr>
        <w:pStyle w:val="BodyText"/>
      </w:pPr>
      <w:r>
        <w:t xml:space="preserve">The storage of large quantities of spent </w:t>
      </w:r>
      <w:r w:rsidR="00061B2C">
        <w:t>pot</w:t>
      </w:r>
      <w:r>
        <w:t xml:space="preserve">lining from aluminium smelting should be a social concern, especially given the recent decline of this industry. The three current operators able to process this waste report sufficient capacity to process the stockpile over a 10-15 year period. A mismatch between demand </w:t>
      </w:r>
      <w:r>
        <w:lastRenderedPageBreak/>
        <w:t>and capacity could cause inappropriate treatment or demand for exports. A nationally coordinated negotiation with the industry is recommended.</w:t>
      </w:r>
    </w:p>
    <w:p w:rsidR="00457A84" w:rsidRDefault="00457A84" w:rsidP="00457A84">
      <w:pPr>
        <w:pStyle w:val="BodyText"/>
      </w:pPr>
    </w:p>
    <w:p w:rsidR="00F22DD5" w:rsidRDefault="00F22DD5" w:rsidP="00F22DD5">
      <w:pPr>
        <w:pStyle w:val="BodyText"/>
        <w:rPr>
          <w:b/>
        </w:rPr>
      </w:pPr>
      <w:r w:rsidRPr="007F5BD4">
        <w:rPr>
          <w:b/>
        </w:rPr>
        <w:t>Recommendation</w:t>
      </w:r>
      <w:r w:rsidR="00AD75B2">
        <w:rPr>
          <w:b/>
        </w:rPr>
        <w:t xml:space="preserve"> </w:t>
      </w:r>
      <w:r w:rsidR="008F5061">
        <w:rPr>
          <w:b/>
        </w:rPr>
        <w:t>6</w:t>
      </w:r>
      <w:r w:rsidRPr="007F5BD4">
        <w:rPr>
          <w:b/>
        </w:rPr>
        <w:t>:</w:t>
      </w:r>
      <w:r>
        <w:t xml:space="preserve"> </w:t>
      </w:r>
      <w:r w:rsidR="00A075C2">
        <w:t>DoE should consult with the a</w:t>
      </w:r>
      <w:r w:rsidR="00A075C2" w:rsidRPr="007F5BD4">
        <w:t>luminium i</w:t>
      </w:r>
      <w:r w:rsidR="00A075C2">
        <w:t>ndustry and NSW, Vic, Qld, Tas S</w:t>
      </w:r>
      <w:r w:rsidR="00A075C2" w:rsidRPr="007F5BD4">
        <w:t xml:space="preserve">tate </w:t>
      </w:r>
      <w:r w:rsidR="00A075C2">
        <w:t>G</w:t>
      </w:r>
      <w:r w:rsidR="00A075C2" w:rsidRPr="007F5BD4">
        <w:t xml:space="preserve">overnments to develop a nationally agreed approach to the management of </w:t>
      </w:r>
      <w:r w:rsidR="00A075C2">
        <w:t>spent potlining</w:t>
      </w:r>
      <w:r w:rsidR="00A075C2" w:rsidRPr="007F5BD4">
        <w:t xml:space="preserve"> stockpiles that ensures the</w:t>
      </w:r>
      <w:r w:rsidR="00A075C2">
        <w:t>ir</w:t>
      </w:r>
      <w:r w:rsidR="00A075C2" w:rsidRPr="007F5BD4">
        <w:t xml:space="preserve"> eventual removal and ongoing recovery or treatment.</w:t>
      </w:r>
    </w:p>
    <w:p w:rsidR="00CF7565" w:rsidRDefault="00CF7565" w:rsidP="007F5BD4">
      <w:pPr>
        <w:pStyle w:val="BodyText"/>
      </w:pPr>
    </w:p>
    <w:p w:rsidR="004151B0" w:rsidRDefault="004151B0" w:rsidP="007F5BD4">
      <w:pPr>
        <w:pStyle w:val="Heading3"/>
      </w:pPr>
      <w:r>
        <w:t>Organics recycling (NEPM K code wastes) facilities</w:t>
      </w:r>
      <w:r w:rsidR="00D06841">
        <w:t xml:space="preserve"> </w:t>
      </w:r>
    </w:p>
    <w:p w:rsidR="00457A84" w:rsidRDefault="00457A84" w:rsidP="00457A84">
      <w:pPr>
        <w:pStyle w:val="BodyText"/>
        <w:rPr>
          <w:szCs w:val="20"/>
        </w:rPr>
      </w:pPr>
      <w:r>
        <w:rPr>
          <w:szCs w:val="20"/>
        </w:rPr>
        <w:t xml:space="preserve">At a national level projections indicate that under all scenarios the current capacity of hazardous waste organics recycling infrastructure (for NEPM K code organics) is being exceeded. This inaccuracy is linked to the very high uncertainty of the capacity assessment. </w:t>
      </w:r>
    </w:p>
    <w:p w:rsidR="00457A84" w:rsidRDefault="00457A84" w:rsidP="00457A84">
      <w:pPr>
        <w:pStyle w:val="BodyText"/>
        <w:rPr>
          <w:szCs w:val="20"/>
        </w:rPr>
      </w:pPr>
    </w:p>
    <w:p w:rsidR="00457A84" w:rsidRDefault="00457A84" w:rsidP="00457A84">
      <w:pPr>
        <w:pStyle w:val="BodyText"/>
        <w:rPr>
          <w:szCs w:val="20"/>
        </w:rPr>
      </w:pPr>
      <w:r>
        <w:rPr>
          <w:szCs w:val="20"/>
        </w:rPr>
        <w:t xml:space="preserve">As discussed in Section 4.2, the majority of the arisings of NEPM K code wastes are sent to infrastructure that has limited coverage in the capacity assessment database. To complete a quantitative analysis of projected arisings of NEPM K code organics against infrastructure capacity, extensive data would be required on 'non-hazardous waste infrastructure' that accepts only a relatively small amount of low level hazardous wastes as part of much larger non-hazardous waste volume. </w:t>
      </w:r>
    </w:p>
    <w:p w:rsidR="00457A84" w:rsidRDefault="00457A84" w:rsidP="00457A84">
      <w:pPr>
        <w:pStyle w:val="BodyText"/>
        <w:rPr>
          <w:szCs w:val="20"/>
        </w:rPr>
      </w:pPr>
    </w:p>
    <w:p w:rsidR="00457A84" w:rsidRDefault="00457A84" w:rsidP="00457A84">
      <w:pPr>
        <w:pStyle w:val="BodyText"/>
        <w:rPr>
          <w:szCs w:val="20"/>
        </w:rPr>
      </w:pPr>
      <w:r>
        <w:rPr>
          <w:szCs w:val="20"/>
        </w:rPr>
        <w:t>In addition, some smaller operators that specialise in hazardous organic wastes may not be within the infrastructure database due to the diffuse nature of this infrastructure group. Capacity within this group was identified in Vic and NSW only.</w:t>
      </w:r>
      <w:r>
        <w:rPr>
          <w:szCs w:val="20"/>
        </w:rPr>
        <w:br/>
      </w:r>
      <w:r>
        <w:rPr>
          <w:szCs w:val="20"/>
        </w:rPr>
        <w:br/>
        <w:t xml:space="preserve">Based on industry consultation and our assessment of organics recycling infrastructure, no national shortage of capacity in this infrastructure group is considered likely over the next 20 years. </w:t>
      </w:r>
    </w:p>
    <w:p w:rsidR="00CF7565" w:rsidRDefault="00CF7565" w:rsidP="007F5BD4">
      <w:pPr>
        <w:pStyle w:val="BodyText"/>
      </w:pPr>
    </w:p>
    <w:p w:rsidR="004151B0" w:rsidRDefault="004151B0" w:rsidP="007F5BD4">
      <w:pPr>
        <w:pStyle w:val="Heading3"/>
      </w:pPr>
      <w:r>
        <w:t xml:space="preserve">Chemical and physical treatment (CPT) plant facilities </w:t>
      </w:r>
    </w:p>
    <w:p w:rsidR="00457A84" w:rsidRDefault="00457A84" w:rsidP="00457A84">
      <w:pPr>
        <w:pStyle w:val="BodyText"/>
        <w:rPr>
          <w:lang w:eastAsia="en-AU"/>
        </w:rPr>
      </w:pPr>
      <w:r w:rsidRPr="00816657">
        <w:rPr>
          <w:lang w:eastAsia="en-AU"/>
        </w:rPr>
        <w:t>CPT plants are the archetypal hazardous waste facility, treating a range of waste types using a range of processes. Many of these operations are currently suffering from falling demand as manufacturing activity declines.</w:t>
      </w:r>
    </w:p>
    <w:p w:rsidR="00457A84" w:rsidRDefault="00457A84" w:rsidP="00457A84">
      <w:pPr>
        <w:pStyle w:val="BodyText"/>
        <w:rPr>
          <w:color w:val="000000"/>
          <w:szCs w:val="20"/>
        </w:rPr>
      </w:pPr>
    </w:p>
    <w:p w:rsidR="00457A84" w:rsidRDefault="00457A84" w:rsidP="00457A84">
      <w:pPr>
        <w:pStyle w:val="BodyText"/>
        <w:rPr>
          <w:color w:val="000000"/>
          <w:szCs w:val="20"/>
        </w:rPr>
      </w:pPr>
      <w:r>
        <w:rPr>
          <w:color w:val="000000"/>
          <w:szCs w:val="20"/>
        </w:rPr>
        <w:t xml:space="preserve">At a national level based on the best and low projections of arisings CPT infrastructure is estimated to be able to meet national demand over the next 20 years. Based on the high projection of arisings CPT national capacity could be exceeded in 2030. For all three scenarios the projections are based on varying degrees of decline in some waste groups, such as </w:t>
      </w:r>
      <w:r w:rsidRPr="00CE68A8">
        <w:rPr>
          <w:i/>
          <w:color w:val="000000"/>
          <w:szCs w:val="20"/>
        </w:rPr>
        <w:t>B Acids</w:t>
      </w:r>
      <w:r>
        <w:rPr>
          <w:color w:val="000000"/>
          <w:szCs w:val="20"/>
        </w:rPr>
        <w:t xml:space="preserve"> and </w:t>
      </w:r>
      <w:r w:rsidRPr="00CE68A8">
        <w:rPr>
          <w:i/>
          <w:color w:val="000000"/>
          <w:szCs w:val="20"/>
        </w:rPr>
        <w:t>E Reactive chemicals</w:t>
      </w:r>
      <w:r>
        <w:rPr>
          <w:color w:val="000000"/>
          <w:szCs w:val="20"/>
        </w:rPr>
        <w:t xml:space="preserve">, and growth in other waste groups, such as </w:t>
      </w:r>
      <w:r w:rsidRPr="00CE68A8">
        <w:rPr>
          <w:i/>
          <w:color w:val="000000"/>
          <w:szCs w:val="20"/>
        </w:rPr>
        <w:t>D300 Non-toxic salts</w:t>
      </w:r>
      <w:r>
        <w:rPr>
          <w:color w:val="000000"/>
          <w:szCs w:val="20"/>
        </w:rPr>
        <w:t xml:space="preserve"> and </w:t>
      </w:r>
      <w:r w:rsidRPr="00CE68A8">
        <w:rPr>
          <w:i/>
          <w:color w:val="000000"/>
          <w:szCs w:val="20"/>
        </w:rPr>
        <w:t>C Alkalis</w:t>
      </w:r>
      <w:r>
        <w:rPr>
          <w:color w:val="000000"/>
          <w:szCs w:val="20"/>
        </w:rPr>
        <w:t xml:space="preserve"> that are projected to increase driven by the oil and gas (CSG) industry developments. </w:t>
      </w:r>
    </w:p>
    <w:p w:rsidR="00457A84" w:rsidRDefault="00457A84" w:rsidP="00457A84">
      <w:pPr>
        <w:pStyle w:val="BodyText"/>
        <w:rPr>
          <w:color w:val="000000"/>
          <w:szCs w:val="20"/>
        </w:rPr>
      </w:pPr>
      <w:r>
        <w:rPr>
          <w:color w:val="000000"/>
          <w:szCs w:val="20"/>
        </w:rPr>
        <w:br/>
        <w:t>The infrastructure capacity assessment for this group has moderate uncertainty due mainly to the overlapping capacity with other infrastructure groups, such as solvents/paints recycling and transfer station or temporary storage, resulting in a likely overestimate of capacity. Offsetting this is uncertainty about the amount of CSG industry wastes that will actually leave the development site and be sent to CPT facilities.</w:t>
      </w:r>
    </w:p>
    <w:p w:rsidR="00457A84" w:rsidRDefault="00457A84" w:rsidP="00457A84">
      <w:pPr>
        <w:pStyle w:val="BodyText"/>
        <w:rPr>
          <w:lang w:eastAsia="en-AU"/>
        </w:rPr>
      </w:pPr>
    </w:p>
    <w:p w:rsidR="00457A84" w:rsidRDefault="00457A84" w:rsidP="00457A84">
      <w:pPr>
        <w:pStyle w:val="BodyText"/>
        <w:rPr>
          <w:lang w:eastAsia="en-AU"/>
        </w:rPr>
      </w:pPr>
      <w:r>
        <w:rPr>
          <w:lang w:eastAsia="en-AU"/>
        </w:rPr>
        <w:t xml:space="preserve">Whilst </w:t>
      </w:r>
      <w:r w:rsidRPr="00816657">
        <w:rPr>
          <w:lang w:eastAsia="en-AU"/>
        </w:rPr>
        <w:t xml:space="preserve">modelling suggests that current capacity is adequate nationally over the projection period, demand for processing wastes such as non-toxic salts and alkalis is likely to increase with activity in the mining and oil and gas industries. Some relocation of processing capacity and expertise </w:t>
      </w:r>
      <w:r>
        <w:rPr>
          <w:lang w:eastAsia="en-AU"/>
        </w:rPr>
        <w:t>is likely to be n</w:t>
      </w:r>
      <w:r w:rsidRPr="00816657">
        <w:rPr>
          <w:lang w:eastAsia="en-AU"/>
        </w:rPr>
        <w:t>eeded</w:t>
      </w:r>
      <w:r>
        <w:rPr>
          <w:lang w:eastAsia="en-AU"/>
        </w:rPr>
        <w:t xml:space="preserve"> shifting CPT capacity from the traditional heavy industry hubs located close to capital cities and ports</w:t>
      </w:r>
      <w:r w:rsidRPr="00816657">
        <w:rPr>
          <w:lang w:eastAsia="en-AU"/>
        </w:rPr>
        <w:t xml:space="preserve"> </w:t>
      </w:r>
      <w:r>
        <w:rPr>
          <w:lang w:eastAsia="en-AU"/>
        </w:rPr>
        <w:t>to the more remote locations of oil, CSG and other mining operations.</w:t>
      </w:r>
    </w:p>
    <w:p w:rsidR="00457A84" w:rsidRDefault="00457A84" w:rsidP="00457A84">
      <w:pPr>
        <w:pStyle w:val="BodyText"/>
        <w:rPr>
          <w:lang w:eastAsia="en-AU"/>
        </w:rPr>
      </w:pPr>
    </w:p>
    <w:p w:rsidR="00457A84" w:rsidRDefault="00457A84" w:rsidP="00457A84">
      <w:pPr>
        <w:pStyle w:val="BodyText"/>
      </w:pPr>
      <w:r w:rsidRPr="00816657">
        <w:rPr>
          <w:lang w:eastAsia="en-AU"/>
        </w:rPr>
        <w:t xml:space="preserve">In the best estimate, current capacity in Qld would be fully subscribed by </w:t>
      </w:r>
      <w:proofErr w:type="gramStart"/>
      <w:r w:rsidRPr="00816657">
        <w:rPr>
          <w:lang w:eastAsia="en-AU"/>
        </w:rPr>
        <w:t>202</w:t>
      </w:r>
      <w:r>
        <w:rPr>
          <w:lang w:eastAsia="en-AU"/>
        </w:rPr>
        <w:t>5</w:t>
      </w:r>
      <w:r w:rsidRPr="00816657">
        <w:rPr>
          <w:lang w:eastAsia="en-AU"/>
        </w:rPr>
        <w:t>,</w:t>
      </w:r>
      <w:proofErr w:type="gramEnd"/>
      <w:r w:rsidRPr="00816657">
        <w:rPr>
          <w:lang w:eastAsia="en-AU"/>
        </w:rPr>
        <w:t xml:space="preserve"> or </w:t>
      </w:r>
      <w:r>
        <w:rPr>
          <w:lang w:eastAsia="en-AU"/>
        </w:rPr>
        <w:t xml:space="preserve">2022 </w:t>
      </w:r>
      <w:r w:rsidRPr="00816657">
        <w:rPr>
          <w:lang w:eastAsia="en-AU"/>
        </w:rPr>
        <w:t xml:space="preserve">if mining industry wastes grow strongly. </w:t>
      </w:r>
      <w:r>
        <w:rPr>
          <w:lang w:eastAsia="en-AU"/>
        </w:rPr>
        <w:t xml:space="preserve">Qld also </w:t>
      </w:r>
      <w:r w:rsidRPr="00816657">
        <w:rPr>
          <w:lang w:eastAsia="en-AU"/>
        </w:rPr>
        <w:t xml:space="preserve">appears to </w:t>
      </w:r>
      <w:r>
        <w:rPr>
          <w:lang w:eastAsia="en-AU"/>
        </w:rPr>
        <w:t>have a</w:t>
      </w:r>
      <w:r w:rsidRPr="00816657">
        <w:rPr>
          <w:lang w:eastAsia="en-AU"/>
        </w:rPr>
        <w:t xml:space="preserve"> particular need for processing infrastructure for </w:t>
      </w:r>
      <w:r>
        <w:rPr>
          <w:lang w:eastAsia="en-AU"/>
        </w:rPr>
        <w:t xml:space="preserve">CSG </w:t>
      </w:r>
      <w:r w:rsidRPr="00816657">
        <w:t xml:space="preserve">industry wastes, preferably in the location of these operations. </w:t>
      </w:r>
    </w:p>
    <w:p w:rsidR="00457A84" w:rsidRDefault="00457A84" w:rsidP="00457A84">
      <w:pPr>
        <w:pStyle w:val="BodyText"/>
      </w:pPr>
    </w:p>
    <w:p w:rsidR="00457A84" w:rsidRDefault="00457A84" w:rsidP="00457A84">
      <w:pPr>
        <w:pStyle w:val="BodyText"/>
      </w:pPr>
      <w:r>
        <w:t xml:space="preserve">The ACT, NT, SA could have an undersupply of local CPT capacity. This assessment is based on the national average percentages of waste sent to CPT, and is therefore uncertain. It is likely that wastes are being exported to Vic and NSW from these jurisdictions. </w:t>
      </w:r>
    </w:p>
    <w:p w:rsidR="00457A84" w:rsidRDefault="00457A84" w:rsidP="00457A84">
      <w:pPr>
        <w:pStyle w:val="BodyText"/>
        <w:rPr>
          <w:lang w:eastAsia="en-AU"/>
        </w:rPr>
      </w:pPr>
    </w:p>
    <w:p w:rsidR="00457A84" w:rsidRDefault="00457A84" w:rsidP="00457A84">
      <w:pPr>
        <w:pStyle w:val="BodyText"/>
      </w:pPr>
      <w:proofErr w:type="gramStart"/>
      <w:r>
        <w:t>Tas</w:t>
      </w:r>
      <w:proofErr w:type="gramEnd"/>
      <w:r>
        <w:t>, in particular, appears to have a shortage of CPT capacity. Again, t</w:t>
      </w:r>
      <w:r w:rsidRPr="00AD023A">
        <w:t xml:space="preserve">his is based on the national average of the percentage of </w:t>
      </w:r>
      <w:r>
        <w:t xml:space="preserve">wastes </w:t>
      </w:r>
      <w:r w:rsidRPr="00AD023A">
        <w:t xml:space="preserve">sent to CPT for treatment. </w:t>
      </w:r>
      <w:r>
        <w:t>However, with</w:t>
      </w:r>
      <w:r w:rsidRPr="00AD023A">
        <w:t xml:space="preserve"> </w:t>
      </w:r>
      <w:r w:rsidR="00F5585F">
        <w:rPr>
          <w:shd w:val="clear" w:color="auto" w:fill="FF0000"/>
        </w:rPr>
        <w:t>CIC</w:t>
      </w:r>
      <w:r w:rsidR="00FB658B">
        <w:t xml:space="preserve"> </w:t>
      </w:r>
      <w:r w:rsidRPr="00AD023A">
        <w:t xml:space="preserve">of </w:t>
      </w:r>
      <w:r>
        <w:t xml:space="preserve">CPT </w:t>
      </w:r>
      <w:r w:rsidRPr="00AD023A">
        <w:t>capacity identified</w:t>
      </w:r>
      <w:r>
        <w:t xml:space="preserve">, </w:t>
      </w:r>
      <w:r w:rsidRPr="00AD023A">
        <w:t>estimated arisings of 68kt</w:t>
      </w:r>
      <w:r>
        <w:t>,</w:t>
      </w:r>
      <w:r w:rsidRPr="00AD023A">
        <w:t xml:space="preserve"> and</w:t>
      </w:r>
      <w:r>
        <w:t xml:space="preserve"> recorded</w:t>
      </w:r>
      <w:r w:rsidRPr="00AD023A">
        <w:t xml:space="preserve"> export</w:t>
      </w:r>
      <w:r>
        <w:t>s</w:t>
      </w:r>
      <w:r w:rsidRPr="00AD023A">
        <w:t xml:space="preserve"> to the mainland in 2012/13 data of 12 </w:t>
      </w:r>
      <w:proofErr w:type="gramStart"/>
      <w:r w:rsidRPr="00AD023A">
        <w:t>kt,</w:t>
      </w:r>
      <w:proofErr w:type="gramEnd"/>
      <w:r w:rsidRPr="00AD023A">
        <w:t xml:space="preserve"> </w:t>
      </w:r>
      <w:r>
        <w:t xml:space="preserve">are evidence </w:t>
      </w:r>
      <w:r w:rsidRPr="00AD023A">
        <w:t>that Tas need</w:t>
      </w:r>
      <w:r>
        <w:t>s</w:t>
      </w:r>
      <w:r w:rsidRPr="00AD023A">
        <w:t xml:space="preserve"> additional CPT capacity.</w:t>
      </w:r>
      <w:r>
        <w:t xml:space="preserve"> </w:t>
      </w:r>
    </w:p>
    <w:p w:rsidR="00457A84" w:rsidRDefault="00457A84" w:rsidP="00457A84">
      <w:pPr>
        <w:pStyle w:val="BodyText"/>
      </w:pPr>
    </w:p>
    <w:p w:rsidR="00F22DD5" w:rsidRPr="007F5BD4" w:rsidRDefault="00F22DD5" w:rsidP="00F22DD5">
      <w:pPr>
        <w:pStyle w:val="BodyText"/>
      </w:pPr>
      <w:r>
        <w:rPr>
          <w:b/>
        </w:rPr>
        <w:t xml:space="preserve">Recommendation </w:t>
      </w:r>
      <w:r w:rsidR="008F5061">
        <w:rPr>
          <w:b/>
        </w:rPr>
        <w:t>7</w:t>
      </w:r>
      <w:r>
        <w:rPr>
          <w:b/>
        </w:rPr>
        <w:t xml:space="preserve">: </w:t>
      </w:r>
      <w:r w:rsidR="005B3EB9">
        <w:t xml:space="preserve">DoE and/or NSW and Qld EPAs should consult with the coal seam gas industry to develop a strategic plan for managing its wastes, including an evaluation of local chemical </w:t>
      </w:r>
      <w:r w:rsidR="00A075C2">
        <w:t>and</w:t>
      </w:r>
      <w:r w:rsidR="005B3EB9">
        <w:t xml:space="preserve"> physical treatment infrastructure vs transport to existing urban sites.</w:t>
      </w:r>
    </w:p>
    <w:p w:rsidR="00F22DD5" w:rsidRDefault="00F22DD5" w:rsidP="00F22DD5">
      <w:pPr>
        <w:pStyle w:val="BodyText"/>
        <w:rPr>
          <w:b/>
        </w:rPr>
      </w:pPr>
    </w:p>
    <w:p w:rsidR="00F22DD5" w:rsidRDefault="00AD75B2" w:rsidP="00F22DD5">
      <w:pPr>
        <w:pStyle w:val="BodyText"/>
      </w:pPr>
      <w:r>
        <w:rPr>
          <w:b/>
        </w:rPr>
        <w:t xml:space="preserve">Recommendation </w:t>
      </w:r>
      <w:r w:rsidR="008F5061">
        <w:rPr>
          <w:b/>
        </w:rPr>
        <w:t>8</w:t>
      </w:r>
      <w:r w:rsidR="00F22DD5">
        <w:rPr>
          <w:b/>
        </w:rPr>
        <w:t xml:space="preserve">: </w:t>
      </w:r>
      <w:r w:rsidR="005B3EB9">
        <w:t>DoE and/or Tas EPA should further investigate the supply of chemical and physical treatment capacity for hazardous waste in Tasmania.</w:t>
      </w:r>
    </w:p>
    <w:p w:rsidR="00457A84" w:rsidRPr="007F5BD4" w:rsidRDefault="00457A84" w:rsidP="00457A84">
      <w:pPr>
        <w:pStyle w:val="BodyText"/>
      </w:pPr>
    </w:p>
    <w:p w:rsidR="004151B0" w:rsidRDefault="004151B0" w:rsidP="007F5BD4">
      <w:pPr>
        <w:pStyle w:val="Heading3"/>
      </w:pPr>
      <w:r>
        <w:t xml:space="preserve">Clinical waste treatment facilities </w:t>
      </w:r>
    </w:p>
    <w:p w:rsidR="00457A84" w:rsidRPr="00457A84" w:rsidRDefault="00457A84" w:rsidP="00457A84">
      <w:pPr>
        <w:pStyle w:val="BodyText"/>
      </w:pPr>
      <w:r w:rsidRPr="00457A84">
        <w:t xml:space="preserve">Based on the current industry projection of arisings increasing at the rate 1.9% per annum and the potential capacity of clinical waste treatment – capacity could be exceeded by 2026. Based on the high projection, where arisings increase at 3.9% per annum, national capacity could be exceeded in 2020. Under the low scenario where growth is below the current industry projection (-0.1% per annum) national capacity is projected to meet demand over the next 20 years. </w:t>
      </w:r>
    </w:p>
    <w:p w:rsidR="00457A84" w:rsidRPr="00457A84" w:rsidRDefault="00457A84" w:rsidP="00457A84">
      <w:pPr>
        <w:pStyle w:val="BodyText"/>
      </w:pPr>
    </w:p>
    <w:p w:rsidR="00457A84" w:rsidRPr="00457A84" w:rsidRDefault="00457A84" w:rsidP="00457A84">
      <w:pPr>
        <w:pStyle w:val="BodyText"/>
      </w:pPr>
      <w:r w:rsidRPr="00457A84">
        <w:t xml:space="preserve">The infrastructure capacity assessment for this group has high uncertainty due to a poor response rate from industry and capacity overlap with the thermal destruction infrastructure (resulting in a likely under estimate of the infrastructure group capacity). </w:t>
      </w:r>
    </w:p>
    <w:p w:rsidR="00457A84" w:rsidRPr="00457A84" w:rsidRDefault="00457A84" w:rsidP="00457A84">
      <w:pPr>
        <w:pStyle w:val="BodyText"/>
      </w:pPr>
      <w:r w:rsidRPr="00457A84">
        <w:tab/>
      </w:r>
    </w:p>
    <w:p w:rsidR="00457A84" w:rsidRPr="00457A84" w:rsidRDefault="00457A84" w:rsidP="00457A84">
      <w:pPr>
        <w:pStyle w:val="BodyText"/>
      </w:pPr>
      <w:r w:rsidRPr="00457A84">
        <w:t xml:space="preserve">ACT, NT, SA, Vic, and WA all appear to have sufficient clinical waste treatment capacity. NSW, Qld, and </w:t>
      </w:r>
      <w:proofErr w:type="gramStart"/>
      <w:r w:rsidRPr="00457A84">
        <w:t>Tas</w:t>
      </w:r>
      <w:proofErr w:type="gramEnd"/>
      <w:r w:rsidRPr="00457A84">
        <w:t xml:space="preserve"> all appear to have insufficient local supply of clinical waste treatment capacity and are likely to be exporting significant quantities interstate.</w:t>
      </w:r>
    </w:p>
    <w:p w:rsidR="00CF7565" w:rsidRDefault="00CF7565" w:rsidP="007F5BD4">
      <w:pPr>
        <w:pStyle w:val="BodyText"/>
      </w:pPr>
    </w:p>
    <w:p w:rsidR="004151B0" w:rsidRDefault="004151B0" w:rsidP="007F5BD4">
      <w:pPr>
        <w:pStyle w:val="Heading3"/>
      </w:pPr>
      <w:r>
        <w:t>Contaminated soils treatment</w:t>
      </w:r>
      <w:r w:rsidRPr="007F5BD4">
        <w:t xml:space="preserve"> </w:t>
      </w:r>
      <w:r>
        <w:t xml:space="preserve">facilities </w:t>
      </w:r>
    </w:p>
    <w:p w:rsidR="00457A84" w:rsidRDefault="00457A84" w:rsidP="00457A84">
      <w:pPr>
        <w:pStyle w:val="BodyText"/>
        <w:rPr>
          <w:color w:val="000000"/>
          <w:szCs w:val="20"/>
        </w:rPr>
      </w:pPr>
      <w:r>
        <w:rPr>
          <w:color w:val="000000"/>
          <w:szCs w:val="20"/>
        </w:rPr>
        <w:t xml:space="preserve">Analysis indicates that under all scenarios over the next 20 years the potential capacity of Australia's current and planned contaminated soils treatment infrastructure will be able to treat waste arisings. </w:t>
      </w:r>
    </w:p>
    <w:p w:rsidR="00457A84" w:rsidRDefault="00457A84" w:rsidP="00457A84">
      <w:pPr>
        <w:pStyle w:val="BodyText"/>
        <w:rPr>
          <w:color w:val="000000"/>
          <w:szCs w:val="20"/>
        </w:rPr>
      </w:pPr>
    </w:p>
    <w:p w:rsidR="00457A84" w:rsidRDefault="00457A84" w:rsidP="00457A84">
      <w:pPr>
        <w:pStyle w:val="BodyText"/>
        <w:rPr>
          <w:color w:val="000000"/>
          <w:szCs w:val="20"/>
        </w:rPr>
      </w:pPr>
      <w:r>
        <w:rPr>
          <w:color w:val="000000"/>
          <w:szCs w:val="20"/>
        </w:rPr>
        <w:t xml:space="preserve">Importantly, these estimates assume no change to the current fate patterns of contaminated soil, </w:t>
      </w:r>
      <w:r w:rsidRPr="00CC30F0">
        <w:rPr>
          <w:color w:val="000000"/>
          <w:szCs w:val="20"/>
        </w:rPr>
        <w:t>which</w:t>
      </w:r>
      <w:r>
        <w:rPr>
          <w:color w:val="000000"/>
          <w:szCs w:val="20"/>
        </w:rPr>
        <w:t>, based solely on Victorian data,</w:t>
      </w:r>
      <w:r w:rsidRPr="00CC30F0">
        <w:rPr>
          <w:color w:val="000000"/>
          <w:szCs w:val="20"/>
        </w:rPr>
        <w:t xml:space="preserve"> is </w:t>
      </w:r>
      <w:r>
        <w:rPr>
          <w:color w:val="000000"/>
          <w:szCs w:val="20"/>
        </w:rPr>
        <w:t>estimated to be</w:t>
      </w:r>
      <w:r w:rsidRPr="007F5BD4">
        <w:rPr>
          <w:color w:val="000000"/>
          <w:szCs w:val="20"/>
        </w:rPr>
        <w:t xml:space="preserve"> 89% landfill.</w:t>
      </w:r>
      <w:r>
        <w:rPr>
          <w:color w:val="000000"/>
          <w:szCs w:val="20"/>
        </w:rPr>
        <w:t xml:space="preserve"> If the treatment proportions are higher in other jurisdictions, the above assessment of no national capacity constraints would be affected.</w:t>
      </w:r>
      <w:r>
        <w:rPr>
          <w:color w:val="000000"/>
          <w:szCs w:val="20"/>
        </w:rPr>
        <w:br/>
      </w:r>
      <w:r>
        <w:rPr>
          <w:color w:val="000000"/>
          <w:szCs w:val="20"/>
        </w:rPr>
        <w:br/>
        <w:t xml:space="preserve">The infrastructure capacity </w:t>
      </w:r>
      <w:proofErr w:type="gramStart"/>
      <w:r>
        <w:rPr>
          <w:color w:val="000000"/>
          <w:szCs w:val="20"/>
        </w:rPr>
        <w:t>assessment for this group has moderate uncertainty due to a moderate response rate during consultation, capacity overlap with POPs thermal destruction infrastructure, and diffuse</w:t>
      </w:r>
      <w:proofErr w:type="gramEnd"/>
      <w:r>
        <w:rPr>
          <w:color w:val="000000"/>
          <w:szCs w:val="20"/>
        </w:rPr>
        <w:t xml:space="preserve"> soil treatment technologies including some 'mobile' capacity. One soil treatment facility was identified in Qld, NSW, WA, and Vic in the capacity database. Given the range of treatment technologies/techniques for contaminated soils treatment this number appears low. </w:t>
      </w:r>
    </w:p>
    <w:p w:rsidR="00BC142D" w:rsidRDefault="00BC142D" w:rsidP="00457A84">
      <w:pPr>
        <w:pStyle w:val="BodyText"/>
        <w:rPr>
          <w:color w:val="000000"/>
          <w:szCs w:val="20"/>
        </w:rPr>
      </w:pPr>
    </w:p>
    <w:p w:rsidR="007279B6" w:rsidRDefault="007279B6" w:rsidP="00457A84">
      <w:pPr>
        <w:pStyle w:val="BodyText"/>
        <w:rPr>
          <w:color w:val="000000"/>
          <w:szCs w:val="20"/>
        </w:rPr>
      </w:pPr>
    </w:p>
    <w:p w:rsidR="007279B6" w:rsidRDefault="007279B6" w:rsidP="00457A84">
      <w:pPr>
        <w:pStyle w:val="BodyText"/>
        <w:rPr>
          <w:color w:val="000000"/>
          <w:szCs w:val="20"/>
        </w:rPr>
      </w:pPr>
    </w:p>
    <w:p w:rsidR="004151B0" w:rsidRDefault="004151B0" w:rsidP="007F5BD4">
      <w:pPr>
        <w:pStyle w:val="Heading3"/>
      </w:pPr>
      <w:r>
        <w:t xml:space="preserve">Hazardous waste landfill facilities </w:t>
      </w:r>
    </w:p>
    <w:p w:rsidR="00457A84" w:rsidRDefault="00457A84" w:rsidP="00457A84">
      <w:pPr>
        <w:pStyle w:val="BodyText"/>
        <w:rPr>
          <w:lang w:eastAsia="en-AU"/>
        </w:rPr>
      </w:pPr>
      <w:r w:rsidRPr="00816657">
        <w:rPr>
          <w:lang w:eastAsia="en-AU"/>
        </w:rPr>
        <w:t xml:space="preserve">This project </w:t>
      </w:r>
      <w:r>
        <w:rPr>
          <w:lang w:eastAsia="en-AU"/>
        </w:rPr>
        <w:t xml:space="preserve">capacity assessment </w:t>
      </w:r>
      <w:r w:rsidRPr="00816657">
        <w:rPr>
          <w:lang w:eastAsia="en-AU"/>
        </w:rPr>
        <w:t xml:space="preserve">examined </w:t>
      </w:r>
      <w:r>
        <w:rPr>
          <w:lang w:eastAsia="en-AU"/>
        </w:rPr>
        <w:t xml:space="preserve">hazardous waste landfills </w:t>
      </w:r>
      <w:r w:rsidRPr="00816657">
        <w:rPr>
          <w:lang w:eastAsia="en-AU"/>
        </w:rPr>
        <w:t xml:space="preserve">capacity to </w:t>
      </w:r>
      <w:r w:rsidRPr="00903F10">
        <w:rPr>
          <w:lang w:eastAsia="en-AU"/>
        </w:rPr>
        <w:t>accept annual arisings of wastes</w:t>
      </w:r>
      <w:r w:rsidRPr="00816657">
        <w:rPr>
          <w:lang w:eastAsia="en-AU"/>
        </w:rPr>
        <w:t xml:space="preserve"> – this differs from the usual measure of landfill capacity, which refers to total available airspace. </w:t>
      </w:r>
      <w:r w:rsidRPr="00816657">
        <w:rPr>
          <w:lang w:eastAsia="en-AU"/>
        </w:rPr>
        <w:lastRenderedPageBreak/>
        <w:t>Landfills may be constrained in relation to the rate at which waste is accepted, for example due to limitations of specialist cells, traffic management, licence limits</w:t>
      </w:r>
      <w:r>
        <w:rPr>
          <w:lang w:eastAsia="en-AU"/>
        </w:rPr>
        <w:t xml:space="preserve">. These constraints are not common and are understood not to be an issue for the sites included in this group.  </w:t>
      </w:r>
    </w:p>
    <w:p w:rsidR="00457A84" w:rsidRDefault="00457A84" w:rsidP="00457A84">
      <w:pPr>
        <w:pStyle w:val="BodyText"/>
        <w:rPr>
          <w:lang w:eastAsia="en-AU"/>
        </w:rPr>
      </w:pPr>
    </w:p>
    <w:p w:rsidR="00457A84" w:rsidRPr="008F01BF" w:rsidRDefault="00457A84" w:rsidP="00457A84">
      <w:pPr>
        <w:pStyle w:val="BodyText"/>
        <w:rPr>
          <w:lang w:eastAsia="en-AU"/>
        </w:rPr>
      </w:pPr>
      <w:r w:rsidRPr="008F01BF">
        <w:rPr>
          <w:lang w:eastAsia="en-AU"/>
        </w:rPr>
        <w:t xml:space="preserve">The seven hazardous waste landfills surveyed for this project reported an annual capacity that modelling indicates is constrained under all scenarios. For all three scenarios, declines are projected for some waste groups, such as </w:t>
      </w:r>
      <w:r w:rsidRPr="008F01BF">
        <w:rPr>
          <w:i/>
          <w:lang w:eastAsia="en-AU"/>
        </w:rPr>
        <w:t>B Acids</w:t>
      </w:r>
      <w:r w:rsidRPr="008F01BF">
        <w:rPr>
          <w:lang w:eastAsia="en-AU"/>
        </w:rPr>
        <w:t xml:space="preserve"> and </w:t>
      </w:r>
      <w:r w:rsidRPr="008F01BF">
        <w:rPr>
          <w:i/>
          <w:lang w:eastAsia="en-AU"/>
        </w:rPr>
        <w:t>E Reactive chemicals</w:t>
      </w:r>
      <w:r w:rsidRPr="008F01BF">
        <w:rPr>
          <w:lang w:eastAsia="en-AU"/>
        </w:rPr>
        <w:t xml:space="preserve">, and growth in other waste groups, such as </w:t>
      </w:r>
      <w:r w:rsidRPr="008F01BF">
        <w:rPr>
          <w:i/>
          <w:lang w:eastAsia="en-AU"/>
        </w:rPr>
        <w:t>D300 Non-toxic salts</w:t>
      </w:r>
      <w:r w:rsidRPr="008F01BF">
        <w:rPr>
          <w:lang w:eastAsia="en-AU"/>
        </w:rPr>
        <w:t xml:space="preserve"> and </w:t>
      </w:r>
      <w:r w:rsidRPr="008F01BF">
        <w:rPr>
          <w:i/>
          <w:lang w:eastAsia="en-AU"/>
        </w:rPr>
        <w:t>C Alkalis</w:t>
      </w:r>
      <w:r w:rsidRPr="008F01BF">
        <w:rPr>
          <w:lang w:eastAsia="en-AU"/>
        </w:rPr>
        <w:t xml:space="preserve"> that are projected to increase driven by the Oil and Gas (GSG) industry developments. We believe the modelling assessment for this infrastructure group is incorrect. The response rate from site operators was only 43%, meaning infrastructure group averages were used, and generally the responses provided data only on wastes currently received with little information on the potential annual acceptance rate. This is understandable as, unlike other infrastructure types, landfills are usually able to cater to varying capacity demands (within reason) and a site’s potential annual capacity can be difficult to define.</w:t>
      </w:r>
    </w:p>
    <w:p w:rsidR="00457A84" w:rsidRPr="008F01BF" w:rsidRDefault="00457A84" w:rsidP="00457A84">
      <w:pPr>
        <w:pStyle w:val="BodyText"/>
        <w:rPr>
          <w:lang w:eastAsia="en-AU"/>
        </w:rPr>
      </w:pPr>
    </w:p>
    <w:p w:rsidR="00457A84" w:rsidRDefault="00457A84" w:rsidP="00457A84">
      <w:pPr>
        <w:pStyle w:val="BodyText"/>
        <w:rPr>
          <w:lang w:eastAsia="en-AU"/>
        </w:rPr>
      </w:pPr>
      <w:r>
        <w:rPr>
          <w:lang w:eastAsia="en-AU"/>
        </w:rPr>
        <w:t xml:space="preserve">Recognising the limitations of the capacity assessment modelling for landfills, operators </w:t>
      </w:r>
      <w:r w:rsidRPr="00816657">
        <w:rPr>
          <w:lang w:eastAsia="en-AU"/>
        </w:rPr>
        <w:t xml:space="preserve">were also queried about total airspace availability. The responses suggested no impending capacity constraints in </w:t>
      </w:r>
      <w:r>
        <w:rPr>
          <w:lang w:eastAsia="en-AU"/>
        </w:rPr>
        <w:t>jurisdictions that have a hazardous waste landfill (all jurisdictions except SA and Act)</w:t>
      </w:r>
      <w:r w:rsidRPr="00816657">
        <w:rPr>
          <w:lang w:eastAsia="en-AU"/>
        </w:rPr>
        <w:t xml:space="preserve">. However, in most jurisdictions a </w:t>
      </w:r>
      <w:r w:rsidRPr="008F01BF">
        <w:rPr>
          <w:lang w:eastAsia="en-AU"/>
        </w:rPr>
        <w:t>single dedicated hazardous waste landfill accepts the majority of waste types</w:t>
      </w:r>
      <w:r w:rsidRPr="00816657">
        <w:rPr>
          <w:lang w:eastAsia="en-AU"/>
        </w:rPr>
        <w:t xml:space="preserve"> (other than </w:t>
      </w:r>
      <w:r>
        <w:rPr>
          <w:lang w:eastAsia="en-AU"/>
        </w:rPr>
        <w:t xml:space="preserve">low level </w:t>
      </w:r>
      <w:r w:rsidRPr="00816657">
        <w:rPr>
          <w:lang w:eastAsia="en-AU"/>
        </w:rPr>
        <w:t>contaminated soils</w:t>
      </w:r>
      <w:r>
        <w:rPr>
          <w:lang w:eastAsia="en-AU"/>
        </w:rPr>
        <w:t>,</w:t>
      </w:r>
      <w:r w:rsidRPr="00816657">
        <w:rPr>
          <w:lang w:eastAsia="en-AU"/>
        </w:rPr>
        <w:t xml:space="preserve"> asbestos</w:t>
      </w:r>
      <w:r>
        <w:rPr>
          <w:lang w:eastAsia="en-AU"/>
        </w:rPr>
        <w:t xml:space="preserve"> and tyres</w:t>
      </w:r>
      <w:r w:rsidRPr="00816657">
        <w:rPr>
          <w:lang w:eastAsia="en-AU"/>
        </w:rPr>
        <w:t xml:space="preserve">). </w:t>
      </w:r>
    </w:p>
    <w:p w:rsidR="00457A84" w:rsidRDefault="00457A84" w:rsidP="00457A84">
      <w:pPr>
        <w:pStyle w:val="BodyText"/>
        <w:rPr>
          <w:lang w:eastAsia="en-AU"/>
        </w:rPr>
      </w:pPr>
    </w:p>
    <w:p w:rsidR="00457A84" w:rsidRDefault="00457A84" w:rsidP="00457A84">
      <w:pPr>
        <w:pStyle w:val="BodyText"/>
        <w:rPr>
          <w:lang w:eastAsia="en-AU"/>
        </w:rPr>
      </w:pPr>
      <w:r>
        <w:rPr>
          <w:lang w:eastAsia="en-AU"/>
        </w:rPr>
        <w:t>SA may need to establish a hazardous waste landfill or transport wastes significant distances. Industry representatives raised concerns about the transport distances for hazardous waste disposal and commented on this issue for WA in particular, suggesting additional sites or appropriate transfer facilities are required there.</w:t>
      </w:r>
    </w:p>
    <w:p w:rsidR="00457A84" w:rsidRDefault="00457A84" w:rsidP="00457A84">
      <w:pPr>
        <w:pStyle w:val="BodyText"/>
        <w:rPr>
          <w:lang w:eastAsia="en-AU"/>
        </w:rPr>
      </w:pPr>
    </w:p>
    <w:p w:rsidR="00457A84" w:rsidRDefault="00457A84" w:rsidP="00457A84">
      <w:pPr>
        <w:pStyle w:val="BodyText"/>
        <w:rPr>
          <w:lang w:eastAsia="en-AU"/>
        </w:rPr>
      </w:pPr>
      <w:r>
        <w:rPr>
          <w:lang w:eastAsia="en-AU"/>
        </w:rPr>
        <w:t xml:space="preserve">The capacity of Australia’s hazardous waste landfills could be impacted by ‘new’ hazardous waste arisings that need to be sent to these specialist landfills. Increases in landfilling capacity requirements from </w:t>
      </w:r>
      <w:r>
        <w:rPr>
          <w:color w:val="000000"/>
          <w:szCs w:val="20"/>
        </w:rPr>
        <w:t xml:space="preserve">CSG </w:t>
      </w:r>
      <w:r>
        <w:rPr>
          <w:lang w:eastAsia="en-AU"/>
        </w:rPr>
        <w:t>wastes, fly ash from energy from waste operations, and potentially POPs contaminated wastes (that are not sent for thermal destruction</w:t>
      </w:r>
      <w:r w:rsidR="003F0014">
        <w:rPr>
          <w:lang w:eastAsia="en-AU"/>
        </w:rPr>
        <w:t xml:space="preserve"> as assume</w:t>
      </w:r>
      <w:r w:rsidR="001D6DE1">
        <w:rPr>
          <w:lang w:eastAsia="en-AU"/>
        </w:rPr>
        <w:t>d</w:t>
      </w:r>
      <w:r w:rsidR="003F0014">
        <w:rPr>
          <w:lang w:eastAsia="en-AU"/>
        </w:rPr>
        <w:t xml:space="preserve"> in this assessment</w:t>
      </w:r>
      <w:r>
        <w:rPr>
          <w:lang w:eastAsia="en-AU"/>
        </w:rPr>
        <w:t>) need to be considered in future planning for hazardous waste landfill capacity.</w:t>
      </w:r>
    </w:p>
    <w:p w:rsidR="00457A84" w:rsidRDefault="00457A84" w:rsidP="00457A84">
      <w:pPr>
        <w:pStyle w:val="BodyText"/>
        <w:rPr>
          <w:lang w:eastAsia="en-AU"/>
        </w:rPr>
      </w:pPr>
    </w:p>
    <w:p w:rsidR="00457A84" w:rsidRDefault="00457A84" w:rsidP="00457A84">
      <w:pPr>
        <w:pStyle w:val="BodyText"/>
        <w:rPr>
          <w:lang w:eastAsia="en-AU"/>
        </w:rPr>
      </w:pPr>
      <w:r>
        <w:rPr>
          <w:lang w:eastAsia="en-AU"/>
        </w:rPr>
        <w:t xml:space="preserve">In addition to the above, given the significant </w:t>
      </w:r>
      <w:r w:rsidRPr="00816657">
        <w:rPr>
          <w:lang w:eastAsia="en-AU"/>
        </w:rPr>
        <w:t xml:space="preserve">time </w:t>
      </w:r>
      <w:r>
        <w:rPr>
          <w:lang w:eastAsia="en-AU"/>
        </w:rPr>
        <w:t xml:space="preserve">required and the </w:t>
      </w:r>
      <w:r w:rsidRPr="00816657">
        <w:rPr>
          <w:lang w:eastAsia="en-AU"/>
        </w:rPr>
        <w:t xml:space="preserve">political difficulty </w:t>
      </w:r>
      <w:r>
        <w:rPr>
          <w:lang w:eastAsia="en-AU"/>
        </w:rPr>
        <w:t>in establishing a new hazardous waste landfill, the</w:t>
      </w:r>
      <w:r w:rsidRPr="00816657">
        <w:rPr>
          <w:lang w:eastAsia="en-AU"/>
        </w:rPr>
        <w:t xml:space="preserve"> risks associated </w:t>
      </w:r>
      <w:r>
        <w:rPr>
          <w:lang w:eastAsia="en-AU"/>
        </w:rPr>
        <w:t xml:space="preserve">with </w:t>
      </w:r>
      <w:r w:rsidRPr="00816657">
        <w:rPr>
          <w:lang w:eastAsia="en-AU"/>
        </w:rPr>
        <w:t xml:space="preserve">extreme weather events causing surges of </w:t>
      </w:r>
      <w:r>
        <w:rPr>
          <w:lang w:eastAsia="en-AU"/>
        </w:rPr>
        <w:t xml:space="preserve">hazardous </w:t>
      </w:r>
      <w:r w:rsidRPr="00816657">
        <w:rPr>
          <w:lang w:eastAsia="en-AU"/>
        </w:rPr>
        <w:t>waste quantities, or</w:t>
      </w:r>
      <w:r>
        <w:rPr>
          <w:lang w:eastAsia="en-AU"/>
        </w:rPr>
        <w:t xml:space="preserve"> risks of</w:t>
      </w:r>
      <w:r w:rsidRPr="00816657">
        <w:rPr>
          <w:lang w:eastAsia="en-AU"/>
        </w:rPr>
        <w:t xml:space="preserve"> legal challenges</w:t>
      </w:r>
      <w:r>
        <w:rPr>
          <w:lang w:eastAsia="en-AU"/>
        </w:rPr>
        <w:t xml:space="preserve"> – i</w:t>
      </w:r>
      <w:r w:rsidRPr="00816657">
        <w:rPr>
          <w:lang w:eastAsia="en-AU"/>
        </w:rPr>
        <w:t>t is recommended that DoE liaise with the jurisdictions about the risk profiles and anticipated closure dates of their specialist hazardous waste landfills.</w:t>
      </w:r>
    </w:p>
    <w:p w:rsidR="00457A84" w:rsidRDefault="00457A84" w:rsidP="00457A84">
      <w:pPr>
        <w:pStyle w:val="BodyText"/>
        <w:rPr>
          <w:lang w:eastAsia="en-AU"/>
        </w:rPr>
      </w:pPr>
    </w:p>
    <w:p w:rsidR="00F22DD5" w:rsidRDefault="00F22DD5" w:rsidP="00F22DD5">
      <w:pPr>
        <w:pStyle w:val="BodyText"/>
        <w:rPr>
          <w:lang w:eastAsia="en-AU"/>
        </w:rPr>
      </w:pPr>
      <w:r w:rsidRPr="007F5BD4">
        <w:rPr>
          <w:b/>
          <w:lang w:eastAsia="en-AU"/>
        </w:rPr>
        <w:t>Recommendation</w:t>
      </w:r>
      <w:r w:rsidR="00AD75B2">
        <w:rPr>
          <w:b/>
          <w:lang w:eastAsia="en-AU"/>
        </w:rPr>
        <w:t xml:space="preserve"> </w:t>
      </w:r>
      <w:r w:rsidR="008F5061">
        <w:rPr>
          <w:b/>
          <w:lang w:eastAsia="en-AU"/>
        </w:rPr>
        <w:t>9</w:t>
      </w:r>
      <w:r w:rsidRPr="007F5BD4">
        <w:rPr>
          <w:b/>
          <w:lang w:eastAsia="en-AU"/>
        </w:rPr>
        <w:t>:</w:t>
      </w:r>
      <w:r w:rsidR="005B3EB9">
        <w:rPr>
          <w:b/>
          <w:lang w:eastAsia="en-AU"/>
        </w:rPr>
        <w:t xml:space="preserve"> </w:t>
      </w:r>
      <w:r w:rsidR="005B3EB9">
        <w:rPr>
          <w:lang w:eastAsia="en-AU"/>
        </w:rPr>
        <w:t>DoE should work with the jurisdictions to assess the likely closure year of hazardous waste landfill facilities and examine the risk that these sites’ capacities may be affected by issues such as extreme weather events and ‘new’ hazardous waste arisings.</w:t>
      </w:r>
      <w:r>
        <w:rPr>
          <w:lang w:eastAsia="en-AU"/>
        </w:rPr>
        <w:t xml:space="preserve"> </w:t>
      </w:r>
    </w:p>
    <w:p w:rsidR="00BC142D" w:rsidRDefault="00BC142D" w:rsidP="00F22DD5">
      <w:pPr>
        <w:pStyle w:val="BodyText"/>
        <w:rPr>
          <w:lang w:eastAsia="en-AU"/>
        </w:rPr>
      </w:pPr>
    </w:p>
    <w:p w:rsidR="004151B0" w:rsidRDefault="004151B0" w:rsidP="007F5BD4">
      <w:pPr>
        <w:pStyle w:val="Heading3"/>
      </w:pPr>
      <w:r>
        <w:t>Landfill facilities (NEPM code N, T)</w:t>
      </w:r>
    </w:p>
    <w:p w:rsidR="00457A84" w:rsidRDefault="00457A84" w:rsidP="00457A84">
      <w:pPr>
        <w:pStyle w:val="BodyText"/>
        <w:rPr>
          <w:szCs w:val="20"/>
        </w:rPr>
      </w:pPr>
      <w:r>
        <w:rPr>
          <w:szCs w:val="20"/>
        </w:rPr>
        <w:t>This infrastructure group is not in the scope of hazardous waste database (see Section 3.2) and a quantitative assessment of arisings vs capacity is not possible. To complete a quantitative analysis of projected arisings of NEPM code N and T wastes versus licensed infrastructure capacity would require a significant expansion of the scope of the hazardous waste capacity database to cover 'non-hazardous waste infrastructure' accepting only a relatively small amount of low level hazardous wastes as part of much larger non-hazardous waste volume.</w:t>
      </w:r>
      <w:r>
        <w:rPr>
          <w:szCs w:val="20"/>
        </w:rPr>
        <w:br/>
      </w:r>
      <w:r>
        <w:rPr>
          <w:szCs w:val="20"/>
        </w:rPr>
        <w:br/>
        <w:t xml:space="preserve">General or municipal waste landfills are often also able to landfill low level contaminated soil, asbestos, </w:t>
      </w:r>
      <w:r>
        <w:rPr>
          <w:szCs w:val="20"/>
        </w:rPr>
        <w:lastRenderedPageBreak/>
        <w:t xml:space="preserve">and tyres. In Victoria tyres can be disposed to any landfill as long as they are shredded first. This is understood to be the case nation-wide. </w:t>
      </w:r>
    </w:p>
    <w:p w:rsidR="00457A84" w:rsidRDefault="00457A84" w:rsidP="00457A84">
      <w:pPr>
        <w:pStyle w:val="BodyText"/>
        <w:rPr>
          <w:szCs w:val="20"/>
        </w:rPr>
      </w:pPr>
    </w:p>
    <w:p w:rsidR="00457A84" w:rsidRDefault="00457A84" w:rsidP="00457A84">
      <w:pPr>
        <w:pStyle w:val="BodyText"/>
        <w:rPr>
          <w:szCs w:val="20"/>
        </w:rPr>
      </w:pPr>
      <w:r>
        <w:rPr>
          <w:szCs w:val="20"/>
        </w:rPr>
        <w:t>Whilst this infrastructure group is not clearly defined as ‘hazardous waste infrastructure’ the capacity of these landfills to take a selection of hazardous wastes is important. Landfill facilities are assumed to receive 89% of contaminated soils</w:t>
      </w:r>
      <w:r w:rsidR="00727C1F">
        <w:rPr>
          <w:szCs w:val="20"/>
        </w:rPr>
        <w:t>,</w:t>
      </w:r>
      <w:r>
        <w:rPr>
          <w:szCs w:val="20"/>
        </w:rPr>
        <w:t xml:space="preserve"> 96% of waste asbestos</w:t>
      </w:r>
      <w:r w:rsidR="00727C1F">
        <w:rPr>
          <w:szCs w:val="20"/>
        </w:rPr>
        <w:t>, and 100% of contaminated biosolids</w:t>
      </w:r>
      <w:r w:rsidR="00C62A78">
        <w:rPr>
          <w:rStyle w:val="FootnoteReference"/>
          <w:szCs w:val="20"/>
        </w:rPr>
        <w:footnoteReference w:id="5"/>
      </w:r>
      <w:r>
        <w:rPr>
          <w:szCs w:val="20"/>
        </w:rPr>
        <w:t xml:space="preserve">. Based on industry and government consultation, a national shortage of this type of infrastructure over the next 20 years is considered unlikely. </w:t>
      </w:r>
    </w:p>
    <w:p w:rsidR="00457A84" w:rsidRDefault="00457A84" w:rsidP="00457A84">
      <w:pPr>
        <w:pStyle w:val="BodyText"/>
        <w:rPr>
          <w:szCs w:val="20"/>
        </w:rPr>
      </w:pPr>
    </w:p>
    <w:p w:rsidR="004151B0" w:rsidRDefault="004151B0" w:rsidP="007F5BD4">
      <w:pPr>
        <w:pStyle w:val="BodyText"/>
        <w:rPr>
          <w:b/>
        </w:rPr>
      </w:pPr>
      <w:r w:rsidRPr="007F5BD4">
        <w:rPr>
          <w:b/>
        </w:rPr>
        <w:t xml:space="preserve">Landfills for asbestos disposal </w:t>
      </w:r>
    </w:p>
    <w:p w:rsidR="00457A84" w:rsidRDefault="00457A84" w:rsidP="00457A84">
      <w:pPr>
        <w:pStyle w:val="BodyText"/>
      </w:pPr>
      <w:r>
        <w:t xml:space="preserve">Unlike most wastes, it is commonly accepted that the most appropriate fate for asbestos waste is landfill, where it can be safely removed from the environment for the long term. Across Australia, state and local governments are working towards a gradual rationalisation in the number of landfills in order to minimise the environmental and human health risks that landfills can create. As small regional landfills close they are often replaced with transfer stations that consolidate waste and enable higher rates of resource recovery, reduce long term liabilities and risks, and transport bulk waste loads to a regional landfill. </w:t>
      </w:r>
    </w:p>
    <w:p w:rsidR="00457A84" w:rsidRDefault="00457A84" w:rsidP="00457A84">
      <w:pPr>
        <w:pStyle w:val="BodyText"/>
      </w:pPr>
      <w:r>
        <w:t>However, few transfer stations in Australia accept asbestos. This creates a potentially serious problem of lack of local access to disposal options for waste asbestos. Consultation suggests this is a current issue and it is likely to worsen.</w:t>
      </w:r>
    </w:p>
    <w:p w:rsidR="00BC142D" w:rsidRPr="001D6DE1" w:rsidRDefault="00BC142D" w:rsidP="001D6DE1">
      <w:pPr>
        <w:pStyle w:val="BodyText"/>
      </w:pPr>
    </w:p>
    <w:p w:rsidR="004151B0" w:rsidRDefault="004151B0" w:rsidP="007F5BD4">
      <w:pPr>
        <w:pStyle w:val="Heading3"/>
      </w:pPr>
      <w:r>
        <w:t xml:space="preserve">POPs thermal destruction facilities </w:t>
      </w:r>
    </w:p>
    <w:p w:rsidR="00BC142D" w:rsidRDefault="00F5585F" w:rsidP="00457A84">
      <w:pPr>
        <w:pStyle w:val="BodyText"/>
        <w:rPr>
          <w:color w:val="auto"/>
          <w:shd w:val="clear" w:color="auto" w:fill="FF0000"/>
        </w:rPr>
      </w:pPr>
      <w:r>
        <w:rPr>
          <w:color w:val="auto"/>
          <w:shd w:val="clear" w:color="auto" w:fill="FF0000"/>
        </w:rPr>
        <w:t>CIC</w:t>
      </w:r>
    </w:p>
    <w:p w:rsidR="007279B6" w:rsidRDefault="007279B6" w:rsidP="00457A84">
      <w:pPr>
        <w:pStyle w:val="BodyText"/>
        <w:rPr>
          <w:color w:val="auto"/>
        </w:rPr>
      </w:pPr>
    </w:p>
    <w:p w:rsidR="00457A84" w:rsidRPr="008637D6" w:rsidRDefault="00457A84" w:rsidP="00457A84">
      <w:pPr>
        <w:pStyle w:val="BodyText"/>
        <w:rPr>
          <w:color w:val="auto"/>
        </w:rPr>
      </w:pPr>
      <w:r w:rsidRPr="008637D6">
        <w:rPr>
          <w:color w:val="auto"/>
        </w:rPr>
        <w:t xml:space="preserve">Whilst there appears to be a major gap in Australia's POPs thermal destruction capacity, the capacity assessment uncertainty for this group is very high. The following three issues need to be considered that all result in an under estimate of the POPs destruction capacity: </w:t>
      </w:r>
    </w:p>
    <w:p w:rsidR="00457A84" w:rsidRPr="008637D6" w:rsidRDefault="00457A84" w:rsidP="00457A84">
      <w:pPr>
        <w:pStyle w:val="BodyText"/>
        <w:rPr>
          <w:color w:val="auto"/>
        </w:rPr>
      </w:pPr>
      <w:r w:rsidRPr="001D6DE1">
        <w:rPr>
          <w:color w:val="auto"/>
        </w:rPr>
        <w:br/>
      </w:r>
      <w:r w:rsidRPr="003A1AA8">
        <w:rPr>
          <w:bCs/>
          <w:color w:val="auto"/>
        </w:rPr>
        <w:t>1. POPs TD capacity within Clinical waste TD facilities.</w:t>
      </w:r>
      <w:r w:rsidRPr="008637D6">
        <w:rPr>
          <w:color w:val="auto"/>
        </w:rPr>
        <w:t xml:space="preserve"> SteriHealth currently have a research and development approval that allows them to treat PCB contaminated oil from the Tullamarine landfill leachate at their Clinical waste TD facility in Laverton, Melbourne. SteriHealth aims to provide POPs destruction services to the market following works approval from EPA. SteriHealth did not state the potential tonnages of POPs that could be destroyed at the facility. TPI (2014), states that SteriHealth recently successfully treated around 2000 litres of PCB contaminated oil during trials at the site. </w:t>
      </w:r>
    </w:p>
    <w:p w:rsidR="00457A84" w:rsidRPr="008637D6" w:rsidRDefault="00457A84" w:rsidP="00457A84">
      <w:pPr>
        <w:pStyle w:val="BodyText"/>
        <w:rPr>
          <w:color w:val="auto"/>
        </w:rPr>
      </w:pPr>
      <w:r w:rsidRPr="008637D6">
        <w:rPr>
          <w:color w:val="auto"/>
        </w:rPr>
        <w:br/>
      </w:r>
      <w:r w:rsidRPr="003A1AA8">
        <w:rPr>
          <w:bCs/>
          <w:color w:val="auto"/>
        </w:rPr>
        <w:t>2. POPs TD capacity within Soils treatment facilities.</w:t>
      </w:r>
      <w:r w:rsidRPr="008637D6">
        <w:rPr>
          <w:color w:val="auto"/>
        </w:rPr>
        <w:t xml:space="preserve"> The RENEX pyrolysis rotary kiln that is being commissioned in Dandenong Melbourne will be aiming to treat POPs contaminated soils and liquids. The kiln with operate at 600 degrees C and the gases will then be incinerated at 1100-1200 degrees C, enabling the destruction of chlorinated organics such as PCBs.</w:t>
      </w:r>
      <w:r w:rsidR="002D3096">
        <w:rPr>
          <w:color w:val="auto"/>
        </w:rPr>
        <w:t xml:space="preserve"> </w:t>
      </w:r>
      <w:r w:rsidR="00F5585F">
        <w:rPr>
          <w:color w:val="auto"/>
          <w:shd w:val="clear" w:color="auto" w:fill="FF0000"/>
        </w:rPr>
        <w:t>CIC</w:t>
      </w:r>
      <w:r w:rsidRPr="008637D6">
        <w:rPr>
          <w:color w:val="auto"/>
        </w:rPr>
        <w:t xml:space="preserve">, however, it is unknown what tonnage of POP contaminated soils and liquids could be processed at the plant. </w:t>
      </w:r>
    </w:p>
    <w:p w:rsidR="005C1D21" w:rsidRDefault="00457A84" w:rsidP="005B3EB9">
      <w:pPr>
        <w:pStyle w:val="BodyText"/>
        <w:rPr>
          <w:color w:val="FFFFFF" w:themeColor="background1"/>
        </w:rPr>
      </w:pPr>
      <w:r w:rsidRPr="008637D6">
        <w:rPr>
          <w:color w:val="auto"/>
        </w:rPr>
        <w:br/>
      </w:r>
      <w:r w:rsidRPr="003A1AA8">
        <w:rPr>
          <w:bCs/>
          <w:color w:val="auto"/>
        </w:rPr>
        <w:t>3. POPs TD capacity within cement kilns.</w:t>
      </w:r>
      <w:r w:rsidRPr="008637D6">
        <w:rPr>
          <w:color w:val="auto"/>
        </w:rPr>
        <w:t xml:space="preserve"> Cement kiln infrastructure is not included in the capacity database scope. We understand that cement kilns in Australia are currently destroying some POPs including PFOS. The capacity of Australia's cement kilns to destroy POPs needs detailed assessment to enable a comparison of arisings to destruction capacity. Until this assessment is completed any analysis of additional capacity that is required under any of the projection scenarios will be inaccurate.</w:t>
      </w:r>
      <w:r w:rsidRPr="008637D6">
        <w:rPr>
          <w:color w:val="auto"/>
        </w:rPr>
        <w:br/>
      </w:r>
      <w:r w:rsidRPr="008637D6">
        <w:rPr>
          <w:color w:val="auto"/>
        </w:rPr>
        <w:br/>
      </w:r>
      <w:r w:rsidR="005B3EB9" w:rsidRPr="008637D6">
        <w:rPr>
          <w:b/>
          <w:bCs/>
          <w:color w:val="auto"/>
        </w:rPr>
        <w:t xml:space="preserve">Recommendation </w:t>
      </w:r>
      <w:r w:rsidR="008F5061">
        <w:rPr>
          <w:b/>
          <w:bCs/>
          <w:color w:val="auto"/>
        </w:rPr>
        <w:t>10</w:t>
      </w:r>
      <w:r w:rsidR="005B3EB9" w:rsidRPr="008637D6">
        <w:rPr>
          <w:b/>
          <w:bCs/>
          <w:color w:val="auto"/>
        </w:rPr>
        <w:t xml:space="preserve">: </w:t>
      </w:r>
      <w:r w:rsidR="005B3EB9" w:rsidRPr="008637D6">
        <w:rPr>
          <w:color w:val="auto"/>
        </w:rPr>
        <w:t>DoE should undertake work to quantify the Australia’s POPs destruction capacity, including at sites excluded from the scope of the infrastructure database used in this project.</w:t>
      </w:r>
      <w:r w:rsidR="005B3EB9" w:rsidRPr="00715C37">
        <w:rPr>
          <w:color w:val="FFFFFF" w:themeColor="background1"/>
        </w:rPr>
        <w:t xml:space="preserve"> </w:t>
      </w:r>
    </w:p>
    <w:p w:rsidR="0087273E" w:rsidRDefault="0087273E" w:rsidP="005B3EB9">
      <w:pPr>
        <w:pStyle w:val="BodyText"/>
        <w:rPr>
          <w:b/>
          <w:color w:val="auto"/>
        </w:rPr>
      </w:pPr>
    </w:p>
    <w:p w:rsidR="00547623" w:rsidRPr="003A1AA8" w:rsidRDefault="0087273E" w:rsidP="005B3EB9">
      <w:pPr>
        <w:pStyle w:val="BodyText"/>
        <w:rPr>
          <w:b/>
        </w:rPr>
      </w:pPr>
      <w:r w:rsidRPr="003A1AA8">
        <w:rPr>
          <w:b/>
        </w:rPr>
        <w:lastRenderedPageBreak/>
        <w:t>POPs contaminated biosolids</w:t>
      </w:r>
    </w:p>
    <w:p w:rsidR="0087273E" w:rsidRDefault="0087273E" w:rsidP="005B3EB9">
      <w:pPr>
        <w:pStyle w:val="BodyText"/>
      </w:pPr>
      <w:r>
        <w:rPr>
          <w:color w:val="auto"/>
        </w:rPr>
        <w:t>An important issue to note regarding the projected need for POP thermal destruction infrastructure is the impact of POP contaminated biosolids. As noted ab</w:t>
      </w:r>
      <w:r w:rsidR="004829EF">
        <w:rPr>
          <w:color w:val="auto"/>
        </w:rPr>
        <w:t>ove</w:t>
      </w:r>
      <w:r w:rsidR="00617794">
        <w:rPr>
          <w:color w:val="auto"/>
        </w:rPr>
        <w:t>,</w:t>
      </w:r>
      <w:r w:rsidR="004829EF">
        <w:rPr>
          <w:color w:val="auto"/>
        </w:rPr>
        <w:t xml:space="preserve"> the scenarios </w:t>
      </w:r>
      <w:r w:rsidR="00547623">
        <w:rPr>
          <w:color w:val="auto"/>
        </w:rPr>
        <w:t>for</w:t>
      </w:r>
      <w:r w:rsidR="004829EF">
        <w:rPr>
          <w:color w:val="auto"/>
        </w:rPr>
        <w:t xml:space="preserve"> project</w:t>
      </w:r>
      <w:r w:rsidR="00547623">
        <w:rPr>
          <w:color w:val="auto"/>
        </w:rPr>
        <w:t>ed</w:t>
      </w:r>
      <w:r w:rsidR="004829EF">
        <w:rPr>
          <w:color w:val="auto"/>
        </w:rPr>
        <w:t xml:space="preserve"> need </w:t>
      </w:r>
      <w:r w:rsidR="00617794">
        <w:rPr>
          <w:color w:val="auto"/>
        </w:rPr>
        <w:t xml:space="preserve">for </w:t>
      </w:r>
      <w:r w:rsidR="004829EF">
        <w:rPr>
          <w:color w:val="auto"/>
        </w:rPr>
        <w:t>this infrastructure group</w:t>
      </w:r>
      <w:r w:rsidR="00547623">
        <w:rPr>
          <w:color w:val="auto"/>
        </w:rPr>
        <w:t xml:space="preserve"> </w:t>
      </w:r>
      <w:r w:rsidR="004829EF">
        <w:rPr>
          <w:color w:val="auto"/>
        </w:rPr>
        <w:t>v</w:t>
      </w:r>
      <w:r w:rsidR="00547623">
        <w:rPr>
          <w:color w:val="auto"/>
        </w:rPr>
        <w:t>ary</w:t>
      </w:r>
      <w:r w:rsidR="004829EF">
        <w:rPr>
          <w:color w:val="auto"/>
        </w:rPr>
        <w:t xml:space="preserve"> </w:t>
      </w:r>
      <w:r w:rsidR="00547623">
        <w:rPr>
          <w:color w:val="auto"/>
        </w:rPr>
        <w:t>significantly</w:t>
      </w:r>
      <w:r w:rsidR="004829EF">
        <w:rPr>
          <w:color w:val="auto"/>
        </w:rPr>
        <w:t xml:space="preserve"> (from around 28,000 to 182,000 tonnes in 2034). </w:t>
      </w:r>
      <w:r>
        <w:rPr>
          <w:color w:val="auto"/>
        </w:rPr>
        <w:t xml:space="preserve"> </w:t>
      </w:r>
      <w:r w:rsidR="004829EF">
        <w:t>The high estimate of 182,000 tonnes is mostly POP contaminated biosolid</w:t>
      </w:r>
      <w:r w:rsidR="00617794">
        <w:t>s</w:t>
      </w:r>
      <w:r w:rsidR="004829EF">
        <w:t xml:space="preserve"> (around 170,000 tonnes of PFOS and HBCD contaminated biosolids).</w:t>
      </w:r>
      <w:r w:rsidR="00547623">
        <w:t xml:space="preserve"> </w:t>
      </w:r>
    </w:p>
    <w:p w:rsidR="00547623" w:rsidRDefault="00547623" w:rsidP="005B3EB9">
      <w:pPr>
        <w:pStyle w:val="BodyText"/>
      </w:pPr>
    </w:p>
    <w:p w:rsidR="00F250E4" w:rsidRDefault="00746AC5" w:rsidP="005B3EB9">
      <w:pPr>
        <w:pStyle w:val="BodyText"/>
      </w:pPr>
      <w:r>
        <w:rPr>
          <w:b/>
          <w:color w:val="auto"/>
        </w:rPr>
        <w:t xml:space="preserve">Recommendation 11:  </w:t>
      </w:r>
      <w:r w:rsidR="00F250E4">
        <w:t xml:space="preserve">If not already underway, </w:t>
      </w:r>
      <w:r w:rsidR="003A07DC">
        <w:t>DoE, water authorities, and EPAs</w:t>
      </w:r>
      <w:r w:rsidR="00547623">
        <w:t xml:space="preserve"> </w:t>
      </w:r>
      <w:r w:rsidR="003A07DC">
        <w:t>should work to</w:t>
      </w:r>
      <w:r w:rsidR="00F250E4">
        <w:t xml:space="preserve"> complete:</w:t>
      </w:r>
    </w:p>
    <w:p w:rsidR="00F250E4" w:rsidRPr="00617794" w:rsidRDefault="00547623" w:rsidP="00617794">
      <w:pPr>
        <w:pStyle w:val="Bullet1"/>
        <w:rPr>
          <w:color w:val="auto"/>
        </w:rPr>
      </w:pPr>
      <w:r>
        <w:t xml:space="preserve">analysis of </w:t>
      </w:r>
      <w:r w:rsidR="0005651E">
        <w:t xml:space="preserve">the current levels of POP contamination in </w:t>
      </w:r>
      <w:r w:rsidR="00F250E4">
        <w:t>Aust</w:t>
      </w:r>
      <w:r w:rsidR="00617794">
        <w:t>r</w:t>
      </w:r>
      <w:r w:rsidR="00F250E4">
        <w:t xml:space="preserve">alian </w:t>
      </w:r>
      <w:r w:rsidR="0005651E">
        <w:t>biosolids</w:t>
      </w:r>
    </w:p>
    <w:p w:rsidR="00F250E4" w:rsidRPr="00617794" w:rsidRDefault="00F250E4" w:rsidP="00617794">
      <w:pPr>
        <w:pStyle w:val="Bullet1"/>
        <w:rPr>
          <w:color w:val="auto"/>
        </w:rPr>
      </w:pPr>
      <w:r>
        <w:t xml:space="preserve">an </w:t>
      </w:r>
      <w:r w:rsidR="0005651E">
        <w:t xml:space="preserve">assessment of the required </w:t>
      </w:r>
      <w:r w:rsidR="003A07DC">
        <w:t>management of</w:t>
      </w:r>
      <w:r w:rsidR="0005651E">
        <w:t xml:space="preserve"> POP contaminated biosolids</w:t>
      </w:r>
      <w:r>
        <w:t xml:space="preserve"> (based on the levels of contamination identified and assuming </w:t>
      </w:r>
      <w:r w:rsidR="0005651E">
        <w:t>Australia ratif</w:t>
      </w:r>
      <w:r>
        <w:t>ies</w:t>
      </w:r>
      <w:r w:rsidR="0005651E">
        <w:t xml:space="preserve"> the Stockholm Convention</w:t>
      </w:r>
      <w:r w:rsidR="00746AC5">
        <w:t xml:space="preserve"> for newly listed POPs</w:t>
      </w:r>
      <w:r>
        <w:t>)</w:t>
      </w:r>
    </w:p>
    <w:p w:rsidR="00547623" w:rsidRPr="00617794" w:rsidRDefault="00F250E4" w:rsidP="00617794">
      <w:pPr>
        <w:pStyle w:val="Bullet1"/>
        <w:rPr>
          <w:color w:val="auto"/>
        </w:rPr>
      </w:pPr>
      <w:proofErr w:type="gramStart"/>
      <w:r>
        <w:t>a</w:t>
      </w:r>
      <w:proofErr w:type="gramEnd"/>
      <w:r>
        <w:t xml:space="preserve"> set of </w:t>
      </w:r>
      <w:r w:rsidR="0005651E">
        <w:t xml:space="preserve">recommendations for any additional infrastructure that Australia </w:t>
      </w:r>
      <w:r>
        <w:t>will likely require</w:t>
      </w:r>
      <w:r w:rsidR="003A07DC">
        <w:t xml:space="preserve"> for POPs thermal destruction</w:t>
      </w:r>
      <w:r w:rsidR="0005651E">
        <w:t xml:space="preserve">.  </w:t>
      </w:r>
    </w:p>
    <w:p w:rsidR="008F5061" w:rsidRDefault="008F5061" w:rsidP="005B3EB9">
      <w:pPr>
        <w:pStyle w:val="BodyText"/>
        <w:rPr>
          <w:lang w:eastAsia="en-AU"/>
        </w:rPr>
      </w:pPr>
    </w:p>
    <w:p w:rsidR="004151B0" w:rsidRDefault="004151B0" w:rsidP="007F5BD4">
      <w:pPr>
        <w:pStyle w:val="Heading3"/>
      </w:pPr>
      <w:r>
        <w:t>Clinical waste thermal destruction facilities</w:t>
      </w:r>
    </w:p>
    <w:p w:rsidR="00457A84" w:rsidRDefault="00457A84" w:rsidP="00457A84">
      <w:pPr>
        <w:pStyle w:val="BodyText"/>
      </w:pPr>
      <w:r>
        <w:rPr>
          <w:color w:val="000000"/>
          <w:szCs w:val="20"/>
        </w:rPr>
        <w:t>Based on the industry projections of arisings increasing at 1.9% per annum, the current and planned national capacity for thermal destruction of clinical waste could be exceeded by 2024. Under the high projection, with arisings increasing at 3.9% per annum, capacity could be exceeded in 2019. Under the low scenario capacity meets demand over the next 20 years</w:t>
      </w:r>
      <w:r>
        <w:t xml:space="preserve">. </w:t>
      </w:r>
    </w:p>
    <w:p w:rsidR="00457A84" w:rsidRDefault="00457A84" w:rsidP="00457A84">
      <w:pPr>
        <w:pStyle w:val="BodyText"/>
      </w:pPr>
    </w:p>
    <w:p w:rsidR="00457A84" w:rsidRDefault="00457A84" w:rsidP="00457A84">
      <w:pPr>
        <w:pStyle w:val="BodyText"/>
      </w:pPr>
      <w:r>
        <w:t xml:space="preserve">ACT, NSW, NT, Qld, and </w:t>
      </w:r>
      <w:proofErr w:type="gramStart"/>
      <w:r>
        <w:t>Tas</w:t>
      </w:r>
      <w:proofErr w:type="gramEnd"/>
      <w:r>
        <w:t xml:space="preserve"> may each be undersupplied with this type of infrastructure. However, apart from Qld, this is based on assumed proportions of clinical waste sent to thermal destruction. In these jurisdictions clinical wastes are probably being exported or landfilled, potentially following autoclave treatment.</w:t>
      </w:r>
    </w:p>
    <w:p w:rsidR="00457A84" w:rsidRDefault="00457A84" w:rsidP="00457A84">
      <w:pPr>
        <w:pStyle w:val="BodyText"/>
      </w:pPr>
    </w:p>
    <w:p w:rsidR="00457A84" w:rsidRDefault="00457A84" w:rsidP="00617794">
      <w:pPr>
        <w:pStyle w:val="BodyText"/>
      </w:pPr>
      <w:r>
        <w:t xml:space="preserve">In SA the assessment finds capacity is </w:t>
      </w:r>
      <w:r w:rsidRPr="003E5E57">
        <w:t>currently constrained. This is incorrect and likely to be the result of assum</w:t>
      </w:r>
      <w:r>
        <w:t>ing</w:t>
      </w:r>
      <w:r w:rsidRPr="003E5E57">
        <w:t xml:space="preserve"> the perce</w:t>
      </w:r>
      <w:r>
        <w:t xml:space="preserve">ntage of clinical waste </w:t>
      </w:r>
      <w:r w:rsidRPr="003E5E57">
        <w:t>sent for destruction</w:t>
      </w:r>
      <w:r>
        <w:t xml:space="preserve"> based on other jurisdictions</w:t>
      </w:r>
      <w:r w:rsidRPr="003E5E57">
        <w:t>. Industry</w:t>
      </w:r>
      <w:r>
        <w:t xml:space="preserve"> representatives</w:t>
      </w:r>
      <w:r w:rsidRPr="003E5E57">
        <w:t xml:space="preserve"> commented that there is spare capacity for clinical waste thermal destruction in SA. </w:t>
      </w:r>
      <w:r>
        <w:t>Vic and WA appear to have sufficient clinical waste thermal destruction capacity under all scenarios.</w:t>
      </w:r>
    </w:p>
    <w:p w:rsidR="003A07DC" w:rsidRPr="001D6DE1" w:rsidRDefault="003A07DC" w:rsidP="001D6DE1">
      <w:pPr>
        <w:pStyle w:val="BodyText"/>
      </w:pPr>
    </w:p>
    <w:p w:rsidR="004151B0" w:rsidRDefault="004151B0" w:rsidP="007F5BD4">
      <w:pPr>
        <w:pStyle w:val="Heading3"/>
      </w:pPr>
      <w:r>
        <w:t>Transfer station or temporary storage facilities</w:t>
      </w:r>
    </w:p>
    <w:p w:rsidR="00457A84" w:rsidRDefault="00457A84" w:rsidP="00457A84">
      <w:pPr>
        <w:pStyle w:val="BodyText"/>
        <w:rPr>
          <w:color w:val="000000"/>
          <w:szCs w:val="20"/>
        </w:rPr>
      </w:pPr>
      <w:r>
        <w:rPr>
          <w:color w:val="000000"/>
          <w:szCs w:val="20"/>
        </w:rPr>
        <w:t xml:space="preserve">Projections indicate that under all scenarios the current national transfer/temporary storage capacity of hazardous waste infrastructure is exceeded. This is inaccurate, and attributable to the capacity database having limited coverage of this group. Rawtec (2014 p.8) states that: "Some intermediate storage facilities are included in this dataset. It is recognised that there are other facilities which deal with hazardous wastes that are not included in the dataset, such as smaller storage facilities and transfer stations". </w:t>
      </w:r>
    </w:p>
    <w:p w:rsidR="00457A84" w:rsidRDefault="00457A84" w:rsidP="00457A84">
      <w:pPr>
        <w:pStyle w:val="BodyText"/>
        <w:rPr>
          <w:color w:val="000000"/>
          <w:szCs w:val="20"/>
        </w:rPr>
      </w:pPr>
      <w:r>
        <w:rPr>
          <w:color w:val="000000"/>
          <w:szCs w:val="20"/>
        </w:rPr>
        <w:br/>
        <w:t xml:space="preserve">Recognising the limitations of the database for this infrastructure group, during the industry consultation program industry representatives were asked to flag any major transport constraints. </w:t>
      </w:r>
    </w:p>
    <w:p w:rsidR="00457A84" w:rsidRDefault="00457A84" w:rsidP="00457A84">
      <w:pPr>
        <w:pStyle w:val="BodyText"/>
        <w:rPr>
          <w:color w:val="000000"/>
          <w:szCs w:val="20"/>
        </w:rPr>
      </w:pPr>
    </w:p>
    <w:p w:rsidR="00457A84" w:rsidRDefault="00457A84" w:rsidP="00457A84">
      <w:pPr>
        <w:pStyle w:val="BodyText"/>
        <w:rPr>
          <w:color w:val="000000"/>
          <w:szCs w:val="20"/>
        </w:rPr>
      </w:pPr>
      <w:r>
        <w:rPr>
          <w:color w:val="000000"/>
          <w:szCs w:val="20"/>
        </w:rPr>
        <w:t>Very long transport distances, particularly in WA, were raised several times as a major barrier to managing hazardous waste. WA has seven of the 43 transfer station facilities in the database. For such a large state this appears low when compared with Vic, for example, with eight transfer sites. Problematic transport distances are also likely to be a problem in Qld (with just seven sites) and a growing CSG industry.</w:t>
      </w:r>
    </w:p>
    <w:p w:rsidR="00457A84" w:rsidRDefault="00457A84" w:rsidP="00457A84">
      <w:pPr>
        <w:pStyle w:val="BodyText"/>
        <w:rPr>
          <w:color w:val="000000"/>
          <w:szCs w:val="20"/>
        </w:rPr>
      </w:pPr>
    </w:p>
    <w:p w:rsidR="00CA41BB" w:rsidRPr="00816657" w:rsidRDefault="00457A84" w:rsidP="00CA41BB">
      <w:pPr>
        <w:pStyle w:val="BodyText"/>
        <w:sectPr w:rsidR="00CA41BB" w:rsidRPr="00816657" w:rsidSect="007F5BD4">
          <w:headerReference w:type="default" r:id="rId40"/>
          <w:footerReference w:type="default" r:id="rId41"/>
          <w:pgSz w:w="11907" w:h="16840" w:code="9"/>
          <w:pgMar w:top="1560" w:right="1077" w:bottom="1134" w:left="1304" w:header="709" w:footer="709" w:gutter="0"/>
          <w:pgNumType w:fmt="lowerRoman"/>
          <w:cols w:space="708"/>
          <w:docGrid w:linePitch="360"/>
        </w:sectPr>
      </w:pPr>
      <w:r>
        <w:rPr>
          <w:color w:val="000000"/>
          <w:szCs w:val="20"/>
        </w:rPr>
        <w:t xml:space="preserve">If not already being undertaken, further investigation of strategic locations for transfer station facilities in WA, Qld and NT </w:t>
      </w:r>
      <w:proofErr w:type="gramStart"/>
      <w:r>
        <w:rPr>
          <w:color w:val="000000"/>
          <w:szCs w:val="20"/>
        </w:rPr>
        <w:t>is</w:t>
      </w:r>
      <w:proofErr w:type="gramEnd"/>
      <w:r>
        <w:rPr>
          <w:color w:val="000000"/>
          <w:szCs w:val="20"/>
        </w:rPr>
        <w:t xml:space="preserve"> recommended. Consultation with industry on establishing joint venture transfer stations to consolidate wastes from a range of mining sites/generators should be explored for WA and potentially Qld (for CSG waste generators). </w:t>
      </w:r>
      <w:r>
        <w:rPr>
          <w:color w:val="000000"/>
          <w:szCs w:val="20"/>
        </w:rPr>
        <w:br/>
      </w:r>
      <w:r>
        <w:rPr>
          <w:color w:val="000000"/>
          <w:szCs w:val="20"/>
        </w:rPr>
        <w:lastRenderedPageBreak/>
        <w:br/>
      </w:r>
      <w:r w:rsidR="00F22DD5">
        <w:rPr>
          <w:b/>
          <w:bCs/>
          <w:color w:val="000000"/>
          <w:szCs w:val="20"/>
        </w:rPr>
        <w:t xml:space="preserve">Recommendation </w:t>
      </w:r>
      <w:r w:rsidR="00AD75B2">
        <w:rPr>
          <w:b/>
          <w:bCs/>
          <w:color w:val="000000"/>
          <w:szCs w:val="20"/>
        </w:rPr>
        <w:t>1</w:t>
      </w:r>
      <w:r w:rsidR="00345132">
        <w:rPr>
          <w:b/>
          <w:bCs/>
          <w:color w:val="000000"/>
          <w:szCs w:val="20"/>
        </w:rPr>
        <w:t>2</w:t>
      </w:r>
      <w:r w:rsidR="00F22DD5">
        <w:rPr>
          <w:b/>
          <w:bCs/>
          <w:color w:val="000000"/>
          <w:szCs w:val="20"/>
        </w:rPr>
        <w:t>:</w:t>
      </w:r>
      <w:r w:rsidR="00F22DD5">
        <w:rPr>
          <w:color w:val="000000"/>
          <w:szCs w:val="20"/>
        </w:rPr>
        <w:t xml:space="preserve"> </w:t>
      </w:r>
      <w:r w:rsidR="005B3EB9">
        <w:rPr>
          <w:color w:val="000000"/>
          <w:szCs w:val="20"/>
        </w:rPr>
        <w:t>DoE and/or WA and Qld State Governments should complete a detailed assessment and consultation with industry on the need for and, if required, the best location(s) for additional infrastructure for hazardous waste transfer or temporary storage.</w:t>
      </w:r>
    </w:p>
    <w:p w:rsidR="00A0253C" w:rsidRPr="00816657" w:rsidRDefault="00A0253C" w:rsidP="000C3AC6">
      <w:pPr>
        <w:pStyle w:val="Heading1"/>
      </w:pPr>
      <w:bookmarkStart w:id="11" w:name="_Toc408308713"/>
      <w:bookmarkStart w:id="12" w:name="_Ref408584057"/>
      <w:bookmarkStart w:id="13" w:name="_Toc425849148"/>
      <w:r w:rsidRPr="00816657">
        <w:lastRenderedPageBreak/>
        <w:t>Introduction</w:t>
      </w:r>
      <w:bookmarkEnd w:id="11"/>
      <w:bookmarkEnd w:id="12"/>
      <w:bookmarkEnd w:id="13"/>
    </w:p>
    <w:p w:rsidR="00BB1513" w:rsidRPr="00816657" w:rsidRDefault="00BB1513" w:rsidP="000143BC">
      <w:pPr>
        <w:pStyle w:val="Heading2"/>
      </w:pPr>
      <w:bookmarkStart w:id="14" w:name="_Toc425849149"/>
      <w:r w:rsidRPr="00816657">
        <w:t>Project origins and scope</w:t>
      </w:r>
      <w:bookmarkEnd w:id="14"/>
    </w:p>
    <w:p w:rsidR="006124FA" w:rsidRPr="00816657" w:rsidRDefault="006124FA" w:rsidP="006124FA">
      <w:pPr>
        <w:rPr>
          <w:rFonts w:cs="Arial"/>
          <w:sz w:val="22"/>
        </w:rPr>
      </w:pPr>
      <w:r w:rsidRPr="00816657">
        <w:rPr>
          <w:rFonts w:cs="Arial"/>
          <w:sz w:val="22"/>
        </w:rPr>
        <w:t xml:space="preserve">The Australian Government Department of the Environment (DoE) is responsible for administering the </w:t>
      </w:r>
      <w:r w:rsidRPr="00816657">
        <w:rPr>
          <w:rFonts w:cs="Arial"/>
          <w:i/>
          <w:sz w:val="22"/>
        </w:rPr>
        <w:t>Hazardous Waste (Regulation of Exports and Imports) Act 1989</w:t>
      </w:r>
      <w:r w:rsidR="00B8270F" w:rsidRPr="00816657">
        <w:rPr>
          <w:rFonts w:cs="Arial"/>
          <w:sz w:val="22"/>
        </w:rPr>
        <w:t xml:space="preserve"> (the Act)</w:t>
      </w:r>
      <w:r w:rsidRPr="00816657">
        <w:rPr>
          <w:rFonts w:cs="Arial"/>
          <w:sz w:val="22"/>
        </w:rPr>
        <w:t xml:space="preserve">, which implements Australia’s international agreements on managing hazardous waste including the </w:t>
      </w:r>
      <w:r w:rsidRPr="00816657">
        <w:rPr>
          <w:rFonts w:cs="Arial"/>
          <w:i/>
          <w:sz w:val="22"/>
        </w:rPr>
        <w:t>Basel Convention on the Control of Transboundary Movements of Hazardous Wastes and their Disposal</w:t>
      </w:r>
      <w:r w:rsidRPr="00816657">
        <w:rPr>
          <w:rFonts w:cs="Arial"/>
          <w:sz w:val="22"/>
        </w:rPr>
        <w:t xml:space="preserve"> (the Basel Convention). </w:t>
      </w:r>
    </w:p>
    <w:p w:rsidR="006124FA" w:rsidRPr="00816657" w:rsidRDefault="006124FA" w:rsidP="006124FA">
      <w:pPr>
        <w:rPr>
          <w:rFonts w:cs="Arial"/>
          <w:sz w:val="22"/>
        </w:rPr>
      </w:pPr>
    </w:p>
    <w:p w:rsidR="006124FA" w:rsidRPr="00816657" w:rsidRDefault="006124FA" w:rsidP="006124FA">
      <w:pPr>
        <w:rPr>
          <w:rFonts w:cs="Arial"/>
          <w:sz w:val="22"/>
        </w:rPr>
      </w:pPr>
      <w:r w:rsidRPr="00816657">
        <w:rPr>
          <w:rFonts w:cs="Arial"/>
          <w:sz w:val="22"/>
        </w:rPr>
        <w:t xml:space="preserve">DoE is also the lead agency responsible for the implementation of the </w:t>
      </w:r>
      <w:r w:rsidRPr="00816657">
        <w:rPr>
          <w:rFonts w:cs="Arial"/>
          <w:i/>
          <w:sz w:val="22"/>
        </w:rPr>
        <w:t>National Waste Policy: Less Waste, More Resources</w:t>
      </w:r>
      <w:r w:rsidRPr="00816657">
        <w:rPr>
          <w:rFonts w:cs="Arial"/>
          <w:sz w:val="22"/>
        </w:rPr>
        <w:t xml:space="preserve">. The policy contains a commitment </w:t>
      </w:r>
      <w:r w:rsidR="00A96A2F" w:rsidRPr="00816657">
        <w:rPr>
          <w:rFonts w:cs="Arial"/>
          <w:sz w:val="22"/>
        </w:rPr>
        <w:t xml:space="preserve">to assess Australia’s current and future hazardous waste infrastructure capacity and needs. </w:t>
      </w:r>
      <w:r w:rsidR="00F36EC2" w:rsidRPr="00816657">
        <w:rPr>
          <w:rFonts w:cs="Arial"/>
          <w:sz w:val="22"/>
        </w:rPr>
        <w:t xml:space="preserve">This is intended to </w:t>
      </w:r>
      <w:r w:rsidR="00E36A23" w:rsidRPr="00816657">
        <w:rPr>
          <w:rFonts w:cs="Arial"/>
          <w:sz w:val="22"/>
        </w:rPr>
        <w:t>provide</w:t>
      </w:r>
      <w:r w:rsidR="00F36EC2" w:rsidRPr="00816657">
        <w:rPr>
          <w:rFonts w:cs="Arial"/>
          <w:sz w:val="22"/>
        </w:rPr>
        <w:t xml:space="preserve"> guidance to regulators and industry on where additional investment may be needed.</w:t>
      </w:r>
    </w:p>
    <w:p w:rsidR="006124FA" w:rsidRPr="00816657" w:rsidRDefault="006124FA" w:rsidP="006124FA">
      <w:pPr>
        <w:rPr>
          <w:rFonts w:cs="Arial"/>
          <w:sz w:val="22"/>
        </w:rPr>
      </w:pPr>
    </w:p>
    <w:p w:rsidR="00A96A2F" w:rsidRPr="00816657" w:rsidRDefault="00A96A2F" w:rsidP="006124FA">
      <w:pPr>
        <w:rPr>
          <w:rFonts w:cs="Arial"/>
          <w:sz w:val="22"/>
        </w:rPr>
      </w:pPr>
      <w:r w:rsidRPr="00816657">
        <w:rPr>
          <w:rFonts w:cs="Arial"/>
          <w:sz w:val="22"/>
        </w:rPr>
        <w:t xml:space="preserve">In June 2014, DoE commissioned a consortium </w:t>
      </w:r>
      <w:r w:rsidR="00E3171B" w:rsidRPr="00816657">
        <w:rPr>
          <w:rFonts w:cs="Arial"/>
          <w:sz w:val="22"/>
        </w:rPr>
        <w:t>to undertake the assessment, comprising</w:t>
      </w:r>
      <w:r w:rsidR="00B00C35" w:rsidRPr="00816657">
        <w:rPr>
          <w:rFonts w:cs="Arial"/>
          <w:sz w:val="22"/>
        </w:rPr>
        <w:t>:</w:t>
      </w:r>
      <w:r w:rsidRPr="00816657">
        <w:rPr>
          <w:rFonts w:cs="Arial"/>
          <w:sz w:val="22"/>
        </w:rPr>
        <w:t xml:space="preserve"> Blue Environment</w:t>
      </w:r>
      <w:r w:rsidR="00B00C35" w:rsidRPr="00816657">
        <w:rPr>
          <w:rFonts w:cs="Arial"/>
          <w:sz w:val="22"/>
        </w:rPr>
        <w:t xml:space="preserve"> (lead consultant); </w:t>
      </w:r>
      <w:r w:rsidRPr="00816657">
        <w:rPr>
          <w:rFonts w:cs="Arial"/>
          <w:sz w:val="22"/>
        </w:rPr>
        <w:t>Ascend Waste and Environment</w:t>
      </w:r>
      <w:r w:rsidR="00B00C35" w:rsidRPr="00816657">
        <w:rPr>
          <w:rFonts w:cs="Arial"/>
          <w:sz w:val="22"/>
        </w:rPr>
        <w:t>;</w:t>
      </w:r>
      <w:r w:rsidRPr="00816657">
        <w:rPr>
          <w:rFonts w:cs="Arial"/>
          <w:sz w:val="22"/>
        </w:rPr>
        <w:t xml:space="preserve"> and Randell Environmental Consulting. The project </w:t>
      </w:r>
      <w:r w:rsidR="00FC6303" w:rsidRPr="00816657">
        <w:rPr>
          <w:rFonts w:cs="Arial"/>
          <w:sz w:val="22"/>
        </w:rPr>
        <w:t>ha</w:t>
      </w:r>
      <w:r w:rsidR="007E43D3">
        <w:rPr>
          <w:rFonts w:cs="Arial"/>
          <w:sz w:val="22"/>
        </w:rPr>
        <w:t>d</w:t>
      </w:r>
      <w:r w:rsidRPr="00816657">
        <w:rPr>
          <w:rFonts w:cs="Arial"/>
          <w:sz w:val="22"/>
        </w:rPr>
        <w:t xml:space="preserve"> three parts:</w:t>
      </w:r>
    </w:p>
    <w:p w:rsidR="00A96A2F" w:rsidRPr="00816657" w:rsidRDefault="00B8270F" w:rsidP="007F5BD4">
      <w:pPr>
        <w:pStyle w:val="ListNumber"/>
        <w:numPr>
          <w:ilvl w:val="0"/>
          <w:numId w:val="40"/>
        </w:numPr>
        <w:ind w:left="340" w:hanging="340"/>
      </w:pPr>
      <w:r w:rsidRPr="00816657">
        <w:t>Prepare p</w:t>
      </w:r>
      <w:r w:rsidR="00FC6303" w:rsidRPr="00816657">
        <w:t xml:space="preserve">rojections of </w:t>
      </w:r>
      <w:r w:rsidR="00A96A2F" w:rsidRPr="00816657">
        <w:t>hazardous waste arisings and fates</w:t>
      </w:r>
      <w:r w:rsidR="00FC6303" w:rsidRPr="00816657">
        <w:t xml:space="preserve"> over the coming 20 years.</w:t>
      </w:r>
    </w:p>
    <w:p w:rsidR="00FC6303" w:rsidRPr="00816657" w:rsidRDefault="00E3171B" w:rsidP="007F5BD4">
      <w:pPr>
        <w:pStyle w:val="ListNumber"/>
        <w:numPr>
          <w:ilvl w:val="0"/>
          <w:numId w:val="40"/>
        </w:numPr>
        <w:ind w:left="340" w:hanging="340"/>
      </w:pPr>
      <w:r w:rsidRPr="00816657">
        <w:t>Consult</w:t>
      </w:r>
      <w:r w:rsidR="001B157E" w:rsidRPr="00816657">
        <w:t xml:space="preserve"> with industry to e</w:t>
      </w:r>
      <w:r w:rsidR="00B8270F" w:rsidRPr="00816657">
        <w:t>stimate</w:t>
      </w:r>
      <w:r w:rsidR="00FC6303" w:rsidRPr="00816657">
        <w:t xml:space="preserve"> </w:t>
      </w:r>
      <w:r w:rsidR="00A96A2F" w:rsidRPr="00816657">
        <w:t>Australia’s current hazardous waste infrastructure capacity,</w:t>
      </w:r>
      <w:r w:rsidR="00FC6303" w:rsidRPr="00816657">
        <w:t xml:space="preserve"> its distribution and expected future.</w:t>
      </w:r>
      <w:r w:rsidR="00A96A2F" w:rsidRPr="00816657">
        <w:t xml:space="preserve"> </w:t>
      </w:r>
    </w:p>
    <w:p w:rsidR="00A96A2F" w:rsidRPr="00816657" w:rsidRDefault="00B8270F" w:rsidP="007F5BD4">
      <w:pPr>
        <w:pStyle w:val="ListNumber"/>
        <w:numPr>
          <w:ilvl w:val="0"/>
          <w:numId w:val="40"/>
        </w:numPr>
        <w:ind w:left="340" w:hanging="340"/>
      </w:pPr>
      <w:r w:rsidRPr="00816657">
        <w:t>Combine</w:t>
      </w:r>
      <w:r w:rsidR="00A96A2F" w:rsidRPr="00816657">
        <w:t xml:space="preserve"> the results of </w:t>
      </w:r>
      <w:r w:rsidR="00FC6303" w:rsidRPr="00816657">
        <w:t xml:space="preserve">the first two parts to identify the extent to which current infrastructure meets future needs, considering </w:t>
      </w:r>
      <w:r w:rsidR="00A96A2F" w:rsidRPr="00816657">
        <w:t>the nature and locations of particular infrastructure.</w:t>
      </w:r>
    </w:p>
    <w:p w:rsidR="002D0EFA" w:rsidRPr="00816657" w:rsidRDefault="002D0EFA" w:rsidP="00FC6303">
      <w:pPr>
        <w:pStyle w:val="BodyText"/>
        <w:tabs>
          <w:tab w:val="left" w:pos="1935"/>
        </w:tabs>
      </w:pPr>
    </w:p>
    <w:p w:rsidR="002D0EFA" w:rsidRPr="00816657" w:rsidRDefault="0041250F" w:rsidP="000143BC">
      <w:pPr>
        <w:pStyle w:val="Heading2"/>
      </w:pPr>
      <w:bookmarkStart w:id="15" w:name="_Ref408404160"/>
      <w:bookmarkStart w:id="16" w:name="_Toc425849150"/>
      <w:r w:rsidRPr="00816657">
        <w:t>Project c</w:t>
      </w:r>
      <w:r w:rsidR="00BB1513" w:rsidRPr="00816657">
        <w:t xml:space="preserve">ontext and </w:t>
      </w:r>
      <w:r w:rsidR="00F21B9F" w:rsidRPr="00816657">
        <w:t xml:space="preserve">key </w:t>
      </w:r>
      <w:r w:rsidR="00BB1513" w:rsidRPr="00816657">
        <w:t>definitions</w:t>
      </w:r>
      <w:bookmarkEnd w:id="15"/>
      <w:bookmarkEnd w:id="16"/>
    </w:p>
    <w:p w:rsidR="008A28C1" w:rsidRPr="00816657" w:rsidRDefault="008A28C1" w:rsidP="008A28C1">
      <w:pPr>
        <w:pStyle w:val="Heading3"/>
      </w:pPr>
      <w:r w:rsidRPr="00816657">
        <w:t>Hazardous waste terminology</w:t>
      </w:r>
    </w:p>
    <w:p w:rsidR="008A28C1" w:rsidRPr="00816657" w:rsidRDefault="008A28C1" w:rsidP="008A28C1">
      <w:pPr>
        <w:pStyle w:val="BodyText"/>
        <w:tabs>
          <w:tab w:val="left" w:pos="1935"/>
        </w:tabs>
      </w:pPr>
      <w:r w:rsidRPr="00816657">
        <w:t>The term ‘hazardous waste’ is used by the Commonwealth to describe wastes that exhibit hazardous characteristics, and is widely used in the community. The</w:t>
      </w:r>
      <w:r w:rsidR="00E3171B" w:rsidRPr="00816657">
        <w:t xml:space="preserve"> term is taken to correspond with the wastes that the states and territories (the</w:t>
      </w:r>
      <w:r w:rsidRPr="00816657">
        <w:t xml:space="preserve"> jurisdictions</w:t>
      </w:r>
      <w:r w:rsidR="00E3171B" w:rsidRPr="00816657">
        <w:t>) regulate as requiring particularly high levels of management and control. The jurisdictions</w:t>
      </w:r>
      <w:r w:rsidRPr="00816657">
        <w:t xml:space="preserve"> use varied terminology to describe the</w:t>
      </w:r>
      <w:r w:rsidR="00E3171B" w:rsidRPr="00816657">
        <w:t>se</w:t>
      </w:r>
      <w:r w:rsidRPr="00816657">
        <w:t xml:space="preserve"> wastes</w:t>
      </w:r>
      <w:r w:rsidR="00E3171B" w:rsidRPr="00816657">
        <w:t xml:space="preserve">, reflecting </w:t>
      </w:r>
      <w:r w:rsidRPr="00816657">
        <w:t>the fact that some are tracked and controlled not because they are hazardous in the normal sense of the word, but rather because they pose risks to public amenity (e.g. through odour). All these wastes are nevertheless considered to be</w:t>
      </w:r>
      <w:r w:rsidR="00D157B5" w:rsidRPr="00816657">
        <w:t xml:space="preserve"> hazardous wastes</w:t>
      </w:r>
      <w:r w:rsidRPr="00816657">
        <w:t xml:space="preserve"> within the scope of the study. The terms used by the jurisdictions are:</w:t>
      </w:r>
    </w:p>
    <w:p w:rsidR="008A28C1" w:rsidRPr="00816657" w:rsidRDefault="008A28C1" w:rsidP="008A28C1">
      <w:pPr>
        <w:pStyle w:val="Bullet1"/>
        <w:spacing w:before="0"/>
        <w:rPr>
          <w:rFonts w:ascii="Times New Roman" w:hAnsi="Times New Roman"/>
          <w:color w:val="auto"/>
          <w:sz w:val="24"/>
          <w:szCs w:val="24"/>
        </w:rPr>
      </w:pPr>
      <w:r w:rsidRPr="00816657">
        <w:t xml:space="preserve">regulated waste (Queensland) </w:t>
      </w:r>
    </w:p>
    <w:p w:rsidR="008A28C1" w:rsidRPr="00816657" w:rsidRDefault="008A28C1" w:rsidP="008A28C1">
      <w:pPr>
        <w:pStyle w:val="Bullet1"/>
        <w:spacing w:before="0"/>
        <w:rPr>
          <w:rFonts w:ascii="Times New Roman" w:hAnsi="Times New Roman"/>
          <w:color w:val="auto"/>
          <w:sz w:val="24"/>
          <w:szCs w:val="24"/>
        </w:rPr>
      </w:pPr>
      <w:r w:rsidRPr="00816657">
        <w:t xml:space="preserve">trackable waste (New South Wales) </w:t>
      </w:r>
    </w:p>
    <w:p w:rsidR="008A28C1" w:rsidRPr="00816657" w:rsidRDefault="008A28C1" w:rsidP="008A28C1">
      <w:pPr>
        <w:pStyle w:val="Bullet1"/>
        <w:spacing w:before="0"/>
        <w:rPr>
          <w:rFonts w:ascii="Times New Roman" w:hAnsi="Times New Roman"/>
          <w:color w:val="auto"/>
          <w:sz w:val="24"/>
          <w:szCs w:val="24"/>
        </w:rPr>
      </w:pPr>
      <w:r w:rsidRPr="00816657">
        <w:t xml:space="preserve">prescribed waste (Victoria) </w:t>
      </w:r>
    </w:p>
    <w:p w:rsidR="008A28C1" w:rsidRPr="00816657" w:rsidRDefault="008A28C1" w:rsidP="008A28C1">
      <w:pPr>
        <w:pStyle w:val="Bullet1"/>
        <w:spacing w:before="0"/>
        <w:rPr>
          <w:rFonts w:ascii="Times New Roman" w:hAnsi="Times New Roman"/>
          <w:color w:val="auto"/>
          <w:sz w:val="24"/>
          <w:szCs w:val="24"/>
        </w:rPr>
      </w:pPr>
      <w:r w:rsidRPr="00816657">
        <w:t xml:space="preserve">listed waste (South Australia) </w:t>
      </w:r>
    </w:p>
    <w:p w:rsidR="008A28C1" w:rsidRPr="00816657" w:rsidRDefault="008A28C1" w:rsidP="008A28C1">
      <w:pPr>
        <w:pStyle w:val="Bullet1"/>
        <w:spacing w:before="0"/>
      </w:pPr>
      <w:proofErr w:type="gramStart"/>
      <w:r w:rsidRPr="00816657">
        <w:t>controlled</w:t>
      </w:r>
      <w:proofErr w:type="gramEnd"/>
      <w:r w:rsidRPr="00816657">
        <w:t xml:space="preserve"> waste (ACT, NT, Tasmania and Western Australia).</w:t>
      </w:r>
    </w:p>
    <w:p w:rsidR="00587BE0" w:rsidRPr="00816657" w:rsidRDefault="00587BE0" w:rsidP="00587BE0">
      <w:pPr>
        <w:pStyle w:val="BodyText"/>
      </w:pPr>
    </w:p>
    <w:p w:rsidR="00587BE0" w:rsidRPr="00816657" w:rsidRDefault="00587BE0" w:rsidP="00587BE0">
      <w:pPr>
        <w:pStyle w:val="Heading3"/>
      </w:pPr>
      <w:r w:rsidRPr="00816657">
        <w:t>Regulating and tracking hazardous waste in Australia</w:t>
      </w:r>
    </w:p>
    <w:p w:rsidR="00552764" w:rsidRDefault="00587BE0" w:rsidP="00587BE0">
      <w:pPr>
        <w:pStyle w:val="BodyText"/>
        <w:tabs>
          <w:tab w:val="left" w:pos="1935"/>
        </w:tabs>
      </w:pPr>
      <w:r w:rsidRPr="00816657">
        <w:t xml:space="preserve">Whereas the Australian Government has responsibilities in relation to hazardous waste under the Act and the National Waste Policy, regulation of hazardous waste management is the responsibility of the states and territories (the jurisdictions). In order to ensure appropriate management of these wastes, the five largest jurisdictions (NSW, Qld, SA, Vic and WA) operate systems for ‘cradle to grave’ tracking of the movement of each consignment of hazardous waste from point of generation to treatment or disposal. Tracking certificates include the type and quantity of waste, the dates, and the producer, transporter and details of the receiving facility. A copy is sent to the government. The jurisdictions agreed to allow </w:t>
      </w:r>
      <w:r w:rsidR="00E3171B" w:rsidRPr="00816657">
        <w:t xml:space="preserve">the </w:t>
      </w:r>
      <w:r w:rsidRPr="00816657">
        <w:t>use of the large data sets generated by their</w:t>
      </w:r>
      <w:r w:rsidR="00E3171B" w:rsidRPr="00816657">
        <w:t xml:space="preserve"> tracking systems in this study, under confidentiality agreements</w:t>
      </w:r>
      <w:r w:rsidRPr="00816657">
        <w:t xml:space="preserve">. </w:t>
      </w:r>
    </w:p>
    <w:p w:rsidR="00552764" w:rsidRDefault="00552764" w:rsidP="00587BE0">
      <w:pPr>
        <w:pStyle w:val="BodyText"/>
        <w:tabs>
          <w:tab w:val="left" w:pos="1935"/>
        </w:tabs>
      </w:pPr>
    </w:p>
    <w:p w:rsidR="00587BE0" w:rsidRPr="00816657" w:rsidRDefault="00552764" w:rsidP="00587BE0">
      <w:pPr>
        <w:pStyle w:val="BodyText"/>
        <w:tabs>
          <w:tab w:val="left" w:pos="1935"/>
        </w:tabs>
      </w:pPr>
      <w:r>
        <w:lastRenderedPageBreak/>
        <w:t xml:space="preserve">There is some variation in the wastes that are regulated and tracked as hazardous waste between the jurisdictions. Refer to Appendix </w:t>
      </w:r>
      <w:r w:rsidR="006D07F5">
        <w:fldChar w:fldCharType="begin"/>
      </w:r>
      <w:r>
        <w:instrText xml:space="preserve"> REF _Ref408325963 \r \h </w:instrText>
      </w:r>
      <w:r w:rsidR="006D07F5">
        <w:fldChar w:fldCharType="separate"/>
      </w:r>
      <w:r w:rsidR="002F3000">
        <w:t>A.3</w:t>
      </w:r>
      <w:r w:rsidR="006D07F5">
        <w:fldChar w:fldCharType="end"/>
      </w:r>
      <w:r>
        <w:t xml:space="preserve"> for analysis of wastes </w:t>
      </w:r>
      <w:r w:rsidR="0068536E">
        <w:t xml:space="preserve">that </w:t>
      </w:r>
      <w:r>
        <w:t>are tracked</w:t>
      </w:r>
      <w:r w:rsidR="0068536E">
        <w:t>/not tracked</w:t>
      </w:r>
      <w:r>
        <w:t xml:space="preserve"> in </w:t>
      </w:r>
      <w:r w:rsidRPr="00816657">
        <w:t>NSW, Qld, SA, Vic and WA</w:t>
      </w:r>
      <w:r w:rsidR="00256B5E">
        <w:t xml:space="preserve"> tracking systems</w:t>
      </w:r>
      <w:r>
        <w:t>.</w:t>
      </w:r>
    </w:p>
    <w:p w:rsidR="000143BC" w:rsidRPr="00816657" w:rsidRDefault="000143BC" w:rsidP="00587BE0">
      <w:pPr>
        <w:pStyle w:val="BodyText"/>
        <w:tabs>
          <w:tab w:val="left" w:pos="1935"/>
        </w:tabs>
      </w:pPr>
    </w:p>
    <w:p w:rsidR="00895C6D" w:rsidRPr="00816657" w:rsidRDefault="00895C6D" w:rsidP="00895C6D">
      <w:pPr>
        <w:pStyle w:val="Heading3"/>
      </w:pPr>
      <w:r w:rsidRPr="00816657">
        <w:t>The mean</w:t>
      </w:r>
      <w:r w:rsidR="00890187" w:rsidRPr="00816657">
        <w:t>ing</w:t>
      </w:r>
      <w:r w:rsidRPr="00816657">
        <w:t xml:space="preserve"> of waste ‘arising’</w:t>
      </w:r>
    </w:p>
    <w:p w:rsidR="00117CFF" w:rsidRPr="00816657" w:rsidRDefault="00895C6D" w:rsidP="00895C6D">
      <w:pPr>
        <w:pStyle w:val="BodyText"/>
      </w:pPr>
      <w:r w:rsidRPr="00816657">
        <w:t xml:space="preserve">In this project, hazardous waste is said to ‘arise’ when it </w:t>
      </w:r>
      <w:r w:rsidR="00E3171B" w:rsidRPr="00816657">
        <w:t>is delivered to</w:t>
      </w:r>
      <w:r w:rsidRPr="00816657">
        <w:t xml:space="preserve"> processing, storage, treatment</w:t>
      </w:r>
      <w:r w:rsidR="00920CFE" w:rsidRPr="00816657">
        <w:t>,</w:t>
      </w:r>
      <w:r w:rsidRPr="00816657">
        <w:t xml:space="preserve"> or disposal infrastructure. This is distinct from</w:t>
      </w:r>
      <w:r w:rsidR="00117CFF" w:rsidRPr="00816657">
        <w:t xml:space="preserve"> ‘waste generation’, a</w:t>
      </w:r>
      <w:r w:rsidRPr="00816657">
        <w:t xml:space="preserve"> </w:t>
      </w:r>
      <w:r w:rsidR="00117CFF" w:rsidRPr="00816657">
        <w:t xml:space="preserve">term commonly used in waste reporting, in that if waste is </w:t>
      </w:r>
      <w:r w:rsidRPr="00816657">
        <w:t>transported to more than one site</w:t>
      </w:r>
      <w:r w:rsidR="00117CFF" w:rsidRPr="00816657">
        <w:t xml:space="preserve"> it may ‘arise’ more than once</w:t>
      </w:r>
      <w:r w:rsidRPr="00816657">
        <w:t>. The projections developed in this report are of waste arising</w:t>
      </w:r>
      <w:r w:rsidR="00117CFF" w:rsidRPr="00816657">
        <w:t>, which is consistent with data from the jurisdictional tracking systems. It should be noted that until a waste is moved offsite, it does not arise. Waste that is created on a site and remains stored there has not arisen</w:t>
      </w:r>
      <w:r w:rsidR="00E3171B" w:rsidRPr="00816657">
        <w:t>.</w:t>
      </w:r>
      <w:r w:rsidR="00117CFF" w:rsidRPr="00816657">
        <w:t xml:space="preserve"> </w:t>
      </w:r>
    </w:p>
    <w:p w:rsidR="00117CFF" w:rsidRPr="00816657" w:rsidRDefault="00117CFF" w:rsidP="00895C6D">
      <w:pPr>
        <w:pStyle w:val="BodyText"/>
      </w:pPr>
    </w:p>
    <w:p w:rsidR="00895C6D" w:rsidRPr="001F0B73" w:rsidRDefault="00895C6D" w:rsidP="00895C6D">
      <w:pPr>
        <w:pStyle w:val="Heading3"/>
      </w:pPr>
      <w:r w:rsidRPr="001F0B73">
        <w:t>The potential for ‘new’ hazardous wastes</w:t>
      </w:r>
    </w:p>
    <w:p w:rsidR="001F0B73" w:rsidRDefault="00895C6D" w:rsidP="00895C6D">
      <w:pPr>
        <w:pStyle w:val="BodyText"/>
        <w:rPr>
          <w:rFonts w:cs="Arial"/>
        </w:rPr>
      </w:pPr>
      <w:r w:rsidRPr="001F0B73">
        <w:t xml:space="preserve">An important aspect of the context for this project is the potential for ‘new’ hazardous waste streams to arise. </w:t>
      </w:r>
      <w:r w:rsidRPr="001F0B73">
        <w:rPr>
          <w:rFonts w:cs="Arial"/>
        </w:rPr>
        <w:t xml:space="preserve">Australia is a party to the Stockholm Convention on Persistent Organic Pollutants (POPs), which </w:t>
      </w:r>
      <w:r w:rsidRPr="001F0B73">
        <w:rPr>
          <w:rFonts w:cs="Arial"/>
          <w:color w:val="181818" w:themeColor="text1" w:themeTint="F2"/>
        </w:rPr>
        <w:t xml:space="preserve">aims to protect human health and the environment from the effects of </w:t>
      </w:r>
      <w:r w:rsidRPr="001F0B73">
        <w:rPr>
          <w:rFonts w:cs="Arial"/>
        </w:rPr>
        <w:t xml:space="preserve">these chemicals. Australia is in the process of deciding whether to ratify the chemicals added since 2009. Should it decide to do so, significant quantities of </w:t>
      </w:r>
      <w:r w:rsidR="00A807CE" w:rsidRPr="001F0B73">
        <w:rPr>
          <w:rFonts w:cs="Arial"/>
        </w:rPr>
        <w:t xml:space="preserve">additional </w:t>
      </w:r>
      <w:r w:rsidRPr="001F0B73">
        <w:rPr>
          <w:rFonts w:cs="Arial"/>
        </w:rPr>
        <w:t>waste</w:t>
      </w:r>
      <w:r w:rsidR="00956B8B">
        <w:rPr>
          <w:rFonts w:cs="Arial"/>
        </w:rPr>
        <w:t>, such as POP contaminated biosolids,</w:t>
      </w:r>
      <w:r w:rsidRPr="001F0B73">
        <w:rPr>
          <w:rFonts w:cs="Arial"/>
        </w:rPr>
        <w:t xml:space="preserve"> </w:t>
      </w:r>
      <w:r w:rsidR="00A807CE" w:rsidRPr="001F0B73">
        <w:rPr>
          <w:rFonts w:cs="Arial"/>
        </w:rPr>
        <w:t xml:space="preserve">might </w:t>
      </w:r>
      <w:r w:rsidRPr="001F0B73">
        <w:rPr>
          <w:rFonts w:cs="Arial"/>
        </w:rPr>
        <w:t xml:space="preserve">need to be managed as hazardous, some of which are not currently managed in this way. This could have </w:t>
      </w:r>
      <w:r w:rsidR="00A807CE" w:rsidRPr="001F0B73">
        <w:rPr>
          <w:rFonts w:cs="Arial"/>
        </w:rPr>
        <w:t>major</w:t>
      </w:r>
      <w:r w:rsidRPr="001F0B73">
        <w:rPr>
          <w:rFonts w:cs="Arial"/>
        </w:rPr>
        <w:t xml:space="preserve"> implications</w:t>
      </w:r>
      <w:r w:rsidR="00A807CE" w:rsidRPr="001F0B73">
        <w:rPr>
          <w:rFonts w:cs="Arial"/>
        </w:rPr>
        <w:t xml:space="preserve"> for the demand for</w:t>
      </w:r>
      <w:r w:rsidRPr="001F0B73">
        <w:rPr>
          <w:rFonts w:cs="Arial"/>
        </w:rPr>
        <w:t xml:space="preserve"> hazardous waste infrastructure.</w:t>
      </w:r>
      <w:r w:rsidR="001F0B73">
        <w:rPr>
          <w:rFonts w:cs="Arial"/>
        </w:rPr>
        <w:t xml:space="preserve"> The ‘new</w:t>
      </w:r>
      <w:r w:rsidR="00633936">
        <w:rPr>
          <w:rFonts w:cs="Arial"/>
        </w:rPr>
        <w:t xml:space="preserve"> Stockholm’</w:t>
      </w:r>
      <w:r w:rsidR="001F0B73">
        <w:rPr>
          <w:rFonts w:cs="Arial"/>
        </w:rPr>
        <w:t xml:space="preserve"> hazardous wastes that this project provides analysis of include: </w:t>
      </w:r>
    </w:p>
    <w:p w:rsidR="00633936" w:rsidRDefault="007E43D3" w:rsidP="007F5BD4">
      <w:pPr>
        <w:pStyle w:val="Bullet1"/>
      </w:pPr>
      <w:r w:rsidRPr="00816657">
        <w:t xml:space="preserve">polybrominated </w:t>
      </w:r>
      <w:r w:rsidR="001F0B73" w:rsidRPr="00816657">
        <w:t xml:space="preserve">diphenyl ethers (PBDEs) </w:t>
      </w:r>
    </w:p>
    <w:p w:rsidR="000D530A" w:rsidRDefault="007E43D3" w:rsidP="007F5BD4">
      <w:pPr>
        <w:pStyle w:val="Bullet1"/>
      </w:pPr>
      <w:r w:rsidRPr="00816657">
        <w:t xml:space="preserve">hexabromocyclododecane </w:t>
      </w:r>
      <w:r w:rsidR="00633936" w:rsidRPr="00816657">
        <w:t>(HBCD)</w:t>
      </w:r>
    </w:p>
    <w:p w:rsidR="000D530A" w:rsidRDefault="007E43D3" w:rsidP="007F5BD4">
      <w:pPr>
        <w:pStyle w:val="Bullet1"/>
      </w:pPr>
      <w:proofErr w:type="gramStart"/>
      <w:r w:rsidRPr="00816657">
        <w:t>perfluorooctanesulfonic</w:t>
      </w:r>
      <w:proofErr w:type="gramEnd"/>
      <w:r w:rsidRPr="00816657">
        <w:t xml:space="preserve"> </w:t>
      </w:r>
      <w:r w:rsidR="000D530A" w:rsidRPr="00816657">
        <w:t>acid or perfluorooctane sulfonate (PFOS)</w:t>
      </w:r>
      <w:r w:rsidR="00956B8B">
        <w:t>.</w:t>
      </w:r>
    </w:p>
    <w:p w:rsidR="00B205F8" w:rsidRDefault="00B205F8" w:rsidP="00B205F8">
      <w:pPr>
        <w:pStyle w:val="BodyText"/>
      </w:pPr>
    </w:p>
    <w:p w:rsidR="00FE619C" w:rsidRDefault="00FE619C">
      <w:pPr>
        <w:pStyle w:val="BodyText"/>
        <w:rPr>
          <w:rFonts w:cs="Arial"/>
        </w:rPr>
      </w:pPr>
      <w:r>
        <w:rPr>
          <w:rFonts w:cs="Arial"/>
        </w:rPr>
        <w:t xml:space="preserve">A detailed discussion of ‘new Stockholm’ POPs waste is provided in Section </w:t>
      </w:r>
      <w:r w:rsidR="006D07F5">
        <w:rPr>
          <w:rFonts w:cs="Arial"/>
        </w:rPr>
        <w:fldChar w:fldCharType="begin"/>
      </w:r>
      <w:r>
        <w:rPr>
          <w:rFonts w:cs="Arial"/>
        </w:rPr>
        <w:instrText xml:space="preserve"> REF _Ref419200595 \r \h </w:instrText>
      </w:r>
      <w:r w:rsidR="006D07F5">
        <w:rPr>
          <w:rFonts w:cs="Arial"/>
        </w:rPr>
      </w:r>
      <w:r w:rsidR="006D07F5">
        <w:rPr>
          <w:rFonts w:cs="Arial"/>
        </w:rPr>
        <w:fldChar w:fldCharType="separate"/>
      </w:r>
      <w:r w:rsidR="002F3000">
        <w:rPr>
          <w:rFonts w:cs="Arial"/>
        </w:rPr>
        <w:t>2.2</w:t>
      </w:r>
      <w:r w:rsidR="006D07F5">
        <w:rPr>
          <w:rFonts w:cs="Arial"/>
        </w:rPr>
        <w:fldChar w:fldCharType="end"/>
      </w:r>
      <w:r>
        <w:rPr>
          <w:rFonts w:cs="Arial"/>
        </w:rPr>
        <w:t xml:space="preserve"> under the </w:t>
      </w:r>
      <w:r w:rsidR="00B50EEB" w:rsidRPr="007F5BD4">
        <w:rPr>
          <w:rFonts w:cs="Arial"/>
          <w:i/>
        </w:rPr>
        <w:t>Persistent Organic Pollutants (POPs) waste groups M160 a – d</w:t>
      </w:r>
      <w:r w:rsidRPr="007F5BD4">
        <w:rPr>
          <w:rFonts w:cs="Arial"/>
          <w:i/>
        </w:rPr>
        <w:t xml:space="preserve"> </w:t>
      </w:r>
      <w:r>
        <w:rPr>
          <w:rFonts w:cs="Arial"/>
        </w:rPr>
        <w:t xml:space="preserve">breakout box. </w:t>
      </w:r>
    </w:p>
    <w:p w:rsidR="00FE619C" w:rsidRDefault="00FE619C">
      <w:pPr>
        <w:pStyle w:val="BodyText"/>
        <w:rPr>
          <w:rFonts w:cs="Arial"/>
        </w:rPr>
      </w:pPr>
    </w:p>
    <w:p w:rsidR="001C5D88" w:rsidRDefault="000D530A">
      <w:pPr>
        <w:pStyle w:val="BodyText"/>
      </w:pPr>
      <w:r>
        <w:t>Apart from ‘new Stockholm’ wastes this project also analysed potential arisings of</w:t>
      </w:r>
      <w:r w:rsidR="007E43D3">
        <w:t xml:space="preserve"> l</w:t>
      </w:r>
      <w:r>
        <w:t>ithium</w:t>
      </w:r>
      <w:r w:rsidR="007E43D3">
        <w:t>-</w:t>
      </w:r>
      <w:r>
        <w:t>ion batteries which are not currently regulated as hazardous wastes.</w:t>
      </w:r>
      <w:r w:rsidR="00B205F8" w:rsidRPr="00B205F8">
        <w:t xml:space="preserve"> </w:t>
      </w:r>
      <w:r w:rsidR="00B205F8" w:rsidRPr="00803950">
        <w:t xml:space="preserve">Although lithium-ion batteries are not regulated as hazardous waste, they are assessed in this report because of their potential to have a significant impact on hazardous waste infrastructure. Lithium-ion battery </w:t>
      </w:r>
      <w:proofErr w:type="gramStart"/>
      <w:r w:rsidR="00B205F8" w:rsidRPr="00803950">
        <w:t>use has been increasing strongly and</w:t>
      </w:r>
      <w:r w:rsidR="007E43D3">
        <w:t>,</w:t>
      </w:r>
      <w:r w:rsidR="00B205F8" w:rsidRPr="00803950">
        <w:t xml:space="preserve"> if not appropriately managed</w:t>
      </w:r>
      <w:r w:rsidR="007E43D3">
        <w:t>, represent</w:t>
      </w:r>
      <w:proofErr w:type="gramEnd"/>
      <w:r w:rsidR="00B205F8" w:rsidRPr="00803950">
        <w:t xml:space="preserve"> a safety hazard due to risks of causing explosions and or fire (ABRI 2014).</w:t>
      </w:r>
    </w:p>
    <w:p w:rsidR="001C5D88" w:rsidRDefault="001C5D88">
      <w:pPr>
        <w:pStyle w:val="BodyText"/>
      </w:pPr>
    </w:p>
    <w:p w:rsidR="008A28C1" w:rsidRPr="00816657" w:rsidRDefault="008A28C1" w:rsidP="008A28C1">
      <w:pPr>
        <w:pStyle w:val="Heading3"/>
      </w:pPr>
      <w:r w:rsidRPr="00816657">
        <w:t xml:space="preserve">The NEPM and its </w:t>
      </w:r>
      <w:r w:rsidR="00C4572B" w:rsidRPr="00816657">
        <w:t xml:space="preserve">waste </w:t>
      </w:r>
      <w:r w:rsidRPr="00816657">
        <w:t>classification systems</w:t>
      </w:r>
    </w:p>
    <w:p w:rsidR="008A28C1" w:rsidRPr="00816657" w:rsidRDefault="008A28C1" w:rsidP="008A28C1">
      <w:pPr>
        <w:pStyle w:val="BodyText"/>
      </w:pPr>
      <w:r w:rsidRPr="00816657">
        <w:t xml:space="preserve">Hazardous waste produced in a particular jurisdiction may move to another for storage, treatment or disposal. The </w:t>
      </w:r>
      <w:r w:rsidRPr="00816657">
        <w:rPr>
          <w:rFonts w:asciiTheme="minorHAnsi" w:hAnsiTheme="minorHAnsi" w:cs="Arial"/>
          <w:i/>
          <w:szCs w:val="20"/>
        </w:rPr>
        <w:t>National Environment Protection (Movement of Controlled Waste between States and Territories) Measure 1998</w:t>
      </w:r>
      <w:r w:rsidRPr="00816657">
        <w:rPr>
          <w:rFonts w:asciiTheme="minorHAnsi" w:hAnsiTheme="minorHAnsi" w:cs="Arial"/>
          <w:szCs w:val="20"/>
        </w:rPr>
        <w:t xml:space="preserve"> (the NEPM) was established to </w:t>
      </w:r>
      <w:r w:rsidRPr="00816657">
        <w:t xml:space="preserve">ensure that hazardous wastes transported between jurisdictions are properly identified, transported, and otherwise handled. </w:t>
      </w:r>
      <w:r w:rsidRPr="00816657">
        <w:rPr>
          <w:rFonts w:asciiTheme="minorHAnsi" w:hAnsiTheme="minorHAnsi" w:cs="Arial"/>
          <w:szCs w:val="20"/>
        </w:rPr>
        <w:t>Among other things, the NEPM established a coding system to be used for these wastes. Many of the jurisdictions’ own waste classification systems have been subsequently updated to fully or mostly mirror the NEPM list. The NEPM classification system has two levels:</w:t>
      </w:r>
    </w:p>
    <w:p w:rsidR="008A28C1" w:rsidRPr="00816657" w:rsidRDefault="008A28C1" w:rsidP="00C4572B">
      <w:pPr>
        <w:pStyle w:val="Bullet1"/>
        <w:spacing w:before="0"/>
      </w:pPr>
      <w:r w:rsidRPr="00816657">
        <w:t>the ‘NEPM 75’ list contained in Schedule A, List 1 of the NEPM</w:t>
      </w:r>
    </w:p>
    <w:p w:rsidR="008A28C1" w:rsidRPr="00816657" w:rsidRDefault="008A28C1" w:rsidP="00C4572B">
      <w:pPr>
        <w:pStyle w:val="Bullet1"/>
        <w:spacing w:before="0"/>
      </w:pPr>
      <w:proofErr w:type="gramStart"/>
      <w:r w:rsidRPr="00816657">
        <w:t>the</w:t>
      </w:r>
      <w:proofErr w:type="gramEnd"/>
      <w:r w:rsidRPr="00816657">
        <w:t xml:space="preserve"> ‘NEPM 15’ list, which aggregates the NEPM 75 and is used for reporting purposes.</w:t>
      </w:r>
    </w:p>
    <w:p w:rsidR="008A28C1" w:rsidRPr="00816657" w:rsidRDefault="008A28C1" w:rsidP="008A28C1">
      <w:pPr>
        <w:pStyle w:val="BodyText"/>
      </w:pPr>
    </w:p>
    <w:p w:rsidR="008A28C1" w:rsidRDefault="008A28C1" w:rsidP="008A28C1">
      <w:pPr>
        <w:pStyle w:val="BodyText"/>
      </w:pPr>
      <w:r w:rsidRPr="00816657">
        <w:t xml:space="preserve">The NEPM 15 and 75 lists provide the foundation for the waste groups used in this project </w:t>
      </w:r>
      <w:r w:rsidR="00A807CE" w:rsidRPr="00816657">
        <w:t xml:space="preserve">(see </w:t>
      </w:r>
      <w:r w:rsidR="006F3572">
        <w:t xml:space="preserve">Section </w:t>
      </w:r>
      <w:r w:rsidR="006D07F5">
        <w:fldChar w:fldCharType="begin"/>
      </w:r>
      <w:r w:rsidR="006F3572">
        <w:instrText xml:space="preserve"> REF _Ref419200595 \r \h </w:instrText>
      </w:r>
      <w:r w:rsidR="006D07F5">
        <w:fldChar w:fldCharType="separate"/>
      </w:r>
      <w:r w:rsidR="002F3000">
        <w:t>2.2</w:t>
      </w:r>
      <w:r w:rsidR="006D07F5">
        <w:fldChar w:fldCharType="end"/>
      </w:r>
      <w:r w:rsidR="00A807CE" w:rsidRPr="00816657">
        <w:t>)</w:t>
      </w:r>
      <w:r w:rsidRPr="00816657">
        <w:t>.</w:t>
      </w:r>
    </w:p>
    <w:p w:rsidR="008D2D3F" w:rsidRDefault="008D2D3F" w:rsidP="008A28C1">
      <w:pPr>
        <w:pStyle w:val="BodyText"/>
      </w:pPr>
    </w:p>
    <w:p w:rsidR="008D2D3F" w:rsidRDefault="008D2D3F" w:rsidP="008A28C1">
      <w:pPr>
        <w:pStyle w:val="BodyText"/>
      </w:pPr>
    </w:p>
    <w:p w:rsidR="00C4572B" w:rsidRPr="00816657" w:rsidRDefault="00E04990" w:rsidP="00716B78">
      <w:pPr>
        <w:pStyle w:val="Heading3"/>
      </w:pPr>
      <w:bookmarkStart w:id="17" w:name="_Toc406412163"/>
      <w:bookmarkStart w:id="18" w:name="_Toc408308717"/>
      <w:r>
        <w:t>Grouping</w:t>
      </w:r>
      <w:r w:rsidR="00597452">
        <w:t>s</w:t>
      </w:r>
      <w:r>
        <w:t xml:space="preserve"> </w:t>
      </w:r>
      <w:r w:rsidR="00C4572B" w:rsidRPr="00816657">
        <w:t>of waste</w:t>
      </w:r>
      <w:r>
        <w:t>s</w:t>
      </w:r>
      <w:r w:rsidR="00C4572B" w:rsidRPr="00816657">
        <w:t xml:space="preserve"> and infrastructure applied in this project</w:t>
      </w:r>
    </w:p>
    <w:p w:rsidR="00C4572B" w:rsidRPr="00816657" w:rsidRDefault="00F31548" w:rsidP="00C4572B">
      <w:pPr>
        <w:pStyle w:val="BodyText"/>
      </w:pPr>
      <w:r>
        <w:lastRenderedPageBreak/>
        <w:t>To assess infrastructure</w:t>
      </w:r>
      <w:r w:rsidR="00874E04" w:rsidRPr="00816657">
        <w:t xml:space="preserve"> need and capacity, </w:t>
      </w:r>
      <w:r w:rsidR="006F3572">
        <w:t>grouping</w:t>
      </w:r>
      <w:r w:rsidR="00874E04" w:rsidRPr="00816657">
        <w:t xml:space="preserve"> of both waste</w:t>
      </w:r>
      <w:r>
        <w:t>s</w:t>
      </w:r>
      <w:r w:rsidR="00874E04" w:rsidRPr="00816657">
        <w:t xml:space="preserve"> and infrastructure</w:t>
      </w:r>
      <w:r>
        <w:t xml:space="preserve"> types</w:t>
      </w:r>
      <w:r w:rsidR="00874E04" w:rsidRPr="00816657">
        <w:t xml:space="preserve"> was needed. Pre-existing classification systems provided a basis for </w:t>
      </w:r>
      <w:r>
        <w:t>this</w:t>
      </w:r>
      <w:r w:rsidR="00874E04" w:rsidRPr="00816657">
        <w:t xml:space="preserve">, but did not fully cover the project needs. </w:t>
      </w:r>
    </w:p>
    <w:p w:rsidR="00874E04" w:rsidRPr="00816657" w:rsidRDefault="00874E04" w:rsidP="00C4572B">
      <w:pPr>
        <w:pStyle w:val="BodyText"/>
      </w:pPr>
    </w:p>
    <w:p w:rsidR="00EB2966" w:rsidRPr="00816657" w:rsidRDefault="00874E04" w:rsidP="00EB2966">
      <w:pPr>
        <w:pStyle w:val="BodyText"/>
      </w:pPr>
      <w:r w:rsidRPr="00816657">
        <w:t>The project team defined</w:t>
      </w:r>
      <w:r w:rsidR="00B50A85" w:rsidRPr="00816657">
        <w:t xml:space="preserve"> 29</w:t>
      </w:r>
      <w:r w:rsidRPr="00816657">
        <w:t xml:space="preserve"> ‘waste groups’ that are mostly consistent with the ‘NEPM 15’ list, but </w:t>
      </w:r>
      <w:r w:rsidR="00B50A85" w:rsidRPr="00816657">
        <w:t xml:space="preserve">with </w:t>
      </w:r>
      <w:r w:rsidRPr="00816657">
        <w:t xml:space="preserve">some categories disaggregated where a component waste </w:t>
      </w:r>
      <w:r w:rsidR="00D843C1">
        <w:t xml:space="preserve">was of particular interest to DoE. </w:t>
      </w:r>
      <w:r w:rsidR="00EB2966">
        <w:t xml:space="preserve">In developing the waste groups for analysis in the project, DoE provided direction on the wastes that were of particular interest typically due to </w:t>
      </w:r>
      <w:r w:rsidR="00EB2966" w:rsidRPr="00C739B8">
        <w:t>large or highly uncertain</w:t>
      </w:r>
      <w:r w:rsidR="00EB2966">
        <w:t xml:space="preserve"> arisings or </w:t>
      </w:r>
      <w:r w:rsidR="00EB2966" w:rsidRPr="00C739B8">
        <w:t xml:space="preserve">particular management </w:t>
      </w:r>
      <w:r w:rsidR="00EB2966">
        <w:t>r</w:t>
      </w:r>
      <w:r w:rsidR="00EB2966" w:rsidRPr="00C739B8">
        <w:t>equirements.</w:t>
      </w:r>
      <w:r w:rsidR="00EB2966">
        <w:t xml:space="preserve"> The wastes of particular interest and the waste groups </w:t>
      </w:r>
      <w:r w:rsidR="00F31548">
        <w:t xml:space="preserve">containing them </w:t>
      </w:r>
      <w:r w:rsidR="00EB2966">
        <w:t xml:space="preserve">is summarised in </w:t>
      </w:r>
      <w:r w:rsidR="006D07F5" w:rsidRPr="00816657">
        <w:fldChar w:fldCharType="begin"/>
      </w:r>
      <w:r w:rsidR="00EB2966" w:rsidRPr="00816657">
        <w:instrText xml:space="preserve"> REF _Ref408325490 \h </w:instrText>
      </w:r>
      <w:r w:rsidR="006D07F5" w:rsidRPr="00816657">
        <w:fldChar w:fldCharType="separate"/>
      </w:r>
      <w:r w:rsidR="002F3000" w:rsidRPr="00816657">
        <w:t xml:space="preserve">Table </w:t>
      </w:r>
      <w:r w:rsidR="002F3000">
        <w:rPr>
          <w:noProof/>
        </w:rPr>
        <w:t>1</w:t>
      </w:r>
      <w:r w:rsidR="006D07F5" w:rsidRPr="00816657">
        <w:fldChar w:fldCharType="end"/>
      </w:r>
      <w:r w:rsidR="00EB2966" w:rsidRPr="00816657">
        <w:t>.</w:t>
      </w:r>
    </w:p>
    <w:p w:rsidR="00874E04" w:rsidRPr="00816657" w:rsidRDefault="00874E04" w:rsidP="00C4572B">
      <w:pPr>
        <w:pStyle w:val="BodyText"/>
      </w:pPr>
    </w:p>
    <w:p w:rsidR="006F3572" w:rsidRDefault="00874E04" w:rsidP="006F3572">
      <w:pPr>
        <w:pStyle w:val="BodyText"/>
      </w:pPr>
      <w:r w:rsidRPr="00816657">
        <w:t xml:space="preserve">Similarly, </w:t>
      </w:r>
      <w:r w:rsidR="006F3572" w:rsidRPr="00816657">
        <w:t xml:space="preserve">infrastructure was </w:t>
      </w:r>
      <w:r w:rsidR="006F3572">
        <w:t xml:space="preserve">allocated </w:t>
      </w:r>
      <w:r w:rsidR="006F3572" w:rsidRPr="00816657">
        <w:t>into one of 17</w:t>
      </w:r>
      <w:r w:rsidR="006F3572">
        <w:t xml:space="preserve"> ‘infrastructure </w:t>
      </w:r>
      <w:r w:rsidR="006F3572" w:rsidRPr="00816657">
        <w:t>groups</w:t>
      </w:r>
      <w:r w:rsidR="006F3572">
        <w:t>’</w:t>
      </w:r>
      <w:r w:rsidR="006F3572" w:rsidRPr="00816657">
        <w:t xml:space="preserve"> based on</w:t>
      </w:r>
      <w:r w:rsidR="00F31548">
        <w:t xml:space="preserve"> the </w:t>
      </w:r>
      <w:r w:rsidR="006F3572">
        <w:t xml:space="preserve">main </w:t>
      </w:r>
      <w:r w:rsidR="006F3572" w:rsidRPr="00464591">
        <w:t>wastes received</w:t>
      </w:r>
      <w:r w:rsidR="006F3572">
        <w:t xml:space="preserve"> </w:t>
      </w:r>
      <w:r w:rsidR="006F3572" w:rsidRPr="00F31548">
        <w:t>and</w:t>
      </w:r>
      <w:r w:rsidR="00F31548">
        <w:t xml:space="preserve"> the </w:t>
      </w:r>
      <w:r w:rsidR="006F3572">
        <w:t>primary function</w:t>
      </w:r>
      <w:r w:rsidR="006F3572" w:rsidRPr="00464591">
        <w:rPr>
          <w:vertAlign w:val="superscript"/>
        </w:rPr>
        <w:footnoteReference w:id="6"/>
      </w:r>
      <w:r w:rsidR="006F3572">
        <w:t xml:space="preserve">. </w:t>
      </w:r>
      <w:r w:rsidR="00F31548">
        <w:t>Infrastructure group examples include ‘</w:t>
      </w:r>
      <w:r w:rsidR="006F3572">
        <w:t>Oil re-refining</w:t>
      </w:r>
      <w:r w:rsidR="00F31548">
        <w:t>’</w:t>
      </w:r>
      <w:r w:rsidR="006F3572">
        <w:t xml:space="preserve">, </w:t>
      </w:r>
      <w:r w:rsidR="00F31548">
        <w:t>‘</w:t>
      </w:r>
      <w:r w:rsidR="006F3572">
        <w:t>POP thermal destruction</w:t>
      </w:r>
      <w:r w:rsidR="00F31548">
        <w:t>’</w:t>
      </w:r>
      <w:r w:rsidR="006F3572">
        <w:t xml:space="preserve">, </w:t>
      </w:r>
      <w:r w:rsidR="00F31548">
        <w:t>‘</w:t>
      </w:r>
      <w:r w:rsidR="006F3572">
        <w:t>Clinical waste treatment</w:t>
      </w:r>
      <w:r w:rsidR="00F31548">
        <w:t>’</w:t>
      </w:r>
      <w:r w:rsidR="006F3572">
        <w:t xml:space="preserve"> and </w:t>
      </w:r>
      <w:r w:rsidR="00F31548">
        <w:t>‘</w:t>
      </w:r>
      <w:r w:rsidR="006F3572">
        <w:t>Clinical waste thermal destruction</w:t>
      </w:r>
      <w:r w:rsidR="00F31548">
        <w:t>’</w:t>
      </w:r>
      <w:r w:rsidR="006F3572" w:rsidRPr="00464591">
        <w:t>.</w:t>
      </w:r>
      <w:r w:rsidR="006F3572">
        <w:t xml:space="preserve"> See </w:t>
      </w:r>
      <w:fldSimple w:instr=" REF _Ref419189745 \h  \* MERGEFORMAT ">
        <w:r w:rsidR="002F3000" w:rsidRPr="002F3000">
          <w:rPr>
            <w:rFonts w:asciiTheme="minorHAnsi" w:hAnsiTheme="minorHAnsi" w:cs="Calibri"/>
            <w:noProof/>
            <w:color w:val="auto"/>
          </w:rPr>
          <w:t>Table 45</w:t>
        </w:r>
      </w:fldSimple>
      <w:r w:rsidR="006F3572">
        <w:t xml:space="preserve"> for a description of the infrastructure groups</w:t>
      </w:r>
      <w:r w:rsidR="006F3572" w:rsidRPr="00816657">
        <w:t>.</w:t>
      </w:r>
    </w:p>
    <w:bookmarkEnd w:id="17"/>
    <w:bookmarkEnd w:id="18"/>
    <w:p w:rsidR="000143BC" w:rsidRPr="00816657" w:rsidRDefault="000143BC">
      <w:pPr>
        <w:spacing w:line="240" w:lineRule="auto"/>
        <w:rPr>
          <w:rFonts w:ascii="Arial Rounded MT Bold" w:hAnsi="Arial Rounded MT Bold" w:cs="Arial"/>
          <w:color w:val="0000FF"/>
          <w:sz w:val="22"/>
        </w:rPr>
      </w:pPr>
    </w:p>
    <w:p w:rsidR="00881E52" w:rsidRDefault="00881E52" w:rsidP="00881E52">
      <w:pPr>
        <w:pStyle w:val="Heading3"/>
      </w:pPr>
      <w:r>
        <w:t xml:space="preserve">Limitations and uncertainty </w:t>
      </w:r>
    </w:p>
    <w:p w:rsidR="00881E52" w:rsidRDefault="00881E52" w:rsidP="00881E52">
      <w:pPr>
        <w:pStyle w:val="BodyText"/>
      </w:pPr>
      <w:r>
        <w:t xml:space="preserve">This assessment of projected hazardous waste infrastructure need vs. capacity is </w:t>
      </w:r>
      <w:r w:rsidR="00F31548">
        <w:t>affected</w:t>
      </w:r>
      <w:r>
        <w:t xml:space="preserve"> by the following:</w:t>
      </w:r>
    </w:p>
    <w:p w:rsidR="00881E52" w:rsidRDefault="00881E52" w:rsidP="007C635B">
      <w:pPr>
        <w:pStyle w:val="ListNumber3"/>
        <w:numPr>
          <w:ilvl w:val="0"/>
          <w:numId w:val="72"/>
        </w:numPr>
        <w:spacing w:before="80"/>
        <w:contextualSpacing w:val="0"/>
      </w:pPr>
      <w:r>
        <w:t xml:space="preserve">the levels of uncertainty </w:t>
      </w:r>
      <w:r w:rsidR="00F31548">
        <w:t>in</w:t>
      </w:r>
      <w:r>
        <w:t xml:space="preserve"> the projected arisings of hazardous wastes</w:t>
      </w:r>
    </w:p>
    <w:p w:rsidR="00881E52" w:rsidRDefault="00881E52" w:rsidP="007C635B">
      <w:pPr>
        <w:pStyle w:val="ListNumber3"/>
        <w:numPr>
          <w:ilvl w:val="0"/>
          <w:numId w:val="72"/>
        </w:numPr>
        <w:spacing w:before="80"/>
        <w:contextualSpacing w:val="0"/>
      </w:pPr>
      <w:r>
        <w:t>the levels of uncertainty in assuming how much of each waste’s arisings will be managed by what infrastructure (the assumed fate)</w:t>
      </w:r>
      <w:r w:rsidR="00D06841">
        <w:t xml:space="preserve"> </w:t>
      </w:r>
    </w:p>
    <w:p w:rsidR="00881E52" w:rsidRDefault="00881E52" w:rsidP="007C635B">
      <w:pPr>
        <w:pStyle w:val="ListNumber3"/>
        <w:numPr>
          <w:ilvl w:val="0"/>
          <w:numId w:val="72"/>
        </w:numPr>
        <w:spacing w:before="80"/>
        <w:contextualSpacing w:val="0"/>
      </w:pPr>
      <w:proofErr w:type="gramStart"/>
      <w:r>
        <w:t>the</w:t>
      </w:r>
      <w:proofErr w:type="gramEnd"/>
      <w:r>
        <w:t xml:space="preserve"> limitations and levels of uncertainty of the assessment of the current hazardous waste infrastructure capacity. </w:t>
      </w:r>
    </w:p>
    <w:p w:rsidR="00881E52" w:rsidRDefault="00881E52" w:rsidP="00881E52">
      <w:pPr>
        <w:pStyle w:val="BodyText"/>
        <w:shd w:val="clear" w:color="auto" w:fill="FFFFFF" w:themeFill="background1"/>
      </w:pPr>
    </w:p>
    <w:p w:rsidR="00881E52" w:rsidRDefault="00F31548" w:rsidP="00881E52">
      <w:pPr>
        <w:pStyle w:val="BodyText"/>
        <w:shd w:val="clear" w:color="auto" w:fill="FFFFFF" w:themeFill="background1"/>
      </w:pPr>
      <w:proofErr w:type="gramStart"/>
      <w:r>
        <w:t>T</w:t>
      </w:r>
      <w:r w:rsidR="00881E52">
        <w:t>he limitations and uncertainty of the a</w:t>
      </w:r>
      <w:r w:rsidR="00881E52" w:rsidRPr="00816657">
        <w:t>ssessment of projected need vs. capacity</w:t>
      </w:r>
      <w:r w:rsidR="00881E52">
        <w:t xml:space="preserve"> included in this report need to be carefully considered.</w:t>
      </w:r>
      <w:proofErr w:type="gramEnd"/>
      <w:r w:rsidR="00881E52">
        <w:t xml:space="preserve"> See</w:t>
      </w:r>
      <w:r w:rsidR="002C5480">
        <w:t xml:space="preserve"> Section</w:t>
      </w:r>
      <w:r w:rsidR="00881E52">
        <w:t xml:space="preserve"> </w:t>
      </w:r>
      <w:fldSimple w:instr=" REF _Ref419402884 \r \h  \* MERGEFORMAT ">
        <w:r w:rsidR="002F3000">
          <w:t>4.2</w:t>
        </w:r>
      </w:fldSimple>
      <w:r w:rsidR="00881E52">
        <w:t xml:space="preserve"> for detailed analysis of uncertainty.</w:t>
      </w:r>
    </w:p>
    <w:p w:rsidR="00881E52" w:rsidRDefault="00881E52" w:rsidP="0041250F">
      <w:pPr>
        <w:pStyle w:val="Heading3"/>
      </w:pPr>
    </w:p>
    <w:p w:rsidR="0041250F" w:rsidRPr="00816657" w:rsidRDefault="001B157E" w:rsidP="0041250F">
      <w:pPr>
        <w:pStyle w:val="Heading3"/>
      </w:pPr>
      <w:r w:rsidRPr="00816657">
        <w:t>Confidential</w:t>
      </w:r>
      <w:r w:rsidR="001B5A7B">
        <w:t>ity</w:t>
      </w:r>
    </w:p>
    <w:p w:rsidR="001B5A7B" w:rsidRDefault="0041250F" w:rsidP="0041250F">
      <w:pPr>
        <w:pStyle w:val="BodyText"/>
      </w:pPr>
      <w:r w:rsidRPr="00816657">
        <w:t>The tracking system data used in this project for developing waste projections is submitted to the jurisdictions under legal commitm</w:t>
      </w:r>
      <w:r w:rsidR="001B5A7B">
        <w:t>ents to protect commercial</w:t>
      </w:r>
      <w:r w:rsidRPr="00816657">
        <w:t xml:space="preserve"> confidentiality. The jurisdictions, in turn, agreed to provide tracking system data for this project under agreements that require</w:t>
      </w:r>
      <w:r w:rsidR="00874E04" w:rsidRPr="00816657">
        <w:t>d</w:t>
      </w:r>
      <w:r w:rsidRPr="00816657">
        <w:t xml:space="preserve"> the project team to maintain commercial confidences. Tracking system data was analysed to examine tonnages </w:t>
      </w:r>
      <w:r w:rsidR="001B157E" w:rsidRPr="00816657">
        <w:t xml:space="preserve">of waste arisings </w:t>
      </w:r>
      <w:r w:rsidRPr="00816657">
        <w:t>by waste code, year</w:t>
      </w:r>
      <w:r w:rsidR="001B5A7B">
        <w:t xml:space="preserve">, </w:t>
      </w:r>
      <w:r w:rsidRPr="00816657">
        <w:t>jurisdiction</w:t>
      </w:r>
      <w:r w:rsidR="001B5A7B">
        <w:t xml:space="preserve">, source and fate. The risk is that some of this information could be used by </w:t>
      </w:r>
      <w:r w:rsidRPr="00816657">
        <w:t>companies to work out the scale of rival’s operations.</w:t>
      </w:r>
    </w:p>
    <w:p w:rsidR="001B5A7B" w:rsidRDefault="001B5A7B" w:rsidP="0041250F">
      <w:pPr>
        <w:pStyle w:val="BodyText"/>
      </w:pPr>
    </w:p>
    <w:p w:rsidR="001B5A7B" w:rsidRDefault="001B5A7B" w:rsidP="0041250F">
      <w:pPr>
        <w:pStyle w:val="BodyText"/>
      </w:pPr>
      <w:r>
        <w:t xml:space="preserve">The project team examined jurisdictional data by waste code to assess the extent to which wastes were produced by small numbers of companies. We also reviewed the information that was already publicly available, particularly annual Basel report data. We determined that data for only one waste group – </w:t>
      </w:r>
      <w:r>
        <w:rPr>
          <w:rFonts w:cs="Times New Roman"/>
          <w:color w:val="000000"/>
          <w:szCs w:val="20"/>
          <w:lang w:eastAsia="en-AU"/>
        </w:rPr>
        <w:t>t</w:t>
      </w:r>
      <w:r w:rsidRPr="00816657">
        <w:rPr>
          <w:rFonts w:cs="Times New Roman"/>
          <w:color w:val="000000"/>
          <w:szCs w:val="20"/>
          <w:lang w:eastAsia="en-AU"/>
        </w:rPr>
        <w:t>annery &amp; wool scouring wastes</w:t>
      </w:r>
      <w:r>
        <w:rPr>
          <w:rFonts w:cs="Times New Roman"/>
          <w:color w:val="000000"/>
          <w:szCs w:val="20"/>
          <w:lang w:eastAsia="en-AU"/>
        </w:rPr>
        <w:t xml:space="preserve"> – presented a confidentiality risk. </w:t>
      </w:r>
      <w:r w:rsidR="00061B2C">
        <w:rPr>
          <w:rFonts w:cs="Times New Roman"/>
          <w:color w:val="000000"/>
          <w:szCs w:val="20"/>
          <w:lang w:eastAsia="en-AU"/>
        </w:rPr>
        <w:t>Tonnage d</w:t>
      </w:r>
      <w:r w:rsidRPr="00061B2C">
        <w:rPr>
          <w:rFonts w:cs="Times New Roman"/>
          <w:color w:val="000000"/>
          <w:szCs w:val="20"/>
          <w:lang w:eastAsia="en-AU"/>
        </w:rPr>
        <w:t xml:space="preserve">ata for this group is not presented. </w:t>
      </w:r>
      <w:r>
        <w:rPr>
          <w:rFonts w:cs="Times New Roman"/>
          <w:color w:val="000000"/>
          <w:szCs w:val="20"/>
          <w:lang w:eastAsia="en-AU"/>
        </w:rPr>
        <w:t xml:space="preserve">The names of companies named on transport certificates are also avoided except where the information presented is widely known. </w:t>
      </w:r>
    </w:p>
    <w:p w:rsidR="001B5A7B" w:rsidRDefault="001B5A7B" w:rsidP="0041250F">
      <w:pPr>
        <w:pStyle w:val="BodyText"/>
      </w:pPr>
    </w:p>
    <w:p w:rsidR="000465F7" w:rsidRDefault="001B157E" w:rsidP="001B5A7B">
      <w:pPr>
        <w:pStyle w:val="BodyText"/>
      </w:pPr>
      <w:r w:rsidRPr="00816657">
        <w:t>The information and data gathered during consultation</w:t>
      </w:r>
      <w:r w:rsidR="001B5A7B">
        <w:t xml:space="preserve"> with industry</w:t>
      </w:r>
      <w:r w:rsidRPr="00816657">
        <w:t xml:space="preserve"> (to estimate infrastructure capacity) also contains confidential information. </w:t>
      </w:r>
      <w:r w:rsidR="00A3215E" w:rsidRPr="00816657">
        <w:t>No company specific information</w:t>
      </w:r>
      <w:r w:rsidR="001B5A7B">
        <w:t xml:space="preserve"> from the consultation</w:t>
      </w:r>
      <w:r w:rsidR="00A3215E" w:rsidRPr="00816657">
        <w:t xml:space="preserve"> is presented in this report. Where a small number of industry providers service </w:t>
      </w:r>
      <w:r w:rsidR="000B557F" w:rsidRPr="00816657">
        <w:t xml:space="preserve">a </w:t>
      </w:r>
      <w:r w:rsidR="00A3215E" w:rsidRPr="00816657">
        <w:t>part of the hazardous waste market, the capacity information has been flagged and is not included in th</w:t>
      </w:r>
      <w:r w:rsidR="000B557F" w:rsidRPr="00816657">
        <w:t>e public version of this report</w:t>
      </w:r>
      <w:r w:rsidR="00D6125C" w:rsidRPr="00816657">
        <w:t>.</w:t>
      </w:r>
      <w:r w:rsidR="000465F7">
        <w:br w:type="page"/>
      </w:r>
    </w:p>
    <w:p w:rsidR="007D7223" w:rsidRPr="00816657" w:rsidRDefault="00240F7E" w:rsidP="000143BC">
      <w:pPr>
        <w:pStyle w:val="Heading2"/>
      </w:pPr>
      <w:bookmarkStart w:id="19" w:name="_Toc420680753"/>
      <w:bookmarkStart w:id="20" w:name="_Toc420879245"/>
      <w:bookmarkStart w:id="21" w:name="_Toc420959471"/>
      <w:bookmarkStart w:id="22" w:name="_Toc421034126"/>
      <w:bookmarkStart w:id="23" w:name="_Toc421042273"/>
      <w:bookmarkStart w:id="24" w:name="_Toc421043473"/>
      <w:bookmarkStart w:id="25" w:name="_Toc421048456"/>
      <w:bookmarkStart w:id="26" w:name="_Toc421054572"/>
      <w:bookmarkStart w:id="27" w:name="_Toc421086270"/>
      <w:bookmarkStart w:id="28" w:name="_Toc421126645"/>
      <w:bookmarkStart w:id="29" w:name="_Toc408308715"/>
      <w:bookmarkStart w:id="30" w:name="_Toc425849151"/>
      <w:bookmarkEnd w:id="19"/>
      <w:bookmarkEnd w:id="20"/>
      <w:bookmarkEnd w:id="21"/>
      <w:bookmarkEnd w:id="22"/>
      <w:bookmarkEnd w:id="23"/>
      <w:bookmarkEnd w:id="24"/>
      <w:bookmarkEnd w:id="25"/>
      <w:bookmarkEnd w:id="26"/>
      <w:bookmarkEnd w:id="27"/>
      <w:bookmarkEnd w:id="28"/>
      <w:r w:rsidRPr="00816657">
        <w:lastRenderedPageBreak/>
        <w:t>The structure of this document</w:t>
      </w:r>
      <w:bookmarkEnd w:id="29"/>
      <w:bookmarkEnd w:id="30"/>
    </w:p>
    <w:p w:rsidR="004B639D" w:rsidRDefault="00C8239B" w:rsidP="007D7223">
      <w:pPr>
        <w:pStyle w:val="BodyText"/>
      </w:pPr>
      <w:r w:rsidRPr="00816657">
        <w:t>Following this introduction, the report has four sections</w:t>
      </w:r>
      <w:r w:rsidR="004B639D">
        <w:t xml:space="preserve"> as follows:</w:t>
      </w:r>
    </w:p>
    <w:p w:rsidR="004B639D" w:rsidRDefault="00C8239B" w:rsidP="007F5BD4">
      <w:pPr>
        <w:pStyle w:val="Bullet1"/>
      </w:pPr>
      <w:r w:rsidRPr="00816657">
        <w:t>Section two describes the method and result of the projections of waste arisings.</w:t>
      </w:r>
    </w:p>
    <w:p w:rsidR="004B639D" w:rsidRDefault="00C8239B" w:rsidP="007F5BD4">
      <w:pPr>
        <w:pStyle w:val="Bullet1"/>
      </w:pPr>
      <w:r w:rsidRPr="00816657">
        <w:t xml:space="preserve">Section three describes the consultation and estimation processes that led to </w:t>
      </w:r>
      <w:r w:rsidR="00992106" w:rsidRPr="00816657">
        <w:t>the estimates of current</w:t>
      </w:r>
      <w:r w:rsidR="00D2303E" w:rsidRPr="00816657">
        <w:t xml:space="preserve"> and potential</w:t>
      </w:r>
      <w:r w:rsidR="00992106" w:rsidRPr="00816657">
        <w:t xml:space="preserve"> infrastructure capacity, and displays this estimated capacity. </w:t>
      </w:r>
    </w:p>
    <w:p w:rsidR="004B639D" w:rsidRPr="00816657" w:rsidRDefault="00992106" w:rsidP="007F5BD4">
      <w:pPr>
        <w:pStyle w:val="Bullet1"/>
      </w:pPr>
      <w:r w:rsidRPr="00816657">
        <w:t>Section four</w:t>
      </w:r>
      <w:r w:rsidR="00C8239B" w:rsidRPr="00816657">
        <w:t xml:space="preserve"> </w:t>
      </w:r>
      <w:r w:rsidRPr="00816657">
        <w:t>compares the findings of the previous two sections. Section five draws conclusions from these findings.</w:t>
      </w:r>
    </w:p>
    <w:p w:rsidR="004B639D" w:rsidRDefault="004B639D">
      <w:pPr>
        <w:pStyle w:val="BodyText"/>
      </w:pPr>
    </w:p>
    <w:p w:rsidR="00B205F8" w:rsidRDefault="00C75431">
      <w:pPr>
        <w:pStyle w:val="BodyText"/>
      </w:pPr>
      <w:r w:rsidRPr="00816657">
        <w:t>Appendices are used for much of the analytical complexities and detail i</w:t>
      </w:r>
      <w:r w:rsidR="00992106" w:rsidRPr="00816657">
        <w:t>n order to</w:t>
      </w:r>
      <w:r w:rsidRPr="00816657">
        <w:t xml:space="preserve"> abbreviate</w:t>
      </w:r>
      <w:r w:rsidR="00992106" w:rsidRPr="00816657">
        <w:t xml:space="preserve"> the</w:t>
      </w:r>
      <w:r w:rsidRPr="00816657">
        <w:t xml:space="preserve"> main body of the</w:t>
      </w:r>
      <w:r w:rsidR="00992106" w:rsidRPr="00816657">
        <w:t xml:space="preserve"> report</w:t>
      </w:r>
      <w:r w:rsidR="003A634B" w:rsidRPr="00816657">
        <w:t xml:space="preserve">. </w:t>
      </w:r>
    </w:p>
    <w:p w:rsidR="00B36F53" w:rsidRPr="00816657" w:rsidRDefault="00B36F53">
      <w:pPr>
        <w:pStyle w:val="BodyText"/>
      </w:pPr>
    </w:p>
    <w:p w:rsidR="00475393" w:rsidRPr="00816657" w:rsidRDefault="00475393" w:rsidP="00475393">
      <w:pPr>
        <w:pStyle w:val="Heading2"/>
      </w:pPr>
      <w:bookmarkStart w:id="31" w:name="_Toc420680755"/>
      <w:bookmarkStart w:id="32" w:name="_Toc420879247"/>
      <w:bookmarkStart w:id="33" w:name="_Toc420959473"/>
      <w:bookmarkStart w:id="34" w:name="_Toc421034128"/>
      <w:bookmarkStart w:id="35" w:name="_Toc421042275"/>
      <w:bookmarkStart w:id="36" w:name="_Toc421043475"/>
      <w:bookmarkStart w:id="37" w:name="_Toc421048458"/>
      <w:bookmarkStart w:id="38" w:name="_Toc421054574"/>
      <w:bookmarkStart w:id="39" w:name="_Toc421086272"/>
      <w:bookmarkStart w:id="40" w:name="_Toc421126647"/>
      <w:bookmarkStart w:id="41" w:name="_Toc425849152"/>
      <w:bookmarkEnd w:id="31"/>
      <w:bookmarkEnd w:id="32"/>
      <w:bookmarkEnd w:id="33"/>
      <w:bookmarkEnd w:id="34"/>
      <w:bookmarkEnd w:id="35"/>
      <w:bookmarkEnd w:id="36"/>
      <w:bookmarkEnd w:id="37"/>
      <w:bookmarkEnd w:id="38"/>
      <w:bookmarkEnd w:id="39"/>
      <w:bookmarkEnd w:id="40"/>
      <w:r w:rsidRPr="00816657">
        <w:t>Other project outputs</w:t>
      </w:r>
      <w:bookmarkEnd w:id="41"/>
    </w:p>
    <w:p w:rsidR="00475393" w:rsidRPr="00816657" w:rsidRDefault="00475393" w:rsidP="00475393">
      <w:pPr>
        <w:pStyle w:val="BodyText"/>
      </w:pPr>
      <w:r w:rsidRPr="00816657">
        <w:t>This report was submitted to DoE together with three Microsoft Excel files:</w:t>
      </w:r>
    </w:p>
    <w:p w:rsidR="00475393" w:rsidRPr="00816657" w:rsidRDefault="00475393" w:rsidP="00475393">
      <w:pPr>
        <w:pStyle w:val="Bullet1"/>
      </w:pPr>
      <w:r w:rsidRPr="00816657">
        <w:t>a national collation of hazardous waste data constructed from the various jurisdictional data inputs, providing baseline data and showing data trends, hazardous waste sources by industry type, and waste fate</w:t>
      </w:r>
    </w:p>
    <w:p w:rsidR="00475393" w:rsidRPr="00816657" w:rsidRDefault="00475393" w:rsidP="00475393">
      <w:pPr>
        <w:pStyle w:val="Bullet1"/>
      </w:pPr>
      <w:r w:rsidRPr="00816657">
        <w:t>a model generating projections of hazardous waste by group</w:t>
      </w:r>
    </w:p>
    <w:p w:rsidR="00475393" w:rsidRPr="00816657" w:rsidRDefault="00475393" w:rsidP="00475393">
      <w:pPr>
        <w:pStyle w:val="Bullet1"/>
      </w:pPr>
      <w:proofErr w:type="gramStart"/>
      <w:r w:rsidRPr="00816657">
        <w:t>a</w:t>
      </w:r>
      <w:proofErr w:type="gramEnd"/>
      <w:r w:rsidRPr="00816657">
        <w:t xml:space="preserve"> file showing the industry consultations that occurred, the results of those consultations (i.e. an assessment of hazardous waste capacity), and containing a numerical analysis of capacity against projected future quantities.</w:t>
      </w:r>
    </w:p>
    <w:p w:rsidR="00475393" w:rsidRPr="00816657" w:rsidRDefault="00475393" w:rsidP="00475393">
      <w:pPr>
        <w:pStyle w:val="BodyText"/>
      </w:pPr>
    </w:p>
    <w:p w:rsidR="00475393" w:rsidRPr="00816657" w:rsidRDefault="00475393" w:rsidP="00475393">
      <w:pPr>
        <w:pStyle w:val="BodyText"/>
      </w:pPr>
      <w:r w:rsidRPr="00816657">
        <w:t>The key outputs of those analyses are presented as tables and figures in this report.</w:t>
      </w:r>
    </w:p>
    <w:p w:rsidR="00B36F53" w:rsidRPr="00816657" w:rsidRDefault="00071561" w:rsidP="00475393">
      <w:pPr>
        <w:pStyle w:val="Heading2"/>
      </w:pPr>
      <w:r w:rsidRPr="00816657">
        <w:br w:type="page"/>
      </w:r>
    </w:p>
    <w:p w:rsidR="005F6187" w:rsidRPr="00816657" w:rsidRDefault="005F6187" w:rsidP="00BA18A9">
      <w:pPr>
        <w:pStyle w:val="Heading1"/>
      </w:pPr>
      <w:bookmarkStart w:id="42" w:name="_Toc408308716"/>
      <w:bookmarkStart w:id="43" w:name="_Ref408400133"/>
      <w:bookmarkStart w:id="44" w:name="_Ref408502715"/>
      <w:bookmarkStart w:id="45" w:name="_Ref409184091"/>
      <w:bookmarkStart w:id="46" w:name="_Ref409269579"/>
      <w:bookmarkStart w:id="47" w:name="_Ref409382101"/>
      <w:bookmarkStart w:id="48" w:name="_Toc425849153"/>
      <w:r w:rsidRPr="00816657">
        <w:lastRenderedPageBreak/>
        <w:t>Projections of hazardous waste infrastructure needs</w:t>
      </w:r>
      <w:bookmarkEnd w:id="42"/>
      <w:bookmarkEnd w:id="43"/>
      <w:bookmarkEnd w:id="44"/>
      <w:bookmarkEnd w:id="45"/>
      <w:bookmarkEnd w:id="46"/>
      <w:bookmarkEnd w:id="47"/>
      <w:bookmarkEnd w:id="48"/>
    </w:p>
    <w:p w:rsidR="00352D3B" w:rsidRPr="00816657" w:rsidRDefault="00BA18A9" w:rsidP="00BA18A9">
      <w:pPr>
        <w:spacing w:line="240" w:lineRule="auto"/>
        <w:rPr>
          <w:color w:val="080808"/>
          <w:sz w:val="22"/>
        </w:rPr>
      </w:pPr>
      <w:r w:rsidRPr="00816657">
        <w:rPr>
          <w:color w:val="080808"/>
          <w:sz w:val="22"/>
        </w:rPr>
        <w:t xml:space="preserve">The project team developed projections of future arisings of hazardous waste which infrastructure will need to </w:t>
      </w:r>
      <w:r w:rsidR="00D00A73" w:rsidRPr="00816657">
        <w:rPr>
          <w:color w:val="080808"/>
          <w:sz w:val="22"/>
        </w:rPr>
        <w:t>service</w:t>
      </w:r>
      <w:r w:rsidRPr="00816657">
        <w:rPr>
          <w:color w:val="080808"/>
          <w:sz w:val="22"/>
        </w:rPr>
        <w:t>. This section describes the methods for generating the projections</w:t>
      </w:r>
      <w:r w:rsidR="00A566C7" w:rsidRPr="00816657">
        <w:rPr>
          <w:color w:val="080808"/>
          <w:sz w:val="22"/>
        </w:rPr>
        <w:t xml:space="preserve"> and</w:t>
      </w:r>
      <w:r w:rsidRPr="00816657">
        <w:rPr>
          <w:color w:val="080808"/>
          <w:sz w:val="22"/>
        </w:rPr>
        <w:t xml:space="preserve"> displays the results</w:t>
      </w:r>
      <w:r w:rsidR="00A566C7" w:rsidRPr="00816657">
        <w:rPr>
          <w:color w:val="080808"/>
          <w:sz w:val="22"/>
        </w:rPr>
        <w:t xml:space="preserve">. </w:t>
      </w:r>
      <w:r w:rsidR="00D00A73" w:rsidRPr="00816657">
        <w:rPr>
          <w:color w:val="080808"/>
          <w:sz w:val="22"/>
        </w:rPr>
        <w:t xml:space="preserve">It </w:t>
      </w:r>
      <w:r w:rsidR="00A566C7" w:rsidRPr="00816657">
        <w:rPr>
          <w:color w:val="080808"/>
          <w:sz w:val="22"/>
        </w:rPr>
        <w:t>also presents information on</w:t>
      </w:r>
      <w:r w:rsidR="001E2495" w:rsidRPr="00816657">
        <w:rPr>
          <w:color w:val="080808"/>
          <w:sz w:val="22"/>
        </w:rPr>
        <w:t xml:space="preserve"> the</w:t>
      </w:r>
      <w:r w:rsidR="00A566C7" w:rsidRPr="00816657">
        <w:rPr>
          <w:color w:val="080808"/>
          <w:sz w:val="22"/>
        </w:rPr>
        <w:t xml:space="preserve"> how the </w:t>
      </w:r>
      <w:r w:rsidR="002E762B">
        <w:rPr>
          <w:color w:val="080808"/>
          <w:sz w:val="22"/>
        </w:rPr>
        <w:t>waste</w:t>
      </w:r>
      <w:r w:rsidR="00A566C7" w:rsidRPr="00816657">
        <w:rPr>
          <w:color w:val="080808"/>
          <w:sz w:val="22"/>
        </w:rPr>
        <w:t xml:space="preserve"> groups are currently managed</w:t>
      </w:r>
      <w:r w:rsidR="001E2495" w:rsidRPr="00816657">
        <w:rPr>
          <w:color w:val="080808"/>
          <w:sz w:val="22"/>
        </w:rPr>
        <w:t xml:space="preserve"> – that is, their</w:t>
      </w:r>
      <w:r w:rsidR="00A566C7" w:rsidRPr="00816657">
        <w:rPr>
          <w:color w:val="080808"/>
          <w:sz w:val="22"/>
        </w:rPr>
        <w:t xml:space="preserve"> fate</w:t>
      </w:r>
      <w:r w:rsidR="00352D3B" w:rsidRPr="00816657">
        <w:rPr>
          <w:color w:val="080808"/>
          <w:sz w:val="22"/>
        </w:rPr>
        <w:t>.</w:t>
      </w:r>
    </w:p>
    <w:p w:rsidR="00352D3B" w:rsidRPr="00816657" w:rsidRDefault="00352D3B" w:rsidP="00744591">
      <w:pPr>
        <w:pStyle w:val="BodyText"/>
      </w:pPr>
    </w:p>
    <w:p w:rsidR="005B6B74" w:rsidRPr="00F577DB" w:rsidRDefault="005B6B74" w:rsidP="000143BC">
      <w:pPr>
        <w:pStyle w:val="Heading2"/>
      </w:pPr>
      <w:bookmarkStart w:id="49" w:name="_Toc425849154"/>
      <w:bookmarkStart w:id="50" w:name="_Toc406412164"/>
      <w:bookmarkStart w:id="51" w:name="_Toc408308718"/>
      <w:r w:rsidRPr="00F577DB">
        <w:t>Overview of the approach to the projections</w:t>
      </w:r>
      <w:bookmarkEnd w:id="49"/>
      <w:r w:rsidRPr="00F577DB">
        <w:t xml:space="preserve"> </w:t>
      </w:r>
      <w:bookmarkEnd w:id="50"/>
      <w:bookmarkEnd w:id="51"/>
    </w:p>
    <w:p w:rsidR="000A0C5D" w:rsidRPr="00816657" w:rsidRDefault="00415355" w:rsidP="0038084C">
      <w:pPr>
        <w:pStyle w:val="BodyText"/>
      </w:pPr>
      <w:r w:rsidRPr="00816657">
        <w:t xml:space="preserve">Wastes were </w:t>
      </w:r>
      <w:r w:rsidR="00022DC1">
        <w:t>classified</w:t>
      </w:r>
      <w:r w:rsidR="00E71B8C">
        <w:t xml:space="preserve"> </w:t>
      </w:r>
      <w:r w:rsidRPr="00816657">
        <w:t xml:space="preserve">for the purpose of the projections </w:t>
      </w:r>
      <w:r w:rsidR="00022DC1">
        <w:t>into</w:t>
      </w:r>
      <w:r w:rsidRPr="00816657">
        <w:t xml:space="preserve"> </w:t>
      </w:r>
      <w:r w:rsidR="00544D86">
        <w:t xml:space="preserve">‘waste </w:t>
      </w:r>
      <w:r w:rsidR="00E71B8C">
        <w:t>group</w:t>
      </w:r>
      <w:r w:rsidR="00022DC1">
        <w:t>s</w:t>
      </w:r>
      <w:r w:rsidR="00544D86">
        <w:t>’</w:t>
      </w:r>
      <w:r w:rsidR="00E71B8C">
        <w:t xml:space="preserve"> </w:t>
      </w:r>
      <w:r w:rsidRPr="00816657">
        <w:t xml:space="preserve">that </w:t>
      </w:r>
      <w:r w:rsidR="00874E04" w:rsidRPr="00816657">
        <w:t xml:space="preserve">closely </w:t>
      </w:r>
      <w:r w:rsidR="00022DC1">
        <w:t>correspond</w:t>
      </w:r>
      <w:r w:rsidRPr="00816657">
        <w:t xml:space="preserve"> with</w:t>
      </w:r>
      <w:r w:rsidR="00874E04" w:rsidRPr="00816657">
        <w:t xml:space="preserve"> the NEPM</w:t>
      </w:r>
      <w:r w:rsidR="000A0C5D">
        <w:t xml:space="preserve">. </w:t>
      </w:r>
      <w:r w:rsidR="0038084C">
        <w:t xml:space="preserve">A </w:t>
      </w:r>
      <w:r w:rsidR="000A0C5D" w:rsidRPr="00816657">
        <w:t xml:space="preserve">starting point (or baseline) quantity of tonnes was </w:t>
      </w:r>
      <w:r w:rsidR="0038084C">
        <w:t>established from which to project future quantities</w:t>
      </w:r>
      <w:r w:rsidR="000A0C5D" w:rsidRPr="00816657">
        <w:t xml:space="preserve">. </w:t>
      </w:r>
      <w:r w:rsidR="0038084C">
        <w:t xml:space="preserve">An understanding of how these quantities may change over </w:t>
      </w:r>
      <w:r w:rsidR="000A0C5D" w:rsidRPr="00816657">
        <w:t>the required 20-year projection period</w:t>
      </w:r>
      <w:r w:rsidR="0038084C">
        <w:t xml:space="preserve"> was then developed, following the </w:t>
      </w:r>
      <w:r w:rsidR="000A0C5D" w:rsidRPr="00816657">
        <w:t>hierarchy</w:t>
      </w:r>
      <w:r w:rsidR="0038084C">
        <w:t xml:space="preserve"> of potential approaches </w:t>
      </w:r>
      <w:r w:rsidR="000A0C5D" w:rsidRPr="00816657">
        <w:t xml:space="preserve">illustrated in </w:t>
      </w:r>
      <w:fldSimple w:instr=" REF _Ref406075576 \h  \* MERGEFORMAT ">
        <w:r w:rsidR="002F3000" w:rsidRPr="00816657">
          <w:t xml:space="preserve">Figure </w:t>
        </w:r>
        <w:r w:rsidR="002F3000">
          <w:rPr>
            <w:noProof/>
          </w:rPr>
          <w:t>1</w:t>
        </w:r>
      </w:fldSimple>
      <w:r w:rsidR="000A0C5D" w:rsidRPr="00816657">
        <w:t xml:space="preserve">. </w:t>
      </w:r>
    </w:p>
    <w:p w:rsidR="000A0C5D" w:rsidRDefault="000A0C5D" w:rsidP="0038084C">
      <w:pPr>
        <w:pStyle w:val="BodyText"/>
      </w:pPr>
    </w:p>
    <w:p w:rsidR="000A0C5D" w:rsidRPr="00816657" w:rsidRDefault="006D07F5" w:rsidP="00655F62">
      <w:pPr>
        <w:pStyle w:val="Figures"/>
      </w:pPr>
      <w:bookmarkStart w:id="52" w:name="_Ref406075576"/>
      <w:bookmarkStart w:id="53" w:name="_Toc299783014"/>
      <w:bookmarkStart w:id="54" w:name="_Toc299790542"/>
      <w:bookmarkStart w:id="55" w:name="_Toc299955572"/>
      <w:bookmarkStart w:id="56" w:name="_Toc308623163"/>
      <w:bookmarkStart w:id="57" w:name="_Toc308623315"/>
      <w:bookmarkStart w:id="58" w:name="_Toc406412185"/>
      <w:bookmarkStart w:id="59" w:name="_Ref408577826"/>
      <w:bookmarkStart w:id="60" w:name="_Toc425849219"/>
      <w:r>
        <w:rPr>
          <w:noProof/>
          <w:lang w:eastAsia="en-AU"/>
        </w:rPr>
        <w:pict>
          <v:shape id="_x0000_s1027" type="#_x0000_t202" style="position:absolute;left:0;text-align:left;margin-left:328.55pt;margin-top:15.7pt;width:153.75pt;height:2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" stroked="f">
            <v:textbox inset="1mm,0,1mm,0">
              <w:txbxContent>
                <w:p w:rsidR="002D3096" w:rsidRDefault="002D3096" w:rsidP="000A0C5D">
                  <w:pPr>
                    <w:spacing w:line="240" w:lineRule="auto"/>
                    <w:rPr>
                      <w:rFonts w:cs="Arial"/>
                      <w:i/>
                      <w:color w:val="0000FF"/>
                      <w:szCs w:val="20"/>
                    </w:rPr>
                  </w:pPr>
                  <w:r w:rsidRPr="00BA18A9">
                    <w:rPr>
                      <w:rFonts w:cs="Arial"/>
                      <w:i/>
                      <w:color w:val="0000FF"/>
                      <w:szCs w:val="20"/>
                    </w:rPr>
                    <w:t>Notes:</w:t>
                  </w:r>
                  <w:r w:rsidRPr="00BA18A9">
                    <w:rPr>
                      <w:rFonts w:cs="Arial"/>
                      <w:i/>
                      <w:color w:val="0000FF"/>
                      <w:szCs w:val="20"/>
                    </w:rPr>
                    <w:tab/>
                  </w:r>
                </w:p>
                <w:p w:rsidR="002D3096" w:rsidRPr="005B6B74" w:rsidRDefault="002D3096" w:rsidP="000A0C5D">
                  <w:pPr>
                    <w:pStyle w:val="ListParagraph"/>
                    <w:numPr>
                      <w:ilvl w:val="0"/>
                      <w:numId w:val="19"/>
                    </w:numPr>
                    <w:spacing w:line="240" w:lineRule="auto"/>
                    <w:ind w:left="284" w:hanging="284"/>
                    <w:rPr>
                      <w:rFonts w:cs="Arial"/>
                      <w:i/>
                      <w:color w:val="0000FF"/>
                      <w:szCs w:val="20"/>
                    </w:rPr>
                  </w:pPr>
                  <w:r w:rsidRPr="005B6B74">
                    <w:rPr>
                      <w:rFonts w:cs="Arial"/>
                      <w:i/>
                      <w:color w:val="0000FF"/>
                      <w:szCs w:val="20"/>
                    </w:rPr>
                    <w:t>A ‘stock and flow’ model attempts to project material flows such as waste arisings through reference to consumption data and retention lifespans of materials and products in society.</w:t>
                  </w:r>
                </w:p>
                <w:p w:rsidR="002D3096" w:rsidRPr="005B6B74" w:rsidRDefault="002D3096" w:rsidP="000A0C5D">
                  <w:pPr>
                    <w:pStyle w:val="ListParagraph"/>
                    <w:numPr>
                      <w:ilvl w:val="0"/>
                      <w:numId w:val="19"/>
                    </w:numPr>
                    <w:spacing w:line="240" w:lineRule="auto"/>
                    <w:ind w:left="284" w:hanging="284"/>
                    <w:rPr>
                      <w:rFonts w:cs="Arial"/>
                      <w:i/>
                      <w:color w:val="0000FF"/>
                      <w:szCs w:val="20"/>
                    </w:rPr>
                  </w:pPr>
                  <w:r w:rsidRPr="005B6B74">
                    <w:rPr>
                      <w:rFonts w:cs="Arial"/>
                      <w:i/>
                      <w:color w:val="0000FF"/>
                      <w:szCs w:val="20"/>
                    </w:rPr>
                    <w:t>‘Causal analysis’ involves linking the future arisings of a waste type to factors likely</w:t>
                  </w:r>
                  <w:r>
                    <w:rPr>
                      <w:rFonts w:cs="Arial"/>
                      <w:i/>
                      <w:color w:val="0000FF"/>
                      <w:szCs w:val="20"/>
                    </w:rPr>
                    <w:t xml:space="preserve"> to</w:t>
                  </w:r>
                  <w:r w:rsidRPr="005B6B74">
                    <w:rPr>
                      <w:rFonts w:cs="Arial"/>
                      <w:i/>
                      <w:color w:val="0000FF"/>
                      <w:szCs w:val="20"/>
                    </w:rPr>
                    <w:t xml:space="preserve"> influence these arisings, for which credible projections already exist.</w:t>
                  </w:r>
                </w:p>
                <w:p w:rsidR="002D3096" w:rsidRPr="005B6B74" w:rsidRDefault="002D3096" w:rsidP="000A0C5D">
                  <w:pPr>
                    <w:pStyle w:val="ListParagraph"/>
                    <w:numPr>
                      <w:ilvl w:val="0"/>
                      <w:numId w:val="19"/>
                    </w:numPr>
                    <w:spacing w:line="240" w:lineRule="auto"/>
                    <w:ind w:left="284" w:hanging="284"/>
                    <w:rPr>
                      <w:rFonts w:cs="Arial"/>
                      <w:i/>
                      <w:color w:val="0000FF"/>
                      <w:szCs w:val="20"/>
                    </w:rPr>
                  </w:pPr>
                  <w:r w:rsidRPr="005B6B74">
                    <w:rPr>
                      <w:rFonts w:cs="Arial"/>
                      <w:i/>
                      <w:color w:val="0000FF"/>
                      <w:szCs w:val="20"/>
                    </w:rPr>
                    <w:t xml:space="preserve">‘Rational expectations’ refers to the ability to explain and understand apparent trends so that any assumption of their continuation can be made with confidence. </w:t>
                  </w:r>
                </w:p>
                <w:p w:rsidR="002D3096" w:rsidRDefault="002D3096" w:rsidP="000A0C5D">
                  <w:pPr>
                    <w:spacing w:line="240" w:lineRule="auto"/>
                  </w:pPr>
                </w:p>
              </w:txbxContent>
            </v:textbox>
          </v:shape>
        </w:pict>
      </w:r>
      <w:r w:rsidR="000A0C5D" w:rsidRPr="00816657">
        <w:t xml:space="preserve">Figure </w:t>
      </w:r>
      <w:fldSimple w:instr=" SEQ Figure \* ARABIC ">
        <w:r w:rsidR="002F3000">
          <w:rPr>
            <w:noProof/>
          </w:rPr>
          <w:t>1</w:t>
        </w:r>
      </w:fldSimple>
      <w:bookmarkEnd w:id="52"/>
      <w:r w:rsidR="000A0C5D" w:rsidRPr="00816657">
        <w:t xml:space="preserve">: </w:t>
      </w:r>
      <w:bookmarkEnd w:id="53"/>
      <w:bookmarkEnd w:id="54"/>
      <w:bookmarkEnd w:id="55"/>
      <w:r w:rsidR="000A0C5D" w:rsidRPr="00816657">
        <w:tab/>
      </w:r>
      <w:bookmarkEnd w:id="56"/>
      <w:bookmarkEnd w:id="57"/>
      <w:r w:rsidR="000A0C5D" w:rsidRPr="00816657">
        <w:t>Hierarchy for selecting the primary projection method for waste arising</w:t>
      </w:r>
      <w:bookmarkEnd w:id="58"/>
      <w:bookmarkEnd w:id="59"/>
      <w:bookmarkEnd w:id="60"/>
    </w:p>
    <w:p w:rsidR="000A0C5D" w:rsidRPr="00816657" w:rsidRDefault="000A0C5D" w:rsidP="000A0C5D">
      <w:pPr>
        <w:spacing w:line="240" w:lineRule="auto"/>
        <w:rPr>
          <w:color w:val="080808"/>
          <w:sz w:val="22"/>
        </w:rPr>
      </w:pPr>
      <w:r w:rsidRPr="00816657">
        <w:rPr>
          <w:noProof/>
          <w:color w:val="080808"/>
          <w:sz w:val="22"/>
          <w:lang w:eastAsia="en-AU"/>
        </w:rPr>
        <w:drawing>
          <wp:inline distT="0" distB="0" distL="0" distR="0">
            <wp:extent cx="4092426" cy="2686050"/>
            <wp:effectExtent l="0" t="0" r="381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2" cstate="print"/>
                    <a:srcRect l="5759" t="8083" r="6418" b="2508"/>
                    <a:stretch/>
                  </pic:blipFill>
                  <pic:spPr>
                    <a:xfrm>
                      <a:off x="0" y="0"/>
                      <a:ext cx="4092425" cy="2686049"/>
                    </a:xfrm>
                    <a:prstGeom prst="rect">
                      <a:avLst/>
                    </a:prstGeom>
                  </pic:spPr>
                </pic:pic>
              </a:graphicData>
            </a:graphic>
          </wp:inline>
        </w:drawing>
      </w:r>
    </w:p>
    <w:p w:rsidR="000A0C5D" w:rsidRDefault="000A0C5D" w:rsidP="00874E04">
      <w:pPr>
        <w:spacing w:line="240" w:lineRule="auto"/>
        <w:rPr>
          <w:color w:val="080808"/>
          <w:sz w:val="22"/>
        </w:rPr>
      </w:pPr>
    </w:p>
    <w:p w:rsidR="000A0C5D" w:rsidRDefault="000A0C5D" w:rsidP="000A0C5D">
      <w:pPr>
        <w:pStyle w:val="Heading2"/>
      </w:pPr>
      <w:bookmarkStart w:id="61" w:name="_Ref419200595"/>
      <w:bookmarkStart w:id="62" w:name="_Toc425849155"/>
      <w:r>
        <w:t>Waste groups</w:t>
      </w:r>
      <w:bookmarkEnd w:id="61"/>
      <w:bookmarkEnd w:id="62"/>
    </w:p>
    <w:p w:rsidR="00F409D4" w:rsidRDefault="002C5480" w:rsidP="00874E04">
      <w:pPr>
        <w:spacing w:line="240" w:lineRule="auto"/>
        <w:rPr>
          <w:color w:val="080808"/>
          <w:sz w:val="22"/>
        </w:rPr>
      </w:pPr>
      <w:r>
        <w:rPr>
          <w:color w:val="080808"/>
          <w:sz w:val="22"/>
        </w:rPr>
        <w:t>Twenty-nine</w:t>
      </w:r>
      <w:r w:rsidR="00874E04" w:rsidRPr="00816657">
        <w:rPr>
          <w:color w:val="080808"/>
          <w:sz w:val="22"/>
        </w:rPr>
        <w:t xml:space="preserve"> waste groups</w:t>
      </w:r>
      <w:r>
        <w:rPr>
          <w:color w:val="080808"/>
          <w:sz w:val="22"/>
        </w:rPr>
        <w:t xml:space="preserve"> were defined for</w:t>
      </w:r>
      <w:r w:rsidR="000A0C5D">
        <w:rPr>
          <w:color w:val="080808"/>
          <w:sz w:val="22"/>
        </w:rPr>
        <w:t xml:space="preserve"> use</w:t>
      </w:r>
      <w:r>
        <w:rPr>
          <w:color w:val="080808"/>
          <w:sz w:val="22"/>
        </w:rPr>
        <w:t xml:space="preserve"> in</w:t>
      </w:r>
      <w:r w:rsidR="000A0C5D">
        <w:rPr>
          <w:color w:val="080808"/>
          <w:sz w:val="22"/>
        </w:rPr>
        <w:t xml:space="preserve"> the projections</w:t>
      </w:r>
      <w:r>
        <w:rPr>
          <w:color w:val="080808"/>
          <w:sz w:val="22"/>
        </w:rPr>
        <w:t>. These</w:t>
      </w:r>
      <w:r w:rsidR="00874E04" w:rsidRPr="00816657">
        <w:rPr>
          <w:color w:val="080808"/>
          <w:sz w:val="22"/>
        </w:rPr>
        <w:t xml:space="preserve"> </w:t>
      </w:r>
      <w:r w:rsidR="00B50A85" w:rsidRPr="00816657">
        <w:rPr>
          <w:color w:val="080808"/>
          <w:sz w:val="22"/>
        </w:rPr>
        <w:t xml:space="preserve">followed </w:t>
      </w:r>
      <w:r w:rsidR="00874E04" w:rsidRPr="00816657">
        <w:rPr>
          <w:color w:val="080808"/>
          <w:sz w:val="22"/>
        </w:rPr>
        <w:t>the ‘NEPM 15’ list</w:t>
      </w:r>
      <w:r w:rsidR="00022DC1">
        <w:rPr>
          <w:color w:val="080808"/>
          <w:sz w:val="22"/>
        </w:rPr>
        <w:t xml:space="preserve"> (see Section </w:t>
      </w:r>
      <w:r w:rsidR="006D07F5">
        <w:rPr>
          <w:color w:val="080808"/>
          <w:sz w:val="22"/>
        </w:rPr>
        <w:fldChar w:fldCharType="begin"/>
      </w:r>
      <w:r w:rsidR="00022DC1">
        <w:rPr>
          <w:color w:val="080808"/>
          <w:sz w:val="22"/>
        </w:rPr>
        <w:instrText xml:space="preserve"> REF _Ref408404160 \r \h </w:instrText>
      </w:r>
      <w:r w:rsidR="006D07F5">
        <w:rPr>
          <w:color w:val="080808"/>
          <w:sz w:val="22"/>
        </w:rPr>
      </w:r>
      <w:r w:rsidR="006D07F5">
        <w:rPr>
          <w:color w:val="080808"/>
          <w:sz w:val="22"/>
        </w:rPr>
        <w:fldChar w:fldCharType="separate"/>
      </w:r>
      <w:r w:rsidR="002F3000">
        <w:rPr>
          <w:color w:val="080808"/>
          <w:sz w:val="22"/>
        </w:rPr>
        <w:t>1.2</w:t>
      </w:r>
      <w:r w:rsidR="006D07F5">
        <w:rPr>
          <w:color w:val="080808"/>
          <w:sz w:val="22"/>
        </w:rPr>
        <w:fldChar w:fldCharType="end"/>
      </w:r>
      <w:r w:rsidR="00022DC1">
        <w:rPr>
          <w:color w:val="080808"/>
          <w:sz w:val="22"/>
        </w:rPr>
        <w:t>)</w:t>
      </w:r>
      <w:r w:rsidR="00874E04" w:rsidRPr="00816657">
        <w:rPr>
          <w:color w:val="080808"/>
          <w:sz w:val="22"/>
        </w:rPr>
        <w:t xml:space="preserve"> but </w:t>
      </w:r>
      <w:r w:rsidR="00B50A85" w:rsidRPr="00816657">
        <w:rPr>
          <w:color w:val="080808"/>
          <w:sz w:val="22"/>
        </w:rPr>
        <w:t xml:space="preserve">with </w:t>
      </w:r>
      <w:r w:rsidR="00874E04" w:rsidRPr="00816657">
        <w:rPr>
          <w:color w:val="080808"/>
          <w:sz w:val="22"/>
        </w:rPr>
        <w:t xml:space="preserve">some categories disaggregated where a component waste is </w:t>
      </w:r>
      <w:r w:rsidR="00544D86">
        <w:rPr>
          <w:color w:val="080808"/>
          <w:sz w:val="22"/>
        </w:rPr>
        <w:t>of particular interest</w:t>
      </w:r>
      <w:r w:rsidR="00874E04" w:rsidRPr="00816657">
        <w:rPr>
          <w:color w:val="080808"/>
          <w:sz w:val="22"/>
        </w:rPr>
        <w:t>.</w:t>
      </w:r>
      <w:r w:rsidR="00F409D4">
        <w:rPr>
          <w:color w:val="080808"/>
          <w:sz w:val="22"/>
        </w:rPr>
        <w:t xml:space="preserve"> </w:t>
      </w:r>
      <w:r w:rsidR="00F409D4" w:rsidRPr="00816657">
        <w:rPr>
          <w:color w:val="080808"/>
          <w:sz w:val="22"/>
        </w:rPr>
        <w:t xml:space="preserve">In </w:t>
      </w:r>
      <w:r w:rsidR="00F409D4">
        <w:rPr>
          <w:color w:val="080808"/>
          <w:sz w:val="22"/>
        </w:rPr>
        <w:t>these</w:t>
      </w:r>
      <w:r w:rsidR="00F409D4" w:rsidRPr="00816657">
        <w:rPr>
          <w:color w:val="080808"/>
          <w:sz w:val="22"/>
        </w:rPr>
        <w:t xml:space="preserve"> cases</w:t>
      </w:r>
      <w:r w:rsidR="00F409D4">
        <w:rPr>
          <w:color w:val="080808"/>
          <w:sz w:val="22"/>
        </w:rPr>
        <w:t>,</w:t>
      </w:r>
      <w:r w:rsidR="00F409D4" w:rsidRPr="00816657">
        <w:rPr>
          <w:color w:val="080808"/>
          <w:sz w:val="22"/>
        </w:rPr>
        <w:t xml:space="preserve"> the disaggregated categories</w:t>
      </w:r>
      <w:r w:rsidR="00F409D4">
        <w:rPr>
          <w:color w:val="080808"/>
          <w:sz w:val="22"/>
        </w:rPr>
        <w:t xml:space="preserve"> mostly</w:t>
      </w:r>
      <w:r w:rsidR="00F409D4" w:rsidRPr="00816657">
        <w:rPr>
          <w:color w:val="080808"/>
          <w:sz w:val="22"/>
        </w:rPr>
        <w:t xml:space="preserve"> followed the ‘NEPM 75’ group. </w:t>
      </w:r>
      <w:r w:rsidR="00EB2966">
        <w:rPr>
          <w:color w:val="080808"/>
          <w:sz w:val="22"/>
        </w:rPr>
        <w:t>Wastes were typically of p</w:t>
      </w:r>
      <w:r w:rsidR="00CB044D">
        <w:rPr>
          <w:color w:val="080808"/>
          <w:sz w:val="22"/>
        </w:rPr>
        <w:t>articula</w:t>
      </w:r>
      <w:r w:rsidR="00544D86">
        <w:rPr>
          <w:color w:val="080808"/>
          <w:sz w:val="22"/>
        </w:rPr>
        <w:t>r interest</w:t>
      </w:r>
      <w:r w:rsidR="00534A93">
        <w:rPr>
          <w:color w:val="080808"/>
          <w:sz w:val="22"/>
        </w:rPr>
        <w:t xml:space="preserve"> </w:t>
      </w:r>
      <w:r w:rsidR="00EB2966">
        <w:rPr>
          <w:color w:val="080808"/>
          <w:sz w:val="22"/>
        </w:rPr>
        <w:t>where</w:t>
      </w:r>
      <w:r w:rsidR="00534A93">
        <w:rPr>
          <w:color w:val="080808"/>
          <w:sz w:val="22"/>
        </w:rPr>
        <w:t>:</w:t>
      </w:r>
    </w:p>
    <w:p w:rsidR="00CB044D" w:rsidRDefault="00CB044D" w:rsidP="00F409D4">
      <w:pPr>
        <w:pStyle w:val="Bullet1"/>
      </w:pPr>
      <w:r>
        <w:t>the future quantities and available infrastructure are highly uncertain (e.g. the ‘new’ Stockholm wastes PFOS, POP-BDEs, HBCD, HCB)</w:t>
      </w:r>
      <w:r w:rsidR="008102F8">
        <w:t xml:space="preserve"> – discussed in the ‘breakout box’ below</w:t>
      </w:r>
    </w:p>
    <w:p w:rsidR="00CB044D" w:rsidRDefault="00CB044D" w:rsidP="00CB044D">
      <w:pPr>
        <w:pStyle w:val="Bullet1"/>
      </w:pPr>
      <w:r>
        <w:t>there are very specific public concerns (e.g. lead and lead compounds, asbestos)</w:t>
      </w:r>
    </w:p>
    <w:p w:rsidR="00F409D4" w:rsidRDefault="00CB044D" w:rsidP="00F409D4">
      <w:pPr>
        <w:pStyle w:val="Bullet1"/>
      </w:pPr>
      <w:r>
        <w:t xml:space="preserve">the </w:t>
      </w:r>
      <w:r w:rsidR="00534A93">
        <w:t>waste</w:t>
      </w:r>
      <w:r>
        <w:t xml:space="preserve"> is</w:t>
      </w:r>
      <w:r w:rsidR="00F409D4">
        <w:t xml:space="preserve"> associated with a source industry with unusually strong growth projections, e.g. non-toxic salts are </w:t>
      </w:r>
      <w:r w:rsidR="00534A93">
        <w:t>produced in large volumes by</w:t>
      </w:r>
      <w:r w:rsidR="00F409D4">
        <w:t xml:space="preserve"> the coal seam gas industry</w:t>
      </w:r>
    </w:p>
    <w:p w:rsidR="00683071" w:rsidRDefault="00683071" w:rsidP="00683071">
      <w:pPr>
        <w:pStyle w:val="Bullet1"/>
      </w:pPr>
      <w:proofErr w:type="gramStart"/>
      <w:r>
        <w:t>the</w:t>
      </w:r>
      <w:proofErr w:type="gramEnd"/>
      <w:r>
        <w:t xml:space="preserve"> waste is produced in particularly large quantities (e.g. grease trap waste, contaminated soils). </w:t>
      </w:r>
    </w:p>
    <w:p w:rsidR="00544D86" w:rsidRDefault="00544D86" w:rsidP="00874E04">
      <w:pPr>
        <w:spacing w:line="240" w:lineRule="auto"/>
        <w:rPr>
          <w:color w:val="080808"/>
          <w:sz w:val="22"/>
        </w:rPr>
      </w:pPr>
    </w:p>
    <w:p w:rsidR="00874E04" w:rsidRDefault="00874E04" w:rsidP="005E3D0E">
      <w:pPr>
        <w:tabs>
          <w:tab w:val="left" w:pos="3466"/>
        </w:tabs>
        <w:spacing w:line="240" w:lineRule="auto"/>
        <w:rPr>
          <w:color w:val="080808"/>
          <w:sz w:val="22"/>
        </w:rPr>
      </w:pPr>
      <w:r w:rsidRPr="00816657">
        <w:rPr>
          <w:color w:val="080808"/>
          <w:sz w:val="22"/>
        </w:rPr>
        <w:t xml:space="preserve">The </w:t>
      </w:r>
      <w:r w:rsidR="002E762B">
        <w:rPr>
          <w:color w:val="080808"/>
          <w:sz w:val="22"/>
        </w:rPr>
        <w:t>waste</w:t>
      </w:r>
      <w:r w:rsidRPr="00816657">
        <w:rPr>
          <w:color w:val="080808"/>
          <w:sz w:val="22"/>
        </w:rPr>
        <w:t xml:space="preserve"> groups </w:t>
      </w:r>
      <w:r w:rsidR="00365A14">
        <w:rPr>
          <w:color w:val="080808"/>
          <w:sz w:val="22"/>
        </w:rPr>
        <w:t xml:space="preserve">used in the projections are </w:t>
      </w:r>
      <w:r w:rsidRPr="00816657">
        <w:rPr>
          <w:color w:val="080808"/>
          <w:sz w:val="22"/>
        </w:rPr>
        <w:t>and are</w:t>
      </w:r>
      <w:r w:rsidR="00365A14" w:rsidRPr="00816657">
        <w:rPr>
          <w:color w:val="080808"/>
          <w:sz w:val="22"/>
        </w:rPr>
        <w:t xml:space="preserve"> set out in </w:t>
      </w:r>
      <w:fldSimple w:instr=" REF _Ref408325490 \h  \* MERGEFORMAT ">
        <w:r w:rsidR="002F3000" w:rsidRPr="002F3000">
          <w:rPr>
            <w:color w:val="080808"/>
            <w:sz w:val="22"/>
          </w:rPr>
          <w:t>Table 1</w:t>
        </w:r>
      </w:fldSimple>
      <w:r w:rsidR="00365A14">
        <w:t xml:space="preserve">. </w:t>
      </w:r>
      <w:r w:rsidRPr="00816657">
        <w:rPr>
          <w:color w:val="080808"/>
          <w:sz w:val="22"/>
        </w:rPr>
        <w:t xml:space="preserve">Appendix </w:t>
      </w:r>
      <w:r w:rsidR="006D07F5" w:rsidRPr="00816657">
        <w:rPr>
          <w:color w:val="080808"/>
          <w:sz w:val="22"/>
        </w:rPr>
        <w:fldChar w:fldCharType="begin"/>
      </w:r>
      <w:r w:rsidRPr="00816657">
        <w:rPr>
          <w:color w:val="080808"/>
          <w:sz w:val="22"/>
        </w:rPr>
        <w:instrText xml:space="preserve"> REF _Ref408308199 \r \h </w:instrText>
      </w:r>
      <w:r w:rsidR="006D07F5" w:rsidRPr="00816657">
        <w:rPr>
          <w:color w:val="080808"/>
          <w:sz w:val="22"/>
        </w:rPr>
      </w:r>
      <w:r w:rsidR="006D07F5" w:rsidRPr="00816657">
        <w:rPr>
          <w:color w:val="080808"/>
          <w:sz w:val="22"/>
        </w:rPr>
        <w:fldChar w:fldCharType="separate"/>
      </w:r>
      <w:r w:rsidR="002F3000">
        <w:rPr>
          <w:color w:val="080808"/>
          <w:sz w:val="22"/>
        </w:rPr>
        <w:t>A.1</w:t>
      </w:r>
      <w:r w:rsidR="006D07F5" w:rsidRPr="00816657">
        <w:rPr>
          <w:color w:val="080808"/>
          <w:sz w:val="22"/>
        </w:rPr>
        <w:fldChar w:fldCharType="end"/>
      </w:r>
      <w:r w:rsidRPr="00816657">
        <w:rPr>
          <w:color w:val="080808"/>
          <w:sz w:val="22"/>
        </w:rPr>
        <w:t xml:space="preserve"> </w:t>
      </w:r>
      <w:r w:rsidR="00365A14">
        <w:rPr>
          <w:color w:val="080808"/>
          <w:sz w:val="22"/>
        </w:rPr>
        <w:t xml:space="preserve">details how each of the </w:t>
      </w:r>
      <w:r w:rsidRPr="00816657">
        <w:rPr>
          <w:color w:val="080808"/>
          <w:sz w:val="22"/>
        </w:rPr>
        <w:t>relevant NEPM 75 codes</w:t>
      </w:r>
      <w:r w:rsidR="00365A14">
        <w:rPr>
          <w:color w:val="080808"/>
          <w:sz w:val="22"/>
        </w:rPr>
        <w:t xml:space="preserve"> fall under the waste groups</w:t>
      </w:r>
      <w:r w:rsidRPr="00816657">
        <w:rPr>
          <w:color w:val="080808"/>
          <w:sz w:val="22"/>
        </w:rPr>
        <w:t xml:space="preserve">. </w:t>
      </w:r>
    </w:p>
    <w:p w:rsidR="00CA15EC" w:rsidRDefault="00CA15EC" w:rsidP="00655F62">
      <w:pPr>
        <w:pStyle w:val="Figures"/>
      </w:pPr>
    </w:p>
    <w:p w:rsidR="00C4572B" w:rsidRPr="00816657" w:rsidRDefault="00C4572B" w:rsidP="00655F62">
      <w:pPr>
        <w:pStyle w:val="Figures"/>
      </w:pPr>
      <w:bookmarkStart w:id="63" w:name="_Ref408325490"/>
      <w:bookmarkStart w:id="64" w:name="_Ref408325480"/>
      <w:bookmarkStart w:id="65" w:name="_Toc425849286"/>
      <w:r w:rsidRPr="00816657">
        <w:t xml:space="preserve">Table </w:t>
      </w:r>
      <w:fldSimple w:instr=" SEQ Table \* ARABIC ">
        <w:r w:rsidR="002F3000">
          <w:rPr>
            <w:noProof/>
          </w:rPr>
          <w:t>1</w:t>
        </w:r>
      </w:fldSimple>
      <w:bookmarkEnd w:id="63"/>
      <w:r w:rsidRPr="00816657">
        <w:t xml:space="preserve">: </w:t>
      </w:r>
      <w:r w:rsidRPr="00816657">
        <w:tab/>
        <w:t>Waste groups</w:t>
      </w:r>
      <w:bookmarkEnd w:id="64"/>
      <w:r w:rsidR="008D2D3F">
        <w:t xml:space="preserve"> and the inclusion of waste of particular interest</w:t>
      </w:r>
      <w:bookmarkEnd w:id="65"/>
    </w:p>
    <w:tbl>
      <w:tblPr>
        <w:tblW w:w="9513" w:type="dxa"/>
        <w:tblInd w:w="93" w:type="dxa"/>
        <w:tblBorders>
          <w:top w:val="single" w:sz="4" w:space="0" w:color="808080"/>
          <w:bottom w:val="single" w:sz="4" w:space="0" w:color="808080"/>
        </w:tblBorders>
        <w:shd w:val="clear" w:color="000000" w:fill="auto"/>
        <w:tblLook w:val="04A0"/>
      </w:tblPr>
      <w:tblGrid>
        <w:gridCol w:w="419"/>
        <w:gridCol w:w="3140"/>
        <w:gridCol w:w="1418"/>
        <w:gridCol w:w="4536"/>
      </w:tblGrid>
      <w:tr w:rsidR="0082013A" w:rsidRPr="00816657" w:rsidTr="007F5BD4">
        <w:trPr>
          <w:trHeight w:val="255"/>
          <w:tblHeader/>
        </w:trPr>
        <w:tc>
          <w:tcPr>
            <w:tcW w:w="419" w:type="dxa"/>
            <w:tcBorders>
              <w:top w:val="single" w:sz="4" w:space="0" w:color="808080"/>
              <w:bottom w:val="single" w:sz="4" w:space="0" w:color="808080"/>
            </w:tcBorders>
            <w:shd w:val="clear" w:color="000000" w:fill="auto"/>
            <w:vAlign w:val="bottom"/>
          </w:tcPr>
          <w:p w:rsidR="0082013A" w:rsidRPr="00816657" w:rsidRDefault="0082013A" w:rsidP="008665ED">
            <w:pPr>
              <w:spacing w:line="240" w:lineRule="auto"/>
              <w:jc w:val="right"/>
              <w:rPr>
                <w:rFonts w:cs="Times New Roman"/>
                <w:b/>
                <w:color w:val="000000"/>
                <w:szCs w:val="20"/>
                <w:lang w:eastAsia="en-AU"/>
              </w:rPr>
            </w:pPr>
          </w:p>
        </w:tc>
        <w:tc>
          <w:tcPr>
            <w:tcW w:w="3140" w:type="dxa"/>
            <w:tcBorders>
              <w:top w:val="single" w:sz="4" w:space="0" w:color="808080"/>
              <w:bottom w:val="single" w:sz="4" w:space="0" w:color="808080"/>
            </w:tcBorders>
            <w:shd w:val="clear" w:color="000000" w:fill="auto"/>
            <w:vAlign w:val="bottom"/>
          </w:tcPr>
          <w:p w:rsidR="0082013A" w:rsidRPr="00816657" w:rsidRDefault="0082013A" w:rsidP="002E762B">
            <w:pPr>
              <w:spacing w:line="240" w:lineRule="auto"/>
              <w:rPr>
                <w:rFonts w:cs="Times New Roman"/>
                <w:b/>
                <w:color w:val="000000"/>
                <w:szCs w:val="20"/>
                <w:lang w:eastAsia="en-AU"/>
              </w:rPr>
            </w:pPr>
            <w:r>
              <w:rPr>
                <w:rFonts w:cs="Times New Roman"/>
                <w:b/>
                <w:color w:val="000000"/>
                <w:szCs w:val="20"/>
                <w:lang w:eastAsia="en-AU"/>
              </w:rPr>
              <w:t>Waste</w:t>
            </w:r>
            <w:r w:rsidRPr="00816657">
              <w:rPr>
                <w:rFonts w:cs="Times New Roman"/>
                <w:b/>
                <w:color w:val="000000"/>
                <w:szCs w:val="20"/>
                <w:lang w:eastAsia="en-AU"/>
              </w:rPr>
              <w:t xml:space="preserve"> group</w:t>
            </w:r>
          </w:p>
        </w:tc>
        <w:tc>
          <w:tcPr>
            <w:tcW w:w="1418" w:type="dxa"/>
            <w:tcBorders>
              <w:top w:val="single" w:sz="4" w:space="0" w:color="808080"/>
              <w:bottom w:val="single" w:sz="4" w:space="0" w:color="808080"/>
            </w:tcBorders>
            <w:shd w:val="clear" w:color="000000" w:fill="auto"/>
            <w:vAlign w:val="bottom"/>
          </w:tcPr>
          <w:p w:rsidR="0082013A" w:rsidRPr="00816657" w:rsidRDefault="0082013A" w:rsidP="008665ED">
            <w:pPr>
              <w:spacing w:line="240" w:lineRule="auto"/>
              <w:rPr>
                <w:rFonts w:cs="Times New Roman"/>
                <w:b/>
                <w:color w:val="000000"/>
                <w:szCs w:val="20"/>
                <w:lang w:eastAsia="en-AU"/>
              </w:rPr>
            </w:pPr>
            <w:r w:rsidRPr="00816657">
              <w:rPr>
                <w:rFonts w:cs="Times New Roman"/>
                <w:b/>
                <w:color w:val="000000"/>
                <w:szCs w:val="20"/>
                <w:lang w:eastAsia="en-AU"/>
              </w:rPr>
              <w:t>Closest NEPM category</w:t>
            </w:r>
          </w:p>
        </w:tc>
        <w:tc>
          <w:tcPr>
            <w:tcW w:w="4536" w:type="dxa"/>
            <w:tcBorders>
              <w:top w:val="single" w:sz="4" w:space="0" w:color="808080"/>
              <w:bottom w:val="single" w:sz="4" w:space="0" w:color="808080"/>
            </w:tcBorders>
            <w:shd w:val="clear" w:color="000000" w:fill="auto"/>
            <w:vAlign w:val="bottom"/>
          </w:tcPr>
          <w:p w:rsidR="0082013A" w:rsidRPr="00816657" w:rsidRDefault="000C2967" w:rsidP="000C2967">
            <w:pPr>
              <w:spacing w:line="240" w:lineRule="auto"/>
              <w:rPr>
                <w:rFonts w:cs="Times New Roman"/>
                <w:b/>
                <w:color w:val="000000"/>
                <w:szCs w:val="20"/>
                <w:lang w:eastAsia="en-AU"/>
              </w:rPr>
            </w:pPr>
            <w:r>
              <w:rPr>
                <w:rFonts w:cs="Times New Roman"/>
                <w:b/>
                <w:color w:val="000000"/>
                <w:szCs w:val="20"/>
                <w:lang w:eastAsia="en-AU"/>
              </w:rPr>
              <w:t xml:space="preserve">The component of </w:t>
            </w:r>
            <w:r w:rsidR="0082013A">
              <w:rPr>
                <w:rFonts w:cs="Times New Roman"/>
                <w:b/>
                <w:color w:val="000000"/>
                <w:szCs w:val="20"/>
                <w:lang w:eastAsia="en-AU"/>
              </w:rPr>
              <w:t xml:space="preserve"> particular interest </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Plating &amp; heat treatment</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A</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Acids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B</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3</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Alkalis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C</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4</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Mercury &amp; compounds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D120</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Pr>
                <w:rFonts w:cs="Times New Roman"/>
                <w:color w:val="000000"/>
                <w:szCs w:val="20"/>
                <w:lang w:eastAsia="en-AU"/>
              </w:rPr>
              <w:t>Mercury wastes</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5</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Lead &amp; compounds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D220</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Pr>
                <w:rFonts w:cs="Times New Roman"/>
                <w:color w:val="000000"/>
                <w:szCs w:val="20"/>
                <w:lang w:eastAsia="en-AU"/>
              </w:rPr>
              <w:t>Lead wastes and</w:t>
            </w:r>
            <w:r w:rsidR="004178BE">
              <w:rPr>
                <w:rFonts w:cs="Times New Roman"/>
                <w:color w:val="000000"/>
                <w:szCs w:val="20"/>
                <w:lang w:eastAsia="en-AU"/>
              </w:rPr>
              <w:t xml:space="preserve"> waste</w:t>
            </w:r>
            <w:r>
              <w:rPr>
                <w:rFonts w:cs="Times New Roman"/>
                <w:color w:val="000000"/>
                <w:szCs w:val="20"/>
                <w:lang w:eastAsia="en-AU"/>
              </w:rPr>
              <w:t xml:space="preserve"> lead acid batteries</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6</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Non-toxic salts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D300</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Pr>
                <w:rFonts w:cs="Times New Roman"/>
                <w:color w:val="000000"/>
                <w:szCs w:val="20"/>
                <w:lang w:eastAsia="en-AU"/>
              </w:rPr>
              <w:t>Coal seam gas wastes</w:t>
            </w:r>
          </w:p>
        </w:tc>
      </w:tr>
      <w:tr w:rsidR="0082013A" w:rsidRPr="00816657" w:rsidTr="007F5BD4">
        <w:trPr>
          <w:trHeight w:val="28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7</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Other inorganic chemicals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Other D</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Pr>
                <w:rFonts w:cs="Times New Roman"/>
                <w:color w:val="000000"/>
                <w:szCs w:val="20"/>
                <w:lang w:eastAsia="en-AU"/>
              </w:rPr>
              <w:t xml:space="preserve">Spent </w:t>
            </w:r>
            <w:r w:rsidR="00061B2C">
              <w:rPr>
                <w:rFonts w:cs="Times New Roman"/>
                <w:color w:val="000000"/>
                <w:szCs w:val="20"/>
                <w:lang w:eastAsia="en-AU"/>
              </w:rPr>
              <w:t>pot</w:t>
            </w:r>
            <w:r w:rsidR="00312A30">
              <w:rPr>
                <w:rFonts w:cs="Times New Roman"/>
                <w:color w:val="000000"/>
                <w:szCs w:val="20"/>
                <w:lang w:eastAsia="en-AU"/>
              </w:rPr>
              <w:t>lining wastes from a</w:t>
            </w:r>
            <w:r>
              <w:rPr>
                <w:rFonts w:cs="Times New Roman"/>
                <w:color w:val="000000"/>
                <w:szCs w:val="20"/>
                <w:lang w:eastAsia="en-AU"/>
              </w:rPr>
              <w:t>luminium industry.</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8</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Reactive chemicals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E</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9</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Paints, resins, inks, organic sludges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F</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10</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Organic solvents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G</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11</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Pesticides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H</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12</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Oils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J</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Pr>
                <w:rFonts w:cs="Times New Roman"/>
                <w:color w:val="000000"/>
                <w:szCs w:val="20"/>
                <w:lang w:eastAsia="en-AU"/>
              </w:rPr>
              <w:t>Waste oil and oil/water mixtures</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13</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Animal effluent and residues (+ food processing waste)</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K100</w:t>
            </w:r>
          </w:p>
        </w:tc>
        <w:tc>
          <w:tcPr>
            <w:tcW w:w="4536" w:type="dxa"/>
            <w:tcBorders>
              <w:top w:val="single" w:sz="4" w:space="0" w:color="808080"/>
              <w:bottom w:val="single" w:sz="4" w:space="0" w:color="808080"/>
            </w:tcBorders>
            <w:shd w:val="clear" w:color="000000" w:fill="auto"/>
          </w:tcPr>
          <w:p w:rsidR="0082013A" w:rsidRPr="00816657" w:rsidRDefault="0060120B" w:rsidP="008665ED">
            <w:pPr>
              <w:spacing w:line="240" w:lineRule="auto"/>
              <w:rPr>
                <w:rFonts w:cs="Times New Roman"/>
                <w:color w:val="000000"/>
                <w:szCs w:val="20"/>
                <w:lang w:eastAsia="en-AU"/>
              </w:rPr>
            </w:pPr>
            <w:r>
              <w:rPr>
                <w:rFonts w:cs="Times New Roman"/>
                <w:color w:val="000000"/>
                <w:szCs w:val="20"/>
                <w:lang w:eastAsia="en-AU"/>
              </w:rPr>
              <w:t>Large tonnage low hazard organic waste</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14</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Grease trap waste</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K110</w:t>
            </w:r>
          </w:p>
        </w:tc>
        <w:tc>
          <w:tcPr>
            <w:tcW w:w="4536" w:type="dxa"/>
            <w:tcBorders>
              <w:top w:val="single" w:sz="4" w:space="0" w:color="808080"/>
              <w:bottom w:val="single" w:sz="4" w:space="0" w:color="808080"/>
            </w:tcBorders>
            <w:shd w:val="clear" w:color="000000" w:fill="auto"/>
          </w:tcPr>
          <w:p w:rsidR="0082013A" w:rsidRPr="00816657" w:rsidRDefault="0060120B">
            <w:pPr>
              <w:spacing w:line="240" w:lineRule="auto"/>
              <w:rPr>
                <w:rFonts w:cs="Times New Roman"/>
                <w:color w:val="000000"/>
                <w:szCs w:val="20"/>
                <w:lang w:eastAsia="en-AU"/>
              </w:rPr>
            </w:pPr>
            <w:r>
              <w:rPr>
                <w:rFonts w:cs="Times New Roman"/>
                <w:color w:val="000000"/>
                <w:szCs w:val="20"/>
                <w:lang w:eastAsia="en-AU"/>
              </w:rPr>
              <w:t>Large tonnage low hazard o</w:t>
            </w:r>
            <w:r w:rsidR="004178BE">
              <w:rPr>
                <w:rFonts w:cs="Times New Roman"/>
                <w:color w:val="000000"/>
                <w:szCs w:val="20"/>
                <w:lang w:eastAsia="en-AU"/>
              </w:rPr>
              <w:t>rganic waste</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15</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Tannery &amp; wool scouring wastes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K140 &amp; 190</w:t>
            </w:r>
          </w:p>
        </w:tc>
        <w:tc>
          <w:tcPr>
            <w:tcW w:w="4536" w:type="dxa"/>
            <w:tcBorders>
              <w:top w:val="single" w:sz="4" w:space="0" w:color="808080"/>
              <w:bottom w:val="single" w:sz="4" w:space="0" w:color="808080"/>
            </w:tcBorders>
            <w:shd w:val="clear" w:color="000000" w:fill="auto"/>
          </w:tcPr>
          <w:p w:rsidR="0082013A" w:rsidRPr="00816657" w:rsidRDefault="0060120B" w:rsidP="008665ED">
            <w:pPr>
              <w:spacing w:line="240" w:lineRule="auto"/>
              <w:rPr>
                <w:rFonts w:cs="Times New Roman"/>
                <w:color w:val="000000"/>
                <w:szCs w:val="20"/>
                <w:lang w:eastAsia="en-AU"/>
              </w:rPr>
            </w:pPr>
            <w:r>
              <w:rPr>
                <w:rFonts w:cs="Times New Roman"/>
                <w:color w:val="000000"/>
                <w:szCs w:val="20"/>
                <w:lang w:eastAsia="en-AU"/>
              </w:rPr>
              <w:t>Large tonnage low hazard organic waste</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16</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PFOS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M160a</w:t>
            </w:r>
          </w:p>
        </w:tc>
        <w:tc>
          <w:tcPr>
            <w:tcW w:w="4536" w:type="dxa"/>
            <w:tcBorders>
              <w:top w:val="single" w:sz="4" w:space="0" w:color="808080"/>
              <w:bottom w:val="single" w:sz="4" w:space="0" w:color="808080"/>
            </w:tcBorders>
            <w:shd w:val="clear" w:color="000000" w:fill="auto"/>
          </w:tcPr>
          <w:p w:rsidR="0082013A" w:rsidRPr="00816657" w:rsidRDefault="0082013A">
            <w:pPr>
              <w:spacing w:line="240" w:lineRule="auto"/>
              <w:rPr>
                <w:rFonts w:cs="Times New Roman"/>
                <w:color w:val="000000"/>
                <w:szCs w:val="20"/>
                <w:lang w:eastAsia="en-AU"/>
              </w:rPr>
            </w:pPr>
            <w:r w:rsidRPr="00816657">
              <w:t xml:space="preserve">Perfluorooctanesulfonic acid </w:t>
            </w:r>
            <w:r>
              <w:t>(</w:t>
            </w:r>
            <w:r w:rsidRPr="00816657">
              <w:rPr>
                <w:rFonts w:cs="Times New Roman"/>
                <w:color w:val="000000"/>
                <w:szCs w:val="20"/>
                <w:lang w:eastAsia="en-AU"/>
              </w:rPr>
              <w:t>PFOS</w:t>
            </w:r>
            <w:r>
              <w:rPr>
                <w:rFonts w:cs="Times New Roman"/>
                <w:color w:val="000000"/>
                <w:szCs w:val="20"/>
                <w:lang w:eastAsia="en-AU"/>
              </w:rPr>
              <w:t xml:space="preserve">) </w:t>
            </w:r>
            <w:r w:rsidR="004178BE">
              <w:rPr>
                <w:rFonts w:cs="Times New Roman"/>
                <w:color w:val="000000"/>
                <w:szCs w:val="20"/>
                <w:lang w:eastAsia="en-AU"/>
              </w:rPr>
              <w:t>including p</w:t>
            </w:r>
            <w:r>
              <w:rPr>
                <w:rFonts w:cs="Times New Roman"/>
                <w:color w:val="000000"/>
                <w:szCs w:val="20"/>
                <w:lang w:eastAsia="en-AU"/>
              </w:rPr>
              <w:t>otential PFOS contaminated biosolids</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17</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POP-BDEs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M160b</w:t>
            </w:r>
          </w:p>
        </w:tc>
        <w:tc>
          <w:tcPr>
            <w:tcW w:w="4536" w:type="dxa"/>
            <w:tcBorders>
              <w:top w:val="single" w:sz="4" w:space="0" w:color="808080"/>
              <w:bottom w:val="single" w:sz="4" w:space="0" w:color="808080"/>
            </w:tcBorders>
            <w:shd w:val="clear" w:color="000000" w:fill="auto"/>
          </w:tcPr>
          <w:p w:rsidR="0082013A" w:rsidRPr="00816657" w:rsidRDefault="0082013A">
            <w:pPr>
              <w:spacing w:line="240" w:lineRule="auto"/>
              <w:rPr>
                <w:rFonts w:cs="Times New Roman"/>
                <w:color w:val="000000"/>
                <w:szCs w:val="20"/>
                <w:lang w:eastAsia="en-AU"/>
              </w:rPr>
            </w:pPr>
            <w:r w:rsidRPr="0018301D">
              <w:rPr>
                <w:rFonts w:cs="Times New Roman"/>
                <w:color w:val="000000"/>
                <w:szCs w:val="20"/>
                <w:lang w:eastAsia="en-AU"/>
              </w:rPr>
              <w:t>Polybrominated diphenyl ethers (PBDEs)</w:t>
            </w:r>
            <w:r>
              <w:rPr>
                <w:rFonts w:cs="Times New Roman"/>
                <w:color w:val="000000"/>
                <w:szCs w:val="20"/>
                <w:lang w:eastAsia="en-AU"/>
              </w:rPr>
              <w:t xml:space="preserve"> inc</w:t>
            </w:r>
            <w:r w:rsidR="004178BE">
              <w:rPr>
                <w:rFonts w:cs="Times New Roman"/>
                <w:color w:val="000000"/>
                <w:szCs w:val="20"/>
                <w:lang w:eastAsia="en-AU"/>
              </w:rPr>
              <w:t xml:space="preserve">luding </w:t>
            </w:r>
            <w:r>
              <w:rPr>
                <w:rFonts w:cs="Times New Roman"/>
                <w:color w:val="000000"/>
                <w:szCs w:val="20"/>
                <w:lang w:eastAsia="en-AU"/>
              </w:rPr>
              <w:t>potential P</w:t>
            </w:r>
            <w:r w:rsidR="008D2D3F">
              <w:rPr>
                <w:rFonts w:cs="Times New Roman"/>
                <w:color w:val="000000"/>
                <w:szCs w:val="20"/>
                <w:lang w:eastAsia="en-AU"/>
              </w:rPr>
              <w:t>BDEs</w:t>
            </w:r>
            <w:r>
              <w:rPr>
                <w:rFonts w:cs="Times New Roman"/>
                <w:color w:val="000000"/>
                <w:szCs w:val="20"/>
                <w:lang w:eastAsia="en-AU"/>
              </w:rPr>
              <w:t xml:space="preserve"> contaminated biosolids</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18</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HBCD</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M160c</w:t>
            </w:r>
          </w:p>
        </w:tc>
        <w:tc>
          <w:tcPr>
            <w:tcW w:w="4536" w:type="dxa"/>
            <w:tcBorders>
              <w:top w:val="single" w:sz="4" w:space="0" w:color="808080"/>
              <w:bottom w:val="single" w:sz="4" w:space="0" w:color="808080"/>
            </w:tcBorders>
            <w:shd w:val="clear" w:color="000000" w:fill="auto"/>
          </w:tcPr>
          <w:p w:rsidR="0082013A" w:rsidRPr="00816657" w:rsidRDefault="0082013A">
            <w:pPr>
              <w:spacing w:line="240" w:lineRule="auto"/>
              <w:rPr>
                <w:rFonts w:cs="Times New Roman"/>
                <w:color w:val="000000"/>
                <w:szCs w:val="20"/>
                <w:lang w:eastAsia="en-AU"/>
              </w:rPr>
            </w:pPr>
            <w:r w:rsidRPr="00816657">
              <w:t>Hexabromocyclododecane</w:t>
            </w:r>
            <w:r w:rsidRPr="00816657">
              <w:rPr>
                <w:rFonts w:cs="Times New Roman"/>
                <w:color w:val="000000"/>
                <w:szCs w:val="20"/>
                <w:lang w:eastAsia="en-AU"/>
              </w:rPr>
              <w:t xml:space="preserve"> </w:t>
            </w:r>
            <w:r>
              <w:rPr>
                <w:rFonts w:cs="Times New Roman"/>
                <w:color w:val="000000"/>
                <w:szCs w:val="20"/>
                <w:lang w:eastAsia="en-AU"/>
              </w:rPr>
              <w:t>(</w:t>
            </w:r>
            <w:r w:rsidRPr="00816657">
              <w:rPr>
                <w:rFonts w:cs="Times New Roman"/>
                <w:color w:val="000000"/>
                <w:szCs w:val="20"/>
                <w:lang w:eastAsia="en-AU"/>
              </w:rPr>
              <w:t>HBCD</w:t>
            </w:r>
            <w:r>
              <w:rPr>
                <w:rFonts w:cs="Times New Roman"/>
                <w:color w:val="000000"/>
                <w:szCs w:val="20"/>
                <w:lang w:eastAsia="en-AU"/>
              </w:rPr>
              <w:t>) inc</w:t>
            </w:r>
            <w:r w:rsidR="004178BE">
              <w:rPr>
                <w:rFonts w:cs="Times New Roman"/>
                <w:color w:val="000000"/>
                <w:szCs w:val="20"/>
                <w:lang w:eastAsia="en-AU"/>
              </w:rPr>
              <w:t>luding</w:t>
            </w:r>
            <w:r w:rsidR="00D06841">
              <w:rPr>
                <w:rFonts w:cs="Times New Roman"/>
                <w:color w:val="000000"/>
                <w:szCs w:val="20"/>
                <w:lang w:eastAsia="en-AU"/>
              </w:rPr>
              <w:t xml:space="preserve"> </w:t>
            </w:r>
            <w:r>
              <w:rPr>
                <w:rFonts w:cs="Times New Roman"/>
                <w:color w:val="000000"/>
                <w:szCs w:val="20"/>
                <w:lang w:eastAsia="en-AU"/>
              </w:rPr>
              <w:t xml:space="preserve">potential </w:t>
            </w:r>
            <w:r w:rsidR="008D2D3F">
              <w:rPr>
                <w:rFonts w:cs="Times New Roman"/>
                <w:color w:val="000000"/>
                <w:szCs w:val="20"/>
                <w:lang w:eastAsia="en-AU"/>
              </w:rPr>
              <w:t>HBCD</w:t>
            </w:r>
            <w:r>
              <w:rPr>
                <w:rFonts w:cs="Times New Roman"/>
                <w:color w:val="000000"/>
                <w:szCs w:val="20"/>
                <w:lang w:eastAsia="en-AU"/>
              </w:rPr>
              <w:t xml:space="preserve"> contaminated biosolids</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19</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HCB</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M160d</w:t>
            </w:r>
          </w:p>
        </w:tc>
        <w:tc>
          <w:tcPr>
            <w:tcW w:w="4536" w:type="dxa"/>
            <w:tcBorders>
              <w:top w:val="single" w:sz="4" w:space="0" w:color="808080"/>
              <w:bottom w:val="single" w:sz="4" w:space="0" w:color="808080"/>
            </w:tcBorders>
            <w:shd w:val="clear" w:color="000000" w:fill="auto"/>
          </w:tcPr>
          <w:p w:rsidR="0082013A" w:rsidRPr="00816657" w:rsidRDefault="0082013A">
            <w:pPr>
              <w:spacing w:line="240" w:lineRule="auto"/>
              <w:rPr>
                <w:rFonts w:cs="Times New Roman"/>
                <w:color w:val="000000"/>
                <w:szCs w:val="20"/>
                <w:lang w:eastAsia="en-AU"/>
              </w:rPr>
            </w:pPr>
            <w:r>
              <w:rPr>
                <w:rFonts w:cs="Times New Roman"/>
                <w:color w:val="000000"/>
                <w:szCs w:val="20"/>
                <w:lang w:eastAsia="en-AU"/>
              </w:rPr>
              <w:t xml:space="preserve">Orica stockpile of </w:t>
            </w:r>
            <w:r w:rsidRPr="00EF791A">
              <w:rPr>
                <w:rFonts w:cs="Times New Roman"/>
                <w:color w:val="000000"/>
                <w:szCs w:val="20"/>
                <w:lang w:eastAsia="en-AU"/>
              </w:rPr>
              <w:t>Hexachlorobenzene</w:t>
            </w:r>
            <w:r>
              <w:rPr>
                <w:rFonts w:cs="Times New Roman"/>
                <w:color w:val="000000"/>
                <w:szCs w:val="20"/>
                <w:lang w:eastAsia="en-AU"/>
              </w:rPr>
              <w:t xml:space="preserve"> </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20</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Other organic chemicals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Other M</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21</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Contaminated soils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N120</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Pr>
                <w:rFonts w:cs="Times New Roman"/>
                <w:color w:val="000000"/>
                <w:szCs w:val="20"/>
                <w:lang w:eastAsia="en-AU"/>
              </w:rPr>
              <w:t>Contaminated soils</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22</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Contaminated biosolids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N205a</w:t>
            </w:r>
          </w:p>
        </w:tc>
        <w:tc>
          <w:tcPr>
            <w:tcW w:w="4536" w:type="dxa"/>
            <w:tcBorders>
              <w:top w:val="single" w:sz="4" w:space="0" w:color="808080"/>
              <w:bottom w:val="single" w:sz="4" w:space="0" w:color="808080"/>
            </w:tcBorders>
            <w:shd w:val="clear" w:color="000000" w:fill="auto"/>
          </w:tcPr>
          <w:p w:rsidR="0082013A" w:rsidRPr="00816657" w:rsidRDefault="0082013A">
            <w:pPr>
              <w:spacing w:line="240" w:lineRule="auto"/>
              <w:rPr>
                <w:rFonts w:cs="Times New Roman"/>
                <w:color w:val="000000"/>
                <w:szCs w:val="20"/>
                <w:lang w:eastAsia="en-AU"/>
              </w:rPr>
            </w:pPr>
            <w:r>
              <w:rPr>
                <w:rFonts w:cs="Times New Roman"/>
                <w:color w:val="000000"/>
                <w:szCs w:val="20"/>
                <w:lang w:eastAsia="en-AU"/>
              </w:rPr>
              <w:t>C</w:t>
            </w:r>
            <w:r w:rsidRPr="00816657">
              <w:rPr>
                <w:rFonts w:cs="Times New Roman"/>
                <w:color w:val="000000"/>
                <w:szCs w:val="20"/>
                <w:lang w:eastAsia="en-AU"/>
              </w:rPr>
              <w:t xml:space="preserve">ontaminated biosolids </w:t>
            </w:r>
            <w:r>
              <w:rPr>
                <w:rFonts w:cs="Times New Roman"/>
                <w:color w:val="000000"/>
                <w:szCs w:val="20"/>
                <w:lang w:eastAsia="en-AU"/>
              </w:rPr>
              <w:t xml:space="preserve">for potential inorganics contamination. POP contamination </w:t>
            </w:r>
            <w:r w:rsidR="004178BE">
              <w:rPr>
                <w:rFonts w:cs="Times New Roman"/>
                <w:color w:val="000000"/>
                <w:szCs w:val="20"/>
                <w:lang w:eastAsia="en-AU"/>
              </w:rPr>
              <w:t>see</w:t>
            </w:r>
            <w:r>
              <w:rPr>
                <w:rFonts w:cs="Times New Roman"/>
                <w:color w:val="000000"/>
                <w:szCs w:val="20"/>
                <w:lang w:eastAsia="en-AU"/>
              </w:rPr>
              <w:t xml:space="preserve"> M160a-c</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23</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Other industrial treatment residues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N205b</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24</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Asbestos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N220</w:t>
            </w:r>
          </w:p>
        </w:tc>
        <w:tc>
          <w:tcPr>
            <w:tcW w:w="4536" w:type="dxa"/>
            <w:tcBorders>
              <w:top w:val="single" w:sz="4" w:space="0" w:color="808080"/>
              <w:bottom w:val="single" w:sz="4" w:space="0" w:color="808080"/>
            </w:tcBorders>
            <w:shd w:val="clear" w:color="000000" w:fill="auto"/>
          </w:tcPr>
          <w:p w:rsidR="0082013A" w:rsidRPr="00816657" w:rsidRDefault="004178BE">
            <w:pPr>
              <w:spacing w:line="240" w:lineRule="auto"/>
              <w:rPr>
                <w:rFonts w:cs="Times New Roman"/>
                <w:color w:val="000000"/>
                <w:szCs w:val="20"/>
                <w:lang w:eastAsia="en-AU"/>
              </w:rPr>
            </w:pPr>
            <w:r>
              <w:rPr>
                <w:rFonts w:cs="Times New Roman"/>
                <w:color w:val="000000"/>
                <w:szCs w:val="20"/>
                <w:lang w:eastAsia="en-AU"/>
              </w:rPr>
              <w:t xml:space="preserve">Waste asbestos </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25</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Other soil/sludges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Other N</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26</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Clinical &amp; pharmaceutical</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R</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27</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Tyres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T140</w:t>
            </w:r>
          </w:p>
        </w:tc>
        <w:tc>
          <w:tcPr>
            <w:tcW w:w="4536" w:type="dxa"/>
            <w:tcBorders>
              <w:top w:val="single" w:sz="4" w:space="0" w:color="808080"/>
              <w:bottom w:val="single" w:sz="4" w:space="0" w:color="808080"/>
            </w:tcBorders>
            <w:shd w:val="clear" w:color="000000" w:fill="auto"/>
          </w:tcPr>
          <w:p w:rsidR="0082013A" w:rsidRPr="00816657" w:rsidRDefault="004178BE" w:rsidP="008665ED">
            <w:pPr>
              <w:spacing w:line="240" w:lineRule="auto"/>
              <w:rPr>
                <w:rFonts w:cs="Times New Roman"/>
                <w:color w:val="000000"/>
                <w:szCs w:val="20"/>
                <w:lang w:eastAsia="en-AU"/>
              </w:rPr>
            </w:pPr>
            <w:r>
              <w:rPr>
                <w:rFonts w:cs="Times New Roman"/>
                <w:color w:val="000000"/>
                <w:szCs w:val="20"/>
                <w:lang w:eastAsia="en-AU"/>
              </w:rPr>
              <w:t>Tyres</w:t>
            </w: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28</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Other miscellaneous</w:t>
            </w:r>
          </w:p>
        </w:tc>
        <w:tc>
          <w:tcPr>
            <w:tcW w:w="1418" w:type="dxa"/>
            <w:tcBorders>
              <w:top w:val="single" w:sz="4" w:space="0" w:color="808080"/>
              <w:bottom w:val="single" w:sz="4" w:space="0" w:color="808080"/>
            </w:tcBorders>
            <w:shd w:val="clear" w:color="000000" w:fill="auto"/>
            <w:noWrap/>
            <w:hideMark/>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Other T</w:t>
            </w:r>
          </w:p>
        </w:tc>
        <w:tc>
          <w:tcPr>
            <w:tcW w:w="4536"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p>
        </w:tc>
      </w:tr>
      <w:tr w:rsidR="0082013A" w:rsidRPr="00816657" w:rsidTr="007F5BD4">
        <w:trPr>
          <w:trHeight w:val="255"/>
        </w:trPr>
        <w:tc>
          <w:tcPr>
            <w:tcW w:w="419"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29</w:t>
            </w:r>
          </w:p>
        </w:tc>
        <w:tc>
          <w:tcPr>
            <w:tcW w:w="3140" w:type="dxa"/>
            <w:tcBorders>
              <w:top w:val="single" w:sz="4" w:space="0" w:color="808080"/>
              <w:bottom w:val="single" w:sz="4" w:space="0" w:color="808080"/>
            </w:tcBorders>
            <w:shd w:val="clear" w:color="000000" w:fill="auto"/>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Lithium-ion batteries</w:t>
            </w:r>
          </w:p>
        </w:tc>
        <w:tc>
          <w:tcPr>
            <w:tcW w:w="1418" w:type="dxa"/>
            <w:tcBorders>
              <w:top w:val="single" w:sz="4" w:space="0" w:color="808080"/>
              <w:bottom w:val="single" w:sz="4" w:space="0" w:color="808080"/>
            </w:tcBorders>
            <w:shd w:val="clear" w:color="000000" w:fill="auto"/>
            <w:noWrap/>
          </w:tcPr>
          <w:p w:rsidR="0082013A" w:rsidRPr="00816657" w:rsidRDefault="0082013A" w:rsidP="008665ED">
            <w:pPr>
              <w:spacing w:line="240" w:lineRule="auto"/>
              <w:rPr>
                <w:rFonts w:cs="Times New Roman"/>
                <w:color w:val="000000"/>
                <w:szCs w:val="20"/>
                <w:lang w:eastAsia="en-AU"/>
              </w:rPr>
            </w:pPr>
            <w:r w:rsidRPr="00816657">
              <w:rPr>
                <w:rFonts w:cs="Times New Roman"/>
                <w:color w:val="000000"/>
                <w:szCs w:val="20"/>
                <w:lang w:eastAsia="en-AU"/>
              </w:rPr>
              <w:t>n/a</w:t>
            </w:r>
          </w:p>
        </w:tc>
        <w:tc>
          <w:tcPr>
            <w:tcW w:w="4536" w:type="dxa"/>
            <w:tcBorders>
              <w:top w:val="single" w:sz="4" w:space="0" w:color="808080"/>
              <w:bottom w:val="single" w:sz="4" w:space="0" w:color="808080"/>
            </w:tcBorders>
            <w:shd w:val="clear" w:color="000000" w:fill="auto"/>
          </w:tcPr>
          <w:p w:rsidR="0082013A" w:rsidRPr="00816657" w:rsidRDefault="004178BE" w:rsidP="008665ED">
            <w:pPr>
              <w:spacing w:line="240" w:lineRule="auto"/>
              <w:rPr>
                <w:rFonts w:cs="Times New Roman"/>
                <w:color w:val="000000"/>
                <w:szCs w:val="20"/>
                <w:lang w:eastAsia="en-AU"/>
              </w:rPr>
            </w:pPr>
            <w:r>
              <w:rPr>
                <w:rFonts w:cs="Times New Roman"/>
                <w:color w:val="000000"/>
                <w:szCs w:val="20"/>
                <w:lang w:eastAsia="en-AU"/>
              </w:rPr>
              <w:t xml:space="preserve">Waste </w:t>
            </w:r>
            <w:r w:rsidR="00A6715A">
              <w:rPr>
                <w:rFonts w:cs="Times New Roman"/>
                <w:color w:val="000000"/>
                <w:szCs w:val="20"/>
                <w:lang w:eastAsia="en-AU"/>
              </w:rPr>
              <w:t>lithium-ion</w:t>
            </w:r>
            <w:r>
              <w:rPr>
                <w:rFonts w:cs="Times New Roman"/>
                <w:color w:val="000000"/>
                <w:szCs w:val="20"/>
                <w:lang w:eastAsia="en-AU"/>
              </w:rPr>
              <w:t xml:space="preserve"> batteries</w:t>
            </w:r>
          </w:p>
        </w:tc>
      </w:tr>
    </w:tbl>
    <w:p w:rsidR="005B6B74" w:rsidRPr="00816657" w:rsidRDefault="005B6B74">
      <w:pPr>
        <w:spacing w:line="240" w:lineRule="auto"/>
        <w:rPr>
          <w:color w:val="080808"/>
          <w:sz w:val="2"/>
          <w:szCs w:val="2"/>
        </w:rPr>
      </w:pPr>
    </w:p>
    <w:p w:rsidR="004178BE" w:rsidRDefault="004178BE" w:rsidP="00365A14">
      <w:pPr>
        <w:spacing w:line="240" w:lineRule="auto"/>
        <w:rPr>
          <w:color w:val="080808"/>
          <w:sz w:val="22"/>
        </w:rPr>
      </w:pPr>
    </w:p>
    <w:p w:rsidR="00365A14" w:rsidRDefault="00365A14" w:rsidP="00365A14">
      <w:pPr>
        <w:spacing w:line="240" w:lineRule="auto"/>
        <w:rPr>
          <w:color w:val="080808"/>
          <w:sz w:val="22"/>
        </w:rPr>
      </w:pPr>
      <w:r>
        <w:rPr>
          <w:color w:val="080808"/>
          <w:sz w:val="22"/>
        </w:rPr>
        <w:t>Three</w:t>
      </w:r>
      <w:r w:rsidRPr="00816657">
        <w:rPr>
          <w:color w:val="080808"/>
          <w:sz w:val="22"/>
        </w:rPr>
        <w:t xml:space="preserve"> waste</w:t>
      </w:r>
      <w:r>
        <w:rPr>
          <w:color w:val="080808"/>
          <w:sz w:val="22"/>
        </w:rPr>
        <w:t xml:space="preserve"> groups were added that </w:t>
      </w:r>
      <w:r w:rsidRPr="00816657">
        <w:rPr>
          <w:color w:val="080808"/>
          <w:sz w:val="22"/>
        </w:rPr>
        <w:t>d</w:t>
      </w:r>
      <w:r>
        <w:rPr>
          <w:color w:val="080808"/>
          <w:sz w:val="22"/>
        </w:rPr>
        <w:t>id not have an obvious allocation under the NEPM 15 groups:</w:t>
      </w:r>
    </w:p>
    <w:p w:rsidR="00365A14" w:rsidRDefault="00365A14" w:rsidP="00365A14">
      <w:pPr>
        <w:pStyle w:val="Bullet1"/>
      </w:pPr>
      <w:r>
        <w:t xml:space="preserve">Food processing wastes were included because they are regulated as hazardous in some states. These were </w:t>
      </w:r>
      <w:r w:rsidR="00022DC1">
        <w:t>included</w:t>
      </w:r>
      <w:r>
        <w:t xml:space="preserve"> in </w:t>
      </w:r>
      <w:r w:rsidR="00022DC1" w:rsidRPr="00022DC1">
        <w:rPr>
          <w:i/>
        </w:rPr>
        <w:t xml:space="preserve">K100 </w:t>
      </w:r>
      <w:r w:rsidRPr="00022DC1">
        <w:rPr>
          <w:rFonts w:cs="Times New Roman"/>
          <w:i/>
          <w:color w:val="000000"/>
          <w:szCs w:val="20"/>
          <w:lang w:eastAsia="en-AU"/>
        </w:rPr>
        <w:t>Animal effluent and residues</w:t>
      </w:r>
      <w:r>
        <w:rPr>
          <w:rFonts w:cs="Times New Roman"/>
          <w:color w:val="000000"/>
          <w:szCs w:val="20"/>
          <w:lang w:eastAsia="en-AU"/>
        </w:rPr>
        <w:t>.</w:t>
      </w:r>
    </w:p>
    <w:p w:rsidR="00365A14" w:rsidRDefault="00365A14" w:rsidP="00365A14">
      <w:pPr>
        <w:pStyle w:val="Bullet1"/>
      </w:pPr>
      <w:r>
        <w:t xml:space="preserve">Contaminated </w:t>
      </w:r>
      <w:r w:rsidR="00457651">
        <w:t>b</w:t>
      </w:r>
      <w:r>
        <w:t xml:space="preserve">iosolids – the solid residues of sewage treatment – are not regulated as hazardous in jurisdictional tracking systems. However, it is widely accepted that </w:t>
      </w:r>
      <w:r w:rsidRPr="00022DC1">
        <w:t>some</w:t>
      </w:r>
      <w:r>
        <w:t xml:space="preserve"> biosolids are contaminated with heavy metals, particularly those generated in treatment plants servicing industrial areas. Contaminated soils</w:t>
      </w:r>
      <w:r w:rsidR="00AB5D76">
        <w:t xml:space="preserve"> or industrial treatment residues</w:t>
      </w:r>
      <w:r>
        <w:t xml:space="preserve"> are regulated as hazardous, so ‘contaminated biosolids’</w:t>
      </w:r>
      <w:r w:rsidR="00AB5D76">
        <w:t xml:space="preserve"> that are understood to have a similar contaminant profile are also </w:t>
      </w:r>
      <w:r>
        <w:t>inc</w:t>
      </w:r>
      <w:r w:rsidR="00022DC1">
        <w:t xml:space="preserve">luded as a subsection of </w:t>
      </w:r>
      <w:r w:rsidR="00022DC1" w:rsidRPr="00022DC1">
        <w:rPr>
          <w:i/>
        </w:rPr>
        <w:t>N205 I</w:t>
      </w:r>
      <w:r w:rsidRPr="00022DC1">
        <w:rPr>
          <w:i/>
        </w:rPr>
        <w:t>ndustrial treatment residues</w:t>
      </w:r>
      <w:r w:rsidR="00AB5D76">
        <w:t xml:space="preserve"> </w:t>
      </w:r>
      <w:r>
        <w:t>(N205b</w:t>
      </w:r>
      <w:r w:rsidR="00AB5D76">
        <w:t xml:space="preserve"> Contaminated Biosolids</w:t>
      </w:r>
      <w:r>
        <w:t>).</w:t>
      </w:r>
      <w:r w:rsidR="005375A5">
        <w:t xml:space="preserve"> See </w:t>
      </w:r>
      <w:r w:rsidR="00A6715A">
        <w:t>Section</w:t>
      </w:r>
      <w:r w:rsidR="005375A5">
        <w:t xml:space="preserve"> </w:t>
      </w:r>
      <w:r w:rsidR="006D07F5">
        <w:fldChar w:fldCharType="begin"/>
      </w:r>
      <w:r w:rsidR="005375A5">
        <w:instrText xml:space="preserve"> REF _Ref419370324 \r \h </w:instrText>
      </w:r>
      <w:r w:rsidR="006D07F5">
        <w:fldChar w:fldCharType="separate"/>
      </w:r>
      <w:r w:rsidR="002F3000">
        <w:t>2.6</w:t>
      </w:r>
      <w:r w:rsidR="006D07F5">
        <w:fldChar w:fldCharType="end"/>
      </w:r>
      <w:r w:rsidR="005375A5">
        <w:t xml:space="preserve"> for further discussion regarding the formation of this waste group.</w:t>
      </w:r>
    </w:p>
    <w:p w:rsidR="00FE619C" w:rsidRDefault="00A6715A" w:rsidP="007F5BD4">
      <w:pPr>
        <w:pStyle w:val="Bullet1"/>
      </w:pPr>
      <w:r>
        <w:t>Lithium</w:t>
      </w:r>
      <w:r w:rsidR="00365A14">
        <w:t xml:space="preserve">-ion batteries are currently </w:t>
      </w:r>
      <w:r w:rsidR="00457651" w:rsidRPr="00457651">
        <w:t>not regulated as hazardo</w:t>
      </w:r>
      <w:r w:rsidR="00457651">
        <w:t>us waste. T</w:t>
      </w:r>
      <w:r w:rsidR="00457651" w:rsidRPr="00457651">
        <w:t>hey are assessed in this report because of their potential to have a significant impact on hazardous waste infrastructure. Lithium-ion battery use has been increasing strongly</w:t>
      </w:r>
      <w:r w:rsidR="00D34118">
        <w:t>. I</w:t>
      </w:r>
      <w:r w:rsidR="00457651" w:rsidRPr="00457651">
        <w:t>f not appropriately managed</w:t>
      </w:r>
      <w:r>
        <w:t xml:space="preserve">, </w:t>
      </w:r>
      <w:r w:rsidR="00D34118">
        <w:t xml:space="preserve">this waste </w:t>
      </w:r>
      <w:r>
        <w:t>represent</w:t>
      </w:r>
      <w:r w:rsidR="00D34118">
        <w:t>s</w:t>
      </w:r>
      <w:r w:rsidR="00457651" w:rsidRPr="00457651">
        <w:t xml:space="preserve"> a safety hazard due to risks of causing explosions and or fire (ABRI 2014).</w:t>
      </w:r>
      <w:r w:rsidR="00457651">
        <w:t xml:space="preserve"> </w:t>
      </w:r>
    </w:p>
    <w:p w:rsidR="0035351C" w:rsidRDefault="0035351C" w:rsidP="00022DC1">
      <w:pPr>
        <w:pStyle w:val="BodyText"/>
      </w:pPr>
    </w:p>
    <w:p w:rsidR="003B665D" w:rsidRPr="00752BEA" w:rsidRDefault="003B665D" w:rsidP="009123D4">
      <w:pPr>
        <w:pStyle w:val="Heading3"/>
        <w:pBdr>
          <w:top w:val="single" w:sz="4" w:space="1" w:color="808080"/>
          <w:left w:val="single" w:sz="4" w:space="4" w:color="808080"/>
          <w:bottom w:val="single" w:sz="4" w:space="1" w:color="808080"/>
          <w:right w:val="single" w:sz="4" w:space="4" w:color="808080"/>
        </w:pBdr>
        <w:shd w:val="clear" w:color="auto" w:fill="F2F2F2" w:themeFill="background1" w:themeFillShade="F2"/>
      </w:pPr>
      <w:r w:rsidRPr="00752BEA">
        <w:t>Persistent Organic Pollutants (POPs) waste</w:t>
      </w:r>
      <w:r w:rsidR="00B50EEB">
        <w:t xml:space="preserve"> groups</w:t>
      </w:r>
      <w:r>
        <w:t xml:space="preserve"> M160 a – d</w:t>
      </w:r>
    </w:p>
    <w:p w:rsidR="00865D1D" w:rsidRPr="009123D4" w:rsidRDefault="00865D1D"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rPr>
          <w:sz w:val="20"/>
          <w:szCs w:val="20"/>
        </w:rPr>
      </w:pPr>
      <w:r w:rsidRPr="009123D4">
        <w:rPr>
          <w:sz w:val="20"/>
          <w:szCs w:val="20"/>
        </w:rPr>
        <w:lastRenderedPageBreak/>
        <w:t>This ‘breakout box’ detail</w:t>
      </w:r>
      <w:r w:rsidR="009123D4" w:rsidRPr="009123D4">
        <w:rPr>
          <w:sz w:val="20"/>
          <w:szCs w:val="20"/>
        </w:rPr>
        <w:t>s</w:t>
      </w:r>
      <w:r w:rsidRPr="009123D4">
        <w:rPr>
          <w:sz w:val="20"/>
          <w:szCs w:val="20"/>
        </w:rPr>
        <w:t xml:space="preserve"> </w:t>
      </w:r>
      <w:r w:rsidR="009123D4" w:rsidRPr="009123D4">
        <w:rPr>
          <w:sz w:val="20"/>
          <w:szCs w:val="20"/>
        </w:rPr>
        <w:t>why the waste groups, M160a -</w:t>
      </w:r>
      <w:r w:rsidRPr="009123D4">
        <w:rPr>
          <w:sz w:val="20"/>
          <w:szCs w:val="20"/>
        </w:rPr>
        <w:t xml:space="preserve"> d</w:t>
      </w:r>
      <w:r w:rsidR="009123D4" w:rsidRPr="009123D4">
        <w:rPr>
          <w:sz w:val="20"/>
          <w:szCs w:val="20"/>
        </w:rPr>
        <w:t>,</w:t>
      </w:r>
      <w:r w:rsidRPr="009123D4">
        <w:rPr>
          <w:sz w:val="20"/>
          <w:szCs w:val="20"/>
        </w:rPr>
        <w:t xml:space="preserve"> </w:t>
      </w:r>
      <w:r w:rsidR="009123D4" w:rsidRPr="009123D4">
        <w:rPr>
          <w:sz w:val="20"/>
          <w:szCs w:val="20"/>
        </w:rPr>
        <w:t>were defined and analysed</w:t>
      </w:r>
      <w:r w:rsidRPr="009123D4">
        <w:rPr>
          <w:sz w:val="20"/>
          <w:szCs w:val="20"/>
        </w:rPr>
        <w:t>.</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rPr>
          <w:sz w:val="20"/>
          <w:szCs w:val="20"/>
        </w:rPr>
      </w:pPr>
      <w:r w:rsidRPr="009123D4">
        <w:rPr>
          <w:sz w:val="20"/>
          <w:szCs w:val="20"/>
        </w:rPr>
        <w:t>This waste group is captured in tracking systems as M160 Organo halogen compounds—other than substances referred to in this Table or Table 2, but is not mentioned elsewhere in this report because only very limited quantities are recorded in tracking systems. While there may some current issues with inaccurate coding, current quantities are inconsequential compared to those possible in future.</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rPr>
          <w:sz w:val="20"/>
          <w:szCs w:val="20"/>
        </w:rPr>
      </w:pPr>
      <w:r w:rsidRPr="009123D4">
        <w:rPr>
          <w:sz w:val="20"/>
          <w:szCs w:val="20"/>
        </w:rPr>
        <w:t xml:space="preserve">Three ‘new’ potentially hazardous waste streams may emerge over the next five years should the Australian Government determine to ratify the recent listing of a number of new chemicals onto the Stockholm Convention on Persistent Organic Pollutants (POPs). </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rPr>
          <w:sz w:val="20"/>
          <w:szCs w:val="20"/>
        </w:rPr>
      </w:pPr>
      <w:r w:rsidRPr="009123D4">
        <w:rPr>
          <w:sz w:val="20"/>
          <w:szCs w:val="20"/>
        </w:rPr>
        <w:t>POPs are hazardous and environmentally persistent substances which can be transported between countries by the earth's oceans and atmosphere. POPs accumulate in living organisms and have been traced in the fatty tissues of humans and other animals. There is general international agreement that they require global action to reduce their impact on humans and the environment. The new listings of relevance to this project are polybrominated diphenyl ethers (PBDEs, known as POP-BDEs), hexabromocyclododecane (HBCD) and perfluorooctanesulfonic acid (PFOS). Both the POP-BDEs and HBCD are brominated flame retardant chemicals, while PFOS has been used in various mist dispersal and surface coating applications, including (significantly) firefighting foams.</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rPr>
          <w:sz w:val="20"/>
          <w:szCs w:val="20"/>
        </w:rPr>
      </w:pPr>
      <w:r w:rsidRPr="009123D4">
        <w:rPr>
          <w:sz w:val="20"/>
          <w:szCs w:val="20"/>
        </w:rPr>
        <w:t xml:space="preserve">A fourth key waste belongs in this waste group, and while it is potentially ‘emerging’ in terms of tracked hazardous waste arisings and (more importantly) Australian fate infrastructure, it is actually a legacy problem waste. This is the hexachlorobenzene (HCB) waste stockpile at Orica’s Port Botany facility in Sydney. No acceptable management solution – whether destruction or more appropriate storage – </w:t>
      </w:r>
      <w:proofErr w:type="gramStart"/>
      <w:r w:rsidRPr="009123D4">
        <w:rPr>
          <w:sz w:val="20"/>
          <w:szCs w:val="20"/>
        </w:rPr>
        <w:t>has  been</w:t>
      </w:r>
      <w:proofErr w:type="gramEnd"/>
      <w:r w:rsidRPr="009123D4">
        <w:rPr>
          <w:sz w:val="20"/>
          <w:szCs w:val="20"/>
        </w:rPr>
        <w:t xml:space="preserve"> identified many decades since this material began accumulating in the 1960s.</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rPr>
          <w:sz w:val="20"/>
          <w:szCs w:val="20"/>
        </w:rPr>
      </w:pPr>
      <w:r w:rsidRPr="009123D4">
        <w:rPr>
          <w:sz w:val="20"/>
          <w:szCs w:val="20"/>
        </w:rPr>
        <w:t>The common property of this waste group is that it contains organic chemicals that contain halogen elements (usually fluorine, chlorine, bromine) as significant components in their structure. This waste type shares commonality with other waste types such as dioxins and furans (M170 and M180), PCB-like compounds (M100) and organochlorine pesticides (H100). The presence of the halogen species is usually the reason for the property of interest – and the reason for the toxicity.</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rPr>
          <w:sz w:val="20"/>
          <w:szCs w:val="20"/>
        </w:rPr>
      </w:pPr>
      <w:r w:rsidRPr="009123D4">
        <w:rPr>
          <w:sz w:val="20"/>
          <w:szCs w:val="20"/>
        </w:rPr>
        <w:t>Apart from the scientific consensus around their environmental impacts, POPs wastes are problematic for other reasons:</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ind w:left="426" w:hanging="426"/>
        <w:rPr>
          <w:sz w:val="20"/>
          <w:szCs w:val="20"/>
        </w:rPr>
      </w:pPr>
      <w:r w:rsidRPr="009123D4">
        <w:rPr>
          <w:sz w:val="20"/>
          <w:szCs w:val="20"/>
        </w:rPr>
        <w:t>•</w:t>
      </w:r>
      <w:r w:rsidRPr="009123D4">
        <w:rPr>
          <w:sz w:val="20"/>
          <w:szCs w:val="20"/>
        </w:rPr>
        <w:tab/>
        <w:t>They have been historically added at high (percentage) levels in products or ‘articles’ such as flame retardants in hard plastics and foams. At the end of their useful life, these articles are typically discarded to landfill, although there is substantial recycling of e-waste, which can contain these treated hard plastics. Such end-of-life articles are not currently treated or managed as hazardous waste, particularly since Australian ratification of the Stockholm listing of these chemicals is yet to occur.</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ind w:left="426" w:hanging="426"/>
        <w:rPr>
          <w:sz w:val="20"/>
          <w:szCs w:val="20"/>
        </w:rPr>
      </w:pPr>
      <w:r w:rsidRPr="009123D4">
        <w:rPr>
          <w:sz w:val="20"/>
          <w:szCs w:val="20"/>
        </w:rPr>
        <w:t>•</w:t>
      </w:r>
      <w:r w:rsidRPr="009123D4">
        <w:rPr>
          <w:sz w:val="20"/>
          <w:szCs w:val="20"/>
        </w:rPr>
        <w:tab/>
        <w:t xml:space="preserve">The ubiquitous nature of POPs means that they are not only present in waste articles, but can also present as waste from their broader use and dispersal, such as in landfill leachate, wastewater treatment plant discharge and, most importantly, in sewage sludge, which, after dewatering, is known as biosolids. </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ind w:left="426" w:hanging="426"/>
        <w:rPr>
          <w:sz w:val="20"/>
          <w:szCs w:val="20"/>
        </w:rPr>
      </w:pPr>
      <w:r w:rsidRPr="009123D4">
        <w:rPr>
          <w:sz w:val="20"/>
          <w:szCs w:val="20"/>
        </w:rPr>
        <w:t>•</w:t>
      </w:r>
      <w:r w:rsidRPr="009123D4">
        <w:rPr>
          <w:sz w:val="20"/>
          <w:szCs w:val="20"/>
        </w:rPr>
        <w:tab/>
        <w:t>Strong drivers exist for recycling end-of-life articles such as e-waste. However, if hazardous chemicals such as POPs are present in the recycled plastic commodity (recyclate) then the problem of exposure and dispersal is perpetuated through re-entrainment, albeit generally at lower concentrations than in the original product.</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rPr>
          <w:sz w:val="20"/>
          <w:szCs w:val="20"/>
        </w:rPr>
      </w:pPr>
      <w:r w:rsidRPr="009123D4">
        <w:rPr>
          <w:sz w:val="20"/>
          <w:szCs w:val="20"/>
        </w:rPr>
        <w:t>Projections of this waste over the next 20 years are provided in the Hazardous Waste Infrastructure Needs and Capacity Assessment report. Depending on scenario conditions, such as whether and when Australia ratify the latest Stockholm Convention listings and a raft of other uncertainties, the emergence of POPs waste could change the landscape of hazardous waste management in Australia.</w:t>
      </w:r>
    </w:p>
    <w:p w:rsidR="008102F8"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rPr>
          <w:sz w:val="20"/>
          <w:szCs w:val="20"/>
        </w:rPr>
      </w:pPr>
      <w:r w:rsidRPr="009123D4">
        <w:rPr>
          <w:sz w:val="20"/>
          <w:szCs w:val="20"/>
        </w:rPr>
        <w:t>Broadly speaking, the Stockholm Convention requires POP-containing wastes to be destroyed. From a fate perspective, ratification of the new Stockholm POPs could massively increase the demand on infrastructure capacity that already appears to be inadequate for the estimated current generation of polluted firewaters (a PFOS waste stream). It has been long understood that existing Australian infrastructure for halogenated chemical treatment is inadequate for dealing with the Orica HCB waste in technology, scale and cost.</w:t>
      </w:r>
    </w:p>
    <w:p w:rsidR="003B665D" w:rsidRPr="009123D4" w:rsidRDefault="008102F8" w:rsidP="009123D4">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rPr>
          <w:sz w:val="20"/>
          <w:szCs w:val="20"/>
        </w:rPr>
      </w:pPr>
      <w:r w:rsidRPr="009123D4">
        <w:rPr>
          <w:sz w:val="20"/>
          <w:szCs w:val="20"/>
        </w:rPr>
        <w:t>These issues indicate an emerging potential problem in relation to management of POP waste as it arises, and to the set of current infrastructure available to treat it in an environmentally sound manner.</w:t>
      </w:r>
    </w:p>
    <w:p w:rsidR="005B6B74" w:rsidRPr="00816657" w:rsidRDefault="005B6B74" w:rsidP="000143BC">
      <w:pPr>
        <w:pStyle w:val="Heading2"/>
      </w:pPr>
      <w:bookmarkStart w:id="66" w:name="_Toc420959478"/>
      <w:bookmarkStart w:id="67" w:name="_Toc421034133"/>
      <w:bookmarkStart w:id="68" w:name="_Toc421042280"/>
      <w:bookmarkStart w:id="69" w:name="_Toc421043480"/>
      <w:bookmarkStart w:id="70" w:name="_Toc421048463"/>
      <w:bookmarkStart w:id="71" w:name="_Toc421054579"/>
      <w:bookmarkStart w:id="72" w:name="_Toc421086277"/>
      <w:bookmarkStart w:id="73" w:name="_Toc421126652"/>
      <w:bookmarkStart w:id="74" w:name="_Toc406412165"/>
      <w:bookmarkStart w:id="75" w:name="_Toc408308719"/>
      <w:bookmarkStart w:id="76" w:name="_Ref408584064"/>
      <w:bookmarkStart w:id="77" w:name="_Ref409351620"/>
      <w:bookmarkStart w:id="78" w:name="_Toc425849156"/>
      <w:bookmarkEnd w:id="66"/>
      <w:bookmarkEnd w:id="67"/>
      <w:bookmarkEnd w:id="68"/>
      <w:bookmarkEnd w:id="69"/>
      <w:bookmarkEnd w:id="70"/>
      <w:bookmarkEnd w:id="71"/>
      <w:bookmarkEnd w:id="72"/>
      <w:bookmarkEnd w:id="73"/>
      <w:r w:rsidRPr="00816657">
        <w:t>Data inputs to the projections</w:t>
      </w:r>
      <w:bookmarkEnd w:id="74"/>
      <w:bookmarkEnd w:id="75"/>
      <w:bookmarkEnd w:id="76"/>
      <w:bookmarkEnd w:id="77"/>
      <w:bookmarkEnd w:id="78"/>
    </w:p>
    <w:p w:rsidR="005B6B74" w:rsidRPr="00816657" w:rsidRDefault="005B6B74" w:rsidP="005B6B74">
      <w:pPr>
        <w:spacing w:after="120" w:line="240" w:lineRule="auto"/>
        <w:outlineLvl w:val="2"/>
        <w:rPr>
          <w:rFonts w:ascii="Arial Rounded MT Bold" w:hAnsi="Arial Rounded MT Bold" w:cs="Arial"/>
          <w:color w:val="0000FF"/>
          <w:sz w:val="22"/>
        </w:rPr>
      </w:pPr>
      <w:r w:rsidRPr="00816657">
        <w:rPr>
          <w:rFonts w:ascii="Arial Rounded MT Bold" w:hAnsi="Arial Rounded MT Bold" w:cs="Arial"/>
          <w:color w:val="0000FF"/>
          <w:sz w:val="22"/>
        </w:rPr>
        <w:lastRenderedPageBreak/>
        <w:t>Overview of data sources</w:t>
      </w:r>
    </w:p>
    <w:p w:rsidR="005B6B74" w:rsidRDefault="005B6B74" w:rsidP="00885950">
      <w:pPr>
        <w:pStyle w:val="BodyText"/>
      </w:pPr>
      <w:r w:rsidRPr="00816657">
        <w:t xml:space="preserve">The data and information sources underpinning the projections are summarised in </w:t>
      </w:r>
      <w:fldSimple w:instr=" REF _Ref406062144 \h  \* MERGEFORMAT ">
        <w:r w:rsidR="002F3000" w:rsidRPr="00816657">
          <w:t xml:space="preserve">Table </w:t>
        </w:r>
        <w:r w:rsidR="002F3000">
          <w:rPr>
            <w:noProof/>
          </w:rPr>
          <w:t>2</w:t>
        </w:r>
      </w:fldSimple>
      <w:r w:rsidRPr="00816657">
        <w:t xml:space="preserve">. A list of the literature and online materials examined is included in the bibliography, and a list of persons who helped with the project through one-on-one discussions is included in the acknowledgements. The most important </w:t>
      </w:r>
      <w:r w:rsidR="00D57262" w:rsidRPr="00816657">
        <w:t xml:space="preserve">data </w:t>
      </w:r>
      <w:r w:rsidRPr="00816657">
        <w:t xml:space="preserve">source </w:t>
      </w:r>
      <w:r w:rsidR="00D57262" w:rsidRPr="00816657">
        <w:t>for this part of the project</w:t>
      </w:r>
      <w:r w:rsidRPr="00816657">
        <w:t>– the jurisdictional waste data – is displayed in bold italics.</w:t>
      </w:r>
    </w:p>
    <w:p w:rsidR="00885950" w:rsidRDefault="00885950" w:rsidP="00885950">
      <w:pPr>
        <w:pStyle w:val="BodyText"/>
      </w:pPr>
    </w:p>
    <w:p w:rsidR="00BA18A9" w:rsidRPr="00816657" w:rsidRDefault="00BA18A9" w:rsidP="00655F62">
      <w:pPr>
        <w:pStyle w:val="Figures"/>
      </w:pPr>
      <w:bookmarkStart w:id="79" w:name="_Ref406062144"/>
      <w:bookmarkStart w:id="80" w:name="_Toc406412242"/>
      <w:bookmarkStart w:id="81" w:name="_Toc425849287"/>
      <w:r w:rsidRPr="00816657">
        <w:t xml:space="preserve">Table </w:t>
      </w:r>
      <w:r w:rsidR="006D07F5" w:rsidRPr="00816657">
        <w:fldChar w:fldCharType="begin"/>
      </w:r>
      <w:r w:rsidRPr="00816657">
        <w:instrText xml:space="preserve"> SEQ Table \* ARABIC </w:instrText>
      </w:r>
      <w:r w:rsidR="006D07F5" w:rsidRPr="00816657">
        <w:fldChar w:fldCharType="separate"/>
      </w:r>
      <w:r w:rsidR="002F3000">
        <w:rPr>
          <w:noProof/>
        </w:rPr>
        <w:t>2</w:t>
      </w:r>
      <w:r w:rsidR="006D07F5" w:rsidRPr="00816657">
        <w:fldChar w:fldCharType="end"/>
      </w:r>
      <w:bookmarkEnd w:id="79"/>
      <w:r w:rsidRPr="00816657">
        <w:t xml:space="preserve">: </w:t>
      </w:r>
      <w:r w:rsidRPr="00816657">
        <w:tab/>
        <w:t>Information and data underpinning the projections, and their uses</w:t>
      </w:r>
      <w:bookmarkEnd w:id="80"/>
      <w:bookmarkEnd w:id="81"/>
    </w:p>
    <w:tbl>
      <w:tblPr>
        <w:tblStyle w:val="BETable11"/>
        <w:tblW w:w="10065" w:type="dxa"/>
        <w:tblLayout w:type="fixed"/>
        <w:tblLook w:val="04A0"/>
      </w:tblPr>
      <w:tblGrid>
        <w:gridCol w:w="3213"/>
        <w:gridCol w:w="3308"/>
        <w:gridCol w:w="3544"/>
      </w:tblGrid>
      <w:tr w:rsidR="00BA18A9" w:rsidRPr="00816657" w:rsidTr="001141E6">
        <w:trPr>
          <w:cnfStyle w:val="100000000000"/>
          <w:tblHeader/>
        </w:trPr>
        <w:tc>
          <w:tcPr>
            <w:cnfStyle w:val="001000000000"/>
            <w:tcW w:w="3213" w:type="dxa"/>
            <w:tcBorders>
              <w:right w:val="single" w:sz="4" w:space="0" w:color="7F7F7F" w:themeColor="background2"/>
            </w:tcBorders>
            <w:vAlign w:val="center"/>
          </w:tcPr>
          <w:p w:rsidR="00BA18A9" w:rsidRPr="00816657" w:rsidRDefault="00BA18A9" w:rsidP="00BA18A9">
            <w:r w:rsidRPr="00816657">
              <w:t>Information or data</w:t>
            </w:r>
          </w:p>
        </w:tc>
        <w:tc>
          <w:tcPr>
            <w:tcW w:w="3308" w:type="dxa"/>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BA18A9">
            <w:pPr>
              <w:cnfStyle w:val="100000000000"/>
            </w:pPr>
            <w:r w:rsidRPr="00816657">
              <w:t>Method for obtaining</w:t>
            </w:r>
            <w:r w:rsidR="00A82192">
              <w:t xml:space="preserve"> the info or data</w:t>
            </w:r>
          </w:p>
        </w:tc>
        <w:tc>
          <w:tcPr>
            <w:tcW w:w="3544" w:type="dxa"/>
            <w:tcBorders>
              <w:left w:val="single" w:sz="4" w:space="0" w:color="7F7F7F" w:themeColor="background2"/>
            </w:tcBorders>
            <w:vAlign w:val="center"/>
          </w:tcPr>
          <w:p w:rsidR="00BA18A9" w:rsidRPr="00816657" w:rsidRDefault="00BA18A9" w:rsidP="00BA18A9">
            <w:pPr>
              <w:cnfStyle w:val="100000000000"/>
            </w:pPr>
            <w:r w:rsidRPr="00816657">
              <w:t>Contribution to the projections</w:t>
            </w: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Projection methods used in other jurisdictions</w:t>
            </w:r>
          </w:p>
        </w:tc>
        <w:tc>
          <w:tcPr>
            <w:tcW w:w="3308" w:type="dxa"/>
            <w:vMerge w:val="restart"/>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884101">
            <w:pPr>
              <w:jc w:val="center"/>
              <w:cnfStyle w:val="000000000000"/>
            </w:pPr>
            <w:r w:rsidRPr="00816657">
              <w:t>Desktop research</w:t>
            </w:r>
          </w:p>
        </w:tc>
        <w:tc>
          <w:tcPr>
            <w:tcW w:w="3544" w:type="dxa"/>
            <w:tcBorders>
              <w:left w:val="single" w:sz="4" w:space="0" w:color="7F7F7F" w:themeColor="background2"/>
            </w:tcBorders>
            <w:vAlign w:val="center"/>
          </w:tcPr>
          <w:p w:rsidR="00BA18A9" w:rsidRPr="00816657" w:rsidRDefault="00BA18A9" w:rsidP="00BA18A9">
            <w:pPr>
              <w:cnfStyle w:val="000000000000"/>
            </w:pPr>
            <w:r w:rsidRPr="00816657">
              <w:t>Confirmation and potential revision of methods</w:t>
            </w: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Pre-existing projections (</w:t>
            </w:r>
            <w:r w:rsidRPr="00816657">
              <w:rPr>
                <w:i/>
              </w:rPr>
              <w:t>see below</w:t>
            </w:r>
            <w:r w:rsidRPr="00816657">
              <w:t>)</w:t>
            </w:r>
          </w:p>
        </w:tc>
        <w:tc>
          <w:tcPr>
            <w:tcW w:w="3308" w:type="dxa"/>
            <w:vMerge/>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884101">
            <w:pPr>
              <w:jc w:val="center"/>
              <w:cnfStyle w:val="000000000000"/>
            </w:pPr>
          </w:p>
        </w:tc>
        <w:tc>
          <w:tcPr>
            <w:tcW w:w="3544" w:type="dxa"/>
            <w:tcBorders>
              <w:left w:val="single" w:sz="4" w:space="0" w:color="7F7F7F" w:themeColor="background2"/>
            </w:tcBorders>
            <w:vAlign w:val="center"/>
          </w:tcPr>
          <w:p w:rsidR="00BA18A9" w:rsidRPr="00816657" w:rsidRDefault="00BA18A9" w:rsidP="00BA18A9">
            <w:pPr>
              <w:cnfStyle w:val="000000000000"/>
            </w:pPr>
            <w:r w:rsidRPr="00816657">
              <w:t>Considered or directly reused in building the projections</w:t>
            </w: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 xml:space="preserve">Planned or recent jurisdictional policies </w:t>
            </w:r>
          </w:p>
        </w:tc>
        <w:tc>
          <w:tcPr>
            <w:tcW w:w="3308" w:type="dxa"/>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884101">
            <w:pPr>
              <w:jc w:val="center"/>
              <w:cnfStyle w:val="000000000000"/>
            </w:pPr>
            <w:r w:rsidRPr="00816657">
              <w:t xml:space="preserve">Face-to-face or telephone consultation with policy staff at each jurisdiction – these are summarised in </w:t>
            </w:r>
            <w:r w:rsidRPr="00816657">
              <w:rPr>
                <w:b/>
              </w:rPr>
              <w:t xml:space="preserve">Appendix </w:t>
            </w:r>
            <w:fldSimple w:instr=" REF _Ref408325695 \r \h  \* MERGEFORMAT ">
              <w:r w:rsidR="002F3000">
                <w:rPr>
                  <w:b/>
                </w:rPr>
                <w:t>A.2</w:t>
              </w:r>
            </w:fldSimple>
            <w:r w:rsidRPr="00816657">
              <w:t>.</w:t>
            </w:r>
          </w:p>
        </w:tc>
        <w:tc>
          <w:tcPr>
            <w:tcW w:w="3544" w:type="dxa"/>
            <w:tcBorders>
              <w:left w:val="single" w:sz="4" w:space="0" w:color="7F7F7F" w:themeColor="background2"/>
            </w:tcBorders>
            <w:vAlign w:val="center"/>
          </w:tcPr>
          <w:p w:rsidR="00BA18A9" w:rsidRPr="00816657" w:rsidRDefault="00BA18A9" w:rsidP="00BA18A9">
            <w:pPr>
              <w:cnfStyle w:val="000000000000"/>
            </w:pPr>
            <w:r w:rsidRPr="00816657">
              <w:t>Potential impacts on future hazardous waste arisings</w:t>
            </w: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Waste industry views and information</w:t>
            </w:r>
          </w:p>
        </w:tc>
        <w:tc>
          <w:tcPr>
            <w:tcW w:w="3308" w:type="dxa"/>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884101">
            <w:pPr>
              <w:jc w:val="center"/>
              <w:cnfStyle w:val="000000000000"/>
            </w:pPr>
            <w:r w:rsidRPr="00816657">
              <w:t>Consultation undertaken primarily to understand infrastructure capacity</w:t>
            </w:r>
          </w:p>
        </w:tc>
        <w:tc>
          <w:tcPr>
            <w:tcW w:w="3544" w:type="dxa"/>
            <w:vMerge w:val="restart"/>
            <w:tcBorders>
              <w:left w:val="single" w:sz="4" w:space="0" w:color="7F7F7F" w:themeColor="background2"/>
            </w:tcBorders>
            <w:vAlign w:val="center"/>
          </w:tcPr>
          <w:p w:rsidR="00BA18A9" w:rsidRPr="00816657" w:rsidRDefault="00BA18A9" w:rsidP="00BA18A9">
            <w:pPr>
              <w:cnfStyle w:val="000000000000"/>
            </w:pPr>
            <w:r w:rsidRPr="00816657">
              <w:t>Causal factors, trends, current stores</w:t>
            </w: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Expert views</w:t>
            </w:r>
          </w:p>
        </w:tc>
        <w:tc>
          <w:tcPr>
            <w:tcW w:w="3308" w:type="dxa"/>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884101">
            <w:pPr>
              <w:jc w:val="center"/>
              <w:cnfStyle w:val="000000000000"/>
            </w:pPr>
            <w:r w:rsidRPr="00816657">
              <w:t>Ad-hoc discussions</w:t>
            </w:r>
          </w:p>
        </w:tc>
        <w:tc>
          <w:tcPr>
            <w:tcW w:w="3544" w:type="dxa"/>
            <w:vMerge/>
            <w:tcBorders>
              <w:left w:val="single" w:sz="4" w:space="0" w:color="7F7F7F" w:themeColor="background2"/>
            </w:tcBorders>
            <w:vAlign w:val="center"/>
          </w:tcPr>
          <w:p w:rsidR="00BA18A9" w:rsidRPr="00816657" w:rsidRDefault="00BA18A9" w:rsidP="00BA18A9">
            <w:pPr>
              <w:cnfStyle w:val="000000000000"/>
            </w:pP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pPr>
              <w:rPr>
                <w:b/>
                <w:i/>
              </w:rPr>
            </w:pPr>
            <w:r w:rsidRPr="00816657">
              <w:rPr>
                <w:b/>
                <w:i/>
              </w:rPr>
              <w:t xml:space="preserve">Jurisdictional waste tracking data </w:t>
            </w:r>
            <w:r w:rsidRPr="00816657">
              <w:t>(</w:t>
            </w:r>
            <w:r w:rsidRPr="00816657">
              <w:rPr>
                <w:i/>
              </w:rPr>
              <w:t>see below</w:t>
            </w:r>
            <w:r w:rsidRPr="00816657">
              <w:t>)</w:t>
            </w:r>
          </w:p>
        </w:tc>
        <w:tc>
          <w:tcPr>
            <w:tcW w:w="3308" w:type="dxa"/>
            <w:vMerge w:val="restart"/>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884101">
            <w:pPr>
              <w:jc w:val="center"/>
              <w:cnfStyle w:val="000000000000"/>
              <w:rPr>
                <w:b/>
                <w:i/>
              </w:rPr>
            </w:pPr>
            <w:r w:rsidRPr="00816657">
              <w:rPr>
                <w:b/>
                <w:i/>
              </w:rPr>
              <w:t>Provided by the jurisdictions</w:t>
            </w:r>
          </w:p>
        </w:tc>
        <w:tc>
          <w:tcPr>
            <w:tcW w:w="3544" w:type="dxa"/>
            <w:tcBorders>
              <w:left w:val="single" w:sz="4" w:space="0" w:color="7F7F7F" w:themeColor="background2"/>
            </w:tcBorders>
            <w:vAlign w:val="center"/>
          </w:tcPr>
          <w:p w:rsidR="00BA18A9" w:rsidRPr="00816657" w:rsidRDefault="00BA18A9" w:rsidP="00BA18A9">
            <w:pPr>
              <w:cnfStyle w:val="000000000000"/>
              <w:rPr>
                <w:b/>
                <w:i/>
              </w:rPr>
            </w:pPr>
            <w:r w:rsidRPr="00816657">
              <w:rPr>
                <w:b/>
                <w:i/>
              </w:rPr>
              <w:t>Establishment of baselines</w:t>
            </w:r>
          </w:p>
          <w:p w:rsidR="00BA18A9" w:rsidRPr="00816657" w:rsidRDefault="00BA18A9" w:rsidP="00BA18A9">
            <w:pPr>
              <w:cnfStyle w:val="000000000000"/>
              <w:rPr>
                <w:b/>
                <w:i/>
              </w:rPr>
            </w:pPr>
            <w:r w:rsidRPr="00816657">
              <w:rPr>
                <w:b/>
                <w:i/>
              </w:rPr>
              <w:t>Understanding of industry sources</w:t>
            </w:r>
          </w:p>
          <w:p w:rsidR="00BA18A9" w:rsidRPr="00816657" w:rsidRDefault="00BA18A9" w:rsidP="00BA18A9">
            <w:pPr>
              <w:cnfStyle w:val="000000000000"/>
              <w:rPr>
                <w:b/>
                <w:i/>
              </w:rPr>
            </w:pPr>
            <w:r w:rsidRPr="00816657">
              <w:rPr>
                <w:b/>
                <w:i/>
              </w:rPr>
              <w:t>Understanding of treatment types</w:t>
            </w:r>
            <w:r w:rsidR="00187DCA" w:rsidRPr="00816657">
              <w:rPr>
                <w:b/>
                <w:i/>
              </w:rPr>
              <w:t xml:space="preserve"> (fate)</w:t>
            </w:r>
          </w:p>
          <w:p w:rsidR="00BA18A9" w:rsidRPr="00816657" w:rsidRDefault="00BA18A9" w:rsidP="00BA18A9">
            <w:pPr>
              <w:cnfStyle w:val="000000000000"/>
              <w:rPr>
                <w:b/>
                <w:i/>
              </w:rPr>
            </w:pPr>
            <w:r w:rsidRPr="00816657">
              <w:rPr>
                <w:b/>
                <w:i/>
              </w:rPr>
              <w:t>Understanding of trends</w:t>
            </w: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Other jurisdictional waste data</w:t>
            </w:r>
          </w:p>
        </w:tc>
        <w:tc>
          <w:tcPr>
            <w:tcW w:w="3308" w:type="dxa"/>
            <w:vMerge/>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884101">
            <w:pPr>
              <w:jc w:val="center"/>
              <w:cnfStyle w:val="000000000000"/>
            </w:pPr>
          </w:p>
        </w:tc>
        <w:tc>
          <w:tcPr>
            <w:tcW w:w="3544" w:type="dxa"/>
            <w:vMerge w:val="restart"/>
            <w:tcBorders>
              <w:left w:val="single" w:sz="4" w:space="0" w:color="7F7F7F" w:themeColor="background2"/>
            </w:tcBorders>
            <w:vAlign w:val="center"/>
          </w:tcPr>
          <w:p w:rsidR="00BA18A9" w:rsidRPr="00816657" w:rsidRDefault="00BA18A9" w:rsidP="00BA18A9">
            <w:pPr>
              <w:cnfStyle w:val="000000000000"/>
            </w:pPr>
            <w:r w:rsidRPr="00816657">
              <w:t>Establishment of baselines</w:t>
            </w: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Waste arisings</w:t>
            </w:r>
          </w:p>
        </w:tc>
        <w:tc>
          <w:tcPr>
            <w:tcW w:w="3308" w:type="dxa"/>
            <w:vMerge w:val="restart"/>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884101">
            <w:pPr>
              <w:jc w:val="center"/>
              <w:cnfStyle w:val="000000000000"/>
            </w:pPr>
            <w:r w:rsidRPr="00816657">
              <w:t>Desktop research</w:t>
            </w:r>
          </w:p>
        </w:tc>
        <w:tc>
          <w:tcPr>
            <w:tcW w:w="3544" w:type="dxa"/>
            <w:vMerge/>
            <w:tcBorders>
              <w:left w:val="single" w:sz="4" w:space="0" w:color="7F7F7F" w:themeColor="background2"/>
            </w:tcBorders>
            <w:vAlign w:val="center"/>
          </w:tcPr>
          <w:p w:rsidR="00BA18A9" w:rsidRPr="00816657" w:rsidRDefault="00BA18A9" w:rsidP="00BA18A9">
            <w:pPr>
              <w:cnfStyle w:val="000000000000"/>
            </w:pP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Projected long-term growth in national population &amp; economic activity</w:t>
            </w:r>
          </w:p>
        </w:tc>
        <w:tc>
          <w:tcPr>
            <w:tcW w:w="3308" w:type="dxa"/>
            <w:vMerge/>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BA18A9">
            <w:pPr>
              <w:cnfStyle w:val="000000000000"/>
            </w:pPr>
          </w:p>
        </w:tc>
        <w:tc>
          <w:tcPr>
            <w:tcW w:w="3544" w:type="dxa"/>
            <w:vMerge w:val="restart"/>
            <w:tcBorders>
              <w:left w:val="single" w:sz="4" w:space="0" w:color="7F7F7F" w:themeColor="background2"/>
            </w:tcBorders>
            <w:vAlign w:val="center"/>
          </w:tcPr>
          <w:p w:rsidR="00BA18A9" w:rsidRPr="00816657" w:rsidRDefault="00BA18A9" w:rsidP="00BA18A9">
            <w:pPr>
              <w:cnfStyle w:val="000000000000"/>
            </w:pPr>
            <w:r w:rsidRPr="00816657">
              <w:t xml:space="preserve">Causal factors for waste arisings </w:t>
            </w: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Industry activity, trends, analyses and activity projections (</w:t>
            </w:r>
            <w:r w:rsidRPr="00816657">
              <w:rPr>
                <w:i/>
              </w:rPr>
              <w:t>see below</w:t>
            </w:r>
            <w:r w:rsidRPr="00816657">
              <w:t>)</w:t>
            </w:r>
          </w:p>
        </w:tc>
        <w:tc>
          <w:tcPr>
            <w:tcW w:w="3308" w:type="dxa"/>
            <w:vMerge/>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BA18A9">
            <w:pPr>
              <w:cnfStyle w:val="000000000000"/>
            </w:pPr>
          </w:p>
        </w:tc>
        <w:tc>
          <w:tcPr>
            <w:tcW w:w="3544" w:type="dxa"/>
            <w:vMerge/>
            <w:tcBorders>
              <w:left w:val="single" w:sz="4" w:space="0" w:color="7F7F7F" w:themeColor="background2"/>
            </w:tcBorders>
            <w:vAlign w:val="center"/>
          </w:tcPr>
          <w:p w:rsidR="00BA18A9" w:rsidRPr="00816657" w:rsidRDefault="00BA18A9" w:rsidP="00BA18A9">
            <w:pPr>
              <w:cnfStyle w:val="000000000000"/>
            </w:pP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 xml:space="preserve">Other potential factors (e.g. construction &amp; demolition activity) </w:t>
            </w:r>
          </w:p>
        </w:tc>
        <w:tc>
          <w:tcPr>
            <w:tcW w:w="3308" w:type="dxa"/>
            <w:vMerge/>
            <w:tcBorders>
              <w:left w:val="single" w:sz="4" w:space="0" w:color="7F7F7F" w:themeColor="background2"/>
              <w:bottom w:val="single" w:sz="4" w:space="0" w:color="7F7F7F" w:themeColor="background2"/>
              <w:right w:val="single" w:sz="4" w:space="0" w:color="7F7F7F" w:themeColor="background2"/>
            </w:tcBorders>
            <w:vAlign w:val="center"/>
          </w:tcPr>
          <w:p w:rsidR="00BA18A9" w:rsidRPr="00816657" w:rsidRDefault="00BA18A9" w:rsidP="00BA18A9">
            <w:pPr>
              <w:cnfStyle w:val="000000000000"/>
            </w:pPr>
          </w:p>
        </w:tc>
        <w:tc>
          <w:tcPr>
            <w:tcW w:w="3544" w:type="dxa"/>
            <w:tcBorders>
              <w:left w:val="single" w:sz="4" w:space="0" w:color="7F7F7F" w:themeColor="background2"/>
            </w:tcBorders>
            <w:vAlign w:val="center"/>
          </w:tcPr>
          <w:p w:rsidR="00BA18A9" w:rsidRPr="00816657" w:rsidRDefault="00BA18A9" w:rsidP="00BA18A9">
            <w:pPr>
              <w:cnfStyle w:val="000000000000"/>
            </w:pPr>
            <w:r w:rsidRPr="00816657">
              <w:t>Possible causal factors for waste arisings</w:t>
            </w:r>
          </w:p>
        </w:tc>
      </w:tr>
      <w:tr w:rsidR="00BA18A9" w:rsidRPr="00816657" w:rsidTr="00546D4C">
        <w:tc>
          <w:tcPr>
            <w:cnfStyle w:val="001000000000"/>
            <w:tcW w:w="3213" w:type="dxa"/>
            <w:tcBorders>
              <w:right w:val="single" w:sz="4" w:space="0" w:color="7F7F7F" w:themeColor="background2"/>
            </w:tcBorders>
            <w:vAlign w:val="center"/>
          </w:tcPr>
          <w:p w:rsidR="00BA18A9" w:rsidRPr="00816657" w:rsidRDefault="00BA18A9" w:rsidP="00BA18A9">
            <w:r w:rsidRPr="00816657">
              <w:t>Current stores of hazardous waste</w:t>
            </w:r>
          </w:p>
        </w:tc>
        <w:tc>
          <w:tcPr>
            <w:tcW w:w="3308" w:type="dxa"/>
            <w:vMerge/>
            <w:tcBorders>
              <w:left w:val="single" w:sz="4" w:space="0" w:color="7F7F7F" w:themeColor="background2"/>
              <w:bottom w:val="single" w:sz="4" w:space="0" w:color="808080" w:themeColor="background1" w:themeShade="80"/>
              <w:right w:val="single" w:sz="4" w:space="0" w:color="7F7F7F" w:themeColor="background2"/>
            </w:tcBorders>
            <w:vAlign w:val="center"/>
          </w:tcPr>
          <w:p w:rsidR="00BA18A9" w:rsidRPr="00816657" w:rsidRDefault="00BA18A9" w:rsidP="00BA18A9">
            <w:pPr>
              <w:cnfStyle w:val="000000000000"/>
            </w:pPr>
          </w:p>
        </w:tc>
        <w:tc>
          <w:tcPr>
            <w:tcW w:w="3544" w:type="dxa"/>
            <w:tcBorders>
              <w:left w:val="single" w:sz="4" w:space="0" w:color="7F7F7F" w:themeColor="background2"/>
            </w:tcBorders>
            <w:vAlign w:val="center"/>
          </w:tcPr>
          <w:p w:rsidR="00BA18A9" w:rsidRPr="00816657" w:rsidRDefault="00BA18A9" w:rsidP="00BA18A9">
            <w:pPr>
              <w:cnfStyle w:val="000000000000"/>
            </w:pPr>
            <w:r w:rsidRPr="00816657">
              <w:t>Quantities that m</w:t>
            </w:r>
            <w:r w:rsidR="00A82192">
              <w:t>a</w:t>
            </w:r>
            <w:r w:rsidRPr="00816657">
              <w:t>y need treatment</w:t>
            </w:r>
          </w:p>
        </w:tc>
      </w:tr>
    </w:tbl>
    <w:p w:rsidR="004623E7" w:rsidRPr="00816657" w:rsidRDefault="004623E7" w:rsidP="00BA18A9"/>
    <w:p w:rsidR="00BA18A9" w:rsidRPr="00816657" w:rsidRDefault="00BA18A9" w:rsidP="00BA18A9">
      <w:pPr>
        <w:spacing w:after="120" w:line="240" w:lineRule="auto"/>
        <w:outlineLvl w:val="2"/>
        <w:rPr>
          <w:rFonts w:ascii="Arial Rounded MT Bold" w:hAnsi="Arial Rounded MT Bold" w:cs="Arial"/>
          <w:color w:val="0000FF"/>
          <w:sz w:val="22"/>
        </w:rPr>
      </w:pPr>
      <w:r w:rsidRPr="00816657">
        <w:rPr>
          <w:rFonts w:ascii="Arial Rounded MT Bold" w:hAnsi="Arial Rounded MT Bold" w:cs="Arial"/>
          <w:color w:val="0000FF"/>
          <w:sz w:val="22"/>
        </w:rPr>
        <w:t>Pre-existing projections</w:t>
      </w:r>
    </w:p>
    <w:p w:rsidR="00BA18A9" w:rsidRDefault="00BA18A9" w:rsidP="00885950">
      <w:pPr>
        <w:pStyle w:val="BodyText"/>
      </w:pPr>
      <w:r w:rsidRPr="00816657">
        <w:t>Only two us</w:t>
      </w:r>
      <w:r w:rsidR="004C34D7" w:rsidRPr="00816657">
        <w:t>eful pre-existing projections were</w:t>
      </w:r>
      <w:r w:rsidRPr="00816657">
        <w:t xml:space="preserve"> identified. These are summarised in </w:t>
      </w:r>
      <w:fldSimple w:instr=" REF _Ref406181318 \h  \* MERGEFORMAT ">
        <w:r w:rsidR="002F3000" w:rsidRPr="00816657">
          <w:t xml:space="preserve">Table </w:t>
        </w:r>
        <w:r w:rsidR="002F3000">
          <w:rPr>
            <w:noProof/>
          </w:rPr>
          <w:t>3</w:t>
        </w:r>
      </w:fldSimple>
      <w:r w:rsidRPr="00816657">
        <w:t>.</w:t>
      </w:r>
    </w:p>
    <w:p w:rsidR="00885950" w:rsidRDefault="00885950" w:rsidP="00BA18A9">
      <w:pPr>
        <w:spacing w:line="240" w:lineRule="auto"/>
        <w:rPr>
          <w:color w:val="080808"/>
          <w:sz w:val="22"/>
        </w:rPr>
      </w:pPr>
    </w:p>
    <w:p w:rsidR="00BA18A9" w:rsidRPr="00816657" w:rsidRDefault="00BA18A9" w:rsidP="00655F62">
      <w:pPr>
        <w:pStyle w:val="Figures"/>
      </w:pPr>
      <w:bookmarkStart w:id="82" w:name="_Ref406181318"/>
      <w:bookmarkStart w:id="83" w:name="_Toc406412243"/>
      <w:bookmarkStart w:id="84" w:name="_Toc425849288"/>
      <w:r w:rsidRPr="00816657">
        <w:t xml:space="preserve">Table </w:t>
      </w:r>
      <w:r w:rsidR="006D07F5" w:rsidRPr="00816657">
        <w:fldChar w:fldCharType="begin"/>
      </w:r>
      <w:r w:rsidRPr="00816657">
        <w:instrText xml:space="preserve"> SEQ Table \* ARABIC </w:instrText>
      </w:r>
      <w:r w:rsidR="006D07F5" w:rsidRPr="00816657">
        <w:fldChar w:fldCharType="separate"/>
      </w:r>
      <w:r w:rsidR="002F3000">
        <w:rPr>
          <w:noProof/>
        </w:rPr>
        <w:t>3</w:t>
      </w:r>
      <w:r w:rsidR="006D07F5" w:rsidRPr="00816657">
        <w:fldChar w:fldCharType="end"/>
      </w:r>
      <w:bookmarkEnd w:id="82"/>
      <w:r w:rsidRPr="00816657">
        <w:t xml:space="preserve">: </w:t>
      </w:r>
      <w:r w:rsidRPr="00816657">
        <w:tab/>
        <w:t>Pre-existing projections used in building our projections</w:t>
      </w:r>
      <w:bookmarkEnd w:id="83"/>
      <w:bookmarkEnd w:id="84"/>
    </w:p>
    <w:tbl>
      <w:tblPr>
        <w:tblStyle w:val="BETable11"/>
        <w:tblW w:w="9639" w:type="dxa"/>
        <w:tblLayout w:type="fixed"/>
        <w:tblLook w:val="04A0"/>
      </w:tblPr>
      <w:tblGrid>
        <w:gridCol w:w="2410"/>
        <w:gridCol w:w="4111"/>
        <w:gridCol w:w="3118"/>
      </w:tblGrid>
      <w:tr w:rsidR="00BA18A9" w:rsidRPr="00816657" w:rsidTr="00BA18A9">
        <w:trPr>
          <w:cnfStyle w:val="100000000000"/>
        </w:trPr>
        <w:tc>
          <w:tcPr>
            <w:cnfStyle w:val="001000000000"/>
            <w:tcW w:w="2410" w:type="dxa"/>
          </w:tcPr>
          <w:p w:rsidR="00BA18A9" w:rsidRPr="00816657" w:rsidRDefault="00BA18A9" w:rsidP="00BA18A9">
            <w:r w:rsidRPr="00816657">
              <w:t>Information source</w:t>
            </w:r>
          </w:p>
        </w:tc>
        <w:tc>
          <w:tcPr>
            <w:tcW w:w="4111" w:type="dxa"/>
          </w:tcPr>
          <w:p w:rsidR="00BA18A9" w:rsidRPr="00816657" w:rsidRDefault="00D157B5" w:rsidP="00D157B5">
            <w:pPr>
              <w:tabs>
                <w:tab w:val="right" w:pos="6407"/>
              </w:tabs>
              <w:cnfStyle w:val="100000000000"/>
            </w:pPr>
            <w:r w:rsidRPr="00816657">
              <w:t>Relevant waste group</w:t>
            </w:r>
            <w:r w:rsidR="00BA18A9" w:rsidRPr="00816657">
              <w:tab/>
            </w:r>
          </w:p>
        </w:tc>
        <w:tc>
          <w:tcPr>
            <w:tcW w:w="3118" w:type="dxa"/>
          </w:tcPr>
          <w:p w:rsidR="00BA18A9" w:rsidRPr="00816657" w:rsidRDefault="00BA18A9" w:rsidP="00BA18A9">
            <w:pPr>
              <w:tabs>
                <w:tab w:val="right" w:pos="6407"/>
              </w:tabs>
              <w:cnfStyle w:val="100000000000"/>
            </w:pPr>
            <w:r w:rsidRPr="00816657">
              <w:t>Us</w:t>
            </w:r>
            <w:r w:rsidR="00457651">
              <w:t>e in projections?</w:t>
            </w:r>
          </w:p>
        </w:tc>
      </w:tr>
      <w:tr w:rsidR="00BA18A9" w:rsidRPr="00816657" w:rsidTr="00BA18A9">
        <w:tc>
          <w:tcPr>
            <w:cnfStyle w:val="001000000000"/>
            <w:tcW w:w="2410" w:type="dxa"/>
          </w:tcPr>
          <w:p w:rsidR="00BA18A9" w:rsidRPr="00816657" w:rsidRDefault="00BA18A9" w:rsidP="00BA18A9">
            <w:r w:rsidRPr="00816657">
              <w:t>NC &amp; SRU (2014)</w:t>
            </w:r>
          </w:p>
        </w:tc>
        <w:tc>
          <w:tcPr>
            <w:tcW w:w="4111" w:type="dxa"/>
          </w:tcPr>
          <w:p w:rsidR="00BA18A9" w:rsidRPr="00816657" w:rsidRDefault="00BA18A9" w:rsidP="00BA18A9">
            <w:pPr>
              <w:cnfStyle w:val="000000000000"/>
            </w:pPr>
            <w:r w:rsidRPr="00816657">
              <w:t>Waste paints, resins, inks and organic sludges</w:t>
            </w:r>
          </w:p>
        </w:tc>
        <w:tc>
          <w:tcPr>
            <w:tcW w:w="3118" w:type="dxa"/>
          </w:tcPr>
          <w:p w:rsidR="00BA18A9" w:rsidRPr="00816657" w:rsidRDefault="00BA18A9" w:rsidP="00BA18A9">
            <w:pPr>
              <w:cnfStyle w:val="000000000000"/>
            </w:pPr>
            <w:r w:rsidRPr="00816657">
              <w:t>High estimate</w:t>
            </w:r>
          </w:p>
        </w:tc>
      </w:tr>
      <w:tr w:rsidR="00BA18A9" w:rsidRPr="00816657" w:rsidTr="00BA18A9">
        <w:tc>
          <w:tcPr>
            <w:cnfStyle w:val="001000000000"/>
            <w:tcW w:w="2410" w:type="dxa"/>
          </w:tcPr>
          <w:p w:rsidR="00BA18A9" w:rsidRPr="00816657" w:rsidRDefault="00BA18A9" w:rsidP="00BA18A9">
            <w:r w:rsidRPr="00816657">
              <w:t>Thornton (2014)</w:t>
            </w:r>
          </w:p>
        </w:tc>
        <w:tc>
          <w:tcPr>
            <w:tcW w:w="4111" w:type="dxa"/>
          </w:tcPr>
          <w:p w:rsidR="00BA18A9" w:rsidRPr="00816657" w:rsidRDefault="00BA18A9" w:rsidP="00BA18A9">
            <w:pPr>
              <w:cnfStyle w:val="000000000000"/>
            </w:pPr>
            <w:r w:rsidRPr="00816657">
              <w:t>Clinical &amp; pharmaceutical</w:t>
            </w:r>
          </w:p>
        </w:tc>
        <w:tc>
          <w:tcPr>
            <w:tcW w:w="3118" w:type="dxa"/>
          </w:tcPr>
          <w:p w:rsidR="00BA18A9" w:rsidRPr="00816657" w:rsidRDefault="00BA18A9" w:rsidP="00BA18A9">
            <w:pPr>
              <w:cnfStyle w:val="000000000000"/>
            </w:pPr>
            <w:r w:rsidRPr="00816657">
              <w:t>Best estimate</w:t>
            </w:r>
          </w:p>
        </w:tc>
      </w:tr>
    </w:tbl>
    <w:p w:rsidR="00061B2C" w:rsidRDefault="00061B2C" w:rsidP="001141E6">
      <w:pPr>
        <w:pStyle w:val="BodyText"/>
        <w:rPr>
          <w:color w:val="181818" w:themeColor="text1" w:themeTint="F2"/>
          <w:sz w:val="20"/>
        </w:rPr>
      </w:pPr>
    </w:p>
    <w:p w:rsidR="00061B2C" w:rsidRDefault="00061B2C" w:rsidP="00061B2C">
      <w:r>
        <w:br w:type="page"/>
      </w:r>
    </w:p>
    <w:p w:rsidR="00BA18A9" w:rsidRDefault="00BA18A9" w:rsidP="007F5BD4">
      <w:pPr>
        <w:keepNext/>
        <w:rPr>
          <w:rFonts w:ascii="Arial Rounded MT Bold" w:hAnsi="Arial Rounded MT Bold" w:cs="Arial"/>
          <w:color w:val="0000FF"/>
          <w:sz w:val="22"/>
        </w:rPr>
      </w:pPr>
      <w:r w:rsidRPr="00816657">
        <w:rPr>
          <w:rFonts w:ascii="Arial Rounded MT Bold" w:hAnsi="Arial Rounded MT Bold" w:cs="Arial"/>
          <w:color w:val="0000FF"/>
          <w:sz w:val="22"/>
        </w:rPr>
        <w:lastRenderedPageBreak/>
        <w:t>Jurisdictional data</w:t>
      </w:r>
    </w:p>
    <w:p w:rsidR="006B7881" w:rsidRDefault="00BA18A9" w:rsidP="00885950">
      <w:pPr>
        <w:pStyle w:val="BodyText"/>
      </w:pPr>
      <w:r w:rsidRPr="00816657">
        <w:t xml:space="preserve">As indicated in </w:t>
      </w:r>
      <w:fldSimple w:instr=" REF _Ref406062144 \h  \* MERGEFORMAT ">
        <w:r w:rsidR="002F3000" w:rsidRPr="00816657">
          <w:t xml:space="preserve">Table </w:t>
        </w:r>
        <w:r w:rsidR="002F3000">
          <w:rPr>
            <w:noProof/>
          </w:rPr>
          <w:t>2</w:t>
        </w:r>
      </w:fldSimple>
      <w:r w:rsidRPr="00816657">
        <w:t xml:space="preserve">, data from jurisdictional tracking systems was foundational in establishing baselines for each </w:t>
      </w:r>
      <w:r w:rsidR="002E762B">
        <w:t>waste</w:t>
      </w:r>
      <w:r w:rsidRPr="00816657">
        <w:t xml:space="preserve"> group and in providing an understanding of trends. Waste tracking systems in Qld, NSW, SA, Vic and WA require companies generating, transporting and treating</w:t>
      </w:r>
      <w:r w:rsidR="00580E90" w:rsidRPr="00816657">
        <w:t xml:space="preserve"> or disposing</w:t>
      </w:r>
      <w:r w:rsidRPr="00816657">
        <w:t xml:space="preserve"> hazardous waste to provide a record to government of each transaction to which they are a party. These systems were established to ensure that hazardous waste is appropriately managed. Data from these systems was collected, collated and analysed, together with other jurisdictional waste data. This represents the first time that jurisdictional data on hazardous waste data from across Australia has been analysed in a time series. </w:t>
      </w:r>
    </w:p>
    <w:p w:rsidR="00885950" w:rsidRPr="00816657" w:rsidRDefault="00885950" w:rsidP="00885950">
      <w:pPr>
        <w:pStyle w:val="BodyText"/>
      </w:pPr>
    </w:p>
    <w:p w:rsidR="00CD3E22" w:rsidRDefault="00BA18A9" w:rsidP="00885950">
      <w:pPr>
        <w:pStyle w:val="BodyText"/>
      </w:pPr>
      <w:r w:rsidRPr="00816657">
        <w:t xml:space="preserve">A summary of the characteristics of the data received from each jurisdiction is given in </w:t>
      </w:r>
      <w:fldSimple w:instr=" REF _Ref406072697 \h  \* MERGEFORMAT ">
        <w:r w:rsidR="002F3000" w:rsidRPr="00816657">
          <w:t xml:space="preserve">Table </w:t>
        </w:r>
        <w:r w:rsidR="002F3000">
          <w:rPr>
            <w:noProof/>
          </w:rPr>
          <w:t>4</w:t>
        </w:r>
      </w:fldSimple>
      <w:r w:rsidRPr="00816657">
        <w:t>. ‘Data dumps’ encompassing several million transactions</w:t>
      </w:r>
      <w:r w:rsidR="00CC3AD5">
        <w:t xml:space="preserve"> over several years</w:t>
      </w:r>
      <w:r w:rsidRPr="00816657">
        <w:t xml:space="preserve"> </w:t>
      </w:r>
      <w:proofErr w:type="gramStart"/>
      <w:r w:rsidRPr="00816657">
        <w:t>were</w:t>
      </w:r>
      <w:proofErr w:type="gramEnd"/>
      <w:r w:rsidRPr="00816657">
        <w:t xml:space="preserve"> received from Qld, NSW, Vic and WA. </w:t>
      </w:r>
      <w:proofErr w:type="gramStart"/>
      <w:r w:rsidRPr="00816657">
        <w:t>Each of the other jurisdictions provided data, but in lesser amounts</w:t>
      </w:r>
      <w:r w:rsidR="00CC3AD5">
        <w:t xml:space="preserve"> or </w:t>
      </w:r>
      <w:r w:rsidRPr="00816657">
        <w:t>already collated</w:t>
      </w:r>
      <w:r w:rsidR="00CC3AD5">
        <w:t xml:space="preserve"> to annual tonnages</w:t>
      </w:r>
      <w:r w:rsidRPr="00816657">
        <w:t>.</w:t>
      </w:r>
      <w:proofErr w:type="gramEnd"/>
      <w:r w:rsidRPr="00816657">
        <w:t xml:space="preserve"> The NT and </w:t>
      </w:r>
      <w:proofErr w:type="gramStart"/>
      <w:r w:rsidRPr="00816657">
        <w:t>Tas</w:t>
      </w:r>
      <w:proofErr w:type="gramEnd"/>
      <w:r w:rsidRPr="00816657">
        <w:t xml:space="preserve"> provided data from report</w:t>
      </w:r>
      <w:r w:rsidR="00CC3AD5">
        <w:t>s of interstate transport (i.e. NEPM report</w:t>
      </w:r>
      <w:r w:rsidR="00884101">
        <w:t>s</w:t>
      </w:r>
      <w:r w:rsidR="00CC3AD5">
        <w:t xml:space="preserve">, see </w:t>
      </w:r>
      <w:r w:rsidR="00A6715A">
        <w:t>Section</w:t>
      </w:r>
      <w:r w:rsidR="00CC3AD5">
        <w:t xml:space="preserve"> </w:t>
      </w:r>
      <w:fldSimple w:instr=" REF _Ref408404160 \r \h  \* MERGEFORMAT ">
        <w:r w:rsidR="002F3000">
          <w:t>1.2</w:t>
        </w:r>
      </w:fldSimple>
      <w:r w:rsidR="00CC3AD5">
        <w:t>)</w:t>
      </w:r>
      <w:r w:rsidRPr="00816657">
        <w:t>. Additional data</w:t>
      </w:r>
      <w:r w:rsidR="00196339">
        <w:t xml:space="preserve"> from landfill reports</w:t>
      </w:r>
      <w:r w:rsidRPr="00816657">
        <w:t xml:space="preserve"> was provided in some cases where a hazardous waste is not tracked, </w:t>
      </w:r>
      <w:r w:rsidR="00884101">
        <w:t>as shown in the table</w:t>
      </w:r>
      <w:r w:rsidRPr="00816657">
        <w:t xml:space="preserve">. </w:t>
      </w:r>
    </w:p>
    <w:p w:rsidR="00885950" w:rsidRPr="00816657" w:rsidRDefault="00885950" w:rsidP="00885950">
      <w:pPr>
        <w:pStyle w:val="BodyText"/>
      </w:pPr>
    </w:p>
    <w:p w:rsidR="00BA18A9" w:rsidRPr="00816657" w:rsidRDefault="00BA18A9" w:rsidP="00655F62">
      <w:pPr>
        <w:pStyle w:val="Figures"/>
      </w:pPr>
      <w:bookmarkStart w:id="85" w:name="_Ref406072697"/>
      <w:bookmarkStart w:id="86" w:name="_Toc406412244"/>
      <w:bookmarkStart w:id="87" w:name="_Toc425849289"/>
      <w:r w:rsidRPr="00816657">
        <w:t xml:space="preserve">Table </w:t>
      </w:r>
      <w:r w:rsidR="006D07F5" w:rsidRPr="00816657">
        <w:fldChar w:fldCharType="begin"/>
      </w:r>
      <w:r w:rsidRPr="00816657">
        <w:instrText xml:space="preserve"> SEQ Table \* ARABIC </w:instrText>
      </w:r>
      <w:r w:rsidR="006D07F5" w:rsidRPr="00816657">
        <w:fldChar w:fldCharType="separate"/>
      </w:r>
      <w:r w:rsidR="002F3000">
        <w:rPr>
          <w:noProof/>
        </w:rPr>
        <w:t>4</w:t>
      </w:r>
      <w:r w:rsidR="006D07F5" w:rsidRPr="00816657">
        <w:fldChar w:fldCharType="end"/>
      </w:r>
      <w:bookmarkEnd w:id="85"/>
      <w:r w:rsidRPr="00816657">
        <w:t xml:space="preserve">: </w:t>
      </w:r>
      <w:r w:rsidRPr="00816657">
        <w:tab/>
        <w:t>Metadata of the jurisdictional hazardous waste data received</w:t>
      </w:r>
      <w:bookmarkEnd w:id="86"/>
      <w:bookmarkEnd w:id="87"/>
    </w:p>
    <w:tbl>
      <w:tblPr>
        <w:tblStyle w:val="BETable11"/>
        <w:tblW w:w="9498" w:type="dxa"/>
        <w:tblLayout w:type="fixed"/>
        <w:tblLook w:val="04A0"/>
      </w:tblPr>
      <w:tblGrid>
        <w:gridCol w:w="1152"/>
        <w:gridCol w:w="1048"/>
        <w:gridCol w:w="397"/>
        <w:gridCol w:w="397"/>
        <w:gridCol w:w="397"/>
        <w:gridCol w:w="397"/>
        <w:gridCol w:w="397"/>
        <w:gridCol w:w="635"/>
        <w:gridCol w:w="709"/>
        <w:gridCol w:w="3969"/>
      </w:tblGrid>
      <w:tr w:rsidR="00BA18A9" w:rsidRPr="00CC3AD5" w:rsidTr="00BA18A9">
        <w:trPr>
          <w:cnfStyle w:val="100000000000"/>
          <w:cantSplit/>
          <w:trHeight w:val="2128"/>
        </w:trPr>
        <w:tc>
          <w:tcPr>
            <w:cnfStyle w:val="001000000000"/>
            <w:tcW w:w="1152" w:type="dxa"/>
            <w:vAlign w:val="bottom"/>
          </w:tcPr>
          <w:p w:rsidR="00BA18A9" w:rsidRPr="00CC3AD5" w:rsidRDefault="00BA18A9" w:rsidP="00BA18A9">
            <w:r w:rsidRPr="00CC3AD5">
              <w:t>Jurisdiction</w:t>
            </w:r>
          </w:p>
        </w:tc>
        <w:tc>
          <w:tcPr>
            <w:tcW w:w="1048" w:type="dxa"/>
            <w:tcBorders>
              <w:right w:val="single" w:sz="4" w:space="0" w:color="7F7F7F" w:themeColor="background2"/>
            </w:tcBorders>
            <w:vAlign w:val="bottom"/>
          </w:tcPr>
          <w:p w:rsidR="00BA18A9" w:rsidRPr="00CC3AD5" w:rsidRDefault="00BA18A9" w:rsidP="00BA18A9">
            <w:pPr>
              <w:cnfStyle w:val="100000000000"/>
            </w:pPr>
            <w:r w:rsidRPr="00CC3AD5">
              <w:t>Date range</w:t>
            </w:r>
          </w:p>
        </w:tc>
        <w:tc>
          <w:tcPr>
            <w:tcW w:w="397" w:type="dxa"/>
            <w:tcBorders>
              <w:left w:val="single" w:sz="4" w:space="0" w:color="7F7F7F" w:themeColor="background2"/>
              <w:bottom w:val="single" w:sz="4" w:space="0" w:color="7F7F7F" w:themeColor="background2"/>
            </w:tcBorders>
            <w:textDirection w:val="btLr"/>
          </w:tcPr>
          <w:p w:rsidR="00BA18A9" w:rsidRPr="00CC3AD5" w:rsidRDefault="00BA18A9" w:rsidP="00BA18A9">
            <w:pPr>
              <w:ind w:left="113" w:right="113"/>
              <w:cnfStyle w:val="100000000000"/>
            </w:pPr>
            <w:r w:rsidRPr="00CC3AD5">
              <w:t>Date</w:t>
            </w:r>
          </w:p>
        </w:tc>
        <w:tc>
          <w:tcPr>
            <w:tcW w:w="397" w:type="dxa"/>
            <w:tcBorders>
              <w:bottom w:val="single" w:sz="4" w:space="0" w:color="7F7F7F" w:themeColor="background2"/>
            </w:tcBorders>
            <w:textDirection w:val="btLr"/>
          </w:tcPr>
          <w:p w:rsidR="00BA18A9" w:rsidRPr="00CC3AD5" w:rsidRDefault="00BA18A9" w:rsidP="00BA18A9">
            <w:pPr>
              <w:ind w:left="113" w:right="113"/>
              <w:cnfStyle w:val="100000000000"/>
            </w:pPr>
            <w:r w:rsidRPr="00CC3AD5">
              <w:t>Waste type</w:t>
            </w:r>
          </w:p>
        </w:tc>
        <w:tc>
          <w:tcPr>
            <w:tcW w:w="397" w:type="dxa"/>
            <w:tcBorders>
              <w:bottom w:val="single" w:sz="4" w:space="0" w:color="7F7F7F" w:themeColor="background2"/>
            </w:tcBorders>
            <w:textDirection w:val="btLr"/>
          </w:tcPr>
          <w:p w:rsidR="00BA18A9" w:rsidRPr="00CC3AD5" w:rsidRDefault="00BA18A9" w:rsidP="00BA18A9">
            <w:pPr>
              <w:ind w:left="113" w:right="113"/>
              <w:cnfStyle w:val="100000000000"/>
            </w:pPr>
            <w:r w:rsidRPr="00CC3AD5">
              <w:t>Quantity</w:t>
            </w:r>
          </w:p>
        </w:tc>
        <w:tc>
          <w:tcPr>
            <w:tcW w:w="397" w:type="dxa"/>
            <w:tcBorders>
              <w:bottom w:val="single" w:sz="4" w:space="0" w:color="7F7F7F" w:themeColor="background2"/>
            </w:tcBorders>
            <w:textDirection w:val="btLr"/>
          </w:tcPr>
          <w:p w:rsidR="00BA18A9" w:rsidRPr="00CC3AD5" w:rsidRDefault="00BA18A9" w:rsidP="00BA18A9">
            <w:pPr>
              <w:ind w:left="113" w:right="113"/>
              <w:cnfStyle w:val="100000000000"/>
            </w:pPr>
            <w:r w:rsidRPr="00CC3AD5">
              <w:t>Source industry</w:t>
            </w:r>
          </w:p>
        </w:tc>
        <w:tc>
          <w:tcPr>
            <w:tcW w:w="397" w:type="dxa"/>
            <w:tcBorders>
              <w:bottom w:val="single" w:sz="4" w:space="0" w:color="7F7F7F" w:themeColor="background2"/>
              <w:right w:val="single" w:sz="4" w:space="0" w:color="7F7F7F" w:themeColor="background2"/>
            </w:tcBorders>
            <w:textDirection w:val="btLr"/>
          </w:tcPr>
          <w:p w:rsidR="00BA18A9" w:rsidRPr="00CC3AD5" w:rsidRDefault="00F1275C" w:rsidP="00F1275C">
            <w:pPr>
              <w:ind w:left="113" w:right="113"/>
              <w:cnfStyle w:val="100000000000"/>
            </w:pPr>
            <w:r w:rsidRPr="00CC3AD5">
              <w:t>Fa</w:t>
            </w:r>
            <w:r w:rsidR="005E200B" w:rsidRPr="00CC3AD5">
              <w:t>te</w:t>
            </w:r>
          </w:p>
        </w:tc>
        <w:tc>
          <w:tcPr>
            <w:tcW w:w="635" w:type="dxa"/>
            <w:tcBorders>
              <w:left w:val="single" w:sz="4" w:space="0" w:color="7F7F7F" w:themeColor="background2"/>
              <w:bottom w:val="single" w:sz="4" w:space="0" w:color="7F7F7F" w:themeColor="background2"/>
            </w:tcBorders>
            <w:textDirection w:val="btLr"/>
          </w:tcPr>
          <w:p w:rsidR="00BA18A9" w:rsidRPr="00CC3AD5" w:rsidRDefault="00BA18A9" w:rsidP="00BA18A9">
            <w:pPr>
              <w:ind w:left="113" w:right="113"/>
              <w:cnfStyle w:val="100000000000"/>
            </w:pPr>
            <w:r w:rsidRPr="00CC3AD5">
              <w:t>Jurisdiction of generation apparent?</w:t>
            </w:r>
          </w:p>
        </w:tc>
        <w:tc>
          <w:tcPr>
            <w:tcW w:w="709" w:type="dxa"/>
            <w:tcBorders>
              <w:bottom w:val="single" w:sz="4" w:space="0" w:color="7F7F7F" w:themeColor="background2"/>
              <w:right w:val="single" w:sz="4" w:space="0" w:color="7F7F7F" w:themeColor="background2"/>
            </w:tcBorders>
            <w:textDirection w:val="btLr"/>
          </w:tcPr>
          <w:p w:rsidR="00BA18A9" w:rsidRPr="00CC3AD5" w:rsidRDefault="00BA18A9" w:rsidP="00BA18A9">
            <w:pPr>
              <w:ind w:left="113" w:right="113"/>
              <w:cnfStyle w:val="100000000000"/>
            </w:pPr>
            <w:r w:rsidRPr="00CC3AD5">
              <w:t>Comprehensive coverage of arisings?</w:t>
            </w:r>
          </w:p>
        </w:tc>
        <w:tc>
          <w:tcPr>
            <w:tcW w:w="3969" w:type="dxa"/>
            <w:tcBorders>
              <w:left w:val="single" w:sz="4" w:space="0" w:color="7F7F7F" w:themeColor="background2"/>
            </w:tcBorders>
            <w:vAlign w:val="bottom"/>
          </w:tcPr>
          <w:p w:rsidR="00BA18A9" w:rsidRPr="00CC3AD5" w:rsidRDefault="00BA18A9" w:rsidP="00BA18A9">
            <w:pPr>
              <w:cnfStyle w:val="100000000000"/>
            </w:pPr>
            <w:r w:rsidRPr="00CC3AD5">
              <w:t>Comments</w:t>
            </w:r>
          </w:p>
        </w:tc>
      </w:tr>
      <w:tr w:rsidR="00BA18A9" w:rsidRPr="00816657" w:rsidTr="00BA18A9">
        <w:tc>
          <w:tcPr>
            <w:cnfStyle w:val="001000000000"/>
            <w:tcW w:w="1152" w:type="dxa"/>
          </w:tcPr>
          <w:p w:rsidR="00BA18A9" w:rsidRPr="00816657" w:rsidRDefault="00BA18A9" w:rsidP="00BA18A9">
            <w:r w:rsidRPr="00816657">
              <w:t>ACT</w:t>
            </w:r>
          </w:p>
        </w:tc>
        <w:tc>
          <w:tcPr>
            <w:tcW w:w="1048" w:type="dxa"/>
            <w:tcBorders>
              <w:right w:val="single" w:sz="4" w:space="0" w:color="7F7F7F" w:themeColor="background2"/>
            </w:tcBorders>
          </w:tcPr>
          <w:p w:rsidR="00BA18A9" w:rsidRPr="00816657" w:rsidRDefault="00BA18A9" w:rsidP="00BA18A9">
            <w:pPr>
              <w:jc w:val="center"/>
              <w:cnfStyle w:val="000000000000"/>
            </w:pPr>
            <w:r w:rsidRPr="00816657">
              <w:t>2013</w:t>
            </w:r>
          </w:p>
        </w:tc>
        <w:tc>
          <w:tcPr>
            <w:tcW w:w="397" w:type="dxa"/>
            <w:tcBorders>
              <w:left w:val="single" w:sz="4" w:space="0" w:color="7F7F7F" w:themeColor="background2"/>
              <w:bottom w:val="single" w:sz="4" w:space="0" w:color="7F7F7F" w:themeColor="background2"/>
            </w:tcBorders>
          </w:tcPr>
          <w:p w:rsidR="00BA18A9" w:rsidRPr="00816657" w:rsidRDefault="00BA18A9" w:rsidP="00BA18A9">
            <w:pPr>
              <w:cnfStyle w:val="000000000000"/>
            </w:pP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cnfStyle w:val="000000000000"/>
            </w:pPr>
          </w:p>
        </w:tc>
        <w:tc>
          <w:tcPr>
            <w:tcW w:w="397" w:type="dxa"/>
            <w:tcBorders>
              <w:bottom w:val="single" w:sz="4" w:space="0" w:color="7F7F7F" w:themeColor="background2"/>
              <w:right w:val="single" w:sz="4" w:space="0" w:color="7F7F7F" w:themeColor="background2"/>
            </w:tcBorders>
          </w:tcPr>
          <w:p w:rsidR="00BA18A9" w:rsidRPr="00816657" w:rsidRDefault="00BA18A9" w:rsidP="00BA18A9">
            <w:pPr>
              <w:cnfStyle w:val="000000000000"/>
            </w:pPr>
          </w:p>
        </w:tc>
        <w:tc>
          <w:tcPr>
            <w:tcW w:w="635" w:type="dxa"/>
            <w:tcBorders>
              <w:left w:val="single" w:sz="4" w:space="0" w:color="7F7F7F" w:themeColor="background2"/>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69" w:type="dxa"/>
            <w:tcBorders>
              <w:left w:val="single" w:sz="4" w:space="0" w:color="7F7F7F" w:themeColor="background2"/>
            </w:tcBorders>
          </w:tcPr>
          <w:p w:rsidR="00BA18A9" w:rsidRPr="00816657" w:rsidRDefault="00BA18A9" w:rsidP="00BA18A9">
            <w:pPr>
              <w:cnfStyle w:val="000000000000"/>
              <w:rPr>
                <w:szCs w:val="20"/>
              </w:rPr>
            </w:pPr>
            <w:r w:rsidRPr="00816657">
              <w:rPr>
                <w:szCs w:val="20"/>
              </w:rPr>
              <w:t>Data collated by waste type</w:t>
            </w:r>
          </w:p>
        </w:tc>
      </w:tr>
      <w:tr w:rsidR="00CC3AD5" w:rsidRPr="00816657" w:rsidTr="00BA18A9">
        <w:tc>
          <w:tcPr>
            <w:cnfStyle w:val="001000000000"/>
            <w:tcW w:w="1152" w:type="dxa"/>
          </w:tcPr>
          <w:p w:rsidR="00CC3AD5" w:rsidRPr="00816657" w:rsidRDefault="00CC3AD5" w:rsidP="00BA18A9">
            <w:r w:rsidRPr="00816657">
              <w:t>NSW</w:t>
            </w:r>
          </w:p>
        </w:tc>
        <w:tc>
          <w:tcPr>
            <w:tcW w:w="1048" w:type="dxa"/>
            <w:tcBorders>
              <w:right w:val="single" w:sz="4" w:space="0" w:color="7F7F7F" w:themeColor="background2"/>
            </w:tcBorders>
          </w:tcPr>
          <w:p w:rsidR="00CC3AD5" w:rsidRPr="00816657" w:rsidRDefault="00CC3AD5" w:rsidP="00BA18A9">
            <w:pPr>
              <w:jc w:val="center"/>
              <w:cnfStyle w:val="000000000000"/>
            </w:pPr>
            <w:r w:rsidRPr="00816657">
              <w:t>2010-2014</w:t>
            </w:r>
          </w:p>
        </w:tc>
        <w:tc>
          <w:tcPr>
            <w:tcW w:w="397" w:type="dxa"/>
            <w:tcBorders>
              <w:left w:val="single" w:sz="4" w:space="0" w:color="7F7F7F" w:themeColor="background2"/>
              <w:bottom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CC3AD5" w:rsidRPr="00816657" w:rsidRDefault="00CC3AD5" w:rsidP="00CD13C1">
            <w:pPr>
              <w:jc w:val="center"/>
              <w:cnfStyle w:val="000000000000"/>
            </w:pPr>
            <w:r w:rsidRPr="00816657">
              <w:rPr>
                <w:rFonts w:ascii="Arial Unicode MS" w:eastAsia="Arial Unicode MS" w:hAnsi="Arial Unicode MS" w:cs="Arial Unicode MS"/>
              </w:rPr>
              <w:t>✓</w:t>
            </w:r>
            <w:r>
              <w:rPr>
                <w:rFonts w:ascii="Arial Unicode MS" w:eastAsia="Arial Unicode MS" w:hAnsi="Arial Unicode MS" w:cs="Arial Unicode MS"/>
              </w:rPr>
              <w:t>*</w:t>
            </w:r>
          </w:p>
        </w:tc>
        <w:tc>
          <w:tcPr>
            <w:tcW w:w="397" w:type="dxa"/>
            <w:tcBorders>
              <w:bottom w:val="single" w:sz="4" w:space="0" w:color="7F7F7F" w:themeColor="background2"/>
              <w:right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635" w:type="dxa"/>
            <w:tcBorders>
              <w:left w:val="single" w:sz="4" w:space="0" w:color="7F7F7F" w:themeColor="background2"/>
              <w:bottom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69" w:type="dxa"/>
            <w:tcBorders>
              <w:left w:val="single" w:sz="4" w:space="0" w:color="7F7F7F" w:themeColor="background2"/>
            </w:tcBorders>
          </w:tcPr>
          <w:p w:rsidR="00CC3AD5" w:rsidRPr="00816657" w:rsidRDefault="00CC3AD5" w:rsidP="00BA18A9">
            <w:pPr>
              <w:cnfStyle w:val="000000000000"/>
              <w:rPr>
                <w:rFonts w:eastAsia="Arial Unicode MS" w:cs="Arial Unicode MS"/>
                <w:szCs w:val="20"/>
              </w:rPr>
            </w:pPr>
            <w:r w:rsidRPr="00816657">
              <w:rPr>
                <w:rFonts w:eastAsia="Arial Unicode MS" w:cs="Arial Unicode MS"/>
                <w:szCs w:val="20"/>
              </w:rPr>
              <w:t>Full ‘data dump’ (280,000 entries)</w:t>
            </w:r>
            <w:r w:rsidR="00884101">
              <w:rPr>
                <w:rFonts w:eastAsia="Arial Unicode MS" w:cs="Arial Unicode MS"/>
                <w:szCs w:val="20"/>
              </w:rPr>
              <w:t>. Asbestos &amp; contaminated soil data from landfill reports.</w:t>
            </w:r>
          </w:p>
        </w:tc>
      </w:tr>
      <w:tr w:rsidR="00BA18A9" w:rsidRPr="00816657" w:rsidTr="00BA18A9">
        <w:tc>
          <w:tcPr>
            <w:cnfStyle w:val="001000000000"/>
            <w:tcW w:w="1152" w:type="dxa"/>
          </w:tcPr>
          <w:p w:rsidR="00BA18A9" w:rsidRPr="00816657" w:rsidRDefault="00BA18A9" w:rsidP="00BA18A9">
            <w:r w:rsidRPr="00816657">
              <w:t>NT</w:t>
            </w:r>
          </w:p>
        </w:tc>
        <w:tc>
          <w:tcPr>
            <w:tcW w:w="1048" w:type="dxa"/>
            <w:tcBorders>
              <w:right w:val="single" w:sz="4" w:space="0" w:color="7F7F7F" w:themeColor="background2"/>
            </w:tcBorders>
          </w:tcPr>
          <w:p w:rsidR="00BA18A9" w:rsidRPr="00816657" w:rsidRDefault="00BA18A9" w:rsidP="00BA18A9">
            <w:pPr>
              <w:jc w:val="center"/>
              <w:cnfStyle w:val="000000000000"/>
            </w:pPr>
            <w:r w:rsidRPr="00816657">
              <w:t>2012-2014</w:t>
            </w:r>
          </w:p>
        </w:tc>
        <w:tc>
          <w:tcPr>
            <w:tcW w:w="397" w:type="dxa"/>
            <w:tcBorders>
              <w:left w:val="single" w:sz="4" w:space="0" w:color="7F7F7F" w:themeColor="background2"/>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cnfStyle w:val="000000000000"/>
            </w:pPr>
          </w:p>
        </w:tc>
        <w:tc>
          <w:tcPr>
            <w:tcW w:w="397" w:type="dxa"/>
            <w:tcBorders>
              <w:bottom w:val="single" w:sz="4" w:space="0" w:color="7F7F7F" w:themeColor="background2"/>
              <w:right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635" w:type="dxa"/>
            <w:tcBorders>
              <w:left w:val="single" w:sz="4" w:space="0" w:color="7F7F7F" w:themeColor="background2"/>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BA18A9" w:rsidRPr="00816657" w:rsidRDefault="00BA18A9" w:rsidP="00BA18A9">
            <w:pPr>
              <w:jc w:val="center"/>
              <w:cnfStyle w:val="000000000000"/>
              <w:rPr>
                <w:szCs w:val="20"/>
              </w:rPr>
            </w:pPr>
          </w:p>
        </w:tc>
        <w:tc>
          <w:tcPr>
            <w:tcW w:w="3969" w:type="dxa"/>
            <w:tcBorders>
              <w:left w:val="single" w:sz="4" w:space="0" w:color="7F7F7F" w:themeColor="background2"/>
            </w:tcBorders>
          </w:tcPr>
          <w:p w:rsidR="00BA18A9" w:rsidRPr="00816657" w:rsidRDefault="00BA18A9" w:rsidP="00BA18A9">
            <w:pPr>
              <w:cnfStyle w:val="000000000000"/>
              <w:rPr>
                <w:szCs w:val="20"/>
              </w:rPr>
            </w:pPr>
            <w:r w:rsidRPr="00816657">
              <w:rPr>
                <w:szCs w:val="20"/>
              </w:rPr>
              <w:t>Covered only inter-state transfers</w:t>
            </w:r>
          </w:p>
        </w:tc>
      </w:tr>
      <w:tr w:rsidR="00CC3AD5" w:rsidRPr="00816657" w:rsidTr="00BA18A9">
        <w:tc>
          <w:tcPr>
            <w:cnfStyle w:val="001000000000"/>
            <w:tcW w:w="1152" w:type="dxa"/>
          </w:tcPr>
          <w:p w:rsidR="00CC3AD5" w:rsidRPr="00816657" w:rsidRDefault="00CC3AD5" w:rsidP="00BA18A9">
            <w:r w:rsidRPr="00816657">
              <w:t>Qld</w:t>
            </w:r>
          </w:p>
        </w:tc>
        <w:tc>
          <w:tcPr>
            <w:tcW w:w="1048" w:type="dxa"/>
            <w:tcBorders>
              <w:right w:val="single" w:sz="4" w:space="0" w:color="7F7F7F" w:themeColor="background2"/>
            </w:tcBorders>
          </w:tcPr>
          <w:p w:rsidR="00CC3AD5" w:rsidRPr="00816657" w:rsidRDefault="00CC3AD5" w:rsidP="00BA18A9">
            <w:pPr>
              <w:jc w:val="center"/>
              <w:cnfStyle w:val="000000000000"/>
            </w:pPr>
            <w:r w:rsidRPr="00816657">
              <w:t>1999-2013</w:t>
            </w:r>
          </w:p>
        </w:tc>
        <w:tc>
          <w:tcPr>
            <w:tcW w:w="397" w:type="dxa"/>
            <w:tcBorders>
              <w:left w:val="single" w:sz="4" w:space="0" w:color="7F7F7F" w:themeColor="background2"/>
              <w:bottom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CC3AD5" w:rsidRPr="00816657" w:rsidRDefault="00CC3AD5" w:rsidP="00CD13C1">
            <w:pPr>
              <w:jc w:val="center"/>
              <w:cnfStyle w:val="000000000000"/>
            </w:pPr>
            <w:r w:rsidRPr="00816657">
              <w:rPr>
                <w:rFonts w:ascii="Arial Unicode MS" w:eastAsia="Arial Unicode MS" w:hAnsi="Arial Unicode MS" w:cs="Arial Unicode MS"/>
              </w:rPr>
              <w:t>✓</w:t>
            </w:r>
            <w:r>
              <w:rPr>
                <w:rFonts w:ascii="Arial Unicode MS" w:eastAsia="Arial Unicode MS" w:hAnsi="Arial Unicode MS" w:cs="Arial Unicode MS"/>
              </w:rPr>
              <w:t>*</w:t>
            </w:r>
          </w:p>
        </w:tc>
        <w:tc>
          <w:tcPr>
            <w:tcW w:w="397" w:type="dxa"/>
            <w:tcBorders>
              <w:bottom w:val="single" w:sz="4" w:space="0" w:color="7F7F7F" w:themeColor="background2"/>
              <w:right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635" w:type="dxa"/>
            <w:tcBorders>
              <w:left w:val="single" w:sz="4" w:space="0" w:color="7F7F7F" w:themeColor="background2"/>
              <w:bottom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69" w:type="dxa"/>
            <w:tcBorders>
              <w:left w:val="single" w:sz="4" w:space="0" w:color="7F7F7F" w:themeColor="background2"/>
            </w:tcBorders>
          </w:tcPr>
          <w:p w:rsidR="00CC3AD5" w:rsidRPr="00816657" w:rsidRDefault="00CC3AD5" w:rsidP="00BA18A9">
            <w:pPr>
              <w:cnfStyle w:val="000000000000"/>
              <w:rPr>
                <w:szCs w:val="20"/>
              </w:rPr>
            </w:pPr>
            <w:r w:rsidRPr="00816657">
              <w:rPr>
                <w:szCs w:val="20"/>
              </w:rPr>
              <w:t>Full ‘data dump’ of 30 files, each with up to 83 worksheets, each with up to 65,000 entries</w:t>
            </w:r>
            <w:r w:rsidR="00884101">
              <w:rPr>
                <w:szCs w:val="20"/>
              </w:rPr>
              <w:t>. Contaminated soil data from landfill reports.</w:t>
            </w:r>
          </w:p>
        </w:tc>
      </w:tr>
      <w:tr w:rsidR="00BA18A9" w:rsidRPr="00816657" w:rsidTr="00BA18A9">
        <w:tc>
          <w:tcPr>
            <w:cnfStyle w:val="001000000000"/>
            <w:tcW w:w="1152" w:type="dxa"/>
          </w:tcPr>
          <w:p w:rsidR="00BA18A9" w:rsidRPr="00816657" w:rsidRDefault="00BA18A9" w:rsidP="00BA18A9">
            <w:r w:rsidRPr="00816657">
              <w:t>SA</w:t>
            </w:r>
          </w:p>
        </w:tc>
        <w:tc>
          <w:tcPr>
            <w:tcW w:w="1048" w:type="dxa"/>
            <w:tcBorders>
              <w:right w:val="single" w:sz="4" w:space="0" w:color="7F7F7F" w:themeColor="background2"/>
            </w:tcBorders>
          </w:tcPr>
          <w:p w:rsidR="00BA18A9" w:rsidRPr="00816657" w:rsidRDefault="00BA18A9" w:rsidP="00BA18A9">
            <w:pPr>
              <w:jc w:val="center"/>
              <w:cnfStyle w:val="000000000000"/>
            </w:pPr>
            <w:r w:rsidRPr="00816657">
              <w:t>2006-2014</w:t>
            </w:r>
          </w:p>
        </w:tc>
        <w:tc>
          <w:tcPr>
            <w:tcW w:w="397" w:type="dxa"/>
            <w:tcBorders>
              <w:left w:val="single" w:sz="4" w:space="0" w:color="7F7F7F" w:themeColor="background2"/>
              <w:bottom w:val="single" w:sz="4" w:space="0" w:color="7F7F7F" w:themeColor="background2"/>
            </w:tcBorders>
          </w:tcPr>
          <w:p w:rsidR="00BA18A9" w:rsidRPr="00816657" w:rsidRDefault="00BA18A9" w:rsidP="00BA18A9">
            <w:pPr>
              <w:cnfStyle w:val="000000000000"/>
            </w:pP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right w:val="single" w:sz="4" w:space="0" w:color="7F7F7F" w:themeColor="background2"/>
            </w:tcBorders>
          </w:tcPr>
          <w:p w:rsidR="00BA18A9" w:rsidRPr="00816657" w:rsidRDefault="00BA18A9" w:rsidP="00BA18A9">
            <w:pPr>
              <w:cnfStyle w:val="000000000000"/>
            </w:pPr>
          </w:p>
        </w:tc>
        <w:tc>
          <w:tcPr>
            <w:tcW w:w="635" w:type="dxa"/>
            <w:tcBorders>
              <w:left w:val="single" w:sz="4" w:space="0" w:color="7F7F7F" w:themeColor="background2"/>
              <w:bottom w:val="single" w:sz="4" w:space="0" w:color="7F7F7F" w:themeColor="background2"/>
            </w:tcBorders>
          </w:tcPr>
          <w:p w:rsidR="00BA18A9" w:rsidRPr="00816657" w:rsidRDefault="00BA18A9" w:rsidP="00BA18A9">
            <w:pPr>
              <w:jc w:val="center"/>
              <w:cnfStyle w:val="000000000000"/>
              <w:rPr>
                <w:szCs w:val="20"/>
              </w:rPr>
            </w:pPr>
          </w:p>
        </w:tc>
        <w:tc>
          <w:tcPr>
            <w:tcW w:w="709" w:type="dxa"/>
            <w:tcBorders>
              <w:bottom w:val="single" w:sz="4" w:space="0" w:color="7F7F7F" w:themeColor="background2"/>
              <w:right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69" w:type="dxa"/>
            <w:tcBorders>
              <w:left w:val="single" w:sz="4" w:space="0" w:color="7F7F7F" w:themeColor="background2"/>
            </w:tcBorders>
          </w:tcPr>
          <w:p w:rsidR="00BA18A9" w:rsidRPr="00816657" w:rsidRDefault="00BA18A9" w:rsidP="00BA18A9">
            <w:pPr>
              <w:cnfStyle w:val="000000000000"/>
              <w:rPr>
                <w:szCs w:val="20"/>
              </w:rPr>
            </w:pPr>
            <w:r w:rsidRPr="00816657">
              <w:rPr>
                <w:szCs w:val="20"/>
              </w:rPr>
              <w:t>Data collated by waste type</w:t>
            </w:r>
          </w:p>
        </w:tc>
      </w:tr>
      <w:tr w:rsidR="00BA18A9" w:rsidRPr="00816657" w:rsidTr="00BA18A9">
        <w:tc>
          <w:tcPr>
            <w:cnfStyle w:val="001000000000"/>
            <w:tcW w:w="1152" w:type="dxa"/>
          </w:tcPr>
          <w:p w:rsidR="00BA18A9" w:rsidRPr="00816657" w:rsidRDefault="00BA18A9" w:rsidP="00BA18A9">
            <w:r w:rsidRPr="00816657">
              <w:t>Tas</w:t>
            </w:r>
          </w:p>
        </w:tc>
        <w:tc>
          <w:tcPr>
            <w:tcW w:w="1048" w:type="dxa"/>
            <w:tcBorders>
              <w:right w:val="single" w:sz="4" w:space="0" w:color="7F7F7F" w:themeColor="background2"/>
            </w:tcBorders>
          </w:tcPr>
          <w:p w:rsidR="00BA18A9" w:rsidRPr="00816657" w:rsidRDefault="00BA18A9" w:rsidP="00BA18A9">
            <w:pPr>
              <w:jc w:val="center"/>
              <w:cnfStyle w:val="000000000000"/>
            </w:pPr>
            <w:r w:rsidRPr="00816657">
              <w:t>2012-2013</w:t>
            </w:r>
          </w:p>
        </w:tc>
        <w:tc>
          <w:tcPr>
            <w:tcW w:w="397" w:type="dxa"/>
            <w:tcBorders>
              <w:left w:val="single" w:sz="4" w:space="0" w:color="7F7F7F" w:themeColor="background2"/>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cnfStyle w:val="000000000000"/>
            </w:pPr>
          </w:p>
        </w:tc>
        <w:tc>
          <w:tcPr>
            <w:tcW w:w="397" w:type="dxa"/>
            <w:tcBorders>
              <w:bottom w:val="single" w:sz="4" w:space="0" w:color="7F7F7F" w:themeColor="background2"/>
              <w:right w:val="single" w:sz="4" w:space="0" w:color="7F7F7F" w:themeColor="background2"/>
            </w:tcBorders>
          </w:tcPr>
          <w:p w:rsidR="00BA18A9" w:rsidRPr="00816657" w:rsidRDefault="00BA18A9" w:rsidP="00BA18A9">
            <w:pPr>
              <w:cnfStyle w:val="000000000000"/>
            </w:pPr>
          </w:p>
        </w:tc>
        <w:tc>
          <w:tcPr>
            <w:tcW w:w="635" w:type="dxa"/>
            <w:tcBorders>
              <w:left w:val="single" w:sz="4" w:space="0" w:color="7F7F7F" w:themeColor="background2"/>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BA18A9" w:rsidRPr="00816657" w:rsidRDefault="00BA18A9" w:rsidP="00BA18A9">
            <w:pPr>
              <w:jc w:val="center"/>
              <w:cnfStyle w:val="000000000000"/>
              <w:rPr>
                <w:szCs w:val="20"/>
              </w:rPr>
            </w:pPr>
          </w:p>
        </w:tc>
        <w:tc>
          <w:tcPr>
            <w:tcW w:w="3969" w:type="dxa"/>
            <w:tcBorders>
              <w:left w:val="single" w:sz="4" w:space="0" w:color="7F7F7F" w:themeColor="background2"/>
            </w:tcBorders>
          </w:tcPr>
          <w:p w:rsidR="00BA18A9" w:rsidRPr="00816657" w:rsidRDefault="00BA18A9" w:rsidP="00BA18A9">
            <w:pPr>
              <w:cnfStyle w:val="000000000000"/>
              <w:rPr>
                <w:szCs w:val="20"/>
              </w:rPr>
            </w:pPr>
            <w:r w:rsidRPr="00816657">
              <w:rPr>
                <w:szCs w:val="20"/>
              </w:rPr>
              <w:t>Covered only inter-state transfers</w:t>
            </w:r>
          </w:p>
        </w:tc>
      </w:tr>
      <w:tr w:rsidR="00BA18A9" w:rsidRPr="00816657" w:rsidTr="00BA18A9">
        <w:tc>
          <w:tcPr>
            <w:cnfStyle w:val="001000000000"/>
            <w:tcW w:w="1152" w:type="dxa"/>
          </w:tcPr>
          <w:p w:rsidR="00BA18A9" w:rsidRPr="00816657" w:rsidRDefault="00BA18A9" w:rsidP="00BA18A9">
            <w:r w:rsidRPr="00816657">
              <w:t>Vic</w:t>
            </w:r>
          </w:p>
        </w:tc>
        <w:tc>
          <w:tcPr>
            <w:tcW w:w="1048" w:type="dxa"/>
            <w:tcBorders>
              <w:right w:val="single" w:sz="4" w:space="0" w:color="7F7F7F" w:themeColor="background2"/>
            </w:tcBorders>
          </w:tcPr>
          <w:p w:rsidR="00BA18A9" w:rsidRPr="00816657" w:rsidRDefault="00BA18A9" w:rsidP="00BA18A9">
            <w:pPr>
              <w:jc w:val="center"/>
              <w:cnfStyle w:val="000000000000"/>
            </w:pPr>
            <w:r w:rsidRPr="00816657">
              <w:t>2003-2014</w:t>
            </w:r>
          </w:p>
        </w:tc>
        <w:tc>
          <w:tcPr>
            <w:tcW w:w="397" w:type="dxa"/>
            <w:tcBorders>
              <w:left w:val="single" w:sz="4" w:space="0" w:color="7F7F7F" w:themeColor="background2"/>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7F7F7F" w:themeColor="background2"/>
              <w:right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635" w:type="dxa"/>
            <w:tcBorders>
              <w:left w:val="single" w:sz="4" w:space="0" w:color="7F7F7F" w:themeColor="background2"/>
              <w:bottom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BA18A9" w:rsidRPr="00816657" w:rsidRDefault="00BA18A9" w:rsidP="00BA18A9">
            <w:pPr>
              <w:jc w:val="center"/>
              <w:cnfStyle w:val="000000000000"/>
            </w:pPr>
            <w:r w:rsidRPr="00816657">
              <w:rPr>
                <w:rFonts w:ascii="Arial Unicode MS" w:eastAsia="Arial Unicode MS" w:hAnsi="Arial Unicode MS" w:cs="Arial Unicode MS"/>
              </w:rPr>
              <w:t>✓</w:t>
            </w:r>
          </w:p>
        </w:tc>
        <w:tc>
          <w:tcPr>
            <w:tcW w:w="3969" w:type="dxa"/>
            <w:tcBorders>
              <w:left w:val="single" w:sz="4" w:space="0" w:color="7F7F7F" w:themeColor="background2"/>
            </w:tcBorders>
          </w:tcPr>
          <w:p w:rsidR="00BA18A9" w:rsidRPr="00816657" w:rsidRDefault="00BA18A9" w:rsidP="00884101">
            <w:pPr>
              <w:cnfStyle w:val="000000000000"/>
              <w:rPr>
                <w:rFonts w:eastAsia="Arial Unicode MS" w:cs="Arial Unicode MS"/>
                <w:szCs w:val="20"/>
              </w:rPr>
            </w:pPr>
            <w:r w:rsidRPr="00816657">
              <w:rPr>
                <w:rFonts w:eastAsia="Arial Unicode MS" w:cs="Arial Unicode MS"/>
                <w:szCs w:val="20"/>
              </w:rPr>
              <w:t>Full ‘data dump’ (1.6</w:t>
            </w:r>
            <w:r w:rsidR="00D157B5" w:rsidRPr="00816657">
              <w:rPr>
                <w:rFonts w:eastAsia="Arial Unicode MS" w:cs="Arial Unicode MS"/>
                <w:szCs w:val="20"/>
              </w:rPr>
              <w:t xml:space="preserve"> </w:t>
            </w:r>
            <w:r w:rsidRPr="00816657">
              <w:rPr>
                <w:rFonts w:eastAsia="Arial Unicode MS" w:cs="Arial Unicode MS"/>
                <w:szCs w:val="20"/>
              </w:rPr>
              <w:t>m</w:t>
            </w:r>
            <w:r w:rsidR="00D157B5" w:rsidRPr="00816657">
              <w:rPr>
                <w:rFonts w:eastAsia="Arial Unicode MS" w:cs="Arial Unicode MS"/>
                <w:szCs w:val="20"/>
              </w:rPr>
              <w:t>illion</w:t>
            </w:r>
            <w:r w:rsidRPr="00816657">
              <w:rPr>
                <w:rFonts w:eastAsia="Arial Unicode MS" w:cs="Arial Unicode MS"/>
                <w:szCs w:val="20"/>
              </w:rPr>
              <w:t xml:space="preserve"> entries)</w:t>
            </w:r>
            <w:r w:rsidR="00884101">
              <w:rPr>
                <w:rFonts w:eastAsia="Arial Unicode MS" w:cs="Arial Unicode MS"/>
                <w:szCs w:val="20"/>
              </w:rPr>
              <w:t>. Some pre-2003 asbestos and contaminated soil data included from landfill reports.</w:t>
            </w:r>
          </w:p>
        </w:tc>
      </w:tr>
      <w:tr w:rsidR="00CC3AD5" w:rsidRPr="00816657" w:rsidTr="00BA18A9">
        <w:tc>
          <w:tcPr>
            <w:cnfStyle w:val="001000000000"/>
            <w:tcW w:w="1152" w:type="dxa"/>
          </w:tcPr>
          <w:p w:rsidR="00CC3AD5" w:rsidRPr="00816657" w:rsidRDefault="00CC3AD5" w:rsidP="00BA18A9">
            <w:r w:rsidRPr="00816657">
              <w:t>WA</w:t>
            </w:r>
          </w:p>
        </w:tc>
        <w:tc>
          <w:tcPr>
            <w:tcW w:w="1048" w:type="dxa"/>
            <w:tcBorders>
              <w:right w:val="single" w:sz="4" w:space="0" w:color="7F7F7F" w:themeColor="background2"/>
            </w:tcBorders>
          </w:tcPr>
          <w:p w:rsidR="00CC3AD5" w:rsidRPr="00816657" w:rsidRDefault="00CC3AD5" w:rsidP="00BA18A9">
            <w:pPr>
              <w:jc w:val="center"/>
              <w:cnfStyle w:val="000000000000"/>
            </w:pPr>
            <w:r w:rsidRPr="00816657">
              <w:t>1999-2014</w:t>
            </w:r>
          </w:p>
        </w:tc>
        <w:tc>
          <w:tcPr>
            <w:tcW w:w="397" w:type="dxa"/>
            <w:tcBorders>
              <w:left w:val="single" w:sz="4" w:space="0" w:color="7F7F7F" w:themeColor="background2"/>
              <w:bottom w:val="single" w:sz="4" w:space="0" w:color="808080" w:themeColor="background1" w:themeShade="80"/>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808080" w:themeColor="background1" w:themeShade="80"/>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808080" w:themeColor="background1" w:themeShade="80"/>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7" w:type="dxa"/>
            <w:tcBorders>
              <w:bottom w:val="single" w:sz="4" w:space="0" w:color="808080" w:themeColor="background1" w:themeShade="80"/>
            </w:tcBorders>
          </w:tcPr>
          <w:p w:rsidR="00CC3AD5" w:rsidRPr="00816657" w:rsidRDefault="00CC3AD5" w:rsidP="00BA18A9">
            <w:pPr>
              <w:cnfStyle w:val="000000000000"/>
            </w:pPr>
          </w:p>
        </w:tc>
        <w:tc>
          <w:tcPr>
            <w:tcW w:w="397" w:type="dxa"/>
            <w:tcBorders>
              <w:bottom w:val="single" w:sz="4" w:space="0" w:color="808080" w:themeColor="background1" w:themeShade="80"/>
              <w:right w:val="single" w:sz="4" w:space="0" w:color="7F7F7F" w:themeColor="background2"/>
            </w:tcBorders>
          </w:tcPr>
          <w:p w:rsidR="00CC3AD5" w:rsidRPr="00816657" w:rsidRDefault="00CC3AD5" w:rsidP="00CD13C1">
            <w:pPr>
              <w:jc w:val="center"/>
              <w:cnfStyle w:val="000000000000"/>
            </w:pPr>
            <w:r w:rsidRPr="00816657">
              <w:rPr>
                <w:rFonts w:ascii="Arial Unicode MS" w:eastAsia="Arial Unicode MS" w:hAnsi="Arial Unicode MS" w:cs="Arial Unicode MS"/>
              </w:rPr>
              <w:t>✓</w:t>
            </w:r>
            <w:r>
              <w:rPr>
                <w:rFonts w:ascii="Arial Unicode MS" w:eastAsia="Arial Unicode MS" w:hAnsi="Arial Unicode MS" w:cs="Arial Unicode MS"/>
              </w:rPr>
              <w:t>*</w:t>
            </w:r>
          </w:p>
        </w:tc>
        <w:tc>
          <w:tcPr>
            <w:tcW w:w="635" w:type="dxa"/>
            <w:tcBorders>
              <w:left w:val="single" w:sz="4" w:space="0" w:color="7F7F7F" w:themeColor="background2"/>
              <w:bottom w:val="single" w:sz="4" w:space="0" w:color="808080" w:themeColor="background1" w:themeShade="80"/>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709" w:type="dxa"/>
            <w:tcBorders>
              <w:bottom w:val="single" w:sz="4" w:space="0" w:color="808080" w:themeColor="background1" w:themeShade="80"/>
              <w:right w:val="single" w:sz="4" w:space="0" w:color="7F7F7F" w:themeColor="background2"/>
            </w:tcBorders>
          </w:tcPr>
          <w:p w:rsidR="00CC3AD5" w:rsidRPr="00816657" w:rsidRDefault="00CC3AD5" w:rsidP="00BA18A9">
            <w:pPr>
              <w:jc w:val="center"/>
              <w:cnfStyle w:val="000000000000"/>
            </w:pPr>
            <w:r w:rsidRPr="00816657">
              <w:rPr>
                <w:rFonts w:ascii="Arial Unicode MS" w:eastAsia="Arial Unicode MS" w:hAnsi="Arial Unicode MS" w:cs="Arial Unicode MS"/>
              </w:rPr>
              <w:t>✓</w:t>
            </w:r>
          </w:p>
        </w:tc>
        <w:tc>
          <w:tcPr>
            <w:tcW w:w="3969" w:type="dxa"/>
            <w:tcBorders>
              <w:left w:val="single" w:sz="4" w:space="0" w:color="7F7F7F" w:themeColor="background2"/>
            </w:tcBorders>
          </w:tcPr>
          <w:p w:rsidR="00CC3AD5" w:rsidRPr="00816657" w:rsidRDefault="00CC3AD5" w:rsidP="00BA18A9">
            <w:pPr>
              <w:cnfStyle w:val="000000000000"/>
              <w:rPr>
                <w:rFonts w:eastAsia="Arial Unicode MS" w:cs="Arial Unicode MS"/>
                <w:szCs w:val="20"/>
              </w:rPr>
            </w:pPr>
            <w:r w:rsidRPr="00816657">
              <w:rPr>
                <w:rFonts w:eastAsia="Arial Unicode MS" w:cs="Arial Unicode MS"/>
                <w:szCs w:val="20"/>
              </w:rPr>
              <w:t>Full ‘data dump’ (1.3 million entries)</w:t>
            </w:r>
          </w:p>
        </w:tc>
      </w:tr>
    </w:tbl>
    <w:p w:rsidR="00BA18A9" w:rsidRPr="00816657" w:rsidRDefault="00BA18A9" w:rsidP="00BA18A9">
      <w:pPr>
        <w:spacing w:before="80" w:line="240" w:lineRule="auto"/>
        <w:rPr>
          <w:rFonts w:cs="Arial"/>
          <w:i/>
          <w:color w:val="0000FF"/>
          <w:szCs w:val="20"/>
        </w:rPr>
      </w:pPr>
      <w:r w:rsidRPr="00816657">
        <w:rPr>
          <w:rFonts w:cs="Arial"/>
          <w:i/>
          <w:color w:val="0000FF"/>
          <w:szCs w:val="20"/>
        </w:rPr>
        <w:t>Notes:</w:t>
      </w:r>
      <w:r w:rsidRPr="00816657">
        <w:rPr>
          <w:rFonts w:cs="Arial"/>
          <w:i/>
          <w:color w:val="0000FF"/>
          <w:szCs w:val="20"/>
        </w:rPr>
        <w:tab/>
        <w:t>Date ranges did not always encompass the entire calendar year.</w:t>
      </w:r>
    </w:p>
    <w:p w:rsidR="00BA18A9" w:rsidRPr="00816657" w:rsidRDefault="00BA18A9" w:rsidP="00BA18A9">
      <w:pPr>
        <w:spacing w:line="240" w:lineRule="auto"/>
        <w:rPr>
          <w:rFonts w:cs="Arial"/>
          <w:i/>
          <w:color w:val="0000FF"/>
          <w:szCs w:val="20"/>
        </w:rPr>
      </w:pPr>
      <w:r w:rsidRPr="00816657">
        <w:rPr>
          <w:rFonts w:cs="Arial"/>
          <w:i/>
          <w:color w:val="0000FF"/>
          <w:szCs w:val="20"/>
        </w:rPr>
        <w:tab/>
        <w:t>A</w:t>
      </w:r>
      <w:r w:rsidR="00CC3AD5">
        <w:rPr>
          <w:rFonts w:cs="Arial"/>
          <w:i/>
          <w:color w:val="0000FF"/>
          <w:szCs w:val="20"/>
        </w:rPr>
        <w:t>n asteri</w:t>
      </w:r>
      <w:r w:rsidR="003B34D2">
        <w:rPr>
          <w:rFonts w:cs="Arial"/>
          <w:i/>
          <w:color w:val="0000FF"/>
          <w:szCs w:val="20"/>
        </w:rPr>
        <w:t>sk</w:t>
      </w:r>
      <w:r w:rsidRPr="00816657">
        <w:rPr>
          <w:rFonts w:cs="Arial"/>
          <w:i/>
          <w:color w:val="0000FF"/>
          <w:szCs w:val="20"/>
        </w:rPr>
        <w:t xml:space="preserve"> means the data in this field could not be readily analysed due to incompleteness or other reason.</w:t>
      </w:r>
    </w:p>
    <w:p w:rsidR="00BA18A9" w:rsidRPr="00816657" w:rsidRDefault="00BA18A9" w:rsidP="00BA18A9"/>
    <w:p w:rsidR="006E0080" w:rsidRDefault="00BA18A9" w:rsidP="006E0080">
      <w:pPr>
        <w:pStyle w:val="BodyText"/>
      </w:pPr>
      <w:r w:rsidRPr="00816657">
        <w:t xml:space="preserve">As </w:t>
      </w:r>
      <w:fldSimple w:instr=" REF _Ref406072697 \h  \* MERGEFORMAT ">
        <w:r w:rsidR="002F3000" w:rsidRPr="00816657">
          <w:t xml:space="preserve">Table </w:t>
        </w:r>
        <w:r w:rsidR="002F3000">
          <w:rPr>
            <w:noProof/>
          </w:rPr>
          <w:t>4</w:t>
        </w:r>
      </w:fldSimple>
      <w:r w:rsidRPr="00816657">
        <w:t xml:space="preserve"> shows, there was significant variability in the characteristics of the data received. This limited the comprehensiveness of the analysis that could be carried out. Further, a range of challenges with the data set affected its quality and the ease of interpretation</w:t>
      </w:r>
      <w:r w:rsidR="00C770ED" w:rsidRPr="00816657">
        <w:t>, as summarised in</w:t>
      </w:r>
      <w:r w:rsidR="00897B55" w:rsidRPr="00816657">
        <w:t xml:space="preserve"> </w:t>
      </w:r>
      <w:fldSimple w:instr=" REF _Ref408311113 \h  \* MERGEFORMAT ">
        <w:r w:rsidR="002F3000" w:rsidRPr="00816657">
          <w:t xml:space="preserve">Table </w:t>
        </w:r>
        <w:r w:rsidR="002F3000">
          <w:rPr>
            <w:noProof/>
          </w:rPr>
          <w:t>5</w:t>
        </w:r>
      </w:fldSimple>
      <w:r w:rsidR="00897B55" w:rsidRPr="00816657">
        <w:t>.</w:t>
      </w:r>
      <w:r w:rsidR="006B7881">
        <w:t xml:space="preserve"> </w:t>
      </w:r>
      <w:r w:rsidR="006E0080" w:rsidRPr="00816657">
        <w:t xml:space="preserve">Despite these challenges, a far-reaching insight was obtained from the data set into the trends in hazardous waste data arisings and the sources and treatments of the different waste types. A collation of the data analysis is given in Appendix </w:t>
      </w:r>
      <w:fldSimple w:instr=" REF _Ref408326096 \r \h  \* MERGEFORMAT ">
        <w:r w:rsidR="002F3000">
          <w:t>A.4</w:t>
        </w:r>
      </w:fldSimple>
      <w:r w:rsidR="006E0080" w:rsidRPr="00816657">
        <w:t xml:space="preserve">. </w:t>
      </w:r>
    </w:p>
    <w:p w:rsidR="007279B6" w:rsidRPr="00816657" w:rsidRDefault="007279B6" w:rsidP="006E0080">
      <w:pPr>
        <w:pStyle w:val="BodyText"/>
      </w:pPr>
    </w:p>
    <w:p w:rsidR="006F365B" w:rsidRDefault="006F365B">
      <w:pPr>
        <w:spacing w:line="240" w:lineRule="auto"/>
      </w:pPr>
    </w:p>
    <w:p w:rsidR="00B13534" w:rsidRPr="001141E6" w:rsidRDefault="00B13534" w:rsidP="006E0080">
      <w:pPr>
        <w:pStyle w:val="BodyText"/>
        <w:rPr>
          <w:sz w:val="2"/>
          <w:szCs w:val="2"/>
        </w:rPr>
      </w:pPr>
    </w:p>
    <w:p w:rsidR="00C770ED" w:rsidRPr="00816657" w:rsidRDefault="00C770ED" w:rsidP="00655F62">
      <w:pPr>
        <w:pStyle w:val="Figures"/>
      </w:pPr>
      <w:bookmarkStart w:id="88" w:name="_Ref408311113"/>
      <w:bookmarkStart w:id="89" w:name="_Ref409184938"/>
      <w:bookmarkStart w:id="90" w:name="_Toc425849290"/>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5</w:t>
      </w:r>
      <w:r w:rsidR="006D07F5" w:rsidRPr="00816657">
        <w:fldChar w:fldCharType="end"/>
      </w:r>
      <w:bookmarkEnd w:id="88"/>
      <w:bookmarkEnd w:id="89"/>
      <w:r w:rsidRPr="00816657">
        <w:t xml:space="preserve">: </w:t>
      </w:r>
      <w:r w:rsidRPr="00816657">
        <w:tab/>
        <w:t>Data challenges</w:t>
      </w:r>
      <w:r w:rsidR="005B1E60" w:rsidRPr="00816657">
        <w:t>, effects</w:t>
      </w:r>
      <w:r w:rsidRPr="00816657">
        <w:t xml:space="preserve"> and responses</w:t>
      </w:r>
      <w:bookmarkEnd w:id="90"/>
    </w:p>
    <w:tbl>
      <w:tblPr>
        <w:tblStyle w:val="BETable1"/>
        <w:tblW w:w="9498" w:type="dxa"/>
        <w:tblLayout w:type="fixed"/>
        <w:tblLook w:val="04A0"/>
      </w:tblPr>
      <w:tblGrid>
        <w:gridCol w:w="4820"/>
        <w:gridCol w:w="4678"/>
      </w:tblGrid>
      <w:tr w:rsidR="00C770ED" w:rsidRPr="00816657" w:rsidTr="00897B55">
        <w:trPr>
          <w:cnfStyle w:val="100000000000"/>
        </w:trPr>
        <w:tc>
          <w:tcPr>
            <w:cnfStyle w:val="001000000000"/>
            <w:tcW w:w="4820" w:type="dxa"/>
          </w:tcPr>
          <w:p w:rsidR="00C770ED" w:rsidRPr="00816657" w:rsidRDefault="00C770ED" w:rsidP="00C770ED">
            <w:r w:rsidRPr="00816657">
              <w:t>Data challenge</w:t>
            </w:r>
          </w:p>
        </w:tc>
        <w:tc>
          <w:tcPr>
            <w:tcW w:w="4678" w:type="dxa"/>
          </w:tcPr>
          <w:p w:rsidR="00C770ED" w:rsidRPr="00816657" w:rsidRDefault="00B551E6" w:rsidP="00B551E6">
            <w:pPr>
              <w:cnfStyle w:val="100000000000"/>
            </w:pPr>
            <w:r w:rsidRPr="00816657">
              <w:t>R</w:t>
            </w:r>
            <w:r w:rsidR="00D26DFF" w:rsidRPr="00816657">
              <w:t>esponse</w:t>
            </w:r>
            <w:r w:rsidRPr="00816657">
              <w:t xml:space="preserve"> to this challenge /</w:t>
            </w:r>
            <w:r w:rsidR="00D26DFF" w:rsidRPr="00816657">
              <w:t xml:space="preserve"> e</w:t>
            </w:r>
            <w:r w:rsidR="005B1E60" w:rsidRPr="00816657">
              <w:t>ffect</w:t>
            </w:r>
            <w:r w:rsidR="00D26DFF" w:rsidRPr="00816657">
              <w:t>s</w:t>
            </w:r>
            <w:r w:rsidR="005B1E60" w:rsidRPr="00816657">
              <w:t xml:space="preserve"> on the analysis</w:t>
            </w:r>
          </w:p>
        </w:tc>
      </w:tr>
      <w:tr w:rsidR="00637415" w:rsidRPr="00816657" w:rsidTr="00897B55">
        <w:tc>
          <w:tcPr>
            <w:cnfStyle w:val="001000000000"/>
            <w:tcW w:w="4820" w:type="dxa"/>
          </w:tcPr>
          <w:p w:rsidR="00637415" w:rsidRPr="00816657" w:rsidRDefault="00637415" w:rsidP="00D26DFF">
            <w:pPr>
              <w:rPr>
                <w:szCs w:val="20"/>
              </w:rPr>
            </w:pPr>
            <w:r w:rsidRPr="00816657">
              <w:rPr>
                <w:szCs w:val="20"/>
              </w:rPr>
              <w:t>Differences in the methods used by jurisdictions to track and classify waste types</w:t>
            </w:r>
          </w:p>
        </w:tc>
        <w:tc>
          <w:tcPr>
            <w:tcW w:w="4678" w:type="dxa"/>
            <w:vMerge w:val="restart"/>
            <w:vAlign w:val="center"/>
          </w:tcPr>
          <w:p w:rsidR="00476B2E" w:rsidRPr="00816657" w:rsidRDefault="00637415" w:rsidP="00466B83">
            <w:pPr>
              <w:cnfStyle w:val="000000000000"/>
              <w:rPr>
                <w:szCs w:val="20"/>
              </w:rPr>
            </w:pPr>
            <w:r w:rsidRPr="00816657">
              <w:rPr>
                <w:szCs w:val="20"/>
              </w:rPr>
              <w:t>These challenges</w:t>
            </w:r>
            <w:r w:rsidR="00476B2E" w:rsidRPr="00816657">
              <w:rPr>
                <w:szCs w:val="20"/>
              </w:rPr>
              <w:t xml:space="preserve"> </w:t>
            </w:r>
            <w:r w:rsidR="00476B2E" w:rsidRPr="00816657">
              <w:rPr>
                <w:color w:val="080808"/>
                <w:szCs w:val="20"/>
              </w:rPr>
              <w:t xml:space="preserve">are canvassed in </w:t>
            </w:r>
            <w:r w:rsidR="00476B2E" w:rsidRPr="00816657">
              <w:rPr>
                <w:szCs w:val="20"/>
              </w:rPr>
              <w:t>Appendix</w:t>
            </w:r>
            <w:r w:rsidR="00F436C3" w:rsidRPr="00816657">
              <w:rPr>
                <w:szCs w:val="20"/>
              </w:rPr>
              <w:t xml:space="preserve"> </w:t>
            </w:r>
            <w:r w:rsidR="006D07F5" w:rsidRPr="00816657">
              <w:rPr>
                <w:szCs w:val="20"/>
              </w:rPr>
              <w:fldChar w:fldCharType="begin"/>
            </w:r>
            <w:r w:rsidR="00F436C3" w:rsidRPr="00816657">
              <w:rPr>
                <w:szCs w:val="20"/>
              </w:rPr>
              <w:instrText xml:space="preserve"> REF _Ref408325963 \r \h </w:instrText>
            </w:r>
            <w:r w:rsidR="006D07F5" w:rsidRPr="00816657">
              <w:rPr>
                <w:szCs w:val="20"/>
              </w:rPr>
            </w:r>
            <w:r w:rsidR="006D07F5" w:rsidRPr="00816657">
              <w:rPr>
                <w:szCs w:val="20"/>
              </w:rPr>
              <w:fldChar w:fldCharType="separate"/>
            </w:r>
            <w:r w:rsidR="002F3000">
              <w:rPr>
                <w:szCs w:val="20"/>
              </w:rPr>
              <w:t>A.3</w:t>
            </w:r>
            <w:r w:rsidR="006D07F5" w:rsidRPr="00816657">
              <w:rPr>
                <w:szCs w:val="20"/>
              </w:rPr>
              <w:fldChar w:fldCharType="end"/>
            </w:r>
            <w:r w:rsidR="00476B2E" w:rsidRPr="00816657">
              <w:rPr>
                <w:szCs w:val="20"/>
              </w:rPr>
              <w:t xml:space="preserve">, </w:t>
            </w:r>
            <w:r w:rsidR="00476B2E" w:rsidRPr="00816657">
              <w:rPr>
                <w:color w:val="080808"/>
                <w:szCs w:val="20"/>
              </w:rPr>
              <w:t xml:space="preserve">together with an account, for each issue, of why this was problematic for the analysis, an estimate of the scale of the issue, a discussion of how it has been dealt with in the past, and a description of how it was dealt with in </w:t>
            </w:r>
            <w:r w:rsidR="00466B83" w:rsidRPr="00816657">
              <w:rPr>
                <w:color w:val="080808"/>
                <w:szCs w:val="20"/>
              </w:rPr>
              <w:t>completing</w:t>
            </w:r>
            <w:r w:rsidR="00476B2E" w:rsidRPr="00816657">
              <w:rPr>
                <w:color w:val="080808"/>
                <w:szCs w:val="20"/>
              </w:rPr>
              <w:t xml:space="preserve"> this analysis.</w:t>
            </w:r>
          </w:p>
        </w:tc>
      </w:tr>
      <w:tr w:rsidR="00637415" w:rsidRPr="00816657" w:rsidTr="00897B55">
        <w:tc>
          <w:tcPr>
            <w:cnfStyle w:val="001000000000"/>
            <w:tcW w:w="4820" w:type="dxa"/>
          </w:tcPr>
          <w:p w:rsidR="00637415" w:rsidRPr="00816657" w:rsidRDefault="00637415" w:rsidP="00890187">
            <w:pPr>
              <w:rPr>
                <w:szCs w:val="20"/>
              </w:rPr>
            </w:pPr>
            <w:r w:rsidRPr="00816657">
              <w:rPr>
                <w:szCs w:val="20"/>
              </w:rPr>
              <w:t>Multiple counting of waste</w:t>
            </w:r>
          </w:p>
        </w:tc>
        <w:tc>
          <w:tcPr>
            <w:tcW w:w="4678" w:type="dxa"/>
            <w:vMerge/>
          </w:tcPr>
          <w:p w:rsidR="00637415" w:rsidRPr="00816657" w:rsidRDefault="00637415" w:rsidP="005B1E60">
            <w:pPr>
              <w:cnfStyle w:val="000000000000"/>
              <w:rPr>
                <w:szCs w:val="20"/>
              </w:rPr>
            </w:pPr>
          </w:p>
        </w:tc>
      </w:tr>
      <w:tr w:rsidR="00637415" w:rsidRPr="00816657" w:rsidTr="00897B55">
        <w:tc>
          <w:tcPr>
            <w:cnfStyle w:val="001000000000"/>
            <w:tcW w:w="4820" w:type="dxa"/>
          </w:tcPr>
          <w:p w:rsidR="00637415" w:rsidRPr="00816657" w:rsidRDefault="00637415" w:rsidP="00637415">
            <w:pPr>
              <w:rPr>
                <w:szCs w:val="20"/>
              </w:rPr>
            </w:pPr>
            <w:r w:rsidRPr="00816657">
              <w:rPr>
                <w:szCs w:val="20"/>
              </w:rPr>
              <w:t>Potential storage release spikes (which undermine the interpretation of trends)</w:t>
            </w:r>
          </w:p>
        </w:tc>
        <w:tc>
          <w:tcPr>
            <w:tcW w:w="4678" w:type="dxa"/>
            <w:vMerge/>
          </w:tcPr>
          <w:p w:rsidR="00637415" w:rsidRPr="00816657" w:rsidRDefault="00637415" w:rsidP="005B1E60">
            <w:pPr>
              <w:cnfStyle w:val="000000000000"/>
              <w:rPr>
                <w:szCs w:val="20"/>
              </w:rPr>
            </w:pPr>
          </w:p>
        </w:tc>
      </w:tr>
      <w:tr w:rsidR="00637415" w:rsidRPr="00816657" w:rsidTr="00897B55">
        <w:tc>
          <w:tcPr>
            <w:cnfStyle w:val="001000000000"/>
            <w:tcW w:w="4820" w:type="dxa"/>
          </w:tcPr>
          <w:p w:rsidR="00637415" w:rsidRPr="00816657" w:rsidRDefault="00637415" w:rsidP="00637415">
            <w:pPr>
              <w:rPr>
                <w:szCs w:val="20"/>
              </w:rPr>
            </w:pPr>
            <w:r w:rsidRPr="00816657">
              <w:rPr>
                <w:szCs w:val="20"/>
              </w:rPr>
              <w:t>Definitional challenges such as whether to report onsite disposal</w:t>
            </w:r>
          </w:p>
        </w:tc>
        <w:tc>
          <w:tcPr>
            <w:tcW w:w="4678" w:type="dxa"/>
            <w:vMerge/>
          </w:tcPr>
          <w:p w:rsidR="00637415" w:rsidRPr="00816657" w:rsidRDefault="00637415" w:rsidP="005B1E60">
            <w:pPr>
              <w:cnfStyle w:val="000000000000"/>
              <w:rPr>
                <w:szCs w:val="20"/>
              </w:rPr>
            </w:pPr>
          </w:p>
        </w:tc>
      </w:tr>
      <w:tr w:rsidR="00637415" w:rsidRPr="00816657" w:rsidTr="00897B55">
        <w:tc>
          <w:tcPr>
            <w:cnfStyle w:val="001000000000"/>
            <w:tcW w:w="4820" w:type="dxa"/>
          </w:tcPr>
          <w:p w:rsidR="00637415" w:rsidRPr="00816657" w:rsidRDefault="00637415" w:rsidP="00B551E6">
            <w:pPr>
              <w:rPr>
                <w:szCs w:val="20"/>
              </w:rPr>
            </w:pPr>
            <w:r w:rsidRPr="00816657">
              <w:rPr>
                <w:szCs w:val="20"/>
              </w:rPr>
              <w:t>Differences in measurement methods (mass, volume, numbers of items)</w:t>
            </w:r>
          </w:p>
        </w:tc>
        <w:tc>
          <w:tcPr>
            <w:tcW w:w="4678" w:type="dxa"/>
            <w:vMerge/>
          </w:tcPr>
          <w:p w:rsidR="00637415" w:rsidRPr="00816657" w:rsidRDefault="00637415" w:rsidP="005B1E60">
            <w:pPr>
              <w:cnfStyle w:val="000000000000"/>
              <w:rPr>
                <w:szCs w:val="20"/>
              </w:rPr>
            </w:pPr>
          </w:p>
        </w:tc>
      </w:tr>
      <w:tr w:rsidR="00C770ED" w:rsidRPr="00816657" w:rsidTr="00897B55">
        <w:tc>
          <w:tcPr>
            <w:cnfStyle w:val="001000000000"/>
            <w:tcW w:w="4820" w:type="dxa"/>
          </w:tcPr>
          <w:p w:rsidR="00C770ED" w:rsidRPr="00816657" w:rsidRDefault="00D26DFF" w:rsidP="00D26DFF">
            <w:pPr>
              <w:rPr>
                <w:szCs w:val="20"/>
              </w:rPr>
            </w:pPr>
            <w:r w:rsidRPr="00816657">
              <w:rPr>
                <w:szCs w:val="20"/>
              </w:rPr>
              <w:t>Differences in the</w:t>
            </w:r>
            <w:r w:rsidR="005B1E60" w:rsidRPr="00816657">
              <w:rPr>
                <w:szCs w:val="20"/>
              </w:rPr>
              <w:t xml:space="preserve"> methods used by </w:t>
            </w:r>
            <w:r w:rsidR="00C770ED" w:rsidRPr="00816657">
              <w:rPr>
                <w:szCs w:val="20"/>
              </w:rPr>
              <w:t xml:space="preserve">jurisdictions </w:t>
            </w:r>
            <w:r w:rsidR="005B1E60" w:rsidRPr="00816657">
              <w:rPr>
                <w:szCs w:val="20"/>
              </w:rPr>
              <w:t xml:space="preserve">to </w:t>
            </w:r>
            <w:r w:rsidR="00C770ED" w:rsidRPr="00816657">
              <w:rPr>
                <w:szCs w:val="20"/>
              </w:rPr>
              <w:t>classify treatment types and source industries</w:t>
            </w:r>
            <w:r w:rsidRPr="00816657">
              <w:rPr>
                <w:szCs w:val="20"/>
              </w:rPr>
              <w:t>.</w:t>
            </w:r>
          </w:p>
        </w:tc>
        <w:tc>
          <w:tcPr>
            <w:tcW w:w="4678" w:type="dxa"/>
          </w:tcPr>
          <w:p w:rsidR="00C770ED" w:rsidRPr="00816657" w:rsidRDefault="005B1E60" w:rsidP="005B1E60">
            <w:pPr>
              <w:cnfStyle w:val="000000000000"/>
              <w:rPr>
                <w:szCs w:val="20"/>
              </w:rPr>
            </w:pPr>
            <w:r w:rsidRPr="00816657">
              <w:rPr>
                <w:szCs w:val="20"/>
              </w:rPr>
              <w:t>These differences limited and complicated the analyses, requiring multiple conversions to common platforms. In some cases the conversions were based on estimates.</w:t>
            </w:r>
          </w:p>
        </w:tc>
      </w:tr>
      <w:tr w:rsidR="00476B2E" w:rsidRPr="00816657" w:rsidTr="00897B55">
        <w:tc>
          <w:tcPr>
            <w:cnfStyle w:val="001000000000"/>
            <w:tcW w:w="4820" w:type="dxa"/>
          </w:tcPr>
          <w:p w:rsidR="00476B2E" w:rsidRPr="00816657" w:rsidRDefault="00476B2E" w:rsidP="00C770ED">
            <w:pPr>
              <w:rPr>
                <w:szCs w:val="20"/>
              </w:rPr>
            </w:pPr>
            <w:r w:rsidRPr="00816657">
              <w:rPr>
                <w:szCs w:val="20"/>
              </w:rPr>
              <w:t>Apparently imperfect levels of industry compliance with waste tracking requirements, especially in the early years of system operation.</w:t>
            </w:r>
          </w:p>
        </w:tc>
        <w:tc>
          <w:tcPr>
            <w:tcW w:w="4678" w:type="dxa"/>
            <w:vMerge w:val="restart"/>
            <w:vAlign w:val="center"/>
          </w:tcPr>
          <w:p w:rsidR="00476B2E" w:rsidRPr="00816657" w:rsidRDefault="00476B2E" w:rsidP="00FA68A6">
            <w:pPr>
              <w:cnfStyle w:val="000000000000"/>
              <w:rPr>
                <w:szCs w:val="20"/>
              </w:rPr>
            </w:pPr>
            <w:r w:rsidRPr="00816657">
              <w:rPr>
                <w:szCs w:val="20"/>
              </w:rPr>
              <w:t xml:space="preserve">This reduced the reliance that could be placed on </w:t>
            </w:r>
            <w:r w:rsidR="00FA68A6" w:rsidRPr="00816657">
              <w:rPr>
                <w:szCs w:val="20"/>
              </w:rPr>
              <w:t>the data baseline and apparent trends.</w:t>
            </w:r>
            <w:r w:rsidRPr="00816657">
              <w:rPr>
                <w:szCs w:val="20"/>
              </w:rPr>
              <w:t xml:space="preserve"> </w:t>
            </w:r>
          </w:p>
        </w:tc>
      </w:tr>
      <w:tr w:rsidR="00476B2E" w:rsidRPr="00816657" w:rsidTr="00897B55">
        <w:tc>
          <w:tcPr>
            <w:cnfStyle w:val="001000000000"/>
            <w:tcW w:w="4820" w:type="dxa"/>
          </w:tcPr>
          <w:p w:rsidR="00476B2E" w:rsidRPr="00816657" w:rsidRDefault="00476B2E" w:rsidP="00476B2E">
            <w:pPr>
              <w:rPr>
                <w:szCs w:val="20"/>
              </w:rPr>
            </w:pPr>
            <w:r w:rsidRPr="00816657">
              <w:rPr>
                <w:szCs w:val="20"/>
              </w:rPr>
              <w:t xml:space="preserve">Apparent differences in the codes that reporters use in describing similar wastes. </w:t>
            </w:r>
          </w:p>
        </w:tc>
        <w:tc>
          <w:tcPr>
            <w:tcW w:w="4678" w:type="dxa"/>
            <w:vMerge/>
            <w:vAlign w:val="center"/>
          </w:tcPr>
          <w:p w:rsidR="00476B2E" w:rsidRPr="00816657" w:rsidRDefault="00476B2E" w:rsidP="00C770ED">
            <w:pPr>
              <w:cnfStyle w:val="000000000000"/>
              <w:rPr>
                <w:szCs w:val="20"/>
              </w:rPr>
            </w:pPr>
          </w:p>
        </w:tc>
      </w:tr>
      <w:tr w:rsidR="00476B2E" w:rsidRPr="00816657" w:rsidTr="00897B55">
        <w:tc>
          <w:tcPr>
            <w:cnfStyle w:val="001000000000"/>
            <w:tcW w:w="4820" w:type="dxa"/>
          </w:tcPr>
          <w:p w:rsidR="00476B2E" w:rsidRPr="00816657" w:rsidRDefault="00476B2E" w:rsidP="00C770ED">
            <w:pPr>
              <w:rPr>
                <w:szCs w:val="20"/>
              </w:rPr>
            </w:pPr>
            <w:r w:rsidRPr="00816657">
              <w:rPr>
                <w:szCs w:val="20"/>
              </w:rPr>
              <w:t>Potential variability in how users nominate a category for a particular waste type.</w:t>
            </w:r>
          </w:p>
        </w:tc>
        <w:tc>
          <w:tcPr>
            <w:tcW w:w="4678" w:type="dxa"/>
            <w:vMerge/>
          </w:tcPr>
          <w:p w:rsidR="00476B2E" w:rsidRPr="00816657" w:rsidRDefault="00476B2E" w:rsidP="00C770ED">
            <w:pPr>
              <w:cnfStyle w:val="000000000000"/>
              <w:rPr>
                <w:szCs w:val="20"/>
              </w:rPr>
            </w:pPr>
          </w:p>
        </w:tc>
      </w:tr>
    </w:tbl>
    <w:p w:rsidR="006B7881" w:rsidRDefault="006B7881" w:rsidP="00BA18A9">
      <w:pPr>
        <w:spacing w:after="120" w:line="240" w:lineRule="auto"/>
        <w:outlineLvl w:val="2"/>
      </w:pPr>
    </w:p>
    <w:p w:rsidR="00BA18A9" w:rsidRPr="00816657" w:rsidRDefault="00BA18A9" w:rsidP="007F5BD4">
      <w:pPr>
        <w:spacing w:before="120" w:after="120" w:line="240" w:lineRule="auto"/>
        <w:outlineLvl w:val="2"/>
        <w:rPr>
          <w:rFonts w:ascii="Arial Rounded MT Bold" w:hAnsi="Arial Rounded MT Bold" w:cs="Arial"/>
          <w:color w:val="0000FF"/>
          <w:sz w:val="22"/>
        </w:rPr>
      </w:pPr>
      <w:r w:rsidRPr="00816657">
        <w:rPr>
          <w:rFonts w:ascii="Arial Rounded MT Bold" w:hAnsi="Arial Rounded MT Bold" w:cs="Arial"/>
          <w:color w:val="0000FF"/>
          <w:sz w:val="22"/>
        </w:rPr>
        <w:t>Industry activity projections and analyses</w:t>
      </w:r>
    </w:p>
    <w:p w:rsidR="00BA18A9" w:rsidRPr="00816657" w:rsidRDefault="00BA18A9" w:rsidP="008B1108">
      <w:pPr>
        <w:pStyle w:val="BodyText"/>
      </w:pPr>
      <w:r w:rsidRPr="00816657">
        <w:t xml:space="preserve">Information about particular industries was used to inform projections of some wastes that are strongly associated with particular industry types. These are summarised in </w:t>
      </w:r>
      <w:fldSimple w:instr=" REF _Ref406181018 \h  \* MERGEFORMAT ">
        <w:r w:rsidR="002F3000" w:rsidRPr="00816657">
          <w:t xml:space="preserve">Table </w:t>
        </w:r>
        <w:r w:rsidR="002F3000">
          <w:rPr>
            <w:noProof/>
          </w:rPr>
          <w:t>6</w:t>
        </w:r>
      </w:fldSimple>
      <w:r w:rsidRPr="00816657">
        <w:t>.</w:t>
      </w:r>
    </w:p>
    <w:p w:rsidR="00B13534" w:rsidRPr="00816657" w:rsidRDefault="00B13534" w:rsidP="008B1108">
      <w:pPr>
        <w:pStyle w:val="BodyText"/>
      </w:pPr>
    </w:p>
    <w:p w:rsidR="00BA18A9" w:rsidRPr="00816657" w:rsidRDefault="00BA18A9" w:rsidP="00655F62">
      <w:pPr>
        <w:pStyle w:val="Figures"/>
      </w:pPr>
      <w:bookmarkStart w:id="91" w:name="_Ref406181018"/>
      <w:bookmarkStart w:id="92" w:name="_Toc406412245"/>
      <w:bookmarkStart w:id="93" w:name="_Toc425849291"/>
      <w:r w:rsidRPr="00816657">
        <w:t xml:space="preserve">Table </w:t>
      </w:r>
      <w:r w:rsidR="006D07F5" w:rsidRPr="00816657">
        <w:fldChar w:fldCharType="begin"/>
      </w:r>
      <w:r w:rsidRPr="00816657">
        <w:instrText xml:space="preserve"> SEQ Table \* ARABIC </w:instrText>
      </w:r>
      <w:r w:rsidR="006D07F5" w:rsidRPr="00816657">
        <w:fldChar w:fldCharType="separate"/>
      </w:r>
      <w:r w:rsidR="002F3000">
        <w:rPr>
          <w:noProof/>
        </w:rPr>
        <w:t>6</w:t>
      </w:r>
      <w:r w:rsidR="006D07F5" w:rsidRPr="00816657">
        <w:fldChar w:fldCharType="end"/>
      </w:r>
      <w:bookmarkEnd w:id="91"/>
      <w:r w:rsidRPr="00816657">
        <w:t xml:space="preserve">: </w:t>
      </w:r>
      <w:r w:rsidRPr="00816657">
        <w:tab/>
      </w:r>
      <w:bookmarkStart w:id="94" w:name="_Ref406181003"/>
      <w:r w:rsidRPr="00816657">
        <w:t>Industry activity projections and analyses and their use in the projections</w:t>
      </w:r>
      <w:bookmarkEnd w:id="92"/>
      <w:bookmarkEnd w:id="93"/>
      <w:bookmarkEnd w:id="94"/>
    </w:p>
    <w:tbl>
      <w:tblPr>
        <w:tblStyle w:val="BETable11"/>
        <w:tblW w:w="9070" w:type="dxa"/>
        <w:tblLayout w:type="fixed"/>
        <w:tblLook w:val="04A0"/>
      </w:tblPr>
      <w:tblGrid>
        <w:gridCol w:w="3023"/>
        <w:gridCol w:w="3023"/>
        <w:gridCol w:w="3024"/>
      </w:tblGrid>
      <w:tr w:rsidR="00BA18A9" w:rsidRPr="00816657" w:rsidTr="00BA18A9">
        <w:trPr>
          <w:cnfStyle w:val="100000000000"/>
        </w:trPr>
        <w:tc>
          <w:tcPr>
            <w:cnfStyle w:val="001000000000"/>
            <w:tcW w:w="3023" w:type="dxa"/>
          </w:tcPr>
          <w:p w:rsidR="00BA18A9" w:rsidRPr="00816657" w:rsidRDefault="00BA18A9" w:rsidP="00BA18A9">
            <w:pPr>
              <w:rPr>
                <w:b w:val="0"/>
              </w:rPr>
            </w:pPr>
            <w:r w:rsidRPr="00816657">
              <w:rPr>
                <w:b w:val="0"/>
              </w:rPr>
              <w:t>Industry</w:t>
            </w:r>
          </w:p>
        </w:tc>
        <w:tc>
          <w:tcPr>
            <w:tcW w:w="3023" w:type="dxa"/>
          </w:tcPr>
          <w:p w:rsidR="00BA18A9" w:rsidRPr="00816657" w:rsidRDefault="00BA18A9" w:rsidP="00BA18A9">
            <w:pPr>
              <w:cnfStyle w:val="100000000000"/>
              <w:rPr>
                <w:b w:val="0"/>
              </w:rPr>
            </w:pPr>
            <w:r w:rsidRPr="00816657">
              <w:rPr>
                <w:b w:val="0"/>
              </w:rPr>
              <w:t>Related wastes</w:t>
            </w:r>
          </w:p>
        </w:tc>
        <w:tc>
          <w:tcPr>
            <w:tcW w:w="3024" w:type="dxa"/>
          </w:tcPr>
          <w:p w:rsidR="00BA18A9" w:rsidRPr="00816657" w:rsidRDefault="00BA18A9" w:rsidP="00BA18A9">
            <w:pPr>
              <w:cnfStyle w:val="100000000000"/>
              <w:rPr>
                <w:b w:val="0"/>
              </w:rPr>
            </w:pPr>
            <w:r w:rsidRPr="00816657">
              <w:rPr>
                <w:b w:val="0"/>
              </w:rPr>
              <w:t>Primary information source(s)</w:t>
            </w:r>
          </w:p>
        </w:tc>
      </w:tr>
      <w:tr w:rsidR="00BA18A9" w:rsidRPr="00816657" w:rsidTr="00BA18A9">
        <w:tc>
          <w:tcPr>
            <w:cnfStyle w:val="001000000000"/>
            <w:tcW w:w="3023" w:type="dxa"/>
          </w:tcPr>
          <w:p w:rsidR="00BA18A9" w:rsidRPr="00816657" w:rsidRDefault="00BA18A9" w:rsidP="00BA18A9">
            <w:r w:rsidRPr="00816657">
              <w:t>Coal seam gas extraction</w:t>
            </w:r>
          </w:p>
        </w:tc>
        <w:tc>
          <w:tcPr>
            <w:tcW w:w="3023" w:type="dxa"/>
          </w:tcPr>
          <w:p w:rsidR="00BA18A9" w:rsidRPr="00816657" w:rsidRDefault="00BA18A9" w:rsidP="00BA18A9">
            <w:pPr>
              <w:cnfStyle w:val="000000000000"/>
            </w:pPr>
            <w:r w:rsidRPr="00816657">
              <w:t>Non-toxic salts, alkalis</w:t>
            </w:r>
          </w:p>
        </w:tc>
        <w:tc>
          <w:tcPr>
            <w:tcW w:w="3024" w:type="dxa"/>
          </w:tcPr>
          <w:p w:rsidR="00BA18A9" w:rsidRPr="00816657" w:rsidRDefault="00BA18A9" w:rsidP="00BA18A9">
            <w:pPr>
              <w:cnfStyle w:val="000000000000"/>
            </w:pPr>
            <w:r w:rsidRPr="00816657">
              <w:t>ABC (2014)</w:t>
            </w:r>
          </w:p>
        </w:tc>
      </w:tr>
      <w:tr w:rsidR="00BA18A9" w:rsidRPr="00816657" w:rsidTr="00BA18A9">
        <w:tc>
          <w:tcPr>
            <w:cnfStyle w:val="001000000000"/>
            <w:tcW w:w="3023" w:type="dxa"/>
          </w:tcPr>
          <w:p w:rsidR="00BA18A9" w:rsidRPr="00816657" w:rsidRDefault="00BA18A9" w:rsidP="00BA18A9">
            <w:r w:rsidRPr="00816657">
              <w:t>Aluminium smelting</w:t>
            </w:r>
          </w:p>
        </w:tc>
        <w:tc>
          <w:tcPr>
            <w:tcW w:w="3023" w:type="dxa"/>
          </w:tcPr>
          <w:p w:rsidR="00BA18A9" w:rsidRPr="00816657" w:rsidRDefault="00BA18A9" w:rsidP="00BA18A9">
            <w:pPr>
              <w:cnfStyle w:val="000000000000"/>
            </w:pPr>
            <w:r w:rsidRPr="00816657">
              <w:t>A</w:t>
            </w:r>
            <w:r w:rsidR="00325BC9" w:rsidRPr="00816657">
              <w:t>cids, Other inorganic chemicals</w:t>
            </w:r>
            <w:r w:rsidRPr="00816657">
              <w:t xml:space="preserve"> </w:t>
            </w:r>
          </w:p>
        </w:tc>
        <w:tc>
          <w:tcPr>
            <w:tcW w:w="3024" w:type="dxa"/>
          </w:tcPr>
          <w:p w:rsidR="00BA18A9" w:rsidRPr="00816657" w:rsidRDefault="00BA18A9" w:rsidP="00BA18A9">
            <w:pPr>
              <w:cnfStyle w:val="000000000000"/>
            </w:pPr>
            <w:r w:rsidRPr="00816657">
              <w:t>JCP (2012), Alcoa (2014)</w:t>
            </w:r>
          </w:p>
        </w:tc>
      </w:tr>
      <w:tr w:rsidR="00BA18A9" w:rsidRPr="00816657" w:rsidTr="00BA18A9">
        <w:tc>
          <w:tcPr>
            <w:cnfStyle w:val="001000000000"/>
            <w:tcW w:w="3023" w:type="dxa"/>
          </w:tcPr>
          <w:p w:rsidR="00BA18A9" w:rsidRPr="00816657" w:rsidRDefault="00BA18A9" w:rsidP="00BA18A9">
            <w:r w:rsidRPr="00816657">
              <w:t>Gas and oil extraction</w:t>
            </w:r>
          </w:p>
        </w:tc>
        <w:tc>
          <w:tcPr>
            <w:tcW w:w="3023" w:type="dxa"/>
          </w:tcPr>
          <w:p w:rsidR="00BA18A9" w:rsidRPr="00816657" w:rsidRDefault="00BA18A9" w:rsidP="00BA18A9">
            <w:pPr>
              <w:cnfStyle w:val="000000000000"/>
            </w:pPr>
            <w:r w:rsidRPr="00816657">
              <w:t>Alkalis, oils</w:t>
            </w:r>
          </w:p>
        </w:tc>
        <w:tc>
          <w:tcPr>
            <w:tcW w:w="3024" w:type="dxa"/>
          </w:tcPr>
          <w:p w:rsidR="00BA18A9" w:rsidRPr="00816657" w:rsidRDefault="00BA18A9" w:rsidP="00BA18A9">
            <w:pPr>
              <w:cnfStyle w:val="000000000000"/>
            </w:pPr>
            <w:r w:rsidRPr="00816657">
              <w:t>IBIS (2014)</w:t>
            </w:r>
          </w:p>
        </w:tc>
      </w:tr>
      <w:tr w:rsidR="00BA18A9" w:rsidRPr="00816657" w:rsidTr="00BA18A9">
        <w:tc>
          <w:tcPr>
            <w:cnfStyle w:val="001000000000"/>
            <w:tcW w:w="3023" w:type="dxa"/>
          </w:tcPr>
          <w:p w:rsidR="00BA18A9" w:rsidRPr="00816657" w:rsidRDefault="00BA18A9" w:rsidP="00BA18A9">
            <w:r w:rsidRPr="00816657">
              <w:t>Leather and leather substitute product manufacture</w:t>
            </w:r>
          </w:p>
        </w:tc>
        <w:tc>
          <w:tcPr>
            <w:tcW w:w="3023" w:type="dxa"/>
          </w:tcPr>
          <w:p w:rsidR="00BA18A9" w:rsidRPr="00816657" w:rsidRDefault="00BA18A9" w:rsidP="00BA18A9">
            <w:pPr>
              <w:cnfStyle w:val="000000000000"/>
            </w:pPr>
            <w:r w:rsidRPr="00816657">
              <w:t>Tannery &amp; wool scouring wastes</w:t>
            </w:r>
          </w:p>
        </w:tc>
        <w:tc>
          <w:tcPr>
            <w:tcW w:w="3024" w:type="dxa"/>
          </w:tcPr>
          <w:p w:rsidR="00BA18A9" w:rsidRPr="00816657" w:rsidRDefault="00BA18A9" w:rsidP="00BA18A9">
            <w:pPr>
              <w:cnfStyle w:val="000000000000"/>
            </w:pPr>
            <w:r w:rsidRPr="00816657">
              <w:t>IBIS (2014)</w:t>
            </w:r>
          </w:p>
        </w:tc>
      </w:tr>
      <w:tr w:rsidR="00BA18A9" w:rsidRPr="00816657" w:rsidTr="00BA18A9">
        <w:tc>
          <w:tcPr>
            <w:cnfStyle w:val="001000000000"/>
            <w:tcW w:w="3023" w:type="dxa"/>
          </w:tcPr>
          <w:p w:rsidR="00BA18A9" w:rsidRPr="00816657" w:rsidRDefault="00BA18A9" w:rsidP="00BA18A9">
            <w:r w:rsidRPr="00816657">
              <w:t>Meat processing</w:t>
            </w:r>
          </w:p>
        </w:tc>
        <w:tc>
          <w:tcPr>
            <w:tcW w:w="3023" w:type="dxa"/>
          </w:tcPr>
          <w:p w:rsidR="00BA18A9" w:rsidRPr="00816657" w:rsidRDefault="00BA18A9" w:rsidP="00BA18A9">
            <w:pPr>
              <w:cnfStyle w:val="000000000000"/>
            </w:pPr>
            <w:r w:rsidRPr="00816657">
              <w:t xml:space="preserve">Animal effluent and residues </w:t>
            </w:r>
          </w:p>
          <w:p w:rsidR="00BA18A9" w:rsidRPr="00816657" w:rsidRDefault="00BA18A9" w:rsidP="00BA18A9">
            <w:pPr>
              <w:cnfStyle w:val="000000000000"/>
            </w:pPr>
            <w:r w:rsidRPr="00816657">
              <w:t>(+ food processing waste)</w:t>
            </w:r>
          </w:p>
        </w:tc>
        <w:tc>
          <w:tcPr>
            <w:tcW w:w="3024" w:type="dxa"/>
          </w:tcPr>
          <w:p w:rsidR="00BA18A9" w:rsidRPr="00816657" w:rsidRDefault="00BA18A9" w:rsidP="00BA18A9">
            <w:pPr>
              <w:cnfStyle w:val="000000000000"/>
            </w:pPr>
            <w:r w:rsidRPr="00816657">
              <w:t>IBIS (2014)</w:t>
            </w:r>
          </w:p>
        </w:tc>
      </w:tr>
      <w:tr w:rsidR="00BA18A9" w:rsidRPr="00816657" w:rsidTr="00BA18A9">
        <w:tc>
          <w:tcPr>
            <w:cnfStyle w:val="001000000000"/>
            <w:tcW w:w="3023" w:type="dxa"/>
          </w:tcPr>
          <w:p w:rsidR="00BA18A9" w:rsidRPr="00816657" w:rsidRDefault="00BA18A9" w:rsidP="00BA18A9">
            <w:r w:rsidRPr="00816657">
              <w:t>Cement and lime industry</w:t>
            </w:r>
          </w:p>
        </w:tc>
        <w:tc>
          <w:tcPr>
            <w:tcW w:w="3023" w:type="dxa"/>
          </w:tcPr>
          <w:p w:rsidR="00BA18A9" w:rsidRPr="00816657" w:rsidRDefault="00BA18A9" w:rsidP="00BA18A9">
            <w:pPr>
              <w:cnfStyle w:val="000000000000"/>
            </w:pPr>
            <w:r w:rsidRPr="00816657">
              <w:t>Alkalis</w:t>
            </w:r>
          </w:p>
        </w:tc>
        <w:tc>
          <w:tcPr>
            <w:tcW w:w="3024" w:type="dxa"/>
          </w:tcPr>
          <w:p w:rsidR="00BA18A9" w:rsidRPr="00816657" w:rsidRDefault="00BA18A9" w:rsidP="00BA18A9">
            <w:pPr>
              <w:cnfStyle w:val="000000000000"/>
            </w:pPr>
            <w:r w:rsidRPr="00816657">
              <w:t>DoE (2012a)</w:t>
            </w:r>
          </w:p>
        </w:tc>
      </w:tr>
      <w:tr w:rsidR="00BA18A9" w:rsidRPr="00816657" w:rsidTr="00BA18A9">
        <w:tc>
          <w:tcPr>
            <w:cnfStyle w:val="001000000000"/>
            <w:tcW w:w="3023" w:type="dxa"/>
          </w:tcPr>
          <w:p w:rsidR="00BA18A9" w:rsidRPr="00816657" w:rsidRDefault="00BA18A9" w:rsidP="00BA18A9">
            <w:r w:rsidRPr="00816657">
              <w:t>Petroleum production and refining</w:t>
            </w:r>
          </w:p>
        </w:tc>
        <w:tc>
          <w:tcPr>
            <w:tcW w:w="3023" w:type="dxa"/>
          </w:tcPr>
          <w:p w:rsidR="00BA18A9" w:rsidRPr="00816657" w:rsidRDefault="00BA18A9" w:rsidP="00BA18A9">
            <w:pPr>
              <w:cnfStyle w:val="000000000000"/>
            </w:pPr>
            <w:r w:rsidRPr="00816657">
              <w:t>Alkalis</w:t>
            </w:r>
          </w:p>
        </w:tc>
        <w:tc>
          <w:tcPr>
            <w:tcW w:w="3024" w:type="dxa"/>
          </w:tcPr>
          <w:p w:rsidR="00BA18A9" w:rsidRPr="00816657" w:rsidRDefault="00BA18A9" w:rsidP="00BA18A9">
            <w:pPr>
              <w:cnfStyle w:val="000000000000"/>
            </w:pPr>
            <w:r w:rsidRPr="00816657">
              <w:t>MJA &amp; SRU (2014)</w:t>
            </w:r>
          </w:p>
        </w:tc>
      </w:tr>
    </w:tbl>
    <w:p w:rsidR="00885950" w:rsidRDefault="00885950" w:rsidP="00885950">
      <w:pPr>
        <w:pStyle w:val="BodyText"/>
      </w:pPr>
      <w:bookmarkStart w:id="95" w:name="_Toc421042282"/>
      <w:bookmarkStart w:id="96" w:name="_Toc421043482"/>
      <w:bookmarkStart w:id="97" w:name="_Toc421048465"/>
      <w:bookmarkStart w:id="98" w:name="_Toc421054581"/>
      <w:bookmarkStart w:id="99" w:name="_Toc421086279"/>
      <w:bookmarkStart w:id="100" w:name="_Toc421126654"/>
      <w:bookmarkEnd w:id="95"/>
      <w:bookmarkEnd w:id="96"/>
      <w:bookmarkEnd w:id="97"/>
      <w:bookmarkEnd w:id="98"/>
      <w:bookmarkEnd w:id="99"/>
      <w:bookmarkEnd w:id="100"/>
    </w:p>
    <w:p w:rsidR="00BA18A9" w:rsidRPr="00816657" w:rsidRDefault="006F365B">
      <w:pPr>
        <w:pStyle w:val="Heading2"/>
      </w:pPr>
      <w:bookmarkStart w:id="101" w:name="_Toc425849157"/>
      <w:r>
        <w:t>Establishing the baseline</w:t>
      </w:r>
      <w:bookmarkEnd w:id="101"/>
    </w:p>
    <w:p w:rsidR="00BA18A9" w:rsidRPr="00816657" w:rsidRDefault="00BA18A9" w:rsidP="008B1108">
      <w:pPr>
        <w:pStyle w:val="BodyText"/>
      </w:pPr>
      <w:r w:rsidRPr="00816657">
        <w:t>A</w:t>
      </w:r>
      <w:r w:rsidR="002C5480">
        <w:t xml:space="preserve"> starting point or</w:t>
      </w:r>
      <w:r w:rsidRPr="00816657">
        <w:t xml:space="preserve"> baseline</w:t>
      </w:r>
      <w:r w:rsidR="003C5AF2" w:rsidRPr="00816657">
        <w:t xml:space="preserve"> tonnage figure</w:t>
      </w:r>
      <w:r w:rsidRPr="00816657">
        <w:t xml:space="preserve"> was established for each waste group in each jurisdiction based on the most recent datum</w:t>
      </w:r>
      <w:r w:rsidR="005F7213">
        <w:t xml:space="preserve">, as </w:t>
      </w:r>
      <w:r w:rsidR="005F7213" w:rsidRPr="00012E7F">
        <w:t xml:space="preserve">shown in </w:t>
      </w:r>
      <w:fldSimple w:instr=" REF _Ref419126685 \h  \* MERGEFORMAT ">
        <w:r w:rsidR="002F3000">
          <w:t>T</w:t>
        </w:r>
        <w:r w:rsidR="002F3000" w:rsidRPr="001D2480">
          <w:t xml:space="preserve">able </w:t>
        </w:r>
        <w:r w:rsidR="002F3000">
          <w:rPr>
            <w:noProof/>
          </w:rPr>
          <w:t>7</w:t>
        </w:r>
      </w:fldSimple>
      <w:r w:rsidRPr="00816657">
        <w:t xml:space="preserve">. The most common data source was the jurisdictional data, but </w:t>
      </w:r>
      <w:r w:rsidR="00DF0D25">
        <w:t>other</w:t>
      </w:r>
      <w:r w:rsidRPr="00816657">
        <w:t xml:space="preserve"> sources</w:t>
      </w:r>
      <w:r w:rsidR="00DF0D25">
        <w:t xml:space="preserve"> in some cases as shown in the footnotes to </w:t>
      </w:r>
      <w:fldSimple w:instr=" REF _Ref419126685 \h  \* MERGEFORMAT ">
        <w:r w:rsidR="002F3000">
          <w:t>T</w:t>
        </w:r>
        <w:r w:rsidR="002F3000" w:rsidRPr="001D2480">
          <w:t xml:space="preserve">able </w:t>
        </w:r>
        <w:r w:rsidR="002F3000">
          <w:rPr>
            <w:noProof/>
          </w:rPr>
          <w:t>7</w:t>
        </w:r>
      </w:fldSimple>
      <w:r w:rsidR="00DF0D25">
        <w:t>.</w:t>
      </w:r>
      <w:r w:rsidRPr="00816657">
        <w:t xml:space="preserve"> </w:t>
      </w:r>
      <w:r w:rsidR="00DF0D25">
        <w:t>The details of s</w:t>
      </w:r>
      <w:r w:rsidRPr="00816657">
        <w:t xml:space="preserve">ome adjustments to the baseline are described in Appendix </w:t>
      </w:r>
      <w:fldSimple w:instr=" REF _Ref408325963 \r \h  \* MERGEFORMAT ">
        <w:r w:rsidR="002F3000">
          <w:t>A.3</w:t>
        </w:r>
      </w:fldSimple>
      <w:r w:rsidRPr="00816657">
        <w:t>, which covers the data challenges faced and how we responded to them.</w:t>
      </w:r>
      <w:r w:rsidR="00256B5E">
        <w:t xml:space="preserve"> </w:t>
      </w:r>
    </w:p>
    <w:p w:rsidR="00034C0B" w:rsidRDefault="00034C0B">
      <w:pPr>
        <w:spacing w:line="240" w:lineRule="auto"/>
        <w:rPr>
          <w:color w:val="080808"/>
          <w:sz w:val="22"/>
        </w:rPr>
      </w:pPr>
      <w:r>
        <w:rPr>
          <w:color w:val="080808"/>
          <w:sz w:val="22"/>
        </w:rPr>
        <w:br w:type="page"/>
      </w:r>
    </w:p>
    <w:p w:rsidR="00240F2A" w:rsidRPr="00034C0B" w:rsidRDefault="00240F2A" w:rsidP="00BA18A9">
      <w:pPr>
        <w:tabs>
          <w:tab w:val="left" w:pos="1875"/>
        </w:tabs>
        <w:spacing w:line="240" w:lineRule="auto"/>
        <w:rPr>
          <w:color w:val="080808"/>
          <w:sz w:val="2"/>
          <w:szCs w:val="2"/>
        </w:rPr>
      </w:pPr>
    </w:p>
    <w:p w:rsidR="00353197" w:rsidRDefault="00353197" w:rsidP="00655F62">
      <w:pPr>
        <w:pStyle w:val="Figures"/>
      </w:pPr>
      <w:bookmarkStart w:id="102" w:name="_Ref419126685"/>
      <w:bookmarkStart w:id="103" w:name="_Toc425849292"/>
      <w:r>
        <w:t>T</w:t>
      </w:r>
      <w:r w:rsidRPr="001D2480">
        <w:t xml:space="preserve">able </w:t>
      </w:r>
      <w:fldSimple w:instr=" SEQ Table \* ARABIC ">
        <w:r w:rsidR="002F3000">
          <w:rPr>
            <w:noProof/>
          </w:rPr>
          <w:t>7</w:t>
        </w:r>
      </w:fldSimple>
      <w:bookmarkEnd w:id="102"/>
      <w:r w:rsidRPr="001D2480">
        <w:t xml:space="preserve">: </w:t>
      </w:r>
      <w:r>
        <w:tab/>
      </w:r>
      <w:r w:rsidR="00012E7F">
        <w:t>Baseline tonnages for each waste group by jurisdiction</w:t>
      </w:r>
      <w:bookmarkEnd w:id="103"/>
    </w:p>
    <w:tbl>
      <w:tblPr>
        <w:tblW w:w="9634" w:type="dxa"/>
        <w:tblInd w:w="108" w:type="dxa"/>
        <w:tblLook w:val="04A0"/>
      </w:tblPr>
      <w:tblGrid>
        <w:gridCol w:w="2991"/>
        <w:gridCol w:w="748"/>
        <w:gridCol w:w="876"/>
        <w:gridCol w:w="747"/>
        <w:gridCol w:w="876"/>
        <w:gridCol w:w="840"/>
        <w:gridCol w:w="840"/>
        <w:gridCol w:w="876"/>
        <w:gridCol w:w="840"/>
      </w:tblGrid>
      <w:tr w:rsidR="00775869" w:rsidRPr="00240F2A" w:rsidTr="00775869">
        <w:tc>
          <w:tcPr>
            <w:tcW w:w="2991" w:type="dxa"/>
            <w:tcBorders>
              <w:top w:val="single" w:sz="4" w:space="0" w:color="808080"/>
              <w:left w:val="nil"/>
              <w:bottom w:val="nil"/>
              <w:right w:val="nil"/>
            </w:tcBorders>
            <w:shd w:val="clear" w:color="auto" w:fill="auto"/>
            <w:noWrap/>
            <w:vAlign w:val="center"/>
            <w:hideMark/>
          </w:tcPr>
          <w:p w:rsidR="00240F2A" w:rsidRPr="00240F2A" w:rsidRDefault="00240F2A" w:rsidP="00240F2A">
            <w:pPr>
              <w:spacing w:line="240" w:lineRule="auto"/>
              <w:rPr>
                <w:rFonts w:cs="Times New Roman"/>
                <w:color w:val="000000"/>
                <w:szCs w:val="20"/>
                <w:lang w:eastAsia="en-AU"/>
              </w:rPr>
            </w:pPr>
            <w:r w:rsidRPr="00240F2A">
              <w:rPr>
                <w:rFonts w:cs="Times New Roman"/>
                <w:color w:val="000000"/>
                <w:szCs w:val="20"/>
                <w:lang w:eastAsia="en-AU"/>
              </w:rPr>
              <w:t> </w:t>
            </w:r>
          </w:p>
        </w:tc>
        <w:tc>
          <w:tcPr>
            <w:tcW w:w="748" w:type="dxa"/>
            <w:tcBorders>
              <w:top w:val="single" w:sz="4" w:space="0" w:color="808080"/>
              <w:left w:val="single" w:sz="4" w:space="0" w:color="808080"/>
              <w:bottom w:val="nil"/>
              <w:right w:val="nil"/>
            </w:tcBorders>
            <w:shd w:val="clear" w:color="auto" w:fill="auto"/>
            <w:vAlign w:val="center"/>
            <w:hideMark/>
          </w:tcPr>
          <w:p w:rsidR="00240F2A" w:rsidRPr="00240F2A" w:rsidRDefault="00240F2A" w:rsidP="00240F2A">
            <w:pPr>
              <w:spacing w:line="240" w:lineRule="auto"/>
              <w:jc w:val="right"/>
              <w:rPr>
                <w:rFonts w:cs="Times New Roman"/>
                <w:b/>
                <w:bCs/>
                <w:color w:val="auto"/>
                <w:szCs w:val="20"/>
                <w:lang w:eastAsia="en-AU"/>
              </w:rPr>
            </w:pPr>
            <w:r w:rsidRPr="00240F2A">
              <w:rPr>
                <w:rFonts w:cs="Times New Roman"/>
                <w:b/>
                <w:bCs/>
                <w:color w:val="auto"/>
                <w:szCs w:val="20"/>
                <w:lang w:eastAsia="en-AU"/>
              </w:rPr>
              <w:t>ACT</w:t>
            </w:r>
          </w:p>
        </w:tc>
        <w:tc>
          <w:tcPr>
            <w:tcW w:w="876" w:type="dxa"/>
            <w:tcBorders>
              <w:top w:val="single" w:sz="4" w:space="0" w:color="808080"/>
              <w:left w:val="nil"/>
              <w:bottom w:val="nil"/>
              <w:right w:val="nil"/>
            </w:tcBorders>
            <w:shd w:val="clear" w:color="auto" w:fill="auto"/>
            <w:vAlign w:val="center"/>
            <w:hideMark/>
          </w:tcPr>
          <w:p w:rsidR="00240F2A" w:rsidRPr="00240F2A" w:rsidRDefault="00240F2A" w:rsidP="00240F2A">
            <w:pPr>
              <w:spacing w:line="240" w:lineRule="auto"/>
              <w:jc w:val="right"/>
              <w:rPr>
                <w:rFonts w:cs="Times New Roman"/>
                <w:b/>
                <w:bCs/>
                <w:color w:val="auto"/>
                <w:szCs w:val="20"/>
                <w:lang w:eastAsia="en-AU"/>
              </w:rPr>
            </w:pPr>
            <w:r w:rsidRPr="00240F2A">
              <w:rPr>
                <w:rFonts w:cs="Times New Roman"/>
                <w:b/>
                <w:bCs/>
                <w:color w:val="auto"/>
                <w:szCs w:val="20"/>
                <w:lang w:eastAsia="en-AU"/>
              </w:rPr>
              <w:t>NSW</w:t>
            </w:r>
          </w:p>
        </w:tc>
        <w:tc>
          <w:tcPr>
            <w:tcW w:w="747" w:type="dxa"/>
            <w:tcBorders>
              <w:top w:val="single" w:sz="4" w:space="0" w:color="808080"/>
              <w:left w:val="nil"/>
              <w:bottom w:val="nil"/>
              <w:right w:val="nil"/>
            </w:tcBorders>
            <w:shd w:val="clear" w:color="auto" w:fill="auto"/>
            <w:vAlign w:val="center"/>
            <w:hideMark/>
          </w:tcPr>
          <w:p w:rsidR="00240F2A" w:rsidRPr="00240F2A" w:rsidRDefault="00240F2A" w:rsidP="00240F2A">
            <w:pPr>
              <w:spacing w:line="240" w:lineRule="auto"/>
              <w:jc w:val="right"/>
              <w:rPr>
                <w:rFonts w:cs="Times New Roman"/>
                <w:b/>
                <w:bCs/>
                <w:color w:val="auto"/>
                <w:szCs w:val="20"/>
                <w:lang w:eastAsia="en-AU"/>
              </w:rPr>
            </w:pPr>
            <w:r w:rsidRPr="00240F2A">
              <w:rPr>
                <w:rFonts w:cs="Times New Roman"/>
                <w:b/>
                <w:bCs/>
                <w:color w:val="auto"/>
                <w:szCs w:val="20"/>
                <w:lang w:eastAsia="en-AU"/>
              </w:rPr>
              <w:t>NT</w:t>
            </w:r>
          </w:p>
        </w:tc>
        <w:tc>
          <w:tcPr>
            <w:tcW w:w="876" w:type="dxa"/>
            <w:tcBorders>
              <w:top w:val="single" w:sz="4" w:space="0" w:color="808080"/>
              <w:left w:val="nil"/>
              <w:bottom w:val="nil"/>
              <w:right w:val="nil"/>
            </w:tcBorders>
            <w:shd w:val="clear" w:color="auto" w:fill="auto"/>
            <w:vAlign w:val="center"/>
            <w:hideMark/>
          </w:tcPr>
          <w:p w:rsidR="00240F2A" w:rsidRPr="00240F2A" w:rsidRDefault="00240F2A" w:rsidP="00240F2A">
            <w:pPr>
              <w:spacing w:line="240" w:lineRule="auto"/>
              <w:jc w:val="right"/>
              <w:rPr>
                <w:rFonts w:cs="Times New Roman"/>
                <w:b/>
                <w:bCs/>
                <w:color w:val="auto"/>
                <w:szCs w:val="20"/>
                <w:lang w:eastAsia="en-AU"/>
              </w:rPr>
            </w:pPr>
            <w:r w:rsidRPr="00240F2A">
              <w:rPr>
                <w:rFonts w:cs="Times New Roman"/>
                <w:b/>
                <w:bCs/>
                <w:color w:val="auto"/>
                <w:szCs w:val="20"/>
                <w:lang w:eastAsia="en-AU"/>
              </w:rPr>
              <w:t>Qld</w:t>
            </w:r>
          </w:p>
        </w:tc>
        <w:tc>
          <w:tcPr>
            <w:tcW w:w="840" w:type="dxa"/>
            <w:tcBorders>
              <w:top w:val="single" w:sz="4" w:space="0" w:color="808080"/>
              <w:left w:val="nil"/>
              <w:bottom w:val="nil"/>
              <w:right w:val="nil"/>
            </w:tcBorders>
            <w:shd w:val="clear" w:color="auto" w:fill="auto"/>
            <w:vAlign w:val="center"/>
            <w:hideMark/>
          </w:tcPr>
          <w:p w:rsidR="00240F2A" w:rsidRPr="00240F2A" w:rsidRDefault="00240F2A" w:rsidP="00240F2A">
            <w:pPr>
              <w:spacing w:line="240" w:lineRule="auto"/>
              <w:jc w:val="right"/>
              <w:rPr>
                <w:rFonts w:cs="Times New Roman"/>
                <w:b/>
                <w:bCs/>
                <w:color w:val="auto"/>
                <w:szCs w:val="20"/>
                <w:lang w:eastAsia="en-AU"/>
              </w:rPr>
            </w:pPr>
            <w:r w:rsidRPr="00240F2A">
              <w:rPr>
                <w:rFonts w:cs="Times New Roman"/>
                <w:b/>
                <w:bCs/>
                <w:color w:val="auto"/>
                <w:szCs w:val="20"/>
                <w:lang w:eastAsia="en-AU"/>
              </w:rPr>
              <w:t>SA</w:t>
            </w:r>
          </w:p>
        </w:tc>
        <w:tc>
          <w:tcPr>
            <w:tcW w:w="840" w:type="dxa"/>
            <w:tcBorders>
              <w:top w:val="single" w:sz="4" w:space="0" w:color="808080"/>
              <w:left w:val="nil"/>
              <w:bottom w:val="nil"/>
              <w:right w:val="nil"/>
            </w:tcBorders>
            <w:shd w:val="clear" w:color="auto" w:fill="auto"/>
            <w:vAlign w:val="center"/>
            <w:hideMark/>
          </w:tcPr>
          <w:p w:rsidR="00240F2A" w:rsidRPr="00240F2A" w:rsidRDefault="00240F2A" w:rsidP="00240F2A">
            <w:pPr>
              <w:spacing w:line="240" w:lineRule="auto"/>
              <w:jc w:val="right"/>
              <w:rPr>
                <w:rFonts w:cs="Times New Roman"/>
                <w:b/>
                <w:bCs/>
                <w:color w:val="auto"/>
                <w:szCs w:val="20"/>
                <w:lang w:eastAsia="en-AU"/>
              </w:rPr>
            </w:pPr>
            <w:r w:rsidRPr="00240F2A">
              <w:rPr>
                <w:rFonts w:cs="Times New Roman"/>
                <w:b/>
                <w:bCs/>
                <w:color w:val="auto"/>
                <w:szCs w:val="20"/>
                <w:lang w:eastAsia="en-AU"/>
              </w:rPr>
              <w:t>Tas</w:t>
            </w:r>
          </w:p>
        </w:tc>
        <w:tc>
          <w:tcPr>
            <w:tcW w:w="876" w:type="dxa"/>
            <w:tcBorders>
              <w:top w:val="single" w:sz="4" w:space="0" w:color="808080"/>
              <w:left w:val="nil"/>
              <w:bottom w:val="nil"/>
              <w:right w:val="nil"/>
            </w:tcBorders>
            <w:shd w:val="clear" w:color="auto" w:fill="auto"/>
            <w:vAlign w:val="center"/>
            <w:hideMark/>
          </w:tcPr>
          <w:p w:rsidR="00240F2A" w:rsidRPr="00240F2A" w:rsidRDefault="00240F2A" w:rsidP="00240F2A">
            <w:pPr>
              <w:spacing w:line="240" w:lineRule="auto"/>
              <w:jc w:val="right"/>
              <w:rPr>
                <w:rFonts w:cs="Times New Roman"/>
                <w:b/>
                <w:bCs/>
                <w:color w:val="auto"/>
                <w:szCs w:val="20"/>
                <w:lang w:eastAsia="en-AU"/>
              </w:rPr>
            </w:pPr>
            <w:r w:rsidRPr="00240F2A">
              <w:rPr>
                <w:rFonts w:cs="Times New Roman"/>
                <w:b/>
                <w:bCs/>
                <w:color w:val="auto"/>
                <w:szCs w:val="20"/>
                <w:lang w:eastAsia="en-AU"/>
              </w:rPr>
              <w:t>Vic</w:t>
            </w:r>
          </w:p>
        </w:tc>
        <w:tc>
          <w:tcPr>
            <w:tcW w:w="840" w:type="dxa"/>
            <w:tcBorders>
              <w:top w:val="single" w:sz="4" w:space="0" w:color="808080"/>
              <w:left w:val="nil"/>
              <w:bottom w:val="nil"/>
              <w:right w:val="nil"/>
            </w:tcBorders>
            <w:shd w:val="clear" w:color="auto" w:fill="auto"/>
            <w:vAlign w:val="center"/>
            <w:hideMark/>
          </w:tcPr>
          <w:p w:rsidR="00240F2A" w:rsidRPr="00240F2A" w:rsidRDefault="00240F2A" w:rsidP="00240F2A">
            <w:pPr>
              <w:spacing w:line="240" w:lineRule="auto"/>
              <w:jc w:val="right"/>
              <w:rPr>
                <w:rFonts w:cs="Times New Roman"/>
                <w:b/>
                <w:bCs/>
                <w:color w:val="auto"/>
                <w:szCs w:val="20"/>
                <w:lang w:eastAsia="en-AU"/>
              </w:rPr>
            </w:pPr>
            <w:r w:rsidRPr="00240F2A">
              <w:rPr>
                <w:rFonts w:cs="Times New Roman"/>
                <w:b/>
                <w:bCs/>
                <w:color w:val="auto"/>
                <w:szCs w:val="20"/>
                <w:lang w:eastAsia="en-AU"/>
              </w:rPr>
              <w:t>WA</w:t>
            </w:r>
          </w:p>
        </w:tc>
      </w:tr>
      <w:tr w:rsidR="00775869" w:rsidRPr="00240F2A" w:rsidTr="00775869">
        <w:tc>
          <w:tcPr>
            <w:tcW w:w="2991" w:type="dxa"/>
            <w:tcBorders>
              <w:top w:val="nil"/>
              <w:left w:val="nil"/>
              <w:bottom w:val="single" w:sz="4" w:space="0" w:color="808080"/>
              <w:right w:val="nil"/>
            </w:tcBorders>
            <w:shd w:val="clear" w:color="auto" w:fill="auto"/>
            <w:noWrap/>
            <w:vAlign w:val="bottom"/>
            <w:hideMark/>
          </w:tcPr>
          <w:p w:rsidR="00240F2A" w:rsidRPr="00240F2A" w:rsidRDefault="00240F2A" w:rsidP="00240F2A">
            <w:pPr>
              <w:spacing w:line="240" w:lineRule="auto"/>
              <w:jc w:val="right"/>
              <w:rPr>
                <w:rFonts w:cs="Times New Roman"/>
                <w:bCs/>
                <w:i/>
                <w:iCs/>
                <w:color w:val="000000"/>
                <w:szCs w:val="20"/>
                <w:lang w:eastAsia="en-AU"/>
              </w:rPr>
            </w:pPr>
            <w:r w:rsidRPr="00240F2A">
              <w:rPr>
                <w:rFonts w:cs="Times New Roman"/>
                <w:bCs/>
                <w:i/>
                <w:iCs/>
                <w:color w:val="000000"/>
                <w:szCs w:val="20"/>
                <w:lang w:eastAsia="en-AU"/>
              </w:rPr>
              <w:t>Year</w:t>
            </w:r>
            <w:r w:rsidR="00775869">
              <w:rPr>
                <w:rFonts w:cs="Times New Roman"/>
                <w:bCs/>
                <w:i/>
                <w:iCs/>
                <w:color w:val="000000"/>
                <w:szCs w:val="20"/>
                <w:lang w:eastAsia="en-AU"/>
              </w:rPr>
              <w:t>*</w:t>
            </w:r>
            <w:r w:rsidRPr="00240F2A">
              <w:rPr>
                <w:rFonts w:cs="Times New Roman"/>
                <w:bCs/>
                <w:i/>
                <w:iCs/>
                <w:color w:val="000000"/>
                <w:szCs w:val="20"/>
                <w:lang w:eastAsia="en-AU"/>
              </w:rPr>
              <w:t xml:space="preserve">: </w:t>
            </w:r>
          </w:p>
        </w:tc>
        <w:tc>
          <w:tcPr>
            <w:tcW w:w="748" w:type="dxa"/>
            <w:tcBorders>
              <w:top w:val="nil"/>
              <w:left w:val="single" w:sz="4" w:space="0" w:color="808080"/>
              <w:bottom w:val="single" w:sz="4" w:space="0" w:color="808080"/>
              <w:right w:val="nil"/>
            </w:tcBorders>
            <w:shd w:val="clear" w:color="auto" w:fill="auto"/>
            <w:noWrap/>
            <w:vAlign w:val="bottom"/>
            <w:hideMark/>
          </w:tcPr>
          <w:p w:rsidR="00240F2A" w:rsidRPr="00240F2A" w:rsidRDefault="00240F2A" w:rsidP="00240F2A">
            <w:pPr>
              <w:spacing w:line="240" w:lineRule="auto"/>
              <w:jc w:val="right"/>
              <w:rPr>
                <w:rFonts w:cs="Times New Roman"/>
                <w:bCs/>
                <w:i/>
                <w:iCs/>
                <w:color w:val="000000"/>
                <w:szCs w:val="20"/>
                <w:lang w:eastAsia="en-AU"/>
              </w:rPr>
            </w:pPr>
            <w:r w:rsidRPr="00240F2A">
              <w:rPr>
                <w:rFonts w:cs="Times New Roman"/>
                <w:bCs/>
                <w:i/>
                <w:iCs/>
                <w:color w:val="000000"/>
                <w:szCs w:val="20"/>
                <w:lang w:eastAsia="en-AU"/>
              </w:rPr>
              <w:t>2013</w:t>
            </w:r>
          </w:p>
        </w:tc>
        <w:tc>
          <w:tcPr>
            <w:tcW w:w="876" w:type="dxa"/>
            <w:tcBorders>
              <w:top w:val="nil"/>
              <w:left w:val="nil"/>
              <w:bottom w:val="single" w:sz="4" w:space="0" w:color="808080"/>
              <w:right w:val="nil"/>
            </w:tcBorders>
            <w:shd w:val="clear" w:color="auto" w:fill="auto"/>
            <w:noWrap/>
            <w:vAlign w:val="bottom"/>
            <w:hideMark/>
          </w:tcPr>
          <w:p w:rsidR="00240F2A" w:rsidRPr="00240F2A" w:rsidRDefault="00240F2A" w:rsidP="00240F2A">
            <w:pPr>
              <w:spacing w:line="240" w:lineRule="auto"/>
              <w:jc w:val="right"/>
              <w:rPr>
                <w:rFonts w:cs="Times New Roman"/>
                <w:bCs/>
                <w:i/>
                <w:iCs/>
                <w:color w:val="000000"/>
                <w:szCs w:val="20"/>
                <w:lang w:eastAsia="en-AU"/>
              </w:rPr>
            </w:pPr>
            <w:r w:rsidRPr="00240F2A">
              <w:rPr>
                <w:rFonts w:cs="Times New Roman"/>
                <w:bCs/>
                <w:i/>
                <w:iCs/>
                <w:color w:val="000000"/>
                <w:szCs w:val="20"/>
                <w:lang w:eastAsia="en-AU"/>
              </w:rPr>
              <w:t>2014</w:t>
            </w:r>
          </w:p>
        </w:tc>
        <w:tc>
          <w:tcPr>
            <w:tcW w:w="747" w:type="dxa"/>
            <w:tcBorders>
              <w:top w:val="nil"/>
              <w:left w:val="nil"/>
              <w:bottom w:val="single" w:sz="4" w:space="0" w:color="808080"/>
              <w:right w:val="nil"/>
            </w:tcBorders>
            <w:shd w:val="clear" w:color="auto" w:fill="auto"/>
            <w:noWrap/>
            <w:vAlign w:val="bottom"/>
            <w:hideMark/>
          </w:tcPr>
          <w:p w:rsidR="00240F2A" w:rsidRPr="00240F2A" w:rsidRDefault="00240F2A" w:rsidP="00240F2A">
            <w:pPr>
              <w:spacing w:line="240" w:lineRule="auto"/>
              <w:jc w:val="right"/>
              <w:rPr>
                <w:rFonts w:cs="Times New Roman"/>
                <w:bCs/>
                <w:i/>
                <w:iCs/>
                <w:color w:val="000000"/>
                <w:szCs w:val="20"/>
                <w:lang w:eastAsia="en-AU"/>
              </w:rPr>
            </w:pPr>
            <w:r w:rsidRPr="00240F2A">
              <w:rPr>
                <w:rFonts w:cs="Times New Roman"/>
                <w:bCs/>
                <w:i/>
                <w:iCs/>
                <w:color w:val="000000"/>
                <w:szCs w:val="20"/>
                <w:lang w:eastAsia="en-AU"/>
              </w:rPr>
              <w:t>2012</w:t>
            </w:r>
          </w:p>
        </w:tc>
        <w:tc>
          <w:tcPr>
            <w:tcW w:w="876" w:type="dxa"/>
            <w:tcBorders>
              <w:top w:val="nil"/>
              <w:left w:val="nil"/>
              <w:bottom w:val="single" w:sz="4" w:space="0" w:color="808080"/>
              <w:right w:val="nil"/>
            </w:tcBorders>
            <w:shd w:val="clear" w:color="auto" w:fill="auto"/>
            <w:noWrap/>
            <w:vAlign w:val="bottom"/>
            <w:hideMark/>
          </w:tcPr>
          <w:p w:rsidR="00240F2A" w:rsidRPr="00240F2A" w:rsidRDefault="00240F2A" w:rsidP="00240F2A">
            <w:pPr>
              <w:spacing w:line="240" w:lineRule="auto"/>
              <w:jc w:val="right"/>
              <w:rPr>
                <w:rFonts w:cs="Times New Roman"/>
                <w:bCs/>
                <w:i/>
                <w:iCs/>
                <w:color w:val="000000"/>
                <w:szCs w:val="20"/>
                <w:lang w:eastAsia="en-AU"/>
              </w:rPr>
            </w:pPr>
            <w:r w:rsidRPr="00240F2A">
              <w:rPr>
                <w:rFonts w:cs="Times New Roman"/>
                <w:bCs/>
                <w:i/>
                <w:iCs/>
                <w:color w:val="000000"/>
                <w:szCs w:val="20"/>
                <w:lang w:eastAsia="en-AU"/>
              </w:rPr>
              <w:t>2013</w:t>
            </w:r>
          </w:p>
        </w:tc>
        <w:tc>
          <w:tcPr>
            <w:tcW w:w="840" w:type="dxa"/>
            <w:tcBorders>
              <w:top w:val="nil"/>
              <w:left w:val="nil"/>
              <w:bottom w:val="single" w:sz="4" w:space="0" w:color="808080"/>
              <w:right w:val="nil"/>
            </w:tcBorders>
            <w:shd w:val="clear" w:color="auto" w:fill="auto"/>
            <w:noWrap/>
            <w:vAlign w:val="bottom"/>
            <w:hideMark/>
          </w:tcPr>
          <w:p w:rsidR="00240F2A" w:rsidRPr="00240F2A" w:rsidRDefault="00240F2A" w:rsidP="00240F2A">
            <w:pPr>
              <w:spacing w:line="240" w:lineRule="auto"/>
              <w:jc w:val="right"/>
              <w:rPr>
                <w:rFonts w:cs="Times New Roman"/>
                <w:bCs/>
                <w:i/>
                <w:iCs/>
                <w:color w:val="000000"/>
                <w:szCs w:val="20"/>
                <w:lang w:eastAsia="en-AU"/>
              </w:rPr>
            </w:pPr>
            <w:r w:rsidRPr="00240F2A">
              <w:rPr>
                <w:rFonts w:cs="Times New Roman"/>
                <w:bCs/>
                <w:i/>
                <w:iCs/>
                <w:color w:val="000000"/>
                <w:szCs w:val="20"/>
                <w:lang w:eastAsia="en-AU"/>
              </w:rPr>
              <w:t>2014</w:t>
            </w:r>
          </w:p>
        </w:tc>
        <w:tc>
          <w:tcPr>
            <w:tcW w:w="840" w:type="dxa"/>
            <w:tcBorders>
              <w:top w:val="nil"/>
              <w:left w:val="nil"/>
              <w:bottom w:val="single" w:sz="4" w:space="0" w:color="808080"/>
              <w:right w:val="nil"/>
            </w:tcBorders>
            <w:shd w:val="clear" w:color="auto" w:fill="auto"/>
            <w:noWrap/>
            <w:vAlign w:val="bottom"/>
            <w:hideMark/>
          </w:tcPr>
          <w:p w:rsidR="00240F2A" w:rsidRPr="00240F2A" w:rsidRDefault="00240F2A" w:rsidP="00240F2A">
            <w:pPr>
              <w:spacing w:line="240" w:lineRule="auto"/>
              <w:jc w:val="right"/>
              <w:rPr>
                <w:rFonts w:cs="Times New Roman"/>
                <w:bCs/>
                <w:i/>
                <w:iCs/>
                <w:color w:val="000000"/>
                <w:szCs w:val="20"/>
                <w:lang w:eastAsia="en-AU"/>
              </w:rPr>
            </w:pPr>
            <w:r w:rsidRPr="00240F2A">
              <w:rPr>
                <w:rFonts w:cs="Times New Roman"/>
                <w:bCs/>
                <w:i/>
                <w:iCs/>
                <w:color w:val="000000"/>
                <w:szCs w:val="20"/>
                <w:lang w:eastAsia="en-AU"/>
              </w:rPr>
              <w:t>2013</w:t>
            </w:r>
          </w:p>
        </w:tc>
        <w:tc>
          <w:tcPr>
            <w:tcW w:w="876" w:type="dxa"/>
            <w:tcBorders>
              <w:top w:val="nil"/>
              <w:left w:val="nil"/>
              <w:bottom w:val="single" w:sz="4" w:space="0" w:color="808080"/>
              <w:right w:val="nil"/>
            </w:tcBorders>
            <w:shd w:val="clear" w:color="auto" w:fill="auto"/>
            <w:noWrap/>
            <w:vAlign w:val="bottom"/>
            <w:hideMark/>
          </w:tcPr>
          <w:p w:rsidR="00240F2A" w:rsidRPr="00240F2A" w:rsidRDefault="00240F2A" w:rsidP="00240F2A">
            <w:pPr>
              <w:spacing w:line="240" w:lineRule="auto"/>
              <w:jc w:val="right"/>
              <w:rPr>
                <w:rFonts w:cs="Times New Roman"/>
                <w:bCs/>
                <w:i/>
                <w:iCs/>
                <w:color w:val="000000"/>
                <w:szCs w:val="20"/>
                <w:lang w:eastAsia="en-AU"/>
              </w:rPr>
            </w:pPr>
            <w:r w:rsidRPr="00240F2A">
              <w:rPr>
                <w:rFonts w:cs="Times New Roman"/>
                <w:bCs/>
                <w:i/>
                <w:iCs/>
                <w:color w:val="000000"/>
                <w:szCs w:val="20"/>
                <w:lang w:eastAsia="en-AU"/>
              </w:rPr>
              <w:t>2014</w:t>
            </w:r>
          </w:p>
        </w:tc>
        <w:tc>
          <w:tcPr>
            <w:tcW w:w="840" w:type="dxa"/>
            <w:tcBorders>
              <w:top w:val="nil"/>
              <w:left w:val="nil"/>
              <w:bottom w:val="single" w:sz="4" w:space="0" w:color="808080"/>
              <w:right w:val="nil"/>
            </w:tcBorders>
            <w:shd w:val="clear" w:color="auto" w:fill="auto"/>
            <w:noWrap/>
            <w:vAlign w:val="bottom"/>
            <w:hideMark/>
          </w:tcPr>
          <w:p w:rsidR="00240F2A" w:rsidRPr="00240F2A" w:rsidRDefault="00240F2A" w:rsidP="00240F2A">
            <w:pPr>
              <w:spacing w:line="240" w:lineRule="auto"/>
              <w:jc w:val="right"/>
              <w:rPr>
                <w:rFonts w:cs="Times New Roman"/>
                <w:bCs/>
                <w:i/>
                <w:iCs/>
                <w:color w:val="000000"/>
                <w:szCs w:val="20"/>
                <w:lang w:eastAsia="en-AU"/>
              </w:rPr>
            </w:pPr>
            <w:r w:rsidRPr="00240F2A">
              <w:rPr>
                <w:rFonts w:cs="Times New Roman"/>
                <w:bCs/>
                <w:i/>
                <w:iCs/>
                <w:color w:val="000000"/>
                <w:szCs w:val="20"/>
                <w:lang w:eastAsia="en-AU"/>
              </w:rPr>
              <w:t>2013</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Plating &amp; heat treatment</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5</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4,826</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186</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0</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1,048</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Acids</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15,367</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14</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13,019</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673</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32</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10,815</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3,892</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Alkalis</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220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4,887</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127</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167,388</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24,764</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7,229</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83,720</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Mercury; mercury compounds</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12</w:t>
            </w:r>
          </w:p>
        </w:tc>
        <w:tc>
          <w:tcPr>
            <w:tcW w:w="876" w:type="dxa"/>
            <w:tcBorders>
              <w:top w:val="nil"/>
              <w:left w:val="nil"/>
              <w:bottom w:val="nil"/>
              <w:right w:val="nil"/>
            </w:tcBorders>
            <w:shd w:val="clear" w:color="auto" w:fill="auto"/>
            <w:noWrap/>
            <w:vAlign w:val="bottom"/>
            <w:hideMark/>
          </w:tcPr>
          <w:p w:rsidR="0022497F" w:rsidRPr="005F7213" w:rsidRDefault="0022497F">
            <w:pPr>
              <w:jc w:val="right"/>
              <w:rPr>
                <w:b/>
                <w:color w:val="0000FF" w:themeColor="text2"/>
                <w:sz w:val="18"/>
                <w:szCs w:val="18"/>
              </w:rPr>
            </w:pPr>
            <w:r w:rsidRPr="005F7213">
              <w:rPr>
                <w:b/>
                <w:color w:val="0000FF" w:themeColor="text2"/>
                <w:sz w:val="18"/>
                <w:szCs w:val="18"/>
              </w:rPr>
              <w:t>1,016</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22</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315</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75</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32</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35</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Lead; lead compounds</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226</w:t>
            </w:r>
          </w:p>
        </w:tc>
        <w:tc>
          <w:tcPr>
            <w:tcW w:w="876" w:type="dxa"/>
            <w:tcBorders>
              <w:top w:val="nil"/>
              <w:left w:val="nil"/>
              <w:bottom w:val="nil"/>
              <w:right w:val="nil"/>
            </w:tcBorders>
            <w:shd w:val="clear" w:color="auto" w:fill="auto"/>
            <w:noWrap/>
            <w:vAlign w:val="bottom"/>
            <w:hideMark/>
          </w:tcPr>
          <w:p w:rsidR="0022497F" w:rsidRPr="005F7213" w:rsidRDefault="0022497F">
            <w:pPr>
              <w:jc w:val="right"/>
              <w:rPr>
                <w:b/>
                <w:color w:val="0000FF" w:themeColor="text2"/>
                <w:sz w:val="18"/>
                <w:szCs w:val="18"/>
              </w:rPr>
            </w:pPr>
            <w:r w:rsidRPr="005F7213">
              <w:rPr>
                <w:b/>
                <w:color w:val="0000FF" w:themeColor="text2"/>
                <w:sz w:val="18"/>
                <w:szCs w:val="18"/>
              </w:rPr>
              <w:t>52,870</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410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7,528</w:t>
            </w:r>
          </w:p>
        </w:tc>
        <w:tc>
          <w:tcPr>
            <w:tcW w:w="840" w:type="dxa"/>
            <w:tcBorders>
              <w:top w:val="nil"/>
              <w:left w:val="nil"/>
              <w:bottom w:val="nil"/>
              <w:right w:val="nil"/>
            </w:tcBorders>
            <w:shd w:val="clear" w:color="auto" w:fill="auto"/>
            <w:noWrap/>
            <w:vAlign w:val="bottom"/>
            <w:hideMark/>
          </w:tcPr>
          <w:p w:rsidR="0022497F" w:rsidRPr="0022497F" w:rsidRDefault="0022497F" w:rsidP="0022497F">
            <w:pPr>
              <w:jc w:val="right"/>
              <w:rPr>
                <w:b/>
                <w:color w:val="0000FF" w:themeColor="text2"/>
                <w:sz w:val="18"/>
                <w:szCs w:val="18"/>
              </w:rPr>
            </w:pPr>
            <w:r w:rsidRPr="0022497F">
              <w:rPr>
                <w:b/>
                <w:color w:val="0000FF" w:themeColor="text2"/>
                <w:sz w:val="18"/>
                <w:szCs w:val="18"/>
              </w:rPr>
              <w:t>37,301</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10,413</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2,006</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234</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Non-toxic salts</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25,134</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40,426</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362</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3,780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699</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10,962</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Other inorganic chemicals</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0</w:t>
            </w:r>
          </w:p>
        </w:tc>
        <w:tc>
          <w:tcPr>
            <w:tcW w:w="876" w:type="dxa"/>
            <w:tcBorders>
              <w:top w:val="nil"/>
              <w:left w:val="nil"/>
              <w:bottom w:val="nil"/>
              <w:right w:val="nil"/>
            </w:tcBorders>
            <w:shd w:val="clear" w:color="auto" w:fill="auto"/>
            <w:noWrap/>
            <w:vAlign w:val="bottom"/>
            <w:hideMark/>
          </w:tcPr>
          <w:p w:rsidR="0022497F" w:rsidRPr="005F7213" w:rsidRDefault="0022497F">
            <w:pPr>
              <w:jc w:val="right"/>
              <w:rPr>
                <w:b/>
                <w:color w:val="0000FF" w:themeColor="text2"/>
                <w:sz w:val="18"/>
                <w:szCs w:val="18"/>
              </w:rPr>
            </w:pPr>
            <w:r w:rsidRPr="005F7213">
              <w:rPr>
                <w:b/>
                <w:color w:val="0000FF" w:themeColor="text2"/>
                <w:sz w:val="18"/>
                <w:szCs w:val="18"/>
              </w:rPr>
              <w:t>10,727</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28</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4,375</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73,380</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111,268</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2,118</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679</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Reactive chemicals</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27</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48</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5</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32</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0</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5F666B">
            <w:pPr>
              <w:spacing w:line="240" w:lineRule="auto"/>
              <w:jc w:val="right"/>
              <w:rPr>
                <w:rFonts w:cs="Times New Roman"/>
                <w:color w:val="auto"/>
                <w:szCs w:val="20"/>
                <w:lang w:eastAsia="en-AU"/>
              </w:rPr>
            </w:pPr>
            <w:r w:rsidRPr="00240F2A">
              <w:rPr>
                <w:rFonts w:cs="Times New Roman"/>
                <w:color w:val="auto"/>
                <w:szCs w:val="20"/>
                <w:lang w:eastAsia="en-AU"/>
              </w:rPr>
              <w:t>Paints, resins, inks, org</w:t>
            </w:r>
            <w:r>
              <w:rPr>
                <w:rFonts w:cs="Times New Roman"/>
                <w:color w:val="auto"/>
                <w:szCs w:val="20"/>
                <w:lang w:eastAsia="en-AU"/>
              </w:rPr>
              <w:t>.</w:t>
            </w:r>
            <w:r w:rsidRPr="00240F2A">
              <w:rPr>
                <w:rFonts w:cs="Times New Roman"/>
                <w:color w:val="auto"/>
                <w:szCs w:val="20"/>
                <w:lang w:eastAsia="en-AU"/>
              </w:rPr>
              <w:t xml:space="preserve"> sludges</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171</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14,082</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37</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11,666</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2,897</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13,946</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1,895</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Organic solvents</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68</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8,630</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8</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12,957</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373</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239</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3,663</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4,759</w:t>
            </w:r>
          </w:p>
        </w:tc>
      </w:tr>
      <w:tr w:rsidR="0022497F" w:rsidRPr="00240F2A" w:rsidTr="0022497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Pesticides</w:t>
            </w:r>
          </w:p>
        </w:tc>
        <w:tc>
          <w:tcPr>
            <w:tcW w:w="748" w:type="dxa"/>
            <w:tcBorders>
              <w:top w:val="nil"/>
              <w:left w:val="single" w:sz="4" w:space="0" w:color="808080"/>
              <w:bottom w:val="nil"/>
              <w:right w:val="nil"/>
            </w:tcBorders>
            <w:shd w:val="clear" w:color="auto" w:fill="auto"/>
            <w:noWrap/>
            <w:vAlign w:val="bottom"/>
          </w:tcPr>
          <w:p w:rsidR="0022497F" w:rsidRDefault="0022497F">
            <w:pPr>
              <w:jc w:val="right"/>
              <w:rPr>
                <w:szCs w:val="20"/>
              </w:rPr>
            </w:pPr>
            <w:r>
              <w:rPr>
                <w:szCs w:val="20"/>
              </w:rPr>
              <w:t>15</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531</w:t>
            </w:r>
          </w:p>
        </w:tc>
        <w:tc>
          <w:tcPr>
            <w:tcW w:w="747"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1,150</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380</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22497F" w:rsidRPr="00775869" w:rsidRDefault="0022497F">
            <w:pPr>
              <w:jc w:val="right"/>
              <w:rPr>
                <w:i/>
                <w:iCs/>
                <w:sz w:val="18"/>
                <w:szCs w:val="18"/>
              </w:rPr>
            </w:pPr>
            <w:r w:rsidRPr="00775869">
              <w:rPr>
                <w:i/>
                <w:iCs/>
                <w:sz w:val="18"/>
                <w:szCs w:val="18"/>
              </w:rPr>
              <w:t>581</w:t>
            </w:r>
          </w:p>
        </w:tc>
        <w:tc>
          <w:tcPr>
            <w:tcW w:w="840" w:type="dxa"/>
            <w:tcBorders>
              <w:top w:val="nil"/>
              <w:left w:val="nil"/>
              <w:bottom w:val="nil"/>
              <w:right w:val="nil"/>
            </w:tcBorders>
            <w:shd w:val="clear" w:color="auto" w:fill="auto"/>
            <w:noWrap/>
            <w:vAlign w:val="bottom"/>
            <w:hideMark/>
          </w:tcPr>
          <w:p w:rsidR="0022497F" w:rsidRPr="00775869" w:rsidRDefault="0022497F">
            <w:pPr>
              <w:jc w:val="right"/>
              <w:rPr>
                <w:sz w:val="18"/>
                <w:szCs w:val="18"/>
              </w:rPr>
            </w:pPr>
            <w:r w:rsidRPr="00775869">
              <w:rPr>
                <w:sz w:val="18"/>
                <w:szCs w:val="18"/>
              </w:rPr>
              <w:t>1,015</w:t>
            </w:r>
          </w:p>
        </w:tc>
      </w:tr>
      <w:tr w:rsidR="00775869" w:rsidRPr="00240F2A" w:rsidTr="00775869">
        <w:tc>
          <w:tcPr>
            <w:tcW w:w="2991" w:type="dxa"/>
            <w:tcBorders>
              <w:top w:val="nil"/>
              <w:left w:val="nil"/>
              <w:bottom w:val="nil"/>
              <w:right w:val="nil"/>
            </w:tcBorders>
            <w:shd w:val="clear" w:color="auto" w:fill="auto"/>
            <w:noWrap/>
            <w:vAlign w:val="center"/>
            <w:hideMark/>
          </w:tcPr>
          <w:p w:rsidR="00775869" w:rsidRPr="00240F2A" w:rsidRDefault="00775869" w:rsidP="00240F2A">
            <w:pPr>
              <w:spacing w:line="240" w:lineRule="auto"/>
              <w:jc w:val="right"/>
              <w:rPr>
                <w:rFonts w:cs="Times New Roman"/>
                <w:color w:val="auto"/>
                <w:szCs w:val="20"/>
                <w:lang w:eastAsia="en-AU"/>
              </w:rPr>
            </w:pPr>
            <w:r w:rsidRPr="00240F2A">
              <w:rPr>
                <w:rFonts w:cs="Times New Roman"/>
                <w:color w:val="auto"/>
                <w:szCs w:val="20"/>
                <w:lang w:eastAsia="en-AU"/>
              </w:rPr>
              <w:t>Oils</w:t>
            </w:r>
          </w:p>
        </w:tc>
        <w:tc>
          <w:tcPr>
            <w:tcW w:w="748" w:type="dxa"/>
            <w:tcBorders>
              <w:top w:val="nil"/>
              <w:left w:val="single" w:sz="4" w:space="0" w:color="808080"/>
              <w:bottom w:val="nil"/>
              <w:right w:val="nil"/>
            </w:tcBorders>
            <w:shd w:val="clear" w:color="auto" w:fill="auto"/>
            <w:noWrap/>
            <w:vAlign w:val="bottom"/>
            <w:hideMark/>
          </w:tcPr>
          <w:p w:rsidR="00775869" w:rsidRPr="00775869" w:rsidRDefault="00775869">
            <w:pPr>
              <w:jc w:val="right"/>
              <w:rPr>
                <w:sz w:val="18"/>
                <w:szCs w:val="18"/>
              </w:rPr>
            </w:pPr>
            <w:r w:rsidRPr="00775869">
              <w:rPr>
                <w:sz w:val="18"/>
                <w:szCs w:val="18"/>
              </w:rPr>
              <w:t>2,800</w:t>
            </w:r>
          </w:p>
        </w:tc>
        <w:tc>
          <w:tcPr>
            <w:tcW w:w="876" w:type="dxa"/>
            <w:tcBorders>
              <w:top w:val="nil"/>
              <w:left w:val="nil"/>
              <w:bottom w:val="nil"/>
              <w:right w:val="nil"/>
            </w:tcBorders>
            <w:shd w:val="clear" w:color="auto" w:fill="auto"/>
            <w:noWrap/>
            <w:vAlign w:val="bottom"/>
            <w:hideMark/>
          </w:tcPr>
          <w:p w:rsidR="00775869" w:rsidRPr="00775869" w:rsidRDefault="00775869">
            <w:pPr>
              <w:jc w:val="right"/>
              <w:rPr>
                <w:sz w:val="18"/>
                <w:szCs w:val="18"/>
              </w:rPr>
            </w:pPr>
            <w:r w:rsidRPr="00775869">
              <w:rPr>
                <w:sz w:val="18"/>
                <w:szCs w:val="18"/>
              </w:rPr>
              <w:t>130,665</w:t>
            </w:r>
          </w:p>
        </w:tc>
        <w:tc>
          <w:tcPr>
            <w:tcW w:w="747" w:type="dxa"/>
            <w:tcBorders>
              <w:top w:val="nil"/>
              <w:left w:val="nil"/>
              <w:bottom w:val="nil"/>
              <w:right w:val="nil"/>
            </w:tcBorders>
            <w:shd w:val="clear" w:color="auto" w:fill="auto"/>
            <w:noWrap/>
            <w:vAlign w:val="bottom"/>
            <w:hideMark/>
          </w:tcPr>
          <w:p w:rsidR="00775869" w:rsidRPr="00775869" w:rsidRDefault="00775869">
            <w:pPr>
              <w:jc w:val="right"/>
              <w:rPr>
                <w:sz w:val="18"/>
                <w:szCs w:val="18"/>
              </w:rPr>
            </w:pPr>
            <w:r w:rsidRPr="00775869">
              <w:rPr>
                <w:sz w:val="18"/>
                <w:szCs w:val="18"/>
              </w:rPr>
              <w:t>795</w:t>
            </w:r>
          </w:p>
        </w:tc>
        <w:tc>
          <w:tcPr>
            <w:tcW w:w="876" w:type="dxa"/>
            <w:tcBorders>
              <w:top w:val="nil"/>
              <w:left w:val="nil"/>
              <w:bottom w:val="nil"/>
              <w:right w:val="nil"/>
            </w:tcBorders>
            <w:shd w:val="clear" w:color="auto" w:fill="auto"/>
            <w:noWrap/>
            <w:vAlign w:val="bottom"/>
            <w:hideMark/>
          </w:tcPr>
          <w:p w:rsidR="00775869" w:rsidRPr="00775869" w:rsidRDefault="00775869">
            <w:pPr>
              <w:jc w:val="right"/>
              <w:rPr>
                <w:i/>
                <w:iCs/>
                <w:sz w:val="18"/>
                <w:szCs w:val="18"/>
              </w:rPr>
            </w:pPr>
            <w:r w:rsidRPr="00775869">
              <w:rPr>
                <w:i/>
                <w:iCs/>
                <w:sz w:val="18"/>
                <w:szCs w:val="18"/>
              </w:rPr>
              <w:t>250,980</w:t>
            </w:r>
          </w:p>
        </w:tc>
        <w:tc>
          <w:tcPr>
            <w:tcW w:w="840" w:type="dxa"/>
            <w:tcBorders>
              <w:top w:val="nil"/>
              <w:left w:val="nil"/>
              <w:bottom w:val="nil"/>
              <w:right w:val="nil"/>
            </w:tcBorders>
            <w:shd w:val="clear" w:color="auto" w:fill="auto"/>
            <w:noWrap/>
            <w:vAlign w:val="bottom"/>
            <w:hideMark/>
          </w:tcPr>
          <w:p w:rsidR="00775869" w:rsidRPr="00775869" w:rsidRDefault="00775869">
            <w:pPr>
              <w:jc w:val="right"/>
              <w:rPr>
                <w:sz w:val="18"/>
                <w:szCs w:val="18"/>
              </w:rPr>
            </w:pPr>
            <w:r w:rsidRPr="00775869">
              <w:rPr>
                <w:sz w:val="18"/>
                <w:szCs w:val="18"/>
              </w:rPr>
              <w:t>10,135</w:t>
            </w:r>
          </w:p>
        </w:tc>
        <w:tc>
          <w:tcPr>
            <w:tcW w:w="840" w:type="dxa"/>
            <w:tcBorders>
              <w:top w:val="nil"/>
              <w:left w:val="nil"/>
              <w:bottom w:val="nil"/>
              <w:right w:val="nil"/>
            </w:tcBorders>
            <w:shd w:val="clear" w:color="auto" w:fill="auto"/>
            <w:noWrap/>
            <w:vAlign w:val="bottom"/>
            <w:hideMark/>
          </w:tcPr>
          <w:p w:rsidR="00775869" w:rsidRPr="00775869" w:rsidRDefault="00775869">
            <w:pPr>
              <w:jc w:val="right"/>
              <w:rPr>
                <w:sz w:val="18"/>
                <w:szCs w:val="18"/>
              </w:rPr>
            </w:pPr>
            <w:r w:rsidRPr="00775869">
              <w:rPr>
                <w:sz w:val="18"/>
                <w:szCs w:val="18"/>
              </w:rPr>
              <w:t>356</w:t>
            </w:r>
          </w:p>
        </w:tc>
        <w:tc>
          <w:tcPr>
            <w:tcW w:w="876" w:type="dxa"/>
            <w:tcBorders>
              <w:top w:val="nil"/>
              <w:left w:val="nil"/>
              <w:bottom w:val="nil"/>
              <w:right w:val="nil"/>
            </w:tcBorders>
            <w:shd w:val="clear" w:color="auto" w:fill="auto"/>
            <w:noWrap/>
            <w:vAlign w:val="bottom"/>
            <w:hideMark/>
          </w:tcPr>
          <w:p w:rsidR="00775869" w:rsidRPr="00775869" w:rsidRDefault="00775869">
            <w:pPr>
              <w:jc w:val="right"/>
              <w:rPr>
                <w:i/>
                <w:iCs/>
                <w:sz w:val="18"/>
                <w:szCs w:val="18"/>
              </w:rPr>
            </w:pPr>
            <w:r w:rsidRPr="00775869">
              <w:rPr>
                <w:i/>
                <w:iCs/>
                <w:sz w:val="18"/>
                <w:szCs w:val="18"/>
              </w:rPr>
              <w:t>74,567</w:t>
            </w:r>
          </w:p>
        </w:tc>
        <w:tc>
          <w:tcPr>
            <w:tcW w:w="840" w:type="dxa"/>
            <w:tcBorders>
              <w:top w:val="nil"/>
              <w:left w:val="nil"/>
              <w:bottom w:val="nil"/>
              <w:right w:val="nil"/>
            </w:tcBorders>
            <w:shd w:val="clear" w:color="auto" w:fill="auto"/>
            <w:noWrap/>
            <w:vAlign w:val="bottom"/>
            <w:hideMark/>
          </w:tcPr>
          <w:p w:rsidR="00775869" w:rsidRPr="00775869" w:rsidRDefault="00775869">
            <w:pPr>
              <w:jc w:val="right"/>
              <w:rPr>
                <w:sz w:val="18"/>
                <w:szCs w:val="18"/>
              </w:rPr>
            </w:pPr>
            <w:r w:rsidRPr="00775869">
              <w:rPr>
                <w:sz w:val="18"/>
                <w:szCs w:val="18"/>
              </w:rPr>
              <w:t>166,586</w:t>
            </w:r>
          </w:p>
        </w:tc>
      </w:tr>
      <w:tr w:rsidR="007F0748" w:rsidRPr="00240F2A" w:rsidTr="0022497F">
        <w:tc>
          <w:tcPr>
            <w:tcW w:w="2991" w:type="dxa"/>
            <w:tcBorders>
              <w:top w:val="nil"/>
              <w:left w:val="nil"/>
              <w:bottom w:val="nil"/>
              <w:right w:val="nil"/>
            </w:tcBorders>
            <w:shd w:val="clear" w:color="auto" w:fill="auto"/>
            <w:noWrap/>
            <w:vAlign w:val="center"/>
            <w:hideMark/>
          </w:tcPr>
          <w:p w:rsidR="007F0748" w:rsidRPr="00240F2A" w:rsidRDefault="007F0748" w:rsidP="00240F2A">
            <w:pPr>
              <w:spacing w:line="240" w:lineRule="auto"/>
              <w:jc w:val="right"/>
              <w:rPr>
                <w:rFonts w:cs="Times New Roman"/>
                <w:color w:val="auto"/>
                <w:szCs w:val="20"/>
                <w:lang w:eastAsia="en-AU"/>
              </w:rPr>
            </w:pPr>
            <w:r w:rsidRPr="00240F2A">
              <w:rPr>
                <w:rFonts w:cs="Times New Roman"/>
                <w:color w:val="auto"/>
                <w:szCs w:val="20"/>
                <w:lang w:eastAsia="en-AU"/>
              </w:rPr>
              <w:t>Animal effluent and residues</w:t>
            </w:r>
          </w:p>
        </w:tc>
        <w:tc>
          <w:tcPr>
            <w:tcW w:w="748" w:type="dxa"/>
            <w:tcBorders>
              <w:top w:val="nil"/>
              <w:left w:val="single" w:sz="4" w:space="0" w:color="808080"/>
              <w:bottom w:val="nil"/>
              <w:right w:val="nil"/>
            </w:tcBorders>
            <w:shd w:val="clear" w:color="auto" w:fill="auto"/>
            <w:noWrap/>
            <w:vAlign w:val="bottom"/>
          </w:tcPr>
          <w:p w:rsidR="007F0748" w:rsidRPr="0022497F" w:rsidRDefault="0022497F" w:rsidP="0022497F">
            <w:pPr>
              <w:jc w:val="right"/>
              <w:rPr>
                <w:color w:val="0C0C0C" w:themeColor="text1"/>
                <w:sz w:val="18"/>
                <w:szCs w:val="18"/>
              </w:rPr>
            </w:pPr>
            <w:r w:rsidRPr="0022497F">
              <w:rPr>
                <w:color w:val="0C0C0C" w:themeColor="text1"/>
                <w:sz w:val="18"/>
                <w:szCs w:val="18"/>
              </w:rPr>
              <w:t>0</w:t>
            </w:r>
          </w:p>
        </w:tc>
        <w:tc>
          <w:tcPr>
            <w:tcW w:w="876" w:type="dxa"/>
            <w:tcBorders>
              <w:top w:val="nil"/>
              <w:left w:val="nil"/>
              <w:bottom w:val="nil"/>
              <w:right w:val="nil"/>
            </w:tcBorders>
            <w:shd w:val="clear" w:color="auto" w:fill="0C0C0C" w:themeFill="text1"/>
            <w:noWrap/>
            <w:vAlign w:val="bottom"/>
            <w:hideMark/>
          </w:tcPr>
          <w:p w:rsidR="007F0748" w:rsidRPr="00DF0D25" w:rsidRDefault="007F0748">
            <w:pPr>
              <w:jc w:val="right"/>
              <w:rPr>
                <w:color w:val="FFFFFF" w:themeColor="background1"/>
                <w:sz w:val="18"/>
                <w:szCs w:val="18"/>
              </w:rPr>
            </w:pPr>
            <w:r w:rsidRPr="00DF0D25">
              <w:rPr>
                <w:color w:val="FFFFFF" w:themeColor="background1"/>
                <w:sz w:val="18"/>
                <w:szCs w:val="18"/>
              </w:rPr>
              <w:t>95,156</w:t>
            </w:r>
          </w:p>
        </w:tc>
        <w:tc>
          <w:tcPr>
            <w:tcW w:w="747" w:type="dxa"/>
            <w:tcBorders>
              <w:top w:val="nil"/>
              <w:left w:val="nil"/>
              <w:bottom w:val="nil"/>
              <w:right w:val="nil"/>
            </w:tcBorders>
            <w:shd w:val="clear" w:color="auto" w:fill="0C0C0C" w:themeFill="text1"/>
            <w:noWrap/>
            <w:vAlign w:val="bottom"/>
            <w:hideMark/>
          </w:tcPr>
          <w:p w:rsidR="007F0748" w:rsidRPr="00DF0D25" w:rsidRDefault="007F0748">
            <w:pPr>
              <w:jc w:val="right"/>
              <w:rPr>
                <w:color w:val="FFFFFF" w:themeColor="background1"/>
                <w:sz w:val="18"/>
                <w:szCs w:val="18"/>
              </w:rPr>
            </w:pPr>
            <w:r w:rsidRPr="00DF0D25">
              <w:rPr>
                <w:color w:val="FFFFFF" w:themeColor="background1"/>
                <w:sz w:val="18"/>
                <w:szCs w:val="18"/>
              </w:rPr>
              <w:t>3,095</w:t>
            </w:r>
          </w:p>
        </w:tc>
        <w:tc>
          <w:tcPr>
            <w:tcW w:w="876" w:type="dxa"/>
            <w:tcBorders>
              <w:top w:val="nil"/>
              <w:left w:val="nil"/>
              <w:bottom w:val="nil"/>
              <w:right w:val="nil"/>
            </w:tcBorders>
            <w:shd w:val="clear" w:color="auto" w:fill="auto"/>
            <w:noWrap/>
            <w:vAlign w:val="bottom"/>
            <w:hideMark/>
          </w:tcPr>
          <w:p w:rsidR="007F0748" w:rsidRPr="00775869" w:rsidRDefault="007F0748">
            <w:pPr>
              <w:jc w:val="right"/>
              <w:rPr>
                <w:i/>
                <w:iCs/>
                <w:sz w:val="18"/>
                <w:szCs w:val="18"/>
              </w:rPr>
            </w:pPr>
            <w:r w:rsidRPr="00775869">
              <w:rPr>
                <w:i/>
                <w:iCs/>
                <w:sz w:val="18"/>
                <w:szCs w:val="18"/>
              </w:rPr>
              <w:t>109,724</w:t>
            </w:r>
          </w:p>
        </w:tc>
        <w:tc>
          <w:tcPr>
            <w:tcW w:w="840" w:type="dxa"/>
            <w:tcBorders>
              <w:top w:val="nil"/>
              <w:left w:val="nil"/>
              <w:bottom w:val="nil"/>
              <w:right w:val="nil"/>
            </w:tcBorders>
            <w:shd w:val="clear" w:color="auto" w:fill="0C0C0C" w:themeFill="text1"/>
            <w:noWrap/>
            <w:vAlign w:val="bottom"/>
            <w:hideMark/>
          </w:tcPr>
          <w:p w:rsidR="007F0748" w:rsidRPr="00DF0D25" w:rsidRDefault="007F0748">
            <w:pPr>
              <w:jc w:val="right"/>
              <w:rPr>
                <w:color w:val="FFFFFF" w:themeColor="background1"/>
                <w:sz w:val="18"/>
                <w:szCs w:val="18"/>
              </w:rPr>
            </w:pPr>
            <w:r w:rsidRPr="00DF0D25">
              <w:rPr>
                <w:color w:val="FFFFFF" w:themeColor="background1"/>
                <w:sz w:val="18"/>
                <w:szCs w:val="18"/>
              </w:rPr>
              <w:t>21,499</w:t>
            </w:r>
          </w:p>
        </w:tc>
        <w:tc>
          <w:tcPr>
            <w:tcW w:w="840" w:type="dxa"/>
            <w:tcBorders>
              <w:top w:val="nil"/>
              <w:left w:val="nil"/>
              <w:bottom w:val="nil"/>
              <w:right w:val="nil"/>
            </w:tcBorders>
            <w:shd w:val="clear" w:color="auto" w:fill="0C0C0C" w:themeFill="text1"/>
            <w:noWrap/>
            <w:vAlign w:val="bottom"/>
            <w:hideMark/>
          </w:tcPr>
          <w:p w:rsidR="007F0748" w:rsidRPr="00DF0D25" w:rsidRDefault="007F0748">
            <w:pPr>
              <w:jc w:val="right"/>
              <w:rPr>
                <w:color w:val="FFFFFF" w:themeColor="background1"/>
                <w:sz w:val="18"/>
                <w:szCs w:val="18"/>
              </w:rPr>
            </w:pPr>
            <w:r w:rsidRPr="00DF0D25">
              <w:rPr>
                <w:color w:val="FFFFFF" w:themeColor="background1"/>
                <w:sz w:val="18"/>
                <w:szCs w:val="18"/>
              </w:rPr>
              <w:t>6,629</w:t>
            </w:r>
          </w:p>
        </w:tc>
        <w:tc>
          <w:tcPr>
            <w:tcW w:w="876" w:type="dxa"/>
            <w:tcBorders>
              <w:top w:val="nil"/>
              <w:left w:val="nil"/>
              <w:bottom w:val="nil"/>
              <w:right w:val="nil"/>
            </w:tcBorders>
            <w:shd w:val="clear" w:color="auto" w:fill="auto"/>
            <w:noWrap/>
            <w:vAlign w:val="bottom"/>
            <w:hideMark/>
          </w:tcPr>
          <w:p w:rsidR="007F0748" w:rsidRPr="00775869" w:rsidRDefault="007F0748">
            <w:pPr>
              <w:jc w:val="right"/>
              <w:rPr>
                <w:i/>
                <w:iCs/>
                <w:sz w:val="18"/>
                <w:szCs w:val="18"/>
              </w:rPr>
            </w:pPr>
            <w:r w:rsidRPr="00775869">
              <w:rPr>
                <w:i/>
                <w:iCs/>
                <w:sz w:val="18"/>
                <w:szCs w:val="18"/>
              </w:rPr>
              <w:t>37,280</w:t>
            </w:r>
          </w:p>
        </w:tc>
        <w:tc>
          <w:tcPr>
            <w:tcW w:w="840" w:type="dxa"/>
            <w:tcBorders>
              <w:top w:val="nil"/>
              <w:left w:val="nil"/>
              <w:bottom w:val="nil"/>
              <w:right w:val="nil"/>
            </w:tcBorders>
            <w:shd w:val="clear" w:color="auto" w:fill="auto"/>
            <w:noWrap/>
            <w:vAlign w:val="bottom"/>
            <w:hideMark/>
          </w:tcPr>
          <w:p w:rsidR="007F0748" w:rsidRPr="00775869" w:rsidRDefault="007F0748">
            <w:pPr>
              <w:jc w:val="right"/>
              <w:rPr>
                <w:sz w:val="18"/>
                <w:szCs w:val="18"/>
              </w:rPr>
            </w:pPr>
            <w:r w:rsidRPr="00775869">
              <w:rPr>
                <w:sz w:val="18"/>
                <w:szCs w:val="18"/>
              </w:rPr>
              <w:t>16,970</w:t>
            </w:r>
          </w:p>
        </w:tc>
      </w:tr>
      <w:tr w:rsidR="00420FE8" w:rsidRPr="00240F2A" w:rsidTr="005F666B">
        <w:tc>
          <w:tcPr>
            <w:tcW w:w="2991" w:type="dxa"/>
            <w:tcBorders>
              <w:top w:val="nil"/>
              <w:left w:val="nil"/>
              <w:bottom w:val="nil"/>
              <w:right w:val="nil"/>
            </w:tcBorders>
            <w:shd w:val="clear" w:color="auto" w:fill="auto"/>
            <w:noWrap/>
            <w:vAlign w:val="center"/>
            <w:hideMark/>
          </w:tcPr>
          <w:p w:rsidR="00420FE8" w:rsidRPr="00240F2A" w:rsidRDefault="00420FE8" w:rsidP="00240F2A">
            <w:pPr>
              <w:spacing w:line="240" w:lineRule="auto"/>
              <w:jc w:val="right"/>
              <w:rPr>
                <w:rFonts w:cs="Times New Roman"/>
                <w:color w:val="auto"/>
                <w:szCs w:val="20"/>
                <w:lang w:eastAsia="en-AU"/>
              </w:rPr>
            </w:pPr>
            <w:r w:rsidRPr="00240F2A">
              <w:rPr>
                <w:rFonts w:cs="Times New Roman"/>
                <w:color w:val="auto"/>
                <w:szCs w:val="20"/>
                <w:lang w:eastAsia="en-AU"/>
              </w:rPr>
              <w:t>Grease trap waste</w:t>
            </w:r>
          </w:p>
        </w:tc>
        <w:tc>
          <w:tcPr>
            <w:tcW w:w="748" w:type="dxa"/>
            <w:tcBorders>
              <w:top w:val="nil"/>
              <w:left w:val="single" w:sz="4" w:space="0" w:color="808080"/>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5,856</w:t>
            </w:r>
          </w:p>
        </w:tc>
        <w:tc>
          <w:tcPr>
            <w:tcW w:w="876" w:type="dxa"/>
            <w:tcBorders>
              <w:top w:val="nil"/>
              <w:left w:val="nil"/>
              <w:bottom w:val="nil"/>
              <w:right w:val="nil"/>
            </w:tcBorders>
            <w:shd w:val="clear" w:color="auto" w:fill="0C0C0C" w:themeFill="text1"/>
            <w:noWrap/>
            <w:vAlign w:val="bottom"/>
            <w:hideMark/>
          </w:tcPr>
          <w:p w:rsidR="00420FE8" w:rsidRPr="00DF0D25" w:rsidRDefault="00420FE8">
            <w:pPr>
              <w:jc w:val="right"/>
              <w:rPr>
                <w:color w:val="FFFFFF" w:themeColor="background1"/>
                <w:sz w:val="18"/>
                <w:szCs w:val="18"/>
              </w:rPr>
            </w:pPr>
            <w:r w:rsidRPr="00DF0D25">
              <w:rPr>
                <w:color w:val="FFFFFF" w:themeColor="background1"/>
                <w:sz w:val="18"/>
                <w:szCs w:val="18"/>
              </w:rPr>
              <w:t>170,620</w:t>
            </w:r>
          </w:p>
        </w:tc>
        <w:tc>
          <w:tcPr>
            <w:tcW w:w="747" w:type="dxa"/>
            <w:tcBorders>
              <w:top w:val="nil"/>
              <w:left w:val="nil"/>
              <w:bottom w:val="nil"/>
              <w:right w:val="nil"/>
            </w:tcBorders>
            <w:shd w:val="clear" w:color="auto" w:fill="0C0C0C" w:themeFill="text1"/>
            <w:noWrap/>
            <w:vAlign w:val="bottom"/>
            <w:hideMark/>
          </w:tcPr>
          <w:p w:rsidR="00420FE8" w:rsidRPr="00DF0D25" w:rsidRDefault="00420FE8">
            <w:pPr>
              <w:jc w:val="right"/>
              <w:rPr>
                <w:color w:val="FFFFFF" w:themeColor="background1"/>
                <w:sz w:val="18"/>
                <w:szCs w:val="18"/>
              </w:rPr>
            </w:pPr>
            <w:r w:rsidRPr="00DF0D25">
              <w:rPr>
                <w:color w:val="FFFFFF" w:themeColor="background1"/>
                <w:sz w:val="18"/>
                <w:szCs w:val="18"/>
              </w:rPr>
              <w:t>5,550</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133,181</w:t>
            </w:r>
          </w:p>
        </w:tc>
        <w:tc>
          <w:tcPr>
            <w:tcW w:w="840" w:type="dxa"/>
            <w:tcBorders>
              <w:top w:val="nil"/>
              <w:left w:val="nil"/>
              <w:bottom w:val="nil"/>
              <w:right w:val="nil"/>
            </w:tcBorders>
            <w:shd w:val="clear" w:color="auto" w:fill="0C0C0C" w:themeFill="text1"/>
            <w:noWrap/>
            <w:vAlign w:val="bottom"/>
            <w:hideMark/>
          </w:tcPr>
          <w:p w:rsidR="00420FE8" w:rsidRPr="00DF0D25" w:rsidRDefault="00420FE8">
            <w:pPr>
              <w:jc w:val="right"/>
              <w:rPr>
                <w:color w:val="FFFFFF" w:themeColor="background1"/>
                <w:sz w:val="18"/>
                <w:szCs w:val="18"/>
              </w:rPr>
            </w:pPr>
            <w:r w:rsidRPr="00DF0D25">
              <w:rPr>
                <w:color w:val="FFFFFF" w:themeColor="background1"/>
                <w:sz w:val="18"/>
                <w:szCs w:val="18"/>
              </w:rPr>
              <w:t>38,550</w:t>
            </w:r>
          </w:p>
        </w:tc>
        <w:tc>
          <w:tcPr>
            <w:tcW w:w="840" w:type="dxa"/>
            <w:tcBorders>
              <w:top w:val="nil"/>
              <w:left w:val="nil"/>
              <w:bottom w:val="nil"/>
              <w:right w:val="nil"/>
            </w:tcBorders>
            <w:shd w:val="clear" w:color="auto" w:fill="0C0C0C" w:themeFill="text1"/>
            <w:noWrap/>
            <w:vAlign w:val="bottom"/>
            <w:hideMark/>
          </w:tcPr>
          <w:p w:rsidR="00420FE8" w:rsidRPr="00DF0D25" w:rsidRDefault="00420FE8">
            <w:pPr>
              <w:jc w:val="right"/>
              <w:rPr>
                <w:color w:val="FFFFFF" w:themeColor="background1"/>
                <w:sz w:val="18"/>
                <w:szCs w:val="18"/>
              </w:rPr>
            </w:pPr>
            <w:r w:rsidRPr="00DF0D25">
              <w:rPr>
                <w:color w:val="FFFFFF" w:themeColor="background1"/>
                <w:sz w:val="18"/>
                <w:szCs w:val="18"/>
              </w:rPr>
              <w:t>11,885</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104,358</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60,952</w:t>
            </w:r>
          </w:p>
        </w:tc>
      </w:tr>
      <w:tr w:rsidR="0022497F" w:rsidRPr="00240F2A" w:rsidTr="00F5585F">
        <w:tc>
          <w:tcPr>
            <w:tcW w:w="2991" w:type="dxa"/>
            <w:tcBorders>
              <w:top w:val="nil"/>
              <w:left w:val="nil"/>
              <w:bottom w:val="nil"/>
              <w:right w:val="nil"/>
            </w:tcBorders>
            <w:shd w:val="clear" w:color="auto" w:fill="auto"/>
            <w:noWrap/>
            <w:vAlign w:val="center"/>
            <w:hideMark/>
          </w:tcPr>
          <w:p w:rsidR="0022497F" w:rsidRPr="00240F2A" w:rsidRDefault="0022497F" w:rsidP="00240F2A">
            <w:pPr>
              <w:spacing w:line="240" w:lineRule="auto"/>
              <w:jc w:val="right"/>
              <w:rPr>
                <w:rFonts w:cs="Times New Roman"/>
                <w:color w:val="auto"/>
                <w:szCs w:val="20"/>
                <w:lang w:eastAsia="en-AU"/>
              </w:rPr>
            </w:pPr>
            <w:r w:rsidRPr="00240F2A">
              <w:rPr>
                <w:rFonts w:cs="Times New Roman"/>
                <w:color w:val="auto"/>
                <w:szCs w:val="20"/>
                <w:lang w:eastAsia="en-AU"/>
              </w:rPr>
              <w:t>Tannery &amp; wool scouring wastes</w:t>
            </w:r>
          </w:p>
        </w:tc>
        <w:tc>
          <w:tcPr>
            <w:tcW w:w="748" w:type="dxa"/>
            <w:tcBorders>
              <w:top w:val="nil"/>
              <w:left w:val="single" w:sz="4" w:space="0" w:color="808080"/>
              <w:bottom w:val="nil"/>
              <w:right w:val="nil"/>
            </w:tcBorders>
            <w:shd w:val="clear" w:color="auto" w:fill="FF0000"/>
            <w:noWrap/>
            <w:vAlign w:val="bottom"/>
          </w:tcPr>
          <w:p w:rsidR="0022497F" w:rsidRPr="0022497F" w:rsidRDefault="0022497F" w:rsidP="00690D9F">
            <w:pPr>
              <w:jc w:val="right"/>
              <w:rPr>
                <w:color w:val="0C0C0C" w:themeColor="text1"/>
                <w:sz w:val="18"/>
                <w:szCs w:val="18"/>
              </w:rPr>
            </w:pPr>
          </w:p>
        </w:tc>
        <w:tc>
          <w:tcPr>
            <w:tcW w:w="876" w:type="dxa"/>
            <w:tcBorders>
              <w:top w:val="nil"/>
              <w:left w:val="nil"/>
              <w:bottom w:val="nil"/>
              <w:right w:val="nil"/>
            </w:tcBorders>
            <w:shd w:val="clear" w:color="auto" w:fill="FF0000"/>
            <w:noWrap/>
            <w:vAlign w:val="bottom"/>
          </w:tcPr>
          <w:p w:rsidR="0022497F" w:rsidRPr="00775869" w:rsidRDefault="0022497F">
            <w:pPr>
              <w:jc w:val="right"/>
              <w:rPr>
                <w:sz w:val="18"/>
                <w:szCs w:val="18"/>
              </w:rPr>
            </w:pPr>
          </w:p>
        </w:tc>
        <w:tc>
          <w:tcPr>
            <w:tcW w:w="747" w:type="dxa"/>
            <w:tcBorders>
              <w:top w:val="nil"/>
              <w:left w:val="nil"/>
              <w:bottom w:val="nil"/>
              <w:right w:val="nil"/>
            </w:tcBorders>
            <w:shd w:val="clear" w:color="auto" w:fill="FF0000"/>
            <w:noWrap/>
            <w:vAlign w:val="bottom"/>
          </w:tcPr>
          <w:p w:rsidR="0022497F" w:rsidRPr="00775869" w:rsidRDefault="0022497F">
            <w:pPr>
              <w:jc w:val="right"/>
              <w:rPr>
                <w:sz w:val="18"/>
                <w:szCs w:val="18"/>
              </w:rPr>
            </w:pPr>
          </w:p>
        </w:tc>
        <w:tc>
          <w:tcPr>
            <w:tcW w:w="876" w:type="dxa"/>
            <w:tcBorders>
              <w:top w:val="nil"/>
              <w:left w:val="nil"/>
              <w:bottom w:val="nil"/>
              <w:right w:val="nil"/>
            </w:tcBorders>
            <w:shd w:val="clear" w:color="auto" w:fill="FF0000"/>
            <w:noWrap/>
            <w:vAlign w:val="bottom"/>
          </w:tcPr>
          <w:p w:rsidR="0022497F" w:rsidRPr="00CA2BA3" w:rsidRDefault="00F5585F" w:rsidP="00CD13C1">
            <w:pPr>
              <w:jc w:val="center"/>
              <w:rPr>
                <w:color w:val="FFFFFF" w:themeColor="background1"/>
                <w:sz w:val="18"/>
                <w:szCs w:val="18"/>
              </w:rPr>
            </w:pPr>
            <w:r>
              <w:rPr>
                <w:color w:val="FFFFFF" w:themeColor="background1"/>
                <w:sz w:val="18"/>
                <w:szCs w:val="18"/>
              </w:rPr>
              <w:t>CIC</w:t>
            </w:r>
          </w:p>
        </w:tc>
        <w:tc>
          <w:tcPr>
            <w:tcW w:w="840" w:type="dxa"/>
            <w:tcBorders>
              <w:top w:val="nil"/>
              <w:left w:val="nil"/>
              <w:bottom w:val="nil"/>
              <w:right w:val="nil"/>
            </w:tcBorders>
            <w:shd w:val="clear" w:color="auto" w:fill="FF0000"/>
            <w:noWrap/>
            <w:vAlign w:val="bottom"/>
          </w:tcPr>
          <w:p w:rsidR="0022497F" w:rsidRPr="00775869" w:rsidRDefault="0022497F">
            <w:pPr>
              <w:jc w:val="right"/>
              <w:rPr>
                <w:sz w:val="18"/>
                <w:szCs w:val="18"/>
              </w:rPr>
            </w:pPr>
          </w:p>
        </w:tc>
        <w:tc>
          <w:tcPr>
            <w:tcW w:w="840" w:type="dxa"/>
            <w:tcBorders>
              <w:top w:val="nil"/>
              <w:left w:val="nil"/>
              <w:bottom w:val="nil"/>
              <w:right w:val="nil"/>
            </w:tcBorders>
            <w:shd w:val="clear" w:color="auto" w:fill="FF0000"/>
            <w:noWrap/>
            <w:vAlign w:val="bottom"/>
          </w:tcPr>
          <w:p w:rsidR="0022497F" w:rsidRPr="00775869" w:rsidRDefault="0022497F">
            <w:pPr>
              <w:jc w:val="right"/>
              <w:rPr>
                <w:sz w:val="18"/>
                <w:szCs w:val="18"/>
              </w:rPr>
            </w:pPr>
          </w:p>
        </w:tc>
        <w:tc>
          <w:tcPr>
            <w:tcW w:w="876" w:type="dxa"/>
            <w:tcBorders>
              <w:top w:val="nil"/>
              <w:left w:val="nil"/>
              <w:bottom w:val="nil"/>
              <w:right w:val="nil"/>
            </w:tcBorders>
            <w:shd w:val="clear" w:color="auto" w:fill="FF0000"/>
            <w:noWrap/>
            <w:vAlign w:val="bottom"/>
          </w:tcPr>
          <w:p w:rsidR="0022497F" w:rsidRPr="00CA2BA3" w:rsidRDefault="0022497F" w:rsidP="00CD13C1">
            <w:pPr>
              <w:jc w:val="center"/>
              <w:rPr>
                <w:color w:val="FFFFFF" w:themeColor="background1"/>
                <w:sz w:val="18"/>
                <w:szCs w:val="18"/>
              </w:rPr>
            </w:pPr>
          </w:p>
        </w:tc>
        <w:tc>
          <w:tcPr>
            <w:tcW w:w="840" w:type="dxa"/>
            <w:tcBorders>
              <w:top w:val="nil"/>
              <w:left w:val="nil"/>
              <w:bottom w:val="nil"/>
              <w:right w:val="nil"/>
            </w:tcBorders>
            <w:shd w:val="clear" w:color="auto" w:fill="FF0000"/>
            <w:noWrap/>
            <w:vAlign w:val="bottom"/>
          </w:tcPr>
          <w:p w:rsidR="0022497F" w:rsidRPr="00775869" w:rsidRDefault="0022497F">
            <w:pPr>
              <w:jc w:val="right"/>
              <w:rPr>
                <w:sz w:val="18"/>
                <w:szCs w:val="18"/>
              </w:rPr>
            </w:pPr>
          </w:p>
        </w:tc>
      </w:tr>
      <w:tr w:rsidR="00CA2BA3" w:rsidRPr="00240F2A" w:rsidTr="0022497F">
        <w:tc>
          <w:tcPr>
            <w:tcW w:w="2991" w:type="dxa"/>
            <w:tcBorders>
              <w:top w:val="nil"/>
              <w:left w:val="nil"/>
              <w:bottom w:val="nil"/>
              <w:right w:val="nil"/>
            </w:tcBorders>
            <w:shd w:val="clear" w:color="auto" w:fill="auto"/>
            <w:noWrap/>
            <w:vAlign w:val="center"/>
            <w:hideMark/>
          </w:tcPr>
          <w:p w:rsidR="00CA2BA3" w:rsidRPr="00240F2A" w:rsidRDefault="00CA2BA3" w:rsidP="00240F2A">
            <w:pPr>
              <w:spacing w:line="240" w:lineRule="auto"/>
              <w:jc w:val="right"/>
              <w:rPr>
                <w:rFonts w:cs="Times New Roman"/>
                <w:color w:val="auto"/>
                <w:szCs w:val="20"/>
                <w:lang w:eastAsia="en-AU"/>
              </w:rPr>
            </w:pPr>
            <w:r w:rsidRPr="00240F2A">
              <w:rPr>
                <w:rFonts w:cs="Times New Roman"/>
                <w:color w:val="auto"/>
                <w:szCs w:val="20"/>
                <w:lang w:eastAsia="en-AU"/>
              </w:rPr>
              <w:t>Other organic chemicals</w:t>
            </w:r>
          </w:p>
        </w:tc>
        <w:tc>
          <w:tcPr>
            <w:tcW w:w="748" w:type="dxa"/>
            <w:tcBorders>
              <w:top w:val="nil"/>
              <w:left w:val="single" w:sz="4" w:space="0" w:color="808080"/>
              <w:bottom w:val="nil"/>
              <w:right w:val="nil"/>
            </w:tcBorders>
            <w:shd w:val="clear" w:color="auto" w:fill="auto"/>
            <w:noWrap/>
            <w:vAlign w:val="bottom"/>
          </w:tcPr>
          <w:p w:rsidR="00CA2BA3" w:rsidRPr="0022497F" w:rsidRDefault="0022497F" w:rsidP="0022497F">
            <w:pPr>
              <w:jc w:val="right"/>
              <w:rPr>
                <w:color w:val="0C0C0C" w:themeColor="text1"/>
                <w:sz w:val="18"/>
                <w:szCs w:val="18"/>
              </w:rPr>
            </w:pPr>
            <w:r w:rsidRPr="0022497F">
              <w:rPr>
                <w:color w:val="0C0C0C" w:themeColor="text1"/>
                <w:sz w:val="18"/>
                <w:szCs w:val="18"/>
              </w:rPr>
              <w:t>24</w:t>
            </w:r>
          </w:p>
        </w:tc>
        <w:tc>
          <w:tcPr>
            <w:tcW w:w="876" w:type="dxa"/>
            <w:tcBorders>
              <w:top w:val="nil"/>
              <w:left w:val="nil"/>
              <w:bottom w:val="nil"/>
              <w:right w:val="nil"/>
            </w:tcBorders>
            <w:shd w:val="clear" w:color="auto" w:fill="auto"/>
            <w:noWrap/>
            <w:vAlign w:val="bottom"/>
            <w:hideMark/>
          </w:tcPr>
          <w:p w:rsidR="00CA2BA3" w:rsidRPr="00775869" w:rsidRDefault="00CA2BA3">
            <w:pPr>
              <w:jc w:val="right"/>
              <w:rPr>
                <w:sz w:val="18"/>
                <w:szCs w:val="18"/>
              </w:rPr>
            </w:pPr>
            <w:r w:rsidRPr="00775869">
              <w:rPr>
                <w:sz w:val="18"/>
                <w:szCs w:val="18"/>
              </w:rPr>
              <w:t>12,737</w:t>
            </w:r>
          </w:p>
        </w:tc>
        <w:tc>
          <w:tcPr>
            <w:tcW w:w="747" w:type="dxa"/>
            <w:tcBorders>
              <w:top w:val="nil"/>
              <w:left w:val="nil"/>
              <w:bottom w:val="nil"/>
              <w:right w:val="nil"/>
            </w:tcBorders>
            <w:shd w:val="clear" w:color="auto" w:fill="auto"/>
            <w:noWrap/>
            <w:vAlign w:val="bottom"/>
            <w:hideMark/>
          </w:tcPr>
          <w:p w:rsidR="00CA2BA3" w:rsidRPr="00775869" w:rsidRDefault="00CA2BA3">
            <w:pPr>
              <w:jc w:val="right"/>
              <w:rPr>
                <w:sz w:val="18"/>
                <w:szCs w:val="18"/>
              </w:rPr>
            </w:pPr>
            <w:r w:rsidRPr="00775869">
              <w:rPr>
                <w:sz w:val="18"/>
                <w:szCs w:val="18"/>
              </w:rPr>
              <w:t>82</w:t>
            </w:r>
          </w:p>
        </w:tc>
        <w:tc>
          <w:tcPr>
            <w:tcW w:w="876" w:type="dxa"/>
            <w:tcBorders>
              <w:top w:val="nil"/>
              <w:left w:val="nil"/>
              <w:bottom w:val="nil"/>
              <w:right w:val="nil"/>
            </w:tcBorders>
            <w:shd w:val="clear" w:color="auto" w:fill="auto"/>
            <w:noWrap/>
            <w:vAlign w:val="bottom"/>
            <w:hideMark/>
          </w:tcPr>
          <w:p w:rsidR="00CA2BA3" w:rsidRPr="00775869" w:rsidRDefault="00CA2BA3">
            <w:pPr>
              <w:jc w:val="right"/>
              <w:rPr>
                <w:i/>
                <w:iCs/>
                <w:sz w:val="18"/>
                <w:szCs w:val="18"/>
              </w:rPr>
            </w:pPr>
            <w:r w:rsidRPr="00775869">
              <w:rPr>
                <w:i/>
                <w:iCs/>
                <w:sz w:val="18"/>
                <w:szCs w:val="18"/>
              </w:rPr>
              <w:t>3,572</w:t>
            </w:r>
          </w:p>
        </w:tc>
        <w:tc>
          <w:tcPr>
            <w:tcW w:w="840" w:type="dxa"/>
            <w:tcBorders>
              <w:top w:val="nil"/>
              <w:left w:val="nil"/>
              <w:bottom w:val="nil"/>
              <w:right w:val="nil"/>
            </w:tcBorders>
            <w:shd w:val="clear" w:color="auto" w:fill="auto"/>
            <w:noWrap/>
            <w:vAlign w:val="bottom"/>
            <w:hideMark/>
          </w:tcPr>
          <w:p w:rsidR="00CA2BA3" w:rsidRPr="00775869" w:rsidRDefault="00CA2BA3">
            <w:pPr>
              <w:jc w:val="right"/>
              <w:rPr>
                <w:sz w:val="18"/>
                <w:szCs w:val="18"/>
              </w:rPr>
            </w:pPr>
            <w:r w:rsidRPr="00775869">
              <w:rPr>
                <w:sz w:val="18"/>
                <w:szCs w:val="18"/>
              </w:rPr>
              <w:t>2,474</w:t>
            </w:r>
          </w:p>
        </w:tc>
        <w:tc>
          <w:tcPr>
            <w:tcW w:w="840" w:type="dxa"/>
            <w:tcBorders>
              <w:top w:val="nil"/>
              <w:left w:val="nil"/>
              <w:bottom w:val="nil"/>
              <w:right w:val="nil"/>
            </w:tcBorders>
            <w:shd w:val="clear" w:color="auto" w:fill="auto"/>
            <w:noWrap/>
            <w:vAlign w:val="bottom"/>
            <w:hideMark/>
          </w:tcPr>
          <w:p w:rsidR="00CA2BA3" w:rsidRPr="00775869" w:rsidRDefault="00CA2BA3">
            <w:pPr>
              <w:jc w:val="right"/>
              <w:rPr>
                <w:sz w:val="18"/>
                <w:szCs w:val="18"/>
              </w:rPr>
            </w:pPr>
            <w:r w:rsidRPr="00775869">
              <w:rPr>
                <w:sz w:val="18"/>
                <w:szCs w:val="18"/>
              </w:rPr>
              <w:t>32</w:t>
            </w:r>
          </w:p>
        </w:tc>
        <w:tc>
          <w:tcPr>
            <w:tcW w:w="876" w:type="dxa"/>
            <w:tcBorders>
              <w:top w:val="nil"/>
              <w:left w:val="nil"/>
              <w:bottom w:val="nil"/>
              <w:right w:val="nil"/>
            </w:tcBorders>
            <w:shd w:val="clear" w:color="auto" w:fill="auto"/>
            <w:noWrap/>
            <w:vAlign w:val="bottom"/>
            <w:hideMark/>
          </w:tcPr>
          <w:p w:rsidR="00CA2BA3" w:rsidRPr="00775869" w:rsidRDefault="00CA2BA3">
            <w:pPr>
              <w:jc w:val="right"/>
              <w:rPr>
                <w:i/>
                <w:iCs/>
                <w:sz w:val="18"/>
                <w:szCs w:val="18"/>
              </w:rPr>
            </w:pPr>
            <w:r w:rsidRPr="00775869">
              <w:rPr>
                <w:i/>
                <w:iCs/>
                <w:sz w:val="18"/>
                <w:szCs w:val="18"/>
              </w:rPr>
              <w:t>778</w:t>
            </w:r>
          </w:p>
        </w:tc>
        <w:tc>
          <w:tcPr>
            <w:tcW w:w="840" w:type="dxa"/>
            <w:tcBorders>
              <w:top w:val="nil"/>
              <w:left w:val="nil"/>
              <w:bottom w:val="nil"/>
              <w:right w:val="nil"/>
            </w:tcBorders>
            <w:shd w:val="clear" w:color="auto" w:fill="0C0C0C" w:themeFill="text1"/>
            <w:noWrap/>
            <w:vAlign w:val="bottom"/>
            <w:hideMark/>
          </w:tcPr>
          <w:p w:rsidR="00CA2BA3" w:rsidRPr="00DF0D25" w:rsidRDefault="00CA2BA3">
            <w:pPr>
              <w:jc w:val="right"/>
              <w:rPr>
                <w:color w:val="FFFFFF" w:themeColor="background1"/>
                <w:sz w:val="18"/>
                <w:szCs w:val="18"/>
              </w:rPr>
            </w:pPr>
            <w:r w:rsidRPr="00DF0D25">
              <w:rPr>
                <w:color w:val="FFFFFF" w:themeColor="background1"/>
                <w:sz w:val="18"/>
                <w:szCs w:val="18"/>
              </w:rPr>
              <w:t>2,050</w:t>
            </w:r>
          </w:p>
        </w:tc>
      </w:tr>
      <w:tr w:rsidR="00420FE8" w:rsidRPr="00240F2A" w:rsidTr="005F666B">
        <w:tc>
          <w:tcPr>
            <w:tcW w:w="2991" w:type="dxa"/>
            <w:tcBorders>
              <w:top w:val="nil"/>
              <w:left w:val="nil"/>
              <w:bottom w:val="nil"/>
              <w:right w:val="nil"/>
            </w:tcBorders>
            <w:shd w:val="clear" w:color="auto" w:fill="auto"/>
            <w:noWrap/>
            <w:vAlign w:val="center"/>
            <w:hideMark/>
          </w:tcPr>
          <w:p w:rsidR="00420FE8" w:rsidRPr="00240F2A" w:rsidRDefault="00420FE8" w:rsidP="00240F2A">
            <w:pPr>
              <w:spacing w:line="240" w:lineRule="auto"/>
              <w:jc w:val="right"/>
              <w:rPr>
                <w:rFonts w:cs="Times New Roman"/>
                <w:color w:val="auto"/>
                <w:szCs w:val="20"/>
                <w:lang w:eastAsia="en-AU"/>
              </w:rPr>
            </w:pPr>
            <w:r w:rsidRPr="00240F2A">
              <w:rPr>
                <w:rFonts w:cs="Times New Roman"/>
                <w:color w:val="auto"/>
                <w:szCs w:val="20"/>
                <w:lang w:eastAsia="en-AU"/>
              </w:rPr>
              <w:t>Contaminated soils</w:t>
            </w:r>
          </w:p>
        </w:tc>
        <w:tc>
          <w:tcPr>
            <w:tcW w:w="748" w:type="dxa"/>
            <w:tcBorders>
              <w:top w:val="nil"/>
              <w:left w:val="single" w:sz="4" w:space="0" w:color="808080"/>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1,953</w:t>
            </w:r>
          </w:p>
        </w:tc>
        <w:tc>
          <w:tcPr>
            <w:tcW w:w="876" w:type="dxa"/>
            <w:tcBorders>
              <w:top w:val="nil"/>
              <w:left w:val="nil"/>
              <w:bottom w:val="nil"/>
              <w:right w:val="nil"/>
            </w:tcBorders>
            <w:shd w:val="clear" w:color="auto" w:fill="FFFFFF" w:themeFill="background1"/>
            <w:noWrap/>
            <w:vAlign w:val="bottom"/>
            <w:hideMark/>
          </w:tcPr>
          <w:p w:rsidR="00420FE8" w:rsidRPr="005F666B" w:rsidRDefault="00420FE8">
            <w:pPr>
              <w:jc w:val="right"/>
              <w:rPr>
                <w:color w:val="FF0000"/>
                <w:sz w:val="18"/>
                <w:szCs w:val="18"/>
                <w:u w:val="single"/>
              </w:rPr>
            </w:pPr>
            <w:r w:rsidRPr="005F666B">
              <w:rPr>
                <w:color w:val="FF0000"/>
                <w:sz w:val="18"/>
                <w:szCs w:val="18"/>
                <w:u w:val="single"/>
              </w:rPr>
              <w:t>555,300</w:t>
            </w:r>
          </w:p>
        </w:tc>
        <w:tc>
          <w:tcPr>
            <w:tcW w:w="747" w:type="dxa"/>
            <w:tcBorders>
              <w:top w:val="nil"/>
              <w:left w:val="nil"/>
              <w:bottom w:val="nil"/>
              <w:right w:val="nil"/>
            </w:tcBorders>
            <w:shd w:val="clear" w:color="auto" w:fill="0C0C0C" w:themeFill="text1"/>
            <w:noWrap/>
            <w:vAlign w:val="bottom"/>
            <w:hideMark/>
          </w:tcPr>
          <w:p w:rsidR="00420FE8" w:rsidRPr="005F666B" w:rsidRDefault="00420FE8">
            <w:pPr>
              <w:jc w:val="right"/>
              <w:rPr>
                <w:color w:val="FFFFFF" w:themeColor="background1"/>
                <w:sz w:val="18"/>
                <w:szCs w:val="18"/>
              </w:rPr>
            </w:pPr>
            <w:r w:rsidRPr="005F666B">
              <w:rPr>
                <w:color w:val="FFFFFF" w:themeColor="background1"/>
                <w:sz w:val="18"/>
                <w:szCs w:val="18"/>
              </w:rPr>
              <w:t>12,381</w:t>
            </w:r>
          </w:p>
        </w:tc>
        <w:tc>
          <w:tcPr>
            <w:tcW w:w="876" w:type="dxa"/>
            <w:tcBorders>
              <w:top w:val="nil"/>
              <w:left w:val="nil"/>
              <w:bottom w:val="nil"/>
              <w:right w:val="nil"/>
            </w:tcBorders>
            <w:shd w:val="clear" w:color="auto" w:fill="FFFFFF" w:themeFill="background1"/>
            <w:noWrap/>
            <w:vAlign w:val="bottom"/>
            <w:hideMark/>
          </w:tcPr>
          <w:p w:rsidR="00420FE8" w:rsidRPr="005F666B" w:rsidRDefault="00420FE8">
            <w:pPr>
              <w:jc w:val="right"/>
              <w:rPr>
                <w:color w:val="FF0000"/>
                <w:sz w:val="18"/>
                <w:szCs w:val="18"/>
                <w:u w:val="single"/>
              </w:rPr>
            </w:pPr>
            <w:r w:rsidRPr="005F666B">
              <w:rPr>
                <w:color w:val="FF0000"/>
                <w:sz w:val="18"/>
                <w:szCs w:val="18"/>
                <w:u w:val="single"/>
              </w:rPr>
              <w:t>327,585</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145,387</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131</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314,299</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3,310</w:t>
            </w:r>
          </w:p>
        </w:tc>
      </w:tr>
      <w:tr w:rsidR="00420FE8" w:rsidRPr="00240F2A" w:rsidTr="007104F6">
        <w:tc>
          <w:tcPr>
            <w:tcW w:w="2991" w:type="dxa"/>
            <w:tcBorders>
              <w:top w:val="nil"/>
              <w:left w:val="nil"/>
              <w:bottom w:val="nil"/>
              <w:right w:val="nil"/>
            </w:tcBorders>
            <w:shd w:val="clear" w:color="auto" w:fill="auto"/>
            <w:noWrap/>
            <w:vAlign w:val="center"/>
            <w:hideMark/>
          </w:tcPr>
          <w:p w:rsidR="00420FE8" w:rsidRPr="00240F2A" w:rsidRDefault="004F00CB" w:rsidP="00240F2A">
            <w:pPr>
              <w:spacing w:line="240" w:lineRule="auto"/>
              <w:jc w:val="right"/>
              <w:rPr>
                <w:rFonts w:cs="Times New Roman"/>
                <w:color w:val="auto"/>
                <w:szCs w:val="20"/>
                <w:lang w:eastAsia="en-AU"/>
              </w:rPr>
            </w:pPr>
            <w:r>
              <w:rPr>
                <w:rFonts w:cs="Times New Roman"/>
                <w:color w:val="auto"/>
                <w:szCs w:val="20"/>
                <w:lang w:eastAsia="en-AU"/>
              </w:rPr>
              <w:t>Contaminated b</w:t>
            </w:r>
            <w:r w:rsidR="00420FE8" w:rsidRPr="00240F2A">
              <w:rPr>
                <w:rFonts w:cs="Times New Roman"/>
                <w:color w:val="auto"/>
                <w:szCs w:val="20"/>
                <w:lang w:eastAsia="en-AU"/>
              </w:rPr>
              <w:t>iosolids</w:t>
            </w:r>
          </w:p>
        </w:tc>
        <w:tc>
          <w:tcPr>
            <w:tcW w:w="748" w:type="dxa"/>
            <w:tcBorders>
              <w:top w:val="nil"/>
              <w:left w:val="single" w:sz="4" w:space="0" w:color="808080"/>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51,768</w:t>
            </w:r>
          </w:p>
        </w:tc>
        <w:tc>
          <w:tcPr>
            <w:tcW w:w="876"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384,367</w:t>
            </w:r>
          </w:p>
        </w:tc>
        <w:tc>
          <w:tcPr>
            <w:tcW w:w="747"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5,101</w:t>
            </w:r>
          </w:p>
        </w:tc>
        <w:tc>
          <w:tcPr>
            <w:tcW w:w="876"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311,874</w:t>
            </w:r>
          </w:p>
        </w:tc>
        <w:tc>
          <w:tcPr>
            <w:tcW w:w="840"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135,455</w:t>
            </w:r>
          </w:p>
        </w:tc>
        <w:tc>
          <w:tcPr>
            <w:tcW w:w="840"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30,334</w:t>
            </w:r>
          </w:p>
        </w:tc>
        <w:tc>
          <w:tcPr>
            <w:tcW w:w="876"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429,502</w:t>
            </w:r>
          </w:p>
        </w:tc>
        <w:tc>
          <w:tcPr>
            <w:tcW w:w="840"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120,481</w:t>
            </w:r>
          </w:p>
        </w:tc>
      </w:tr>
      <w:tr w:rsidR="00420FE8" w:rsidRPr="00240F2A" w:rsidTr="00775869">
        <w:tc>
          <w:tcPr>
            <w:tcW w:w="2991" w:type="dxa"/>
            <w:tcBorders>
              <w:top w:val="nil"/>
              <w:left w:val="nil"/>
              <w:bottom w:val="nil"/>
              <w:right w:val="nil"/>
            </w:tcBorders>
            <w:shd w:val="clear" w:color="auto" w:fill="auto"/>
            <w:noWrap/>
            <w:vAlign w:val="center"/>
            <w:hideMark/>
          </w:tcPr>
          <w:p w:rsidR="00420FE8" w:rsidRPr="00240F2A" w:rsidRDefault="00420FE8" w:rsidP="002D2962">
            <w:pPr>
              <w:spacing w:line="240" w:lineRule="auto"/>
              <w:jc w:val="right"/>
              <w:rPr>
                <w:rFonts w:cs="Times New Roman"/>
                <w:color w:val="auto"/>
                <w:szCs w:val="20"/>
                <w:lang w:eastAsia="en-AU"/>
              </w:rPr>
            </w:pPr>
            <w:r w:rsidRPr="00240F2A">
              <w:rPr>
                <w:rFonts w:cs="Times New Roman"/>
                <w:color w:val="auto"/>
                <w:szCs w:val="20"/>
                <w:lang w:eastAsia="en-AU"/>
              </w:rPr>
              <w:t>Other ind</w:t>
            </w:r>
            <w:r>
              <w:rPr>
                <w:rFonts w:cs="Times New Roman"/>
                <w:color w:val="auto"/>
                <w:szCs w:val="20"/>
                <w:lang w:eastAsia="en-AU"/>
              </w:rPr>
              <w:t>.</w:t>
            </w:r>
            <w:r w:rsidRPr="00240F2A">
              <w:rPr>
                <w:rFonts w:cs="Times New Roman"/>
                <w:color w:val="auto"/>
                <w:szCs w:val="20"/>
                <w:lang w:eastAsia="en-AU"/>
              </w:rPr>
              <w:t xml:space="preserve"> treatment residues</w:t>
            </w:r>
          </w:p>
        </w:tc>
        <w:tc>
          <w:tcPr>
            <w:tcW w:w="748" w:type="dxa"/>
            <w:tcBorders>
              <w:top w:val="nil"/>
              <w:left w:val="single" w:sz="4" w:space="0" w:color="808080"/>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27,578</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24,539</w:t>
            </w:r>
          </w:p>
        </w:tc>
        <w:tc>
          <w:tcPr>
            <w:tcW w:w="747"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420FE8" w:rsidRPr="005F7213" w:rsidRDefault="00420FE8">
            <w:pPr>
              <w:jc w:val="right"/>
              <w:rPr>
                <w:b/>
                <w:color w:val="0000FF" w:themeColor="text2"/>
                <w:sz w:val="18"/>
                <w:szCs w:val="18"/>
              </w:rPr>
            </w:pPr>
            <w:r w:rsidRPr="005F7213">
              <w:rPr>
                <w:b/>
                <w:color w:val="0000FF" w:themeColor="text2"/>
                <w:sz w:val="18"/>
                <w:szCs w:val="18"/>
              </w:rPr>
              <w:t>128,880</w:t>
            </w:r>
          </w:p>
        </w:tc>
        <w:tc>
          <w:tcPr>
            <w:tcW w:w="840" w:type="dxa"/>
            <w:tcBorders>
              <w:top w:val="nil"/>
              <w:left w:val="nil"/>
              <w:bottom w:val="nil"/>
              <w:right w:val="nil"/>
            </w:tcBorders>
            <w:shd w:val="clear" w:color="auto" w:fill="auto"/>
            <w:noWrap/>
            <w:vAlign w:val="bottom"/>
            <w:hideMark/>
          </w:tcPr>
          <w:p w:rsidR="00420FE8" w:rsidRPr="005F7213" w:rsidRDefault="00420FE8">
            <w:pPr>
              <w:jc w:val="right"/>
              <w:rPr>
                <w:b/>
                <w:color w:val="0000FF" w:themeColor="text2"/>
                <w:sz w:val="18"/>
                <w:szCs w:val="18"/>
              </w:rPr>
            </w:pPr>
            <w:r w:rsidRPr="005F7213">
              <w:rPr>
                <w:b/>
                <w:color w:val="0000FF" w:themeColor="text2"/>
                <w:sz w:val="18"/>
                <w:szCs w:val="18"/>
              </w:rPr>
              <w:t>47,195</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0</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0</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9,932</w:t>
            </w:r>
          </w:p>
        </w:tc>
      </w:tr>
      <w:tr w:rsidR="00420FE8" w:rsidRPr="00240F2A" w:rsidTr="005F666B">
        <w:tc>
          <w:tcPr>
            <w:tcW w:w="2991" w:type="dxa"/>
            <w:tcBorders>
              <w:top w:val="nil"/>
              <w:left w:val="nil"/>
              <w:bottom w:val="nil"/>
              <w:right w:val="nil"/>
            </w:tcBorders>
            <w:shd w:val="clear" w:color="auto" w:fill="auto"/>
            <w:noWrap/>
            <w:vAlign w:val="center"/>
            <w:hideMark/>
          </w:tcPr>
          <w:p w:rsidR="00420FE8" w:rsidRPr="00240F2A" w:rsidRDefault="00420FE8" w:rsidP="00240F2A">
            <w:pPr>
              <w:spacing w:line="240" w:lineRule="auto"/>
              <w:jc w:val="right"/>
              <w:rPr>
                <w:rFonts w:cs="Times New Roman"/>
                <w:color w:val="auto"/>
                <w:szCs w:val="20"/>
                <w:lang w:eastAsia="en-AU"/>
              </w:rPr>
            </w:pPr>
            <w:r w:rsidRPr="00240F2A">
              <w:rPr>
                <w:rFonts w:cs="Times New Roman"/>
                <w:color w:val="auto"/>
                <w:szCs w:val="20"/>
                <w:lang w:eastAsia="en-AU"/>
              </w:rPr>
              <w:t>Asbestos</w:t>
            </w:r>
          </w:p>
        </w:tc>
        <w:tc>
          <w:tcPr>
            <w:tcW w:w="748" w:type="dxa"/>
            <w:tcBorders>
              <w:top w:val="nil"/>
              <w:left w:val="single" w:sz="4" w:space="0" w:color="808080"/>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20</w:t>
            </w:r>
          </w:p>
        </w:tc>
        <w:tc>
          <w:tcPr>
            <w:tcW w:w="876" w:type="dxa"/>
            <w:tcBorders>
              <w:top w:val="nil"/>
              <w:left w:val="nil"/>
              <w:bottom w:val="nil"/>
              <w:right w:val="nil"/>
            </w:tcBorders>
            <w:shd w:val="clear" w:color="auto" w:fill="FFFFFF" w:themeFill="background1"/>
            <w:noWrap/>
            <w:vAlign w:val="bottom"/>
            <w:hideMark/>
          </w:tcPr>
          <w:p w:rsidR="00420FE8" w:rsidRPr="005F666B" w:rsidRDefault="00420FE8">
            <w:pPr>
              <w:jc w:val="right"/>
              <w:rPr>
                <w:color w:val="FF0000"/>
                <w:sz w:val="18"/>
                <w:szCs w:val="18"/>
                <w:u w:val="single"/>
              </w:rPr>
            </w:pPr>
            <w:r w:rsidRPr="005F666B">
              <w:rPr>
                <w:color w:val="FF0000"/>
                <w:sz w:val="18"/>
                <w:szCs w:val="18"/>
                <w:u w:val="single"/>
              </w:rPr>
              <w:t>531,100</w:t>
            </w:r>
          </w:p>
        </w:tc>
        <w:tc>
          <w:tcPr>
            <w:tcW w:w="747" w:type="dxa"/>
            <w:tcBorders>
              <w:top w:val="nil"/>
              <w:left w:val="nil"/>
              <w:bottom w:val="nil"/>
              <w:right w:val="nil"/>
            </w:tcBorders>
            <w:shd w:val="clear" w:color="auto" w:fill="0C0C0C" w:themeFill="text1"/>
            <w:noWrap/>
            <w:vAlign w:val="bottom"/>
            <w:hideMark/>
          </w:tcPr>
          <w:p w:rsidR="00420FE8" w:rsidRPr="005F666B" w:rsidRDefault="00420FE8">
            <w:pPr>
              <w:jc w:val="right"/>
              <w:rPr>
                <w:color w:val="FFFFFF" w:themeColor="background1"/>
                <w:sz w:val="18"/>
                <w:szCs w:val="18"/>
              </w:rPr>
            </w:pPr>
            <w:r w:rsidRPr="005F666B">
              <w:rPr>
                <w:color w:val="FFFFFF" w:themeColor="background1"/>
                <w:sz w:val="18"/>
                <w:szCs w:val="18"/>
              </w:rPr>
              <w:t>8,857</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113,408</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15,991</w:t>
            </w:r>
          </w:p>
        </w:tc>
        <w:tc>
          <w:tcPr>
            <w:tcW w:w="840" w:type="dxa"/>
            <w:tcBorders>
              <w:top w:val="nil"/>
              <w:left w:val="nil"/>
              <w:bottom w:val="nil"/>
              <w:right w:val="nil"/>
            </w:tcBorders>
            <w:shd w:val="clear" w:color="auto" w:fill="0C0C0C" w:themeFill="text1"/>
            <w:noWrap/>
            <w:vAlign w:val="bottom"/>
            <w:hideMark/>
          </w:tcPr>
          <w:p w:rsidR="00420FE8" w:rsidRPr="00DF0D25" w:rsidRDefault="00420FE8">
            <w:pPr>
              <w:jc w:val="right"/>
              <w:rPr>
                <w:color w:val="FFFFFF" w:themeColor="background1"/>
                <w:sz w:val="18"/>
                <w:szCs w:val="18"/>
              </w:rPr>
            </w:pPr>
            <w:r w:rsidRPr="00DF0D25">
              <w:rPr>
                <w:color w:val="FFFFFF" w:themeColor="background1"/>
                <w:sz w:val="18"/>
                <w:szCs w:val="18"/>
              </w:rPr>
              <w:t>18,968</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68,127</w:t>
            </w:r>
          </w:p>
        </w:tc>
        <w:tc>
          <w:tcPr>
            <w:tcW w:w="840" w:type="dxa"/>
            <w:tcBorders>
              <w:top w:val="nil"/>
              <w:left w:val="nil"/>
              <w:bottom w:val="nil"/>
              <w:right w:val="nil"/>
            </w:tcBorders>
            <w:shd w:val="clear" w:color="auto" w:fill="0C0C0C" w:themeFill="text1"/>
            <w:noWrap/>
            <w:vAlign w:val="bottom"/>
            <w:hideMark/>
          </w:tcPr>
          <w:p w:rsidR="00420FE8" w:rsidRPr="00DF0D25" w:rsidRDefault="00420FE8">
            <w:pPr>
              <w:jc w:val="right"/>
              <w:rPr>
                <w:color w:val="FFFFFF" w:themeColor="background1"/>
                <w:sz w:val="18"/>
                <w:szCs w:val="18"/>
              </w:rPr>
            </w:pPr>
            <w:r w:rsidRPr="00DF0D25">
              <w:rPr>
                <w:color w:val="FFFFFF" w:themeColor="background1"/>
                <w:sz w:val="18"/>
                <w:szCs w:val="18"/>
              </w:rPr>
              <w:t>91,773</w:t>
            </w:r>
          </w:p>
        </w:tc>
      </w:tr>
      <w:tr w:rsidR="00420FE8" w:rsidRPr="00240F2A" w:rsidTr="00775869">
        <w:tc>
          <w:tcPr>
            <w:tcW w:w="2991" w:type="dxa"/>
            <w:tcBorders>
              <w:top w:val="nil"/>
              <w:left w:val="nil"/>
              <w:bottom w:val="nil"/>
              <w:right w:val="nil"/>
            </w:tcBorders>
            <w:shd w:val="clear" w:color="auto" w:fill="auto"/>
            <w:noWrap/>
            <w:vAlign w:val="center"/>
            <w:hideMark/>
          </w:tcPr>
          <w:p w:rsidR="00420FE8" w:rsidRPr="00240F2A" w:rsidRDefault="00420FE8" w:rsidP="00240F2A">
            <w:pPr>
              <w:spacing w:line="240" w:lineRule="auto"/>
              <w:jc w:val="right"/>
              <w:rPr>
                <w:rFonts w:cs="Times New Roman"/>
                <w:color w:val="auto"/>
                <w:szCs w:val="20"/>
                <w:lang w:eastAsia="en-AU"/>
              </w:rPr>
            </w:pPr>
            <w:r w:rsidRPr="00240F2A">
              <w:rPr>
                <w:rFonts w:cs="Times New Roman"/>
                <w:color w:val="auto"/>
                <w:szCs w:val="20"/>
                <w:lang w:eastAsia="en-AU"/>
              </w:rPr>
              <w:t>Other soil/sludges</w:t>
            </w:r>
          </w:p>
        </w:tc>
        <w:tc>
          <w:tcPr>
            <w:tcW w:w="748" w:type="dxa"/>
            <w:tcBorders>
              <w:top w:val="nil"/>
              <w:left w:val="single" w:sz="4" w:space="0" w:color="808080"/>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9</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29,828</w:t>
            </w:r>
          </w:p>
        </w:tc>
        <w:tc>
          <w:tcPr>
            <w:tcW w:w="747"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29</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24,675</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2,576</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7</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36,134</w:t>
            </w:r>
          </w:p>
        </w:tc>
        <w:tc>
          <w:tcPr>
            <w:tcW w:w="840" w:type="dxa"/>
            <w:tcBorders>
              <w:top w:val="nil"/>
              <w:left w:val="nil"/>
              <w:bottom w:val="nil"/>
              <w:right w:val="nil"/>
            </w:tcBorders>
            <w:shd w:val="clear" w:color="auto" w:fill="auto"/>
            <w:noWrap/>
            <w:vAlign w:val="bottom"/>
            <w:hideMark/>
          </w:tcPr>
          <w:p w:rsidR="00420FE8" w:rsidRPr="005F7213" w:rsidRDefault="00420FE8">
            <w:pPr>
              <w:jc w:val="right"/>
              <w:rPr>
                <w:b/>
                <w:color w:val="0000FF" w:themeColor="text2"/>
                <w:sz w:val="18"/>
                <w:szCs w:val="18"/>
              </w:rPr>
            </w:pPr>
            <w:r w:rsidRPr="005F7213">
              <w:rPr>
                <w:b/>
                <w:color w:val="0000FF" w:themeColor="text2"/>
                <w:sz w:val="18"/>
                <w:szCs w:val="18"/>
              </w:rPr>
              <w:t>10,964</w:t>
            </w:r>
          </w:p>
        </w:tc>
      </w:tr>
      <w:tr w:rsidR="00420FE8" w:rsidRPr="00240F2A" w:rsidTr="005F666B">
        <w:tc>
          <w:tcPr>
            <w:tcW w:w="2991" w:type="dxa"/>
            <w:tcBorders>
              <w:top w:val="nil"/>
              <w:left w:val="nil"/>
              <w:bottom w:val="nil"/>
              <w:right w:val="nil"/>
            </w:tcBorders>
            <w:shd w:val="clear" w:color="auto" w:fill="auto"/>
            <w:noWrap/>
            <w:vAlign w:val="center"/>
            <w:hideMark/>
          </w:tcPr>
          <w:p w:rsidR="00420FE8" w:rsidRPr="00240F2A" w:rsidRDefault="00420FE8" w:rsidP="00240F2A">
            <w:pPr>
              <w:spacing w:line="240" w:lineRule="auto"/>
              <w:jc w:val="right"/>
              <w:rPr>
                <w:rFonts w:cs="Times New Roman"/>
                <w:color w:val="auto"/>
                <w:szCs w:val="20"/>
                <w:lang w:eastAsia="en-AU"/>
              </w:rPr>
            </w:pPr>
            <w:r w:rsidRPr="00240F2A">
              <w:rPr>
                <w:rFonts w:cs="Times New Roman"/>
                <w:color w:val="auto"/>
                <w:szCs w:val="20"/>
                <w:lang w:eastAsia="en-AU"/>
              </w:rPr>
              <w:t>Clinical &amp; pharmaceutical</w:t>
            </w:r>
          </w:p>
        </w:tc>
        <w:tc>
          <w:tcPr>
            <w:tcW w:w="748" w:type="dxa"/>
            <w:tcBorders>
              <w:top w:val="nil"/>
              <w:left w:val="single" w:sz="4" w:space="0" w:color="808080"/>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562</w:t>
            </w:r>
          </w:p>
        </w:tc>
        <w:tc>
          <w:tcPr>
            <w:tcW w:w="876" w:type="dxa"/>
            <w:tcBorders>
              <w:top w:val="nil"/>
              <w:left w:val="nil"/>
              <w:bottom w:val="nil"/>
              <w:right w:val="nil"/>
            </w:tcBorders>
            <w:shd w:val="clear" w:color="auto" w:fill="0C0C0C" w:themeFill="text1"/>
            <w:noWrap/>
            <w:vAlign w:val="bottom"/>
            <w:hideMark/>
          </w:tcPr>
          <w:p w:rsidR="00420FE8" w:rsidRPr="005F666B" w:rsidRDefault="00420FE8">
            <w:pPr>
              <w:jc w:val="right"/>
              <w:rPr>
                <w:color w:val="FFFFFF" w:themeColor="background1"/>
                <w:sz w:val="18"/>
                <w:szCs w:val="18"/>
              </w:rPr>
            </w:pPr>
            <w:r w:rsidRPr="005F666B">
              <w:rPr>
                <w:color w:val="FFFFFF" w:themeColor="background1"/>
                <w:sz w:val="18"/>
                <w:szCs w:val="18"/>
              </w:rPr>
              <w:t>22,791</w:t>
            </w:r>
          </w:p>
        </w:tc>
        <w:tc>
          <w:tcPr>
            <w:tcW w:w="747"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124</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26,258</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6,311</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22</w:t>
            </w:r>
          </w:p>
        </w:tc>
        <w:tc>
          <w:tcPr>
            <w:tcW w:w="876" w:type="dxa"/>
            <w:tcBorders>
              <w:top w:val="nil"/>
              <w:left w:val="nil"/>
              <w:bottom w:val="nil"/>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11,461</w:t>
            </w:r>
          </w:p>
        </w:tc>
        <w:tc>
          <w:tcPr>
            <w:tcW w:w="840" w:type="dxa"/>
            <w:tcBorders>
              <w:top w:val="nil"/>
              <w:left w:val="nil"/>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3,242</w:t>
            </w:r>
          </w:p>
        </w:tc>
      </w:tr>
      <w:tr w:rsidR="00420FE8" w:rsidRPr="00240F2A" w:rsidTr="007104F6">
        <w:tc>
          <w:tcPr>
            <w:tcW w:w="2991" w:type="dxa"/>
            <w:tcBorders>
              <w:top w:val="nil"/>
              <w:left w:val="nil"/>
              <w:bottom w:val="nil"/>
              <w:right w:val="nil"/>
            </w:tcBorders>
            <w:shd w:val="clear" w:color="auto" w:fill="auto"/>
            <w:noWrap/>
            <w:vAlign w:val="center"/>
            <w:hideMark/>
          </w:tcPr>
          <w:p w:rsidR="00420FE8" w:rsidRPr="00240F2A" w:rsidRDefault="00420FE8" w:rsidP="00240F2A">
            <w:pPr>
              <w:spacing w:line="240" w:lineRule="auto"/>
              <w:jc w:val="right"/>
              <w:rPr>
                <w:rFonts w:cs="Times New Roman"/>
                <w:color w:val="auto"/>
                <w:szCs w:val="20"/>
                <w:lang w:eastAsia="en-AU"/>
              </w:rPr>
            </w:pPr>
            <w:r w:rsidRPr="00240F2A">
              <w:rPr>
                <w:rFonts w:cs="Times New Roman"/>
                <w:color w:val="auto"/>
                <w:szCs w:val="20"/>
                <w:lang w:eastAsia="en-AU"/>
              </w:rPr>
              <w:t>Tyres</w:t>
            </w:r>
          </w:p>
        </w:tc>
        <w:tc>
          <w:tcPr>
            <w:tcW w:w="748" w:type="dxa"/>
            <w:tcBorders>
              <w:top w:val="nil"/>
              <w:left w:val="single" w:sz="4" w:space="0" w:color="808080"/>
              <w:bottom w:val="nil"/>
              <w:right w:val="nil"/>
            </w:tcBorders>
            <w:shd w:val="clear" w:color="auto" w:fill="auto"/>
            <w:noWrap/>
            <w:vAlign w:val="bottom"/>
            <w:hideMark/>
          </w:tcPr>
          <w:p w:rsidR="00420FE8" w:rsidRPr="00775869" w:rsidRDefault="00420FE8">
            <w:pPr>
              <w:jc w:val="right"/>
              <w:rPr>
                <w:sz w:val="18"/>
                <w:szCs w:val="18"/>
              </w:rPr>
            </w:pPr>
            <w:r w:rsidRPr="00775869">
              <w:rPr>
                <w:sz w:val="18"/>
                <w:szCs w:val="18"/>
              </w:rPr>
              <w:t>3,695</w:t>
            </w:r>
          </w:p>
        </w:tc>
        <w:tc>
          <w:tcPr>
            <w:tcW w:w="876"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104,598</w:t>
            </w:r>
          </w:p>
        </w:tc>
        <w:tc>
          <w:tcPr>
            <w:tcW w:w="747"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5,662</w:t>
            </w:r>
          </w:p>
        </w:tc>
        <w:tc>
          <w:tcPr>
            <w:tcW w:w="876"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92,923</w:t>
            </w:r>
          </w:p>
        </w:tc>
        <w:tc>
          <w:tcPr>
            <w:tcW w:w="840"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29,561</w:t>
            </w:r>
          </w:p>
        </w:tc>
        <w:tc>
          <w:tcPr>
            <w:tcW w:w="840"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10,060</w:t>
            </w:r>
          </w:p>
        </w:tc>
        <w:tc>
          <w:tcPr>
            <w:tcW w:w="876"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88,168</w:t>
            </w:r>
          </w:p>
        </w:tc>
        <w:tc>
          <w:tcPr>
            <w:tcW w:w="840" w:type="dxa"/>
            <w:tcBorders>
              <w:top w:val="nil"/>
              <w:left w:val="nil"/>
              <w:bottom w:val="nil"/>
              <w:right w:val="nil"/>
            </w:tcBorders>
            <w:shd w:val="clear" w:color="auto" w:fill="808080" w:themeFill="background1" w:themeFillShade="80"/>
            <w:noWrap/>
            <w:vAlign w:val="bottom"/>
            <w:hideMark/>
          </w:tcPr>
          <w:p w:rsidR="00420FE8" w:rsidRPr="00DF0D25" w:rsidRDefault="00420FE8">
            <w:pPr>
              <w:jc w:val="right"/>
              <w:rPr>
                <w:i/>
                <w:color w:val="FFFFFF" w:themeColor="background1"/>
                <w:sz w:val="18"/>
                <w:szCs w:val="18"/>
              </w:rPr>
            </w:pPr>
            <w:r w:rsidRPr="00DF0D25">
              <w:rPr>
                <w:i/>
                <w:color w:val="FFFFFF" w:themeColor="background1"/>
                <w:sz w:val="18"/>
                <w:szCs w:val="18"/>
              </w:rPr>
              <w:t>73,681</w:t>
            </w:r>
          </w:p>
        </w:tc>
      </w:tr>
      <w:tr w:rsidR="00420FE8" w:rsidRPr="00240F2A" w:rsidTr="00775869">
        <w:tc>
          <w:tcPr>
            <w:tcW w:w="2991" w:type="dxa"/>
            <w:tcBorders>
              <w:top w:val="nil"/>
              <w:left w:val="nil"/>
              <w:bottom w:val="single" w:sz="4" w:space="0" w:color="808080"/>
              <w:right w:val="nil"/>
            </w:tcBorders>
            <w:shd w:val="clear" w:color="auto" w:fill="auto"/>
            <w:noWrap/>
            <w:vAlign w:val="center"/>
            <w:hideMark/>
          </w:tcPr>
          <w:p w:rsidR="00420FE8" w:rsidRPr="00240F2A" w:rsidRDefault="00420FE8" w:rsidP="00240F2A">
            <w:pPr>
              <w:spacing w:line="240" w:lineRule="auto"/>
              <w:jc w:val="right"/>
              <w:rPr>
                <w:rFonts w:cs="Times New Roman"/>
                <w:color w:val="auto"/>
                <w:szCs w:val="20"/>
                <w:lang w:eastAsia="en-AU"/>
              </w:rPr>
            </w:pPr>
            <w:r w:rsidRPr="00240F2A">
              <w:rPr>
                <w:rFonts w:cs="Times New Roman"/>
                <w:color w:val="auto"/>
                <w:szCs w:val="20"/>
                <w:lang w:eastAsia="en-AU"/>
              </w:rPr>
              <w:t>Other miscellaneous</w:t>
            </w:r>
          </w:p>
        </w:tc>
        <w:tc>
          <w:tcPr>
            <w:tcW w:w="748" w:type="dxa"/>
            <w:tcBorders>
              <w:top w:val="nil"/>
              <w:left w:val="single" w:sz="4" w:space="0" w:color="808080"/>
              <w:bottom w:val="single" w:sz="4" w:space="0" w:color="808080"/>
              <w:right w:val="nil"/>
            </w:tcBorders>
            <w:shd w:val="clear" w:color="auto" w:fill="auto"/>
            <w:noWrap/>
            <w:vAlign w:val="bottom"/>
            <w:hideMark/>
          </w:tcPr>
          <w:p w:rsidR="00420FE8" w:rsidRPr="00775869" w:rsidRDefault="00420FE8">
            <w:pPr>
              <w:jc w:val="right"/>
              <w:rPr>
                <w:sz w:val="18"/>
                <w:szCs w:val="18"/>
              </w:rPr>
            </w:pPr>
            <w:r w:rsidRPr="00775869">
              <w:rPr>
                <w:sz w:val="18"/>
                <w:szCs w:val="18"/>
              </w:rPr>
              <w:t>73</w:t>
            </w:r>
          </w:p>
        </w:tc>
        <w:tc>
          <w:tcPr>
            <w:tcW w:w="876" w:type="dxa"/>
            <w:tcBorders>
              <w:top w:val="nil"/>
              <w:left w:val="nil"/>
              <w:bottom w:val="single" w:sz="4" w:space="0" w:color="808080"/>
              <w:right w:val="nil"/>
            </w:tcBorders>
            <w:shd w:val="clear" w:color="auto" w:fill="auto"/>
            <w:noWrap/>
            <w:vAlign w:val="bottom"/>
            <w:hideMark/>
          </w:tcPr>
          <w:p w:rsidR="00420FE8" w:rsidRPr="00775869" w:rsidRDefault="00420FE8">
            <w:pPr>
              <w:jc w:val="right"/>
              <w:rPr>
                <w:sz w:val="18"/>
                <w:szCs w:val="18"/>
              </w:rPr>
            </w:pPr>
            <w:r w:rsidRPr="00775869">
              <w:rPr>
                <w:sz w:val="18"/>
                <w:szCs w:val="18"/>
              </w:rPr>
              <w:t>2,354</w:t>
            </w:r>
          </w:p>
        </w:tc>
        <w:tc>
          <w:tcPr>
            <w:tcW w:w="747" w:type="dxa"/>
            <w:tcBorders>
              <w:top w:val="nil"/>
              <w:left w:val="nil"/>
              <w:bottom w:val="single" w:sz="4" w:space="0" w:color="808080"/>
              <w:right w:val="nil"/>
            </w:tcBorders>
            <w:shd w:val="clear" w:color="auto" w:fill="auto"/>
            <w:noWrap/>
            <w:vAlign w:val="bottom"/>
            <w:hideMark/>
          </w:tcPr>
          <w:p w:rsidR="00420FE8" w:rsidRPr="00775869" w:rsidRDefault="00420FE8">
            <w:pPr>
              <w:jc w:val="right"/>
              <w:rPr>
                <w:sz w:val="18"/>
                <w:szCs w:val="18"/>
              </w:rPr>
            </w:pPr>
            <w:r w:rsidRPr="00775869">
              <w:rPr>
                <w:sz w:val="18"/>
                <w:szCs w:val="18"/>
              </w:rPr>
              <w:t>124</w:t>
            </w:r>
          </w:p>
        </w:tc>
        <w:tc>
          <w:tcPr>
            <w:tcW w:w="876" w:type="dxa"/>
            <w:tcBorders>
              <w:top w:val="nil"/>
              <w:left w:val="nil"/>
              <w:bottom w:val="single" w:sz="4" w:space="0" w:color="808080"/>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2,729</w:t>
            </w:r>
          </w:p>
        </w:tc>
        <w:tc>
          <w:tcPr>
            <w:tcW w:w="840" w:type="dxa"/>
            <w:tcBorders>
              <w:top w:val="nil"/>
              <w:left w:val="nil"/>
              <w:bottom w:val="single" w:sz="4" w:space="0" w:color="808080"/>
              <w:right w:val="nil"/>
            </w:tcBorders>
            <w:shd w:val="clear" w:color="auto" w:fill="auto"/>
            <w:noWrap/>
            <w:vAlign w:val="bottom"/>
            <w:hideMark/>
          </w:tcPr>
          <w:p w:rsidR="00420FE8" w:rsidRPr="00775869" w:rsidRDefault="00420FE8">
            <w:pPr>
              <w:jc w:val="right"/>
              <w:rPr>
                <w:sz w:val="18"/>
                <w:szCs w:val="18"/>
              </w:rPr>
            </w:pPr>
            <w:r w:rsidRPr="00775869">
              <w:rPr>
                <w:sz w:val="18"/>
                <w:szCs w:val="18"/>
              </w:rPr>
              <w:t>367</w:t>
            </w:r>
          </w:p>
        </w:tc>
        <w:tc>
          <w:tcPr>
            <w:tcW w:w="840" w:type="dxa"/>
            <w:tcBorders>
              <w:top w:val="nil"/>
              <w:left w:val="nil"/>
              <w:bottom w:val="single" w:sz="4" w:space="0" w:color="808080"/>
              <w:right w:val="nil"/>
            </w:tcBorders>
            <w:shd w:val="clear" w:color="auto" w:fill="auto"/>
            <w:noWrap/>
            <w:vAlign w:val="bottom"/>
            <w:hideMark/>
          </w:tcPr>
          <w:p w:rsidR="00420FE8" w:rsidRPr="00775869" w:rsidRDefault="00420FE8">
            <w:pPr>
              <w:jc w:val="right"/>
              <w:rPr>
                <w:sz w:val="18"/>
                <w:szCs w:val="18"/>
              </w:rPr>
            </w:pPr>
            <w:r w:rsidRPr="00775869">
              <w:rPr>
                <w:sz w:val="18"/>
                <w:szCs w:val="18"/>
              </w:rPr>
              <w:t>13</w:t>
            </w:r>
          </w:p>
        </w:tc>
        <w:tc>
          <w:tcPr>
            <w:tcW w:w="876" w:type="dxa"/>
            <w:tcBorders>
              <w:top w:val="nil"/>
              <w:left w:val="nil"/>
              <w:bottom w:val="single" w:sz="4" w:space="0" w:color="808080"/>
              <w:right w:val="nil"/>
            </w:tcBorders>
            <w:shd w:val="clear" w:color="auto" w:fill="auto"/>
            <w:noWrap/>
            <w:vAlign w:val="bottom"/>
            <w:hideMark/>
          </w:tcPr>
          <w:p w:rsidR="00420FE8" w:rsidRPr="00775869" w:rsidRDefault="00420FE8">
            <w:pPr>
              <w:jc w:val="right"/>
              <w:rPr>
                <w:i/>
                <w:iCs/>
                <w:sz w:val="18"/>
                <w:szCs w:val="18"/>
              </w:rPr>
            </w:pPr>
            <w:r w:rsidRPr="00775869">
              <w:rPr>
                <w:i/>
                <w:iCs/>
                <w:sz w:val="18"/>
                <w:szCs w:val="18"/>
              </w:rPr>
              <w:t>888</w:t>
            </w:r>
          </w:p>
        </w:tc>
        <w:tc>
          <w:tcPr>
            <w:tcW w:w="840" w:type="dxa"/>
            <w:tcBorders>
              <w:top w:val="nil"/>
              <w:left w:val="nil"/>
              <w:bottom w:val="single" w:sz="4" w:space="0" w:color="808080"/>
              <w:right w:val="nil"/>
            </w:tcBorders>
            <w:shd w:val="clear" w:color="auto" w:fill="auto"/>
            <w:noWrap/>
            <w:vAlign w:val="bottom"/>
            <w:hideMark/>
          </w:tcPr>
          <w:p w:rsidR="00420FE8" w:rsidRPr="00775869" w:rsidRDefault="00420FE8">
            <w:pPr>
              <w:jc w:val="right"/>
              <w:rPr>
                <w:sz w:val="18"/>
                <w:szCs w:val="18"/>
              </w:rPr>
            </w:pPr>
            <w:r w:rsidRPr="00775869">
              <w:rPr>
                <w:sz w:val="18"/>
                <w:szCs w:val="18"/>
              </w:rPr>
              <w:t>403</w:t>
            </w:r>
          </w:p>
        </w:tc>
      </w:tr>
      <w:tr w:rsidR="00420FE8" w:rsidRPr="00137CEB" w:rsidTr="00775869">
        <w:tc>
          <w:tcPr>
            <w:tcW w:w="2991" w:type="dxa"/>
            <w:tcBorders>
              <w:top w:val="nil"/>
              <w:left w:val="nil"/>
              <w:bottom w:val="single" w:sz="4" w:space="0" w:color="808080"/>
              <w:right w:val="nil"/>
            </w:tcBorders>
            <w:shd w:val="clear" w:color="auto" w:fill="auto"/>
            <w:noWrap/>
            <w:vAlign w:val="center"/>
            <w:hideMark/>
          </w:tcPr>
          <w:p w:rsidR="00420FE8" w:rsidRPr="00256B5E" w:rsidRDefault="00420FE8" w:rsidP="00240F2A">
            <w:pPr>
              <w:spacing w:line="240" w:lineRule="auto"/>
              <w:jc w:val="right"/>
              <w:rPr>
                <w:rFonts w:cs="Times New Roman"/>
                <w:b/>
                <w:bCs/>
                <w:color w:val="000000"/>
                <w:sz w:val="22"/>
                <w:lang w:eastAsia="en-AU"/>
              </w:rPr>
            </w:pPr>
            <w:r w:rsidRPr="00256B5E">
              <w:rPr>
                <w:rFonts w:cs="Times New Roman"/>
                <w:b/>
                <w:bCs/>
                <w:color w:val="000000"/>
                <w:sz w:val="22"/>
                <w:lang w:eastAsia="en-AU"/>
              </w:rPr>
              <w:t>Totals (thousands of tonnes)</w:t>
            </w:r>
          </w:p>
        </w:tc>
        <w:tc>
          <w:tcPr>
            <w:tcW w:w="748" w:type="dxa"/>
            <w:tcBorders>
              <w:top w:val="nil"/>
              <w:left w:val="single" w:sz="4" w:space="0" w:color="808080"/>
              <w:bottom w:val="single" w:sz="4" w:space="0" w:color="808080"/>
              <w:right w:val="nil"/>
            </w:tcBorders>
            <w:shd w:val="clear" w:color="auto" w:fill="auto"/>
            <w:noWrap/>
            <w:vAlign w:val="bottom"/>
            <w:hideMark/>
          </w:tcPr>
          <w:p w:rsidR="00420FE8" w:rsidRPr="00256B5E" w:rsidRDefault="00420FE8">
            <w:pPr>
              <w:jc w:val="right"/>
              <w:rPr>
                <w:bCs/>
                <w:color w:val="000000"/>
                <w:sz w:val="22"/>
              </w:rPr>
            </w:pPr>
            <w:r w:rsidRPr="00256B5E">
              <w:rPr>
                <w:bCs/>
                <w:color w:val="000000"/>
                <w:sz w:val="22"/>
              </w:rPr>
              <w:t>95</w:t>
            </w:r>
          </w:p>
        </w:tc>
        <w:tc>
          <w:tcPr>
            <w:tcW w:w="876" w:type="dxa"/>
            <w:tcBorders>
              <w:top w:val="nil"/>
              <w:left w:val="nil"/>
              <w:bottom w:val="single" w:sz="4" w:space="0" w:color="808080"/>
              <w:right w:val="nil"/>
            </w:tcBorders>
            <w:shd w:val="clear" w:color="auto" w:fill="auto"/>
            <w:noWrap/>
            <w:vAlign w:val="bottom"/>
            <w:hideMark/>
          </w:tcPr>
          <w:p w:rsidR="00420FE8" w:rsidRPr="00256B5E" w:rsidRDefault="00420FE8">
            <w:pPr>
              <w:jc w:val="right"/>
              <w:rPr>
                <w:bCs/>
                <w:color w:val="000000"/>
                <w:sz w:val="22"/>
              </w:rPr>
            </w:pPr>
            <w:r w:rsidRPr="00256B5E">
              <w:rPr>
                <w:bCs/>
                <w:color w:val="000000"/>
                <w:sz w:val="22"/>
              </w:rPr>
              <w:t>2,197</w:t>
            </w:r>
          </w:p>
        </w:tc>
        <w:tc>
          <w:tcPr>
            <w:tcW w:w="747" w:type="dxa"/>
            <w:tcBorders>
              <w:top w:val="nil"/>
              <w:left w:val="nil"/>
              <w:bottom w:val="single" w:sz="4" w:space="0" w:color="808080"/>
              <w:right w:val="nil"/>
            </w:tcBorders>
            <w:shd w:val="clear" w:color="auto" w:fill="auto"/>
            <w:noWrap/>
            <w:vAlign w:val="bottom"/>
            <w:hideMark/>
          </w:tcPr>
          <w:p w:rsidR="00420FE8" w:rsidRPr="00256B5E" w:rsidRDefault="00420FE8">
            <w:pPr>
              <w:jc w:val="right"/>
              <w:rPr>
                <w:bCs/>
                <w:color w:val="000000"/>
                <w:sz w:val="22"/>
              </w:rPr>
            </w:pPr>
            <w:r w:rsidRPr="00256B5E">
              <w:rPr>
                <w:bCs/>
                <w:color w:val="000000"/>
                <w:sz w:val="22"/>
              </w:rPr>
              <w:t>42</w:t>
            </w:r>
          </w:p>
        </w:tc>
        <w:tc>
          <w:tcPr>
            <w:tcW w:w="876" w:type="dxa"/>
            <w:tcBorders>
              <w:top w:val="nil"/>
              <w:left w:val="nil"/>
              <w:bottom w:val="single" w:sz="4" w:space="0" w:color="808080"/>
              <w:right w:val="nil"/>
            </w:tcBorders>
            <w:shd w:val="clear" w:color="auto" w:fill="auto"/>
            <w:noWrap/>
            <w:vAlign w:val="bottom"/>
            <w:hideMark/>
          </w:tcPr>
          <w:p w:rsidR="00420FE8" w:rsidRPr="00256B5E" w:rsidRDefault="00420FE8">
            <w:pPr>
              <w:jc w:val="right"/>
              <w:rPr>
                <w:bCs/>
                <w:color w:val="000000"/>
                <w:sz w:val="22"/>
              </w:rPr>
            </w:pPr>
            <w:r w:rsidRPr="00256B5E">
              <w:rPr>
                <w:bCs/>
                <w:color w:val="000000"/>
                <w:sz w:val="22"/>
              </w:rPr>
              <w:t>1,796</w:t>
            </w:r>
          </w:p>
        </w:tc>
        <w:tc>
          <w:tcPr>
            <w:tcW w:w="840" w:type="dxa"/>
            <w:tcBorders>
              <w:top w:val="nil"/>
              <w:left w:val="nil"/>
              <w:bottom w:val="single" w:sz="4" w:space="0" w:color="808080"/>
              <w:right w:val="nil"/>
            </w:tcBorders>
            <w:shd w:val="clear" w:color="auto" w:fill="auto"/>
            <w:noWrap/>
            <w:vAlign w:val="bottom"/>
            <w:hideMark/>
          </w:tcPr>
          <w:p w:rsidR="00420FE8" w:rsidRPr="00256B5E" w:rsidRDefault="00420FE8">
            <w:pPr>
              <w:jc w:val="right"/>
              <w:rPr>
                <w:bCs/>
                <w:color w:val="000000"/>
                <w:sz w:val="22"/>
              </w:rPr>
            </w:pPr>
            <w:r w:rsidRPr="00256B5E">
              <w:rPr>
                <w:bCs/>
                <w:color w:val="000000"/>
                <w:sz w:val="22"/>
              </w:rPr>
              <w:t>650</w:t>
            </w:r>
          </w:p>
        </w:tc>
        <w:tc>
          <w:tcPr>
            <w:tcW w:w="840" w:type="dxa"/>
            <w:tcBorders>
              <w:top w:val="nil"/>
              <w:left w:val="nil"/>
              <w:bottom w:val="single" w:sz="4" w:space="0" w:color="808080"/>
              <w:right w:val="nil"/>
            </w:tcBorders>
            <w:shd w:val="clear" w:color="auto" w:fill="auto"/>
            <w:noWrap/>
            <w:vAlign w:val="bottom"/>
            <w:hideMark/>
          </w:tcPr>
          <w:p w:rsidR="00420FE8" w:rsidRPr="00256B5E" w:rsidRDefault="00420FE8">
            <w:pPr>
              <w:jc w:val="right"/>
              <w:rPr>
                <w:bCs/>
                <w:color w:val="000000"/>
                <w:sz w:val="22"/>
              </w:rPr>
            </w:pPr>
            <w:r w:rsidRPr="00256B5E">
              <w:rPr>
                <w:bCs/>
                <w:color w:val="000000"/>
                <w:sz w:val="22"/>
              </w:rPr>
              <w:t>204</w:t>
            </w:r>
          </w:p>
        </w:tc>
        <w:tc>
          <w:tcPr>
            <w:tcW w:w="876" w:type="dxa"/>
            <w:tcBorders>
              <w:top w:val="nil"/>
              <w:left w:val="nil"/>
              <w:bottom w:val="single" w:sz="4" w:space="0" w:color="808080"/>
              <w:right w:val="nil"/>
            </w:tcBorders>
            <w:shd w:val="clear" w:color="auto" w:fill="auto"/>
            <w:noWrap/>
            <w:vAlign w:val="bottom"/>
            <w:hideMark/>
          </w:tcPr>
          <w:p w:rsidR="00420FE8" w:rsidRPr="00256B5E" w:rsidRDefault="00420FE8">
            <w:pPr>
              <w:jc w:val="right"/>
              <w:rPr>
                <w:bCs/>
                <w:color w:val="000000"/>
                <w:sz w:val="22"/>
              </w:rPr>
            </w:pPr>
            <w:r w:rsidRPr="00256B5E">
              <w:rPr>
                <w:bCs/>
                <w:color w:val="000000"/>
                <w:sz w:val="22"/>
              </w:rPr>
              <w:t>1,208</w:t>
            </w:r>
          </w:p>
        </w:tc>
        <w:tc>
          <w:tcPr>
            <w:tcW w:w="840" w:type="dxa"/>
            <w:tcBorders>
              <w:top w:val="nil"/>
              <w:left w:val="nil"/>
              <w:bottom w:val="single" w:sz="4" w:space="0" w:color="808080"/>
              <w:right w:val="nil"/>
            </w:tcBorders>
            <w:shd w:val="clear" w:color="auto" w:fill="auto"/>
            <w:noWrap/>
            <w:vAlign w:val="bottom"/>
            <w:hideMark/>
          </w:tcPr>
          <w:p w:rsidR="00420FE8" w:rsidRPr="00256B5E" w:rsidRDefault="00420FE8">
            <w:pPr>
              <w:jc w:val="right"/>
              <w:rPr>
                <w:bCs/>
                <w:color w:val="000000"/>
                <w:sz w:val="22"/>
              </w:rPr>
            </w:pPr>
            <w:r w:rsidRPr="00256B5E">
              <w:rPr>
                <w:bCs/>
                <w:color w:val="000000"/>
                <w:sz w:val="22"/>
              </w:rPr>
              <w:t>669</w:t>
            </w:r>
          </w:p>
        </w:tc>
      </w:tr>
    </w:tbl>
    <w:p w:rsidR="00240F2A" w:rsidRDefault="00775869" w:rsidP="00775869">
      <w:pPr>
        <w:pStyle w:val="FigureTableinfo"/>
      </w:pPr>
      <w:r>
        <w:t>*  Financial year</w:t>
      </w:r>
      <w:r w:rsidR="0022497F">
        <w:t xml:space="preserve"> ending in this year – </w:t>
      </w:r>
      <w:r>
        <w:t xml:space="preserve"> except</w:t>
      </w:r>
      <w:r w:rsidR="0022497F">
        <w:t xml:space="preserve"> for</w:t>
      </w:r>
      <w:r>
        <w:t xml:space="preserve"> NT, for which calendar year information is presented</w:t>
      </w:r>
      <w:r w:rsidR="002D2962">
        <w:t>.</w:t>
      </w:r>
    </w:p>
    <w:p w:rsidR="002D2962" w:rsidRDefault="002D2962" w:rsidP="00775869">
      <w:pPr>
        <w:pStyle w:val="FigureTableinfo"/>
      </w:pPr>
      <w:r>
        <w:t>The baseline</w:t>
      </w:r>
      <w:r w:rsidR="00CD13C1">
        <w:t>s</w:t>
      </w:r>
      <w:r>
        <w:t xml:space="preserve"> for PFOS, POP-BDEs, </w:t>
      </w:r>
      <w:proofErr w:type="gramStart"/>
      <w:r>
        <w:t>HBCD</w:t>
      </w:r>
      <w:proofErr w:type="gramEnd"/>
      <w:r>
        <w:t xml:space="preserve">, HCB and lithium-ion batteries </w:t>
      </w:r>
      <w:r w:rsidR="00CD13C1">
        <w:t>were</w:t>
      </w:r>
      <w:r>
        <w:t xml:space="preserve"> taken to be zero.</w:t>
      </w:r>
    </w:p>
    <w:p w:rsidR="005F7213" w:rsidRDefault="005F7213" w:rsidP="00775869">
      <w:pPr>
        <w:pStyle w:val="FigureTableinfo"/>
      </w:pPr>
      <w:r>
        <w:t>Code for data types:</w:t>
      </w:r>
    </w:p>
    <w:p w:rsidR="00420FE8" w:rsidRPr="00420FE8" w:rsidRDefault="00CA2BA3" w:rsidP="005F7213">
      <w:pPr>
        <w:pStyle w:val="FigureTableinfo"/>
        <w:numPr>
          <w:ilvl w:val="0"/>
          <w:numId w:val="35"/>
        </w:numPr>
        <w:spacing w:before="0"/>
      </w:pPr>
      <w:r w:rsidRPr="00CA2BA3">
        <w:rPr>
          <w:i w:val="0"/>
          <w:color w:val="FFFFFF" w:themeColor="background1"/>
          <w:shd w:val="clear" w:color="auto" w:fill="FF0000"/>
        </w:rPr>
        <w:t>CIC</w:t>
      </w:r>
      <w:r w:rsidRPr="00420FE8">
        <w:rPr>
          <w:i w:val="0"/>
          <w:color w:val="auto"/>
        </w:rPr>
        <w:t xml:space="preserve"> </w:t>
      </w:r>
      <w:r w:rsidR="00420FE8">
        <w:rPr>
          <w:i w:val="0"/>
        </w:rPr>
        <w:t>– data withheld due to commercial confidentiality concerns</w:t>
      </w:r>
    </w:p>
    <w:p w:rsidR="005F7213" w:rsidRPr="005F7213" w:rsidRDefault="005F7213" w:rsidP="005F7213">
      <w:pPr>
        <w:pStyle w:val="FigureTableinfo"/>
        <w:numPr>
          <w:ilvl w:val="0"/>
          <w:numId w:val="35"/>
        </w:numPr>
        <w:spacing w:before="0"/>
      </w:pPr>
      <w:r>
        <w:rPr>
          <w:i w:val="0"/>
          <w:color w:val="0C0C0C" w:themeColor="text1"/>
        </w:rPr>
        <w:t>Normal font</w:t>
      </w:r>
      <w:r>
        <w:t xml:space="preserve"> – from tracking system data</w:t>
      </w:r>
    </w:p>
    <w:p w:rsidR="002D2962" w:rsidRDefault="005F7213" w:rsidP="005F7213">
      <w:pPr>
        <w:pStyle w:val="FigureTableinfo"/>
        <w:numPr>
          <w:ilvl w:val="0"/>
          <w:numId w:val="35"/>
        </w:numPr>
        <w:spacing w:before="0"/>
      </w:pPr>
      <w:r>
        <w:rPr>
          <w:color w:val="0C0C0C" w:themeColor="text1"/>
        </w:rPr>
        <w:t>I</w:t>
      </w:r>
      <w:r w:rsidR="002D2962" w:rsidRPr="005F7213">
        <w:rPr>
          <w:color w:val="0C0C0C" w:themeColor="text1"/>
        </w:rPr>
        <w:t xml:space="preserve">talics </w:t>
      </w:r>
      <w:r>
        <w:t xml:space="preserve">– from tracking system data, but </w:t>
      </w:r>
      <w:r w:rsidR="002D2962">
        <w:t>adjusted to</w:t>
      </w:r>
      <w:r w:rsidR="00595976">
        <w:t xml:space="preserve"> remove some multiple-counting by</w:t>
      </w:r>
      <w:r w:rsidR="002D2962">
        <w:t xml:space="preserve"> subtract</w:t>
      </w:r>
      <w:r w:rsidR="00595976">
        <w:t>ing</w:t>
      </w:r>
      <w:r w:rsidR="002D2962">
        <w:t xml:space="preserve"> tonnes </w:t>
      </w:r>
      <w:r w:rsidR="006341B3">
        <w:t>for which the recorded treatment was ‘</w:t>
      </w:r>
      <w:r w:rsidR="002D2962">
        <w:t>transfer</w:t>
      </w:r>
      <w:r w:rsidR="006341B3">
        <w:t>’</w:t>
      </w:r>
      <w:r w:rsidR="002D2962">
        <w:t xml:space="preserve">. </w:t>
      </w:r>
    </w:p>
    <w:p w:rsidR="002D2962" w:rsidRDefault="00595976" w:rsidP="005F7213">
      <w:pPr>
        <w:pStyle w:val="FigureTableinfo"/>
        <w:numPr>
          <w:ilvl w:val="0"/>
          <w:numId w:val="35"/>
        </w:numPr>
        <w:spacing w:before="0"/>
      </w:pPr>
      <w:r w:rsidRPr="00595976">
        <w:rPr>
          <w:b/>
          <w:i w:val="0"/>
        </w:rPr>
        <w:t>B</w:t>
      </w:r>
      <w:r w:rsidR="002D2962" w:rsidRPr="00595976">
        <w:rPr>
          <w:b/>
          <w:i w:val="0"/>
        </w:rPr>
        <w:t>old</w:t>
      </w:r>
      <w:r w:rsidR="005F7213" w:rsidRPr="00595976">
        <w:rPr>
          <w:b/>
          <w:i w:val="0"/>
        </w:rPr>
        <w:t xml:space="preserve"> blue</w:t>
      </w:r>
      <w:r w:rsidR="002D2962" w:rsidRPr="00595976">
        <w:rPr>
          <w:b/>
          <w:i w:val="0"/>
        </w:rPr>
        <w:t xml:space="preserve"> font</w:t>
      </w:r>
      <w:r w:rsidR="002D2962">
        <w:t xml:space="preserve"> </w:t>
      </w:r>
      <w:r>
        <w:t xml:space="preserve">– </w:t>
      </w:r>
      <w:r w:rsidR="002D2962">
        <w:t xml:space="preserve">three-year average adopted because the relevant year’s data appeared to include unrepresentative ‘spikes’ </w:t>
      </w:r>
      <w:r>
        <w:t>from storage</w:t>
      </w:r>
      <w:r w:rsidR="002D2962">
        <w:t xml:space="preserve"> releases.</w:t>
      </w:r>
    </w:p>
    <w:p w:rsidR="00595976" w:rsidRDefault="005F666B" w:rsidP="005F7213">
      <w:pPr>
        <w:pStyle w:val="FigureTableinfo"/>
        <w:numPr>
          <w:ilvl w:val="0"/>
          <w:numId w:val="35"/>
        </w:numPr>
        <w:spacing w:before="0"/>
      </w:pPr>
      <w:r w:rsidRPr="00595976">
        <w:rPr>
          <w:color w:val="FF0000"/>
          <w:u w:val="single"/>
        </w:rPr>
        <w:t>Red underlined normal font</w:t>
      </w:r>
      <w:r>
        <w:t xml:space="preserve"> </w:t>
      </w:r>
      <w:r w:rsidR="00595976">
        <w:t>– from landfill reports</w:t>
      </w:r>
    </w:p>
    <w:p w:rsidR="00DF0D25" w:rsidRDefault="00DF0D25" w:rsidP="00DF0D25">
      <w:pPr>
        <w:pStyle w:val="FigureTableinfo"/>
        <w:numPr>
          <w:ilvl w:val="0"/>
          <w:numId w:val="35"/>
        </w:numPr>
        <w:spacing w:before="0"/>
      </w:pPr>
      <w:r w:rsidRPr="007104F6">
        <w:rPr>
          <w:color w:val="FFFFFF" w:themeColor="background1"/>
          <w:highlight w:val="darkGray"/>
        </w:rPr>
        <w:t xml:space="preserve">Italics in </w:t>
      </w:r>
      <w:r w:rsidR="007104F6">
        <w:rPr>
          <w:color w:val="FFFFFF" w:themeColor="background1"/>
          <w:highlight w:val="darkGray"/>
        </w:rPr>
        <w:t>grey</w:t>
      </w:r>
      <w:r w:rsidRPr="007104F6">
        <w:rPr>
          <w:color w:val="FFFFFF" w:themeColor="background1"/>
          <w:highlight w:val="darkGray"/>
        </w:rPr>
        <w:t xml:space="preserve"> shading</w:t>
      </w:r>
      <w:r w:rsidRPr="00595976">
        <w:rPr>
          <w:color w:val="0000FF" w:themeColor="text2"/>
        </w:rPr>
        <w:t xml:space="preserve"> </w:t>
      </w:r>
      <w:r>
        <w:t xml:space="preserve">– from an alternative source (biosolids derived from </w:t>
      </w:r>
      <w:r w:rsidRPr="00816657">
        <w:t>ANZBP 2013</w:t>
      </w:r>
      <w:r>
        <w:t xml:space="preserve"> – see Appendix A6; tyres from Hyder 2012) </w:t>
      </w:r>
    </w:p>
    <w:p w:rsidR="00BA18A9" w:rsidRPr="00595976" w:rsidRDefault="005F666B" w:rsidP="00BA18A9">
      <w:pPr>
        <w:pStyle w:val="FigureTableinfo"/>
        <w:numPr>
          <w:ilvl w:val="0"/>
          <w:numId w:val="35"/>
        </w:numPr>
        <w:tabs>
          <w:tab w:val="left" w:pos="1875"/>
        </w:tabs>
        <w:spacing w:before="0"/>
        <w:rPr>
          <w:color w:val="080808"/>
          <w:sz w:val="22"/>
        </w:rPr>
      </w:pPr>
      <w:r>
        <w:rPr>
          <w:i w:val="0"/>
          <w:color w:val="FFFFFF" w:themeColor="background1"/>
          <w:highlight w:val="black"/>
        </w:rPr>
        <w:t>Normal</w:t>
      </w:r>
      <w:r w:rsidRPr="00595976">
        <w:rPr>
          <w:i w:val="0"/>
          <w:color w:val="FFFFFF" w:themeColor="background1"/>
          <w:highlight w:val="black"/>
        </w:rPr>
        <w:t xml:space="preserve"> fon</w:t>
      </w:r>
      <w:r>
        <w:rPr>
          <w:i w:val="0"/>
          <w:color w:val="FFFFFF" w:themeColor="background1"/>
          <w:highlight w:val="black"/>
        </w:rPr>
        <w:t xml:space="preserve">t in </w:t>
      </w:r>
      <w:r w:rsidR="007104F6">
        <w:rPr>
          <w:i w:val="0"/>
          <w:color w:val="FFFFFF" w:themeColor="background1"/>
          <w:highlight w:val="black"/>
        </w:rPr>
        <w:t>black</w:t>
      </w:r>
      <w:r>
        <w:rPr>
          <w:i w:val="0"/>
          <w:color w:val="FFFFFF" w:themeColor="background1"/>
          <w:highlight w:val="black"/>
        </w:rPr>
        <w:t xml:space="preserve"> shading</w:t>
      </w:r>
      <w:r w:rsidRPr="00595976">
        <w:rPr>
          <w:color w:val="0000FF" w:themeColor="text2"/>
        </w:rPr>
        <w:t xml:space="preserve"> </w:t>
      </w:r>
      <w:r w:rsidR="00595976">
        <w:t>–</w:t>
      </w:r>
      <w:r w:rsidR="00DF0D25">
        <w:t xml:space="preserve"> </w:t>
      </w:r>
      <w:r w:rsidR="00595976">
        <w:t>derived</w:t>
      </w:r>
      <w:r w:rsidR="007104F6">
        <w:t xml:space="preserve"> from other jurisdictions’ data,</w:t>
      </w:r>
      <w:r w:rsidR="00DF0D25">
        <w:t xml:space="preserve"> assuming arisings per capita equal the average across the jurisdictions for which data was available.</w:t>
      </w:r>
    </w:p>
    <w:p w:rsidR="00061B2C" w:rsidRDefault="00061B2C">
      <w:pPr>
        <w:spacing w:line="240" w:lineRule="auto"/>
        <w:rPr>
          <w:rFonts w:ascii="Arial Rounded MT Bold" w:hAnsi="Arial Rounded MT Bold" w:cs="Arial"/>
          <w:color w:val="0000FF"/>
          <w:sz w:val="22"/>
        </w:rPr>
      </w:pPr>
    </w:p>
    <w:p w:rsidR="00BA18A9" w:rsidRPr="00066DB0" w:rsidRDefault="00066DB0" w:rsidP="00066DB0">
      <w:pPr>
        <w:pStyle w:val="Heading2"/>
      </w:pPr>
      <w:bookmarkStart w:id="104" w:name="_Ref419465158"/>
      <w:bookmarkStart w:id="105" w:name="_Toc425849158"/>
      <w:r>
        <w:t>Hazardous waste</w:t>
      </w:r>
      <w:r w:rsidR="00BA18A9" w:rsidRPr="00066DB0">
        <w:t xml:space="preserve"> scenarios</w:t>
      </w:r>
      <w:bookmarkEnd w:id="104"/>
      <w:bookmarkEnd w:id="105"/>
    </w:p>
    <w:p w:rsidR="0035351C" w:rsidRDefault="0035351C" w:rsidP="0035351C">
      <w:pPr>
        <w:pStyle w:val="BodyText"/>
      </w:pPr>
      <w:r w:rsidRPr="00816657">
        <w:t>This section</w:t>
      </w:r>
      <w:r>
        <w:t xml:space="preserve"> describes the projection</w:t>
      </w:r>
      <w:r w:rsidRPr="00816657">
        <w:t xml:space="preserve"> scenarios</w:t>
      </w:r>
      <w:r>
        <w:t xml:space="preserve"> and </w:t>
      </w:r>
      <w:r w:rsidRPr="00816657">
        <w:t>shows the</w:t>
      </w:r>
      <w:r>
        <w:t xml:space="preserve"> collated</w:t>
      </w:r>
      <w:r w:rsidRPr="00816657">
        <w:t xml:space="preserve"> </w:t>
      </w:r>
      <w:r>
        <w:t>national arisings projected under each scenario</w:t>
      </w:r>
      <w:r w:rsidRPr="00816657">
        <w:t>.</w:t>
      </w:r>
      <w:r>
        <w:t xml:space="preserve"> The p</w:t>
      </w:r>
      <w:r w:rsidRPr="00816657">
        <w:t xml:space="preserve">rojections </w:t>
      </w:r>
      <w:r>
        <w:t>for individual</w:t>
      </w:r>
      <w:r w:rsidRPr="00816657">
        <w:t xml:space="preserve"> waste group</w:t>
      </w:r>
      <w:r>
        <w:t>s</w:t>
      </w:r>
      <w:r w:rsidRPr="00816657">
        <w:t xml:space="preserve"> are</w:t>
      </w:r>
      <w:r>
        <w:t xml:space="preserve"> presented</w:t>
      </w:r>
      <w:r w:rsidRPr="00816657">
        <w:t xml:space="preserve"> in </w:t>
      </w:r>
      <w:r>
        <w:t xml:space="preserve">Section </w:t>
      </w:r>
      <w:r w:rsidR="006D07F5">
        <w:fldChar w:fldCharType="begin"/>
      </w:r>
      <w:r>
        <w:instrText xml:space="preserve"> REF _Ref419370324 \r \h </w:instrText>
      </w:r>
      <w:r w:rsidR="006D07F5">
        <w:fldChar w:fldCharType="separate"/>
      </w:r>
      <w:r w:rsidR="002F3000">
        <w:t>2.6</w:t>
      </w:r>
      <w:r w:rsidR="006D07F5">
        <w:fldChar w:fldCharType="end"/>
      </w:r>
      <w:r w:rsidRPr="00816657">
        <w:t>.</w:t>
      </w:r>
    </w:p>
    <w:p w:rsidR="0035351C" w:rsidRDefault="0035351C" w:rsidP="0035351C">
      <w:pPr>
        <w:pStyle w:val="BodyText"/>
      </w:pPr>
    </w:p>
    <w:p w:rsidR="0035351C" w:rsidRPr="00816657" w:rsidRDefault="0035351C" w:rsidP="0035351C">
      <w:pPr>
        <w:pStyle w:val="BodyText"/>
      </w:pPr>
      <w:r w:rsidRPr="00816657">
        <w:t>There are significant uncertainties in projecting future waste quantities over a 20-year period, for example in relation to:</w:t>
      </w:r>
    </w:p>
    <w:p w:rsidR="0035351C" w:rsidRPr="00816657" w:rsidRDefault="0035351C" w:rsidP="0035351C">
      <w:pPr>
        <w:pStyle w:val="Bullet1"/>
      </w:pPr>
      <w:r w:rsidRPr="00816657">
        <w:lastRenderedPageBreak/>
        <w:t>factors that will influence the quantities of hazardous waste generated, such as the scale of economic and population growth, the level of activity of waste-producing industries in Australia, and whether they will become more efficient in their waste generation</w:t>
      </w:r>
    </w:p>
    <w:p w:rsidR="0035351C" w:rsidRPr="00816657" w:rsidRDefault="0035351C" w:rsidP="0035351C">
      <w:pPr>
        <w:pStyle w:val="Bullet1"/>
      </w:pPr>
      <w:r w:rsidRPr="00816657">
        <w:t>whether or not some wastes will be classified as hazardous</w:t>
      </w:r>
    </w:p>
    <w:p w:rsidR="0035351C" w:rsidRPr="00816657" w:rsidRDefault="0035351C" w:rsidP="0035351C">
      <w:pPr>
        <w:pStyle w:val="Bullet1"/>
      </w:pPr>
      <w:proofErr w:type="gramStart"/>
      <w:r w:rsidRPr="00816657">
        <w:t>the</w:t>
      </w:r>
      <w:proofErr w:type="gramEnd"/>
      <w:r w:rsidRPr="00816657">
        <w:t xml:space="preserve"> extent to which current waste stores will ‘arise’ through release into the waste stream.</w:t>
      </w:r>
    </w:p>
    <w:p w:rsidR="0035351C" w:rsidRPr="00816657" w:rsidRDefault="0035351C" w:rsidP="0035351C">
      <w:pPr>
        <w:pStyle w:val="BodyText"/>
      </w:pPr>
    </w:p>
    <w:p w:rsidR="0035351C" w:rsidRPr="00816657" w:rsidRDefault="0035351C" w:rsidP="009E0CE6">
      <w:pPr>
        <w:pStyle w:val="BodyText"/>
      </w:pPr>
      <w:r w:rsidRPr="00816657">
        <w:t xml:space="preserve">Reflecting the uncertainty, projections were </w:t>
      </w:r>
      <w:r>
        <w:t>developed</w:t>
      </w:r>
      <w:r w:rsidRPr="00816657">
        <w:t xml:space="preserve"> under ‘best estimate’, ‘low estimate’ and ‘high estimate’ scenarios. </w:t>
      </w:r>
      <w:r w:rsidR="009E0CE6">
        <w:t xml:space="preserve">Each scenario encompasses a projection </w:t>
      </w:r>
      <w:r w:rsidR="009E0CE6" w:rsidRPr="00816657">
        <w:t xml:space="preserve">for each waste group, jurisdiction and year from 2013-14 to 2033-34. </w:t>
      </w:r>
      <w:r w:rsidR="009E0CE6">
        <w:t>They build</w:t>
      </w:r>
      <w:r w:rsidR="009E0CE6" w:rsidRPr="00816657">
        <w:t xml:space="preserve"> on the analysis of jurisdictional hazardous waste data and other research as listed in </w:t>
      </w:r>
      <w:fldSimple w:instr=" REF _Ref406062144 \h  \* MERGEFORMAT ">
        <w:r w:rsidR="002F3000" w:rsidRPr="00816657">
          <w:t xml:space="preserve">Table </w:t>
        </w:r>
        <w:r w:rsidR="002F3000">
          <w:rPr>
            <w:noProof/>
          </w:rPr>
          <w:t>2</w:t>
        </w:r>
      </w:fldSimple>
      <w:r w:rsidR="009E0CE6" w:rsidRPr="00816657">
        <w:t xml:space="preserve">, and applying the method shown in </w:t>
      </w:r>
      <w:fldSimple w:instr=" REF _Ref406075576 \h  \* MERGEFORMAT ">
        <w:r w:rsidR="002F3000" w:rsidRPr="00816657">
          <w:t xml:space="preserve">Figure </w:t>
        </w:r>
        <w:r w:rsidR="002F3000">
          <w:rPr>
            <w:noProof/>
          </w:rPr>
          <w:t>1</w:t>
        </w:r>
      </w:fldSimple>
      <w:r w:rsidR="009E0CE6" w:rsidRPr="00816657">
        <w:t>.</w:t>
      </w:r>
      <w:r w:rsidR="009E0CE6">
        <w:t xml:space="preserve"> The scenarios were qualitatively </w:t>
      </w:r>
      <w:r w:rsidRPr="00816657">
        <w:t>defined qualitatively as follows:</w:t>
      </w:r>
    </w:p>
    <w:p w:rsidR="0035351C" w:rsidRPr="00816657" w:rsidRDefault="0035351C" w:rsidP="0035351C">
      <w:pPr>
        <w:pStyle w:val="Bullet1"/>
      </w:pPr>
      <w:r w:rsidRPr="00816657">
        <w:t>best estimate –the most likely estimate of waste arisings</w:t>
      </w:r>
    </w:p>
    <w:p w:rsidR="0035351C" w:rsidRPr="00816657" w:rsidRDefault="0035351C" w:rsidP="0035351C">
      <w:pPr>
        <w:pStyle w:val="Bullet1"/>
      </w:pPr>
      <w:r w:rsidRPr="00816657">
        <w:t>high estimate – the highest credible estimate of waste arisings</w:t>
      </w:r>
    </w:p>
    <w:p w:rsidR="0035351C" w:rsidRPr="00816657" w:rsidRDefault="0035351C" w:rsidP="0035351C">
      <w:pPr>
        <w:pStyle w:val="Bullet1"/>
      </w:pPr>
      <w:proofErr w:type="gramStart"/>
      <w:r w:rsidRPr="00816657">
        <w:t>low</w:t>
      </w:r>
      <w:proofErr w:type="gramEnd"/>
      <w:r w:rsidRPr="00816657">
        <w:t xml:space="preserve"> estimate – the lowest credible estimate of waste arisings.</w:t>
      </w:r>
    </w:p>
    <w:p w:rsidR="0035351C" w:rsidRDefault="0035351C" w:rsidP="0035351C">
      <w:pPr>
        <w:spacing w:line="240" w:lineRule="auto"/>
        <w:rPr>
          <w:color w:val="080808"/>
          <w:sz w:val="22"/>
        </w:rPr>
      </w:pPr>
    </w:p>
    <w:p w:rsidR="00211AB2" w:rsidRPr="00816657" w:rsidRDefault="001A1311" w:rsidP="00211AB2">
      <w:pPr>
        <w:pStyle w:val="BodyText"/>
      </w:pPr>
      <w:r>
        <w:t xml:space="preserve">Several perspectives and </w:t>
      </w:r>
      <w:r w:rsidRPr="00816657">
        <w:t xml:space="preserve">considerations </w:t>
      </w:r>
      <w:r>
        <w:t>were applied in developing the scenarios, including</w:t>
      </w:r>
      <w:r w:rsidRPr="00816657">
        <w:t>, to the extent available: existing data and trends; industry sources; factors that may cause quantities to grow or diminish; and discussion with experts including those in the waste industry.</w:t>
      </w:r>
      <w:r>
        <w:t xml:space="preserve"> </w:t>
      </w:r>
      <w:r w:rsidR="00211AB2" w:rsidRPr="00816657">
        <w:t xml:space="preserve">The arithmetical approaches </w:t>
      </w:r>
      <w:r>
        <w:t xml:space="preserve">comprised </w:t>
      </w:r>
      <w:r w:rsidR="00211AB2" w:rsidRPr="00816657">
        <w:t>one or more of the following:</w:t>
      </w:r>
    </w:p>
    <w:p w:rsidR="00211AB2" w:rsidRPr="00816657" w:rsidRDefault="00211AB2" w:rsidP="00211AB2">
      <w:pPr>
        <w:pStyle w:val="Bullet1"/>
      </w:pPr>
      <w:r w:rsidRPr="00816657">
        <w:t>application of a percentage annual growth rate, which sometimes was projected to change over time</w:t>
      </w:r>
    </w:p>
    <w:p w:rsidR="00211AB2" w:rsidRPr="00816657" w:rsidRDefault="00211AB2" w:rsidP="00211AB2">
      <w:pPr>
        <w:pStyle w:val="Bullet1"/>
      </w:pPr>
      <w:r w:rsidRPr="00816657">
        <w:t>addition of absolute tonnages, for example where a store of waste is envisaged being released into the waste stream</w:t>
      </w:r>
    </w:p>
    <w:p w:rsidR="00211AB2" w:rsidRPr="00816657" w:rsidRDefault="00211AB2" w:rsidP="00211AB2">
      <w:pPr>
        <w:pStyle w:val="Bullet1"/>
      </w:pPr>
      <w:r w:rsidRPr="00816657">
        <w:t xml:space="preserve">estimating a percentage margin on either side of a ‘best estimate’ – for asbestos and contaminated soils, which vary unpredictably depending on particular projects and do not cumulatively increase or decrease like other </w:t>
      </w:r>
      <w:r>
        <w:t>waste</w:t>
      </w:r>
      <w:r w:rsidRPr="00816657">
        <w:t xml:space="preserve"> groups.</w:t>
      </w:r>
    </w:p>
    <w:p w:rsidR="00211AB2" w:rsidRDefault="00211AB2" w:rsidP="00854D0C">
      <w:pPr>
        <w:pStyle w:val="BodyText"/>
      </w:pPr>
    </w:p>
    <w:p w:rsidR="00211AB2" w:rsidRDefault="00211AB2" w:rsidP="00211AB2">
      <w:pPr>
        <w:pStyle w:val="Heading3"/>
      </w:pPr>
      <w:r>
        <w:t>Best estimate</w:t>
      </w:r>
    </w:p>
    <w:p w:rsidR="00D37041" w:rsidRDefault="001A7BBA" w:rsidP="00961454">
      <w:pPr>
        <w:pStyle w:val="BodyText"/>
      </w:pPr>
      <w:bookmarkStart w:id="106" w:name="_Ref409452018"/>
      <w:r>
        <w:t xml:space="preserve">The best estimate is </w:t>
      </w:r>
      <w:r w:rsidR="002E1717">
        <w:t>the one considered</w:t>
      </w:r>
      <w:r>
        <w:t xml:space="preserve"> most likely </w:t>
      </w:r>
      <w:r w:rsidR="002E1717">
        <w:t>to occur</w:t>
      </w:r>
      <w:r>
        <w:t xml:space="preserve">. </w:t>
      </w:r>
      <w:r w:rsidR="0035351C">
        <w:t>Each projection was based on different considerations but, in general, the best estimate</w:t>
      </w:r>
      <w:r w:rsidR="00961454">
        <w:t xml:space="preserve"> is often linked to: projected growth rates of particular source industries; long-term projections of economic growth; apparent trends in the available data; or, in a few cases, population growth.</w:t>
      </w:r>
      <w:r w:rsidR="001A1311">
        <w:t xml:space="preserve"> Most waste groups are projected to grow (or occasionally shrink) at an exponential rate, adding (or losing) between 10% and -3% annually. </w:t>
      </w:r>
    </w:p>
    <w:p w:rsidR="00961454" w:rsidRDefault="00961454" w:rsidP="00961454">
      <w:pPr>
        <w:pStyle w:val="BodyText"/>
      </w:pPr>
    </w:p>
    <w:p w:rsidR="00961454" w:rsidRDefault="00961454" w:rsidP="00961454">
      <w:pPr>
        <w:pStyle w:val="BodyText"/>
      </w:pPr>
      <w:r>
        <w:t xml:space="preserve">For </w:t>
      </w:r>
      <w:r w:rsidR="00BE6A48">
        <w:t xml:space="preserve">contaminated </w:t>
      </w:r>
      <w:r>
        <w:t xml:space="preserve">biosolids, the best </w:t>
      </w:r>
      <w:r w:rsidR="001A1311">
        <w:t>estimate</w:t>
      </w:r>
      <w:r>
        <w:t xml:space="preserve"> </w:t>
      </w:r>
      <w:r w:rsidR="001A1311">
        <w:t xml:space="preserve">links to the proportion </w:t>
      </w:r>
      <w:r>
        <w:t xml:space="preserve">of newly produced biosolids that </w:t>
      </w:r>
      <w:r w:rsidR="003176B3">
        <w:t>fall into</w:t>
      </w:r>
      <w:r>
        <w:t xml:space="preserve"> the Victorian </w:t>
      </w:r>
      <w:r w:rsidR="003F3270">
        <w:t>‘</w:t>
      </w:r>
      <w:r>
        <w:t>C3 standard</w:t>
      </w:r>
      <w:r w:rsidR="003F3270">
        <w:t>’</w:t>
      </w:r>
      <w:r w:rsidR="003176B3">
        <w:t>, whi</w:t>
      </w:r>
      <w:r w:rsidR="001A1311">
        <w:t>ch prohibits their use on land. It then assumes 1% growth until 2024 followed by an annual fall of 1% as industrial wastewater quality improves.</w:t>
      </w:r>
    </w:p>
    <w:p w:rsidR="00961454" w:rsidRDefault="00961454" w:rsidP="00961454">
      <w:pPr>
        <w:pStyle w:val="BodyText"/>
      </w:pPr>
    </w:p>
    <w:p w:rsidR="00961454" w:rsidRDefault="00CB5DF8" w:rsidP="00961454">
      <w:pPr>
        <w:pStyle w:val="BodyText"/>
      </w:pPr>
      <w:r>
        <w:t>For the ‘new Stockholm wastes’, the best estimate required a mid-range estimate of the concentration threshold to be applied; assumptions about concentrations in various materials and wastes; the stocks of some products</w:t>
      </w:r>
      <w:r w:rsidR="0032060A">
        <w:t xml:space="preserve"> and how they enter the waste stream</w:t>
      </w:r>
      <w:r>
        <w:t xml:space="preserve">; and </w:t>
      </w:r>
      <w:r w:rsidR="0032060A">
        <w:t xml:space="preserve">growth </w:t>
      </w:r>
      <w:r>
        <w:t xml:space="preserve">rates </w:t>
      </w:r>
      <w:r w:rsidR="0032060A">
        <w:t xml:space="preserve">of </w:t>
      </w:r>
      <w:r>
        <w:t xml:space="preserve">existing waste streams. </w:t>
      </w:r>
      <w:r w:rsidR="00647846">
        <w:t xml:space="preserve">Under the best estimate, PFOS and POP BDEs, but not HCBD, would be present in some biosolids above the hazardous waste threshold. </w:t>
      </w:r>
    </w:p>
    <w:p w:rsidR="009E0CE6" w:rsidRDefault="0001725B" w:rsidP="009E0CE6">
      <w:pPr>
        <w:pStyle w:val="BodyText"/>
      </w:pPr>
      <w:r w:rsidRPr="00816657">
        <w:t xml:space="preserve">The combined best estimate for all waste groups </w:t>
      </w:r>
      <w:r w:rsidRPr="00816657">
        <w:rPr>
          <w:color w:val="auto"/>
        </w:rPr>
        <w:t xml:space="preserve">is illustrated in </w:t>
      </w:r>
      <w:fldSimple w:instr=" REF _Ref408915621 \h  \* MERGEFORMAT ">
        <w:r w:rsidR="002F3000" w:rsidRPr="002F3000">
          <w:rPr>
            <w:color w:val="auto"/>
          </w:rPr>
          <w:t>Figure 2</w:t>
        </w:r>
      </w:fldSimple>
      <w:r w:rsidRPr="00816657">
        <w:rPr>
          <w:color w:val="auto"/>
        </w:rPr>
        <w:t xml:space="preserve">. </w:t>
      </w:r>
      <w:r w:rsidR="00B91DE8">
        <w:rPr>
          <w:color w:val="auto"/>
        </w:rPr>
        <w:t>T</w:t>
      </w:r>
      <w:r w:rsidRPr="00816657">
        <w:t>he quantity of hazardous waste rises from about 5.7 million tonnes</w:t>
      </w:r>
      <w:r w:rsidRPr="00816657">
        <w:rPr>
          <w:vertAlign w:val="superscript"/>
        </w:rPr>
        <w:footnoteReference w:id="7"/>
      </w:r>
      <w:r w:rsidRPr="00816657">
        <w:t xml:space="preserve"> (Mt) in 2013-14 to 9.9 Mt in 2033-34. This represents an average growth rate of 2.8% per year, larger than the projected average growth rate for population (1.5%), which is illustrated on the chart, and equivalent to the long-term projected economic growth rate. </w:t>
      </w:r>
      <w:r w:rsidR="009E0CE6" w:rsidRPr="00816657">
        <w:lastRenderedPageBreak/>
        <w:t xml:space="preserve">In interpreting the </w:t>
      </w:r>
      <w:r w:rsidR="009E0CE6">
        <w:t>projection</w:t>
      </w:r>
      <w:r w:rsidR="009E0CE6" w:rsidRPr="00816657">
        <w:t>, it should be remembered that there is some multiple counting of the mass of some types of waste where transfers, storage and transformations occur.</w:t>
      </w:r>
    </w:p>
    <w:p w:rsidR="0001725B" w:rsidRPr="00816657" w:rsidRDefault="0001725B" w:rsidP="0001725B">
      <w:pPr>
        <w:pStyle w:val="BodyText"/>
      </w:pPr>
    </w:p>
    <w:p w:rsidR="0001725B" w:rsidRPr="00816657" w:rsidRDefault="0001725B" w:rsidP="0001725B">
      <w:pPr>
        <w:pStyle w:val="BodyText"/>
      </w:pPr>
      <w:r w:rsidRPr="00816657">
        <w:t xml:space="preserve">The top six groups in terms of tonnes arising – alkalis, oils, grease trap waste, contaminated soils, asbestos and tyres – represent about three-quarters of the total at both the start and end of the projection period. </w:t>
      </w:r>
    </w:p>
    <w:p w:rsidR="0001725B" w:rsidRPr="00816657" w:rsidRDefault="0001725B" w:rsidP="0001725B">
      <w:pPr>
        <w:pStyle w:val="BodyText"/>
      </w:pPr>
    </w:p>
    <w:p w:rsidR="0001725B" w:rsidRPr="00816657" w:rsidRDefault="0001725B" w:rsidP="0001725B">
      <w:pPr>
        <w:pStyle w:val="BodyText"/>
      </w:pPr>
      <w:r w:rsidRPr="00816657">
        <w:t xml:space="preserve">Some waste groups are projected to grow strongly over this period, including: lithium-ion batteries (average growth rate 12% per year); non-toxic salts (9.0%); oils (6.1%); and alkalis (5.7%). In addition, the combined M160 ‘new Stockholm wastes’ (PFOS, POP-BDEs, HBCD and HCB) grow from 3,800 t in 2013-14 to 28,000 t in 2033-34, following Australia’s assumed ratification of the new wastes in 2016-17. </w:t>
      </w:r>
    </w:p>
    <w:p w:rsidR="0001725B" w:rsidRPr="00816657" w:rsidRDefault="0001725B" w:rsidP="0001725B">
      <w:pPr>
        <w:pStyle w:val="BodyText"/>
      </w:pPr>
    </w:p>
    <w:p w:rsidR="0001725B" w:rsidRPr="00816657" w:rsidRDefault="0001725B" w:rsidP="0001725B">
      <w:pPr>
        <w:pStyle w:val="BodyText"/>
      </w:pPr>
      <w:r w:rsidRPr="00816657">
        <w:t xml:space="preserve">Seven groups decline, including: tannery and wool scouring wastes (average decline of 4.1% per year); other organic chemicals (2%); and acids (0.9%). </w:t>
      </w:r>
    </w:p>
    <w:p w:rsidR="0001725B" w:rsidRDefault="0001725B" w:rsidP="0001725B">
      <w:pPr>
        <w:pStyle w:val="BodyText"/>
      </w:pPr>
    </w:p>
    <w:p w:rsidR="002E1717" w:rsidRPr="00816657" w:rsidRDefault="002E1717" w:rsidP="00655F62">
      <w:pPr>
        <w:pStyle w:val="Figures"/>
      </w:pPr>
      <w:bookmarkStart w:id="107" w:name="_Ref408915621"/>
      <w:bookmarkStart w:id="108" w:name="_Toc425849220"/>
      <w:r w:rsidRPr="00816657">
        <w:t xml:space="preserve">Figure </w:t>
      </w:r>
      <w:fldSimple w:instr=" SEQ Figure \* ARABIC ">
        <w:r w:rsidR="002F3000">
          <w:rPr>
            <w:noProof/>
          </w:rPr>
          <w:t>2</w:t>
        </w:r>
      </w:fldSimple>
      <w:bookmarkEnd w:id="107"/>
      <w:r w:rsidRPr="00816657">
        <w:t xml:space="preserve">: </w:t>
      </w:r>
      <w:r w:rsidRPr="00816657">
        <w:tab/>
        <w:t>Best estimate of national projections for all hazardous waste to 2034</w:t>
      </w:r>
      <w:bookmarkEnd w:id="108"/>
    </w:p>
    <w:p w:rsidR="002E1717" w:rsidRDefault="002E1717" w:rsidP="002E1717">
      <w:pPr>
        <w:spacing w:line="240" w:lineRule="auto"/>
        <w:rPr>
          <w:color w:val="080808"/>
          <w:sz w:val="22"/>
        </w:rPr>
      </w:pPr>
      <w:r w:rsidRPr="00086FA8">
        <w:rPr>
          <w:noProof/>
          <w:lang w:eastAsia="en-AU"/>
        </w:rPr>
        <w:drawing>
          <wp:inline distT="0" distB="0" distL="0" distR="0">
            <wp:extent cx="6200465" cy="3997842"/>
            <wp:effectExtent l="0" t="0" r="0" b="317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6207761" cy="4002546"/>
                    </a:xfrm>
                    <a:prstGeom prst="rect">
                      <a:avLst/>
                    </a:prstGeom>
                  </pic:spPr>
                </pic:pic>
              </a:graphicData>
            </a:graphic>
          </wp:inline>
        </w:drawing>
      </w:r>
    </w:p>
    <w:p w:rsidR="002E1717" w:rsidRDefault="002E1717" w:rsidP="0001725B">
      <w:pPr>
        <w:pStyle w:val="BodyText"/>
      </w:pPr>
    </w:p>
    <w:p w:rsidR="00022D51" w:rsidRDefault="00022D51">
      <w:pPr>
        <w:spacing w:line="240" w:lineRule="auto"/>
        <w:rPr>
          <w:color w:val="080808"/>
          <w:sz w:val="22"/>
        </w:rPr>
      </w:pPr>
    </w:p>
    <w:p w:rsidR="0001725B" w:rsidRDefault="00D37041" w:rsidP="0001725B">
      <w:pPr>
        <w:pStyle w:val="Heading3"/>
      </w:pPr>
      <w:r>
        <w:t>High scenario</w:t>
      </w:r>
    </w:p>
    <w:p w:rsidR="00BE6A48" w:rsidRDefault="002E1717" w:rsidP="00BE6A48">
      <w:pPr>
        <w:spacing w:line="240" w:lineRule="auto"/>
        <w:rPr>
          <w:color w:val="auto"/>
          <w:sz w:val="22"/>
        </w:rPr>
      </w:pPr>
      <w:r>
        <w:rPr>
          <w:color w:val="auto"/>
          <w:sz w:val="22"/>
        </w:rPr>
        <w:t xml:space="preserve">A highest credible estimate of waste arising was made for </w:t>
      </w:r>
      <w:r w:rsidR="00772334">
        <w:rPr>
          <w:color w:val="auto"/>
          <w:sz w:val="22"/>
        </w:rPr>
        <w:t xml:space="preserve">each waste </w:t>
      </w:r>
      <w:r>
        <w:rPr>
          <w:color w:val="auto"/>
          <w:sz w:val="22"/>
        </w:rPr>
        <w:t>group.</w:t>
      </w:r>
      <w:r w:rsidR="00BE6A48">
        <w:rPr>
          <w:color w:val="auto"/>
          <w:sz w:val="22"/>
        </w:rPr>
        <w:t xml:space="preserve"> </w:t>
      </w:r>
      <w:r w:rsidR="00B91DE8">
        <w:rPr>
          <w:color w:val="auto"/>
          <w:sz w:val="22"/>
        </w:rPr>
        <w:t>In most cases the high estimate assumed a growth rate equal to that of the best estimate, plus 2% or 3%</w:t>
      </w:r>
      <w:r w:rsidR="00590DDB">
        <w:rPr>
          <w:color w:val="auto"/>
          <w:sz w:val="22"/>
        </w:rPr>
        <w:t xml:space="preserve"> depending on the waste group</w:t>
      </w:r>
      <w:r w:rsidR="00B91DE8">
        <w:rPr>
          <w:color w:val="auto"/>
          <w:sz w:val="22"/>
        </w:rPr>
        <w:t xml:space="preserve">. In cases where the best estimate was for no growth or a decline, the high scenario set an annual increase at the long-term economic growth rate. </w:t>
      </w:r>
      <w:r w:rsidR="00BE6A48" w:rsidRPr="00816657">
        <w:rPr>
          <w:color w:val="auto"/>
          <w:sz w:val="22"/>
        </w:rPr>
        <w:t xml:space="preserve">The combined high estimate is shown in </w:t>
      </w:r>
      <w:fldSimple w:instr=" REF _Ref408915614 \h  \* MERGEFORMAT ">
        <w:r w:rsidR="002F3000" w:rsidRPr="002F3000">
          <w:rPr>
            <w:color w:val="auto"/>
            <w:sz w:val="22"/>
          </w:rPr>
          <w:t>Figure 3</w:t>
        </w:r>
      </w:fldSimple>
      <w:r w:rsidR="00BE6A48" w:rsidRPr="00816657">
        <w:rPr>
          <w:color w:val="auto"/>
          <w:sz w:val="22"/>
        </w:rPr>
        <w:t xml:space="preserve">. </w:t>
      </w:r>
    </w:p>
    <w:p w:rsidR="00BE6A48" w:rsidRDefault="00BE6A48" w:rsidP="0001725B">
      <w:pPr>
        <w:spacing w:line="240" w:lineRule="auto"/>
        <w:rPr>
          <w:color w:val="auto"/>
          <w:sz w:val="22"/>
        </w:rPr>
      </w:pPr>
    </w:p>
    <w:p w:rsidR="00697C30" w:rsidRDefault="002640D6" w:rsidP="00697C30">
      <w:pPr>
        <w:spacing w:line="240" w:lineRule="auto"/>
        <w:rPr>
          <w:color w:val="auto"/>
          <w:sz w:val="22"/>
        </w:rPr>
      </w:pPr>
      <w:r>
        <w:rPr>
          <w:color w:val="auto"/>
          <w:sz w:val="22"/>
        </w:rPr>
        <w:t>The high scenario is consistent with high economic and population growth</w:t>
      </w:r>
      <w:r w:rsidR="00697C30">
        <w:rPr>
          <w:color w:val="auto"/>
          <w:sz w:val="22"/>
        </w:rPr>
        <w:t xml:space="preserve">. The manufacturing decline is much less pronounced. Mining activity – and particularly coal seam gas </w:t>
      </w:r>
      <w:r w:rsidR="00772334">
        <w:rPr>
          <w:color w:val="auto"/>
          <w:sz w:val="22"/>
        </w:rPr>
        <w:t>mining</w:t>
      </w:r>
      <w:r w:rsidR="00697C30">
        <w:rPr>
          <w:color w:val="auto"/>
          <w:sz w:val="22"/>
        </w:rPr>
        <w:t xml:space="preserve"> – is projected to continue growing strongly, causing strong growth in the quantities of associated wastes. </w:t>
      </w:r>
      <w:r w:rsidR="00697C30">
        <w:rPr>
          <w:color w:val="080808"/>
          <w:sz w:val="22"/>
        </w:rPr>
        <w:t xml:space="preserve">Oils increase from 0.68 to 3.4 </w:t>
      </w:r>
      <w:r w:rsidR="005E4250">
        <w:rPr>
          <w:color w:val="080808"/>
          <w:sz w:val="22"/>
        </w:rPr>
        <w:t>Mt</w:t>
      </w:r>
      <w:r w:rsidR="00697C30">
        <w:rPr>
          <w:color w:val="080808"/>
          <w:sz w:val="22"/>
        </w:rPr>
        <w:t xml:space="preserve"> over the projection timeframe</w:t>
      </w:r>
      <w:r w:rsidR="00534375">
        <w:rPr>
          <w:color w:val="080808"/>
          <w:sz w:val="22"/>
        </w:rPr>
        <w:t xml:space="preserve">, </w:t>
      </w:r>
      <w:r w:rsidR="00697C30">
        <w:rPr>
          <w:color w:val="080808"/>
          <w:sz w:val="22"/>
        </w:rPr>
        <w:t>an average annual growth rate of 8.4%</w:t>
      </w:r>
      <w:r w:rsidR="00534375">
        <w:rPr>
          <w:color w:val="080808"/>
          <w:sz w:val="22"/>
        </w:rPr>
        <w:t>. N</w:t>
      </w:r>
      <w:r w:rsidR="00697C30">
        <w:rPr>
          <w:color w:val="080808"/>
          <w:sz w:val="22"/>
        </w:rPr>
        <w:t>on-toxic salts</w:t>
      </w:r>
      <w:r w:rsidR="00534375">
        <w:rPr>
          <w:color w:val="080808"/>
          <w:sz w:val="22"/>
        </w:rPr>
        <w:t xml:space="preserve">, which are </w:t>
      </w:r>
      <w:r w:rsidR="00534375">
        <w:rPr>
          <w:color w:val="080808"/>
          <w:sz w:val="22"/>
        </w:rPr>
        <w:lastRenderedPageBreak/>
        <w:t>strongly associated with coal seam gas,</w:t>
      </w:r>
      <w:r w:rsidR="00697C30">
        <w:rPr>
          <w:color w:val="080808"/>
          <w:sz w:val="22"/>
        </w:rPr>
        <w:t xml:space="preserve"> rise from 86,000 to 695,000 tonnes</w:t>
      </w:r>
      <w:r w:rsidR="00534375">
        <w:rPr>
          <w:color w:val="080808"/>
          <w:sz w:val="22"/>
        </w:rPr>
        <w:t xml:space="preserve"> in 2034, some 45% more than the best estimate and equivalent to an average increase of</w:t>
      </w:r>
      <w:r w:rsidR="00697C30">
        <w:rPr>
          <w:color w:val="080808"/>
          <w:sz w:val="22"/>
        </w:rPr>
        <w:t xml:space="preserve"> 11%</w:t>
      </w:r>
      <w:r w:rsidR="00534375">
        <w:rPr>
          <w:color w:val="080808"/>
          <w:sz w:val="22"/>
        </w:rPr>
        <w:t xml:space="preserve"> per year</w:t>
      </w:r>
      <w:r w:rsidR="00697C30">
        <w:rPr>
          <w:color w:val="080808"/>
          <w:sz w:val="22"/>
        </w:rPr>
        <w:t>.</w:t>
      </w:r>
      <w:r w:rsidR="00534375">
        <w:rPr>
          <w:color w:val="080808"/>
          <w:sz w:val="22"/>
        </w:rPr>
        <w:t xml:space="preserve"> This is driven by estimates of similar growth rates in coal seam gas extraction.</w:t>
      </w:r>
    </w:p>
    <w:p w:rsidR="002640D6" w:rsidRDefault="002640D6" w:rsidP="0001725B">
      <w:pPr>
        <w:spacing w:line="240" w:lineRule="auto"/>
        <w:rPr>
          <w:color w:val="auto"/>
          <w:sz w:val="22"/>
        </w:rPr>
      </w:pPr>
    </w:p>
    <w:p w:rsidR="00B91DE8" w:rsidRDefault="00B91DE8" w:rsidP="0001725B">
      <w:pPr>
        <w:spacing w:line="240" w:lineRule="auto"/>
        <w:rPr>
          <w:color w:val="auto"/>
          <w:sz w:val="22"/>
        </w:rPr>
      </w:pPr>
      <w:r>
        <w:rPr>
          <w:color w:val="auto"/>
          <w:sz w:val="22"/>
        </w:rPr>
        <w:t xml:space="preserve">A </w:t>
      </w:r>
      <w:r w:rsidR="00772334">
        <w:rPr>
          <w:color w:val="auto"/>
          <w:sz w:val="22"/>
        </w:rPr>
        <w:t xml:space="preserve">key </w:t>
      </w:r>
      <w:r>
        <w:rPr>
          <w:color w:val="auto"/>
          <w:sz w:val="22"/>
        </w:rPr>
        <w:t xml:space="preserve">feature of the high scenario is the assumption that three major stockpiles of hazardous waste are processed during the projection period. These are: spent </w:t>
      </w:r>
      <w:r w:rsidR="00827230">
        <w:rPr>
          <w:color w:val="auto"/>
          <w:sz w:val="22"/>
        </w:rPr>
        <w:t>pot</w:t>
      </w:r>
      <w:r>
        <w:rPr>
          <w:color w:val="auto"/>
          <w:sz w:val="22"/>
        </w:rPr>
        <w:t xml:space="preserve">lining from the aluminium industry in four states; contaminated biosolids from very large stockpiles in Victoria; and HCB from the Orica stockpile in Sydney. </w:t>
      </w:r>
      <w:r w:rsidR="00BE6A48">
        <w:rPr>
          <w:color w:val="auto"/>
          <w:sz w:val="22"/>
        </w:rPr>
        <w:t>The releases of these wastes – particularly the Victorian biosolids stockpile – over the indicative timeframe</w:t>
      </w:r>
      <w:r w:rsidR="00BE6A48">
        <w:rPr>
          <w:color w:val="080808"/>
          <w:sz w:val="22"/>
        </w:rPr>
        <w:t xml:space="preserve"> cause </w:t>
      </w:r>
      <w:r w:rsidR="00BE6A48">
        <w:rPr>
          <w:color w:val="auto"/>
          <w:sz w:val="22"/>
        </w:rPr>
        <w:t xml:space="preserve">a </w:t>
      </w:r>
      <w:r w:rsidR="00BE6A48" w:rsidRPr="00816657">
        <w:rPr>
          <w:color w:val="080808"/>
          <w:sz w:val="22"/>
        </w:rPr>
        <w:t>sharp increase in</w:t>
      </w:r>
      <w:r w:rsidR="00BE6A48">
        <w:rPr>
          <w:color w:val="080808"/>
          <w:sz w:val="22"/>
        </w:rPr>
        <w:t xml:space="preserve"> total quantities in</w:t>
      </w:r>
      <w:r w:rsidR="00BE6A48" w:rsidRPr="00816657">
        <w:rPr>
          <w:color w:val="080808"/>
          <w:sz w:val="22"/>
        </w:rPr>
        <w:t xml:space="preserve"> 2015-16 and the corresponding decline in 2030-31</w:t>
      </w:r>
      <w:r w:rsidR="00BE6A48">
        <w:rPr>
          <w:color w:val="080808"/>
          <w:sz w:val="22"/>
        </w:rPr>
        <w:t xml:space="preserve">. </w:t>
      </w:r>
    </w:p>
    <w:p w:rsidR="00B91DE8" w:rsidRDefault="00B91DE8" w:rsidP="0001725B">
      <w:pPr>
        <w:spacing w:line="240" w:lineRule="auto"/>
        <w:rPr>
          <w:color w:val="auto"/>
          <w:sz w:val="22"/>
        </w:rPr>
      </w:pPr>
    </w:p>
    <w:p w:rsidR="002E1717" w:rsidRDefault="00BE6A48" w:rsidP="0001725B">
      <w:pPr>
        <w:spacing w:line="240" w:lineRule="auto"/>
        <w:rPr>
          <w:color w:val="auto"/>
          <w:sz w:val="22"/>
        </w:rPr>
      </w:pPr>
      <w:r>
        <w:rPr>
          <w:color w:val="auto"/>
          <w:sz w:val="22"/>
        </w:rPr>
        <w:t xml:space="preserve">Under the high scenario, </w:t>
      </w:r>
      <w:r w:rsidR="00356B7E">
        <w:rPr>
          <w:color w:val="auto"/>
          <w:sz w:val="22"/>
        </w:rPr>
        <w:t xml:space="preserve">a much larger proportion of Victoria’s </w:t>
      </w:r>
      <w:r w:rsidR="00772334">
        <w:rPr>
          <w:color w:val="auto"/>
          <w:sz w:val="22"/>
        </w:rPr>
        <w:t>‘</w:t>
      </w:r>
      <w:r w:rsidR="00356B7E">
        <w:rPr>
          <w:color w:val="auto"/>
          <w:sz w:val="22"/>
        </w:rPr>
        <w:t>new</w:t>
      </w:r>
      <w:r w:rsidR="00772334">
        <w:rPr>
          <w:color w:val="auto"/>
          <w:sz w:val="22"/>
        </w:rPr>
        <w:t>’</w:t>
      </w:r>
      <w:r w:rsidR="00356B7E">
        <w:rPr>
          <w:color w:val="auto"/>
          <w:sz w:val="22"/>
        </w:rPr>
        <w:t xml:space="preserve"> </w:t>
      </w:r>
      <w:r>
        <w:rPr>
          <w:color w:val="auto"/>
          <w:sz w:val="22"/>
        </w:rPr>
        <w:t>biosolids</w:t>
      </w:r>
      <w:r w:rsidR="00356B7E">
        <w:rPr>
          <w:color w:val="auto"/>
          <w:sz w:val="22"/>
        </w:rPr>
        <w:t xml:space="preserve"> are assumed to be contaminated, adding </w:t>
      </w:r>
      <w:r w:rsidR="001324E5">
        <w:rPr>
          <w:color w:val="auto"/>
          <w:sz w:val="22"/>
        </w:rPr>
        <w:t>0.</w:t>
      </w:r>
      <w:r w:rsidR="00356B7E">
        <w:rPr>
          <w:color w:val="auto"/>
          <w:sz w:val="22"/>
        </w:rPr>
        <w:t>1</w:t>
      </w:r>
      <w:r w:rsidR="001324E5">
        <w:rPr>
          <w:color w:val="auto"/>
          <w:sz w:val="22"/>
        </w:rPr>
        <w:t>8 Mt</w:t>
      </w:r>
      <w:r w:rsidR="00356B7E">
        <w:rPr>
          <w:color w:val="auto"/>
          <w:sz w:val="22"/>
        </w:rPr>
        <w:t xml:space="preserve"> to the baseline. In addition, unlike the base case no future decline is projected in the proportion of biosolids that are hazardous.</w:t>
      </w:r>
    </w:p>
    <w:p w:rsidR="00356B7E" w:rsidRDefault="00356B7E" w:rsidP="0001725B">
      <w:pPr>
        <w:spacing w:line="240" w:lineRule="auto"/>
        <w:rPr>
          <w:color w:val="auto"/>
          <w:sz w:val="22"/>
        </w:rPr>
      </w:pPr>
    </w:p>
    <w:p w:rsidR="00356B7E" w:rsidRDefault="00356B7E" w:rsidP="0001725B">
      <w:pPr>
        <w:spacing w:line="240" w:lineRule="auto"/>
        <w:rPr>
          <w:color w:val="auto"/>
          <w:sz w:val="22"/>
        </w:rPr>
      </w:pPr>
      <w:r>
        <w:rPr>
          <w:color w:val="auto"/>
          <w:sz w:val="22"/>
        </w:rPr>
        <w:t>The</w:t>
      </w:r>
      <w:r w:rsidR="00B85218">
        <w:rPr>
          <w:color w:val="auto"/>
          <w:sz w:val="22"/>
        </w:rPr>
        <w:t xml:space="preserve"> projections for the</w:t>
      </w:r>
      <w:r>
        <w:rPr>
          <w:color w:val="auto"/>
          <w:sz w:val="22"/>
        </w:rPr>
        <w:t xml:space="preserve"> new Stockholm wastes </w:t>
      </w:r>
      <w:r w:rsidR="00697C30">
        <w:rPr>
          <w:color w:val="auto"/>
          <w:sz w:val="22"/>
        </w:rPr>
        <w:t>assume lower threshold levels will apply</w:t>
      </w:r>
      <w:r w:rsidR="00B85218">
        <w:rPr>
          <w:color w:val="auto"/>
          <w:sz w:val="22"/>
        </w:rPr>
        <w:t>, resulting in</w:t>
      </w:r>
      <w:r w:rsidR="00282800">
        <w:rPr>
          <w:color w:val="auto"/>
          <w:sz w:val="22"/>
        </w:rPr>
        <w:t xml:space="preserve"> biosolids contamination by HBCD</w:t>
      </w:r>
      <w:r w:rsidR="007B6C10">
        <w:rPr>
          <w:color w:val="auto"/>
          <w:sz w:val="22"/>
        </w:rPr>
        <w:t xml:space="preserve">, which is </w:t>
      </w:r>
      <w:r w:rsidR="00282800">
        <w:rPr>
          <w:color w:val="auto"/>
          <w:sz w:val="22"/>
        </w:rPr>
        <w:t>not present in the best case</w:t>
      </w:r>
      <w:r w:rsidR="007B6C10">
        <w:rPr>
          <w:color w:val="auto"/>
          <w:sz w:val="22"/>
        </w:rPr>
        <w:t>,</w:t>
      </w:r>
      <w:r w:rsidR="00282800">
        <w:rPr>
          <w:color w:val="auto"/>
          <w:sz w:val="22"/>
        </w:rPr>
        <w:t xml:space="preserve"> and by</w:t>
      </w:r>
      <w:r w:rsidR="00B85218">
        <w:rPr>
          <w:color w:val="auto"/>
          <w:sz w:val="22"/>
        </w:rPr>
        <w:t xml:space="preserve"> </w:t>
      </w:r>
      <w:r w:rsidR="00282800">
        <w:rPr>
          <w:color w:val="auto"/>
          <w:sz w:val="22"/>
        </w:rPr>
        <w:t xml:space="preserve">PFOS at </w:t>
      </w:r>
      <w:r w:rsidR="00B85218">
        <w:rPr>
          <w:color w:val="auto"/>
          <w:sz w:val="22"/>
        </w:rPr>
        <w:t xml:space="preserve">much higher </w:t>
      </w:r>
      <w:r w:rsidR="00282800">
        <w:rPr>
          <w:color w:val="auto"/>
          <w:sz w:val="22"/>
        </w:rPr>
        <w:t>levels than</w:t>
      </w:r>
      <w:r w:rsidR="007B6C10">
        <w:rPr>
          <w:color w:val="auto"/>
          <w:sz w:val="22"/>
        </w:rPr>
        <w:t xml:space="preserve"> in</w:t>
      </w:r>
      <w:r w:rsidR="00282800">
        <w:rPr>
          <w:color w:val="auto"/>
          <w:sz w:val="22"/>
        </w:rPr>
        <w:t xml:space="preserve"> the best case</w:t>
      </w:r>
      <w:r w:rsidR="00282800">
        <w:rPr>
          <w:rStyle w:val="FootnoteReference"/>
          <w:color w:val="auto"/>
          <w:sz w:val="22"/>
        </w:rPr>
        <w:footnoteReference w:id="8"/>
      </w:r>
      <w:r w:rsidR="007B6C10">
        <w:rPr>
          <w:color w:val="auto"/>
          <w:sz w:val="22"/>
        </w:rPr>
        <w:t xml:space="preserve">. </w:t>
      </w:r>
      <w:r w:rsidR="001F1692" w:rsidRPr="00816657">
        <w:rPr>
          <w:color w:val="080808"/>
          <w:sz w:val="22"/>
        </w:rPr>
        <w:t>The combined M160 ‘new Stockholm wastes’ (PFOS, POP-BDEs, HBCD and HCB) increase</w:t>
      </w:r>
      <w:r w:rsidR="00A223EB">
        <w:rPr>
          <w:color w:val="080808"/>
          <w:sz w:val="22"/>
        </w:rPr>
        <w:t xml:space="preserve"> </w:t>
      </w:r>
      <w:r w:rsidR="001F1692" w:rsidRPr="00816657">
        <w:rPr>
          <w:color w:val="080808"/>
          <w:sz w:val="22"/>
        </w:rPr>
        <w:t xml:space="preserve">to </w:t>
      </w:r>
      <w:r w:rsidR="001324E5">
        <w:rPr>
          <w:color w:val="080808"/>
          <w:sz w:val="22"/>
        </w:rPr>
        <w:t>0.</w:t>
      </w:r>
      <w:r w:rsidR="001F1692" w:rsidRPr="00816657">
        <w:rPr>
          <w:color w:val="080808"/>
          <w:sz w:val="22"/>
        </w:rPr>
        <w:t xml:space="preserve">18 </w:t>
      </w:r>
      <w:r w:rsidR="001324E5">
        <w:rPr>
          <w:color w:val="080808"/>
          <w:sz w:val="22"/>
        </w:rPr>
        <w:t>M</w:t>
      </w:r>
      <w:r w:rsidR="001F1692" w:rsidRPr="00816657">
        <w:rPr>
          <w:color w:val="080808"/>
          <w:sz w:val="22"/>
        </w:rPr>
        <w:t>t in 2033-34</w:t>
      </w:r>
      <w:r w:rsidR="00A223EB">
        <w:rPr>
          <w:color w:val="080808"/>
          <w:sz w:val="22"/>
        </w:rPr>
        <w:t xml:space="preserve"> under this scenario</w:t>
      </w:r>
      <w:r w:rsidR="001F1692" w:rsidRPr="00816657">
        <w:rPr>
          <w:color w:val="080808"/>
          <w:sz w:val="22"/>
        </w:rPr>
        <w:t>.</w:t>
      </w:r>
    </w:p>
    <w:p w:rsidR="00BE6A48" w:rsidRDefault="00BE6A48" w:rsidP="0001725B">
      <w:pPr>
        <w:spacing w:line="240" w:lineRule="auto"/>
        <w:rPr>
          <w:color w:val="auto"/>
          <w:sz w:val="22"/>
        </w:rPr>
      </w:pPr>
    </w:p>
    <w:p w:rsidR="00A223EB" w:rsidRDefault="00A223EB" w:rsidP="0001725B">
      <w:pPr>
        <w:spacing w:line="240" w:lineRule="auto"/>
        <w:rPr>
          <w:color w:val="auto"/>
          <w:sz w:val="22"/>
        </w:rPr>
      </w:pPr>
      <w:r>
        <w:rPr>
          <w:color w:val="auto"/>
          <w:sz w:val="22"/>
        </w:rPr>
        <w:t>Under the high scenario, lithium-ion batteries are projected to become a major technology, producing a waste stream that grows from a current total of about 8,000 tonnes to 154,000 tonnes, an average growth rate of 16% per year.</w:t>
      </w:r>
    </w:p>
    <w:p w:rsidR="00875272" w:rsidRDefault="00875272" w:rsidP="0001725B">
      <w:pPr>
        <w:spacing w:line="240" w:lineRule="auto"/>
        <w:rPr>
          <w:color w:val="auto"/>
          <w:sz w:val="22"/>
        </w:rPr>
      </w:pPr>
    </w:p>
    <w:p w:rsidR="00875272" w:rsidRDefault="00875272" w:rsidP="0001725B">
      <w:pPr>
        <w:spacing w:line="240" w:lineRule="auto"/>
        <w:rPr>
          <w:color w:val="auto"/>
          <w:sz w:val="22"/>
        </w:rPr>
      </w:pPr>
      <w:r>
        <w:rPr>
          <w:color w:val="auto"/>
          <w:sz w:val="22"/>
        </w:rPr>
        <w:t xml:space="preserve">Contaminated soils and asbestos are also generated in much higher volumes </w:t>
      </w:r>
      <w:r w:rsidR="00BA665B">
        <w:rPr>
          <w:color w:val="auto"/>
          <w:sz w:val="22"/>
        </w:rPr>
        <w:t>in the high estimate</w:t>
      </w:r>
      <w:r>
        <w:rPr>
          <w:color w:val="auto"/>
          <w:sz w:val="22"/>
        </w:rPr>
        <w:t>.</w:t>
      </w:r>
      <w:r w:rsidR="00BA665B">
        <w:rPr>
          <w:color w:val="auto"/>
          <w:sz w:val="22"/>
        </w:rPr>
        <w:t xml:space="preserve"> A combined total of almost </w:t>
      </w:r>
      <w:r w:rsidR="005E4250">
        <w:rPr>
          <w:color w:val="auto"/>
          <w:sz w:val="22"/>
        </w:rPr>
        <w:t>4 Mt</w:t>
      </w:r>
      <w:r w:rsidR="00BA665B">
        <w:rPr>
          <w:color w:val="auto"/>
          <w:sz w:val="22"/>
        </w:rPr>
        <w:t xml:space="preserve">, in approximately equal proportions, contrasts with only about 2.8 </w:t>
      </w:r>
      <w:r w:rsidR="005E4250">
        <w:rPr>
          <w:color w:val="auto"/>
          <w:sz w:val="22"/>
        </w:rPr>
        <w:t xml:space="preserve">Mt </w:t>
      </w:r>
      <w:r w:rsidR="00BA665B">
        <w:rPr>
          <w:color w:val="auto"/>
          <w:sz w:val="22"/>
        </w:rPr>
        <w:t>under the best estimate.</w:t>
      </w:r>
    </w:p>
    <w:p w:rsidR="00A223EB" w:rsidRDefault="00A223EB" w:rsidP="0001725B">
      <w:pPr>
        <w:spacing w:line="240" w:lineRule="auto"/>
        <w:rPr>
          <w:color w:val="auto"/>
          <w:sz w:val="22"/>
        </w:rPr>
      </w:pPr>
    </w:p>
    <w:p w:rsidR="00A223EB" w:rsidRDefault="00A223EB" w:rsidP="00A223EB">
      <w:pPr>
        <w:spacing w:line="240" w:lineRule="auto"/>
        <w:rPr>
          <w:color w:val="080808"/>
          <w:sz w:val="22"/>
        </w:rPr>
      </w:pPr>
      <w:r w:rsidRPr="00816657">
        <w:rPr>
          <w:color w:val="080808"/>
          <w:sz w:val="22"/>
        </w:rPr>
        <w:t>The only waste that declines is tannery and wool scouring wastes, which reduces at an average rate of 2.1% per year.</w:t>
      </w:r>
      <w:r>
        <w:rPr>
          <w:color w:val="080808"/>
          <w:sz w:val="22"/>
        </w:rPr>
        <w:t xml:space="preserve"> </w:t>
      </w:r>
      <w:r w:rsidR="00AA283D">
        <w:rPr>
          <w:color w:val="080808"/>
          <w:sz w:val="22"/>
        </w:rPr>
        <w:t>The</w:t>
      </w:r>
      <w:r>
        <w:rPr>
          <w:color w:val="080808"/>
          <w:sz w:val="22"/>
        </w:rPr>
        <w:t xml:space="preserve"> industry is projected to decline even under this optimistic scenario.</w:t>
      </w:r>
    </w:p>
    <w:p w:rsidR="00A223EB" w:rsidRPr="00816657" w:rsidRDefault="00A223EB" w:rsidP="00A223EB">
      <w:pPr>
        <w:spacing w:line="240" w:lineRule="auto"/>
        <w:rPr>
          <w:color w:val="080808"/>
          <w:sz w:val="22"/>
        </w:rPr>
      </w:pPr>
    </w:p>
    <w:p w:rsidR="0001725B" w:rsidRPr="00816657" w:rsidRDefault="0001725B" w:rsidP="0001725B">
      <w:pPr>
        <w:spacing w:line="240" w:lineRule="auto"/>
        <w:rPr>
          <w:color w:val="080808"/>
          <w:sz w:val="22"/>
        </w:rPr>
      </w:pPr>
      <w:r w:rsidRPr="00816657">
        <w:rPr>
          <w:color w:val="auto"/>
          <w:sz w:val="22"/>
        </w:rPr>
        <w:t>Th</w:t>
      </w:r>
      <w:r w:rsidR="001F1692">
        <w:rPr>
          <w:color w:val="auto"/>
          <w:sz w:val="22"/>
        </w:rPr>
        <w:t>e overall</w:t>
      </w:r>
      <w:r w:rsidRPr="00816657">
        <w:rPr>
          <w:color w:val="auto"/>
          <w:sz w:val="22"/>
        </w:rPr>
        <w:t xml:space="preserve"> growth rate is much higher than the best estimate, rising from an initial 7.1 Mt to 15.2 Mt over the 20-year projection period – an average annual increase of </w:t>
      </w:r>
      <w:r w:rsidRPr="00816657">
        <w:rPr>
          <w:color w:val="080808"/>
          <w:sz w:val="22"/>
        </w:rPr>
        <w:t xml:space="preserve">3.9%. The top six groups at the end of the period are identical to those listed above in the best estimate (alkalis, oils, grease trap waste, contaminated soils, asbestos and tyres). </w:t>
      </w:r>
    </w:p>
    <w:p w:rsidR="0001725B" w:rsidRPr="00816657" w:rsidRDefault="0001725B" w:rsidP="0001725B">
      <w:pPr>
        <w:spacing w:line="240" w:lineRule="auto"/>
        <w:rPr>
          <w:color w:val="080808"/>
          <w:sz w:val="22"/>
        </w:rPr>
      </w:pPr>
    </w:p>
    <w:p w:rsidR="00061B2C" w:rsidRDefault="00061B2C" w:rsidP="00061B2C">
      <w:pPr>
        <w:spacing w:after="120" w:line="240" w:lineRule="auto"/>
        <w:outlineLvl w:val="2"/>
        <w:rPr>
          <w:rFonts w:ascii="Arial Rounded MT Bold" w:hAnsi="Arial Rounded MT Bold" w:cs="Arial"/>
          <w:color w:val="0000FF"/>
          <w:sz w:val="22"/>
        </w:rPr>
      </w:pPr>
      <w:r>
        <w:rPr>
          <w:rFonts w:ascii="Arial Rounded MT Bold" w:hAnsi="Arial Rounded MT Bold" w:cs="Arial"/>
          <w:color w:val="0000FF"/>
          <w:sz w:val="22"/>
        </w:rPr>
        <w:t>L</w:t>
      </w:r>
      <w:r w:rsidRPr="00816657">
        <w:rPr>
          <w:rFonts w:ascii="Arial Rounded MT Bold" w:hAnsi="Arial Rounded MT Bold" w:cs="Arial"/>
          <w:color w:val="0000FF"/>
          <w:sz w:val="22"/>
        </w:rPr>
        <w:t xml:space="preserve">ow </w:t>
      </w:r>
      <w:r>
        <w:rPr>
          <w:rFonts w:ascii="Arial Rounded MT Bold" w:hAnsi="Arial Rounded MT Bold" w:cs="Arial"/>
          <w:color w:val="0000FF"/>
          <w:sz w:val="22"/>
        </w:rPr>
        <w:t>scenario</w:t>
      </w:r>
    </w:p>
    <w:p w:rsidR="00061B2C" w:rsidRDefault="00061B2C" w:rsidP="00061B2C">
      <w:pPr>
        <w:spacing w:line="240" w:lineRule="auto"/>
        <w:rPr>
          <w:color w:val="auto"/>
          <w:sz w:val="22"/>
        </w:rPr>
      </w:pPr>
      <w:r>
        <w:rPr>
          <w:color w:val="080808"/>
          <w:sz w:val="22"/>
        </w:rPr>
        <w:t xml:space="preserve">A lowest credible estimate of waste arising was made for each group. </w:t>
      </w:r>
      <w:r>
        <w:rPr>
          <w:color w:val="auto"/>
          <w:sz w:val="22"/>
        </w:rPr>
        <w:t xml:space="preserve">In most cases the low estimate assumed a growth rate equal to that of the best estimate, less 2% or 3%. In cases where the best estimate projected particularly high growth, the low scenario set an annual increase at the long-term economic growth rate. </w:t>
      </w:r>
    </w:p>
    <w:p w:rsidR="00061B2C" w:rsidRDefault="00061B2C" w:rsidP="00061B2C">
      <w:pPr>
        <w:spacing w:line="240" w:lineRule="auto"/>
        <w:rPr>
          <w:color w:val="auto"/>
          <w:sz w:val="22"/>
        </w:rPr>
      </w:pPr>
    </w:p>
    <w:p w:rsidR="00061B2C" w:rsidRPr="00534375" w:rsidRDefault="00061B2C" w:rsidP="00061B2C">
      <w:pPr>
        <w:spacing w:line="240" w:lineRule="auto"/>
        <w:rPr>
          <w:color w:val="auto"/>
          <w:sz w:val="22"/>
        </w:rPr>
      </w:pPr>
      <w:r>
        <w:rPr>
          <w:color w:val="auto"/>
          <w:sz w:val="22"/>
        </w:rPr>
        <w:t xml:space="preserve">The low scenario is consistent with low economic and population growth, decline in the manufacturing sector and relatively low growth in mining. </w:t>
      </w:r>
      <w:r w:rsidRPr="00816657">
        <w:rPr>
          <w:color w:val="080808"/>
          <w:sz w:val="22"/>
        </w:rPr>
        <w:t xml:space="preserve">The combined low estimate is </w:t>
      </w:r>
      <w:r w:rsidRPr="00816657">
        <w:rPr>
          <w:color w:val="auto"/>
          <w:sz w:val="22"/>
        </w:rPr>
        <w:t xml:space="preserve">illustrated in </w:t>
      </w:r>
      <w:fldSimple w:instr=" REF _Ref408915700 \h  \* MERGEFORMAT ">
        <w:r w:rsidR="002F3000" w:rsidRPr="002F3000">
          <w:rPr>
            <w:color w:val="auto"/>
            <w:sz w:val="22"/>
          </w:rPr>
          <w:t>Figure 4</w:t>
        </w:r>
      </w:fldSimple>
      <w:r w:rsidRPr="00816657">
        <w:rPr>
          <w:color w:val="auto"/>
          <w:sz w:val="22"/>
        </w:rPr>
        <w:t xml:space="preserve">. </w:t>
      </w:r>
      <w:r>
        <w:rPr>
          <w:color w:val="auto"/>
          <w:sz w:val="22"/>
        </w:rPr>
        <w:t xml:space="preserve">Similarly to the best estimate, it has the overall features of exponential growth but at the much lower </w:t>
      </w:r>
      <w:r w:rsidRPr="00816657">
        <w:rPr>
          <w:color w:val="080808"/>
          <w:sz w:val="22"/>
        </w:rPr>
        <w:t xml:space="preserve">average annual </w:t>
      </w:r>
      <w:r>
        <w:rPr>
          <w:color w:val="080808"/>
          <w:sz w:val="22"/>
        </w:rPr>
        <w:t>growth rate</w:t>
      </w:r>
      <w:r w:rsidRPr="00816657">
        <w:rPr>
          <w:color w:val="080808"/>
          <w:sz w:val="22"/>
        </w:rPr>
        <w:t xml:space="preserve"> of 0.9%.</w:t>
      </w:r>
      <w:r>
        <w:rPr>
          <w:color w:val="080808"/>
          <w:sz w:val="22"/>
        </w:rPr>
        <w:t xml:space="preserve"> There is an overall rise of </w:t>
      </w:r>
      <w:r>
        <w:rPr>
          <w:color w:val="auto"/>
          <w:sz w:val="22"/>
        </w:rPr>
        <w:t>in</w:t>
      </w:r>
      <w:r w:rsidRPr="00816657">
        <w:rPr>
          <w:color w:val="auto"/>
          <w:sz w:val="22"/>
        </w:rPr>
        <w:t xml:space="preserve"> </w:t>
      </w:r>
      <w:r w:rsidRPr="00816657">
        <w:rPr>
          <w:color w:val="080808"/>
          <w:sz w:val="22"/>
        </w:rPr>
        <w:t>the quantity of hazardous waste from 4.4 to 5.3 Mt over the 20-year period</w:t>
      </w:r>
      <w:r>
        <w:rPr>
          <w:color w:val="080808"/>
          <w:sz w:val="22"/>
        </w:rPr>
        <w:t>.</w:t>
      </w:r>
      <w:r w:rsidRPr="00816657">
        <w:rPr>
          <w:color w:val="080808"/>
          <w:sz w:val="22"/>
        </w:rPr>
        <w:t xml:space="preserve"> </w:t>
      </w:r>
    </w:p>
    <w:p w:rsidR="00061B2C" w:rsidRDefault="00061B2C" w:rsidP="00061B2C">
      <w:pPr>
        <w:spacing w:line="240" w:lineRule="auto"/>
        <w:rPr>
          <w:color w:val="080808"/>
          <w:sz w:val="22"/>
        </w:rPr>
      </w:pPr>
    </w:p>
    <w:p w:rsidR="0001725B" w:rsidRPr="00816657" w:rsidRDefault="00061B2C" w:rsidP="0001725B">
      <w:pPr>
        <w:spacing w:line="240" w:lineRule="auto"/>
        <w:rPr>
          <w:color w:val="080808"/>
          <w:sz w:val="2"/>
          <w:szCs w:val="2"/>
        </w:rPr>
      </w:pPr>
      <w:r>
        <w:rPr>
          <w:color w:val="080808"/>
          <w:sz w:val="22"/>
        </w:rPr>
        <w:t xml:space="preserve">Major differences from the best estimate scenario in 2034 include 0.36 Mt less non-toxic salts (a waste produced in large amounts by the coal seam gas industry) and 1.3 Mt less oils. </w:t>
      </w:r>
      <w:r>
        <w:rPr>
          <w:color w:val="auto"/>
          <w:sz w:val="22"/>
        </w:rPr>
        <w:t>Contaminated soils and asbestos also arise in much lower volumes, estimated at 1.1 Mt less than the best estimate.</w:t>
      </w:r>
    </w:p>
    <w:p w:rsidR="0001725B" w:rsidRPr="00D81543" w:rsidRDefault="0001725B" w:rsidP="0001725B">
      <w:pPr>
        <w:spacing w:line="240" w:lineRule="auto"/>
        <w:rPr>
          <w:color w:val="080808"/>
          <w:sz w:val="2"/>
          <w:szCs w:val="2"/>
        </w:rPr>
      </w:pPr>
    </w:p>
    <w:p w:rsidR="0001725B" w:rsidRPr="00816657" w:rsidRDefault="0001725B" w:rsidP="00655F62">
      <w:pPr>
        <w:pStyle w:val="Figures"/>
      </w:pPr>
      <w:bookmarkStart w:id="109" w:name="_Ref408915614"/>
      <w:bookmarkStart w:id="110" w:name="_Toc425849221"/>
      <w:r w:rsidRPr="00816657">
        <w:lastRenderedPageBreak/>
        <w:t xml:space="preserve">Figure </w:t>
      </w:r>
      <w:fldSimple w:instr=" SEQ Figure \* ARABIC ">
        <w:r w:rsidR="002F3000">
          <w:rPr>
            <w:noProof/>
          </w:rPr>
          <w:t>3</w:t>
        </w:r>
      </w:fldSimple>
      <w:bookmarkEnd w:id="109"/>
      <w:r w:rsidRPr="00816657">
        <w:t xml:space="preserve">: </w:t>
      </w:r>
      <w:r w:rsidRPr="00816657">
        <w:tab/>
        <w:t>High estimate of national projections for all hazardous waste to 2034</w:t>
      </w:r>
      <w:bookmarkEnd w:id="110"/>
    </w:p>
    <w:p w:rsidR="0001725B" w:rsidRDefault="0001725B" w:rsidP="0001725B">
      <w:pPr>
        <w:spacing w:line="240" w:lineRule="auto"/>
        <w:rPr>
          <w:color w:val="080808"/>
          <w:sz w:val="22"/>
        </w:rPr>
      </w:pPr>
      <w:r w:rsidRPr="00086FA8">
        <w:rPr>
          <w:noProof/>
          <w:lang w:eastAsia="en-AU"/>
        </w:rPr>
        <w:drawing>
          <wp:inline distT="0" distB="0" distL="0" distR="0">
            <wp:extent cx="6249935" cy="4029739"/>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6257289" cy="4034481"/>
                    </a:xfrm>
                    <a:prstGeom prst="rect">
                      <a:avLst/>
                    </a:prstGeom>
                  </pic:spPr>
                </pic:pic>
              </a:graphicData>
            </a:graphic>
          </wp:inline>
        </w:drawing>
      </w:r>
    </w:p>
    <w:p w:rsidR="0001725B" w:rsidRDefault="0001725B" w:rsidP="0001725B">
      <w:pPr>
        <w:spacing w:line="240" w:lineRule="auto"/>
        <w:rPr>
          <w:color w:val="080808"/>
          <w:sz w:val="22"/>
        </w:rPr>
      </w:pPr>
    </w:p>
    <w:p w:rsidR="0001725B" w:rsidRPr="00816657" w:rsidRDefault="0001725B" w:rsidP="00655F62">
      <w:pPr>
        <w:pStyle w:val="Figures"/>
      </w:pPr>
      <w:bookmarkStart w:id="111" w:name="_Ref408915700"/>
      <w:bookmarkStart w:id="112" w:name="_Toc425849222"/>
      <w:r w:rsidRPr="00816657">
        <w:t xml:space="preserve">Figure </w:t>
      </w:r>
      <w:fldSimple w:instr=" SEQ Figure \* ARABIC ">
        <w:r w:rsidR="002F3000">
          <w:rPr>
            <w:noProof/>
          </w:rPr>
          <w:t>4</w:t>
        </w:r>
      </w:fldSimple>
      <w:bookmarkEnd w:id="111"/>
      <w:r w:rsidRPr="00816657">
        <w:t xml:space="preserve">: </w:t>
      </w:r>
      <w:r w:rsidRPr="00816657">
        <w:tab/>
        <w:t>Low estimate of national projections for all hazardous waste to 2034</w:t>
      </w:r>
      <w:bookmarkEnd w:id="112"/>
    </w:p>
    <w:p w:rsidR="0001725B" w:rsidRPr="00816657" w:rsidRDefault="0001725B" w:rsidP="00655F62">
      <w:pPr>
        <w:pStyle w:val="Figures"/>
        <w:rPr>
          <w:color w:val="080808"/>
        </w:rPr>
      </w:pPr>
      <w:r w:rsidRPr="00086FA8">
        <w:rPr>
          <w:noProof/>
          <w:lang w:eastAsia="en-AU"/>
        </w:rPr>
        <w:drawing>
          <wp:inline distT="0" distB="0" distL="0" distR="0">
            <wp:extent cx="6480805" cy="41785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6488431" cy="4183513"/>
                    </a:xfrm>
                    <a:prstGeom prst="rect">
                      <a:avLst/>
                    </a:prstGeom>
                  </pic:spPr>
                </pic:pic>
              </a:graphicData>
            </a:graphic>
          </wp:inline>
        </w:drawing>
      </w:r>
    </w:p>
    <w:p w:rsidR="00061B2C" w:rsidRDefault="00061B2C" w:rsidP="00061B2C">
      <w:pPr>
        <w:spacing w:line="240" w:lineRule="auto"/>
        <w:rPr>
          <w:color w:val="080808"/>
          <w:sz w:val="22"/>
        </w:rPr>
      </w:pPr>
      <w:r>
        <w:rPr>
          <w:color w:val="080808"/>
          <w:sz w:val="22"/>
        </w:rPr>
        <w:lastRenderedPageBreak/>
        <w:t xml:space="preserve">The baseline value for contaminated biosolids is estimated at half the best estimate, reflecting the uncertainty of the contamination levels in this material. Contaminant levels are projected to decline at 2% per year, based on assumptions of declining manufacturing and better management of the quality of sewage discharges from industry. The result is 0.17 Mt less contaminated biosolids in 2034 than the best estimate.  </w:t>
      </w:r>
    </w:p>
    <w:p w:rsidR="00061B2C" w:rsidRDefault="00061B2C" w:rsidP="00061B2C">
      <w:pPr>
        <w:spacing w:line="240" w:lineRule="auto"/>
        <w:rPr>
          <w:color w:val="080808"/>
          <w:sz w:val="22"/>
        </w:rPr>
      </w:pPr>
    </w:p>
    <w:p w:rsidR="00061B2C" w:rsidRDefault="00061B2C" w:rsidP="00061B2C">
      <w:pPr>
        <w:spacing w:line="240" w:lineRule="auto"/>
        <w:rPr>
          <w:color w:val="080808"/>
          <w:sz w:val="22"/>
        </w:rPr>
      </w:pPr>
      <w:r>
        <w:rPr>
          <w:color w:val="080808"/>
          <w:sz w:val="22"/>
        </w:rPr>
        <w:t xml:space="preserve">The threshold concentration value for the new Stockholm wastes is assumed to be higher under the low scenario. The result is that no PFOS and very little POP-BDEs </w:t>
      </w:r>
      <w:proofErr w:type="gramStart"/>
      <w:r>
        <w:rPr>
          <w:color w:val="080808"/>
          <w:sz w:val="22"/>
        </w:rPr>
        <w:t>is</w:t>
      </w:r>
      <w:proofErr w:type="gramEnd"/>
      <w:r>
        <w:rPr>
          <w:color w:val="080808"/>
          <w:sz w:val="22"/>
        </w:rPr>
        <w:t xml:space="preserve"> produced, and no biosolids would be contaminated with these wastes above the threshold levels. Several thousand tonnes of HBCD waste would still be produced annually in old expandable and extruded polystyrene. </w:t>
      </w:r>
    </w:p>
    <w:p w:rsidR="00061B2C" w:rsidRDefault="00061B2C" w:rsidP="00061B2C">
      <w:pPr>
        <w:spacing w:line="240" w:lineRule="auto"/>
        <w:rPr>
          <w:color w:val="080808"/>
          <w:sz w:val="22"/>
        </w:rPr>
      </w:pPr>
    </w:p>
    <w:p w:rsidR="00061B2C" w:rsidRPr="00816657" w:rsidRDefault="00061B2C" w:rsidP="00061B2C">
      <w:pPr>
        <w:spacing w:line="240" w:lineRule="auto"/>
        <w:rPr>
          <w:color w:val="080808"/>
          <w:sz w:val="22"/>
        </w:rPr>
      </w:pPr>
      <w:r w:rsidRPr="00816657">
        <w:rPr>
          <w:color w:val="080808"/>
          <w:sz w:val="22"/>
        </w:rPr>
        <w:t>Strong growth is still projected for lithium-ion batteries (average growth of 6.2% per year), and eight other groups are also projected to increase. Fifteen groups are projected as declining, including: PFOS (average reduction of 11% per year); tannery and wool scouring wastes (6.1%); other organic chemicals (5.1%); other inorganic chemicals (4.0%); and acids (3.8%).</w:t>
      </w:r>
      <w:r>
        <w:rPr>
          <w:color w:val="080808"/>
          <w:sz w:val="22"/>
        </w:rPr>
        <w:t xml:space="preserve"> </w:t>
      </w:r>
      <w:r w:rsidRPr="00816657">
        <w:rPr>
          <w:color w:val="080808"/>
          <w:sz w:val="22"/>
        </w:rPr>
        <w:t xml:space="preserve">The six largest streams are the same as in the best and high estimates and remain about 75% of the total at the end of the period. </w:t>
      </w:r>
    </w:p>
    <w:p w:rsidR="00061B2C" w:rsidRPr="00816657" w:rsidRDefault="00061B2C" w:rsidP="00061B2C">
      <w:pPr>
        <w:spacing w:line="240" w:lineRule="auto"/>
        <w:rPr>
          <w:color w:val="080808"/>
          <w:sz w:val="22"/>
        </w:rPr>
      </w:pPr>
    </w:p>
    <w:p w:rsidR="00D26246" w:rsidRPr="00816657" w:rsidRDefault="00D26246" w:rsidP="00D26246">
      <w:pPr>
        <w:pStyle w:val="Heading2"/>
      </w:pPr>
      <w:bookmarkStart w:id="113" w:name="_Toc421034137"/>
      <w:bookmarkStart w:id="114" w:name="_Toc421042285"/>
      <w:bookmarkStart w:id="115" w:name="_Toc421043485"/>
      <w:bookmarkStart w:id="116" w:name="_Toc421048468"/>
      <w:bookmarkStart w:id="117" w:name="_Toc421054584"/>
      <w:bookmarkStart w:id="118" w:name="_Toc421086282"/>
      <w:bookmarkStart w:id="119" w:name="_Toc421126657"/>
      <w:bookmarkStart w:id="120" w:name="_Ref419370324"/>
      <w:bookmarkStart w:id="121" w:name="_Toc425849159"/>
      <w:bookmarkEnd w:id="113"/>
      <w:bookmarkEnd w:id="114"/>
      <w:bookmarkEnd w:id="115"/>
      <w:bookmarkEnd w:id="116"/>
      <w:bookmarkEnd w:id="117"/>
      <w:bookmarkEnd w:id="118"/>
      <w:bookmarkEnd w:id="119"/>
      <w:r w:rsidRPr="00816657">
        <w:t>Projections of hazardous waste arising by group</w:t>
      </w:r>
      <w:bookmarkEnd w:id="106"/>
      <w:bookmarkEnd w:id="120"/>
      <w:bookmarkEnd w:id="121"/>
    </w:p>
    <w:p w:rsidR="008F3625" w:rsidRPr="00816657" w:rsidRDefault="008F3625" w:rsidP="00915214">
      <w:pPr>
        <w:pStyle w:val="BodyText"/>
      </w:pPr>
      <w:r w:rsidRPr="00816657">
        <w:t>Th</w:t>
      </w:r>
      <w:r w:rsidR="008A30BE">
        <w:t xml:space="preserve">is section </w:t>
      </w:r>
      <w:r w:rsidRPr="00816657">
        <w:t>provide</w:t>
      </w:r>
      <w:r w:rsidR="008A30BE">
        <w:t>s</w:t>
      </w:r>
      <w:r w:rsidRPr="00816657">
        <w:t>, for each waste group, an account of:</w:t>
      </w:r>
    </w:p>
    <w:p w:rsidR="00AD3EED" w:rsidRDefault="00AD3EED" w:rsidP="008F3625">
      <w:pPr>
        <w:pStyle w:val="BodyText"/>
        <w:numPr>
          <w:ilvl w:val="0"/>
          <w:numId w:val="29"/>
        </w:numPr>
        <w:spacing w:before="80"/>
        <w:ind w:left="357" w:hanging="357"/>
      </w:pPr>
      <w:r>
        <w:t xml:space="preserve">The waste types (at a NEPM 75 level) </w:t>
      </w:r>
      <w:proofErr w:type="gramStart"/>
      <w:r>
        <w:t>that are</w:t>
      </w:r>
      <w:proofErr w:type="gramEnd"/>
      <w:r>
        <w:t xml:space="preserve"> included in the waste group.</w:t>
      </w:r>
    </w:p>
    <w:p w:rsidR="00780AB1" w:rsidRPr="00816657" w:rsidRDefault="00AE6141" w:rsidP="008F3625">
      <w:pPr>
        <w:pStyle w:val="BodyText"/>
        <w:numPr>
          <w:ilvl w:val="0"/>
          <w:numId w:val="29"/>
        </w:numPr>
        <w:spacing w:before="80"/>
        <w:ind w:left="357" w:hanging="357"/>
      </w:pPr>
      <w:r w:rsidRPr="00816657">
        <w:t>T</w:t>
      </w:r>
      <w:r w:rsidR="00780AB1" w:rsidRPr="00816657">
        <w:t xml:space="preserve">he analysis completed for each </w:t>
      </w:r>
      <w:r w:rsidR="008A30BE">
        <w:t xml:space="preserve">waste group </w:t>
      </w:r>
      <w:r w:rsidR="00780AB1" w:rsidRPr="00816657">
        <w:t>projection including</w:t>
      </w:r>
    </w:p>
    <w:p w:rsidR="00915214" w:rsidRPr="00816657" w:rsidRDefault="00AE6141" w:rsidP="008F3625">
      <w:pPr>
        <w:pStyle w:val="Bullet2"/>
      </w:pPr>
      <w:r w:rsidRPr="00816657">
        <w:t>the</w:t>
      </w:r>
      <w:r w:rsidR="00DD1053" w:rsidRPr="00816657">
        <w:t xml:space="preserve"> industry sectors shown to be producing the largest amounts of the waste in either Qld, SA or Vic</w:t>
      </w:r>
      <w:r w:rsidRPr="00816657">
        <w:rPr>
          <w:rStyle w:val="FootnoteReference"/>
        </w:rPr>
        <w:footnoteReference w:id="9"/>
      </w:r>
    </w:p>
    <w:p w:rsidR="00137A0F" w:rsidRPr="00816657" w:rsidRDefault="004148A8" w:rsidP="008F3625">
      <w:pPr>
        <w:pStyle w:val="Bullet2"/>
      </w:pPr>
      <w:r w:rsidRPr="00816657">
        <w:t xml:space="preserve">team </w:t>
      </w:r>
      <w:r w:rsidR="008F3625" w:rsidRPr="00816657">
        <w:t>c</w:t>
      </w:r>
      <w:r w:rsidR="00137A0F" w:rsidRPr="00816657">
        <w:t>onsideration</w:t>
      </w:r>
      <w:r w:rsidR="004A4BF9" w:rsidRPr="00816657">
        <w:t>s</w:t>
      </w:r>
      <w:r w:rsidRPr="00816657">
        <w:t xml:space="preserve"> and comments related to the development of the projection</w:t>
      </w:r>
    </w:p>
    <w:p w:rsidR="004A4BF9" w:rsidRPr="00816657" w:rsidRDefault="008F3625" w:rsidP="008F3625">
      <w:pPr>
        <w:pStyle w:val="Bullet2"/>
      </w:pPr>
      <w:proofErr w:type="gramStart"/>
      <w:r w:rsidRPr="00816657">
        <w:t>t</w:t>
      </w:r>
      <w:r w:rsidR="004A4BF9" w:rsidRPr="00816657">
        <w:t>he</w:t>
      </w:r>
      <w:proofErr w:type="gramEnd"/>
      <w:r w:rsidR="004A4BF9" w:rsidRPr="00816657">
        <w:t xml:space="preserve"> approach applied for the group</w:t>
      </w:r>
      <w:r w:rsidR="004148A8" w:rsidRPr="00816657">
        <w:t>,</w:t>
      </w:r>
      <w:r w:rsidR="004A4BF9" w:rsidRPr="00816657">
        <w:t xml:space="preserve"> following the </w:t>
      </w:r>
      <w:r w:rsidR="00617816" w:rsidRPr="00816657">
        <w:t xml:space="preserve">hierarchy set out in </w:t>
      </w:r>
      <w:fldSimple w:instr=" REF _Ref406075576 \h  \* MERGEFORMAT ">
        <w:r w:rsidR="002F3000" w:rsidRPr="002F3000">
          <w:rPr>
            <w:rFonts w:cs="Calibri"/>
            <w:color w:val="auto"/>
            <w:szCs w:val="20"/>
          </w:rPr>
          <w:t>Figure 1</w:t>
        </w:r>
      </w:fldSimple>
      <w:r w:rsidR="00617816" w:rsidRPr="00816657">
        <w:t>.</w:t>
      </w:r>
    </w:p>
    <w:p w:rsidR="009E2867" w:rsidRPr="00816657" w:rsidRDefault="007156F0" w:rsidP="008F3625">
      <w:pPr>
        <w:pStyle w:val="BodyText"/>
        <w:numPr>
          <w:ilvl w:val="0"/>
          <w:numId w:val="29"/>
        </w:numPr>
        <w:spacing w:before="80"/>
        <w:ind w:left="357" w:hanging="357"/>
      </w:pPr>
      <w:r w:rsidRPr="00816657">
        <w:t xml:space="preserve">The </w:t>
      </w:r>
      <w:r w:rsidR="005204DB" w:rsidRPr="00816657">
        <w:t>2013-14 data</w:t>
      </w:r>
      <w:r w:rsidRPr="00816657">
        <w:t xml:space="preserve"> and the arithmetical methods used for estimating how </w:t>
      </w:r>
      <w:r w:rsidR="005204DB" w:rsidRPr="00816657">
        <w:t>this quantity</w:t>
      </w:r>
      <w:r w:rsidRPr="00816657">
        <w:t xml:space="preserve"> might change in the future under</w:t>
      </w:r>
      <w:r w:rsidR="00780AB1" w:rsidRPr="00816657">
        <w:t xml:space="preserve"> </w:t>
      </w:r>
      <w:r w:rsidRPr="00816657">
        <w:t>best, high and low scenarios.</w:t>
      </w:r>
    </w:p>
    <w:p w:rsidR="00780AB1" w:rsidRDefault="00CF7C42" w:rsidP="008F3625">
      <w:pPr>
        <w:pStyle w:val="BodyText"/>
        <w:numPr>
          <w:ilvl w:val="0"/>
          <w:numId w:val="29"/>
        </w:numPr>
        <w:spacing w:before="80"/>
        <w:ind w:left="357" w:hanging="357"/>
      </w:pPr>
      <w:r w:rsidRPr="00816657">
        <w:t>A</w:t>
      </w:r>
      <w:r w:rsidR="00780AB1" w:rsidRPr="00816657">
        <w:t xml:space="preserve"> figure illustrating the three </w:t>
      </w:r>
      <w:r w:rsidR="005204DB" w:rsidRPr="00816657">
        <w:t xml:space="preserve">projection </w:t>
      </w:r>
      <w:r w:rsidR="00780AB1" w:rsidRPr="00816657">
        <w:t>scenarios.</w:t>
      </w:r>
    </w:p>
    <w:p w:rsidR="008D2D3F" w:rsidRPr="00816657" w:rsidRDefault="008D2D3F" w:rsidP="007F5BD4">
      <w:pPr>
        <w:pStyle w:val="BodyText"/>
        <w:spacing w:before="80"/>
        <w:ind w:left="357"/>
      </w:pPr>
    </w:p>
    <w:p w:rsidR="001307CC" w:rsidRDefault="001307CC" w:rsidP="001307CC">
      <w:pPr>
        <w:pStyle w:val="BodyText"/>
      </w:pPr>
      <w:r>
        <w:t>Where a waste group includes ‘waste/s of particular interest’ a</w:t>
      </w:r>
      <w:r w:rsidR="00E714E1">
        <w:t xml:space="preserve">dditional content is </w:t>
      </w:r>
      <w:r>
        <w:t xml:space="preserve">provided where it is needed to provide information about </w:t>
      </w:r>
      <w:r w:rsidR="00E714E1">
        <w:t xml:space="preserve">the waste generally and </w:t>
      </w:r>
      <w:r>
        <w:t xml:space="preserve">how </w:t>
      </w:r>
      <w:r w:rsidR="00E714E1">
        <w:t xml:space="preserve">the waste </w:t>
      </w:r>
      <w:r>
        <w:t>has been considered in the scenarios.</w:t>
      </w:r>
    </w:p>
    <w:p w:rsidR="001307CC" w:rsidRDefault="001307CC" w:rsidP="001307CC">
      <w:pPr>
        <w:pStyle w:val="BodyText"/>
      </w:pPr>
    </w:p>
    <w:p w:rsidR="001307CC" w:rsidRPr="00E714E1" w:rsidRDefault="00E714E1" w:rsidP="007F5BD4">
      <w:pPr>
        <w:pStyle w:val="BodyText"/>
        <w:tabs>
          <w:tab w:val="left" w:pos="8623"/>
        </w:tabs>
      </w:pPr>
      <w:r>
        <w:t>Development</w:t>
      </w:r>
      <w:r w:rsidR="009E0CE6" w:rsidRPr="00E714E1">
        <w:t xml:space="preserve"> of the scenarios for</w:t>
      </w:r>
      <w:r w:rsidRPr="00E714E1">
        <w:t xml:space="preserve"> the following waste groups involved more detailed and complex analysis</w:t>
      </w:r>
      <w:r w:rsidR="001307CC" w:rsidRPr="00E714E1">
        <w:t>:</w:t>
      </w:r>
    </w:p>
    <w:p w:rsidR="001307CC" w:rsidRDefault="009E0CE6" w:rsidP="007F5BD4">
      <w:pPr>
        <w:pStyle w:val="Bullet1"/>
      </w:pPr>
      <w:r w:rsidRPr="00816657">
        <w:t>the ‘new Stockh</w:t>
      </w:r>
      <w:r>
        <w:t>olm wastes’</w:t>
      </w:r>
      <w:r w:rsidR="008D2D3F">
        <w:t xml:space="preserve"> (M160a PFOS, M160b PBDEs, M160c HBCD)</w:t>
      </w:r>
    </w:p>
    <w:p w:rsidR="001307CC" w:rsidRDefault="001307CC" w:rsidP="007F5BD4">
      <w:pPr>
        <w:pStyle w:val="Bullet1"/>
      </w:pPr>
      <w:r>
        <w:t>contaminated biosolids</w:t>
      </w:r>
    </w:p>
    <w:p w:rsidR="001307CC" w:rsidRDefault="009E0CE6" w:rsidP="007F5BD4">
      <w:pPr>
        <w:pStyle w:val="Bullet1"/>
      </w:pPr>
      <w:r w:rsidRPr="00816657">
        <w:t>lithium-ion batteries</w:t>
      </w:r>
      <w:r>
        <w:t xml:space="preserve"> </w:t>
      </w:r>
    </w:p>
    <w:p w:rsidR="00061B2C" w:rsidRDefault="00061B2C" w:rsidP="00061B2C">
      <w:pPr>
        <w:pStyle w:val="BodyText"/>
      </w:pPr>
    </w:p>
    <w:p w:rsidR="001307CC" w:rsidRDefault="001307CC" w:rsidP="00061B2C">
      <w:pPr>
        <w:pStyle w:val="BodyText"/>
      </w:pPr>
      <w:r>
        <w:t>This analysis is provided in</w:t>
      </w:r>
      <w:r w:rsidR="009E0CE6">
        <w:t xml:space="preserve"> </w:t>
      </w:r>
      <w:r w:rsidR="009E0CE6" w:rsidRPr="007F5BD4">
        <w:rPr>
          <w:b/>
        </w:rPr>
        <w:t xml:space="preserve">Appendices </w:t>
      </w:r>
      <w:fldSimple w:instr=" REF _Ref408390265 \r \h  \* MERGEFORMAT ">
        <w:r w:rsidR="002F3000">
          <w:rPr>
            <w:b/>
          </w:rPr>
          <w:t>A.5</w:t>
        </w:r>
      </w:fldSimple>
      <w:r w:rsidR="009E0CE6" w:rsidRPr="007F5BD4">
        <w:rPr>
          <w:b/>
        </w:rPr>
        <w:t xml:space="preserve"> to </w:t>
      </w:r>
      <w:fldSimple w:instr=" REF _Ref408390300 \r \h  \* MERGEFORMAT ">
        <w:r w:rsidR="002F3000">
          <w:rPr>
            <w:b/>
          </w:rPr>
          <w:t>A.7</w:t>
        </w:r>
      </w:fldSimple>
      <w:r w:rsidR="009E0CE6" w:rsidRPr="00816657">
        <w:t xml:space="preserve"> respectively</w:t>
      </w:r>
      <w:r>
        <w:t xml:space="preserve"> and </w:t>
      </w:r>
      <w:r w:rsidR="00E714E1">
        <w:t>needs to</w:t>
      </w:r>
      <w:r>
        <w:t xml:space="preserve"> be revi</w:t>
      </w:r>
      <w:r w:rsidR="00E714E1">
        <w:t xml:space="preserve">ewed to gain a complete </w:t>
      </w:r>
      <w:r>
        <w:t>understanding of the projections of these waste groups.</w:t>
      </w:r>
      <w:r w:rsidR="006B04F6">
        <w:t xml:space="preserve"> </w:t>
      </w:r>
    </w:p>
    <w:p w:rsidR="008D2D3F" w:rsidRDefault="008D2D3F" w:rsidP="005204DB">
      <w:pPr>
        <w:pStyle w:val="BodyText"/>
      </w:pPr>
    </w:p>
    <w:p w:rsidR="00E714E1" w:rsidRDefault="00211AB2" w:rsidP="00211AB2">
      <w:pPr>
        <w:pStyle w:val="BodyText"/>
      </w:pPr>
      <w:r>
        <w:t xml:space="preserve">Projections are considered on a jurisdiction-specific basis </w:t>
      </w:r>
      <w:r w:rsidRPr="00816657">
        <w:t>in the assessment against infrastructure capacity</w:t>
      </w:r>
      <w:r>
        <w:t xml:space="preserve"> in </w:t>
      </w:r>
      <w:r w:rsidR="006B04F6">
        <w:t>S</w:t>
      </w:r>
      <w:r>
        <w:t>ection</w:t>
      </w:r>
      <w:r w:rsidR="006B04F6">
        <w:t xml:space="preserve"> </w:t>
      </w:r>
      <w:r w:rsidR="006D07F5">
        <w:fldChar w:fldCharType="begin"/>
      </w:r>
      <w:r w:rsidR="006B04F6">
        <w:instrText xml:space="preserve"> REF _Ref420967492 \r \h </w:instrText>
      </w:r>
      <w:r w:rsidR="006D07F5">
        <w:fldChar w:fldCharType="separate"/>
      </w:r>
      <w:r w:rsidR="002F3000">
        <w:t>4.4</w:t>
      </w:r>
      <w:r w:rsidR="006D07F5">
        <w:fldChar w:fldCharType="end"/>
      </w:r>
      <w:r w:rsidRPr="00816657">
        <w:t xml:space="preserve">. </w:t>
      </w:r>
    </w:p>
    <w:p w:rsidR="00E714E1" w:rsidRDefault="00E714E1" w:rsidP="00211AB2">
      <w:pPr>
        <w:pStyle w:val="BodyText"/>
      </w:pPr>
    </w:p>
    <w:p w:rsidR="008D2D3F" w:rsidRDefault="00C535C6" w:rsidP="00061B2C">
      <w:pPr>
        <w:pStyle w:val="BodyText"/>
        <w:rPr>
          <w:rFonts w:ascii="Arial Rounded MT Bold" w:hAnsi="Arial Rounded MT Bold" w:cs="Arial"/>
          <w:color w:val="0000FF"/>
        </w:rPr>
      </w:pPr>
      <w:r w:rsidRPr="00816657">
        <w:t xml:space="preserve">Again, in </w:t>
      </w:r>
      <w:r w:rsidR="00D26246" w:rsidRPr="00816657">
        <w:t>interpreting the scenarios,</w:t>
      </w:r>
      <w:r w:rsidRPr="00816657">
        <w:t xml:space="preserve"> the likelihood of some </w:t>
      </w:r>
      <w:r w:rsidR="00D26246" w:rsidRPr="00816657">
        <w:t xml:space="preserve">multiple counting </w:t>
      </w:r>
      <w:r w:rsidRPr="00816657">
        <w:t>should be considered</w:t>
      </w:r>
      <w:r w:rsidR="00D26246" w:rsidRPr="00816657">
        <w:t xml:space="preserve">. </w:t>
      </w:r>
      <w:r w:rsidR="008D2D3F">
        <w:br w:type="page"/>
      </w:r>
    </w:p>
    <w:p w:rsidR="00FD5FC4" w:rsidRPr="00816657" w:rsidRDefault="00877CF8" w:rsidP="00780AB1">
      <w:pPr>
        <w:pStyle w:val="Heading3"/>
      </w:pPr>
      <w:r w:rsidRPr="00816657">
        <w:lastRenderedPageBreak/>
        <w:t xml:space="preserve">A. </w:t>
      </w:r>
      <w:r w:rsidR="00133C32" w:rsidRPr="00816657">
        <w:t xml:space="preserve">Plating and heat treatment </w:t>
      </w:r>
    </w:p>
    <w:p w:rsidR="00CB206E" w:rsidRPr="00CB206E" w:rsidRDefault="00CB206E" w:rsidP="00CB206E">
      <w:pPr>
        <w:pStyle w:val="Heading3"/>
        <w:rPr>
          <w:rFonts w:ascii="Calibri" w:hAnsi="Calibri" w:cstheme="minorHAnsi"/>
          <w:color w:val="080808"/>
        </w:rPr>
      </w:pPr>
      <w:r w:rsidRPr="00CB206E">
        <w:rPr>
          <w:rFonts w:ascii="Calibri" w:hAnsi="Calibri" w:cstheme="minorHAnsi"/>
          <w:color w:val="080808"/>
        </w:rPr>
        <w:t>This group includes</w:t>
      </w:r>
      <w:r>
        <w:rPr>
          <w:rFonts w:ascii="Calibri" w:hAnsi="Calibri" w:cstheme="minorHAnsi"/>
          <w:color w:val="080808"/>
        </w:rPr>
        <w:t xml:space="preserve"> the following.</w:t>
      </w:r>
      <w:r w:rsidRPr="00CB206E">
        <w:rPr>
          <w:rFonts w:ascii="Calibri" w:hAnsi="Calibri" w:cstheme="minorHAnsi"/>
          <w:color w:val="080808"/>
        </w:rPr>
        <w:t xml:space="preserve"> </w:t>
      </w:r>
    </w:p>
    <w:p w:rsidR="00CB206E" w:rsidRPr="00CB206E" w:rsidRDefault="00CB206E" w:rsidP="007F5BD4">
      <w:pPr>
        <w:pStyle w:val="Heading3"/>
        <w:numPr>
          <w:ilvl w:val="0"/>
          <w:numId w:val="57"/>
        </w:numPr>
        <w:ind w:left="426"/>
        <w:rPr>
          <w:rFonts w:ascii="Calibri" w:hAnsi="Calibri" w:cstheme="minorHAnsi"/>
          <w:color w:val="080808"/>
        </w:rPr>
      </w:pPr>
      <w:r w:rsidRPr="007F5BD4">
        <w:rPr>
          <w:rFonts w:ascii="Calibri" w:hAnsi="Calibri" w:cstheme="minorHAnsi"/>
          <w:i/>
          <w:color w:val="080808"/>
        </w:rPr>
        <w:t>A100 Waste resulting from surface treatment of metals and plastics</w:t>
      </w:r>
      <w:r w:rsidRPr="00CB206E">
        <w:rPr>
          <w:rFonts w:ascii="Calibri" w:hAnsi="Calibri" w:cstheme="minorHAnsi"/>
          <w:color w:val="080808"/>
        </w:rPr>
        <w:t>: Overspray of coating materials together with excess material removed in cleaning of equipment.</w:t>
      </w:r>
    </w:p>
    <w:p w:rsidR="00CB206E" w:rsidRPr="00CB206E" w:rsidRDefault="00CB206E" w:rsidP="007F5BD4">
      <w:pPr>
        <w:pStyle w:val="Heading3"/>
        <w:numPr>
          <w:ilvl w:val="0"/>
          <w:numId w:val="57"/>
        </w:numPr>
        <w:ind w:left="426"/>
        <w:rPr>
          <w:rFonts w:ascii="Calibri" w:hAnsi="Calibri" w:cstheme="minorHAnsi"/>
          <w:color w:val="080808"/>
        </w:rPr>
      </w:pPr>
      <w:r w:rsidRPr="007F5BD4">
        <w:rPr>
          <w:rFonts w:ascii="Calibri" w:hAnsi="Calibri" w:cstheme="minorHAnsi"/>
          <w:i/>
          <w:color w:val="080808"/>
        </w:rPr>
        <w:t>A110 Waste from heat treatment and tempering operations containing cyanides</w:t>
      </w:r>
      <w:r w:rsidRPr="00CB206E">
        <w:rPr>
          <w:rFonts w:ascii="Calibri" w:hAnsi="Calibri" w:cstheme="minorHAnsi"/>
          <w:color w:val="080808"/>
        </w:rPr>
        <w:t>: Molten inorganic salts used to ‘case harden’ or ‘face harden’ iron or low-carbon steel or to control temperature in the tempering process.</w:t>
      </w:r>
    </w:p>
    <w:p w:rsidR="00923849" w:rsidRPr="00D33633" w:rsidRDefault="00CB206E" w:rsidP="007F5BD4">
      <w:pPr>
        <w:pStyle w:val="Heading3"/>
        <w:numPr>
          <w:ilvl w:val="0"/>
          <w:numId w:val="57"/>
        </w:numPr>
        <w:ind w:left="426"/>
        <w:rPr>
          <w:i/>
          <w:color w:val="0C0C0C" w:themeColor="text1"/>
        </w:rPr>
      </w:pPr>
      <w:r w:rsidRPr="00D33633">
        <w:rPr>
          <w:rFonts w:ascii="Calibri" w:hAnsi="Calibri" w:cstheme="minorHAnsi"/>
          <w:i/>
          <w:color w:val="0C0C0C" w:themeColor="text1"/>
        </w:rPr>
        <w:t>A130 Cyanides (inorganic): Solutions of sodium and potassium cyanides are used in processes that do not result in their complete transformation or destruction and they are present in wastes from such processes.</w:t>
      </w:r>
    </w:p>
    <w:p w:rsidR="007A5F84" w:rsidRPr="00923849" w:rsidRDefault="007A5F84">
      <w:pPr>
        <w:pStyle w:val="BodyText"/>
      </w:pPr>
    </w:p>
    <w:p w:rsidR="00175DC6" w:rsidRPr="00816657" w:rsidRDefault="00175DC6" w:rsidP="00175DC6">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03"/>
        <w:gridCol w:w="2402"/>
        <w:gridCol w:w="2402"/>
        <w:gridCol w:w="2402"/>
      </w:tblGrid>
      <w:tr w:rsidR="00C3373E" w:rsidRPr="00816657" w:rsidTr="007A5D61">
        <w:trPr>
          <w:cnfStyle w:val="100000000000"/>
        </w:trPr>
        <w:tc>
          <w:tcPr>
            <w:cnfStyle w:val="001000000000"/>
            <w:tcW w:w="1250" w:type="pct"/>
            <w:tcBorders>
              <w:bottom w:val="single" w:sz="4" w:space="0" w:color="7F7F7F" w:themeColor="background2"/>
            </w:tcBorders>
          </w:tcPr>
          <w:p w:rsidR="00C3373E" w:rsidRPr="00816657" w:rsidRDefault="00C535C6" w:rsidP="005D6078">
            <w:pPr>
              <w:pStyle w:val="BodyText"/>
              <w:rPr>
                <w:sz w:val="20"/>
                <w:szCs w:val="20"/>
              </w:rPr>
            </w:pPr>
            <w:r w:rsidRPr="00816657">
              <w:rPr>
                <w:sz w:val="20"/>
                <w:szCs w:val="20"/>
              </w:rPr>
              <w:t>Industry s</w:t>
            </w:r>
            <w:r w:rsidR="00C3373E" w:rsidRPr="00816657">
              <w:rPr>
                <w:sz w:val="20"/>
                <w:szCs w:val="20"/>
              </w:rPr>
              <w:t>ources</w:t>
            </w:r>
          </w:p>
        </w:tc>
        <w:tc>
          <w:tcPr>
            <w:tcW w:w="1250" w:type="pct"/>
            <w:tcBorders>
              <w:bottom w:val="single" w:sz="4" w:space="0" w:color="7F7F7F" w:themeColor="background2"/>
            </w:tcBorders>
          </w:tcPr>
          <w:p w:rsidR="00C3373E" w:rsidRPr="00816657" w:rsidRDefault="00C3373E" w:rsidP="005D607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C3373E" w:rsidRPr="00816657" w:rsidRDefault="00C3373E" w:rsidP="005D6078">
            <w:pPr>
              <w:pStyle w:val="BodyText"/>
              <w:cnfStyle w:val="100000000000"/>
              <w:rPr>
                <w:sz w:val="20"/>
                <w:szCs w:val="20"/>
              </w:rPr>
            </w:pPr>
            <w:r w:rsidRPr="00816657">
              <w:rPr>
                <w:sz w:val="20"/>
                <w:szCs w:val="20"/>
              </w:rPr>
              <w:t>Comment</w:t>
            </w:r>
            <w:r w:rsidR="001771C0" w:rsidRPr="00816657">
              <w:rPr>
                <w:sz w:val="20"/>
                <w:szCs w:val="20"/>
              </w:rPr>
              <w:t>s</w:t>
            </w:r>
          </w:p>
        </w:tc>
        <w:tc>
          <w:tcPr>
            <w:tcW w:w="1250" w:type="pct"/>
            <w:tcBorders>
              <w:bottom w:val="single" w:sz="4" w:space="0" w:color="7F7F7F" w:themeColor="background2"/>
            </w:tcBorders>
          </w:tcPr>
          <w:p w:rsidR="00C3373E" w:rsidRPr="00816657" w:rsidRDefault="00C3373E" w:rsidP="005D6078">
            <w:pPr>
              <w:pStyle w:val="BodyText"/>
              <w:cnfStyle w:val="100000000000"/>
              <w:rPr>
                <w:sz w:val="20"/>
                <w:szCs w:val="20"/>
              </w:rPr>
            </w:pPr>
            <w:r w:rsidRPr="00816657">
              <w:rPr>
                <w:sz w:val="20"/>
                <w:szCs w:val="20"/>
              </w:rPr>
              <w:t>Approach</w:t>
            </w:r>
          </w:p>
        </w:tc>
      </w:tr>
      <w:tr w:rsidR="00E42D11" w:rsidRPr="00816657" w:rsidTr="007A5D61">
        <w:tc>
          <w:tcPr>
            <w:cnfStyle w:val="001000000000"/>
            <w:tcW w:w="1250" w:type="pct"/>
            <w:vMerge w:val="restart"/>
            <w:tcBorders>
              <w:top w:val="single" w:sz="4" w:space="0" w:color="7F7F7F" w:themeColor="background2"/>
            </w:tcBorders>
          </w:tcPr>
          <w:p w:rsidR="00CB206E" w:rsidRPr="007F5BD4" w:rsidRDefault="00CB206E" w:rsidP="007F5BD4">
            <w:pPr>
              <w:pStyle w:val="ListParagraph"/>
              <w:numPr>
                <w:ilvl w:val="0"/>
                <w:numId w:val="58"/>
              </w:numPr>
              <w:spacing w:line="240" w:lineRule="auto"/>
              <w:ind w:left="284"/>
              <w:rPr>
                <w:rFonts w:cs="Times New Roman"/>
                <w:color w:val="000000"/>
                <w:szCs w:val="20"/>
                <w:lang w:eastAsia="en-AU"/>
              </w:rPr>
            </w:pPr>
            <w:r w:rsidRPr="007F5BD4">
              <w:rPr>
                <w:rFonts w:cs="Times New Roman"/>
                <w:color w:val="000000"/>
                <w:szCs w:val="20"/>
                <w:lang w:eastAsia="en-AU"/>
              </w:rPr>
              <w:t>Marine fishing</w:t>
            </w:r>
          </w:p>
          <w:p w:rsidR="00CB206E" w:rsidRPr="007F5BD4" w:rsidRDefault="00CB206E" w:rsidP="007F5BD4">
            <w:pPr>
              <w:pStyle w:val="ListParagraph"/>
              <w:numPr>
                <w:ilvl w:val="0"/>
                <w:numId w:val="58"/>
              </w:numPr>
              <w:spacing w:line="240" w:lineRule="auto"/>
              <w:ind w:left="284"/>
              <w:rPr>
                <w:rFonts w:cs="Times New Roman"/>
                <w:color w:val="000000"/>
                <w:szCs w:val="20"/>
                <w:lang w:eastAsia="en-AU"/>
              </w:rPr>
            </w:pPr>
            <w:r w:rsidRPr="007F5BD4">
              <w:rPr>
                <w:rFonts w:cs="Times New Roman"/>
                <w:color w:val="000000"/>
                <w:szCs w:val="20"/>
                <w:lang w:eastAsia="en-AU"/>
              </w:rPr>
              <w:t>Mining; including coal and gold mining</w:t>
            </w:r>
          </w:p>
          <w:p w:rsidR="00CB206E" w:rsidRPr="007F5BD4" w:rsidRDefault="00CB206E" w:rsidP="007F5BD4">
            <w:pPr>
              <w:pStyle w:val="ListParagraph"/>
              <w:numPr>
                <w:ilvl w:val="0"/>
                <w:numId w:val="58"/>
              </w:numPr>
              <w:spacing w:line="240" w:lineRule="auto"/>
              <w:ind w:left="284"/>
              <w:rPr>
                <w:rFonts w:cs="Times New Roman"/>
                <w:color w:val="000000"/>
                <w:szCs w:val="20"/>
                <w:lang w:eastAsia="en-AU"/>
              </w:rPr>
            </w:pPr>
            <w:r w:rsidRPr="007F5BD4">
              <w:rPr>
                <w:rFonts w:cs="Times New Roman"/>
                <w:color w:val="000000"/>
                <w:szCs w:val="20"/>
                <w:lang w:eastAsia="en-AU"/>
              </w:rPr>
              <w:t>Petroleum refining</w:t>
            </w:r>
          </w:p>
          <w:p w:rsidR="00CB206E" w:rsidRPr="007F5BD4" w:rsidRDefault="00CB206E" w:rsidP="007F5BD4">
            <w:pPr>
              <w:pStyle w:val="ListParagraph"/>
              <w:numPr>
                <w:ilvl w:val="0"/>
                <w:numId w:val="58"/>
              </w:numPr>
              <w:spacing w:line="240" w:lineRule="auto"/>
              <w:ind w:left="284"/>
              <w:rPr>
                <w:rFonts w:cs="Times New Roman"/>
                <w:color w:val="000000"/>
                <w:szCs w:val="20"/>
                <w:lang w:eastAsia="en-AU"/>
              </w:rPr>
            </w:pPr>
            <w:r w:rsidRPr="007F5BD4">
              <w:rPr>
                <w:rFonts w:cs="Times New Roman"/>
                <w:color w:val="000000"/>
                <w:szCs w:val="20"/>
                <w:lang w:eastAsia="en-AU"/>
              </w:rPr>
              <w:t>Metal manufacturing</w:t>
            </w:r>
          </w:p>
          <w:p w:rsidR="00E42D11" w:rsidRPr="007F5BD4" w:rsidRDefault="00CB206E" w:rsidP="007F5BD4">
            <w:pPr>
              <w:pStyle w:val="ListParagraph"/>
              <w:numPr>
                <w:ilvl w:val="0"/>
                <w:numId w:val="58"/>
              </w:numPr>
              <w:spacing w:line="240" w:lineRule="auto"/>
              <w:ind w:left="284"/>
              <w:rPr>
                <w:rFonts w:cs="Times New Roman"/>
                <w:color w:val="000000"/>
                <w:szCs w:val="20"/>
              </w:rPr>
            </w:pPr>
            <w:r w:rsidRPr="007F5BD4">
              <w:rPr>
                <w:rFonts w:cs="Times New Roman"/>
                <w:color w:val="000000"/>
                <w:szCs w:val="20"/>
                <w:lang w:eastAsia="en-AU"/>
              </w:rPr>
              <w:t>Metal coating and finishing</w:t>
            </w:r>
          </w:p>
        </w:tc>
        <w:tc>
          <w:tcPr>
            <w:tcW w:w="1250" w:type="pct"/>
            <w:tcBorders>
              <w:top w:val="single" w:sz="4" w:space="0" w:color="7F7F7F" w:themeColor="background2"/>
            </w:tcBorders>
          </w:tcPr>
          <w:p w:rsidR="00E42D11" w:rsidRPr="00816657" w:rsidRDefault="00E42D11"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E42D11" w:rsidRPr="00816657" w:rsidRDefault="00E42D11" w:rsidP="005D6078">
            <w:pPr>
              <w:spacing w:line="240" w:lineRule="auto"/>
              <w:cnfStyle w:val="000000000000"/>
              <w:rPr>
                <w:rFonts w:cs="Times New Roman"/>
                <w:color w:val="000000"/>
                <w:szCs w:val="20"/>
              </w:rPr>
            </w:pPr>
            <w:r w:rsidRPr="00816657">
              <w:rPr>
                <w:rFonts w:cs="Times New Roman"/>
                <w:color w:val="000000"/>
                <w:szCs w:val="20"/>
                <w:lang w:eastAsia="en-AU"/>
              </w:rPr>
              <w:t>Construction of new buildings is a key driver for metal coating &amp; finishing</w:t>
            </w:r>
          </w:p>
        </w:tc>
        <w:tc>
          <w:tcPr>
            <w:tcW w:w="1250" w:type="pct"/>
            <w:tcBorders>
              <w:top w:val="single" w:sz="4" w:space="0" w:color="7F7F7F" w:themeColor="background2"/>
            </w:tcBorders>
          </w:tcPr>
          <w:p w:rsidR="00E42D11" w:rsidRPr="00816657" w:rsidRDefault="00E42D11" w:rsidP="005D6078">
            <w:pPr>
              <w:spacing w:line="240" w:lineRule="auto"/>
              <w:cnfStyle w:val="000000000000"/>
              <w:rPr>
                <w:rFonts w:cs="Times New Roman"/>
                <w:color w:val="000000"/>
                <w:szCs w:val="20"/>
              </w:rPr>
            </w:pPr>
            <w:r w:rsidRPr="00816657">
              <w:rPr>
                <w:rFonts w:cs="Times New Roman"/>
                <w:color w:val="000000"/>
                <w:szCs w:val="20"/>
                <w:lang w:eastAsia="en-AU"/>
              </w:rPr>
              <w:t>Use judgement - trend and causal analysis</w:t>
            </w:r>
          </w:p>
        </w:tc>
      </w:tr>
      <w:tr w:rsidR="002E1801" w:rsidRPr="00816657" w:rsidTr="007A5D61">
        <w:tc>
          <w:tcPr>
            <w:cnfStyle w:val="001000000000"/>
            <w:tcW w:w="1250" w:type="pct"/>
            <w:vMerge/>
          </w:tcPr>
          <w:p w:rsidR="002E1801" w:rsidRPr="00816657" w:rsidRDefault="002E1801" w:rsidP="00097CE6">
            <w:pPr>
              <w:rPr>
                <w:rFonts w:cs="Times New Roman"/>
                <w:color w:val="000000"/>
                <w:szCs w:val="20"/>
              </w:rPr>
            </w:pPr>
          </w:p>
        </w:tc>
        <w:tc>
          <w:tcPr>
            <w:tcW w:w="1250" w:type="pct"/>
          </w:tcPr>
          <w:p w:rsidR="002E1801" w:rsidRPr="00816657" w:rsidRDefault="002E1801" w:rsidP="005D6078">
            <w:pPr>
              <w:pStyle w:val="BodyText"/>
              <w:cnfStyle w:val="000000000000"/>
              <w:rPr>
                <w:rFonts w:cs="Times New Roman"/>
                <w:color w:val="000000"/>
                <w:sz w:val="20"/>
                <w:szCs w:val="20"/>
              </w:rPr>
            </w:pPr>
            <w:r w:rsidRPr="00816657">
              <w:rPr>
                <w:rFonts w:cs="Times New Roman"/>
                <w:color w:val="000000"/>
                <w:sz w:val="20"/>
                <w:szCs w:val="20"/>
                <w:lang w:eastAsia="en-AU"/>
              </w:rPr>
              <w:t>Assume Qld upward trend associated with mining boom</w:t>
            </w:r>
          </w:p>
        </w:tc>
        <w:tc>
          <w:tcPr>
            <w:tcW w:w="1250" w:type="pct"/>
          </w:tcPr>
          <w:p w:rsidR="002E1801" w:rsidRPr="00816657" w:rsidRDefault="002E1801" w:rsidP="005D6078">
            <w:pPr>
              <w:spacing w:line="240" w:lineRule="auto"/>
              <w:cnfStyle w:val="000000000000"/>
              <w:rPr>
                <w:rFonts w:cs="Times New Roman"/>
                <w:color w:val="000000"/>
                <w:szCs w:val="20"/>
              </w:rPr>
            </w:pPr>
            <w:r w:rsidRPr="00816657">
              <w:rPr>
                <w:rFonts w:cs="Times New Roman"/>
                <w:color w:val="000000"/>
                <w:szCs w:val="20"/>
                <w:lang w:eastAsia="en-AU"/>
              </w:rPr>
              <w:t>Victoria does not track A100 (Waste resulting from surface treatment of metals and plastics)</w:t>
            </w:r>
          </w:p>
        </w:tc>
        <w:tc>
          <w:tcPr>
            <w:tcW w:w="1250" w:type="pct"/>
          </w:tcPr>
          <w:p w:rsidR="002E1801" w:rsidRPr="00816657" w:rsidRDefault="002E1801" w:rsidP="005D6078">
            <w:pPr>
              <w:cnfStyle w:val="000000000000"/>
              <w:rPr>
                <w:szCs w:val="20"/>
              </w:rPr>
            </w:pPr>
          </w:p>
        </w:tc>
      </w:tr>
      <w:tr w:rsidR="002E1801" w:rsidRPr="00816657" w:rsidTr="00AF3044">
        <w:trPr>
          <w:trHeight w:val="71"/>
        </w:trPr>
        <w:tc>
          <w:tcPr>
            <w:cnfStyle w:val="001000000000"/>
            <w:tcW w:w="1250" w:type="pct"/>
            <w:vMerge/>
          </w:tcPr>
          <w:p w:rsidR="002E1801" w:rsidRPr="00816657" w:rsidRDefault="002E1801" w:rsidP="005D6078">
            <w:pPr>
              <w:spacing w:line="240" w:lineRule="auto"/>
              <w:rPr>
                <w:rFonts w:cs="Times New Roman"/>
                <w:color w:val="000000"/>
                <w:szCs w:val="20"/>
              </w:rPr>
            </w:pPr>
          </w:p>
        </w:tc>
        <w:tc>
          <w:tcPr>
            <w:tcW w:w="1250" w:type="pct"/>
          </w:tcPr>
          <w:p w:rsidR="002E1801" w:rsidRPr="00816657" w:rsidRDefault="002E1801" w:rsidP="005D6078">
            <w:pPr>
              <w:cnfStyle w:val="000000000000"/>
              <w:rPr>
                <w:szCs w:val="20"/>
              </w:rPr>
            </w:pPr>
          </w:p>
        </w:tc>
        <w:tc>
          <w:tcPr>
            <w:tcW w:w="1250" w:type="pct"/>
          </w:tcPr>
          <w:p w:rsidR="002E1801" w:rsidRPr="00816657" w:rsidRDefault="002E1801" w:rsidP="0020737E">
            <w:pPr>
              <w:spacing w:line="240" w:lineRule="auto"/>
              <w:cnfStyle w:val="000000000000"/>
              <w:rPr>
                <w:rFonts w:cs="Times New Roman"/>
                <w:color w:val="000000"/>
                <w:szCs w:val="20"/>
              </w:rPr>
            </w:pPr>
            <w:r w:rsidRPr="00816657">
              <w:rPr>
                <w:rFonts w:cs="Times New Roman"/>
                <w:color w:val="000000"/>
                <w:szCs w:val="20"/>
                <w:lang w:eastAsia="en-AU"/>
              </w:rPr>
              <w:t xml:space="preserve">A declining trend is apparent </w:t>
            </w:r>
          </w:p>
        </w:tc>
        <w:tc>
          <w:tcPr>
            <w:tcW w:w="1250" w:type="pct"/>
          </w:tcPr>
          <w:p w:rsidR="002E1801" w:rsidRPr="00816657" w:rsidRDefault="002E1801" w:rsidP="005D6078">
            <w:pPr>
              <w:cnfStyle w:val="000000000000"/>
              <w:rPr>
                <w:szCs w:val="20"/>
              </w:rPr>
            </w:pPr>
          </w:p>
        </w:tc>
      </w:tr>
    </w:tbl>
    <w:p w:rsidR="00AF3044" w:rsidRPr="00816657" w:rsidRDefault="00AF3044" w:rsidP="007F5BD4">
      <w:pPr>
        <w:pStyle w:val="BodyText"/>
      </w:pPr>
    </w:p>
    <w:p w:rsidR="00607B3E" w:rsidRPr="00816657" w:rsidRDefault="00175DC6" w:rsidP="00655F62">
      <w:pPr>
        <w:pStyle w:val="Figures"/>
      </w:pPr>
      <w:bookmarkStart w:id="122" w:name="_Toc425849293"/>
      <w:r w:rsidRPr="00816657">
        <w:t xml:space="preserve">Table </w:t>
      </w:r>
      <w:r w:rsidR="006D07F5" w:rsidRPr="00816657">
        <w:fldChar w:fldCharType="begin"/>
      </w:r>
      <w:r w:rsidRPr="00816657">
        <w:instrText xml:space="preserve"> SEQ Table \* ARABIC </w:instrText>
      </w:r>
      <w:r w:rsidR="006D07F5" w:rsidRPr="00816657">
        <w:fldChar w:fldCharType="separate"/>
      </w:r>
      <w:r w:rsidR="002F3000">
        <w:rPr>
          <w:noProof/>
        </w:rPr>
        <w:t>8</w:t>
      </w:r>
      <w:r w:rsidR="006D07F5" w:rsidRPr="00816657">
        <w:fldChar w:fldCharType="end"/>
      </w:r>
      <w:r w:rsidRPr="00816657">
        <w:t>:</w:t>
      </w:r>
      <w:r w:rsidR="00677849" w:rsidRPr="00816657">
        <w:tab/>
      </w:r>
      <w:r w:rsidRPr="00816657">
        <w:t>Best, high and low projected rates of change for plating &amp; heat treatment waste to 2034</w:t>
      </w:r>
      <w:bookmarkEnd w:id="122"/>
    </w:p>
    <w:tbl>
      <w:tblPr>
        <w:tblStyle w:val="BETable1"/>
        <w:tblW w:w="5000" w:type="pct"/>
        <w:tblInd w:w="0" w:type="dxa"/>
        <w:tblLook w:val="04A0"/>
      </w:tblPr>
      <w:tblGrid>
        <w:gridCol w:w="633"/>
        <w:gridCol w:w="1392"/>
        <w:gridCol w:w="5546"/>
        <w:gridCol w:w="851"/>
        <w:gridCol w:w="430"/>
        <w:gridCol w:w="757"/>
      </w:tblGrid>
      <w:tr w:rsidR="009A606F" w:rsidRPr="00816657" w:rsidTr="00097CE6">
        <w:trPr>
          <w:cnfStyle w:val="100000000000"/>
        </w:trPr>
        <w:tc>
          <w:tcPr>
            <w:cnfStyle w:val="001000000000"/>
            <w:tcW w:w="329" w:type="pct"/>
          </w:tcPr>
          <w:p w:rsidR="009A606F" w:rsidRPr="00816657" w:rsidRDefault="009A606F" w:rsidP="007077A5"/>
        </w:tc>
        <w:tc>
          <w:tcPr>
            <w:tcW w:w="724" w:type="pct"/>
          </w:tcPr>
          <w:p w:rsidR="009A606F" w:rsidRPr="00816657" w:rsidRDefault="009A606F" w:rsidP="007077A5">
            <w:pPr>
              <w:cnfStyle w:val="100000000000"/>
            </w:pPr>
            <w:r w:rsidRPr="00816657">
              <w:t>Applies to</w:t>
            </w:r>
          </w:p>
        </w:tc>
        <w:tc>
          <w:tcPr>
            <w:tcW w:w="2886" w:type="pct"/>
          </w:tcPr>
          <w:p w:rsidR="009A606F" w:rsidRPr="00816657" w:rsidRDefault="009A606F" w:rsidP="00D178A0">
            <w:pPr>
              <w:cnfStyle w:val="100000000000"/>
            </w:pPr>
            <w:r w:rsidRPr="00816657">
              <w:t>Approach</w:t>
            </w:r>
          </w:p>
        </w:tc>
        <w:tc>
          <w:tcPr>
            <w:tcW w:w="443" w:type="pct"/>
          </w:tcPr>
          <w:p w:rsidR="009A606F" w:rsidRPr="00816657" w:rsidRDefault="009A606F" w:rsidP="00FA0045">
            <w:pPr>
              <w:jc w:val="right"/>
              <w:cnfStyle w:val="100000000000"/>
            </w:pPr>
            <w:r w:rsidRPr="00816657">
              <w:t>2014</w:t>
            </w:r>
          </w:p>
        </w:tc>
        <w:tc>
          <w:tcPr>
            <w:tcW w:w="224" w:type="pct"/>
          </w:tcPr>
          <w:p w:rsidR="009A606F" w:rsidRPr="00816657" w:rsidRDefault="009A606F" w:rsidP="00FA0045">
            <w:pPr>
              <w:jc w:val="right"/>
              <w:cnfStyle w:val="100000000000"/>
            </w:pPr>
            <w:r w:rsidRPr="00816657">
              <w:t>...</w:t>
            </w:r>
          </w:p>
        </w:tc>
        <w:tc>
          <w:tcPr>
            <w:tcW w:w="394" w:type="pct"/>
          </w:tcPr>
          <w:p w:rsidR="009A606F" w:rsidRPr="00816657" w:rsidRDefault="009A606F" w:rsidP="00FA0045">
            <w:pPr>
              <w:jc w:val="right"/>
              <w:cnfStyle w:val="100000000000"/>
            </w:pPr>
            <w:r w:rsidRPr="00816657">
              <w:t>2034</w:t>
            </w:r>
          </w:p>
        </w:tc>
      </w:tr>
      <w:tr w:rsidR="009A606F" w:rsidRPr="00816657" w:rsidTr="00097CE6">
        <w:tc>
          <w:tcPr>
            <w:cnfStyle w:val="001000000000"/>
            <w:tcW w:w="329" w:type="pct"/>
          </w:tcPr>
          <w:p w:rsidR="009A606F" w:rsidRPr="00816657" w:rsidRDefault="009A606F" w:rsidP="004F184B">
            <w:r w:rsidRPr="00816657">
              <w:t>Best</w:t>
            </w:r>
          </w:p>
        </w:tc>
        <w:tc>
          <w:tcPr>
            <w:tcW w:w="724" w:type="pct"/>
            <w:vMerge w:val="restart"/>
            <w:vAlign w:val="center"/>
          </w:tcPr>
          <w:p w:rsidR="009A606F" w:rsidRPr="00816657" w:rsidRDefault="009A606F" w:rsidP="004F184B">
            <w:pPr>
              <w:cnfStyle w:val="000000000000"/>
            </w:pPr>
            <w:r w:rsidRPr="00816657">
              <w:t>ACT, NSW, NT, SA, Tas, Vic</w:t>
            </w:r>
          </w:p>
        </w:tc>
        <w:tc>
          <w:tcPr>
            <w:tcW w:w="2886" w:type="pct"/>
          </w:tcPr>
          <w:p w:rsidR="009A606F" w:rsidRPr="00816657" w:rsidRDefault="009A606F" w:rsidP="00D178A0">
            <w:pPr>
              <w:cnfStyle w:val="000000000000"/>
            </w:pPr>
            <w:r w:rsidRPr="00816657">
              <w:t>Economic growth mitigated by apparent downward trend</w:t>
            </w:r>
          </w:p>
        </w:tc>
        <w:tc>
          <w:tcPr>
            <w:tcW w:w="443" w:type="pct"/>
          </w:tcPr>
          <w:p w:rsidR="009A606F" w:rsidRPr="00816657" w:rsidRDefault="009A606F" w:rsidP="00FA0045">
            <w:pPr>
              <w:jc w:val="right"/>
              <w:cnfStyle w:val="000000000000"/>
            </w:pPr>
            <w:r w:rsidRPr="00816657">
              <w:t>0.0%</w:t>
            </w:r>
          </w:p>
        </w:tc>
        <w:tc>
          <w:tcPr>
            <w:tcW w:w="224" w:type="pct"/>
          </w:tcPr>
          <w:p w:rsidR="009A606F" w:rsidRPr="00816657" w:rsidRDefault="009A606F" w:rsidP="00FA0045">
            <w:pPr>
              <w:jc w:val="right"/>
              <w:cnfStyle w:val="000000000000"/>
            </w:pPr>
            <w:r w:rsidRPr="00816657">
              <w:t>...</w:t>
            </w:r>
          </w:p>
        </w:tc>
        <w:tc>
          <w:tcPr>
            <w:tcW w:w="394" w:type="pct"/>
          </w:tcPr>
          <w:p w:rsidR="009A606F" w:rsidRPr="00816657" w:rsidRDefault="009A606F" w:rsidP="00FA0045">
            <w:pPr>
              <w:jc w:val="right"/>
              <w:cnfStyle w:val="000000000000"/>
            </w:pPr>
            <w:r w:rsidRPr="00816657">
              <w:t>0.0%</w:t>
            </w:r>
          </w:p>
        </w:tc>
      </w:tr>
      <w:tr w:rsidR="009A606F" w:rsidRPr="00816657" w:rsidTr="00097CE6">
        <w:tc>
          <w:tcPr>
            <w:cnfStyle w:val="001000000000"/>
            <w:tcW w:w="329" w:type="pct"/>
          </w:tcPr>
          <w:p w:rsidR="009A606F" w:rsidRPr="00816657" w:rsidRDefault="009A606F" w:rsidP="004F184B">
            <w:r w:rsidRPr="00816657">
              <w:t>High</w:t>
            </w:r>
          </w:p>
        </w:tc>
        <w:tc>
          <w:tcPr>
            <w:tcW w:w="724" w:type="pct"/>
            <w:vMerge/>
            <w:vAlign w:val="center"/>
          </w:tcPr>
          <w:p w:rsidR="009A606F" w:rsidRPr="00816657" w:rsidRDefault="009A606F" w:rsidP="004F184B">
            <w:pPr>
              <w:cnfStyle w:val="000000000000"/>
            </w:pPr>
          </w:p>
        </w:tc>
        <w:tc>
          <w:tcPr>
            <w:tcW w:w="2886" w:type="pct"/>
          </w:tcPr>
          <w:p w:rsidR="009A606F" w:rsidRPr="00816657" w:rsidRDefault="009A606F" w:rsidP="00D178A0">
            <w:pPr>
              <w:cnfStyle w:val="000000000000"/>
            </w:pPr>
            <w:r w:rsidRPr="00816657">
              <w:t>Economic growth</w:t>
            </w:r>
          </w:p>
        </w:tc>
        <w:tc>
          <w:tcPr>
            <w:tcW w:w="443" w:type="pct"/>
          </w:tcPr>
          <w:p w:rsidR="009A606F" w:rsidRPr="00816657" w:rsidRDefault="009A606F" w:rsidP="00FA0045">
            <w:pPr>
              <w:jc w:val="right"/>
              <w:cnfStyle w:val="000000000000"/>
            </w:pPr>
            <w:r w:rsidRPr="00816657">
              <w:t>2.8%</w:t>
            </w:r>
          </w:p>
        </w:tc>
        <w:tc>
          <w:tcPr>
            <w:tcW w:w="224" w:type="pct"/>
          </w:tcPr>
          <w:p w:rsidR="009A606F" w:rsidRPr="00816657" w:rsidRDefault="009A606F" w:rsidP="00FA0045">
            <w:pPr>
              <w:jc w:val="right"/>
              <w:cnfStyle w:val="000000000000"/>
            </w:pPr>
            <w:r w:rsidRPr="00816657">
              <w:t>...</w:t>
            </w:r>
          </w:p>
        </w:tc>
        <w:tc>
          <w:tcPr>
            <w:tcW w:w="394" w:type="pct"/>
          </w:tcPr>
          <w:p w:rsidR="009A606F" w:rsidRPr="00816657" w:rsidRDefault="009A606F" w:rsidP="00FA0045">
            <w:pPr>
              <w:jc w:val="right"/>
              <w:cnfStyle w:val="000000000000"/>
            </w:pPr>
            <w:r w:rsidRPr="00816657">
              <w:t>2.8%</w:t>
            </w:r>
          </w:p>
        </w:tc>
      </w:tr>
      <w:tr w:rsidR="009A606F" w:rsidRPr="00816657" w:rsidTr="00097CE6">
        <w:tc>
          <w:tcPr>
            <w:cnfStyle w:val="001000000000"/>
            <w:tcW w:w="329" w:type="pct"/>
            <w:tcBorders>
              <w:bottom w:val="single" w:sz="12" w:space="0" w:color="auto"/>
            </w:tcBorders>
          </w:tcPr>
          <w:p w:rsidR="009A606F" w:rsidRPr="00816657" w:rsidRDefault="009A606F" w:rsidP="007077A5">
            <w:r w:rsidRPr="00816657">
              <w:t>Low</w:t>
            </w:r>
          </w:p>
        </w:tc>
        <w:tc>
          <w:tcPr>
            <w:tcW w:w="724" w:type="pct"/>
            <w:vMerge/>
            <w:tcBorders>
              <w:bottom w:val="single" w:sz="12" w:space="0" w:color="auto"/>
            </w:tcBorders>
            <w:vAlign w:val="center"/>
          </w:tcPr>
          <w:p w:rsidR="009A606F" w:rsidRPr="00816657" w:rsidRDefault="009A606F" w:rsidP="004F184B">
            <w:pPr>
              <w:cnfStyle w:val="000000000000"/>
            </w:pPr>
          </w:p>
        </w:tc>
        <w:tc>
          <w:tcPr>
            <w:tcW w:w="2886" w:type="pct"/>
            <w:tcBorders>
              <w:bottom w:val="single" w:sz="12" w:space="0" w:color="auto"/>
            </w:tcBorders>
          </w:tcPr>
          <w:p w:rsidR="009A606F" w:rsidRPr="00816657" w:rsidRDefault="009A606F" w:rsidP="00D178A0">
            <w:pPr>
              <w:cnfStyle w:val="000000000000"/>
            </w:pPr>
            <w:r w:rsidRPr="00816657">
              <w:t>Best estimate of annual rate of change - 3%</w:t>
            </w:r>
          </w:p>
        </w:tc>
        <w:tc>
          <w:tcPr>
            <w:tcW w:w="443" w:type="pct"/>
            <w:tcBorders>
              <w:bottom w:val="single" w:sz="12" w:space="0" w:color="auto"/>
            </w:tcBorders>
          </w:tcPr>
          <w:p w:rsidR="009A606F" w:rsidRPr="00816657" w:rsidRDefault="009A606F" w:rsidP="00FA0045">
            <w:pPr>
              <w:jc w:val="right"/>
              <w:cnfStyle w:val="000000000000"/>
            </w:pPr>
            <w:r w:rsidRPr="00816657">
              <w:t>-3.0%</w:t>
            </w:r>
          </w:p>
        </w:tc>
        <w:tc>
          <w:tcPr>
            <w:tcW w:w="224" w:type="pct"/>
            <w:tcBorders>
              <w:bottom w:val="single" w:sz="12" w:space="0" w:color="auto"/>
            </w:tcBorders>
          </w:tcPr>
          <w:p w:rsidR="009A606F" w:rsidRPr="00816657" w:rsidRDefault="009A606F" w:rsidP="00FA0045">
            <w:pPr>
              <w:jc w:val="right"/>
              <w:cnfStyle w:val="000000000000"/>
            </w:pPr>
            <w:r w:rsidRPr="00816657">
              <w:t>...</w:t>
            </w:r>
          </w:p>
        </w:tc>
        <w:tc>
          <w:tcPr>
            <w:tcW w:w="394" w:type="pct"/>
            <w:tcBorders>
              <w:bottom w:val="single" w:sz="12" w:space="0" w:color="auto"/>
            </w:tcBorders>
          </w:tcPr>
          <w:p w:rsidR="009A606F" w:rsidRPr="00816657" w:rsidRDefault="009A606F" w:rsidP="00FA0045">
            <w:pPr>
              <w:jc w:val="right"/>
              <w:cnfStyle w:val="000000000000"/>
            </w:pPr>
            <w:r w:rsidRPr="00816657">
              <w:t>-3.0%</w:t>
            </w:r>
          </w:p>
        </w:tc>
      </w:tr>
      <w:tr w:rsidR="009A606F" w:rsidRPr="00816657" w:rsidTr="00097CE6">
        <w:tc>
          <w:tcPr>
            <w:cnfStyle w:val="001000000000"/>
            <w:tcW w:w="329" w:type="pct"/>
            <w:tcBorders>
              <w:top w:val="single" w:sz="12" w:space="0" w:color="auto"/>
            </w:tcBorders>
          </w:tcPr>
          <w:p w:rsidR="009A606F" w:rsidRPr="00816657" w:rsidRDefault="009A606F" w:rsidP="007077A5">
            <w:r w:rsidRPr="00816657">
              <w:t>Best</w:t>
            </w:r>
          </w:p>
        </w:tc>
        <w:tc>
          <w:tcPr>
            <w:tcW w:w="724" w:type="pct"/>
            <w:vMerge w:val="restart"/>
            <w:tcBorders>
              <w:top w:val="single" w:sz="12" w:space="0" w:color="auto"/>
            </w:tcBorders>
            <w:vAlign w:val="center"/>
          </w:tcPr>
          <w:p w:rsidR="009A606F" w:rsidRPr="00816657" w:rsidRDefault="009A606F" w:rsidP="004F184B">
            <w:pPr>
              <w:cnfStyle w:val="000000000000"/>
            </w:pPr>
            <w:r w:rsidRPr="00816657">
              <w:t>Qld, WA</w:t>
            </w:r>
          </w:p>
        </w:tc>
        <w:tc>
          <w:tcPr>
            <w:tcW w:w="2886" w:type="pct"/>
            <w:tcBorders>
              <w:top w:val="single" w:sz="12" w:space="0" w:color="auto"/>
            </w:tcBorders>
          </w:tcPr>
          <w:p w:rsidR="009A606F" w:rsidRPr="00816657" w:rsidRDefault="009A606F" w:rsidP="00D178A0">
            <w:pPr>
              <w:cnfStyle w:val="000000000000"/>
            </w:pPr>
            <w:r w:rsidRPr="00816657">
              <w:t>Mid-point between high and low estimates of annual change rate</w:t>
            </w:r>
          </w:p>
        </w:tc>
        <w:tc>
          <w:tcPr>
            <w:tcW w:w="443" w:type="pct"/>
            <w:tcBorders>
              <w:top w:val="single" w:sz="12" w:space="0" w:color="auto"/>
            </w:tcBorders>
          </w:tcPr>
          <w:p w:rsidR="009A606F" w:rsidRPr="00816657" w:rsidRDefault="009A606F" w:rsidP="00FA0045">
            <w:pPr>
              <w:jc w:val="right"/>
              <w:cnfStyle w:val="000000000000"/>
            </w:pPr>
            <w:r w:rsidRPr="00816657">
              <w:t>3.5%</w:t>
            </w:r>
          </w:p>
        </w:tc>
        <w:tc>
          <w:tcPr>
            <w:tcW w:w="224" w:type="pct"/>
            <w:tcBorders>
              <w:top w:val="single" w:sz="12" w:space="0" w:color="auto"/>
            </w:tcBorders>
          </w:tcPr>
          <w:p w:rsidR="009A606F" w:rsidRPr="00816657" w:rsidRDefault="009A606F" w:rsidP="00FA0045">
            <w:pPr>
              <w:jc w:val="right"/>
              <w:cnfStyle w:val="000000000000"/>
            </w:pPr>
            <w:r w:rsidRPr="00816657">
              <w:t>...</w:t>
            </w:r>
          </w:p>
        </w:tc>
        <w:tc>
          <w:tcPr>
            <w:tcW w:w="394" w:type="pct"/>
            <w:tcBorders>
              <w:top w:val="single" w:sz="12" w:space="0" w:color="auto"/>
            </w:tcBorders>
          </w:tcPr>
          <w:p w:rsidR="009A606F" w:rsidRPr="00816657" w:rsidRDefault="009A606F" w:rsidP="00FA0045">
            <w:pPr>
              <w:jc w:val="right"/>
              <w:cnfStyle w:val="000000000000"/>
            </w:pPr>
            <w:r w:rsidRPr="00816657">
              <w:t>3.5%</w:t>
            </w:r>
          </w:p>
        </w:tc>
      </w:tr>
      <w:tr w:rsidR="009A606F" w:rsidRPr="00816657" w:rsidTr="00097CE6">
        <w:tc>
          <w:tcPr>
            <w:cnfStyle w:val="001000000000"/>
            <w:tcW w:w="329" w:type="pct"/>
          </w:tcPr>
          <w:p w:rsidR="009A606F" w:rsidRPr="00816657" w:rsidRDefault="009A606F" w:rsidP="007077A5">
            <w:r w:rsidRPr="00816657">
              <w:t>High</w:t>
            </w:r>
          </w:p>
        </w:tc>
        <w:tc>
          <w:tcPr>
            <w:tcW w:w="724" w:type="pct"/>
            <w:vMerge/>
          </w:tcPr>
          <w:p w:rsidR="009A606F" w:rsidRPr="00816657" w:rsidRDefault="009A606F" w:rsidP="007077A5">
            <w:pPr>
              <w:cnfStyle w:val="000000000000"/>
            </w:pPr>
          </w:p>
        </w:tc>
        <w:tc>
          <w:tcPr>
            <w:tcW w:w="2886" w:type="pct"/>
          </w:tcPr>
          <w:p w:rsidR="009A606F" w:rsidRPr="00816657" w:rsidRDefault="009A606F" w:rsidP="00D178A0">
            <w:pPr>
              <w:cnfStyle w:val="000000000000"/>
            </w:pPr>
            <w:r w:rsidRPr="00816657">
              <w:t>Apparent trend continues over the projection period</w:t>
            </w:r>
          </w:p>
        </w:tc>
        <w:tc>
          <w:tcPr>
            <w:tcW w:w="443" w:type="pct"/>
          </w:tcPr>
          <w:p w:rsidR="009A606F" w:rsidRPr="00816657" w:rsidRDefault="009A606F" w:rsidP="00FA0045">
            <w:pPr>
              <w:jc w:val="right"/>
              <w:cnfStyle w:val="000000000000"/>
            </w:pPr>
            <w:r w:rsidRPr="00816657">
              <w:t>7.0%</w:t>
            </w:r>
          </w:p>
        </w:tc>
        <w:tc>
          <w:tcPr>
            <w:tcW w:w="224" w:type="pct"/>
          </w:tcPr>
          <w:p w:rsidR="009A606F" w:rsidRPr="00816657" w:rsidRDefault="009A606F" w:rsidP="00FA0045">
            <w:pPr>
              <w:jc w:val="right"/>
              <w:cnfStyle w:val="000000000000"/>
            </w:pPr>
            <w:r w:rsidRPr="00816657">
              <w:t>...</w:t>
            </w:r>
          </w:p>
        </w:tc>
        <w:tc>
          <w:tcPr>
            <w:tcW w:w="394" w:type="pct"/>
          </w:tcPr>
          <w:p w:rsidR="009A606F" w:rsidRPr="00816657" w:rsidRDefault="009A606F" w:rsidP="00FA0045">
            <w:pPr>
              <w:jc w:val="right"/>
              <w:cnfStyle w:val="000000000000"/>
            </w:pPr>
            <w:r w:rsidRPr="00816657">
              <w:t>7.0%</w:t>
            </w:r>
          </w:p>
        </w:tc>
      </w:tr>
      <w:tr w:rsidR="009A606F" w:rsidRPr="00816657" w:rsidTr="00097CE6">
        <w:tc>
          <w:tcPr>
            <w:cnfStyle w:val="001000000000"/>
            <w:tcW w:w="329" w:type="pct"/>
          </w:tcPr>
          <w:p w:rsidR="009A606F" w:rsidRPr="00816657" w:rsidRDefault="009A606F" w:rsidP="007077A5">
            <w:r w:rsidRPr="00816657">
              <w:t>Low</w:t>
            </w:r>
          </w:p>
        </w:tc>
        <w:tc>
          <w:tcPr>
            <w:tcW w:w="724" w:type="pct"/>
            <w:vMerge/>
          </w:tcPr>
          <w:p w:rsidR="009A606F" w:rsidRPr="00816657" w:rsidRDefault="009A606F" w:rsidP="007077A5">
            <w:pPr>
              <w:cnfStyle w:val="000000000000"/>
            </w:pPr>
          </w:p>
        </w:tc>
        <w:tc>
          <w:tcPr>
            <w:tcW w:w="2886" w:type="pct"/>
          </w:tcPr>
          <w:p w:rsidR="009A606F" w:rsidRPr="00816657" w:rsidRDefault="009A606F" w:rsidP="00D178A0">
            <w:pPr>
              <w:cnfStyle w:val="000000000000"/>
            </w:pPr>
            <w:r w:rsidRPr="00816657">
              <w:t>As per best estimate for other jurisdictions</w:t>
            </w:r>
          </w:p>
        </w:tc>
        <w:tc>
          <w:tcPr>
            <w:tcW w:w="443" w:type="pct"/>
          </w:tcPr>
          <w:p w:rsidR="009A606F" w:rsidRPr="00816657" w:rsidRDefault="009A606F" w:rsidP="00FA0045">
            <w:pPr>
              <w:jc w:val="right"/>
              <w:cnfStyle w:val="000000000000"/>
            </w:pPr>
            <w:r w:rsidRPr="00816657">
              <w:t>0.0%</w:t>
            </w:r>
          </w:p>
        </w:tc>
        <w:tc>
          <w:tcPr>
            <w:tcW w:w="224" w:type="pct"/>
          </w:tcPr>
          <w:p w:rsidR="009A606F" w:rsidRPr="00816657" w:rsidRDefault="009A606F" w:rsidP="00FA0045">
            <w:pPr>
              <w:jc w:val="right"/>
              <w:cnfStyle w:val="000000000000"/>
            </w:pPr>
            <w:r w:rsidRPr="00816657">
              <w:t>...</w:t>
            </w:r>
          </w:p>
        </w:tc>
        <w:tc>
          <w:tcPr>
            <w:tcW w:w="394" w:type="pct"/>
          </w:tcPr>
          <w:p w:rsidR="009A606F" w:rsidRPr="00816657" w:rsidRDefault="009A606F" w:rsidP="00FA0045">
            <w:pPr>
              <w:jc w:val="right"/>
              <w:cnfStyle w:val="000000000000"/>
            </w:pPr>
            <w:r w:rsidRPr="00816657">
              <w:t>0.0%</w:t>
            </w:r>
          </w:p>
        </w:tc>
      </w:tr>
    </w:tbl>
    <w:p w:rsidR="00AF3044" w:rsidRPr="00816657" w:rsidRDefault="00AF3044" w:rsidP="007F5BD4">
      <w:pPr>
        <w:pStyle w:val="BodyText"/>
      </w:pPr>
    </w:p>
    <w:p w:rsidR="00175DC6" w:rsidRPr="00816657" w:rsidRDefault="00175DC6" w:rsidP="00655F62">
      <w:pPr>
        <w:pStyle w:val="Figures"/>
      </w:pPr>
      <w:bookmarkStart w:id="123" w:name="_Toc425849223"/>
      <w:r w:rsidRPr="00816657">
        <w:t xml:space="preserve">Figure </w:t>
      </w:r>
      <w:r w:rsidR="006D07F5" w:rsidRPr="00816657">
        <w:fldChar w:fldCharType="begin"/>
      </w:r>
      <w:r w:rsidRPr="00816657">
        <w:instrText xml:space="preserve"> SEQ Figure \* ARABIC </w:instrText>
      </w:r>
      <w:r w:rsidR="006D07F5" w:rsidRPr="00816657">
        <w:fldChar w:fldCharType="separate"/>
      </w:r>
      <w:r w:rsidR="002F3000">
        <w:rPr>
          <w:noProof/>
        </w:rPr>
        <w:t>5</w:t>
      </w:r>
      <w:r w:rsidR="006D07F5" w:rsidRPr="00816657">
        <w:fldChar w:fldCharType="end"/>
      </w:r>
      <w:r w:rsidR="00677849" w:rsidRPr="00816657">
        <w:t>:</w:t>
      </w:r>
      <w:r w:rsidR="00677849" w:rsidRPr="00816657">
        <w:tab/>
      </w:r>
      <w:r w:rsidRPr="00816657">
        <w:t>Best, high and low national projection estimates of plating &amp; heat treatment waste to 2034</w:t>
      </w:r>
      <w:bookmarkEnd w:id="123"/>
    </w:p>
    <w:p w:rsidR="008D2D3F" w:rsidRDefault="00C05ED6">
      <w:pPr>
        <w:spacing w:line="240" w:lineRule="auto"/>
        <w:rPr>
          <w:rFonts w:ascii="Arial Rounded MT Bold" w:hAnsi="Arial Rounded MT Bold" w:cs="Arial"/>
          <w:color w:val="0000FF"/>
          <w:sz w:val="22"/>
        </w:rPr>
      </w:pPr>
      <w:r w:rsidRPr="00C05ED6">
        <w:rPr>
          <w:noProof/>
          <w:lang w:eastAsia="en-AU"/>
        </w:rPr>
        <w:drawing>
          <wp:inline distT="0" distB="0" distL="0" distR="0">
            <wp:extent cx="5790477" cy="2323810"/>
            <wp:effectExtent l="0" t="0" r="127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790477" cy="2323810"/>
                    </a:xfrm>
                    <a:prstGeom prst="rect">
                      <a:avLst/>
                    </a:prstGeom>
                  </pic:spPr>
                </pic:pic>
              </a:graphicData>
            </a:graphic>
          </wp:inline>
        </w:drawing>
      </w:r>
      <w:r w:rsidR="008D2D3F">
        <w:br w:type="page"/>
      </w:r>
    </w:p>
    <w:p w:rsidR="00133C32" w:rsidRDefault="00877CF8" w:rsidP="00175DC6">
      <w:pPr>
        <w:pStyle w:val="Heading3"/>
      </w:pPr>
      <w:r w:rsidRPr="00816657">
        <w:lastRenderedPageBreak/>
        <w:t xml:space="preserve">B. </w:t>
      </w:r>
      <w:r w:rsidR="00133C32" w:rsidRPr="00816657">
        <w:t xml:space="preserve">Acid waste </w:t>
      </w:r>
    </w:p>
    <w:p w:rsidR="00CB206E" w:rsidRDefault="00CB206E" w:rsidP="007F5BD4">
      <w:pPr>
        <w:pStyle w:val="BodyText"/>
      </w:pPr>
      <w:r w:rsidRPr="00CB206E">
        <w:t>This group includes only the single NEPM</w:t>
      </w:r>
      <w:r>
        <w:t xml:space="preserve"> 75</w:t>
      </w:r>
      <w:r w:rsidRPr="00CB206E">
        <w:t xml:space="preserve"> code </w:t>
      </w:r>
      <w:r w:rsidRPr="007F5BD4">
        <w:rPr>
          <w:i/>
        </w:rPr>
        <w:t>B100 Acidic solutions or acids in solid form</w:t>
      </w:r>
      <w:r w:rsidRPr="00CB206E">
        <w:t xml:space="preserve">. It can take a large variety of forms including, but not limited to: sulfuric acid, hydrochloric acid, nitric acid, phosphoric acid, </w:t>
      </w:r>
      <w:proofErr w:type="gramStart"/>
      <w:r w:rsidRPr="00CB206E">
        <w:t>chromic</w:t>
      </w:r>
      <w:proofErr w:type="gramEnd"/>
      <w:r w:rsidRPr="00CB206E">
        <w:t xml:space="preserve"> acid, hydrofluoric acid, mixed inorganic and organic acids.</w:t>
      </w:r>
    </w:p>
    <w:p w:rsidR="00CB206E" w:rsidRPr="005E3D0E" w:rsidRDefault="00CB206E" w:rsidP="007F5BD4">
      <w:pPr>
        <w:pStyle w:val="BodyText"/>
      </w:pPr>
    </w:p>
    <w:p w:rsidR="00097CE6" w:rsidRPr="00816657" w:rsidRDefault="00097CE6" w:rsidP="00097CE6">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03"/>
        <w:gridCol w:w="2402"/>
        <w:gridCol w:w="2402"/>
        <w:gridCol w:w="2402"/>
      </w:tblGrid>
      <w:tr w:rsidR="00E42D11" w:rsidRPr="00816657" w:rsidTr="00097CE6">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097CE6">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097CE6">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097CE6">
            <w:pPr>
              <w:pStyle w:val="BodyText"/>
              <w:cnfStyle w:val="100000000000"/>
              <w:rPr>
                <w:sz w:val="20"/>
                <w:szCs w:val="20"/>
              </w:rPr>
            </w:pPr>
            <w:r w:rsidRPr="00816657">
              <w:rPr>
                <w:sz w:val="20"/>
                <w:szCs w:val="20"/>
              </w:rPr>
              <w:t>Approach</w:t>
            </w:r>
          </w:p>
        </w:tc>
      </w:tr>
      <w:tr w:rsidR="00E42D11" w:rsidRPr="00816657" w:rsidTr="00097CE6">
        <w:tc>
          <w:tcPr>
            <w:cnfStyle w:val="001000000000"/>
            <w:tcW w:w="1250" w:type="pct"/>
            <w:vMerge w:val="restart"/>
            <w:tcBorders>
              <w:top w:val="single" w:sz="4" w:space="0" w:color="7F7F7F" w:themeColor="background2"/>
            </w:tcBorders>
          </w:tcPr>
          <w:p w:rsidR="00CB206E" w:rsidRPr="007F5BD4" w:rsidRDefault="00CB206E" w:rsidP="007F5BD4">
            <w:pPr>
              <w:pStyle w:val="ListParagraph"/>
              <w:numPr>
                <w:ilvl w:val="0"/>
                <w:numId w:val="59"/>
              </w:numPr>
              <w:spacing w:line="240" w:lineRule="auto"/>
              <w:ind w:left="426"/>
              <w:rPr>
                <w:rFonts w:cs="Times New Roman"/>
                <w:color w:val="000000"/>
                <w:szCs w:val="20"/>
                <w:lang w:eastAsia="en-AU"/>
              </w:rPr>
            </w:pPr>
            <w:r w:rsidRPr="007F5BD4">
              <w:rPr>
                <w:rFonts w:cs="Times New Roman"/>
                <w:color w:val="000000"/>
                <w:szCs w:val="20"/>
                <w:lang w:eastAsia="en-AU"/>
              </w:rPr>
              <w:t>Metal coating and finishing</w:t>
            </w:r>
          </w:p>
          <w:p w:rsidR="00CB206E" w:rsidRPr="007F5BD4" w:rsidRDefault="00CB206E" w:rsidP="007F5BD4">
            <w:pPr>
              <w:pStyle w:val="ListParagraph"/>
              <w:numPr>
                <w:ilvl w:val="0"/>
                <w:numId w:val="59"/>
              </w:numPr>
              <w:spacing w:line="240" w:lineRule="auto"/>
              <w:ind w:left="426"/>
              <w:rPr>
                <w:rFonts w:cs="Times New Roman"/>
                <w:color w:val="000000"/>
                <w:szCs w:val="20"/>
                <w:lang w:eastAsia="en-AU"/>
              </w:rPr>
            </w:pPr>
            <w:r w:rsidRPr="007F5BD4">
              <w:rPr>
                <w:rFonts w:cs="Times New Roman"/>
                <w:color w:val="000000"/>
                <w:szCs w:val="20"/>
                <w:lang w:eastAsia="en-AU"/>
              </w:rPr>
              <w:t>Metal refining</w:t>
            </w:r>
          </w:p>
          <w:p w:rsidR="00CB206E" w:rsidRDefault="00CB206E" w:rsidP="007F5BD4">
            <w:pPr>
              <w:pStyle w:val="ListParagraph"/>
              <w:ind w:left="426"/>
              <w:rPr>
                <w:rFonts w:cs="Times New Roman"/>
                <w:color w:val="000000"/>
                <w:szCs w:val="20"/>
                <w:lang w:eastAsia="en-AU"/>
              </w:rPr>
            </w:pPr>
            <w:r w:rsidRPr="007F5BD4">
              <w:rPr>
                <w:rFonts w:cs="Times New Roman"/>
                <w:color w:val="000000"/>
                <w:szCs w:val="20"/>
                <w:lang w:eastAsia="en-AU"/>
              </w:rPr>
              <w:t>Primary metal and metal product manufacturing</w:t>
            </w:r>
          </w:p>
          <w:p w:rsidR="00E42D11" w:rsidRPr="00816657" w:rsidRDefault="00CB206E" w:rsidP="007F5BD4">
            <w:pPr>
              <w:pStyle w:val="ListParagraph"/>
              <w:ind w:left="426"/>
              <w:rPr>
                <w:rFonts w:cs="Times New Roman"/>
                <w:color w:val="000000"/>
                <w:szCs w:val="20"/>
                <w:lang w:eastAsia="en-AU"/>
              </w:rPr>
            </w:pPr>
            <w:r w:rsidRPr="00CB206E">
              <w:rPr>
                <w:rFonts w:cs="Times New Roman"/>
                <w:color w:val="000000"/>
                <w:szCs w:val="20"/>
                <w:lang w:eastAsia="en-AU"/>
              </w:rPr>
              <w:t>Coal mining</w:t>
            </w:r>
            <w:r w:rsidRPr="00CB206E" w:rsidDel="00CB206E">
              <w:rPr>
                <w:rFonts w:cs="Times New Roman"/>
                <w:color w:val="000000"/>
                <w:szCs w:val="20"/>
                <w:lang w:eastAsia="en-AU"/>
              </w:rPr>
              <w:t xml:space="preserve"> </w:t>
            </w:r>
          </w:p>
        </w:tc>
        <w:tc>
          <w:tcPr>
            <w:tcW w:w="1250" w:type="pct"/>
            <w:tcBorders>
              <w:top w:val="single" w:sz="4" w:space="0" w:color="7F7F7F" w:themeColor="background2"/>
            </w:tcBorders>
          </w:tcPr>
          <w:p w:rsidR="00E42D11" w:rsidRPr="00816657" w:rsidRDefault="00E42D11"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E42D11" w:rsidRPr="00816657" w:rsidRDefault="00E42D11" w:rsidP="00097CE6">
            <w:pPr>
              <w:pStyle w:val="BodyText"/>
              <w:cnfStyle w:val="000000000000"/>
              <w:rPr>
                <w:rFonts w:cs="Times New Roman"/>
                <w:color w:val="000000"/>
                <w:sz w:val="20"/>
                <w:szCs w:val="20"/>
                <w:lang w:eastAsia="en-AU"/>
              </w:rPr>
            </w:pPr>
            <w:r w:rsidRPr="00816657">
              <w:rPr>
                <w:rFonts w:cs="Times New Roman"/>
                <w:color w:val="000000"/>
                <w:sz w:val="20"/>
                <w:szCs w:val="20"/>
                <w:lang w:eastAsia="en-AU"/>
              </w:rPr>
              <w:t>Aluminium smelting is expected to decline, potentially very significantly (JCP 2012, Alcoa 2014)</w:t>
            </w:r>
          </w:p>
        </w:tc>
        <w:tc>
          <w:tcPr>
            <w:tcW w:w="1250" w:type="pct"/>
            <w:tcBorders>
              <w:top w:val="single" w:sz="4" w:space="0" w:color="7F7F7F" w:themeColor="background2"/>
            </w:tcBorders>
          </w:tcPr>
          <w:p w:rsidR="00E42D11" w:rsidRPr="00816657" w:rsidRDefault="00E42D11" w:rsidP="00097CE6">
            <w:pPr>
              <w:spacing w:line="240" w:lineRule="auto"/>
              <w:cnfStyle w:val="000000000000"/>
              <w:rPr>
                <w:rFonts w:cs="Times New Roman"/>
                <w:color w:val="000000"/>
                <w:szCs w:val="20"/>
                <w:lang w:eastAsia="en-AU"/>
              </w:rPr>
            </w:pPr>
            <w:r w:rsidRPr="00816657">
              <w:rPr>
                <w:rFonts w:cs="Times New Roman"/>
                <w:color w:val="000000"/>
                <w:szCs w:val="20"/>
                <w:lang w:eastAsia="en-AU"/>
              </w:rPr>
              <w:t>Use judgement - trend and causal analysis</w:t>
            </w:r>
          </w:p>
        </w:tc>
      </w:tr>
      <w:tr w:rsidR="00E42D11" w:rsidRPr="00816657" w:rsidTr="00097CE6">
        <w:tc>
          <w:tcPr>
            <w:cnfStyle w:val="001000000000"/>
            <w:tcW w:w="1250" w:type="pct"/>
            <w:vMerge/>
          </w:tcPr>
          <w:p w:rsidR="00E42D11" w:rsidRPr="00816657" w:rsidRDefault="00E42D11" w:rsidP="00097CE6">
            <w:pPr>
              <w:spacing w:line="240" w:lineRule="auto"/>
              <w:rPr>
                <w:rFonts w:cs="Times New Roman"/>
                <w:color w:val="000000"/>
                <w:szCs w:val="20"/>
                <w:lang w:eastAsia="en-AU"/>
              </w:rPr>
            </w:pPr>
          </w:p>
        </w:tc>
        <w:tc>
          <w:tcPr>
            <w:tcW w:w="1250" w:type="pct"/>
          </w:tcPr>
          <w:p w:rsidR="00E42D11" w:rsidRPr="00816657" w:rsidRDefault="00E42D11" w:rsidP="00097CE6">
            <w:pPr>
              <w:pStyle w:val="BodyText"/>
              <w:cnfStyle w:val="000000000000"/>
              <w:rPr>
                <w:rFonts w:cs="Times New Roman"/>
                <w:color w:val="000000"/>
                <w:sz w:val="20"/>
                <w:szCs w:val="20"/>
                <w:lang w:eastAsia="en-AU"/>
              </w:rPr>
            </w:pPr>
            <w:r w:rsidRPr="00816657">
              <w:rPr>
                <w:rFonts w:cs="Times New Roman"/>
                <w:color w:val="000000"/>
                <w:sz w:val="20"/>
                <w:szCs w:val="20"/>
                <w:lang w:eastAsia="en-AU"/>
              </w:rPr>
              <w:t>No historical data set exists that is adequate for discerning trends</w:t>
            </w:r>
          </w:p>
        </w:tc>
        <w:tc>
          <w:tcPr>
            <w:tcW w:w="1250" w:type="pct"/>
          </w:tcPr>
          <w:p w:rsidR="00E42D11" w:rsidRPr="00816657" w:rsidRDefault="00E42D11" w:rsidP="00097CE6">
            <w:pPr>
              <w:spacing w:line="240" w:lineRule="auto"/>
              <w:cnfStyle w:val="000000000000"/>
              <w:rPr>
                <w:rFonts w:cs="Times New Roman"/>
                <w:color w:val="000000"/>
                <w:szCs w:val="20"/>
                <w:lang w:eastAsia="en-AU"/>
              </w:rPr>
            </w:pPr>
          </w:p>
        </w:tc>
        <w:tc>
          <w:tcPr>
            <w:tcW w:w="1250" w:type="pct"/>
          </w:tcPr>
          <w:p w:rsidR="00E42D11" w:rsidRPr="00816657" w:rsidRDefault="00E42D11" w:rsidP="00097CE6">
            <w:pPr>
              <w:cnfStyle w:val="000000000000"/>
              <w:rPr>
                <w:rFonts w:cs="Times New Roman"/>
                <w:color w:val="000000"/>
                <w:szCs w:val="20"/>
                <w:lang w:eastAsia="en-AU"/>
              </w:rPr>
            </w:pPr>
          </w:p>
        </w:tc>
      </w:tr>
    </w:tbl>
    <w:p w:rsidR="00AF3044" w:rsidRPr="00816657" w:rsidRDefault="00AF3044" w:rsidP="007F5BD4">
      <w:pPr>
        <w:pStyle w:val="BodyText"/>
      </w:pPr>
    </w:p>
    <w:p w:rsidR="00607B3E" w:rsidRPr="00816657" w:rsidRDefault="00607B3E" w:rsidP="00655F62">
      <w:pPr>
        <w:pStyle w:val="Figures"/>
      </w:pPr>
      <w:bookmarkStart w:id="124" w:name="_Toc425849294"/>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9</w:t>
      </w:r>
      <w:r w:rsidR="006D07F5" w:rsidRPr="00816657">
        <w:rPr>
          <w:noProof/>
        </w:rPr>
        <w:fldChar w:fldCharType="end"/>
      </w:r>
      <w:r w:rsidRPr="00816657">
        <w:t xml:space="preserve">: </w:t>
      </w:r>
      <w:r w:rsidRPr="00816657">
        <w:tab/>
        <w:t>Best, high and low projected rates of change for acid waste to 2034</w:t>
      </w:r>
      <w:bookmarkEnd w:id="124"/>
    </w:p>
    <w:tbl>
      <w:tblPr>
        <w:tblStyle w:val="BETable1"/>
        <w:tblW w:w="10206" w:type="dxa"/>
        <w:tblLayout w:type="fixed"/>
        <w:tblLook w:val="04A0"/>
      </w:tblPr>
      <w:tblGrid>
        <w:gridCol w:w="567"/>
        <w:gridCol w:w="1134"/>
        <w:gridCol w:w="5812"/>
        <w:gridCol w:w="709"/>
        <w:gridCol w:w="283"/>
        <w:gridCol w:w="709"/>
        <w:gridCol w:w="284"/>
        <w:gridCol w:w="708"/>
      </w:tblGrid>
      <w:tr w:rsidR="00097CE6" w:rsidRPr="00816657" w:rsidTr="00097CE6">
        <w:trPr>
          <w:cnfStyle w:val="100000000000"/>
        </w:trPr>
        <w:tc>
          <w:tcPr>
            <w:cnfStyle w:val="001000000000"/>
            <w:tcW w:w="567" w:type="dxa"/>
          </w:tcPr>
          <w:p w:rsidR="009A606F" w:rsidRPr="00816657" w:rsidRDefault="009A606F" w:rsidP="00D178A0"/>
        </w:tc>
        <w:tc>
          <w:tcPr>
            <w:tcW w:w="1134" w:type="dxa"/>
          </w:tcPr>
          <w:p w:rsidR="009A606F" w:rsidRPr="00816657" w:rsidRDefault="009A606F" w:rsidP="00D178A0">
            <w:pPr>
              <w:cnfStyle w:val="100000000000"/>
            </w:pPr>
            <w:r w:rsidRPr="00816657">
              <w:t>Applies to</w:t>
            </w:r>
          </w:p>
        </w:tc>
        <w:tc>
          <w:tcPr>
            <w:tcW w:w="5812" w:type="dxa"/>
          </w:tcPr>
          <w:p w:rsidR="009A606F" w:rsidRPr="00816657" w:rsidRDefault="009A606F" w:rsidP="00D178A0">
            <w:pPr>
              <w:cnfStyle w:val="100000000000"/>
            </w:pPr>
            <w:r w:rsidRPr="00816657">
              <w:t>Approach</w:t>
            </w:r>
          </w:p>
        </w:tc>
        <w:tc>
          <w:tcPr>
            <w:tcW w:w="709" w:type="dxa"/>
          </w:tcPr>
          <w:p w:rsidR="009A606F" w:rsidRPr="00816657" w:rsidRDefault="009A606F" w:rsidP="00FA0045">
            <w:pPr>
              <w:jc w:val="right"/>
              <w:cnfStyle w:val="100000000000"/>
            </w:pPr>
            <w:r w:rsidRPr="00816657">
              <w:t>2014</w:t>
            </w:r>
          </w:p>
        </w:tc>
        <w:tc>
          <w:tcPr>
            <w:tcW w:w="283" w:type="dxa"/>
          </w:tcPr>
          <w:p w:rsidR="009A606F" w:rsidRPr="00816657" w:rsidRDefault="009A606F" w:rsidP="00FA0045">
            <w:pPr>
              <w:jc w:val="right"/>
              <w:cnfStyle w:val="100000000000"/>
            </w:pPr>
            <w:r w:rsidRPr="00816657">
              <w:t>...</w:t>
            </w:r>
          </w:p>
        </w:tc>
        <w:tc>
          <w:tcPr>
            <w:tcW w:w="709" w:type="dxa"/>
          </w:tcPr>
          <w:p w:rsidR="009A606F" w:rsidRPr="00816657" w:rsidRDefault="009A606F" w:rsidP="00FA0045">
            <w:pPr>
              <w:jc w:val="right"/>
              <w:cnfStyle w:val="100000000000"/>
            </w:pPr>
            <w:r w:rsidRPr="00816657">
              <w:t>2021</w:t>
            </w:r>
          </w:p>
        </w:tc>
        <w:tc>
          <w:tcPr>
            <w:tcW w:w="284" w:type="dxa"/>
          </w:tcPr>
          <w:p w:rsidR="009A606F" w:rsidRPr="00816657" w:rsidRDefault="009A606F" w:rsidP="00FA0045">
            <w:pPr>
              <w:jc w:val="right"/>
              <w:cnfStyle w:val="100000000000"/>
            </w:pPr>
            <w:r w:rsidRPr="00816657">
              <w:t>...</w:t>
            </w:r>
          </w:p>
        </w:tc>
        <w:tc>
          <w:tcPr>
            <w:tcW w:w="708" w:type="dxa"/>
          </w:tcPr>
          <w:p w:rsidR="009A606F" w:rsidRPr="00816657" w:rsidRDefault="009A606F" w:rsidP="00FA0045">
            <w:pPr>
              <w:jc w:val="right"/>
              <w:cnfStyle w:val="100000000000"/>
            </w:pPr>
            <w:r w:rsidRPr="00816657">
              <w:t>2034</w:t>
            </w:r>
          </w:p>
        </w:tc>
      </w:tr>
      <w:tr w:rsidR="00097CE6" w:rsidRPr="00816657" w:rsidTr="00097CE6">
        <w:tc>
          <w:tcPr>
            <w:cnfStyle w:val="001000000000"/>
            <w:tcW w:w="567" w:type="dxa"/>
          </w:tcPr>
          <w:p w:rsidR="009A606F" w:rsidRPr="00816657" w:rsidRDefault="009A606F" w:rsidP="00D178A0">
            <w:r w:rsidRPr="00816657">
              <w:t>Best</w:t>
            </w:r>
          </w:p>
        </w:tc>
        <w:tc>
          <w:tcPr>
            <w:tcW w:w="1134" w:type="dxa"/>
            <w:vMerge w:val="restart"/>
            <w:vAlign w:val="center"/>
          </w:tcPr>
          <w:p w:rsidR="009A606F" w:rsidRPr="00816657" w:rsidRDefault="009A606F" w:rsidP="00D178A0">
            <w:pPr>
              <w:cnfStyle w:val="000000000000"/>
            </w:pPr>
            <w:r w:rsidRPr="00816657">
              <w:t>ACT, NSW, NT, Qld, SA, Tas, Vic, WA</w:t>
            </w:r>
          </w:p>
        </w:tc>
        <w:tc>
          <w:tcPr>
            <w:tcW w:w="5812" w:type="dxa"/>
          </w:tcPr>
          <w:p w:rsidR="009A606F" w:rsidRPr="00816657" w:rsidRDefault="009A606F" w:rsidP="009A606F">
            <w:pPr>
              <w:cnfStyle w:val="000000000000"/>
            </w:pPr>
            <w:r w:rsidRPr="00816657">
              <w:t>Eight-year decline associated with aluminium smelting</w:t>
            </w:r>
          </w:p>
        </w:tc>
        <w:tc>
          <w:tcPr>
            <w:tcW w:w="709" w:type="dxa"/>
          </w:tcPr>
          <w:p w:rsidR="009A606F" w:rsidRPr="00816657" w:rsidRDefault="009A606F" w:rsidP="00FA0045">
            <w:pPr>
              <w:jc w:val="right"/>
              <w:cnfStyle w:val="000000000000"/>
            </w:pPr>
            <w:r w:rsidRPr="00816657">
              <w:t>-3.0%</w:t>
            </w:r>
          </w:p>
        </w:tc>
        <w:tc>
          <w:tcPr>
            <w:tcW w:w="283" w:type="dxa"/>
          </w:tcPr>
          <w:p w:rsidR="009A606F" w:rsidRPr="00816657" w:rsidRDefault="009A606F" w:rsidP="00FA0045">
            <w:pPr>
              <w:jc w:val="right"/>
              <w:cnfStyle w:val="000000000000"/>
            </w:pPr>
            <w:r w:rsidRPr="00816657">
              <w:t>...</w:t>
            </w:r>
          </w:p>
        </w:tc>
        <w:tc>
          <w:tcPr>
            <w:tcW w:w="709" w:type="dxa"/>
          </w:tcPr>
          <w:p w:rsidR="009A606F" w:rsidRPr="00816657" w:rsidRDefault="009A606F" w:rsidP="00FA0045">
            <w:pPr>
              <w:jc w:val="right"/>
              <w:cnfStyle w:val="000000000000"/>
            </w:pPr>
            <w:r w:rsidRPr="00816657">
              <w:t>0.0%</w:t>
            </w:r>
          </w:p>
        </w:tc>
        <w:tc>
          <w:tcPr>
            <w:tcW w:w="284" w:type="dxa"/>
          </w:tcPr>
          <w:p w:rsidR="009A606F" w:rsidRPr="00816657" w:rsidRDefault="009A606F" w:rsidP="00FA0045">
            <w:pPr>
              <w:jc w:val="right"/>
              <w:cnfStyle w:val="000000000000"/>
            </w:pPr>
            <w:r w:rsidRPr="00816657">
              <w:t>...</w:t>
            </w:r>
          </w:p>
        </w:tc>
        <w:tc>
          <w:tcPr>
            <w:tcW w:w="708" w:type="dxa"/>
          </w:tcPr>
          <w:p w:rsidR="009A606F" w:rsidRPr="00816657" w:rsidRDefault="009A606F" w:rsidP="00FA0045">
            <w:pPr>
              <w:jc w:val="right"/>
              <w:cnfStyle w:val="000000000000"/>
            </w:pPr>
            <w:r w:rsidRPr="00816657">
              <w:t>0.0%</w:t>
            </w:r>
          </w:p>
        </w:tc>
      </w:tr>
      <w:tr w:rsidR="00097CE6" w:rsidRPr="00816657" w:rsidTr="00097CE6">
        <w:tc>
          <w:tcPr>
            <w:cnfStyle w:val="001000000000"/>
            <w:tcW w:w="567" w:type="dxa"/>
          </w:tcPr>
          <w:p w:rsidR="009A606F" w:rsidRPr="00816657" w:rsidRDefault="009A606F" w:rsidP="00D178A0">
            <w:r w:rsidRPr="00816657">
              <w:t>High</w:t>
            </w:r>
          </w:p>
        </w:tc>
        <w:tc>
          <w:tcPr>
            <w:tcW w:w="1134" w:type="dxa"/>
            <w:vMerge/>
            <w:vAlign w:val="center"/>
          </w:tcPr>
          <w:p w:rsidR="009A606F" w:rsidRPr="00816657" w:rsidRDefault="009A606F" w:rsidP="00D178A0">
            <w:pPr>
              <w:cnfStyle w:val="000000000000"/>
            </w:pPr>
          </w:p>
        </w:tc>
        <w:tc>
          <w:tcPr>
            <w:tcW w:w="5812" w:type="dxa"/>
          </w:tcPr>
          <w:p w:rsidR="009A606F" w:rsidRPr="00816657" w:rsidRDefault="009A606F" w:rsidP="009A606F">
            <w:pPr>
              <w:cnfStyle w:val="000000000000"/>
            </w:pPr>
            <w:r w:rsidRPr="00816657">
              <w:t>Assume smaller reduction in aluminium waste, plus economic growth</w:t>
            </w:r>
          </w:p>
        </w:tc>
        <w:tc>
          <w:tcPr>
            <w:tcW w:w="709" w:type="dxa"/>
          </w:tcPr>
          <w:p w:rsidR="009A606F" w:rsidRPr="00816657" w:rsidRDefault="009A606F" w:rsidP="00FA0045">
            <w:pPr>
              <w:jc w:val="right"/>
              <w:cnfStyle w:val="000000000000"/>
            </w:pPr>
            <w:r w:rsidRPr="00816657">
              <w:t>0.0%</w:t>
            </w:r>
          </w:p>
        </w:tc>
        <w:tc>
          <w:tcPr>
            <w:tcW w:w="283" w:type="dxa"/>
          </w:tcPr>
          <w:p w:rsidR="009A606F" w:rsidRPr="00816657" w:rsidRDefault="009A606F" w:rsidP="00FA0045">
            <w:pPr>
              <w:jc w:val="right"/>
              <w:cnfStyle w:val="000000000000"/>
            </w:pPr>
            <w:r w:rsidRPr="00816657">
              <w:t>...</w:t>
            </w:r>
          </w:p>
        </w:tc>
        <w:tc>
          <w:tcPr>
            <w:tcW w:w="709" w:type="dxa"/>
          </w:tcPr>
          <w:p w:rsidR="009A606F" w:rsidRPr="00816657" w:rsidRDefault="009A606F" w:rsidP="00FA0045">
            <w:pPr>
              <w:jc w:val="right"/>
              <w:cnfStyle w:val="000000000000"/>
            </w:pPr>
            <w:r w:rsidRPr="00816657">
              <w:t>0.0%</w:t>
            </w:r>
          </w:p>
        </w:tc>
        <w:tc>
          <w:tcPr>
            <w:tcW w:w="284" w:type="dxa"/>
          </w:tcPr>
          <w:p w:rsidR="009A606F" w:rsidRPr="00816657" w:rsidRDefault="009A606F" w:rsidP="00FA0045">
            <w:pPr>
              <w:jc w:val="right"/>
              <w:cnfStyle w:val="000000000000"/>
            </w:pPr>
            <w:r w:rsidRPr="00816657">
              <w:t>...</w:t>
            </w:r>
          </w:p>
        </w:tc>
        <w:tc>
          <w:tcPr>
            <w:tcW w:w="708" w:type="dxa"/>
          </w:tcPr>
          <w:p w:rsidR="009A606F" w:rsidRPr="00816657" w:rsidRDefault="009A606F" w:rsidP="00FA0045">
            <w:pPr>
              <w:jc w:val="right"/>
              <w:cnfStyle w:val="000000000000"/>
            </w:pPr>
            <w:r w:rsidRPr="00816657">
              <w:t>0.0%</w:t>
            </w:r>
          </w:p>
        </w:tc>
      </w:tr>
      <w:tr w:rsidR="00097CE6" w:rsidRPr="00816657" w:rsidTr="00097CE6">
        <w:tc>
          <w:tcPr>
            <w:cnfStyle w:val="001000000000"/>
            <w:tcW w:w="567" w:type="dxa"/>
          </w:tcPr>
          <w:p w:rsidR="009A606F" w:rsidRPr="00816657" w:rsidRDefault="009A606F" w:rsidP="00D178A0">
            <w:r w:rsidRPr="00816657">
              <w:t>Low</w:t>
            </w:r>
          </w:p>
        </w:tc>
        <w:tc>
          <w:tcPr>
            <w:tcW w:w="1134" w:type="dxa"/>
            <w:vMerge/>
            <w:vAlign w:val="center"/>
          </w:tcPr>
          <w:p w:rsidR="009A606F" w:rsidRPr="00816657" w:rsidRDefault="009A606F" w:rsidP="00D178A0">
            <w:pPr>
              <w:cnfStyle w:val="000000000000"/>
            </w:pPr>
          </w:p>
        </w:tc>
        <w:tc>
          <w:tcPr>
            <w:tcW w:w="5812" w:type="dxa"/>
          </w:tcPr>
          <w:p w:rsidR="009A606F" w:rsidRPr="00816657" w:rsidRDefault="009A606F" w:rsidP="009A606F">
            <w:pPr>
              <w:cnfStyle w:val="000000000000"/>
            </w:pPr>
            <w:r w:rsidRPr="00816657">
              <w:t>Large eight-year decline in aluminium smelting</w:t>
            </w:r>
          </w:p>
        </w:tc>
        <w:tc>
          <w:tcPr>
            <w:tcW w:w="709" w:type="dxa"/>
          </w:tcPr>
          <w:p w:rsidR="009A606F" w:rsidRPr="00816657" w:rsidRDefault="009A606F" w:rsidP="00FA0045">
            <w:pPr>
              <w:jc w:val="right"/>
              <w:cnfStyle w:val="000000000000"/>
            </w:pPr>
            <w:r w:rsidRPr="00816657">
              <w:t>-10.0%</w:t>
            </w:r>
          </w:p>
        </w:tc>
        <w:tc>
          <w:tcPr>
            <w:tcW w:w="283" w:type="dxa"/>
          </w:tcPr>
          <w:p w:rsidR="009A606F" w:rsidRPr="00816657" w:rsidRDefault="009A606F" w:rsidP="00FA0045">
            <w:pPr>
              <w:jc w:val="right"/>
              <w:cnfStyle w:val="000000000000"/>
            </w:pPr>
            <w:r w:rsidRPr="00816657">
              <w:t>...</w:t>
            </w:r>
          </w:p>
        </w:tc>
        <w:tc>
          <w:tcPr>
            <w:tcW w:w="709" w:type="dxa"/>
          </w:tcPr>
          <w:p w:rsidR="009A606F" w:rsidRPr="00816657" w:rsidRDefault="009A606F" w:rsidP="00FA0045">
            <w:pPr>
              <w:jc w:val="right"/>
              <w:cnfStyle w:val="000000000000"/>
            </w:pPr>
            <w:r w:rsidRPr="00816657">
              <w:t>-1.0%</w:t>
            </w:r>
          </w:p>
        </w:tc>
        <w:tc>
          <w:tcPr>
            <w:tcW w:w="284" w:type="dxa"/>
          </w:tcPr>
          <w:p w:rsidR="009A606F" w:rsidRPr="00816657" w:rsidRDefault="009A606F" w:rsidP="00FA0045">
            <w:pPr>
              <w:jc w:val="right"/>
              <w:cnfStyle w:val="000000000000"/>
            </w:pPr>
            <w:r w:rsidRPr="00816657">
              <w:t>...</w:t>
            </w:r>
          </w:p>
        </w:tc>
        <w:tc>
          <w:tcPr>
            <w:tcW w:w="708" w:type="dxa"/>
          </w:tcPr>
          <w:p w:rsidR="009A606F" w:rsidRPr="00816657" w:rsidRDefault="009A606F" w:rsidP="00FA0045">
            <w:pPr>
              <w:jc w:val="right"/>
              <w:cnfStyle w:val="000000000000"/>
            </w:pPr>
            <w:r w:rsidRPr="00816657">
              <w:t>-1.0%</w:t>
            </w:r>
          </w:p>
        </w:tc>
      </w:tr>
    </w:tbl>
    <w:p w:rsidR="00AF3044" w:rsidRPr="00816657" w:rsidRDefault="00AF3044" w:rsidP="007F5BD4">
      <w:pPr>
        <w:pStyle w:val="BodyText"/>
      </w:pPr>
    </w:p>
    <w:p w:rsidR="00133C32" w:rsidRPr="00816657" w:rsidRDefault="00133C32" w:rsidP="00655F62">
      <w:pPr>
        <w:pStyle w:val="Figures"/>
      </w:pPr>
      <w:bookmarkStart w:id="125" w:name="_Toc425849224"/>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6</w:t>
      </w:r>
      <w:r w:rsidR="006D07F5" w:rsidRPr="00816657">
        <w:rPr>
          <w:noProof/>
        </w:rPr>
        <w:fldChar w:fldCharType="end"/>
      </w:r>
      <w:r w:rsidRPr="00816657">
        <w:t xml:space="preserve">: </w:t>
      </w:r>
      <w:r w:rsidRPr="00816657">
        <w:tab/>
        <w:t>Best, high and low national projection estimates of acid waste to 2034</w:t>
      </w:r>
      <w:bookmarkEnd w:id="125"/>
    </w:p>
    <w:p w:rsidR="00133C32" w:rsidRPr="00816657" w:rsidRDefault="00C05ED6">
      <w:pPr>
        <w:spacing w:line="240" w:lineRule="auto"/>
      </w:pPr>
      <w:r w:rsidRPr="00C05ED6">
        <w:rPr>
          <w:noProof/>
          <w:lang w:eastAsia="en-AU"/>
        </w:rPr>
        <w:drawing>
          <wp:inline distT="0" distB="0" distL="0" distR="0">
            <wp:extent cx="5552381" cy="2304762"/>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552381" cy="2304762"/>
                    </a:xfrm>
                    <a:prstGeom prst="rect">
                      <a:avLst/>
                    </a:prstGeom>
                  </pic:spPr>
                </pic:pic>
              </a:graphicData>
            </a:graphic>
          </wp:inline>
        </w:drawing>
      </w:r>
    </w:p>
    <w:p w:rsidR="00133C32" w:rsidRPr="00816657" w:rsidRDefault="00133C32">
      <w:pPr>
        <w:spacing w:line="240" w:lineRule="auto"/>
      </w:pPr>
    </w:p>
    <w:p w:rsidR="00133C32" w:rsidRPr="00816657" w:rsidRDefault="00133C32">
      <w:pPr>
        <w:spacing w:line="240" w:lineRule="auto"/>
      </w:pPr>
    </w:p>
    <w:p w:rsidR="00322CC6" w:rsidRPr="007F5BD4" w:rsidRDefault="00322CC6" w:rsidP="007F5BD4">
      <w:pPr>
        <w:pStyle w:val="BodyText"/>
      </w:pPr>
      <w:r w:rsidRPr="00816657">
        <w:br w:type="page"/>
      </w:r>
    </w:p>
    <w:p w:rsidR="00133C32" w:rsidRPr="00816657" w:rsidRDefault="00877CF8" w:rsidP="002E28CF">
      <w:pPr>
        <w:pStyle w:val="Heading3"/>
      </w:pPr>
      <w:r w:rsidRPr="00816657">
        <w:lastRenderedPageBreak/>
        <w:t xml:space="preserve">C. </w:t>
      </w:r>
      <w:r w:rsidR="00133C32" w:rsidRPr="00816657">
        <w:t xml:space="preserve">Alkali waste </w:t>
      </w:r>
    </w:p>
    <w:p w:rsidR="00434305" w:rsidRPr="00434305" w:rsidRDefault="00434305" w:rsidP="00434305">
      <w:pPr>
        <w:spacing w:line="240" w:lineRule="auto"/>
        <w:rPr>
          <w:rFonts w:cs="Times New Roman"/>
          <w:color w:val="000000"/>
          <w:sz w:val="22"/>
          <w:szCs w:val="20"/>
          <w:lang w:eastAsia="en-AU"/>
        </w:rPr>
      </w:pPr>
      <w:r w:rsidRPr="00434305">
        <w:rPr>
          <w:color w:val="080808"/>
          <w:sz w:val="22"/>
        </w:rPr>
        <w:t xml:space="preserve">This group includes only the single NEPM </w:t>
      </w:r>
      <w:r>
        <w:rPr>
          <w:color w:val="080808"/>
          <w:sz w:val="22"/>
        </w:rPr>
        <w:t xml:space="preserve">75 </w:t>
      </w:r>
      <w:r w:rsidRPr="00434305">
        <w:rPr>
          <w:color w:val="080808"/>
          <w:sz w:val="22"/>
        </w:rPr>
        <w:t xml:space="preserve">code </w:t>
      </w:r>
      <w:r w:rsidRPr="00434305">
        <w:rPr>
          <w:i/>
          <w:color w:val="080808"/>
          <w:sz w:val="22"/>
        </w:rPr>
        <w:t xml:space="preserve">C100 </w:t>
      </w:r>
      <w:r w:rsidRPr="00434305">
        <w:rPr>
          <w:rFonts w:cs="Times New Roman"/>
          <w:i/>
          <w:color w:val="000000"/>
          <w:sz w:val="22"/>
          <w:szCs w:val="20"/>
          <w:lang w:eastAsia="en-AU"/>
        </w:rPr>
        <w:t>Basic solutions or bases in solid form</w:t>
      </w:r>
      <w:r w:rsidRPr="00434305">
        <w:rPr>
          <w:rFonts w:cs="Times New Roman"/>
          <w:color w:val="000000"/>
          <w:sz w:val="22"/>
          <w:szCs w:val="20"/>
          <w:lang w:eastAsia="en-AU"/>
        </w:rPr>
        <w:t xml:space="preserve">. </w:t>
      </w:r>
    </w:p>
    <w:p w:rsidR="003E4F62" w:rsidRPr="003E4F62" w:rsidRDefault="003E4F62" w:rsidP="003E4F62">
      <w:pPr>
        <w:spacing w:before="80" w:line="240" w:lineRule="auto"/>
        <w:rPr>
          <w:rFonts w:cs="Times New Roman"/>
          <w:color w:val="000000"/>
          <w:sz w:val="22"/>
          <w:szCs w:val="20"/>
          <w:lang w:eastAsia="en-AU"/>
        </w:rPr>
      </w:pPr>
      <w:r w:rsidRPr="003E4F62">
        <w:rPr>
          <w:rFonts w:cs="Times New Roman"/>
          <w:color w:val="000000"/>
          <w:sz w:val="22"/>
          <w:szCs w:val="20"/>
          <w:lang w:eastAsia="en-AU"/>
        </w:rPr>
        <w:t>Alkali wastes are produced in significant quantities from coal seam gas (CSG) extraction in Queensland, cement and lime kilns around Australia, aluminium refining and as a surface cleaner/ degreaser in a range of industries such as diverse as metal coating and finishing to fast food.</w:t>
      </w:r>
      <w:r>
        <w:rPr>
          <w:rFonts w:cs="Times New Roman"/>
          <w:color w:val="000000"/>
          <w:sz w:val="22"/>
          <w:szCs w:val="20"/>
          <w:lang w:eastAsia="en-AU"/>
        </w:rPr>
        <w:t xml:space="preserve"> See </w:t>
      </w:r>
      <w:r>
        <w:rPr>
          <w:rFonts w:cs="Times New Roman"/>
          <w:i/>
          <w:color w:val="000000"/>
          <w:sz w:val="22"/>
          <w:szCs w:val="20"/>
          <w:lang w:eastAsia="en-AU"/>
        </w:rPr>
        <w:t>D300 Non-toxic salts</w:t>
      </w:r>
      <w:r>
        <w:rPr>
          <w:rFonts w:cs="Times New Roman"/>
          <w:color w:val="000000"/>
          <w:sz w:val="22"/>
          <w:szCs w:val="20"/>
          <w:lang w:eastAsia="en-AU"/>
        </w:rPr>
        <w:t xml:space="preserve"> for detailed CSG wastes </w:t>
      </w:r>
      <w:r w:rsidR="00CF76E1">
        <w:rPr>
          <w:rFonts w:cs="Times New Roman"/>
          <w:color w:val="000000"/>
          <w:sz w:val="22"/>
          <w:szCs w:val="20"/>
          <w:lang w:eastAsia="en-AU"/>
        </w:rPr>
        <w:t>discussion</w:t>
      </w:r>
      <w:r>
        <w:rPr>
          <w:rFonts w:cs="Times New Roman"/>
          <w:color w:val="000000"/>
          <w:sz w:val="22"/>
          <w:szCs w:val="20"/>
          <w:lang w:eastAsia="en-AU"/>
        </w:rPr>
        <w:t>.</w:t>
      </w:r>
    </w:p>
    <w:p w:rsidR="00CB206E" w:rsidRDefault="00CB206E" w:rsidP="00097CE6">
      <w:pPr>
        <w:pStyle w:val="BodyText"/>
        <w:rPr>
          <w:b/>
        </w:rPr>
      </w:pPr>
    </w:p>
    <w:p w:rsidR="00097CE6" w:rsidRPr="00816657" w:rsidRDefault="00097CE6" w:rsidP="00097CE6">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03"/>
        <w:gridCol w:w="2402"/>
        <w:gridCol w:w="2402"/>
        <w:gridCol w:w="2402"/>
      </w:tblGrid>
      <w:tr w:rsidR="00E42D11" w:rsidRPr="00816657" w:rsidTr="00097CE6">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097CE6">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097CE6">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097CE6">
            <w:pPr>
              <w:pStyle w:val="BodyText"/>
              <w:cnfStyle w:val="100000000000"/>
              <w:rPr>
                <w:sz w:val="20"/>
                <w:szCs w:val="20"/>
              </w:rPr>
            </w:pPr>
            <w:r w:rsidRPr="00816657">
              <w:rPr>
                <w:sz w:val="20"/>
                <w:szCs w:val="20"/>
              </w:rPr>
              <w:t>Approach</w:t>
            </w:r>
          </w:p>
        </w:tc>
      </w:tr>
      <w:tr w:rsidR="00001169" w:rsidRPr="00816657" w:rsidTr="00097CE6">
        <w:tc>
          <w:tcPr>
            <w:cnfStyle w:val="001000000000"/>
            <w:tcW w:w="1250" w:type="pct"/>
            <w:vMerge w:val="restart"/>
            <w:tcBorders>
              <w:top w:val="single" w:sz="4" w:space="0" w:color="7F7F7F" w:themeColor="background2"/>
            </w:tcBorders>
          </w:tcPr>
          <w:p w:rsidR="00434305" w:rsidRPr="007F5BD4" w:rsidRDefault="00434305" w:rsidP="007F5BD4">
            <w:pPr>
              <w:pStyle w:val="ListParagraph"/>
              <w:numPr>
                <w:ilvl w:val="0"/>
                <w:numId w:val="61"/>
              </w:numPr>
              <w:spacing w:line="240" w:lineRule="auto"/>
              <w:ind w:left="426"/>
              <w:rPr>
                <w:rFonts w:cs="Times New Roman"/>
                <w:color w:val="000000"/>
                <w:szCs w:val="20"/>
                <w:lang w:eastAsia="en-AU"/>
              </w:rPr>
            </w:pPr>
            <w:r w:rsidRPr="007F5BD4">
              <w:rPr>
                <w:rFonts w:cs="Times New Roman"/>
                <w:color w:val="000000"/>
                <w:szCs w:val="20"/>
                <w:lang w:eastAsia="en-AU"/>
              </w:rPr>
              <w:t>Oil and gas extraction (including CSG)</w:t>
            </w:r>
          </w:p>
          <w:p w:rsidR="00434305" w:rsidRPr="007F5BD4" w:rsidRDefault="00434305" w:rsidP="007F5BD4">
            <w:pPr>
              <w:pStyle w:val="ListParagraph"/>
              <w:numPr>
                <w:ilvl w:val="0"/>
                <w:numId w:val="61"/>
              </w:numPr>
              <w:spacing w:line="240" w:lineRule="auto"/>
              <w:ind w:left="426"/>
              <w:rPr>
                <w:rFonts w:cs="Times New Roman"/>
                <w:color w:val="000000"/>
                <w:szCs w:val="20"/>
                <w:lang w:eastAsia="en-AU"/>
              </w:rPr>
            </w:pPr>
            <w:r w:rsidRPr="007F5BD4">
              <w:rPr>
                <w:rFonts w:cs="Times New Roman"/>
                <w:color w:val="000000"/>
                <w:szCs w:val="20"/>
                <w:lang w:eastAsia="en-AU"/>
              </w:rPr>
              <w:t>Aluminium refining</w:t>
            </w:r>
          </w:p>
          <w:p w:rsidR="00434305" w:rsidRPr="007F5BD4" w:rsidRDefault="00434305" w:rsidP="007F5BD4">
            <w:pPr>
              <w:pStyle w:val="ListParagraph"/>
              <w:numPr>
                <w:ilvl w:val="0"/>
                <w:numId w:val="61"/>
              </w:numPr>
              <w:spacing w:line="240" w:lineRule="auto"/>
              <w:ind w:left="426"/>
              <w:rPr>
                <w:rFonts w:cs="Times New Roman"/>
                <w:color w:val="000000"/>
                <w:szCs w:val="20"/>
                <w:lang w:eastAsia="en-AU"/>
              </w:rPr>
            </w:pPr>
            <w:r w:rsidRPr="007F5BD4">
              <w:rPr>
                <w:rFonts w:cs="Times New Roman"/>
                <w:color w:val="000000"/>
                <w:szCs w:val="20"/>
                <w:lang w:eastAsia="en-AU"/>
              </w:rPr>
              <w:t>Cement and lime manufacturing</w:t>
            </w:r>
          </w:p>
          <w:p w:rsidR="00434305" w:rsidRPr="007F5BD4" w:rsidRDefault="00434305" w:rsidP="007F5BD4">
            <w:pPr>
              <w:pStyle w:val="ListParagraph"/>
              <w:numPr>
                <w:ilvl w:val="0"/>
                <w:numId w:val="61"/>
              </w:numPr>
              <w:spacing w:line="240" w:lineRule="auto"/>
              <w:ind w:left="426"/>
              <w:rPr>
                <w:rFonts w:cs="Times New Roman"/>
                <w:color w:val="000000"/>
                <w:szCs w:val="20"/>
                <w:lang w:eastAsia="en-AU"/>
              </w:rPr>
            </w:pPr>
            <w:r w:rsidRPr="007F5BD4">
              <w:rPr>
                <w:rFonts w:cs="Times New Roman"/>
                <w:color w:val="000000"/>
                <w:szCs w:val="20"/>
                <w:lang w:eastAsia="en-AU"/>
              </w:rPr>
              <w:t>Metal coating and finishing</w:t>
            </w:r>
          </w:p>
          <w:p w:rsidR="00434305" w:rsidRPr="007F5BD4" w:rsidRDefault="00434305" w:rsidP="007F5BD4">
            <w:pPr>
              <w:pStyle w:val="ListParagraph"/>
              <w:numPr>
                <w:ilvl w:val="0"/>
                <w:numId w:val="61"/>
              </w:numPr>
              <w:spacing w:line="240" w:lineRule="auto"/>
              <w:ind w:left="426"/>
              <w:rPr>
                <w:rFonts w:cs="Times New Roman"/>
                <w:color w:val="000000"/>
                <w:szCs w:val="20"/>
                <w:lang w:eastAsia="en-AU"/>
              </w:rPr>
            </w:pPr>
            <w:r w:rsidRPr="007F5BD4">
              <w:rPr>
                <w:rFonts w:cs="Times New Roman"/>
                <w:color w:val="000000"/>
                <w:szCs w:val="20"/>
                <w:lang w:eastAsia="en-AU"/>
              </w:rPr>
              <w:t>Motor vehicle parts manufacturing</w:t>
            </w:r>
          </w:p>
          <w:p w:rsidR="00001169" w:rsidRPr="007F5BD4" w:rsidRDefault="00434305" w:rsidP="007F5BD4">
            <w:pPr>
              <w:pStyle w:val="ListParagraph"/>
              <w:numPr>
                <w:ilvl w:val="0"/>
                <w:numId w:val="61"/>
              </w:numPr>
              <w:spacing w:line="240" w:lineRule="auto"/>
              <w:ind w:left="426"/>
              <w:rPr>
                <w:rFonts w:cs="Times New Roman"/>
                <w:color w:val="000000"/>
                <w:szCs w:val="20"/>
                <w:lang w:eastAsia="en-AU"/>
              </w:rPr>
            </w:pPr>
            <w:r w:rsidRPr="007F5BD4">
              <w:rPr>
                <w:rFonts w:cs="Times New Roman"/>
                <w:color w:val="000000"/>
                <w:szCs w:val="20"/>
                <w:lang w:eastAsia="en-AU"/>
              </w:rPr>
              <w:t>Fast food and food manufacturing (cleaning wastes)</w:t>
            </w:r>
          </w:p>
        </w:tc>
        <w:tc>
          <w:tcPr>
            <w:tcW w:w="1250" w:type="pct"/>
            <w:tcBorders>
              <w:top w:val="single" w:sz="4" w:space="0" w:color="7F7F7F" w:themeColor="background2"/>
            </w:tcBorders>
          </w:tcPr>
          <w:p w:rsidR="00001169" w:rsidRPr="00816657" w:rsidRDefault="00001169"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001169" w:rsidRPr="00816657" w:rsidRDefault="00001169" w:rsidP="00001169">
            <w:pPr>
              <w:spacing w:line="240" w:lineRule="auto"/>
              <w:cnfStyle w:val="000000000000"/>
              <w:rPr>
                <w:rFonts w:cs="Times New Roman"/>
                <w:color w:val="000000"/>
                <w:szCs w:val="20"/>
                <w:lang w:eastAsia="en-AU"/>
              </w:rPr>
            </w:pPr>
            <w:r w:rsidRPr="00816657">
              <w:rPr>
                <w:rFonts w:cs="Times New Roman"/>
                <w:color w:val="000000"/>
                <w:szCs w:val="20"/>
                <w:lang w:eastAsia="en-AU"/>
              </w:rPr>
              <w:t>Oil &amp; gas extraction (coal seam gas) expected to increase in Qld</w:t>
            </w:r>
          </w:p>
        </w:tc>
        <w:tc>
          <w:tcPr>
            <w:tcW w:w="1250" w:type="pct"/>
            <w:tcBorders>
              <w:top w:val="single" w:sz="4" w:space="0" w:color="7F7F7F" w:themeColor="background2"/>
            </w:tcBorders>
          </w:tcPr>
          <w:p w:rsidR="00001169" w:rsidRPr="00816657" w:rsidRDefault="00001169" w:rsidP="00097CE6">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causal analysis</w:t>
            </w:r>
          </w:p>
          <w:p w:rsidR="00001169" w:rsidRPr="00816657" w:rsidRDefault="00001169" w:rsidP="00097CE6">
            <w:pPr>
              <w:spacing w:line="240" w:lineRule="auto"/>
              <w:cnfStyle w:val="000000000000"/>
              <w:rPr>
                <w:rFonts w:cs="Times New Roman"/>
                <w:color w:val="000000"/>
                <w:szCs w:val="20"/>
                <w:lang w:eastAsia="en-AU"/>
              </w:rPr>
            </w:pPr>
          </w:p>
        </w:tc>
      </w:tr>
      <w:tr w:rsidR="00001169" w:rsidRPr="00816657" w:rsidTr="00097CE6">
        <w:tc>
          <w:tcPr>
            <w:cnfStyle w:val="001000000000"/>
            <w:tcW w:w="1250" w:type="pct"/>
            <w:vMerge/>
          </w:tcPr>
          <w:p w:rsidR="00001169" w:rsidRPr="00816657" w:rsidRDefault="00001169" w:rsidP="00097CE6">
            <w:pPr>
              <w:spacing w:line="240" w:lineRule="auto"/>
              <w:rPr>
                <w:rFonts w:cs="Times New Roman"/>
                <w:color w:val="000000"/>
                <w:szCs w:val="20"/>
                <w:lang w:eastAsia="en-AU"/>
              </w:rPr>
            </w:pPr>
          </w:p>
        </w:tc>
        <w:tc>
          <w:tcPr>
            <w:tcW w:w="1250" w:type="pct"/>
          </w:tcPr>
          <w:p w:rsidR="00001169" w:rsidRPr="00816657" w:rsidRDefault="00001169" w:rsidP="00097CE6">
            <w:pPr>
              <w:spacing w:line="240" w:lineRule="auto"/>
              <w:cnfStyle w:val="000000000000"/>
              <w:rPr>
                <w:rFonts w:cs="Times New Roman"/>
                <w:color w:val="000000"/>
                <w:szCs w:val="20"/>
                <w:lang w:eastAsia="en-AU"/>
              </w:rPr>
            </w:pPr>
            <w:r w:rsidRPr="00816657">
              <w:rPr>
                <w:rFonts w:cs="Times New Roman"/>
                <w:color w:val="000000"/>
                <w:szCs w:val="20"/>
                <w:lang w:eastAsia="en-AU"/>
              </w:rPr>
              <w:t>No historical data set exists that is adequate for discerning trends</w:t>
            </w:r>
          </w:p>
          <w:p w:rsidR="00001169" w:rsidRPr="00816657" w:rsidRDefault="00001169" w:rsidP="00097CE6">
            <w:pPr>
              <w:spacing w:line="240" w:lineRule="auto"/>
              <w:cnfStyle w:val="000000000000"/>
              <w:rPr>
                <w:rFonts w:cs="Times New Roman"/>
                <w:color w:val="000000"/>
                <w:szCs w:val="20"/>
                <w:lang w:eastAsia="en-AU"/>
              </w:rPr>
            </w:pPr>
          </w:p>
        </w:tc>
        <w:tc>
          <w:tcPr>
            <w:tcW w:w="1250" w:type="pct"/>
          </w:tcPr>
          <w:p w:rsidR="00001169" w:rsidRPr="00816657" w:rsidRDefault="00001169">
            <w:pPr>
              <w:spacing w:line="240" w:lineRule="auto"/>
              <w:cnfStyle w:val="000000000000"/>
              <w:rPr>
                <w:rFonts w:cs="Times New Roman"/>
                <w:color w:val="000000"/>
                <w:szCs w:val="20"/>
                <w:lang w:eastAsia="en-AU"/>
              </w:rPr>
            </w:pPr>
            <w:r w:rsidRPr="00816657">
              <w:rPr>
                <w:rFonts w:cs="Times New Roman"/>
                <w:color w:val="000000"/>
                <w:szCs w:val="20"/>
                <w:lang w:eastAsia="en-AU"/>
              </w:rPr>
              <w:t>Petroleum refining is expected to decline</w:t>
            </w:r>
          </w:p>
        </w:tc>
        <w:tc>
          <w:tcPr>
            <w:tcW w:w="1250" w:type="pct"/>
          </w:tcPr>
          <w:p w:rsidR="00001169" w:rsidRPr="00816657" w:rsidRDefault="00001169" w:rsidP="00097CE6">
            <w:pPr>
              <w:spacing w:line="240" w:lineRule="auto"/>
              <w:cnfStyle w:val="000000000000"/>
              <w:rPr>
                <w:rFonts w:cs="Times New Roman"/>
                <w:color w:val="000000"/>
                <w:szCs w:val="20"/>
                <w:lang w:eastAsia="en-AU"/>
              </w:rPr>
            </w:pPr>
            <w:r w:rsidRPr="00816657">
              <w:rPr>
                <w:rFonts w:cs="Times New Roman"/>
                <w:color w:val="000000"/>
                <w:szCs w:val="20"/>
                <w:lang w:eastAsia="en-AU"/>
              </w:rPr>
              <w:t>Need different approach by jurisdiction due to stark differences in trends and sources</w:t>
            </w:r>
          </w:p>
        </w:tc>
      </w:tr>
      <w:tr w:rsidR="00001169" w:rsidRPr="00816657" w:rsidTr="00097CE6">
        <w:tc>
          <w:tcPr>
            <w:cnfStyle w:val="001000000000"/>
            <w:tcW w:w="1250" w:type="pct"/>
            <w:vMerge/>
          </w:tcPr>
          <w:p w:rsidR="00001169" w:rsidRPr="00816657" w:rsidRDefault="00001169" w:rsidP="00097CE6">
            <w:pPr>
              <w:spacing w:line="240" w:lineRule="auto"/>
              <w:rPr>
                <w:rFonts w:cs="Times New Roman"/>
                <w:color w:val="000000"/>
                <w:szCs w:val="20"/>
                <w:lang w:eastAsia="en-AU"/>
              </w:rPr>
            </w:pPr>
          </w:p>
        </w:tc>
        <w:tc>
          <w:tcPr>
            <w:tcW w:w="1250" w:type="pct"/>
          </w:tcPr>
          <w:p w:rsidR="00001169" w:rsidRPr="00816657" w:rsidRDefault="00001169" w:rsidP="00097CE6">
            <w:pPr>
              <w:cnfStyle w:val="000000000000"/>
              <w:rPr>
                <w:rFonts w:cs="Times New Roman"/>
                <w:color w:val="000000"/>
                <w:szCs w:val="20"/>
                <w:lang w:eastAsia="en-AU"/>
              </w:rPr>
            </w:pPr>
          </w:p>
        </w:tc>
        <w:tc>
          <w:tcPr>
            <w:tcW w:w="1250" w:type="pct"/>
          </w:tcPr>
          <w:p w:rsidR="00001169" w:rsidRPr="00816657" w:rsidRDefault="00001169" w:rsidP="00001169">
            <w:pPr>
              <w:spacing w:line="240" w:lineRule="auto"/>
              <w:cnfStyle w:val="000000000000"/>
              <w:rPr>
                <w:rFonts w:cs="Times New Roman"/>
                <w:color w:val="000000"/>
                <w:szCs w:val="20"/>
                <w:lang w:eastAsia="en-AU"/>
              </w:rPr>
            </w:pPr>
            <w:r w:rsidRPr="00816657">
              <w:rPr>
                <w:rFonts w:cs="Times New Roman"/>
                <w:color w:val="000000"/>
                <w:szCs w:val="20"/>
                <w:lang w:eastAsia="en-AU"/>
              </w:rPr>
              <w:t>High growth in coal seam gas industry activity is expected over the projection period (ABC 2014)</w:t>
            </w:r>
          </w:p>
        </w:tc>
        <w:tc>
          <w:tcPr>
            <w:tcW w:w="1250" w:type="pct"/>
          </w:tcPr>
          <w:p w:rsidR="00001169" w:rsidRPr="00816657" w:rsidRDefault="00001169" w:rsidP="00097CE6">
            <w:pPr>
              <w:cnfStyle w:val="000000000000"/>
              <w:rPr>
                <w:rFonts w:cs="Times New Roman"/>
                <w:color w:val="000000"/>
                <w:szCs w:val="20"/>
                <w:lang w:eastAsia="en-AU"/>
              </w:rPr>
            </w:pPr>
          </w:p>
        </w:tc>
      </w:tr>
    </w:tbl>
    <w:p w:rsidR="00607B3E" w:rsidRPr="00816657" w:rsidRDefault="00607B3E" w:rsidP="00655F62">
      <w:pPr>
        <w:pStyle w:val="Figures"/>
      </w:pPr>
      <w:bookmarkStart w:id="126" w:name="_Toc425849295"/>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10</w:t>
      </w:r>
      <w:r w:rsidR="006D07F5" w:rsidRPr="00816657">
        <w:rPr>
          <w:noProof/>
        </w:rPr>
        <w:fldChar w:fldCharType="end"/>
      </w:r>
      <w:r w:rsidRPr="00816657">
        <w:t xml:space="preserve">: </w:t>
      </w:r>
      <w:r w:rsidRPr="00816657">
        <w:tab/>
        <w:t>Best, high and low projected rates of change for alkali waste to 2034</w:t>
      </w:r>
      <w:bookmarkEnd w:id="126"/>
    </w:p>
    <w:tbl>
      <w:tblPr>
        <w:tblStyle w:val="BETable1"/>
        <w:tblW w:w="9407" w:type="dxa"/>
        <w:tblLayout w:type="fixed"/>
        <w:tblLook w:val="04A0"/>
      </w:tblPr>
      <w:tblGrid>
        <w:gridCol w:w="1134"/>
        <w:gridCol w:w="1276"/>
        <w:gridCol w:w="4678"/>
        <w:gridCol w:w="850"/>
        <w:gridCol w:w="476"/>
        <w:gridCol w:w="993"/>
      </w:tblGrid>
      <w:tr w:rsidR="00E029C2" w:rsidRPr="00816657" w:rsidTr="00171242">
        <w:trPr>
          <w:cnfStyle w:val="100000000000"/>
        </w:trPr>
        <w:tc>
          <w:tcPr>
            <w:cnfStyle w:val="001000000000"/>
            <w:tcW w:w="1134" w:type="dxa"/>
          </w:tcPr>
          <w:p w:rsidR="00E029C2" w:rsidRPr="00816657" w:rsidRDefault="00E029C2" w:rsidP="00E029C2"/>
        </w:tc>
        <w:tc>
          <w:tcPr>
            <w:tcW w:w="1276" w:type="dxa"/>
          </w:tcPr>
          <w:p w:rsidR="00E029C2" w:rsidRPr="00816657" w:rsidRDefault="00E029C2" w:rsidP="00D178A0">
            <w:pPr>
              <w:cnfStyle w:val="100000000000"/>
            </w:pPr>
            <w:r w:rsidRPr="00816657">
              <w:t>Applies to</w:t>
            </w:r>
          </w:p>
        </w:tc>
        <w:tc>
          <w:tcPr>
            <w:tcW w:w="4678" w:type="dxa"/>
          </w:tcPr>
          <w:p w:rsidR="00E029C2" w:rsidRPr="00816657" w:rsidRDefault="00E029C2" w:rsidP="00D178A0">
            <w:pPr>
              <w:cnfStyle w:val="100000000000"/>
            </w:pPr>
            <w:r w:rsidRPr="00816657">
              <w:t>Approach</w:t>
            </w:r>
          </w:p>
        </w:tc>
        <w:tc>
          <w:tcPr>
            <w:tcW w:w="850" w:type="dxa"/>
          </w:tcPr>
          <w:p w:rsidR="00E029C2" w:rsidRPr="00816657" w:rsidRDefault="00E029C2" w:rsidP="00FA0045">
            <w:pPr>
              <w:jc w:val="right"/>
              <w:cnfStyle w:val="100000000000"/>
            </w:pPr>
            <w:r w:rsidRPr="00816657">
              <w:t>2014</w:t>
            </w:r>
          </w:p>
        </w:tc>
        <w:tc>
          <w:tcPr>
            <w:tcW w:w="476" w:type="dxa"/>
          </w:tcPr>
          <w:p w:rsidR="00E029C2" w:rsidRPr="00816657" w:rsidRDefault="00E029C2" w:rsidP="00FA0045">
            <w:pPr>
              <w:jc w:val="right"/>
              <w:cnfStyle w:val="100000000000"/>
            </w:pPr>
            <w:r w:rsidRPr="00816657">
              <w:t>...</w:t>
            </w:r>
          </w:p>
        </w:tc>
        <w:tc>
          <w:tcPr>
            <w:tcW w:w="993" w:type="dxa"/>
          </w:tcPr>
          <w:p w:rsidR="00E029C2" w:rsidRPr="00816657" w:rsidRDefault="00E029C2" w:rsidP="00FA0045">
            <w:pPr>
              <w:jc w:val="right"/>
              <w:cnfStyle w:val="100000000000"/>
            </w:pPr>
            <w:r w:rsidRPr="00816657">
              <w:t>2034</w:t>
            </w:r>
          </w:p>
        </w:tc>
      </w:tr>
      <w:tr w:rsidR="00E029C2" w:rsidRPr="00816657" w:rsidTr="00171242">
        <w:tc>
          <w:tcPr>
            <w:cnfStyle w:val="001000000000"/>
            <w:tcW w:w="1134" w:type="dxa"/>
          </w:tcPr>
          <w:p w:rsidR="00E029C2" w:rsidRPr="00816657" w:rsidRDefault="00E029C2" w:rsidP="00D178A0">
            <w:r w:rsidRPr="00816657">
              <w:t>Best</w:t>
            </w:r>
          </w:p>
        </w:tc>
        <w:tc>
          <w:tcPr>
            <w:tcW w:w="1276" w:type="dxa"/>
            <w:vMerge w:val="restart"/>
            <w:vAlign w:val="center"/>
          </w:tcPr>
          <w:p w:rsidR="00E029C2" w:rsidRPr="00816657" w:rsidRDefault="00E029C2" w:rsidP="00E029C2">
            <w:pPr>
              <w:cnfStyle w:val="000000000000"/>
            </w:pPr>
            <w:r w:rsidRPr="00816657">
              <w:t>Qld</w:t>
            </w:r>
          </w:p>
        </w:tc>
        <w:tc>
          <w:tcPr>
            <w:tcW w:w="4678" w:type="dxa"/>
          </w:tcPr>
          <w:p w:rsidR="00E029C2" w:rsidRPr="00816657" w:rsidRDefault="00E029C2" w:rsidP="00E029C2">
            <w:pPr>
              <w:cnfStyle w:val="000000000000"/>
            </w:pPr>
            <w:r w:rsidRPr="00816657">
              <w:t>Ongoing increase with oil &amp; gas extraction</w:t>
            </w:r>
          </w:p>
        </w:tc>
        <w:tc>
          <w:tcPr>
            <w:tcW w:w="850" w:type="dxa"/>
          </w:tcPr>
          <w:p w:rsidR="00E029C2" w:rsidRPr="00816657" w:rsidRDefault="00E029C2" w:rsidP="00FA0045">
            <w:pPr>
              <w:jc w:val="right"/>
              <w:cnfStyle w:val="000000000000"/>
            </w:pPr>
            <w:r w:rsidRPr="00816657">
              <w:t>7.7%</w:t>
            </w:r>
          </w:p>
        </w:tc>
        <w:tc>
          <w:tcPr>
            <w:tcW w:w="476" w:type="dxa"/>
          </w:tcPr>
          <w:p w:rsidR="00E029C2" w:rsidRPr="00816657" w:rsidRDefault="00E029C2" w:rsidP="00FA0045">
            <w:pPr>
              <w:jc w:val="right"/>
              <w:cnfStyle w:val="000000000000"/>
            </w:pPr>
            <w:r w:rsidRPr="00816657">
              <w:t>...</w:t>
            </w:r>
          </w:p>
        </w:tc>
        <w:tc>
          <w:tcPr>
            <w:tcW w:w="993" w:type="dxa"/>
          </w:tcPr>
          <w:p w:rsidR="00E029C2" w:rsidRPr="00816657" w:rsidRDefault="00E029C2" w:rsidP="00FA0045">
            <w:pPr>
              <w:jc w:val="right"/>
              <w:cnfStyle w:val="000000000000"/>
            </w:pPr>
            <w:r w:rsidRPr="00816657">
              <w:t>7.7%</w:t>
            </w:r>
          </w:p>
        </w:tc>
      </w:tr>
      <w:tr w:rsidR="00E029C2" w:rsidRPr="00816657" w:rsidTr="00171242">
        <w:tc>
          <w:tcPr>
            <w:cnfStyle w:val="001000000000"/>
            <w:tcW w:w="1134" w:type="dxa"/>
          </w:tcPr>
          <w:p w:rsidR="00E029C2" w:rsidRPr="00816657" w:rsidRDefault="00E029C2" w:rsidP="00D178A0">
            <w:r w:rsidRPr="00816657">
              <w:t>High</w:t>
            </w:r>
          </w:p>
        </w:tc>
        <w:tc>
          <w:tcPr>
            <w:tcW w:w="1276" w:type="dxa"/>
            <w:vMerge/>
            <w:vAlign w:val="center"/>
          </w:tcPr>
          <w:p w:rsidR="00E029C2" w:rsidRPr="00816657" w:rsidRDefault="00E029C2" w:rsidP="00E029C2">
            <w:pPr>
              <w:cnfStyle w:val="000000000000"/>
            </w:pPr>
          </w:p>
        </w:tc>
        <w:tc>
          <w:tcPr>
            <w:tcW w:w="4678" w:type="dxa"/>
          </w:tcPr>
          <w:p w:rsidR="00E029C2" w:rsidRPr="00816657" w:rsidRDefault="00E029C2" w:rsidP="00E029C2">
            <w:pPr>
              <w:cnfStyle w:val="000000000000"/>
            </w:pPr>
            <w:r w:rsidRPr="00816657">
              <w:t>Stronger increase</w:t>
            </w:r>
          </w:p>
        </w:tc>
        <w:tc>
          <w:tcPr>
            <w:tcW w:w="850" w:type="dxa"/>
          </w:tcPr>
          <w:p w:rsidR="00E029C2" w:rsidRPr="00816657" w:rsidRDefault="00E029C2" w:rsidP="00FA0045">
            <w:pPr>
              <w:jc w:val="right"/>
              <w:cnfStyle w:val="000000000000"/>
            </w:pPr>
            <w:r w:rsidRPr="00816657">
              <w:t>10.0%</w:t>
            </w:r>
          </w:p>
        </w:tc>
        <w:tc>
          <w:tcPr>
            <w:tcW w:w="476" w:type="dxa"/>
          </w:tcPr>
          <w:p w:rsidR="00E029C2" w:rsidRPr="00816657" w:rsidRDefault="00E029C2" w:rsidP="00FA0045">
            <w:pPr>
              <w:jc w:val="right"/>
              <w:cnfStyle w:val="000000000000"/>
            </w:pPr>
            <w:r w:rsidRPr="00816657">
              <w:t>...</w:t>
            </w:r>
          </w:p>
        </w:tc>
        <w:tc>
          <w:tcPr>
            <w:tcW w:w="993" w:type="dxa"/>
          </w:tcPr>
          <w:p w:rsidR="00E029C2" w:rsidRPr="00816657" w:rsidRDefault="00E029C2" w:rsidP="00FA0045">
            <w:pPr>
              <w:jc w:val="right"/>
              <w:cnfStyle w:val="000000000000"/>
            </w:pPr>
            <w:r w:rsidRPr="00816657">
              <w:t>10.0%</w:t>
            </w:r>
          </w:p>
        </w:tc>
      </w:tr>
      <w:tr w:rsidR="00E029C2" w:rsidRPr="00816657" w:rsidTr="00171242">
        <w:tc>
          <w:tcPr>
            <w:cnfStyle w:val="001000000000"/>
            <w:tcW w:w="1134" w:type="dxa"/>
            <w:tcBorders>
              <w:bottom w:val="single" w:sz="12" w:space="0" w:color="auto"/>
            </w:tcBorders>
          </w:tcPr>
          <w:p w:rsidR="00E029C2" w:rsidRPr="00816657" w:rsidRDefault="00E029C2" w:rsidP="00D178A0">
            <w:r w:rsidRPr="00816657">
              <w:t>Low</w:t>
            </w:r>
          </w:p>
        </w:tc>
        <w:tc>
          <w:tcPr>
            <w:tcW w:w="1276" w:type="dxa"/>
            <w:vMerge/>
            <w:tcBorders>
              <w:bottom w:val="single" w:sz="12" w:space="0" w:color="auto"/>
            </w:tcBorders>
            <w:vAlign w:val="center"/>
          </w:tcPr>
          <w:p w:rsidR="00E029C2" w:rsidRPr="00816657" w:rsidRDefault="00E029C2" w:rsidP="00E029C2">
            <w:pPr>
              <w:cnfStyle w:val="000000000000"/>
            </w:pPr>
          </w:p>
        </w:tc>
        <w:tc>
          <w:tcPr>
            <w:tcW w:w="4678" w:type="dxa"/>
            <w:tcBorders>
              <w:bottom w:val="single" w:sz="12" w:space="0" w:color="auto"/>
            </w:tcBorders>
          </w:tcPr>
          <w:p w:rsidR="00E029C2" w:rsidRPr="00816657" w:rsidRDefault="00E029C2" w:rsidP="00E029C2">
            <w:pPr>
              <w:cnfStyle w:val="000000000000"/>
            </w:pPr>
            <w:r w:rsidRPr="00816657">
              <w:t>Economic growth</w:t>
            </w:r>
          </w:p>
        </w:tc>
        <w:tc>
          <w:tcPr>
            <w:tcW w:w="850" w:type="dxa"/>
            <w:tcBorders>
              <w:bottom w:val="single" w:sz="12" w:space="0" w:color="auto"/>
            </w:tcBorders>
          </w:tcPr>
          <w:p w:rsidR="00E029C2" w:rsidRPr="00816657" w:rsidRDefault="00E029C2" w:rsidP="00FA0045">
            <w:pPr>
              <w:jc w:val="right"/>
              <w:cnfStyle w:val="000000000000"/>
            </w:pPr>
            <w:r w:rsidRPr="00816657">
              <w:t>2.8%</w:t>
            </w:r>
          </w:p>
        </w:tc>
        <w:tc>
          <w:tcPr>
            <w:tcW w:w="476" w:type="dxa"/>
            <w:tcBorders>
              <w:bottom w:val="single" w:sz="12" w:space="0" w:color="auto"/>
            </w:tcBorders>
          </w:tcPr>
          <w:p w:rsidR="00E029C2" w:rsidRPr="00816657" w:rsidRDefault="00E029C2" w:rsidP="00FA0045">
            <w:pPr>
              <w:jc w:val="right"/>
              <w:cnfStyle w:val="000000000000"/>
            </w:pPr>
            <w:r w:rsidRPr="00816657">
              <w:t>...</w:t>
            </w:r>
          </w:p>
        </w:tc>
        <w:tc>
          <w:tcPr>
            <w:tcW w:w="993" w:type="dxa"/>
            <w:tcBorders>
              <w:bottom w:val="single" w:sz="12" w:space="0" w:color="auto"/>
            </w:tcBorders>
          </w:tcPr>
          <w:p w:rsidR="00E029C2" w:rsidRPr="00816657" w:rsidRDefault="00E029C2" w:rsidP="00FA0045">
            <w:pPr>
              <w:jc w:val="right"/>
              <w:cnfStyle w:val="000000000000"/>
            </w:pPr>
            <w:r w:rsidRPr="00816657">
              <w:t>2.8%</w:t>
            </w:r>
          </w:p>
        </w:tc>
      </w:tr>
      <w:tr w:rsidR="00E029C2" w:rsidRPr="00816657" w:rsidTr="00171242">
        <w:tc>
          <w:tcPr>
            <w:cnfStyle w:val="001000000000"/>
            <w:tcW w:w="1134" w:type="dxa"/>
            <w:tcBorders>
              <w:top w:val="single" w:sz="12" w:space="0" w:color="auto"/>
            </w:tcBorders>
          </w:tcPr>
          <w:p w:rsidR="00E029C2" w:rsidRPr="00816657" w:rsidRDefault="00E029C2" w:rsidP="00D178A0">
            <w:r w:rsidRPr="00816657">
              <w:t>Best</w:t>
            </w:r>
          </w:p>
        </w:tc>
        <w:tc>
          <w:tcPr>
            <w:tcW w:w="1276" w:type="dxa"/>
            <w:vMerge w:val="restart"/>
            <w:tcBorders>
              <w:top w:val="single" w:sz="12" w:space="0" w:color="auto"/>
            </w:tcBorders>
            <w:vAlign w:val="center"/>
          </w:tcPr>
          <w:p w:rsidR="00E029C2" w:rsidRPr="00816657" w:rsidRDefault="00E029C2" w:rsidP="00E029C2">
            <w:pPr>
              <w:cnfStyle w:val="000000000000"/>
            </w:pPr>
            <w:r w:rsidRPr="00816657">
              <w:t>SA</w:t>
            </w:r>
          </w:p>
        </w:tc>
        <w:tc>
          <w:tcPr>
            <w:tcW w:w="4678" w:type="dxa"/>
            <w:tcBorders>
              <w:top w:val="single" w:sz="12" w:space="0" w:color="auto"/>
            </w:tcBorders>
          </w:tcPr>
          <w:p w:rsidR="00E029C2" w:rsidRPr="00816657" w:rsidRDefault="00E029C2" w:rsidP="00E029C2">
            <w:pPr>
              <w:cnfStyle w:val="000000000000"/>
            </w:pPr>
            <w:r w:rsidRPr="00816657">
              <w:t>Increase with cement industry growth (best estimate)</w:t>
            </w:r>
          </w:p>
        </w:tc>
        <w:tc>
          <w:tcPr>
            <w:tcW w:w="850" w:type="dxa"/>
            <w:tcBorders>
              <w:top w:val="single" w:sz="12" w:space="0" w:color="auto"/>
            </w:tcBorders>
          </w:tcPr>
          <w:p w:rsidR="00E029C2" w:rsidRPr="00816657" w:rsidRDefault="00E029C2" w:rsidP="00FA0045">
            <w:pPr>
              <w:jc w:val="right"/>
              <w:cnfStyle w:val="000000000000"/>
            </w:pPr>
            <w:r w:rsidRPr="00816657">
              <w:t>2.0%</w:t>
            </w:r>
          </w:p>
        </w:tc>
        <w:tc>
          <w:tcPr>
            <w:tcW w:w="476" w:type="dxa"/>
            <w:tcBorders>
              <w:top w:val="single" w:sz="12" w:space="0" w:color="auto"/>
            </w:tcBorders>
          </w:tcPr>
          <w:p w:rsidR="00E029C2" w:rsidRPr="00816657" w:rsidRDefault="00E029C2" w:rsidP="00FA0045">
            <w:pPr>
              <w:jc w:val="right"/>
              <w:cnfStyle w:val="000000000000"/>
            </w:pPr>
            <w:r w:rsidRPr="00816657">
              <w:t>...</w:t>
            </w:r>
          </w:p>
        </w:tc>
        <w:tc>
          <w:tcPr>
            <w:tcW w:w="993" w:type="dxa"/>
            <w:tcBorders>
              <w:top w:val="single" w:sz="12" w:space="0" w:color="auto"/>
            </w:tcBorders>
          </w:tcPr>
          <w:p w:rsidR="00E029C2" w:rsidRPr="00816657" w:rsidRDefault="00E029C2" w:rsidP="00FA0045">
            <w:pPr>
              <w:jc w:val="right"/>
              <w:cnfStyle w:val="000000000000"/>
            </w:pPr>
            <w:r w:rsidRPr="00816657">
              <w:t>2.0%</w:t>
            </w:r>
          </w:p>
        </w:tc>
      </w:tr>
      <w:tr w:rsidR="00E029C2" w:rsidRPr="00816657" w:rsidTr="00171242">
        <w:tc>
          <w:tcPr>
            <w:cnfStyle w:val="001000000000"/>
            <w:tcW w:w="1134" w:type="dxa"/>
          </w:tcPr>
          <w:p w:rsidR="00E029C2" w:rsidRPr="00816657" w:rsidRDefault="00E029C2" w:rsidP="00D178A0">
            <w:r w:rsidRPr="00816657">
              <w:t>High</w:t>
            </w:r>
          </w:p>
        </w:tc>
        <w:tc>
          <w:tcPr>
            <w:tcW w:w="1276" w:type="dxa"/>
            <w:vMerge/>
            <w:vAlign w:val="center"/>
          </w:tcPr>
          <w:p w:rsidR="00E029C2" w:rsidRPr="00816657" w:rsidRDefault="00E029C2" w:rsidP="00E029C2">
            <w:pPr>
              <w:cnfStyle w:val="000000000000"/>
            </w:pPr>
          </w:p>
        </w:tc>
        <w:tc>
          <w:tcPr>
            <w:tcW w:w="4678" w:type="dxa"/>
          </w:tcPr>
          <w:p w:rsidR="00E029C2" w:rsidRPr="00816657" w:rsidRDefault="00E029C2" w:rsidP="00E029C2">
            <w:pPr>
              <w:cnfStyle w:val="000000000000"/>
            </w:pPr>
            <w:r w:rsidRPr="00816657">
              <w:t>Increase with cement industry growth (high estimate)</w:t>
            </w:r>
          </w:p>
        </w:tc>
        <w:tc>
          <w:tcPr>
            <w:tcW w:w="850" w:type="dxa"/>
          </w:tcPr>
          <w:p w:rsidR="00E029C2" w:rsidRPr="00816657" w:rsidRDefault="00E029C2" w:rsidP="00FA0045">
            <w:pPr>
              <w:jc w:val="right"/>
              <w:cnfStyle w:val="000000000000"/>
            </w:pPr>
            <w:r w:rsidRPr="00816657">
              <w:t>2.8%</w:t>
            </w:r>
          </w:p>
        </w:tc>
        <w:tc>
          <w:tcPr>
            <w:tcW w:w="476" w:type="dxa"/>
          </w:tcPr>
          <w:p w:rsidR="00E029C2" w:rsidRPr="00816657" w:rsidRDefault="00E029C2" w:rsidP="00FA0045">
            <w:pPr>
              <w:jc w:val="right"/>
              <w:cnfStyle w:val="000000000000"/>
            </w:pPr>
            <w:r w:rsidRPr="00816657">
              <w:t>...</w:t>
            </w:r>
          </w:p>
        </w:tc>
        <w:tc>
          <w:tcPr>
            <w:tcW w:w="993" w:type="dxa"/>
          </w:tcPr>
          <w:p w:rsidR="00E029C2" w:rsidRPr="00816657" w:rsidRDefault="00E029C2" w:rsidP="00FA0045">
            <w:pPr>
              <w:jc w:val="right"/>
              <w:cnfStyle w:val="000000000000"/>
            </w:pPr>
            <w:r w:rsidRPr="00816657">
              <w:t>2.8%</w:t>
            </w:r>
          </w:p>
        </w:tc>
      </w:tr>
      <w:tr w:rsidR="00E029C2" w:rsidRPr="00816657" w:rsidTr="00171242">
        <w:tc>
          <w:tcPr>
            <w:cnfStyle w:val="001000000000"/>
            <w:tcW w:w="1134" w:type="dxa"/>
            <w:tcBorders>
              <w:bottom w:val="single" w:sz="12" w:space="0" w:color="auto"/>
            </w:tcBorders>
          </w:tcPr>
          <w:p w:rsidR="00E029C2" w:rsidRPr="00816657" w:rsidRDefault="00E029C2" w:rsidP="00D178A0">
            <w:r w:rsidRPr="00816657">
              <w:t>Low</w:t>
            </w:r>
          </w:p>
        </w:tc>
        <w:tc>
          <w:tcPr>
            <w:tcW w:w="1276" w:type="dxa"/>
            <w:vMerge/>
            <w:tcBorders>
              <w:bottom w:val="single" w:sz="12" w:space="0" w:color="auto"/>
            </w:tcBorders>
            <w:vAlign w:val="center"/>
          </w:tcPr>
          <w:p w:rsidR="00E029C2" w:rsidRPr="00816657" w:rsidRDefault="00E029C2" w:rsidP="00E029C2">
            <w:pPr>
              <w:cnfStyle w:val="000000000000"/>
            </w:pPr>
          </w:p>
        </w:tc>
        <w:tc>
          <w:tcPr>
            <w:tcW w:w="4678" w:type="dxa"/>
            <w:tcBorders>
              <w:bottom w:val="single" w:sz="12" w:space="0" w:color="auto"/>
            </w:tcBorders>
          </w:tcPr>
          <w:p w:rsidR="00E029C2" w:rsidRPr="00816657" w:rsidRDefault="00E029C2" w:rsidP="00E029C2">
            <w:pPr>
              <w:cnfStyle w:val="000000000000"/>
            </w:pPr>
            <w:r w:rsidRPr="00816657">
              <w:t>Increase with cement industry growth (low estimate)</w:t>
            </w:r>
          </w:p>
        </w:tc>
        <w:tc>
          <w:tcPr>
            <w:tcW w:w="850" w:type="dxa"/>
            <w:tcBorders>
              <w:bottom w:val="single" w:sz="12" w:space="0" w:color="auto"/>
            </w:tcBorders>
          </w:tcPr>
          <w:p w:rsidR="00E029C2" w:rsidRPr="00816657" w:rsidRDefault="00E029C2" w:rsidP="00FA0045">
            <w:pPr>
              <w:jc w:val="right"/>
              <w:cnfStyle w:val="000000000000"/>
            </w:pPr>
            <w:r w:rsidRPr="00816657">
              <w:t>1.0%</w:t>
            </w:r>
          </w:p>
        </w:tc>
        <w:tc>
          <w:tcPr>
            <w:tcW w:w="476" w:type="dxa"/>
            <w:tcBorders>
              <w:bottom w:val="single" w:sz="12" w:space="0" w:color="auto"/>
            </w:tcBorders>
          </w:tcPr>
          <w:p w:rsidR="00E029C2" w:rsidRPr="00816657" w:rsidRDefault="00E029C2" w:rsidP="00FA0045">
            <w:pPr>
              <w:jc w:val="right"/>
              <w:cnfStyle w:val="000000000000"/>
            </w:pPr>
            <w:r w:rsidRPr="00816657">
              <w:t>...</w:t>
            </w:r>
          </w:p>
        </w:tc>
        <w:tc>
          <w:tcPr>
            <w:tcW w:w="993" w:type="dxa"/>
            <w:tcBorders>
              <w:bottom w:val="single" w:sz="12" w:space="0" w:color="auto"/>
            </w:tcBorders>
          </w:tcPr>
          <w:p w:rsidR="00E029C2" w:rsidRPr="00816657" w:rsidRDefault="00E029C2" w:rsidP="00FA0045">
            <w:pPr>
              <w:jc w:val="right"/>
              <w:cnfStyle w:val="000000000000"/>
            </w:pPr>
            <w:r w:rsidRPr="00816657">
              <w:t>1.0%</w:t>
            </w:r>
          </w:p>
        </w:tc>
      </w:tr>
      <w:tr w:rsidR="00E029C2" w:rsidRPr="00816657" w:rsidTr="00171242">
        <w:tc>
          <w:tcPr>
            <w:cnfStyle w:val="001000000000"/>
            <w:tcW w:w="1134" w:type="dxa"/>
            <w:tcBorders>
              <w:top w:val="single" w:sz="12" w:space="0" w:color="auto"/>
            </w:tcBorders>
          </w:tcPr>
          <w:p w:rsidR="00E029C2" w:rsidRPr="00816657" w:rsidRDefault="00E029C2" w:rsidP="00D178A0">
            <w:r w:rsidRPr="00816657">
              <w:t>Best</w:t>
            </w:r>
          </w:p>
        </w:tc>
        <w:tc>
          <w:tcPr>
            <w:tcW w:w="1276" w:type="dxa"/>
            <w:vMerge w:val="restart"/>
            <w:tcBorders>
              <w:top w:val="single" w:sz="12" w:space="0" w:color="auto"/>
            </w:tcBorders>
            <w:vAlign w:val="center"/>
          </w:tcPr>
          <w:p w:rsidR="00E029C2" w:rsidRPr="00816657" w:rsidRDefault="00E029C2" w:rsidP="00E029C2">
            <w:pPr>
              <w:cnfStyle w:val="000000000000"/>
            </w:pPr>
            <w:r w:rsidRPr="00816657">
              <w:t>ACT, NSW, NT, Tas, Vic, WA</w:t>
            </w:r>
          </w:p>
        </w:tc>
        <w:tc>
          <w:tcPr>
            <w:tcW w:w="4678" w:type="dxa"/>
            <w:tcBorders>
              <w:top w:val="single" w:sz="12" w:space="0" w:color="auto"/>
            </w:tcBorders>
          </w:tcPr>
          <w:p w:rsidR="00E029C2" w:rsidRPr="00816657" w:rsidRDefault="00E029C2" w:rsidP="00E029C2">
            <w:pPr>
              <w:cnfStyle w:val="000000000000"/>
            </w:pPr>
            <w:r w:rsidRPr="00816657">
              <w:t>Decline associated with petroleum refining</w:t>
            </w:r>
          </w:p>
        </w:tc>
        <w:tc>
          <w:tcPr>
            <w:tcW w:w="850" w:type="dxa"/>
            <w:tcBorders>
              <w:top w:val="single" w:sz="12" w:space="0" w:color="auto"/>
            </w:tcBorders>
          </w:tcPr>
          <w:p w:rsidR="00E029C2" w:rsidRPr="00816657" w:rsidRDefault="00E029C2" w:rsidP="00FA0045">
            <w:pPr>
              <w:jc w:val="right"/>
              <w:cnfStyle w:val="000000000000"/>
            </w:pPr>
            <w:r w:rsidRPr="00816657">
              <w:t>-1.4%</w:t>
            </w:r>
          </w:p>
        </w:tc>
        <w:tc>
          <w:tcPr>
            <w:tcW w:w="476" w:type="dxa"/>
            <w:tcBorders>
              <w:top w:val="single" w:sz="12" w:space="0" w:color="auto"/>
            </w:tcBorders>
          </w:tcPr>
          <w:p w:rsidR="00E029C2" w:rsidRPr="00816657" w:rsidRDefault="00E029C2" w:rsidP="00FA0045">
            <w:pPr>
              <w:jc w:val="right"/>
              <w:cnfStyle w:val="000000000000"/>
            </w:pPr>
            <w:r w:rsidRPr="00816657">
              <w:t>...</w:t>
            </w:r>
          </w:p>
        </w:tc>
        <w:tc>
          <w:tcPr>
            <w:tcW w:w="993" w:type="dxa"/>
            <w:tcBorders>
              <w:top w:val="single" w:sz="12" w:space="0" w:color="auto"/>
            </w:tcBorders>
          </w:tcPr>
          <w:p w:rsidR="00E029C2" w:rsidRPr="00816657" w:rsidRDefault="00E029C2" w:rsidP="00FA0045">
            <w:pPr>
              <w:jc w:val="right"/>
              <w:cnfStyle w:val="000000000000"/>
            </w:pPr>
            <w:r w:rsidRPr="00816657">
              <w:t>-1.4%</w:t>
            </w:r>
          </w:p>
        </w:tc>
      </w:tr>
      <w:tr w:rsidR="00E029C2" w:rsidRPr="00816657" w:rsidTr="00171242">
        <w:tc>
          <w:tcPr>
            <w:cnfStyle w:val="001000000000"/>
            <w:tcW w:w="1134" w:type="dxa"/>
          </w:tcPr>
          <w:p w:rsidR="00E029C2" w:rsidRPr="00816657" w:rsidRDefault="00E029C2" w:rsidP="00D178A0">
            <w:r w:rsidRPr="00816657">
              <w:t>High</w:t>
            </w:r>
          </w:p>
        </w:tc>
        <w:tc>
          <w:tcPr>
            <w:tcW w:w="1276" w:type="dxa"/>
            <w:vMerge/>
          </w:tcPr>
          <w:p w:rsidR="00E029C2" w:rsidRPr="00816657" w:rsidRDefault="00E029C2" w:rsidP="00E029C2">
            <w:pPr>
              <w:cnfStyle w:val="000000000000"/>
            </w:pPr>
          </w:p>
        </w:tc>
        <w:tc>
          <w:tcPr>
            <w:tcW w:w="4678" w:type="dxa"/>
          </w:tcPr>
          <w:p w:rsidR="00E029C2" w:rsidRPr="00816657" w:rsidRDefault="00E029C2" w:rsidP="00E029C2">
            <w:pPr>
              <w:cnfStyle w:val="000000000000"/>
            </w:pPr>
            <w:r w:rsidRPr="00816657">
              <w:t>Economic growth</w:t>
            </w:r>
          </w:p>
        </w:tc>
        <w:tc>
          <w:tcPr>
            <w:tcW w:w="850" w:type="dxa"/>
          </w:tcPr>
          <w:p w:rsidR="00E029C2" w:rsidRPr="00816657" w:rsidRDefault="00E029C2" w:rsidP="00FA0045">
            <w:pPr>
              <w:jc w:val="right"/>
              <w:cnfStyle w:val="000000000000"/>
            </w:pPr>
            <w:r w:rsidRPr="00816657">
              <w:t>2.8%</w:t>
            </w:r>
          </w:p>
        </w:tc>
        <w:tc>
          <w:tcPr>
            <w:tcW w:w="476" w:type="dxa"/>
          </w:tcPr>
          <w:p w:rsidR="00E029C2" w:rsidRPr="00816657" w:rsidRDefault="00E029C2" w:rsidP="00FA0045">
            <w:pPr>
              <w:jc w:val="right"/>
              <w:cnfStyle w:val="000000000000"/>
            </w:pPr>
            <w:r w:rsidRPr="00816657">
              <w:t>...</w:t>
            </w:r>
          </w:p>
        </w:tc>
        <w:tc>
          <w:tcPr>
            <w:tcW w:w="993" w:type="dxa"/>
          </w:tcPr>
          <w:p w:rsidR="00E029C2" w:rsidRPr="00816657" w:rsidRDefault="00E029C2" w:rsidP="00FA0045">
            <w:pPr>
              <w:jc w:val="right"/>
              <w:cnfStyle w:val="000000000000"/>
            </w:pPr>
            <w:r w:rsidRPr="00816657">
              <w:t>2.8%</w:t>
            </w:r>
          </w:p>
        </w:tc>
      </w:tr>
      <w:tr w:rsidR="00E029C2" w:rsidRPr="00816657" w:rsidTr="00171242">
        <w:tc>
          <w:tcPr>
            <w:cnfStyle w:val="001000000000"/>
            <w:tcW w:w="1134" w:type="dxa"/>
          </w:tcPr>
          <w:p w:rsidR="00E029C2" w:rsidRPr="00816657" w:rsidRDefault="00E029C2" w:rsidP="00D178A0">
            <w:r w:rsidRPr="00816657">
              <w:t>Low</w:t>
            </w:r>
          </w:p>
        </w:tc>
        <w:tc>
          <w:tcPr>
            <w:tcW w:w="1276" w:type="dxa"/>
            <w:vMerge/>
          </w:tcPr>
          <w:p w:rsidR="00E029C2" w:rsidRPr="00816657" w:rsidRDefault="00E029C2" w:rsidP="00E029C2">
            <w:pPr>
              <w:cnfStyle w:val="000000000000"/>
            </w:pPr>
          </w:p>
        </w:tc>
        <w:tc>
          <w:tcPr>
            <w:tcW w:w="4678" w:type="dxa"/>
          </w:tcPr>
          <w:p w:rsidR="00E029C2" w:rsidRPr="00816657" w:rsidRDefault="00E029C2" w:rsidP="00E029C2">
            <w:pPr>
              <w:cnfStyle w:val="000000000000"/>
            </w:pPr>
            <w:r w:rsidRPr="00816657">
              <w:t>Best estimate of annual rate of change - 3%</w:t>
            </w:r>
          </w:p>
        </w:tc>
        <w:tc>
          <w:tcPr>
            <w:tcW w:w="850" w:type="dxa"/>
          </w:tcPr>
          <w:p w:rsidR="00E029C2" w:rsidRPr="00816657" w:rsidRDefault="00E029C2" w:rsidP="00FA0045">
            <w:pPr>
              <w:jc w:val="right"/>
              <w:cnfStyle w:val="000000000000"/>
            </w:pPr>
            <w:r w:rsidRPr="00816657">
              <w:t>-4.4%</w:t>
            </w:r>
          </w:p>
        </w:tc>
        <w:tc>
          <w:tcPr>
            <w:tcW w:w="476" w:type="dxa"/>
          </w:tcPr>
          <w:p w:rsidR="00E029C2" w:rsidRPr="00816657" w:rsidRDefault="00E029C2" w:rsidP="00FA0045">
            <w:pPr>
              <w:jc w:val="right"/>
              <w:cnfStyle w:val="000000000000"/>
            </w:pPr>
            <w:r w:rsidRPr="00816657">
              <w:t>...</w:t>
            </w:r>
          </w:p>
        </w:tc>
        <w:tc>
          <w:tcPr>
            <w:tcW w:w="993" w:type="dxa"/>
          </w:tcPr>
          <w:p w:rsidR="00E029C2" w:rsidRPr="00816657" w:rsidRDefault="00E029C2" w:rsidP="00FA0045">
            <w:pPr>
              <w:jc w:val="right"/>
              <w:cnfStyle w:val="000000000000"/>
            </w:pPr>
            <w:r w:rsidRPr="00816657">
              <w:t>-4.4%</w:t>
            </w:r>
          </w:p>
        </w:tc>
      </w:tr>
    </w:tbl>
    <w:p w:rsidR="00AF3044" w:rsidRPr="00816657" w:rsidRDefault="00AF3044" w:rsidP="007F5BD4">
      <w:pPr>
        <w:pStyle w:val="BodyText"/>
      </w:pPr>
    </w:p>
    <w:p w:rsidR="00133C32" w:rsidRPr="00816657" w:rsidRDefault="00133C32" w:rsidP="00655F62">
      <w:pPr>
        <w:pStyle w:val="Figures"/>
      </w:pPr>
      <w:bookmarkStart w:id="127" w:name="_Toc425849225"/>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7</w:t>
      </w:r>
      <w:r w:rsidR="006D07F5" w:rsidRPr="00816657">
        <w:rPr>
          <w:noProof/>
        </w:rPr>
        <w:fldChar w:fldCharType="end"/>
      </w:r>
      <w:r w:rsidRPr="00816657">
        <w:t xml:space="preserve">: </w:t>
      </w:r>
      <w:r w:rsidRPr="00816657">
        <w:tab/>
        <w:t>Best, high and low national projection estimates of alkalis waste to 2034</w:t>
      </w:r>
      <w:bookmarkEnd w:id="127"/>
    </w:p>
    <w:p w:rsidR="00E029C2" w:rsidRPr="00816657" w:rsidRDefault="00C05ED6">
      <w:pPr>
        <w:spacing w:line="240" w:lineRule="auto"/>
        <w:rPr>
          <w:rFonts w:ascii="Arial Rounded MT Bold" w:hAnsi="Arial Rounded MT Bold" w:cs="Arial"/>
          <w:color w:val="0000FF"/>
          <w:sz w:val="36"/>
          <w:szCs w:val="36"/>
        </w:rPr>
      </w:pPr>
      <w:r w:rsidRPr="00C05ED6">
        <w:rPr>
          <w:noProof/>
          <w:lang w:eastAsia="en-AU"/>
        </w:rPr>
        <w:drawing>
          <wp:inline distT="0" distB="0" distL="0" distR="0">
            <wp:extent cx="5571429" cy="229523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571429" cy="2295238"/>
                    </a:xfrm>
                    <a:prstGeom prst="rect">
                      <a:avLst/>
                    </a:prstGeom>
                  </pic:spPr>
                </pic:pic>
              </a:graphicData>
            </a:graphic>
          </wp:inline>
        </w:drawing>
      </w:r>
      <w:r w:rsidR="00E029C2" w:rsidRPr="00816657">
        <w:br w:type="page"/>
      </w:r>
    </w:p>
    <w:p w:rsidR="00133C32" w:rsidRPr="00816657" w:rsidRDefault="00133C32" w:rsidP="005D6078">
      <w:pPr>
        <w:pStyle w:val="Heading3"/>
      </w:pPr>
      <w:r w:rsidRPr="00816657">
        <w:lastRenderedPageBreak/>
        <w:t xml:space="preserve">D120. </w:t>
      </w:r>
      <w:r w:rsidR="00877CF8" w:rsidRPr="00816657">
        <w:t>Mercury; mercury compounds</w:t>
      </w:r>
      <w:r w:rsidRPr="00816657">
        <w:t xml:space="preserve"> </w:t>
      </w:r>
    </w:p>
    <w:p w:rsidR="00E714E1" w:rsidRDefault="00E714E1" w:rsidP="00E714E1">
      <w:pPr>
        <w:pStyle w:val="BodyText"/>
        <w:rPr>
          <w:rFonts w:cs="Times New Roman"/>
          <w:color w:val="000000"/>
          <w:szCs w:val="20"/>
          <w:lang w:eastAsia="en-AU"/>
        </w:rPr>
      </w:pPr>
      <w:r>
        <w:t xml:space="preserve">This group includes only the single NEPM code </w:t>
      </w:r>
      <w:r>
        <w:rPr>
          <w:i/>
        </w:rPr>
        <w:t>D12</w:t>
      </w:r>
      <w:r w:rsidRPr="00512EBD">
        <w:rPr>
          <w:i/>
        </w:rPr>
        <w:t xml:space="preserve">0 </w:t>
      </w:r>
      <w:r>
        <w:rPr>
          <w:rFonts w:cs="Times New Roman"/>
          <w:i/>
          <w:color w:val="000000"/>
          <w:szCs w:val="20"/>
          <w:lang w:eastAsia="en-AU"/>
        </w:rPr>
        <w:t>Mercury; mercury compounds</w:t>
      </w:r>
      <w:r>
        <w:rPr>
          <w:rFonts w:cs="Times New Roman"/>
          <w:color w:val="000000"/>
          <w:szCs w:val="20"/>
          <w:lang w:eastAsia="en-AU"/>
        </w:rPr>
        <w:t xml:space="preserve">. While volumes are very small, this waste has been singled out due to its inherent hazard, as evidenced by the </w:t>
      </w:r>
      <w:r w:rsidRPr="00997962">
        <w:rPr>
          <w:rFonts w:cs="Times New Roman"/>
          <w:i/>
          <w:color w:val="000000"/>
          <w:szCs w:val="20"/>
          <w:lang w:eastAsia="en-AU"/>
        </w:rPr>
        <w:t>Minamata Convention on Mercury</w:t>
      </w:r>
      <w:r>
        <w:rPr>
          <w:rStyle w:val="FootnoteReference"/>
          <w:rFonts w:cs="Times New Roman"/>
          <w:color w:val="000000"/>
          <w:szCs w:val="20"/>
          <w:lang w:eastAsia="en-AU"/>
        </w:rPr>
        <w:footnoteReference w:id="10"/>
      </w:r>
      <w:r>
        <w:rPr>
          <w:rFonts w:cs="Times New Roman"/>
          <w:color w:val="000000"/>
          <w:szCs w:val="20"/>
          <w:lang w:eastAsia="en-AU"/>
        </w:rPr>
        <w:t>.</w:t>
      </w:r>
    </w:p>
    <w:p w:rsidR="00E714E1" w:rsidRDefault="00E714E1" w:rsidP="00AF3044">
      <w:pPr>
        <w:pStyle w:val="BodyText"/>
        <w:rPr>
          <w:b/>
        </w:rPr>
      </w:pPr>
    </w:p>
    <w:p w:rsidR="00AF3044" w:rsidRPr="00816657" w:rsidRDefault="00AF3044" w:rsidP="00AF3044">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03"/>
        <w:gridCol w:w="2402"/>
        <w:gridCol w:w="2402"/>
        <w:gridCol w:w="2402"/>
      </w:tblGrid>
      <w:tr w:rsidR="00E42D11" w:rsidRPr="00816657" w:rsidTr="00EA7F18">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FA0045" w:rsidRPr="00816657" w:rsidTr="00EA7F18">
        <w:tc>
          <w:tcPr>
            <w:cnfStyle w:val="001000000000"/>
            <w:tcW w:w="1250" w:type="pct"/>
            <w:vMerge w:val="restart"/>
            <w:tcBorders>
              <w:top w:val="single" w:sz="4" w:space="0" w:color="7F7F7F" w:themeColor="background2"/>
            </w:tcBorders>
          </w:tcPr>
          <w:p w:rsidR="003765AA" w:rsidRPr="00220890" w:rsidRDefault="003765AA" w:rsidP="007F5BD4">
            <w:pPr>
              <w:pStyle w:val="Bullet1"/>
              <w:spacing w:before="0"/>
              <w:ind w:left="284" w:hanging="284"/>
            </w:pPr>
            <w:r w:rsidRPr="00220890">
              <w:rPr>
                <w:sz w:val="20"/>
              </w:rPr>
              <w:t>Chemical product manufacturing</w:t>
            </w:r>
          </w:p>
          <w:p w:rsidR="003765AA" w:rsidRPr="00220890" w:rsidRDefault="003765AA" w:rsidP="007F5BD4">
            <w:pPr>
              <w:pStyle w:val="Bullet1"/>
              <w:spacing w:before="0"/>
              <w:ind w:left="284" w:hanging="284"/>
            </w:pPr>
            <w:r w:rsidRPr="00220890">
              <w:rPr>
                <w:sz w:val="20"/>
              </w:rPr>
              <w:t>Fluorescent lamp collection programs</w:t>
            </w:r>
          </w:p>
          <w:p w:rsidR="003765AA" w:rsidRPr="00220890" w:rsidRDefault="003765AA" w:rsidP="007F5BD4">
            <w:pPr>
              <w:pStyle w:val="Bullet1"/>
              <w:spacing w:before="0"/>
              <w:ind w:left="284" w:hanging="284"/>
            </w:pPr>
            <w:r w:rsidRPr="00220890">
              <w:rPr>
                <w:sz w:val="20"/>
              </w:rPr>
              <w:t>Petroleum refining</w:t>
            </w:r>
          </w:p>
          <w:p w:rsidR="003765AA" w:rsidRPr="00220890" w:rsidRDefault="003765AA" w:rsidP="007F5BD4">
            <w:pPr>
              <w:pStyle w:val="Bullet1"/>
              <w:spacing w:before="0"/>
              <w:ind w:left="284" w:hanging="284"/>
            </w:pPr>
            <w:r w:rsidRPr="00220890">
              <w:rPr>
                <w:sz w:val="20"/>
              </w:rPr>
              <w:t>Fossil fuel electricity generation</w:t>
            </w:r>
          </w:p>
          <w:p w:rsidR="003765AA" w:rsidRPr="00220890" w:rsidRDefault="003765AA" w:rsidP="007F5BD4">
            <w:pPr>
              <w:pStyle w:val="Bullet1"/>
              <w:spacing w:before="0"/>
              <w:ind w:left="284" w:hanging="284"/>
            </w:pPr>
            <w:r w:rsidRPr="00220890">
              <w:rPr>
                <w:sz w:val="20"/>
              </w:rPr>
              <w:t xml:space="preserve">Coal Mining; </w:t>
            </w:r>
          </w:p>
          <w:p w:rsidR="00FA0045" w:rsidRPr="005E3D0E" w:rsidRDefault="003765AA" w:rsidP="007F5BD4">
            <w:pPr>
              <w:pStyle w:val="Bullet1"/>
              <w:spacing w:before="0"/>
              <w:ind w:left="284" w:hanging="284"/>
              <w:rPr>
                <w:lang w:eastAsia="en-AU"/>
              </w:rPr>
            </w:pPr>
            <w:r w:rsidRPr="00220890">
              <w:t>Hospitals; Teaching institutions</w:t>
            </w:r>
            <w:r w:rsidRPr="00220890" w:rsidDel="003765AA">
              <w:t xml:space="preserve"> </w:t>
            </w:r>
          </w:p>
        </w:tc>
        <w:tc>
          <w:tcPr>
            <w:tcW w:w="1250" w:type="pct"/>
            <w:tcBorders>
              <w:top w:val="single" w:sz="4" w:space="0" w:color="7F7F7F" w:themeColor="background2"/>
            </w:tcBorders>
          </w:tcPr>
          <w:p w:rsidR="00FA0045" w:rsidRPr="00816657" w:rsidRDefault="00FA0045"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FA0045" w:rsidRPr="00816657" w:rsidRDefault="00FA0045" w:rsidP="0020737E">
            <w:pPr>
              <w:pStyle w:val="BodyText"/>
              <w:cnfStyle w:val="000000000000"/>
              <w:rPr>
                <w:rFonts w:cs="Times New Roman"/>
                <w:color w:val="000000"/>
                <w:sz w:val="20"/>
                <w:szCs w:val="20"/>
                <w:lang w:eastAsia="en-AU"/>
              </w:rPr>
            </w:pPr>
            <w:r w:rsidRPr="00816657">
              <w:rPr>
                <w:rFonts w:cs="Times New Roman"/>
                <w:color w:val="000000"/>
                <w:sz w:val="20"/>
                <w:szCs w:val="20"/>
                <w:lang w:eastAsia="en-AU"/>
              </w:rPr>
              <w:t>Fluorescent lamps are expected to be increasingly outcompeted by LED lights</w:t>
            </w:r>
          </w:p>
        </w:tc>
        <w:tc>
          <w:tcPr>
            <w:tcW w:w="1250" w:type="pct"/>
            <w:tcBorders>
              <w:top w:val="single" w:sz="4" w:space="0" w:color="7F7F7F" w:themeColor="background2"/>
            </w:tcBorders>
          </w:tcPr>
          <w:p w:rsidR="00FA0045" w:rsidRPr="00816657" w:rsidRDefault="00FA0045"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causal analysis</w:t>
            </w:r>
          </w:p>
          <w:p w:rsidR="00FA0045" w:rsidRPr="00816657" w:rsidRDefault="00FA0045" w:rsidP="00EA7F18">
            <w:pPr>
              <w:spacing w:line="240" w:lineRule="auto"/>
              <w:cnfStyle w:val="000000000000"/>
              <w:rPr>
                <w:rFonts w:cs="Times New Roman"/>
                <w:color w:val="000000"/>
                <w:szCs w:val="20"/>
                <w:lang w:eastAsia="en-AU"/>
              </w:rPr>
            </w:pPr>
          </w:p>
        </w:tc>
      </w:tr>
      <w:tr w:rsidR="00FA0045" w:rsidRPr="00816657" w:rsidTr="00EA7F18">
        <w:tc>
          <w:tcPr>
            <w:cnfStyle w:val="001000000000"/>
            <w:tcW w:w="1250" w:type="pct"/>
            <w:vMerge/>
          </w:tcPr>
          <w:p w:rsidR="00FA0045" w:rsidRPr="00816657" w:rsidRDefault="00FA0045" w:rsidP="00AF3044">
            <w:pPr>
              <w:spacing w:line="240" w:lineRule="auto"/>
              <w:rPr>
                <w:rFonts w:cs="Times New Roman"/>
                <w:color w:val="000000"/>
                <w:szCs w:val="20"/>
                <w:lang w:eastAsia="en-AU"/>
              </w:rPr>
            </w:pPr>
          </w:p>
        </w:tc>
        <w:tc>
          <w:tcPr>
            <w:tcW w:w="1250" w:type="pct"/>
          </w:tcPr>
          <w:p w:rsidR="00FA0045" w:rsidRPr="00816657" w:rsidRDefault="00FA0045" w:rsidP="00AF3044">
            <w:pPr>
              <w:spacing w:line="240" w:lineRule="auto"/>
              <w:cnfStyle w:val="000000000000"/>
              <w:rPr>
                <w:rFonts w:cs="Times New Roman"/>
                <w:color w:val="000000"/>
                <w:szCs w:val="20"/>
                <w:lang w:eastAsia="en-AU"/>
              </w:rPr>
            </w:pPr>
            <w:r w:rsidRPr="00816657">
              <w:rPr>
                <w:rFonts w:cs="Times New Roman"/>
                <w:color w:val="000000"/>
                <w:szCs w:val="20"/>
                <w:lang w:eastAsia="en-AU"/>
              </w:rPr>
              <w:t>No historical data set exists that is adequate for discerning trends</w:t>
            </w:r>
          </w:p>
        </w:tc>
        <w:tc>
          <w:tcPr>
            <w:tcW w:w="1250" w:type="pct"/>
          </w:tcPr>
          <w:p w:rsidR="00FA0045" w:rsidRPr="00816657" w:rsidRDefault="00FA0045" w:rsidP="00AF3044">
            <w:pPr>
              <w:spacing w:line="240" w:lineRule="auto"/>
              <w:cnfStyle w:val="000000000000"/>
              <w:rPr>
                <w:rFonts w:cs="Times New Roman"/>
                <w:color w:val="000000"/>
                <w:szCs w:val="20"/>
                <w:lang w:eastAsia="en-AU"/>
              </w:rPr>
            </w:pPr>
            <w:r w:rsidRPr="00816657">
              <w:rPr>
                <w:rFonts w:cs="Times New Roman"/>
                <w:color w:val="000000"/>
                <w:szCs w:val="20"/>
                <w:lang w:eastAsia="en-AU"/>
              </w:rPr>
              <w:t>Fluorescent lamp recycling may nevertheless increase (current rates are low)</w:t>
            </w:r>
          </w:p>
        </w:tc>
        <w:tc>
          <w:tcPr>
            <w:tcW w:w="1250" w:type="pct"/>
          </w:tcPr>
          <w:p w:rsidR="00FA0045" w:rsidRPr="00816657" w:rsidRDefault="00FA0045" w:rsidP="00AF3044">
            <w:pPr>
              <w:spacing w:line="240" w:lineRule="auto"/>
              <w:cnfStyle w:val="000000000000"/>
              <w:rPr>
                <w:rFonts w:cs="Times New Roman"/>
                <w:color w:val="000000"/>
                <w:szCs w:val="20"/>
                <w:lang w:eastAsia="en-AU"/>
              </w:rPr>
            </w:pPr>
          </w:p>
        </w:tc>
      </w:tr>
      <w:tr w:rsidR="00FA0045" w:rsidRPr="00816657" w:rsidTr="00EA7F18">
        <w:tc>
          <w:tcPr>
            <w:cnfStyle w:val="001000000000"/>
            <w:tcW w:w="1250" w:type="pct"/>
            <w:vMerge/>
          </w:tcPr>
          <w:p w:rsidR="00FA0045" w:rsidRPr="00816657" w:rsidRDefault="00FA0045" w:rsidP="00EA7F18">
            <w:pPr>
              <w:spacing w:line="240" w:lineRule="auto"/>
              <w:rPr>
                <w:rFonts w:cs="Times New Roman"/>
                <w:color w:val="000000"/>
                <w:szCs w:val="20"/>
                <w:lang w:eastAsia="en-AU"/>
              </w:rPr>
            </w:pPr>
          </w:p>
        </w:tc>
        <w:tc>
          <w:tcPr>
            <w:tcW w:w="1250" w:type="pct"/>
          </w:tcPr>
          <w:p w:rsidR="00FA0045" w:rsidRPr="00816657" w:rsidRDefault="00FA0045" w:rsidP="00EA7F18">
            <w:pPr>
              <w:cnfStyle w:val="000000000000"/>
              <w:rPr>
                <w:rFonts w:cs="Times New Roman"/>
                <w:color w:val="000000"/>
                <w:szCs w:val="20"/>
                <w:lang w:eastAsia="en-AU"/>
              </w:rPr>
            </w:pPr>
          </w:p>
        </w:tc>
        <w:tc>
          <w:tcPr>
            <w:tcW w:w="1250" w:type="pct"/>
          </w:tcPr>
          <w:p w:rsidR="00FA0045" w:rsidRPr="00816657" w:rsidRDefault="00FA0045" w:rsidP="00EA7F18">
            <w:pPr>
              <w:spacing w:line="240" w:lineRule="auto"/>
              <w:cnfStyle w:val="000000000000"/>
              <w:rPr>
                <w:rFonts w:cs="Times New Roman"/>
                <w:color w:val="000000"/>
                <w:szCs w:val="20"/>
                <w:lang w:eastAsia="en-AU"/>
              </w:rPr>
            </w:pPr>
            <w:r w:rsidRPr="00816657">
              <w:rPr>
                <w:rFonts w:cs="Times New Roman"/>
                <w:color w:val="000000"/>
                <w:szCs w:val="20"/>
                <w:lang w:eastAsia="en-AU"/>
              </w:rPr>
              <w:t>Minamata ratification (if it occurs) is likely to drive increased collection of fluoro lamps</w:t>
            </w:r>
          </w:p>
        </w:tc>
        <w:tc>
          <w:tcPr>
            <w:tcW w:w="1250" w:type="pct"/>
          </w:tcPr>
          <w:p w:rsidR="00FA0045" w:rsidRPr="00816657" w:rsidRDefault="00FA0045" w:rsidP="00EA7F18">
            <w:pPr>
              <w:cnfStyle w:val="000000000000"/>
              <w:rPr>
                <w:rFonts w:cs="Times New Roman"/>
                <w:color w:val="000000"/>
                <w:szCs w:val="20"/>
                <w:lang w:eastAsia="en-AU"/>
              </w:rPr>
            </w:pPr>
          </w:p>
        </w:tc>
      </w:tr>
      <w:tr w:rsidR="00FA0045" w:rsidRPr="00816657" w:rsidTr="00EA7F18">
        <w:tc>
          <w:tcPr>
            <w:cnfStyle w:val="001000000000"/>
            <w:tcW w:w="1250" w:type="pct"/>
            <w:vMerge/>
          </w:tcPr>
          <w:p w:rsidR="00FA0045" w:rsidRPr="00816657" w:rsidRDefault="00FA0045" w:rsidP="00EA7F18">
            <w:pPr>
              <w:spacing w:line="240" w:lineRule="auto"/>
              <w:rPr>
                <w:rFonts w:cs="Times New Roman"/>
                <w:color w:val="000000"/>
                <w:szCs w:val="20"/>
                <w:lang w:eastAsia="en-AU"/>
              </w:rPr>
            </w:pPr>
          </w:p>
        </w:tc>
        <w:tc>
          <w:tcPr>
            <w:tcW w:w="1250" w:type="pct"/>
          </w:tcPr>
          <w:p w:rsidR="00FA0045" w:rsidRPr="00816657" w:rsidRDefault="00FA0045" w:rsidP="00EA7F18">
            <w:pPr>
              <w:cnfStyle w:val="000000000000"/>
              <w:rPr>
                <w:rFonts w:cs="Times New Roman"/>
                <w:color w:val="000000"/>
                <w:szCs w:val="20"/>
                <w:lang w:eastAsia="en-AU"/>
              </w:rPr>
            </w:pPr>
          </w:p>
        </w:tc>
        <w:tc>
          <w:tcPr>
            <w:tcW w:w="1250" w:type="pct"/>
          </w:tcPr>
          <w:p w:rsidR="00FA0045" w:rsidRPr="00816657" w:rsidRDefault="00FA0045" w:rsidP="00AF3044">
            <w:pPr>
              <w:pStyle w:val="BodyText"/>
              <w:cnfStyle w:val="000000000000"/>
              <w:rPr>
                <w:rFonts w:cs="Times New Roman"/>
                <w:color w:val="000000"/>
                <w:sz w:val="20"/>
                <w:szCs w:val="20"/>
                <w:lang w:eastAsia="en-AU"/>
              </w:rPr>
            </w:pPr>
            <w:r w:rsidRPr="00816657">
              <w:rPr>
                <w:rFonts w:cs="Times New Roman"/>
                <w:color w:val="000000"/>
                <w:sz w:val="20"/>
                <w:szCs w:val="20"/>
                <w:lang w:eastAsia="en-AU"/>
              </w:rPr>
              <w:t>Mining catalyst waste might be processed in Australia</w:t>
            </w:r>
          </w:p>
        </w:tc>
        <w:tc>
          <w:tcPr>
            <w:tcW w:w="1250" w:type="pct"/>
          </w:tcPr>
          <w:p w:rsidR="00FA0045" w:rsidRPr="00816657" w:rsidRDefault="00FA0045" w:rsidP="00EA7F18">
            <w:pPr>
              <w:cnfStyle w:val="000000000000"/>
              <w:rPr>
                <w:rFonts w:cs="Times New Roman"/>
                <w:color w:val="000000"/>
                <w:szCs w:val="20"/>
                <w:lang w:eastAsia="en-AU"/>
              </w:rPr>
            </w:pPr>
          </w:p>
        </w:tc>
      </w:tr>
    </w:tbl>
    <w:p w:rsidR="00AF3044" w:rsidRPr="00816657" w:rsidRDefault="00AF3044" w:rsidP="00607B3E">
      <w:pPr>
        <w:pStyle w:val="BodyText"/>
        <w:rPr>
          <w:b/>
        </w:rPr>
      </w:pPr>
    </w:p>
    <w:p w:rsidR="00607B3E" w:rsidRPr="00816657" w:rsidRDefault="00607B3E" w:rsidP="00655F62">
      <w:pPr>
        <w:pStyle w:val="Figures"/>
      </w:pPr>
      <w:bookmarkStart w:id="128" w:name="_Toc425849296"/>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11</w:t>
      </w:r>
      <w:r w:rsidR="006D07F5" w:rsidRPr="00816657">
        <w:rPr>
          <w:noProof/>
        </w:rPr>
        <w:fldChar w:fldCharType="end"/>
      </w:r>
      <w:r w:rsidRPr="00816657">
        <w:t xml:space="preserve">: </w:t>
      </w:r>
      <w:r w:rsidRPr="00816657">
        <w:tab/>
        <w:t>Best, high and low projected rates of change for mercury; mercury compounds waste to 2034</w:t>
      </w:r>
      <w:bookmarkEnd w:id="128"/>
    </w:p>
    <w:tbl>
      <w:tblPr>
        <w:tblStyle w:val="BETable1"/>
        <w:tblW w:w="10065" w:type="dxa"/>
        <w:tblLayout w:type="fixed"/>
        <w:tblLook w:val="04A0"/>
      </w:tblPr>
      <w:tblGrid>
        <w:gridCol w:w="567"/>
        <w:gridCol w:w="1134"/>
        <w:gridCol w:w="5812"/>
        <w:gridCol w:w="567"/>
        <w:gridCol w:w="284"/>
        <w:gridCol w:w="708"/>
        <w:gridCol w:w="284"/>
        <w:gridCol w:w="709"/>
      </w:tblGrid>
      <w:tr w:rsidR="00E029C2" w:rsidRPr="00816657" w:rsidTr="00AF3044">
        <w:trPr>
          <w:cnfStyle w:val="100000000000"/>
        </w:trPr>
        <w:tc>
          <w:tcPr>
            <w:cnfStyle w:val="001000000000"/>
            <w:tcW w:w="567" w:type="dxa"/>
          </w:tcPr>
          <w:p w:rsidR="00E029C2" w:rsidRPr="00816657" w:rsidRDefault="00E029C2" w:rsidP="00D178A0"/>
        </w:tc>
        <w:tc>
          <w:tcPr>
            <w:tcW w:w="1134" w:type="dxa"/>
          </w:tcPr>
          <w:p w:rsidR="00E029C2" w:rsidRPr="00816657" w:rsidRDefault="00E029C2" w:rsidP="00D178A0">
            <w:pPr>
              <w:cnfStyle w:val="100000000000"/>
            </w:pPr>
            <w:r w:rsidRPr="00816657">
              <w:t>Applies to</w:t>
            </w:r>
          </w:p>
        </w:tc>
        <w:tc>
          <w:tcPr>
            <w:tcW w:w="5812" w:type="dxa"/>
          </w:tcPr>
          <w:p w:rsidR="00E029C2" w:rsidRPr="00816657" w:rsidRDefault="00E029C2" w:rsidP="00D178A0">
            <w:pPr>
              <w:cnfStyle w:val="100000000000"/>
            </w:pPr>
            <w:r w:rsidRPr="00816657">
              <w:t>Approach</w:t>
            </w:r>
          </w:p>
        </w:tc>
        <w:tc>
          <w:tcPr>
            <w:tcW w:w="567" w:type="dxa"/>
          </w:tcPr>
          <w:p w:rsidR="00E029C2" w:rsidRPr="00816657" w:rsidRDefault="00E029C2" w:rsidP="00DF1E42">
            <w:pPr>
              <w:jc w:val="right"/>
              <w:cnfStyle w:val="100000000000"/>
            </w:pPr>
            <w:r w:rsidRPr="00816657">
              <w:t>2014</w:t>
            </w:r>
          </w:p>
        </w:tc>
        <w:tc>
          <w:tcPr>
            <w:tcW w:w="284" w:type="dxa"/>
          </w:tcPr>
          <w:p w:rsidR="00E029C2" w:rsidRPr="00816657" w:rsidRDefault="00E029C2" w:rsidP="00DF1E42">
            <w:pPr>
              <w:jc w:val="right"/>
              <w:cnfStyle w:val="100000000000"/>
            </w:pPr>
            <w:r w:rsidRPr="00816657">
              <w:t>...</w:t>
            </w:r>
          </w:p>
        </w:tc>
        <w:tc>
          <w:tcPr>
            <w:tcW w:w="708" w:type="dxa"/>
          </w:tcPr>
          <w:p w:rsidR="00E029C2" w:rsidRPr="00816657" w:rsidRDefault="00E029C2" w:rsidP="00DF1E42">
            <w:pPr>
              <w:jc w:val="right"/>
              <w:cnfStyle w:val="100000000000"/>
            </w:pPr>
            <w:r w:rsidRPr="00816657">
              <w:t>2024</w:t>
            </w:r>
          </w:p>
        </w:tc>
        <w:tc>
          <w:tcPr>
            <w:tcW w:w="284" w:type="dxa"/>
          </w:tcPr>
          <w:p w:rsidR="00E029C2" w:rsidRPr="00816657" w:rsidRDefault="00E029C2" w:rsidP="00DF1E42">
            <w:pPr>
              <w:jc w:val="right"/>
              <w:cnfStyle w:val="100000000000"/>
            </w:pPr>
            <w:r w:rsidRPr="00816657">
              <w:t>...</w:t>
            </w:r>
          </w:p>
        </w:tc>
        <w:tc>
          <w:tcPr>
            <w:tcW w:w="709" w:type="dxa"/>
          </w:tcPr>
          <w:p w:rsidR="00E029C2" w:rsidRPr="00816657" w:rsidRDefault="00E029C2" w:rsidP="00DF1E42">
            <w:pPr>
              <w:jc w:val="right"/>
              <w:cnfStyle w:val="100000000000"/>
            </w:pPr>
            <w:r w:rsidRPr="00816657">
              <w:t>2034</w:t>
            </w:r>
          </w:p>
        </w:tc>
      </w:tr>
      <w:tr w:rsidR="00E029C2" w:rsidRPr="00816657" w:rsidTr="00AF3044">
        <w:tc>
          <w:tcPr>
            <w:cnfStyle w:val="001000000000"/>
            <w:tcW w:w="567" w:type="dxa"/>
          </w:tcPr>
          <w:p w:rsidR="00E029C2" w:rsidRPr="00816657" w:rsidRDefault="00E029C2" w:rsidP="00D178A0">
            <w:r w:rsidRPr="00816657">
              <w:t>Best</w:t>
            </w:r>
          </w:p>
        </w:tc>
        <w:tc>
          <w:tcPr>
            <w:tcW w:w="1134" w:type="dxa"/>
            <w:vMerge w:val="restart"/>
            <w:vAlign w:val="center"/>
          </w:tcPr>
          <w:p w:rsidR="00E029C2" w:rsidRPr="00816657" w:rsidRDefault="00E029C2" w:rsidP="00D178A0">
            <w:pPr>
              <w:cnfStyle w:val="000000000000"/>
            </w:pPr>
            <w:r w:rsidRPr="00816657">
              <w:t>ACT, NSW, NT, Qld, SA, Tas, Vic, WA</w:t>
            </w:r>
          </w:p>
        </w:tc>
        <w:tc>
          <w:tcPr>
            <w:tcW w:w="5812" w:type="dxa"/>
          </w:tcPr>
          <w:p w:rsidR="00E029C2" w:rsidRPr="00816657" w:rsidRDefault="00E029C2" w:rsidP="00D178A0">
            <w:pPr>
              <w:cnfStyle w:val="000000000000"/>
            </w:pPr>
            <w:r w:rsidRPr="00816657">
              <w:t>Improved recovery but after 10 yrs, declining fluoro lamp production</w:t>
            </w:r>
          </w:p>
        </w:tc>
        <w:tc>
          <w:tcPr>
            <w:tcW w:w="567" w:type="dxa"/>
          </w:tcPr>
          <w:p w:rsidR="00E029C2" w:rsidRPr="00816657" w:rsidRDefault="00E029C2" w:rsidP="00DF1E42">
            <w:pPr>
              <w:jc w:val="right"/>
              <w:cnfStyle w:val="000000000000"/>
            </w:pPr>
            <w:r w:rsidRPr="00816657">
              <w:t>1.0%</w:t>
            </w:r>
          </w:p>
        </w:tc>
        <w:tc>
          <w:tcPr>
            <w:tcW w:w="284" w:type="dxa"/>
          </w:tcPr>
          <w:p w:rsidR="00E029C2" w:rsidRPr="00816657" w:rsidRDefault="00E029C2" w:rsidP="00DF1E42">
            <w:pPr>
              <w:jc w:val="right"/>
              <w:cnfStyle w:val="000000000000"/>
            </w:pPr>
            <w:r w:rsidRPr="00816657">
              <w:t>...</w:t>
            </w:r>
          </w:p>
        </w:tc>
        <w:tc>
          <w:tcPr>
            <w:tcW w:w="708" w:type="dxa"/>
          </w:tcPr>
          <w:p w:rsidR="00E029C2" w:rsidRPr="00816657" w:rsidRDefault="00E029C2" w:rsidP="00DF1E42">
            <w:pPr>
              <w:jc w:val="right"/>
              <w:cnfStyle w:val="000000000000"/>
            </w:pPr>
            <w:r w:rsidRPr="00816657">
              <w:t>-1.0%</w:t>
            </w:r>
          </w:p>
        </w:tc>
        <w:tc>
          <w:tcPr>
            <w:tcW w:w="284" w:type="dxa"/>
          </w:tcPr>
          <w:p w:rsidR="00E029C2" w:rsidRPr="00816657" w:rsidRDefault="00E029C2" w:rsidP="00DF1E42">
            <w:pPr>
              <w:jc w:val="right"/>
              <w:cnfStyle w:val="000000000000"/>
            </w:pPr>
            <w:r w:rsidRPr="00816657">
              <w:t>...</w:t>
            </w:r>
          </w:p>
        </w:tc>
        <w:tc>
          <w:tcPr>
            <w:tcW w:w="709" w:type="dxa"/>
          </w:tcPr>
          <w:p w:rsidR="00E029C2" w:rsidRPr="00816657" w:rsidRDefault="00E029C2" w:rsidP="00DF1E42">
            <w:pPr>
              <w:jc w:val="right"/>
              <w:cnfStyle w:val="000000000000"/>
            </w:pPr>
            <w:r w:rsidRPr="00816657">
              <w:t>-1.0%</w:t>
            </w:r>
          </w:p>
        </w:tc>
      </w:tr>
      <w:tr w:rsidR="00E029C2" w:rsidRPr="00816657" w:rsidTr="00AF3044">
        <w:tc>
          <w:tcPr>
            <w:cnfStyle w:val="001000000000"/>
            <w:tcW w:w="567" w:type="dxa"/>
          </w:tcPr>
          <w:p w:rsidR="00E029C2" w:rsidRPr="00816657" w:rsidRDefault="00E029C2" w:rsidP="00D178A0">
            <w:r w:rsidRPr="00816657">
              <w:t>High</w:t>
            </w:r>
          </w:p>
        </w:tc>
        <w:tc>
          <w:tcPr>
            <w:tcW w:w="1134" w:type="dxa"/>
            <w:vMerge/>
            <w:vAlign w:val="center"/>
          </w:tcPr>
          <w:p w:rsidR="00E029C2" w:rsidRPr="00816657" w:rsidRDefault="00E029C2" w:rsidP="00D178A0">
            <w:pPr>
              <w:cnfStyle w:val="000000000000"/>
            </w:pPr>
          </w:p>
        </w:tc>
        <w:tc>
          <w:tcPr>
            <w:tcW w:w="5812" w:type="dxa"/>
          </w:tcPr>
          <w:p w:rsidR="00E029C2" w:rsidRPr="00816657" w:rsidRDefault="00E029C2" w:rsidP="00D178A0">
            <w:pPr>
              <w:cnfStyle w:val="000000000000"/>
            </w:pPr>
            <w:r w:rsidRPr="00816657">
              <w:t>Best + 3%; Minamata in 5 yrs drives further temporary increase</w:t>
            </w:r>
          </w:p>
        </w:tc>
        <w:tc>
          <w:tcPr>
            <w:tcW w:w="567" w:type="dxa"/>
          </w:tcPr>
          <w:p w:rsidR="00E029C2" w:rsidRPr="00816657" w:rsidRDefault="00E029C2" w:rsidP="00DF1E42">
            <w:pPr>
              <w:jc w:val="right"/>
              <w:cnfStyle w:val="000000000000"/>
            </w:pPr>
            <w:r w:rsidRPr="00816657">
              <w:t>4.0%</w:t>
            </w:r>
          </w:p>
        </w:tc>
        <w:tc>
          <w:tcPr>
            <w:tcW w:w="284" w:type="dxa"/>
          </w:tcPr>
          <w:p w:rsidR="00E029C2" w:rsidRPr="00816657" w:rsidRDefault="00E029C2" w:rsidP="00DF1E42">
            <w:pPr>
              <w:jc w:val="right"/>
              <w:cnfStyle w:val="000000000000"/>
            </w:pPr>
            <w:r w:rsidRPr="00816657">
              <w:t>...</w:t>
            </w:r>
          </w:p>
        </w:tc>
        <w:tc>
          <w:tcPr>
            <w:tcW w:w="708" w:type="dxa"/>
          </w:tcPr>
          <w:p w:rsidR="00E029C2" w:rsidRPr="00816657" w:rsidRDefault="00E029C2" w:rsidP="00DF1E42">
            <w:pPr>
              <w:jc w:val="right"/>
              <w:cnfStyle w:val="000000000000"/>
            </w:pPr>
            <w:r w:rsidRPr="00816657">
              <w:t>0.0%</w:t>
            </w:r>
          </w:p>
        </w:tc>
        <w:tc>
          <w:tcPr>
            <w:tcW w:w="284" w:type="dxa"/>
          </w:tcPr>
          <w:p w:rsidR="00E029C2" w:rsidRPr="00816657" w:rsidRDefault="00E029C2" w:rsidP="00DF1E42">
            <w:pPr>
              <w:jc w:val="right"/>
              <w:cnfStyle w:val="000000000000"/>
            </w:pPr>
            <w:r w:rsidRPr="00816657">
              <w:t>...</w:t>
            </w:r>
          </w:p>
        </w:tc>
        <w:tc>
          <w:tcPr>
            <w:tcW w:w="709" w:type="dxa"/>
          </w:tcPr>
          <w:p w:rsidR="00E029C2" w:rsidRPr="00816657" w:rsidRDefault="00E029C2" w:rsidP="00DF1E42">
            <w:pPr>
              <w:jc w:val="right"/>
              <w:cnfStyle w:val="000000000000"/>
            </w:pPr>
            <w:r w:rsidRPr="00816657">
              <w:t>0.0%</w:t>
            </w:r>
          </w:p>
        </w:tc>
      </w:tr>
      <w:tr w:rsidR="00E029C2" w:rsidRPr="00816657" w:rsidTr="00AF3044">
        <w:tc>
          <w:tcPr>
            <w:cnfStyle w:val="001000000000"/>
            <w:tcW w:w="567" w:type="dxa"/>
          </w:tcPr>
          <w:p w:rsidR="00E029C2" w:rsidRPr="00816657" w:rsidRDefault="00E029C2" w:rsidP="00D178A0">
            <w:r w:rsidRPr="00816657">
              <w:t>Low</w:t>
            </w:r>
          </w:p>
        </w:tc>
        <w:tc>
          <w:tcPr>
            <w:tcW w:w="1134" w:type="dxa"/>
            <w:vMerge/>
            <w:vAlign w:val="center"/>
          </w:tcPr>
          <w:p w:rsidR="00E029C2" w:rsidRPr="00816657" w:rsidRDefault="00E029C2" w:rsidP="00D178A0">
            <w:pPr>
              <w:cnfStyle w:val="000000000000"/>
            </w:pPr>
          </w:p>
        </w:tc>
        <w:tc>
          <w:tcPr>
            <w:tcW w:w="5812" w:type="dxa"/>
          </w:tcPr>
          <w:p w:rsidR="00E029C2" w:rsidRPr="00816657" w:rsidRDefault="00E029C2" w:rsidP="00D178A0">
            <w:pPr>
              <w:cnfStyle w:val="000000000000"/>
            </w:pPr>
            <w:r w:rsidRPr="00816657">
              <w:t>Decline in fluorescent lamp production, no increase in recovery</w:t>
            </w:r>
          </w:p>
        </w:tc>
        <w:tc>
          <w:tcPr>
            <w:tcW w:w="567" w:type="dxa"/>
          </w:tcPr>
          <w:p w:rsidR="00E029C2" w:rsidRPr="00816657" w:rsidRDefault="00E029C2" w:rsidP="00DF1E42">
            <w:pPr>
              <w:jc w:val="right"/>
              <w:cnfStyle w:val="000000000000"/>
            </w:pPr>
            <w:r w:rsidRPr="00816657">
              <w:t>0.0%</w:t>
            </w:r>
          </w:p>
        </w:tc>
        <w:tc>
          <w:tcPr>
            <w:tcW w:w="284" w:type="dxa"/>
          </w:tcPr>
          <w:p w:rsidR="00E029C2" w:rsidRPr="00816657" w:rsidRDefault="00E029C2" w:rsidP="00DF1E42">
            <w:pPr>
              <w:jc w:val="right"/>
              <w:cnfStyle w:val="000000000000"/>
            </w:pPr>
            <w:r w:rsidRPr="00816657">
              <w:t>...</w:t>
            </w:r>
          </w:p>
        </w:tc>
        <w:tc>
          <w:tcPr>
            <w:tcW w:w="708" w:type="dxa"/>
          </w:tcPr>
          <w:p w:rsidR="00E029C2" w:rsidRPr="00816657" w:rsidRDefault="00E029C2" w:rsidP="00DF1E42">
            <w:pPr>
              <w:jc w:val="right"/>
              <w:cnfStyle w:val="000000000000"/>
            </w:pPr>
            <w:r w:rsidRPr="00816657">
              <w:t>-3.0%</w:t>
            </w:r>
          </w:p>
        </w:tc>
        <w:tc>
          <w:tcPr>
            <w:tcW w:w="284" w:type="dxa"/>
          </w:tcPr>
          <w:p w:rsidR="00E029C2" w:rsidRPr="00816657" w:rsidRDefault="00E029C2" w:rsidP="00DF1E42">
            <w:pPr>
              <w:jc w:val="right"/>
              <w:cnfStyle w:val="000000000000"/>
            </w:pPr>
            <w:r w:rsidRPr="00816657">
              <w:t>...</w:t>
            </w:r>
          </w:p>
        </w:tc>
        <w:tc>
          <w:tcPr>
            <w:tcW w:w="709" w:type="dxa"/>
          </w:tcPr>
          <w:p w:rsidR="00E029C2" w:rsidRPr="00816657" w:rsidRDefault="00E029C2" w:rsidP="00DF1E42">
            <w:pPr>
              <w:jc w:val="right"/>
              <w:cnfStyle w:val="000000000000"/>
            </w:pPr>
            <w:r w:rsidRPr="00816657">
              <w:t>-3.0%</w:t>
            </w:r>
          </w:p>
        </w:tc>
      </w:tr>
    </w:tbl>
    <w:p w:rsidR="00AF3044" w:rsidRPr="00816657" w:rsidRDefault="00AF3044" w:rsidP="007F5BD4">
      <w:pPr>
        <w:pStyle w:val="BodyText"/>
      </w:pPr>
    </w:p>
    <w:p w:rsidR="00133C32" w:rsidRPr="00816657" w:rsidRDefault="00133C32" w:rsidP="00655F62">
      <w:pPr>
        <w:pStyle w:val="Figures"/>
      </w:pPr>
      <w:bookmarkStart w:id="129" w:name="_Toc425849226"/>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8</w:t>
      </w:r>
      <w:r w:rsidR="006D07F5" w:rsidRPr="00816657">
        <w:rPr>
          <w:noProof/>
        </w:rPr>
        <w:fldChar w:fldCharType="end"/>
      </w:r>
      <w:r w:rsidRPr="00816657">
        <w:t xml:space="preserve">: </w:t>
      </w:r>
      <w:r w:rsidRPr="00816657">
        <w:tab/>
        <w:t xml:space="preserve">Best, high and low national projection estimates of </w:t>
      </w:r>
      <w:r w:rsidR="00877CF8" w:rsidRPr="00816657">
        <w:t>mercury; mercury compounds</w:t>
      </w:r>
      <w:r w:rsidRPr="00816657">
        <w:t xml:space="preserve"> waste to 2034</w:t>
      </w:r>
      <w:bookmarkEnd w:id="129"/>
    </w:p>
    <w:p w:rsidR="00AD58B0" w:rsidRPr="00816657" w:rsidRDefault="00C05ED6">
      <w:pPr>
        <w:spacing w:line="240" w:lineRule="auto"/>
        <w:rPr>
          <w:rFonts w:ascii="Arial Rounded MT Bold" w:hAnsi="Arial Rounded MT Bold" w:cs="Arial"/>
          <w:color w:val="0000FF"/>
          <w:sz w:val="36"/>
          <w:szCs w:val="36"/>
        </w:rPr>
      </w:pPr>
      <w:r w:rsidRPr="00C05ED6">
        <w:rPr>
          <w:noProof/>
          <w:lang w:eastAsia="en-AU"/>
        </w:rPr>
        <w:drawing>
          <wp:inline distT="0" distB="0" distL="0" distR="0">
            <wp:extent cx="5695238" cy="2228572"/>
            <wp:effectExtent l="0" t="0" r="127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695238" cy="2228572"/>
                    </a:xfrm>
                    <a:prstGeom prst="rect">
                      <a:avLst/>
                    </a:prstGeom>
                  </pic:spPr>
                </pic:pic>
              </a:graphicData>
            </a:graphic>
          </wp:inline>
        </w:drawing>
      </w:r>
      <w:r w:rsidR="00AD58B0" w:rsidRPr="00816657">
        <w:br w:type="page"/>
      </w:r>
    </w:p>
    <w:p w:rsidR="00877CF8" w:rsidRDefault="00877CF8" w:rsidP="005D6078">
      <w:pPr>
        <w:pStyle w:val="Heading3"/>
      </w:pPr>
      <w:r w:rsidRPr="00816657">
        <w:lastRenderedPageBreak/>
        <w:t xml:space="preserve">D220. Lead; lead compounds </w:t>
      </w:r>
    </w:p>
    <w:p w:rsidR="00D12722" w:rsidRDefault="00D12722" w:rsidP="00D12722">
      <w:pPr>
        <w:pStyle w:val="BodyText"/>
        <w:rPr>
          <w:rFonts w:cs="Times New Roman"/>
          <w:color w:val="000000"/>
          <w:szCs w:val="20"/>
          <w:lang w:eastAsia="en-AU"/>
        </w:rPr>
      </w:pPr>
      <w:r>
        <w:t xml:space="preserve">This group includes only the single NEPM code </w:t>
      </w:r>
      <w:r>
        <w:rPr>
          <w:i/>
        </w:rPr>
        <w:t>D22</w:t>
      </w:r>
      <w:r w:rsidRPr="00512EBD">
        <w:rPr>
          <w:i/>
        </w:rPr>
        <w:t xml:space="preserve">0 </w:t>
      </w:r>
      <w:r>
        <w:rPr>
          <w:rFonts w:cs="Times New Roman"/>
          <w:i/>
          <w:color w:val="000000"/>
          <w:szCs w:val="20"/>
          <w:lang w:eastAsia="en-AU"/>
        </w:rPr>
        <w:t>Lead; lead compounds</w:t>
      </w:r>
      <w:r>
        <w:rPr>
          <w:rFonts w:cs="Times New Roman"/>
          <w:color w:val="000000"/>
          <w:szCs w:val="20"/>
          <w:lang w:eastAsia="en-AU"/>
        </w:rPr>
        <w:t xml:space="preserve">. </w:t>
      </w:r>
      <w:r w:rsidRPr="00554844">
        <w:rPr>
          <w:rFonts w:cs="Times New Roman"/>
          <w:color w:val="000000"/>
          <w:szCs w:val="20"/>
          <w:lang w:eastAsia="en-AU"/>
        </w:rPr>
        <w:t xml:space="preserve">A significant component of lead waste in Australia is from </w:t>
      </w:r>
      <w:r>
        <w:rPr>
          <w:rFonts w:cs="Times New Roman"/>
          <w:color w:val="000000"/>
          <w:szCs w:val="20"/>
          <w:lang w:eastAsia="en-AU"/>
        </w:rPr>
        <w:t xml:space="preserve">end of life </w:t>
      </w:r>
      <w:r w:rsidRPr="00554844">
        <w:rPr>
          <w:rFonts w:cs="Times New Roman"/>
          <w:color w:val="000000"/>
          <w:szCs w:val="20"/>
          <w:lang w:eastAsia="en-AU"/>
        </w:rPr>
        <w:t>lead acid batteries. Leaded glass is another waste</w:t>
      </w:r>
      <w:r>
        <w:rPr>
          <w:rFonts w:cs="Times New Roman"/>
          <w:color w:val="000000"/>
          <w:szCs w:val="20"/>
          <w:lang w:eastAsia="en-AU"/>
        </w:rPr>
        <w:t xml:space="preserve"> </w:t>
      </w:r>
      <w:r w:rsidRPr="00554844">
        <w:rPr>
          <w:rFonts w:cs="Times New Roman"/>
          <w:color w:val="000000"/>
          <w:szCs w:val="20"/>
          <w:lang w:eastAsia="en-AU"/>
        </w:rPr>
        <w:t>stream that has emerged from the e-waste recycling industry, where cathode ray television/ monitor (CRT) glass contains large quantities of lead.</w:t>
      </w:r>
      <w:r>
        <w:rPr>
          <w:rFonts w:cs="Times New Roman"/>
          <w:color w:val="000000"/>
          <w:szCs w:val="20"/>
          <w:lang w:eastAsia="en-AU"/>
        </w:rPr>
        <w:t xml:space="preserve"> </w:t>
      </w:r>
    </w:p>
    <w:p w:rsidR="00D12722" w:rsidRDefault="00D12722" w:rsidP="00D12722">
      <w:pPr>
        <w:pStyle w:val="BodyText"/>
        <w:rPr>
          <w:rFonts w:cs="Times New Roman"/>
          <w:color w:val="000000"/>
          <w:szCs w:val="20"/>
          <w:lang w:eastAsia="en-AU"/>
        </w:rPr>
      </w:pPr>
    </w:p>
    <w:p w:rsidR="00D12722" w:rsidRDefault="00D12722" w:rsidP="00D12722">
      <w:pPr>
        <w:pStyle w:val="BodyText"/>
        <w:rPr>
          <w:rFonts w:cs="Times New Roman"/>
          <w:color w:val="000000"/>
          <w:szCs w:val="20"/>
          <w:lang w:eastAsia="en-AU"/>
        </w:rPr>
      </w:pPr>
      <w:r w:rsidRPr="00554844">
        <w:rPr>
          <w:rFonts w:cs="Times New Roman"/>
          <w:color w:val="000000"/>
          <w:szCs w:val="20"/>
          <w:lang w:eastAsia="en-AU"/>
        </w:rPr>
        <w:t>Australia has the world’s largest deposits of both lead and zinc and as a result, both are mine</w:t>
      </w:r>
      <w:r>
        <w:rPr>
          <w:rFonts w:cs="Times New Roman"/>
          <w:color w:val="000000"/>
          <w:szCs w:val="20"/>
          <w:lang w:eastAsia="en-AU"/>
        </w:rPr>
        <w:t>d and used locally and exported</w:t>
      </w:r>
      <w:r>
        <w:rPr>
          <w:rStyle w:val="FootnoteReference"/>
          <w:rFonts w:cs="Times New Roman"/>
          <w:color w:val="000000"/>
          <w:szCs w:val="20"/>
          <w:lang w:eastAsia="en-AU"/>
        </w:rPr>
        <w:footnoteReference w:id="11"/>
      </w:r>
      <w:r w:rsidRPr="00554844">
        <w:rPr>
          <w:rFonts w:cs="Times New Roman"/>
          <w:color w:val="000000"/>
          <w:szCs w:val="20"/>
          <w:lang w:eastAsia="en-AU"/>
        </w:rPr>
        <w:t>.</w:t>
      </w:r>
    </w:p>
    <w:p w:rsidR="009A6923" w:rsidRPr="005E3D0E" w:rsidRDefault="009A6923" w:rsidP="007F5BD4">
      <w:pPr>
        <w:pStyle w:val="BodyText"/>
      </w:pPr>
    </w:p>
    <w:p w:rsidR="00AF3044" w:rsidRPr="00816657" w:rsidRDefault="00AF3044" w:rsidP="00AF3044">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03"/>
        <w:gridCol w:w="2402"/>
        <w:gridCol w:w="2402"/>
        <w:gridCol w:w="2402"/>
      </w:tblGrid>
      <w:tr w:rsidR="00E42D11" w:rsidRPr="00816657" w:rsidTr="00EA7F18">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387EBD" w:rsidRPr="00816657" w:rsidTr="00EA7F18">
        <w:tc>
          <w:tcPr>
            <w:cnfStyle w:val="001000000000"/>
            <w:tcW w:w="1250" w:type="pct"/>
            <w:vMerge w:val="restart"/>
            <w:tcBorders>
              <w:top w:val="single" w:sz="4" w:space="0" w:color="7F7F7F" w:themeColor="background2"/>
            </w:tcBorders>
          </w:tcPr>
          <w:p w:rsidR="009A6923" w:rsidRPr="00220890" w:rsidRDefault="009A6923" w:rsidP="007F5BD4">
            <w:pPr>
              <w:pStyle w:val="Bullet1"/>
              <w:spacing w:before="0"/>
              <w:ind w:left="284" w:hanging="284"/>
              <w:rPr>
                <w:lang w:eastAsia="en-AU"/>
              </w:rPr>
            </w:pPr>
            <w:r w:rsidRPr="00220890">
              <w:rPr>
                <w:sz w:val="20"/>
                <w:lang w:eastAsia="en-AU"/>
              </w:rPr>
              <w:t>Lead acid batteries</w:t>
            </w:r>
          </w:p>
          <w:p w:rsidR="009A6923" w:rsidRPr="00220890" w:rsidRDefault="009A6923" w:rsidP="007F5BD4">
            <w:pPr>
              <w:pStyle w:val="Bullet1"/>
              <w:spacing w:before="0"/>
              <w:ind w:left="284" w:hanging="284"/>
              <w:rPr>
                <w:lang w:eastAsia="en-AU"/>
              </w:rPr>
            </w:pPr>
            <w:r w:rsidRPr="00220890">
              <w:rPr>
                <w:sz w:val="20"/>
                <w:lang w:eastAsia="en-AU"/>
              </w:rPr>
              <w:t>e-waste recycling</w:t>
            </w:r>
          </w:p>
          <w:p w:rsidR="009A6923" w:rsidRPr="00220890" w:rsidRDefault="009A6923" w:rsidP="007F5BD4">
            <w:pPr>
              <w:pStyle w:val="Bullet1"/>
              <w:spacing w:before="0"/>
              <w:ind w:left="284" w:hanging="284"/>
              <w:rPr>
                <w:lang w:eastAsia="en-AU"/>
              </w:rPr>
            </w:pPr>
            <w:r w:rsidRPr="00220890">
              <w:rPr>
                <w:sz w:val="20"/>
                <w:lang w:eastAsia="en-AU"/>
              </w:rPr>
              <w:t>metal and coal mining</w:t>
            </w:r>
          </w:p>
          <w:p w:rsidR="009A6923" w:rsidRPr="00220890" w:rsidRDefault="009A6923" w:rsidP="007F5BD4">
            <w:pPr>
              <w:pStyle w:val="Bullet1"/>
              <w:spacing w:before="0"/>
              <w:ind w:left="284" w:hanging="284"/>
              <w:rPr>
                <w:lang w:eastAsia="en-AU"/>
              </w:rPr>
            </w:pPr>
            <w:r w:rsidRPr="00220890">
              <w:rPr>
                <w:sz w:val="20"/>
                <w:lang w:eastAsia="en-AU"/>
              </w:rPr>
              <w:t>scrap metal collectors and recyclers</w:t>
            </w:r>
          </w:p>
          <w:p w:rsidR="00387EBD" w:rsidRPr="00816657" w:rsidRDefault="009A6923" w:rsidP="007F5BD4">
            <w:pPr>
              <w:pStyle w:val="Bullet1"/>
              <w:spacing w:before="0"/>
              <w:ind w:left="284" w:hanging="284"/>
              <w:rPr>
                <w:lang w:eastAsia="en-AU"/>
              </w:rPr>
            </w:pPr>
            <w:r w:rsidRPr="00220890">
              <w:rPr>
                <w:sz w:val="20"/>
                <w:lang w:eastAsia="en-AU"/>
              </w:rPr>
              <w:t>Copper, silver, lead and zinc smelting and refining</w:t>
            </w:r>
          </w:p>
        </w:tc>
        <w:tc>
          <w:tcPr>
            <w:tcW w:w="1250" w:type="pct"/>
            <w:tcBorders>
              <w:top w:val="single" w:sz="4" w:space="0" w:color="7F7F7F" w:themeColor="background2"/>
            </w:tcBorders>
          </w:tcPr>
          <w:p w:rsidR="00387EBD" w:rsidRPr="00816657" w:rsidRDefault="00387EBD"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387EBD" w:rsidRPr="00816657" w:rsidRDefault="00387EBD" w:rsidP="00EA7F18">
            <w:pPr>
              <w:spacing w:line="240" w:lineRule="auto"/>
              <w:cnfStyle w:val="000000000000"/>
              <w:rPr>
                <w:rFonts w:cs="Times New Roman"/>
                <w:color w:val="000000"/>
                <w:szCs w:val="20"/>
                <w:lang w:eastAsia="en-AU"/>
              </w:rPr>
            </w:pPr>
            <w:r w:rsidRPr="00816657">
              <w:rPr>
                <w:rFonts w:cs="Times New Roman"/>
                <w:color w:val="000000"/>
                <w:szCs w:val="20"/>
                <w:lang w:eastAsia="en-AU"/>
              </w:rPr>
              <w:t>New large refining capacity in NSW</w:t>
            </w:r>
          </w:p>
        </w:tc>
        <w:tc>
          <w:tcPr>
            <w:tcW w:w="1250" w:type="pct"/>
            <w:tcBorders>
              <w:top w:val="single" w:sz="4" w:space="0" w:color="7F7F7F" w:themeColor="background2"/>
            </w:tcBorders>
          </w:tcPr>
          <w:p w:rsidR="00387EBD" w:rsidRPr="00816657" w:rsidRDefault="00387EBD" w:rsidP="00AF3044">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judgement - trend and causal analysis</w:t>
            </w:r>
          </w:p>
        </w:tc>
      </w:tr>
      <w:tr w:rsidR="00387EBD" w:rsidRPr="00816657" w:rsidTr="00EA7F18">
        <w:tc>
          <w:tcPr>
            <w:cnfStyle w:val="001000000000"/>
            <w:tcW w:w="1250" w:type="pct"/>
            <w:vMerge/>
          </w:tcPr>
          <w:p w:rsidR="00387EBD" w:rsidRPr="00816657" w:rsidRDefault="00387EBD" w:rsidP="00AF3044">
            <w:pPr>
              <w:spacing w:line="240" w:lineRule="auto"/>
              <w:rPr>
                <w:rFonts w:cs="Times New Roman"/>
                <w:color w:val="000000"/>
                <w:szCs w:val="20"/>
                <w:lang w:eastAsia="en-AU"/>
              </w:rPr>
            </w:pPr>
          </w:p>
        </w:tc>
        <w:tc>
          <w:tcPr>
            <w:tcW w:w="1250" w:type="pct"/>
          </w:tcPr>
          <w:p w:rsidR="00387EBD" w:rsidRPr="00816657" w:rsidRDefault="00387EBD" w:rsidP="00AF3044">
            <w:pPr>
              <w:spacing w:line="240" w:lineRule="auto"/>
              <w:cnfStyle w:val="000000000000"/>
              <w:rPr>
                <w:rFonts w:cs="Times New Roman"/>
                <w:color w:val="000000"/>
                <w:szCs w:val="20"/>
                <w:lang w:eastAsia="en-AU"/>
              </w:rPr>
            </w:pPr>
            <w:r w:rsidRPr="00816657">
              <w:rPr>
                <w:rFonts w:cs="Times New Roman"/>
                <w:color w:val="000000"/>
                <w:szCs w:val="20"/>
                <w:lang w:eastAsia="en-AU"/>
              </w:rPr>
              <w:t>Historical data for Victoria exists that is adequate for discerning trends. No other historical data set exists.</w:t>
            </w:r>
          </w:p>
        </w:tc>
        <w:tc>
          <w:tcPr>
            <w:tcW w:w="1250" w:type="pct"/>
          </w:tcPr>
          <w:p w:rsidR="00387EBD" w:rsidRPr="00816657" w:rsidRDefault="00387EBD" w:rsidP="00AF3044">
            <w:pPr>
              <w:spacing w:line="240" w:lineRule="auto"/>
              <w:cnfStyle w:val="000000000000"/>
              <w:rPr>
                <w:rFonts w:cs="Times New Roman"/>
                <w:color w:val="000000"/>
                <w:szCs w:val="20"/>
                <w:lang w:eastAsia="en-AU"/>
              </w:rPr>
            </w:pPr>
            <w:r w:rsidRPr="00816657">
              <w:rPr>
                <w:rFonts w:cs="Times New Roman"/>
                <w:color w:val="000000"/>
                <w:szCs w:val="20"/>
                <w:lang w:eastAsia="en-AU"/>
              </w:rPr>
              <w:t>Contributes 27% to imports to NSW in 12-13; 50% in 10-11</w:t>
            </w:r>
          </w:p>
          <w:p w:rsidR="00387EBD" w:rsidRPr="00816657" w:rsidRDefault="00387EBD" w:rsidP="00AF3044">
            <w:pPr>
              <w:spacing w:line="240" w:lineRule="auto"/>
              <w:cnfStyle w:val="000000000000"/>
              <w:rPr>
                <w:rFonts w:cs="Times New Roman"/>
                <w:color w:val="000000"/>
                <w:szCs w:val="20"/>
                <w:lang w:eastAsia="en-AU"/>
              </w:rPr>
            </w:pPr>
          </w:p>
        </w:tc>
        <w:tc>
          <w:tcPr>
            <w:tcW w:w="1250" w:type="pct"/>
          </w:tcPr>
          <w:p w:rsidR="00387EBD" w:rsidRPr="00816657" w:rsidRDefault="00387EBD" w:rsidP="00AF3044">
            <w:pPr>
              <w:spacing w:line="240" w:lineRule="auto"/>
              <w:cnfStyle w:val="000000000000"/>
              <w:rPr>
                <w:rFonts w:cs="Times New Roman"/>
                <w:color w:val="000000"/>
                <w:szCs w:val="20"/>
                <w:lang w:eastAsia="en-AU"/>
              </w:rPr>
            </w:pPr>
          </w:p>
        </w:tc>
      </w:tr>
      <w:tr w:rsidR="00387EBD" w:rsidRPr="00816657" w:rsidTr="00EA7F18">
        <w:tc>
          <w:tcPr>
            <w:cnfStyle w:val="001000000000"/>
            <w:tcW w:w="1250" w:type="pct"/>
            <w:vMerge/>
          </w:tcPr>
          <w:p w:rsidR="00387EBD" w:rsidRPr="00816657" w:rsidRDefault="00387EBD" w:rsidP="00EA7F18">
            <w:pPr>
              <w:spacing w:line="240" w:lineRule="auto"/>
              <w:rPr>
                <w:rFonts w:cs="Times New Roman"/>
                <w:color w:val="000000"/>
                <w:sz w:val="18"/>
                <w:szCs w:val="18"/>
                <w:lang w:eastAsia="en-AU"/>
              </w:rPr>
            </w:pPr>
          </w:p>
        </w:tc>
        <w:tc>
          <w:tcPr>
            <w:tcW w:w="1250" w:type="pct"/>
          </w:tcPr>
          <w:p w:rsidR="00387EBD" w:rsidRPr="00816657" w:rsidRDefault="00387EBD" w:rsidP="00EA7F18">
            <w:pPr>
              <w:cnfStyle w:val="000000000000"/>
              <w:rPr>
                <w:rFonts w:cs="Times New Roman"/>
                <w:color w:val="000000"/>
                <w:sz w:val="18"/>
                <w:szCs w:val="18"/>
                <w:lang w:eastAsia="en-AU"/>
              </w:rPr>
            </w:pPr>
          </w:p>
        </w:tc>
        <w:tc>
          <w:tcPr>
            <w:tcW w:w="1250" w:type="pct"/>
          </w:tcPr>
          <w:p w:rsidR="00387EBD" w:rsidRPr="00816657" w:rsidRDefault="00387EBD" w:rsidP="00AF3044">
            <w:pPr>
              <w:pStyle w:val="BodyText"/>
              <w:cnfStyle w:val="000000000000"/>
              <w:rPr>
                <w:rFonts w:cs="Times New Roman"/>
                <w:color w:val="000000"/>
                <w:sz w:val="20"/>
                <w:szCs w:val="20"/>
                <w:lang w:eastAsia="en-AU"/>
              </w:rPr>
            </w:pPr>
            <w:r w:rsidRPr="00816657">
              <w:rPr>
                <w:rFonts w:cs="Times New Roman"/>
                <w:color w:val="000000"/>
                <w:sz w:val="20"/>
                <w:szCs w:val="20"/>
                <w:lang w:eastAsia="en-AU"/>
              </w:rPr>
              <w:t>Nystar lead smelter investment in SA</w:t>
            </w:r>
          </w:p>
        </w:tc>
        <w:tc>
          <w:tcPr>
            <w:tcW w:w="1250" w:type="pct"/>
          </w:tcPr>
          <w:p w:rsidR="00387EBD" w:rsidRPr="00816657" w:rsidRDefault="00387EBD" w:rsidP="00EA7F18">
            <w:pPr>
              <w:cnfStyle w:val="000000000000"/>
              <w:rPr>
                <w:rFonts w:cs="Times New Roman"/>
                <w:color w:val="000000"/>
                <w:sz w:val="18"/>
                <w:szCs w:val="18"/>
                <w:lang w:eastAsia="en-AU"/>
              </w:rPr>
            </w:pPr>
          </w:p>
        </w:tc>
      </w:tr>
    </w:tbl>
    <w:p w:rsidR="00AF3044" w:rsidRPr="00816657" w:rsidRDefault="00AF3044" w:rsidP="00376588">
      <w:pPr>
        <w:pStyle w:val="BodyText"/>
        <w:rPr>
          <w:b/>
        </w:rPr>
      </w:pPr>
    </w:p>
    <w:p w:rsidR="00376588" w:rsidRPr="00816657" w:rsidRDefault="00376588" w:rsidP="00655F62">
      <w:pPr>
        <w:pStyle w:val="Figures"/>
      </w:pPr>
      <w:bookmarkStart w:id="130" w:name="_Toc425849297"/>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12</w:t>
      </w:r>
      <w:r w:rsidR="006D07F5" w:rsidRPr="00816657">
        <w:rPr>
          <w:noProof/>
        </w:rPr>
        <w:fldChar w:fldCharType="end"/>
      </w:r>
      <w:r w:rsidRPr="00816657">
        <w:t xml:space="preserve">: </w:t>
      </w:r>
      <w:r w:rsidRPr="00816657">
        <w:tab/>
        <w:t>Best, high and low projected rates of change for lead; lead compounds waste to 2034</w:t>
      </w:r>
      <w:bookmarkEnd w:id="130"/>
    </w:p>
    <w:tbl>
      <w:tblPr>
        <w:tblStyle w:val="BETable1"/>
        <w:tblW w:w="9072" w:type="dxa"/>
        <w:tblLayout w:type="fixed"/>
        <w:tblLook w:val="04A0"/>
      </w:tblPr>
      <w:tblGrid>
        <w:gridCol w:w="1134"/>
        <w:gridCol w:w="1134"/>
        <w:gridCol w:w="4395"/>
        <w:gridCol w:w="803"/>
        <w:gridCol w:w="803"/>
        <w:gridCol w:w="803"/>
      </w:tblGrid>
      <w:tr w:rsidR="00AD58B0" w:rsidRPr="00816657" w:rsidTr="00AD58B0">
        <w:trPr>
          <w:cnfStyle w:val="100000000000"/>
        </w:trPr>
        <w:tc>
          <w:tcPr>
            <w:cnfStyle w:val="001000000000"/>
            <w:tcW w:w="1134" w:type="dxa"/>
          </w:tcPr>
          <w:p w:rsidR="00AD58B0" w:rsidRPr="00816657" w:rsidRDefault="00AD58B0" w:rsidP="00D178A0"/>
        </w:tc>
        <w:tc>
          <w:tcPr>
            <w:tcW w:w="1134" w:type="dxa"/>
          </w:tcPr>
          <w:p w:rsidR="00AD58B0" w:rsidRPr="00816657" w:rsidRDefault="00AD58B0" w:rsidP="00D178A0">
            <w:pPr>
              <w:cnfStyle w:val="100000000000"/>
            </w:pPr>
            <w:r w:rsidRPr="00816657">
              <w:t>Applies to</w:t>
            </w:r>
          </w:p>
        </w:tc>
        <w:tc>
          <w:tcPr>
            <w:tcW w:w="4395" w:type="dxa"/>
          </w:tcPr>
          <w:p w:rsidR="00AD58B0" w:rsidRPr="00816657" w:rsidRDefault="00AD58B0" w:rsidP="00D178A0">
            <w:pPr>
              <w:cnfStyle w:val="100000000000"/>
            </w:pPr>
            <w:r w:rsidRPr="00816657">
              <w:t>Approach</w:t>
            </w:r>
          </w:p>
        </w:tc>
        <w:tc>
          <w:tcPr>
            <w:tcW w:w="803" w:type="dxa"/>
          </w:tcPr>
          <w:p w:rsidR="00AD58B0" w:rsidRPr="00816657" w:rsidRDefault="00AD58B0" w:rsidP="00DF1E42">
            <w:pPr>
              <w:jc w:val="right"/>
              <w:cnfStyle w:val="100000000000"/>
            </w:pPr>
            <w:r w:rsidRPr="00816657">
              <w:t>2014</w:t>
            </w:r>
          </w:p>
        </w:tc>
        <w:tc>
          <w:tcPr>
            <w:tcW w:w="803" w:type="dxa"/>
          </w:tcPr>
          <w:p w:rsidR="00AD58B0" w:rsidRPr="00816657" w:rsidRDefault="00AD58B0" w:rsidP="00DF1E42">
            <w:pPr>
              <w:jc w:val="right"/>
              <w:cnfStyle w:val="100000000000"/>
            </w:pPr>
            <w:r w:rsidRPr="00816657">
              <w:t>...</w:t>
            </w:r>
          </w:p>
        </w:tc>
        <w:tc>
          <w:tcPr>
            <w:tcW w:w="803" w:type="dxa"/>
          </w:tcPr>
          <w:p w:rsidR="00AD58B0" w:rsidRPr="00816657" w:rsidRDefault="00AD58B0" w:rsidP="00DF1E42">
            <w:pPr>
              <w:jc w:val="right"/>
              <w:cnfStyle w:val="100000000000"/>
            </w:pPr>
            <w:r w:rsidRPr="00816657">
              <w:t>2034</w:t>
            </w:r>
          </w:p>
        </w:tc>
      </w:tr>
      <w:tr w:rsidR="00AD58B0" w:rsidRPr="00816657" w:rsidTr="00AD58B0">
        <w:tc>
          <w:tcPr>
            <w:cnfStyle w:val="001000000000"/>
            <w:tcW w:w="1134" w:type="dxa"/>
          </w:tcPr>
          <w:p w:rsidR="00AD58B0" w:rsidRPr="00816657" w:rsidRDefault="00AD58B0" w:rsidP="00D178A0">
            <w:r w:rsidRPr="00816657">
              <w:t>Best</w:t>
            </w:r>
          </w:p>
        </w:tc>
        <w:tc>
          <w:tcPr>
            <w:tcW w:w="1134" w:type="dxa"/>
            <w:vMerge w:val="restart"/>
            <w:vAlign w:val="center"/>
          </w:tcPr>
          <w:p w:rsidR="00AD58B0" w:rsidRPr="00816657" w:rsidRDefault="00AD58B0" w:rsidP="00D178A0">
            <w:pPr>
              <w:cnfStyle w:val="000000000000"/>
            </w:pPr>
            <w:r w:rsidRPr="00816657">
              <w:t>ACT, NSW, NT, Qld, SA, Tas, Vic, WA</w:t>
            </w:r>
          </w:p>
        </w:tc>
        <w:tc>
          <w:tcPr>
            <w:tcW w:w="4395" w:type="dxa"/>
          </w:tcPr>
          <w:p w:rsidR="00AD58B0" w:rsidRPr="00816657" w:rsidRDefault="00AD58B0" w:rsidP="00D178A0">
            <w:pPr>
              <w:cnfStyle w:val="000000000000"/>
            </w:pPr>
            <w:r w:rsidRPr="00816657">
              <w:t>Population growth</w:t>
            </w:r>
          </w:p>
        </w:tc>
        <w:tc>
          <w:tcPr>
            <w:tcW w:w="803" w:type="dxa"/>
          </w:tcPr>
          <w:p w:rsidR="00AD58B0" w:rsidRPr="00816657" w:rsidRDefault="00AD58B0" w:rsidP="00DF1E42">
            <w:pPr>
              <w:jc w:val="right"/>
              <w:cnfStyle w:val="000000000000"/>
            </w:pPr>
            <w:r w:rsidRPr="00816657">
              <w:t>1.5%</w:t>
            </w:r>
          </w:p>
        </w:tc>
        <w:tc>
          <w:tcPr>
            <w:tcW w:w="803" w:type="dxa"/>
          </w:tcPr>
          <w:p w:rsidR="00AD58B0" w:rsidRPr="00816657" w:rsidRDefault="00AD58B0" w:rsidP="00DF1E42">
            <w:pPr>
              <w:jc w:val="right"/>
              <w:cnfStyle w:val="000000000000"/>
            </w:pPr>
            <w:r w:rsidRPr="00816657">
              <w:t>...</w:t>
            </w:r>
          </w:p>
        </w:tc>
        <w:tc>
          <w:tcPr>
            <w:tcW w:w="803" w:type="dxa"/>
          </w:tcPr>
          <w:p w:rsidR="00AD58B0" w:rsidRPr="00816657" w:rsidRDefault="00AD58B0" w:rsidP="00DF1E42">
            <w:pPr>
              <w:jc w:val="right"/>
              <w:cnfStyle w:val="000000000000"/>
            </w:pPr>
            <w:r w:rsidRPr="00816657">
              <w:t>1.5%</w:t>
            </w:r>
          </w:p>
        </w:tc>
      </w:tr>
      <w:tr w:rsidR="00AD58B0" w:rsidRPr="00816657" w:rsidTr="00AD58B0">
        <w:tc>
          <w:tcPr>
            <w:cnfStyle w:val="001000000000"/>
            <w:tcW w:w="1134" w:type="dxa"/>
          </w:tcPr>
          <w:p w:rsidR="00AD58B0" w:rsidRPr="00816657" w:rsidRDefault="00AD58B0" w:rsidP="00D178A0">
            <w:r w:rsidRPr="00816657">
              <w:t>High</w:t>
            </w:r>
          </w:p>
        </w:tc>
        <w:tc>
          <w:tcPr>
            <w:tcW w:w="1134" w:type="dxa"/>
            <w:vMerge/>
            <w:vAlign w:val="center"/>
          </w:tcPr>
          <w:p w:rsidR="00AD58B0" w:rsidRPr="00816657" w:rsidRDefault="00AD58B0" w:rsidP="00D178A0">
            <w:pPr>
              <w:cnfStyle w:val="000000000000"/>
            </w:pPr>
          </w:p>
        </w:tc>
        <w:tc>
          <w:tcPr>
            <w:tcW w:w="4395" w:type="dxa"/>
          </w:tcPr>
          <w:p w:rsidR="00AD58B0" w:rsidRPr="00816657" w:rsidRDefault="00AD58B0" w:rsidP="00D178A0">
            <w:pPr>
              <w:cnfStyle w:val="000000000000"/>
            </w:pPr>
            <w:r w:rsidRPr="00816657">
              <w:t>Significant increase</w:t>
            </w:r>
          </w:p>
        </w:tc>
        <w:tc>
          <w:tcPr>
            <w:tcW w:w="803" w:type="dxa"/>
          </w:tcPr>
          <w:p w:rsidR="00AD58B0" w:rsidRPr="00816657" w:rsidRDefault="00AD58B0" w:rsidP="00DF1E42">
            <w:pPr>
              <w:jc w:val="right"/>
              <w:cnfStyle w:val="000000000000"/>
            </w:pPr>
            <w:r w:rsidRPr="00816657">
              <w:t>3.5%</w:t>
            </w:r>
          </w:p>
        </w:tc>
        <w:tc>
          <w:tcPr>
            <w:tcW w:w="803" w:type="dxa"/>
          </w:tcPr>
          <w:p w:rsidR="00AD58B0" w:rsidRPr="00816657" w:rsidRDefault="00AD58B0" w:rsidP="00DF1E42">
            <w:pPr>
              <w:jc w:val="right"/>
              <w:cnfStyle w:val="000000000000"/>
            </w:pPr>
            <w:r w:rsidRPr="00816657">
              <w:t>...</w:t>
            </w:r>
          </w:p>
        </w:tc>
        <w:tc>
          <w:tcPr>
            <w:tcW w:w="803" w:type="dxa"/>
          </w:tcPr>
          <w:p w:rsidR="00AD58B0" w:rsidRPr="00816657" w:rsidRDefault="00AD58B0" w:rsidP="00DF1E42">
            <w:pPr>
              <w:jc w:val="right"/>
              <w:cnfStyle w:val="000000000000"/>
            </w:pPr>
            <w:r w:rsidRPr="00816657">
              <w:t>3.5%</w:t>
            </w:r>
          </w:p>
        </w:tc>
      </w:tr>
      <w:tr w:rsidR="00AD58B0" w:rsidRPr="00816657" w:rsidTr="00AD58B0">
        <w:tc>
          <w:tcPr>
            <w:cnfStyle w:val="001000000000"/>
            <w:tcW w:w="1134" w:type="dxa"/>
          </w:tcPr>
          <w:p w:rsidR="00AD58B0" w:rsidRPr="00816657" w:rsidRDefault="00AD58B0" w:rsidP="00D178A0">
            <w:r w:rsidRPr="00816657">
              <w:t>Low</w:t>
            </w:r>
          </w:p>
        </w:tc>
        <w:tc>
          <w:tcPr>
            <w:tcW w:w="1134" w:type="dxa"/>
            <w:vMerge/>
            <w:vAlign w:val="center"/>
          </w:tcPr>
          <w:p w:rsidR="00AD58B0" w:rsidRPr="00816657" w:rsidRDefault="00AD58B0" w:rsidP="00D178A0">
            <w:pPr>
              <w:cnfStyle w:val="000000000000"/>
            </w:pPr>
          </w:p>
        </w:tc>
        <w:tc>
          <w:tcPr>
            <w:tcW w:w="4395" w:type="dxa"/>
          </w:tcPr>
          <w:p w:rsidR="00AD58B0" w:rsidRPr="00816657" w:rsidRDefault="00AD58B0" w:rsidP="00D178A0">
            <w:pPr>
              <w:cnfStyle w:val="000000000000"/>
            </w:pPr>
            <w:r w:rsidRPr="00816657">
              <w:t>Best estimate of annual rate of change - 1.5%</w:t>
            </w:r>
          </w:p>
        </w:tc>
        <w:tc>
          <w:tcPr>
            <w:tcW w:w="803" w:type="dxa"/>
          </w:tcPr>
          <w:p w:rsidR="00AD58B0" w:rsidRPr="00816657" w:rsidRDefault="00AD58B0" w:rsidP="00DF1E42">
            <w:pPr>
              <w:jc w:val="right"/>
              <w:cnfStyle w:val="000000000000"/>
            </w:pPr>
            <w:r w:rsidRPr="00816657">
              <w:t>0.0%</w:t>
            </w:r>
          </w:p>
        </w:tc>
        <w:tc>
          <w:tcPr>
            <w:tcW w:w="803" w:type="dxa"/>
          </w:tcPr>
          <w:p w:rsidR="00AD58B0" w:rsidRPr="00816657" w:rsidRDefault="00AD58B0" w:rsidP="00DF1E42">
            <w:pPr>
              <w:jc w:val="right"/>
              <w:cnfStyle w:val="000000000000"/>
            </w:pPr>
            <w:r w:rsidRPr="00816657">
              <w:t>...</w:t>
            </w:r>
          </w:p>
        </w:tc>
        <w:tc>
          <w:tcPr>
            <w:tcW w:w="803" w:type="dxa"/>
          </w:tcPr>
          <w:p w:rsidR="00AD58B0" w:rsidRPr="00816657" w:rsidRDefault="00AD58B0" w:rsidP="00DF1E42">
            <w:pPr>
              <w:jc w:val="right"/>
              <w:cnfStyle w:val="000000000000"/>
            </w:pPr>
            <w:r w:rsidRPr="00816657">
              <w:t>0.0%</w:t>
            </w:r>
          </w:p>
        </w:tc>
      </w:tr>
    </w:tbl>
    <w:p w:rsidR="00AF3044" w:rsidRPr="00816657" w:rsidRDefault="00AF3044" w:rsidP="007F5BD4">
      <w:pPr>
        <w:pStyle w:val="BodyText"/>
      </w:pPr>
    </w:p>
    <w:p w:rsidR="00877CF8" w:rsidRPr="00816657" w:rsidRDefault="00877CF8" w:rsidP="00655F62">
      <w:pPr>
        <w:pStyle w:val="Figures"/>
      </w:pPr>
      <w:bookmarkStart w:id="131" w:name="_Toc425849227"/>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9</w:t>
      </w:r>
      <w:r w:rsidR="006D07F5" w:rsidRPr="00816657">
        <w:rPr>
          <w:noProof/>
        </w:rPr>
        <w:fldChar w:fldCharType="end"/>
      </w:r>
      <w:r w:rsidRPr="00816657">
        <w:t xml:space="preserve">: </w:t>
      </w:r>
      <w:r w:rsidRPr="00816657">
        <w:tab/>
        <w:t>Best, high and low national projection estimates of lead; lead compounds waste to 2034</w:t>
      </w:r>
      <w:bookmarkEnd w:id="131"/>
    </w:p>
    <w:p w:rsidR="00877CF8" w:rsidRPr="00816657" w:rsidRDefault="00C05ED6">
      <w:pPr>
        <w:spacing w:line="240" w:lineRule="auto"/>
      </w:pPr>
      <w:r w:rsidRPr="00C05ED6">
        <w:rPr>
          <w:noProof/>
          <w:lang w:eastAsia="en-AU"/>
        </w:rPr>
        <w:drawing>
          <wp:inline distT="0" distB="0" distL="0" distR="0">
            <wp:extent cx="5666667" cy="231428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666667" cy="2314286"/>
                    </a:xfrm>
                    <a:prstGeom prst="rect">
                      <a:avLst/>
                    </a:prstGeom>
                  </pic:spPr>
                </pic:pic>
              </a:graphicData>
            </a:graphic>
          </wp:inline>
        </w:drawing>
      </w:r>
    </w:p>
    <w:p w:rsidR="00877CF8" w:rsidRPr="00816657" w:rsidRDefault="00877CF8">
      <w:pPr>
        <w:spacing w:line="240" w:lineRule="auto"/>
      </w:pPr>
    </w:p>
    <w:p w:rsidR="00877CF8" w:rsidRPr="00816657" w:rsidRDefault="00877CF8">
      <w:pPr>
        <w:spacing w:line="240" w:lineRule="auto"/>
      </w:pPr>
    </w:p>
    <w:p w:rsidR="00877CF8" w:rsidRPr="00816657" w:rsidRDefault="00877CF8">
      <w:pPr>
        <w:spacing w:line="240" w:lineRule="auto"/>
      </w:pPr>
    </w:p>
    <w:p w:rsidR="00AD58B0" w:rsidRPr="00816657" w:rsidRDefault="00AD58B0">
      <w:pPr>
        <w:spacing w:line="240" w:lineRule="auto"/>
        <w:rPr>
          <w:rFonts w:ascii="Arial Rounded MT Bold" w:hAnsi="Arial Rounded MT Bold" w:cs="Arial"/>
          <w:color w:val="0000FF"/>
          <w:sz w:val="36"/>
          <w:szCs w:val="36"/>
        </w:rPr>
      </w:pPr>
      <w:r w:rsidRPr="00816657">
        <w:br w:type="page"/>
      </w:r>
    </w:p>
    <w:p w:rsidR="00877CF8" w:rsidRPr="00816657" w:rsidRDefault="00877CF8" w:rsidP="005D6078">
      <w:pPr>
        <w:pStyle w:val="Heading3"/>
      </w:pPr>
      <w:r w:rsidRPr="00816657">
        <w:lastRenderedPageBreak/>
        <w:t xml:space="preserve">D300. Non-toxic salts </w:t>
      </w:r>
    </w:p>
    <w:p w:rsidR="00D12722" w:rsidRDefault="00D12722" w:rsidP="00D12722">
      <w:pPr>
        <w:pStyle w:val="BodyText"/>
        <w:rPr>
          <w:rFonts w:cs="Times New Roman"/>
          <w:color w:val="000000"/>
          <w:szCs w:val="20"/>
          <w:lang w:eastAsia="en-AU"/>
        </w:rPr>
      </w:pPr>
      <w:r>
        <w:t xml:space="preserve">This group includes only the single NEPM code </w:t>
      </w:r>
      <w:r>
        <w:rPr>
          <w:i/>
        </w:rPr>
        <w:t>D300</w:t>
      </w:r>
      <w:r w:rsidRPr="00512EBD">
        <w:rPr>
          <w:i/>
        </w:rPr>
        <w:t xml:space="preserve"> </w:t>
      </w:r>
      <w:r>
        <w:rPr>
          <w:rFonts w:cs="Times New Roman"/>
          <w:i/>
          <w:color w:val="000000"/>
          <w:szCs w:val="20"/>
          <w:lang w:eastAsia="en-AU"/>
        </w:rPr>
        <w:t>Non-toxic salts</w:t>
      </w:r>
      <w:r>
        <w:rPr>
          <w:rFonts w:cs="Times New Roman"/>
          <w:color w:val="000000"/>
          <w:szCs w:val="20"/>
          <w:lang w:eastAsia="en-AU"/>
        </w:rPr>
        <w:t xml:space="preserve">. </w:t>
      </w:r>
      <w:r w:rsidR="00A6362C">
        <w:t xml:space="preserve">The </w:t>
      </w:r>
      <w:r w:rsidR="00D33633">
        <w:t xml:space="preserve">primary source </w:t>
      </w:r>
      <w:r w:rsidR="00A6362C">
        <w:t>of this waste</w:t>
      </w:r>
      <w:r w:rsidR="00A6362C" w:rsidRPr="00164104">
        <w:t xml:space="preserve"> </w:t>
      </w:r>
      <w:r w:rsidR="00D33633">
        <w:t xml:space="preserve">is </w:t>
      </w:r>
      <w:r w:rsidR="00A6362C">
        <w:t xml:space="preserve">the </w:t>
      </w:r>
      <w:r w:rsidR="000E4077" w:rsidRPr="00164104">
        <w:t>coal seam</w:t>
      </w:r>
      <w:r w:rsidR="000E4077">
        <w:t xml:space="preserve"> gas </w:t>
      </w:r>
      <w:r w:rsidR="00A6362C">
        <w:t xml:space="preserve">(CSG) extraction industry. </w:t>
      </w:r>
      <w:r w:rsidR="00A6362C">
        <w:rPr>
          <w:rFonts w:cs="Times New Roman"/>
          <w:color w:val="000000"/>
          <w:szCs w:val="20"/>
          <w:lang w:eastAsia="en-AU"/>
        </w:rPr>
        <w:t>CSG wastes are</w:t>
      </w:r>
      <w:r>
        <w:rPr>
          <w:rFonts w:cs="Times New Roman"/>
          <w:color w:val="000000"/>
          <w:szCs w:val="20"/>
          <w:lang w:eastAsia="en-AU"/>
        </w:rPr>
        <w:t xml:space="preserve"> discussed in</w:t>
      </w:r>
      <w:r w:rsidR="00D33633">
        <w:rPr>
          <w:rFonts w:cs="Times New Roman"/>
          <w:color w:val="000000"/>
          <w:szCs w:val="20"/>
          <w:lang w:eastAsia="en-AU"/>
        </w:rPr>
        <w:t xml:space="preserve"> the brea</w:t>
      </w:r>
      <w:r w:rsidR="000E4077">
        <w:rPr>
          <w:rFonts w:cs="Times New Roman"/>
          <w:color w:val="000000"/>
          <w:szCs w:val="20"/>
          <w:lang w:eastAsia="en-AU"/>
        </w:rPr>
        <w:t>kout box</w:t>
      </w:r>
      <w:r>
        <w:rPr>
          <w:rFonts w:cs="Times New Roman"/>
          <w:color w:val="000000"/>
          <w:szCs w:val="20"/>
          <w:lang w:eastAsia="en-AU"/>
        </w:rPr>
        <w:t xml:space="preserve"> below.</w:t>
      </w:r>
    </w:p>
    <w:p w:rsidR="00D12722" w:rsidRDefault="00D12722" w:rsidP="00AF3044">
      <w:pPr>
        <w:pStyle w:val="BodyText"/>
        <w:rPr>
          <w:b/>
        </w:rPr>
      </w:pPr>
    </w:p>
    <w:p w:rsidR="00A6362C" w:rsidRDefault="00A6362C" w:rsidP="007B6CA5">
      <w:pPr>
        <w:pStyle w:val="Heading3"/>
        <w:pBdr>
          <w:top w:val="single" w:sz="4" w:space="1" w:color="808080"/>
          <w:left w:val="single" w:sz="4" w:space="4" w:color="808080"/>
          <w:bottom w:val="single" w:sz="4" w:space="1" w:color="808080"/>
          <w:right w:val="single" w:sz="4" w:space="4" w:color="808080"/>
        </w:pBdr>
        <w:shd w:val="clear" w:color="auto" w:fill="F2F2F2" w:themeFill="background1" w:themeFillShade="F2"/>
      </w:pPr>
      <w:r>
        <w:t xml:space="preserve">Coal seam gas waste </w:t>
      </w:r>
    </w:p>
    <w:p w:rsidR="007B6CA5" w:rsidRPr="007B6CA5" w:rsidRDefault="000E4077"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7B6CA5">
        <w:rPr>
          <w:sz w:val="20"/>
          <w:szCs w:val="20"/>
        </w:rPr>
        <w:t>CSG</w:t>
      </w:r>
      <w:r w:rsidR="00A6362C" w:rsidRPr="007B6CA5">
        <w:rPr>
          <w:sz w:val="20"/>
          <w:szCs w:val="20"/>
        </w:rPr>
        <w:t xml:space="preserve"> </w:t>
      </w:r>
      <w:r w:rsidR="007B6CA5" w:rsidRPr="007B6CA5">
        <w:rPr>
          <w:sz w:val="20"/>
          <w:szCs w:val="20"/>
        </w:rPr>
        <w:t>mining occurs predominantly in Queensland and to a lesser extent in NSW. Consequently, approximately 80% of CSG-based waste is generated in Queensland, in the Bowen and Surat Basins. CSG in Queensland is usually liquefied to allow easier transport, such as by ship, which means it is also referred to as liquefied natural gas (LNG). The CSG industry is often placed within the ANZSIC category Oil and gas extraction.</w:t>
      </w:r>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7B6CA5">
        <w:rPr>
          <w:sz w:val="20"/>
          <w:szCs w:val="20"/>
        </w:rPr>
        <w:t xml:space="preserve">The CSG extraction process produces a range of wastes, but in volume terms salt wastes are the most prevalent. These wastes are nominally captured in waste tracking systems as D300 non-toxic salts, described in section 4.6. </w:t>
      </w:r>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7B6CA5">
        <w:rPr>
          <w:sz w:val="20"/>
          <w:szCs w:val="20"/>
        </w:rPr>
        <w:t>Water is extracted as part of the CSG mining process because the gas – methane – is in the coal seam and held there at great pressure by water and other sediment layers. To release the gas, the water needs to be pumped out of this coal seam and up to the surface in a process known as 'dewatering'. The water that is pumped out as part of the CSG mining process is very salty and contains a range of petroleum and mineral based chemical compounds, such as heavy metals and hydrocarbons.</w:t>
      </w:r>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7B6CA5">
        <w:rPr>
          <w:sz w:val="20"/>
          <w:szCs w:val="20"/>
        </w:rPr>
        <w:t>Once at the surface, the water is stored in ponds and treated by desalination to enable reuse, to the extent possible. However, this process leaves a salt brine or solid salt waste as a by-product. This salty waste stream may also include hydrocarbons and heavy metals as residual contaminants from the original CSG extraction process.</w:t>
      </w:r>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7B6CA5">
        <w:rPr>
          <w:sz w:val="20"/>
          <w:szCs w:val="20"/>
        </w:rPr>
        <w:t>CSG wastes are interesting as an emerging waste because a) very large tonnages are involved and b) salty waters, brines or solid salts are a difficult problem for the waste industry, which often relies on landfill. Water penetrating a landfill will mobilise any stored salt in the leachate stream, which creates a risk of groundwater infiltration, especially given the volumes to be managed. Consequently, landfill design is critical for this form of management to be successful. The enormous volumes also mean that treatment to reduce the salt levels, such as reverse osmosis, are expensive and energy-intensive.</w:t>
      </w:r>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7B6CA5">
        <w:rPr>
          <w:sz w:val="20"/>
          <w:szCs w:val="20"/>
        </w:rPr>
        <w:t>Because of these management difficulties, large quantities of CSG wastes are temporarily stored on site in brine ponds or other temporary structures offsite, awaiting a more definitive management fate. This storage aspect would appear to be borne out in the arisings numbers. Tracking systems indicate a current volume arising of this waste near 100,000 tonnes (i.e. what is being transported and tracked to an offsite pathway or fate). But industry and government estimates of water volumes extracted each year, multiplied by typical salinity of this water, yield a conservative estimate of approximately 21 million tonnes of salt over the next 30 years – or (on a flat annual average) 700,000 tonnes per year of waste salt. Some of this volume discrepancy is due to temporary storage onsite, which is not reflected in tracking system data.</w:t>
      </w:r>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7B6CA5">
        <w:rPr>
          <w:sz w:val="20"/>
          <w:szCs w:val="20"/>
        </w:rPr>
        <w:t>For this project and the accompanying projections developed in the Hazardous Waste Infrastructure Needs and Capacity Assessment Project, the tracking system figure of approximately 100,000 tonnes has been used. Tracking data alone suggests in the order of 20% annual growth in non-toxic salts recent years, which is also consistent with the accompanying project’s projections.</w:t>
      </w:r>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7B6CA5">
        <w:rPr>
          <w:sz w:val="20"/>
          <w:szCs w:val="20"/>
        </w:rPr>
        <w:t>Analysis of data for CSG waste is largely covered by the D300 non-toxic salts data analysis (section 4.6) and the fate-specific data presentation in section 3.4, which shows that the fate of this waste is spread between:</w:t>
      </w:r>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rPr>
          <w:sz w:val="20"/>
          <w:szCs w:val="20"/>
        </w:rPr>
      </w:pPr>
      <w:r w:rsidRPr="007B6CA5">
        <w:rPr>
          <w:sz w:val="20"/>
          <w:szCs w:val="20"/>
        </w:rPr>
        <w:t>•</w:t>
      </w:r>
      <w:r w:rsidRPr="007B6CA5">
        <w:rPr>
          <w:sz w:val="20"/>
          <w:szCs w:val="20"/>
        </w:rPr>
        <w:tab/>
        <w:t>recycling (41%)</w:t>
      </w:r>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rPr>
          <w:sz w:val="20"/>
          <w:szCs w:val="20"/>
        </w:rPr>
      </w:pPr>
      <w:r w:rsidRPr="007B6CA5">
        <w:rPr>
          <w:sz w:val="20"/>
          <w:szCs w:val="20"/>
        </w:rPr>
        <w:t>•</w:t>
      </w:r>
      <w:r w:rsidRPr="007B6CA5">
        <w:rPr>
          <w:sz w:val="20"/>
          <w:szCs w:val="20"/>
        </w:rPr>
        <w:tab/>
      </w:r>
      <w:proofErr w:type="gramStart"/>
      <w:r w:rsidRPr="007B6CA5">
        <w:rPr>
          <w:sz w:val="20"/>
          <w:szCs w:val="20"/>
        </w:rPr>
        <w:t>storage</w:t>
      </w:r>
      <w:proofErr w:type="gramEnd"/>
      <w:r w:rsidRPr="007B6CA5">
        <w:rPr>
          <w:sz w:val="20"/>
          <w:szCs w:val="20"/>
        </w:rPr>
        <w:t xml:space="preserve"> or transfer (34%)</w:t>
      </w:r>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rPr>
          <w:sz w:val="20"/>
          <w:szCs w:val="20"/>
        </w:rPr>
      </w:pPr>
      <w:proofErr w:type="gramStart"/>
      <w:r w:rsidRPr="007B6CA5">
        <w:rPr>
          <w:sz w:val="20"/>
          <w:szCs w:val="20"/>
        </w:rPr>
        <w:t>•</w:t>
      </w:r>
      <w:r w:rsidRPr="007B6CA5">
        <w:rPr>
          <w:sz w:val="20"/>
          <w:szCs w:val="20"/>
        </w:rPr>
        <w:tab/>
        <w:t>landfill (22%).</w:t>
      </w:r>
      <w:proofErr w:type="gramEnd"/>
    </w:p>
    <w:p w:rsidR="007B6CA5"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rPr>
      </w:pPr>
      <w:r w:rsidRPr="007B6CA5">
        <w:rPr>
          <w:sz w:val="20"/>
          <w:szCs w:val="20"/>
        </w:rPr>
        <w:t>Outside of the tracking system, depending on the location of the mining activity, discharge to ocean of salty water is also likely to be a fate for this waste.</w:t>
      </w:r>
    </w:p>
    <w:p w:rsidR="00A6362C" w:rsidRPr="007B6CA5" w:rsidRDefault="007B6CA5" w:rsidP="007B6CA5">
      <w:pPr>
        <w:pStyle w:val="BodyText"/>
        <w:pBdr>
          <w:top w:val="single" w:sz="4" w:space="1" w:color="808080"/>
          <w:left w:val="single" w:sz="4" w:space="4" w:color="808080"/>
          <w:bottom w:val="single" w:sz="4" w:space="1" w:color="808080"/>
          <w:right w:val="single" w:sz="4" w:space="4" w:color="808080"/>
        </w:pBdr>
        <w:shd w:val="clear" w:color="auto" w:fill="F2F2F2" w:themeFill="background1" w:themeFillShade="F2"/>
        <w:spacing w:before="120"/>
        <w:rPr>
          <w:sz w:val="20"/>
          <w:szCs w:val="20"/>
          <w:lang w:eastAsia="en-AU"/>
        </w:rPr>
      </w:pPr>
      <w:r w:rsidRPr="007B6CA5">
        <w:rPr>
          <w:sz w:val="20"/>
          <w:szCs w:val="20"/>
        </w:rPr>
        <w:t>Projections of this waste over the next 20 years are provided in the Hazardous Waste Infrastructure Needs and Capacity Assessment report (as D300). These foresee annual growth under the ‘best’ (or most likely) scenario of 10%. On a treatment-difficulty and sheer scale basis, CSG waste is a current and future management problem.</w:t>
      </w:r>
    </w:p>
    <w:p w:rsidR="007B6CA5" w:rsidRDefault="007B6CA5">
      <w:pPr>
        <w:spacing w:line="240" w:lineRule="auto"/>
        <w:rPr>
          <w:b/>
          <w:color w:val="080808"/>
          <w:sz w:val="22"/>
        </w:rPr>
      </w:pPr>
      <w:r>
        <w:rPr>
          <w:b/>
        </w:rPr>
        <w:br w:type="page"/>
      </w:r>
    </w:p>
    <w:p w:rsidR="00AF3044" w:rsidRPr="00816657" w:rsidRDefault="00AF3044" w:rsidP="00AF3044">
      <w:pPr>
        <w:pStyle w:val="BodyText"/>
        <w:rPr>
          <w:b/>
        </w:rPr>
      </w:pPr>
      <w:r w:rsidRPr="00FA10FC">
        <w:rPr>
          <w:b/>
          <w:color w:val="0000FF" w:themeColor="text2"/>
        </w:rPr>
        <w:lastRenderedPageBreak/>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03"/>
        <w:gridCol w:w="2402"/>
        <w:gridCol w:w="2402"/>
        <w:gridCol w:w="2402"/>
      </w:tblGrid>
      <w:tr w:rsidR="00E42D11" w:rsidRPr="00816657" w:rsidTr="00EA7F18">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387EBD" w:rsidRPr="00816657" w:rsidTr="00EA7F18">
        <w:tc>
          <w:tcPr>
            <w:cnfStyle w:val="001000000000"/>
            <w:tcW w:w="1250" w:type="pct"/>
            <w:vMerge w:val="restart"/>
            <w:tcBorders>
              <w:top w:val="single" w:sz="4" w:space="0" w:color="7F7F7F" w:themeColor="background2"/>
            </w:tcBorders>
          </w:tcPr>
          <w:p w:rsidR="00D12722" w:rsidRPr="00220890" w:rsidRDefault="00D12722" w:rsidP="007F5BD4">
            <w:pPr>
              <w:pStyle w:val="Bullet1"/>
              <w:spacing w:before="0"/>
              <w:ind w:left="284" w:hanging="284"/>
              <w:rPr>
                <w:lang w:eastAsia="en-AU"/>
              </w:rPr>
            </w:pPr>
            <w:r w:rsidRPr="00220890">
              <w:rPr>
                <w:sz w:val="20"/>
                <w:lang w:eastAsia="en-AU"/>
              </w:rPr>
              <w:t>CSG extraction</w:t>
            </w:r>
          </w:p>
          <w:p w:rsidR="00D12722" w:rsidRPr="00220890" w:rsidRDefault="00D12722" w:rsidP="007F5BD4">
            <w:pPr>
              <w:pStyle w:val="Bullet1"/>
              <w:spacing w:before="0"/>
              <w:ind w:left="284" w:hanging="284"/>
              <w:rPr>
                <w:lang w:eastAsia="en-AU"/>
              </w:rPr>
            </w:pPr>
            <w:r w:rsidRPr="00220890">
              <w:rPr>
                <w:sz w:val="20"/>
                <w:lang w:eastAsia="en-AU"/>
              </w:rPr>
              <w:t>Aluminium smelting</w:t>
            </w:r>
          </w:p>
          <w:p w:rsidR="00D12722" w:rsidRPr="00220890" w:rsidRDefault="00D12722" w:rsidP="007F5BD4">
            <w:pPr>
              <w:pStyle w:val="Bullet1"/>
              <w:spacing w:before="0"/>
              <w:ind w:left="284" w:hanging="284"/>
              <w:rPr>
                <w:lang w:eastAsia="en-AU"/>
              </w:rPr>
            </w:pPr>
            <w:r w:rsidRPr="00220890">
              <w:rPr>
                <w:sz w:val="20"/>
                <w:lang w:eastAsia="en-AU"/>
              </w:rPr>
              <w:t>Electricity supply</w:t>
            </w:r>
          </w:p>
          <w:p w:rsidR="00D12722" w:rsidRPr="00220890" w:rsidRDefault="00D12722" w:rsidP="007F5BD4">
            <w:pPr>
              <w:pStyle w:val="Bullet1"/>
              <w:spacing w:before="0"/>
              <w:ind w:left="284" w:hanging="284"/>
              <w:rPr>
                <w:lang w:eastAsia="en-AU"/>
              </w:rPr>
            </w:pPr>
            <w:r w:rsidRPr="00220890">
              <w:rPr>
                <w:sz w:val="20"/>
                <w:lang w:eastAsia="en-AU"/>
              </w:rPr>
              <w:t>Mining</w:t>
            </w:r>
          </w:p>
          <w:p w:rsidR="00387EBD" w:rsidRPr="00220890" w:rsidRDefault="00D12722" w:rsidP="007F5BD4">
            <w:pPr>
              <w:pStyle w:val="Bullet1"/>
              <w:spacing w:before="0"/>
              <w:ind w:left="284" w:hanging="284"/>
              <w:rPr>
                <w:lang w:eastAsia="en-AU"/>
              </w:rPr>
            </w:pPr>
            <w:r w:rsidRPr="00220890">
              <w:rPr>
                <w:sz w:val="20"/>
                <w:lang w:eastAsia="en-AU"/>
              </w:rPr>
              <w:t>Iron and steel casting</w:t>
            </w:r>
          </w:p>
        </w:tc>
        <w:tc>
          <w:tcPr>
            <w:tcW w:w="1250" w:type="pct"/>
            <w:tcBorders>
              <w:top w:val="single" w:sz="4" w:space="0" w:color="7F7F7F" w:themeColor="background2"/>
            </w:tcBorders>
          </w:tcPr>
          <w:p w:rsidR="00387EBD" w:rsidRPr="00816657" w:rsidRDefault="00387EBD"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387EBD" w:rsidRPr="00816657" w:rsidRDefault="00387EBD" w:rsidP="00AF3044">
            <w:pPr>
              <w:pStyle w:val="BodyText"/>
              <w:cnfStyle w:val="000000000000"/>
              <w:rPr>
                <w:rFonts w:cs="Times New Roman"/>
                <w:color w:val="000000"/>
                <w:sz w:val="20"/>
                <w:szCs w:val="20"/>
                <w:lang w:eastAsia="en-AU"/>
              </w:rPr>
            </w:pPr>
            <w:r w:rsidRPr="00816657">
              <w:rPr>
                <w:rFonts w:cs="Times New Roman"/>
                <w:color w:val="000000"/>
                <w:sz w:val="20"/>
                <w:szCs w:val="20"/>
                <w:lang w:eastAsia="en-AU"/>
              </w:rPr>
              <w:t>Coal seam gas extraction is understood to be a major source</w:t>
            </w:r>
          </w:p>
        </w:tc>
        <w:tc>
          <w:tcPr>
            <w:tcW w:w="1250" w:type="pct"/>
            <w:tcBorders>
              <w:top w:val="single" w:sz="4" w:space="0" w:color="7F7F7F" w:themeColor="background2"/>
            </w:tcBorders>
          </w:tcPr>
          <w:p w:rsidR="00387EBD" w:rsidRPr="00816657" w:rsidRDefault="00387EBD" w:rsidP="00AF3044">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judgement - trend and causal analysis</w:t>
            </w:r>
          </w:p>
          <w:p w:rsidR="00387EBD" w:rsidRPr="00816657" w:rsidRDefault="00387EBD" w:rsidP="00EA7F18">
            <w:pPr>
              <w:pStyle w:val="BodyText"/>
              <w:cnfStyle w:val="000000000000"/>
              <w:rPr>
                <w:rFonts w:cs="Times New Roman"/>
                <w:color w:val="000000"/>
                <w:sz w:val="20"/>
                <w:szCs w:val="20"/>
                <w:lang w:eastAsia="en-AU"/>
              </w:rPr>
            </w:pPr>
          </w:p>
        </w:tc>
      </w:tr>
      <w:tr w:rsidR="00A45C13" w:rsidRPr="00816657" w:rsidTr="00EA7F18">
        <w:tc>
          <w:tcPr>
            <w:cnfStyle w:val="001000000000"/>
            <w:tcW w:w="1250" w:type="pct"/>
            <w:vMerge/>
          </w:tcPr>
          <w:p w:rsidR="00A45C13" w:rsidRPr="00816657" w:rsidRDefault="00A45C13" w:rsidP="00AF3044">
            <w:pPr>
              <w:spacing w:line="240" w:lineRule="auto"/>
              <w:rPr>
                <w:rFonts w:cs="Times New Roman"/>
                <w:color w:val="000000"/>
                <w:szCs w:val="20"/>
                <w:lang w:eastAsia="en-AU"/>
              </w:rPr>
            </w:pPr>
          </w:p>
        </w:tc>
        <w:tc>
          <w:tcPr>
            <w:tcW w:w="1250" w:type="pct"/>
          </w:tcPr>
          <w:p w:rsidR="00A45C13" w:rsidRPr="00816657" w:rsidRDefault="00A45C13" w:rsidP="00AF3044">
            <w:pPr>
              <w:spacing w:line="240" w:lineRule="auto"/>
              <w:cnfStyle w:val="000000000000"/>
              <w:rPr>
                <w:rFonts w:cs="Times New Roman"/>
                <w:color w:val="000000"/>
                <w:szCs w:val="20"/>
                <w:lang w:eastAsia="en-AU"/>
              </w:rPr>
            </w:pPr>
            <w:r w:rsidRPr="00816657">
              <w:rPr>
                <w:rFonts w:cs="Times New Roman"/>
                <w:color w:val="000000"/>
                <w:szCs w:val="20"/>
                <w:lang w:eastAsia="en-AU"/>
              </w:rPr>
              <w:t>Historical data set exists however may not be usable for discerning trends</w:t>
            </w:r>
          </w:p>
        </w:tc>
        <w:tc>
          <w:tcPr>
            <w:tcW w:w="1250" w:type="pct"/>
          </w:tcPr>
          <w:p w:rsidR="00A45C13" w:rsidRPr="00816657" w:rsidRDefault="00A45C13" w:rsidP="00BC3BD0">
            <w:pPr>
              <w:spacing w:line="240" w:lineRule="auto"/>
              <w:cnfStyle w:val="000000000000"/>
              <w:rPr>
                <w:rFonts w:cs="Times New Roman"/>
                <w:color w:val="000000"/>
                <w:szCs w:val="20"/>
                <w:lang w:eastAsia="en-AU"/>
              </w:rPr>
            </w:pPr>
            <w:r w:rsidRPr="00816657">
              <w:rPr>
                <w:rFonts w:cs="Times New Roman"/>
                <w:color w:val="000000"/>
                <w:szCs w:val="20"/>
                <w:lang w:eastAsia="en-AU"/>
              </w:rPr>
              <w:t>High growth in coal seam gas industry activity is expected over the projection period (ABC 2014)</w:t>
            </w:r>
          </w:p>
        </w:tc>
        <w:tc>
          <w:tcPr>
            <w:tcW w:w="1250" w:type="pct"/>
          </w:tcPr>
          <w:p w:rsidR="00A45C13" w:rsidRPr="00816657" w:rsidRDefault="00A45C13" w:rsidP="00AF3044">
            <w:pPr>
              <w:spacing w:line="240" w:lineRule="auto"/>
              <w:cnfStyle w:val="000000000000"/>
              <w:rPr>
                <w:rFonts w:cs="Times New Roman"/>
                <w:color w:val="000000"/>
                <w:szCs w:val="20"/>
                <w:lang w:eastAsia="en-AU"/>
              </w:rPr>
            </w:pPr>
            <w:r w:rsidRPr="00816657">
              <w:rPr>
                <w:rFonts w:cs="Times New Roman"/>
                <w:color w:val="000000"/>
                <w:szCs w:val="20"/>
                <w:lang w:eastAsia="en-AU"/>
              </w:rPr>
              <w:t>Need different approach by jurisdiction due to stark differences in trends and sources</w:t>
            </w:r>
          </w:p>
        </w:tc>
      </w:tr>
    </w:tbl>
    <w:p w:rsidR="00AF3044" w:rsidRPr="00816657" w:rsidRDefault="00AF3044" w:rsidP="00376588">
      <w:pPr>
        <w:pStyle w:val="BodyText"/>
        <w:rPr>
          <w:b/>
        </w:rPr>
      </w:pPr>
    </w:p>
    <w:p w:rsidR="00376588" w:rsidRPr="00816657" w:rsidRDefault="00376588" w:rsidP="00655F62">
      <w:pPr>
        <w:pStyle w:val="Figures"/>
      </w:pPr>
      <w:bookmarkStart w:id="132" w:name="_Toc425849298"/>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13</w:t>
      </w:r>
      <w:r w:rsidR="006D07F5" w:rsidRPr="00816657">
        <w:rPr>
          <w:noProof/>
        </w:rPr>
        <w:fldChar w:fldCharType="end"/>
      </w:r>
      <w:r w:rsidRPr="00816657">
        <w:t xml:space="preserve">: </w:t>
      </w:r>
      <w:r w:rsidRPr="00816657">
        <w:tab/>
        <w:t>Best, high and low projected rates of change for non-toxic salt waste to 2034</w:t>
      </w:r>
      <w:bookmarkEnd w:id="132"/>
    </w:p>
    <w:tbl>
      <w:tblPr>
        <w:tblStyle w:val="BETable1"/>
        <w:tblW w:w="8505" w:type="dxa"/>
        <w:tblLayout w:type="fixed"/>
        <w:tblLook w:val="04A0"/>
      </w:tblPr>
      <w:tblGrid>
        <w:gridCol w:w="709"/>
        <w:gridCol w:w="1559"/>
        <w:gridCol w:w="3969"/>
        <w:gridCol w:w="851"/>
        <w:gridCol w:w="425"/>
        <w:gridCol w:w="992"/>
      </w:tblGrid>
      <w:tr w:rsidR="00AD58B0" w:rsidRPr="00816657" w:rsidTr="00D476D3">
        <w:trPr>
          <w:cnfStyle w:val="100000000000"/>
        </w:trPr>
        <w:tc>
          <w:tcPr>
            <w:cnfStyle w:val="001000000000"/>
            <w:tcW w:w="709" w:type="dxa"/>
          </w:tcPr>
          <w:p w:rsidR="00AD58B0" w:rsidRPr="00816657" w:rsidRDefault="00AD58B0" w:rsidP="00D178A0"/>
        </w:tc>
        <w:tc>
          <w:tcPr>
            <w:tcW w:w="1559" w:type="dxa"/>
          </w:tcPr>
          <w:p w:rsidR="00AD58B0" w:rsidRPr="00816657" w:rsidRDefault="00AD58B0" w:rsidP="00D178A0">
            <w:pPr>
              <w:cnfStyle w:val="100000000000"/>
            </w:pPr>
            <w:r w:rsidRPr="00816657">
              <w:t>Applies to</w:t>
            </w:r>
          </w:p>
        </w:tc>
        <w:tc>
          <w:tcPr>
            <w:tcW w:w="3969" w:type="dxa"/>
          </w:tcPr>
          <w:p w:rsidR="00AD58B0" w:rsidRPr="00816657" w:rsidRDefault="00AD58B0" w:rsidP="00D178A0">
            <w:pPr>
              <w:cnfStyle w:val="100000000000"/>
            </w:pPr>
            <w:r w:rsidRPr="00816657">
              <w:t>Approach</w:t>
            </w:r>
          </w:p>
        </w:tc>
        <w:tc>
          <w:tcPr>
            <w:tcW w:w="851" w:type="dxa"/>
          </w:tcPr>
          <w:p w:rsidR="00AD58B0" w:rsidRPr="00816657" w:rsidRDefault="00AD58B0" w:rsidP="00DF1E42">
            <w:pPr>
              <w:jc w:val="right"/>
              <w:cnfStyle w:val="100000000000"/>
            </w:pPr>
            <w:r w:rsidRPr="00816657">
              <w:t>2014</w:t>
            </w:r>
          </w:p>
        </w:tc>
        <w:tc>
          <w:tcPr>
            <w:tcW w:w="425" w:type="dxa"/>
          </w:tcPr>
          <w:p w:rsidR="00AD58B0" w:rsidRPr="00816657" w:rsidRDefault="00AD58B0" w:rsidP="00DF1E42">
            <w:pPr>
              <w:jc w:val="right"/>
              <w:cnfStyle w:val="100000000000"/>
            </w:pPr>
            <w:r w:rsidRPr="00816657">
              <w:t>...</w:t>
            </w:r>
          </w:p>
        </w:tc>
        <w:tc>
          <w:tcPr>
            <w:tcW w:w="992" w:type="dxa"/>
          </w:tcPr>
          <w:p w:rsidR="00AD58B0" w:rsidRPr="00816657" w:rsidRDefault="00AD58B0" w:rsidP="00DF1E42">
            <w:pPr>
              <w:jc w:val="right"/>
              <w:cnfStyle w:val="100000000000"/>
            </w:pPr>
            <w:r w:rsidRPr="00816657">
              <w:t>2034</w:t>
            </w:r>
          </w:p>
        </w:tc>
      </w:tr>
      <w:tr w:rsidR="00AD58B0" w:rsidRPr="00816657" w:rsidTr="00D476D3">
        <w:tc>
          <w:tcPr>
            <w:cnfStyle w:val="001000000000"/>
            <w:tcW w:w="709" w:type="dxa"/>
          </w:tcPr>
          <w:p w:rsidR="00AD58B0" w:rsidRPr="00816657" w:rsidRDefault="00AD58B0" w:rsidP="00D178A0">
            <w:r w:rsidRPr="00816657">
              <w:t>Best</w:t>
            </w:r>
          </w:p>
        </w:tc>
        <w:tc>
          <w:tcPr>
            <w:tcW w:w="1559" w:type="dxa"/>
            <w:vMerge w:val="restart"/>
            <w:vAlign w:val="center"/>
          </w:tcPr>
          <w:p w:rsidR="00AD58B0" w:rsidRPr="00816657" w:rsidRDefault="00387EBD" w:rsidP="00AD58B0">
            <w:pPr>
              <w:cnfStyle w:val="000000000000"/>
            </w:pPr>
            <w:r w:rsidRPr="00816657">
              <w:t>NSW, Qld</w:t>
            </w:r>
          </w:p>
        </w:tc>
        <w:tc>
          <w:tcPr>
            <w:tcW w:w="3969" w:type="dxa"/>
          </w:tcPr>
          <w:p w:rsidR="00AD58B0" w:rsidRPr="00816657" w:rsidRDefault="00AD58B0" w:rsidP="00640D2D">
            <w:pPr>
              <w:cnfStyle w:val="000000000000"/>
            </w:pPr>
            <w:r w:rsidRPr="00816657">
              <w:t xml:space="preserve">Ongoing increase with </w:t>
            </w:r>
            <w:r w:rsidR="00640D2D">
              <w:t>coal seam gas</w:t>
            </w:r>
            <w:r w:rsidRPr="00816657">
              <w:t xml:space="preserve"> extraction</w:t>
            </w:r>
          </w:p>
        </w:tc>
        <w:tc>
          <w:tcPr>
            <w:tcW w:w="851" w:type="dxa"/>
          </w:tcPr>
          <w:p w:rsidR="00AD58B0" w:rsidRPr="00816657" w:rsidRDefault="00AD58B0" w:rsidP="00DF1E42">
            <w:pPr>
              <w:jc w:val="right"/>
              <w:cnfStyle w:val="000000000000"/>
            </w:pPr>
            <w:r w:rsidRPr="00816657">
              <w:t>10.0%</w:t>
            </w:r>
          </w:p>
        </w:tc>
        <w:tc>
          <w:tcPr>
            <w:tcW w:w="425" w:type="dxa"/>
          </w:tcPr>
          <w:p w:rsidR="00AD58B0" w:rsidRPr="00816657" w:rsidRDefault="00AD58B0" w:rsidP="00DF1E42">
            <w:pPr>
              <w:jc w:val="right"/>
              <w:cnfStyle w:val="000000000000"/>
            </w:pPr>
            <w:r w:rsidRPr="00816657">
              <w:t>...</w:t>
            </w:r>
          </w:p>
        </w:tc>
        <w:tc>
          <w:tcPr>
            <w:tcW w:w="992" w:type="dxa"/>
          </w:tcPr>
          <w:p w:rsidR="00AD58B0" w:rsidRPr="00816657" w:rsidRDefault="00AD58B0" w:rsidP="00DF1E42">
            <w:pPr>
              <w:jc w:val="right"/>
              <w:cnfStyle w:val="000000000000"/>
            </w:pPr>
            <w:r w:rsidRPr="00816657">
              <w:t>10.0%</w:t>
            </w:r>
          </w:p>
        </w:tc>
      </w:tr>
      <w:tr w:rsidR="00AD58B0" w:rsidRPr="00816657" w:rsidTr="00D476D3">
        <w:tc>
          <w:tcPr>
            <w:cnfStyle w:val="001000000000"/>
            <w:tcW w:w="709" w:type="dxa"/>
          </w:tcPr>
          <w:p w:rsidR="00AD58B0" w:rsidRPr="00816657" w:rsidRDefault="00AD58B0" w:rsidP="00D178A0">
            <w:r w:rsidRPr="00816657">
              <w:t>High</w:t>
            </w:r>
          </w:p>
        </w:tc>
        <w:tc>
          <w:tcPr>
            <w:tcW w:w="1559" w:type="dxa"/>
            <w:vMerge/>
            <w:vAlign w:val="center"/>
          </w:tcPr>
          <w:p w:rsidR="00AD58B0" w:rsidRPr="00816657" w:rsidRDefault="00AD58B0" w:rsidP="00D178A0">
            <w:pPr>
              <w:cnfStyle w:val="000000000000"/>
            </w:pPr>
          </w:p>
        </w:tc>
        <w:tc>
          <w:tcPr>
            <w:tcW w:w="3969" w:type="dxa"/>
          </w:tcPr>
          <w:p w:rsidR="00AD58B0" w:rsidRPr="00816657" w:rsidRDefault="00AD58B0" w:rsidP="00D178A0">
            <w:pPr>
              <w:cnfStyle w:val="000000000000"/>
            </w:pPr>
            <w:r w:rsidRPr="00816657">
              <w:t>Stronger increase</w:t>
            </w:r>
          </w:p>
        </w:tc>
        <w:tc>
          <w:tcPr>
            <w:tcW w:w="851" w:type="dxa"/>
          </w:tcPr>
          <w:p w:rsidR="00AD58B0" w:rsidRPr="00816657" w:rsidRDefault="00AD58B0" w:rsidP="00DF1E42">
            <w:pPr>
              <w:jc w:val="right"/>
              <w:cnfStyle w:val="000000000000"/>
            </w:pPr>
            <w:r w:rsidRPr="00816657">
              <w:t>12.0%</w:t>
            </w:r>
          </w:p>
        </w:tc>
        <w:tc>
          <w:tcPr>
            <w:tcW w:w="425" w:type="dxa"/>
          </w:tcPr>
          <w:p w:rsidR="00AD58B0" w:rsidRPr="00816657" w:rsidRDefault="00AD58B0" w:rsidP="00DF1E42">
            <w:pPr>
              <w:jc w:val="right"/>
              <w:cnfStyle w:val="000000000000"/>
            </w:pPr>
            <w:r w:rsidRPr="00816657">
              <w:t>...</w:t>
            </w:r>
          </w:p>
        </w:tc>
        <w:tc>
          <w:tcPr>
            <w:tcW w:w="992" w:type="dxa"/>
          </w:tcPr>
          <w:p w:rsidR="00AD58B0" w:rsidRPr="00816657" w:rsidRDefault="00AD58B0" w:rsidP="00DF1E42">
            <w:pPr>
              <w:jc w:val="right"/>
              <w:cnfStyle w:val="000000000000"/>
            </w:pPr>
            <w:r w:rsidRPr="00816657">
              <w:t>12.0%</w:t>
            </w:r>
          </w:p>
        </w:tc>
      </w:tr>
      <w:tr w:rsidR="00AD58B0" w:rsidRPr="00816657" w:rsidTr="00D476D3">
        <w:tc>
          <w:tcPr>
            <w:cnfStyle w:val="001000000000"/>
            <w:tcW w:w="709" w:type="dxa"/>
            <w:tcBorders>
              <w:bottom w:val="single" w:sz="12" w:space="0" w:color="auto"/>
            </w:tcBorders>
          </w:tcPr>
          <w:p w:rsidR="00AD58B0" w:rsidRPr="00816657" w:rsidRDefault="00AD58B0" w:rsidP="00D178A0">
            <w:r w:rsidRPr="00816657">
              <w:t>Low</w:t>
            </w:r>
          </w:p>
        </w:tc>
        <w:tc>
          <w:tcPr>
            <w:tcW w:w="1559" w:type="dxa"/>
            <w:vMerge/>
            <w:tcBorders>
              <w:bottom w:val="single" w:sz="12" w:space="0" w:color="auto"/>
            </w:tcBorders>
            <w:vAlign w:val="center"/>
          </w:tcPr>
          <w:p w:rsidR="00AD58B0" w:rsidRPr="00816657" w:rsidRDefault="00AD58B0" w:rsidP="00D178A0">
            <w:pPr>
              <w:cnfStyle w:val="000000000000"/>
            </w:pPr>
          </w:p>
        </w:tc>
        <w:tc>
          <w:tcPr>
            <w:tcW w:w="3969" w:type="dxa"/>
            <w:tcBorders>
              <w:bottom w:val="single" w:sz="12" w:space="0" w:color="auto"/>
            </w:tcBorders>
          </w:tcPr>
          <w:p w:rsidR="00AD58B0" w:rsidRPr="00816657" w:rsidRDefault="00AD58B0" w:rsidP="00D178A0">
            <w:pPr>
              <w:cnfStyle w:val="000000000000"/>
            </w:pPr>
            <w:r w:rsidRPr="00816657">
              <w:t>Economic growth</w:t>
            </w:r>
          </w:p>
        </w:tc>
        <w:tc>
          <w:tcPr>
            <w:tcW w:w="851" w:type="dxa"/>
            <w:tcBorders>
              <w:bottom w:val="single" w:sz="12" w:space="0" w:color="auto"/>
            </w:tcBorders>
          </w:tcPr>
          <w:p w:rsidR="00AD58B0" w:rsidRPr="00816657" w:rsidRDefault="00AD58B0" w:rsidP="00DF1E42">
            <w:pPr>
              <w:jc w:val="right"/>
              <w:cnfStyle w:val="000000000000"/>
            </w:pPr>
            <w:r w:rsidRPr="00816657">
              <w:t>2.8%</w:t>
            </w:r>
          </w:p>
        </w:tc>
        <w:tc>
          <w:tcPr>
            <w:tcW w:w="425" w:type="dxa"/>
            <w:tcBorders>
              <w:bottom w:val="single" w:sz="12" w:space="0" w:color="auto"/>
            </w:tcBorders>
          </w:tcPr>
          <w:p w:rsidR="00AD58B0" w:rsidRPr="00816657" w:rsidRDefault="00AD58B0" w:rsidP="00DF1E42">
            <w:pPr>
              <w:jc w:val="right"/>
              <w:cnfStyle w:val="000000000000"/>
            </w:pPr>
            <w:r w:rsidRPr="00816657">
              <w:t>...</w:t>
            </w:r>
          </w:p>
        </w:tc>
        <w:tc>
          <w:tcPr>
            <w:tcW w:w="992" w:type="dxa"/>
            <w:tcBorders>
              <w:bottom w:val="single" w:sz="12" w:space="0" w:color="auto"/>
            </w:tcBorders>
          </w:tcPr>
          <w:p w:rsidR="00AD58B0" w:rsidRPr="00816657" w:rsidRDefault="00AD58B0" w:rsidP="00DF1E42">
            <w:pPr>
              <w:jc w:val="right"/>
              <w:cnfStyle w:val="000000000000"/>
            </w:pPr>
            <w:r w:rsidRPr="00816657">
              <w:t>2.8%</w:t>
            </w:r>
          </w:p>
        </w:tc>
      </w:tr>
      <w:tr w:rsidR="00AD58B0" w:rsidRPr="00816657" w:rsidTr="00D476D3">
        <w:tc>
          <w:tcPr>
            <w:cnfStyle w:val="001000000000"/>
            <w:tcW w:w="709" w:type="dxa"/>
            <w:tcBorders>
              <w:top w:val="single" w:sz="12" w:space="0" w:color="auto"/>
            </w:tcBorders>
          </w:tcPr>
          <w:p w:rsidR="00AD58B0" w:rsidRPr="00816657" w:rsidRDefault="00AD58B0" w:rsidP="00D178A0">
            <w:r w:rsidRPr="00816657">
              <w:t>Best</w:t>
            </w:r>
          </w:p>
        </w:tc>
        <w:tc>
          <w:tcPr>
            <w:tcW w:w="1559" w:type="dxa"/>
            <w:vMerge w:val="restart"/>
            <w:tcBorders>
              <w:top w:val="single" w:sz="12" w:space="0" w:color="auto"/>
            </w:tcBorders>
            <w:vAlign w:val="center"/>
          </w:tcPr>
          <w:p w:rsidR="00AD58B0" w:rsidRPr="00816657" w:rsidRDefault="00387EBD" w:rsidP="00AD58B0">
            <w:pPr>
              <w:cnfStyle w:val="000000000000"/>
            </w:pPr>
            <w:r w:rsidRPr="00816657">
              <w:t>ACT, NT, SA, Tas, Vic, WA</w:t>
            </w:r>
          </w:p>
        </w:tc>
        <w:tc>
          <w:tcPr>
            <w:tcW w:w="3969" w:type="dxa"/>
            <w:tcBorders>
              <w:top w:val="single" w:sz="12" w:space="0" w:color="auto"/>
            </w:tcBorders>
          </w:tcPr>
          <w:p w:rsidR="00AD58B0" w:rsidRPr="00816657" w:rsidRDefault="00AD58B0" w:rsidP="00D178A0">
            <w:pPr>
              <w:cnfStyle w:val="000000000000"/>
            </w:pPr>
            <w:r w:rsidRPr="00816657">
              <w:t>Decline continues</w:t>
            </w:r>
          </w:p>
        </w:tc>
        <w:tc>
          <w:tcPr>
            <w:tcW w:w="851" w:type="dxa"/>
            <w:tcBorders>
              <w:top w:val="single" w:sz="12" w:space="0" w:color="auto"/>
            </w:tcBorders>
          </w:tcPr>
          <w:p w:rsidR="00AD58B0" w:rsidRPr="00816657" w:rsidRDefault="00AD58B0" w:rsidP="00DF1E42">
            <w:pPr>
              <w:jc w:val="right"/>
              <w:cnfStyle w:val="000000000000"/>
            </w:pPr>
            <w:r w:rsidRPr="00816657">
              <w:t>-2.0%</w:t>
            </w:r>
          </w:p>
        </w:tc>
        <w:tc>
          <w:tcPr>
            <w:tcW w:w="425" w:type="dxa"/>
            <w:tcBorders>
              <w:top w:val="single" w:sz="12" w:space="0" w:color="auto"/>
            </w:tcBorders>
          </w:tcPr>
          <w:p w:rsidR="00AD58B0" w:rsidRPr="00816657" w:rsidRDefault="00AD58B0" w:rsidP="00DF1E42">
            <w:pPr>
              <w:jc w:val="right"/>
              <w:cnfStyle w:val="000000000000"/>
            </w:pPr>
            <w:r w:rsidRPr="00816657">
              <w:t>...</w:t>
            </w:r>
          </w:p>
        </w:tc>
        <w:tc>
          <w:tcPr>
            <w:tcW w:w="992" w:type="dxa"/>
            <w:tcBorders>
              <w:top w:val="single" w:sz="12" w:space="0" w:color="auto"/>
            </w:tcBorders>
          </w:tcPr>
          <w:p w:rsidR="00AD58B0" w:rsidRPr="00816657" w:rsidRDefault="00AD58B0" w:rsidP="00DF1E42">
            <w:pPr>
              <w:jc w:val="right"/>
              <w:cnfStyle w:val="000000000000"/>
            </w:pPr>
            <w:r w:rsidRPr="00816657">
              <w:t>-2.0%</w:t>
            </w:r>
          </w:p>
        </w:tc>
      </w:tr>
      <w:tr w:rsidR="00AD58B0" w:rsidRPr="00816657" w:rsidTr="00D476D3">
        <w:tc>
          <w:tcPr>
            <w:cnfStyle w:val="001000000000"/>
            <w:tcW w:w="709" w:type="dxa"/>
          </w:tcPr>
          <w:p w:rsidR="00AD58B0" w:rsidRPr="00816657" w:rsidRDefault="00AD58B0" w:rsidP="00D178A0">
            <w:r w:rsidRPr="00816657">
              <w:t>High</w:t>
            </w:r>
          </w:p>
        </w:tc>
        <w:tc>
          <w:tcPr>
            <w:tcW w:w="1559" w:type="dxa"/>
            <w:vMerge/>
          </w:tcPr>
          <w:p w:rsidR="00AD58B0" w:rsidRPr="00816657" w:rsidRDefault="00AD58B0" w:rsidP="00D178A0">
            <w:pPr>
              <w:cnfStyle w:val="000000000000"/>
            </w:pPr>
          </w:p>
        </w:tc>
        <w:tc>
          <w:tcPr>
            <w:tcW w:w="3969" w:type="dxa"/>
          </w:tcPr>
          <w:p w:rsidR="00AD58B0" w:rsidRPr="00816657" w:rsidRDefault="00AD58B0" w:rsidP="00D178A0">
            <w:pPr>
              <w:cnfStyle w:val="000000000000"/>
            </w:pPr>
            <w:r w:rsidRPr="00816657">
              <w:t>Reduced quantity maintained</w:t>
            </w:r>
          </w:p>
        </w:tc>
        <w:tc>
          <w:tcPr>
            <w:tcW w:w="851" w:type="dxa"/>
          </w:tcPr>
          <w:p w:rsidR="00AD58B0" w:rsidRPr="00816657" w:rsidRDefault="00AD58B0" w:rsidP="00DF1E42">
            <w:pPr>
              <w:jc w:val="right"/>
              <w:cnfStyle w:val="000000000000"/>
            </w:pPr>
            <w:r w:rsidRPr="00816657">
              <w:t>0.0%</w:t>
            </w:r>
          </w:p>
        </w:tc>
        <w:tc>
          <w:tcPr>
            <w:tcW w:w="425" w:type="dxa"/>
          </w:tcPr>
          <w:p w:rsidR="00AD58B0" w:rsidRPr="00816657" w:rsidRDefault="00AD58B0" w:rsidP="00DF1E42">
            <w:pPr>
              <w:jc w:val="right"/>
              <w:cnfStyle w:val="000000000000"/>
            </w:pPr>
            <w:r w:rsidRPr="00816657">
              <w:t>...</w:t>
            </w:r>
          </w:p>
        </w:tc>
        <w:tc>
          <w:tcPr>
            <w:tcW w:w="992" w:type="dxa"/>
          </w:tcPr>
          <w:p w:rsidR="00AD58B0" w:rsidRPr="00816657" w:rsidRDefault="00AD58B0" w:rsidP="00DF1E42">
            <w:pPr>
              <w:jc w:val="right"/>
              <w:cnfStyle w:val="000000000000"/>
            </w:pPr>
            <w:r w:rsidRPr="00816657">
              <w:t>0.0%</w:t>
            </w:r>
          </w:p>
        </w:tc>
      </w:tr>
      <w:tr w:rsidR="00AD58B0" w:rsidRPr="00816657" w:rsidTr="00D476D3">
        <w:tc>
          <w:tcPr>
            <w:cnfStyle w:val="001000000000"/>
            <w:tcW w:w="709" w:type="dxa"/>
          </w:tcPr>
          <w:p w:rsidR="00AD58B0" w:rsidRPr="00816657" w:rsidRDefault="00AD58B0" w:rsidP="00D178A0">
            <w:r w:rsidRPr="00816657">
              <w:t>Low</w:t>
            </w:r>
          </w:p>
        </w:tc>
        <w:tc>
          <w:tcPr>
            <w:tcW w:w="1559" w:type="dxa"/>
            <w:vMerge/>
          </w:tcPr>
          <w:p w:rsidR="00AD58B0" w:rsidRPr="00816657" w:rsidRDefault="00AD58B0" w:rsidP="00D178A0">
            <w:pPr>
              <w:cnfStyle w:val="000000000000"/>
            </w:pPr>
          </w:p>
        </w:tc>
        <w:tc>
          <w:tcPr>
            <w:tcW w:w="3969" w:type="dxa"/>
          </w:tcPr>
          <w:p w:rsidR="00AD58B0" w:rsidRPr="00816657" w:rsidRDefault="00AD58B0" w:rsidP="00D178A0">
            <w:pPr>
              <w:cnfStyle w:val="000000000000"/>
            </w:pPr>
            <w:r w:rsidRPr="00816657">
              <w:t>Best estimate of annual rate of change - 3%</w:t>
            </w:r>
          </w:p>
        </w:tc>
        <w:tc>
          <w:tcPr>
            <w:tcW w:w="851" w:type="dxa"/>
          </w:tcPr>
          <w:p w:rsidR="00AD58B0" w:rsidRPr="00816657" w:rsidRDefault="00AD58B0" w:rsidP="00DF1E42">
            <w:pPr>
              <w:jc w:val="right"/>
              <w:cnfStyle w:val="000000000000"/>
            </w:pPr>
            <w:r w:rsidRPr="00816657">
              <w:t>-4.0%</w:t>
            </w:r>
          </w:p>
        </w:tc>
        <w:tc>
          <w:tcPr>
            <w:tcW w:w="425" w:type="dxa"/>
          </w:tcPr>
          <w:p w:rsidR="00AD58B0" w:rsidRPr="00816657" w:rsidRDefault="00AD58B0" w:rsidP="00DF1E42">
            <w:pPr>
              <w:jc w:val="right"/>
              <w:cnfStyle w:val="000000000000"/>
            </w:pPr>
            <w:r w:rsidRPr="00816657">
              <w:t>...</w:t>
            </w:r>
          </w:p>
        </w:tc>
        <w:tc>
          <w:tcPr>
            <w:tcW w:w="992" w:type="dxa"/>
          </w:tcPr>
          <w:p w:rsidR="00AD58B0" w:rsidRPr="00816657" w:rsidRDefault="00AD58B0" w:rsidP="00DF1E42">
            <w:pPr>
              <w:jc w:val="right"/>
              <w:cnfStyle w:val="000000000000"/>
            </w:pPr>
            <w:r w:rsidRPr="00816657">
              <w:t>-4.0%</w:t>
            </w:r>
          </w:p>
        </w:tc>
      </w:tr>
    </w:tbl>
    <w:p w:rsidR="00AF3044" w:rsidRPr="00816657" w:rsidRDefault="00AF3044" w:rsidP="00387EBD">
      <w:pPr>
        <w:pStyle w:val="BodyText"/>
      </w:pPr>
    </w:p>
    <w:p w:rsidR="00877CF8" w:rsidRPr="00816657" w:rsidRDefault="00877CF8" w:rsidP="00655F62">
      <w:pPr>
        <w:pStyle w:val="Figures"/>
      </w:pPr>
      <w:bookmarkStart w:id="133" w:name="_Toc425849228"/>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10</w:t>
      </w:r>
      <w:r w:rsidR="006D07F5" w:rsidRPr="00816657">
        <w:rPr>
          <w:noProof/>
        </w:rPr>
        <w:fldChar w:fldCharType="end"/>
      </w:r>
      <w:r w:rsidRPr="00816657">
        <w:t xml:space="preserve">: </w:t>
      </w:r>
      <w:r w:rsidRPr="00816657">
        <w:tab/>
        <w:t>Best, high and low national projection estimates of non-toxic salt waste to 2034</w:t>
      </w:r>
      <w:bookmarkEnd w:id="133"/>
    </w:p>
    <w:p w:rsidR="004B427A" w:rsidRPr="00816657" w:rsidRDefault="00C05ED6">
      <w:pPr>
        <w:spacing w:line="240" w:lineRule="auto"/>
        <w:sectPr w:rsidR="004B427A" w:rsidRPr="00816657" w:rsidSect="005E3D0E">
          <w:headerReference w:type="even" r:id="rId50"/>
          <w:footerReference w:type="even" r:id="rId51"/>
          <w:headerReference w:type="first" r:id="rId52"/>
          <w:footerReference w:type="first" r:id="rId53"/>
          <w:pgSz w:w="11907" w:h="16840" w:code="9"/>
          <w:pgMar w:top="1418" w:right="1276" w:bottom="1134" w:left="1136" w:header="709" w:footer="567" w:gutter="0"/>
          <w:pgNumType w:start="1"/>
          <w:cols w:space="708"/>
          <w:docGrid w:linePitch="360"/>
        </w:sectPr>
      </w:pPr>
      <w:r w:rsidRPr="00C05ED6">
        <w:rPr>
          <w:noProof/>
          <w:lang w:eastAsia="en-AU"/>
        </w:rPr>
        <w:drawing>
          <wp:inline distT="0" distB="0" distL="0" distR="0">
            <wp:extent cx="5590477" cy="227619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590477" cy="2276191"/>
                    </a:xfrm>
                    <a:prstGeom prst="rect">
                      <a:avLst/>
                    </a:prstGeom>
                  </pic:spPr>
                </pic:pic>
              </a:graphicData>
            </a:graphic>
          </wp:inline>
        </w:drawing>
      </w:r>
      <w:r w:rsidR="00AD58B0" w:rsidRPr="00816657">
        <w:br w:type="page"/>
      </w:r>
    </w:p>
    <w:p w:rsidR="002622DD" w:rsidRPr="00816657" w:rsidRDefault="00877CF8" w:rsidP="005D6078">
      <w:pPr>
        <w:pStyle w:val="Heading3"/>
      </w:pPr>
      <w:proofErr w:type="gramStart"/>
      <w:r w:rsidRPr="00816657">
        <w:lastRenderedPageBreak/>
        <w:t>Other D.</w:t>
      </w:r>
      <w:proofErr w:type="gramEnd"/>
      <w:r w:rsidRPr="00816657">
        <w:t xml:space="preserve"> Other inorganic chemicals</w:t>
      </w:r>
    </w:p>
    <w:p w:rsidR="00C61814" w:rsidRDefault="002622DD" w:rsidP="00C61814">
      <w:pPr>
        <w:pStyle w:val="BodyText"/>
      </w:pPr>
      <w:r w:rsidRPr="00816657">
        <w:t xml:space="preserve">This group includes waste and wastes contaminated with: </w:t>
      </w:r>
      <w:r w:rsidR="00183491" w:rsidRPr="00816657">
        <w:t>Metal carbonyls; inorganic sulphides; perchlorates; chlorates; arsenic</w:t>
      </w:r>
      <w:bookmarkStart w:id="134" w:name="_Ref409359615"/>
      <w:r w:rsidR="00183491" w:rsidRPr="00816657">
        <w:rPr>
          <w:rStyle w:val="FootnoteReference"/>
        </w:rPr>
        <w:footnoteReference w:id="12"/>
      </w:r>
      <w:bookmarkEnd w:id="134"/>
      <w:r w:rsidR="00183491" w:rsidRPr="00816657">
        <w:t>, cadmium</w:t>
      </w:r>
      <w:fldSimple w:instr=" NOTEREF _Ref409359615 \h  \* MERGEFORMAT ">
        <w:r w:rsidR="002F3000">
          <w:rPr>
            <w:vertAlign w:val="superscript"/>
          </w:rPr>
          <w:t>12</w:t>
        </w:r>
      </w:fldSimple>
      <w:r w:rsidR="00183491" w:rsidRPr="00816657">
        <w:t>, beryllium</w:t>
      </w:r>
      <w:fldSimple w:instr=" NOTEREF _Ref409359615 \h  \* MERGEFORMAT ">
        <w:r w:rsidR="002F3000">
          <w:rPr>
            <w:vertAlign w:val="superscript"/>
          </w:rPr>
          <w:t>12</w:t>
        </w:r>
      </w:fldSimple>
      <w:r w:rsidR="00183491" w:rsidRPr="00816657">
        <w:t>, antimony</w:t>
      </w:r>
      <w:fldSimple w:instr=" NOTEREF _Ref409359615 \h  \* MERGEFORMAT ">
        <w:r w:rsidR="002F3000">
          <w:rPr>
            <w:vertAlign w:val="superscript"/>
          </w:rPr>
          <w:t>12</w:t>
        </w:r>
      </w:fldSimple>
      <w:r w:rsidR="00183491" w:rsidRPr="00816657">
        <w:t>, thallium</w:t>
      </w:r>
      <w:fldSimple w:instr=" NOTEREF _Ref409359615 \h  \* MERGEFORMAT ">
        <w:r w:rsidR="002F3000">
          <w:rPr>
            <w:vertAlign w:val="superscript"/>
          </w:rPr>
          <w:t>12</w:t>
        </w:r>
      </w:fldSimple>
      <w:r w:rsidR="00183491" w:rsidRPr="00816657">
        <w:t>, selenium</w:t>
      </w:r>
      <w:fldSimple w:instr=" NOTEREF _Ref409359615 \h  \* MERGEFORMAT ">
        <w:r w:rsidR="002F3000">
          <w:rPr>
            <w:vertAlign w:val="superscript"/>
          </w:rPr>
          <w:t>12</w:t>
        </w:r>
      </w:fldSimple>
      <w:r w:rsidR="00183491" w:rsidRPr="00816657">
        <w:t xml:space="preserve"> and tellurium</w:t>
      </w:r>
      <w:fldSimple w:instr=" NOTEREF _Ref409359615 \h  \* MERGEFORMAT ">
        <w:r w:rsidR="002F3000">
          <w:rPr>
            <w:vertAlign w:val="superscript"/>
          </w:rPr>
          <w:t>12</w:t>
        </w:r>
      </w:fldSimple>
      <w:r w:rsidR="00183491" w:rsidRPr="00816657">
        <w:t>; compounds of copper, cobalt, nickel, vanadium, boron, zinc, barium (excl. barium sulphate), chromium (hexavalent &amp; trivalent), phosphorus (excl. mineral phosphates) &amp; inorganic fluorine (excl. calcium fluoride).</w:t>
      </w:r>
      <w:r w:rsidR="00C61814">
        <w:t xml:space="preserve"> While this group is diverse, by volume around 90% (a substantial 144,834 tonnes) of the waste arising (in 2012-13) is contributed by D230 Zinc compounds. </w:t>
      </w:r>
    </w:p>
    <w:p w:rsidR="00C61814" w:rsidRDefault="00C61814" w:rsidP="00C61814">
      <w:pPr>
        <w:pStyle w:val="BodyText"/>
      </w:pPr>
    </w:p>
    <w:p w:rsidR="00C61814" w:rsidRDefault="00C61814" w:rsidP="00C61814">
      <w:pPr>
        <w:pStyle w:val="BodyText"/>
      </w:pPr>
      <w:r>
        <w:t>Spent pot</w:t>
      </w:r>
      <w:r w:rsidR="00061B2C">
        <w:t>lining</w:t>
      </w:r>
      <w:r>
        <w:t xml:space="preserve"> (SPL) waste stockpiles were identified as a waste of particular interest and would be classified in this category, under </w:t>
      </w:r>
      <w:r w:rsidRPr="007F5BD4">
        <w:rPr>
          <w:i/>
        </w:rPr>
        <w:t>D110 Inorganic fluorine compounds excluding calcium fluoride</w:t>
      </w:r>
      <w:r>
        <w:t xml:space="preserve">. SPL wastes are discussed in </w:t>
      </w:r>
      <w:r w:rsidR="0082541E">
        <w:t>the breakout box</w:t>
      </w:r>
      <w:r>
        <w:t xml:space="preserve"> </w:t>
      </w:r>
      <w:r w:rsidR="0075442C">
        <w:t>overleaf</w:t>
      </w:r>
      <w:r>
        <w:t>.</w:t>
      </w:r>
    </w:p>
    <w:p w:rsidR="0075442C" w:rsidRDefault="0075442C" w:rsidP="00C61814">
      <w:pPr>
        <w:pStyle w:val="BodyText"/>
      </w:pPr>
    </w:p>
    <w:p w:rsidR="0075442C" w:rsidRDefault="0075442C" w:rsidP="0075442C">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4169"/>
        <w:gridCol w:w="1843"/>
        <w:gridCol w:w="2267"/>
        <w:gridCol w:w="1361"/>
      </w:tblGrid>
      <w:tr w:rsidR="0075442C" w:rsidRPr="00816657" w:rsidTr="0075442C">
        <w:trPr>
          <w:cnfStyle w:val="100000000000"/>
        </w:trPr>
        <w:tc>
          <w:tcPr>
            <w:cnfStyle w:val="001000000000"/>
            <w:tcW w:w="2162" w:type="pct"/>
            <w:tcBorders>
              <w:bottom w:val="single" w:sz="4" w:space="0" w:color="7F7F7F" w:themeColor="background2"/>
            </w:tcBorders>
          </w:tcPr>
          <w:p w:rsidR="0075442C" w:rsidRPr="00816657" w:rsidRDefault="0075442C" w:rsidP="00690D9F">
            <w:pPr>
              <w:pStyle w:val="BodyText"/>
              <w:rPr>
                <w:sz w:val="20"/>
                <w:szCs w:val="20"/>
              </w:rPr>
            </w:pPr>
            <w:r w:rsidRPr="00816657">
              <w:rPr>
                <w:sz w:val="20"/>
                <w:szCs w:val="20"/>
              </w:rPr>
              <w:t>Industry sources</w:t>
            </w:r>
          </w:p>
        </w:tc>
        <w:tc>
          <w:tcPr>
            <w:tcW w:w="956" w:type="pct"/>
            <w:tcBorders>
              <w:bottom w:val="single" w:sz="4" w:space="0" w:color="7F7F7F" w:themeColor="background2"/>
            </w:tcBorders>
          </w:tcPr>
          <w:p w:rsidR="0075442C" w:rsidRPr="00816657" w:rsidRDefault="0075442C" w:rsidP="00690D9F">
            <w:pPr>
              <w:pStyle w:val="BodyText"/>
              <w:cnfStyle w:val="100000000000"/>
              <w:rPr>
                <w:sz w:val="20"/>
                <w:szCs w:val="20"/>
              </w:rPr>
            </w:pPr>
            <w:r w:rsidRPr="00816657">
              <w:rPr>
                <w:sz w:val="20"/>
                <w:szCs w:val="20"/>
              </w:rPr>
              <w:t>Considerations</w:t>
            </w:r>
          </w:p>
        </w:tc>
        <w:tc>
          <w:tcPr>
            <w:tcW w:w="1176" w:type="pct"/>
            <w:tcBorders>
              <w:bottom w:val="single" w:sz="4" w:space="0" w:color="7F7F7F" w:themeColor="background2"/>
            </w:tcBorders>
          </w:tcPr>
          <w:p w:rsidR="0075442C" w:rsidRPr="00816657" w:rsidRDefault="0075442C" w:rsidP="00690D9F">
            <w:pPr>
              <w:pStyle w:val="BodyText"/>
              <w:cnfStyle w:val="100000000000"/>
              <w:rPr>
                <w:sz w:val="20"/>
                <w:szCs w:val="20"/>
              </w:rPr>
            </w:pPr>
            <w:r w:rsidRPr="00816657">
              <w:rPr>
                <w:sz w:val="20"/>
                <w:szCs w:val="20"/>
              </w:rPr>
              <w:t>Comments</w:t>
            </w:r>
          </w:p>
        </w:tc>
        <w:tc>
          <w:tcPr>
            <w:tcW w:w="706" w:type="pct"/>
            <w:tcBorders>
              <w:bottom w:val="single" w:sz="4" w:space="0" w:color="7F7F7F" w:themeColor="background2"/>
            </w:tcBorders>
          </w:tcPr>
          <w:p w:rsidR="0075442C" w:rsidRPr="00816657" w:rsidRDefault="0075442C" w:rsidP="00690D9F">
            <w:pPr>
              <w:pStyle w:val="BodyText"/>
              <w:cnfStyle w:val="100000000000"/>
              <w:rPr>
                <w:sz w:val="20"/>
                <w:szCs w:val="20"/>
              </w:rPr>
            </w:pPr>
            <w:r w:rsidRPr="00816657">
              <w:rPr>
                <w:sz w:val="20"/>
                <w:szCs w:val="20"/>
              </w:rPr>
              <w:t>Approach</w:t>
            </w:r>
          </w:p>
        </w:tc>
      </w:tr>
      <w:tr w:rsidR="0075442C" w:rsidRPr="00816657" w:rsidTr="0075442C">
        <w:tc>
          <w:tcPr>
            <w:cnfStyle w:val="001000000000"/>
            <w:tcW w:w="2162" w:type="pct"/>
            <w:vMerge w:val="restart"/>
            <w:tcBorders>
              <w:top w:val="single" w:sz="4" w:space="0" w:color="7F7F7F" w:themeColor="background2"/>
            </w:tcBorders>
          </w:tcPr>
          <w:p w:rsidR="0075442C" w:rsidRPr="00C61814" w:rsidRDefault="0075442C" w:rsidP="00690D9F">
            <w:pPr>
              <w:pStyle w:val="Bullet1"/>
              <w:spacing w:before="0"/>
              <w:ind w:left="284" w:hanging="284"/>
              <w:rPr>
                <w:lang w:eastAsia="en-AU"/>
              </w:rPr>
            </w:pPr>
            <w:r w:rsidRPr="00C61814">
              <w:rPr>
                <w:sz w:val="20"/>
                <w:lang w:eastAsia="en-AU"/>
              </w:rPr>
              <w:t xml:space="preserve">Fossil fuel electricity generation </w:t>
            </w:r>
          </w:p>
          <w:p w:rsidR="0075442C" w:rsidRPr="00C61814" w:rsidRDefault="0075442C" w:rsidP="00690D9F">
            <w:pPr>
              <w:pStyle w:val="Bullet1"/>
              <w:spacing w:before="0"/>
              <w:ind w:left="284" w:hanging="284"/>
              <w:rPr>
                <w:lang w:eastAsia="en-AU"/>
              </w:rPr>
            </w:pPr>
            <w:r w:rsidRPr="00C61814">
              <w:rPr>
                <w:sz w:val="20"/>
                <w:lang w:eastAsia="en-AU"/>
              </w:rPr>
              <w:t>Motor vehicle parts manufacturing</w:t>
            </w:r>
          </w:p>
          <w:p w:rsidR="0075442C" w:rsidRPr="00C61814" w:rsidRDefault="0075442C" w:rsidP="00690D9F">
            <w:pPr>
              <w:pStyle w:val="Bullet1"/>
              <w:spacing w:before="0"/>
              <w:ind w:left="284" w:hanging="284"/>
              <w:rPr>
                <w:lang w:eastAsia="en-AU"/>
              </w:rPr>
            </w:pPr>
            <w:r w:rsidRPr="00C61814">
              <w:rPr>
                <w:sz w:val="20"/>
                <w:lang w:eastAsia="en-AU"/>
              </w:rPr>
              <w:t>Petroleum refining</w:t>
            </w:r>
          </w:p>
          <w:p w:rsidR="0075442C" w:rsidRPr="00C61814" w:rsidRDefault="0075442C" w:rsidP="00690D9F">
            <w:pPr>
              <w:pStyle w:val="Bullet1"/>
              <w:spacing w:before="0"/>
              <w:ind w:left="284" w:hanging="284"/>
              <w:rPr>
                <w:lang w:eastAsia="en-AU"/>
              </w:rPr>
            </w:pPr>
            <w:r w:rsidRPr="00C61814">
              <w:rPr>
                <w:sz w:val="20"/>
                <w:lang w:eastAsia="en-AU"/>
              </w:rPr>
              <w:t>Leather tanning, fur dressing and leather product manufacturing</w:t>
            </w:r>
          </w:p>
          <w:p w:rsidR="0075442C" w:rsidRPr="00C61814" w:rsidRDefault="0075442C" w:rsidP="00690D9F">
            <w:pPr>
              <w:pStyle w:val="Bullet1"/>
              <w:spacing w:before="0"/>
              <w:ind w:left="284" w:hanging="284"/>
              <w:rPr>
                <w:lang w:eastAsia="en-AU"/>
              </w:rPr>
            </w:pPr>
            <w:r w:rsidRPr="00C61814">
              <w:rPr>
                <w:sz w:val="20"/>
                <w:lang w:eastAsia="en-AU"/>
              </w:rPr>
              <w:t>Chemical product manufacturing</w:t>
            </w:r>
          </w:p>
          <w:p w:rsidR="0075442C" w:rsidRPr="00C61814" w:rsidRDefault="0075442C" w:rsidP="00690D9F">
            <w:pPr>
              <w:pStyle w:val="Bullet1"/>
              <w:spacing w:before="0"/>
              <w:ind w:left="284" w:hanging="284"/>
              <w:rPr>
                <w:lang w:eastAsia="en-AU"/>
              </w:rPr>
            </w:pPr>
            <w:r w:rsidRPr="00C61814">
              <w:rPr>
                <w:sz w:val="20"/>
                <w:lang w:eastAsia="en-AU"/>
              </w:rPr>
              <w:t>Metal coating and finishing</w:t>
            </w:r>
          </w:p>
          <w:p w:rsidR="0075442C" w:rsidRPr="00C61814" w:rsidRDefault="0075442C" w:rsidP="00690D9F">
            <w:pPr>
              <w:pStyle w:val="Bullet1"/>
              <w:spacing w:before="0"/>
              <w:ind w:left="284" w:hanging="284"/>
              <w:rPr>
                <w:lang w:eastAsia="en-AU"/>
              </w:rPr>
            </w:pPr>
            <w:r w:rsidRPr="00C61814">
              <w:rPr>
                <w:sz w:val="20"/>
                <w:lang w:eastAsia="en-AU"/>
              </w:rPr>
              <w:t>Port and water transport terminal operations</w:t>
            </w:r>
          </w:p>
          <w:p w:rsidR="0075442C" w:rsidRPr="00816657" w:rsidRDefault="0075442C" w:rsidP="00690D9F">
            <w:pPr>
              <w:pStyle w:val="Bullet1"/>
              <w:spacing w:before="0"/>
              <w:ind w:left="284" w:hanging="284"/>
              <w:rPr>
                <w:lang w:eastAsia="en-AU"/>
              </w:rPr>
            </w:pPr>
            <w:r w:rsidRPr="00C61814">
              <w:rPr>
                <w:sz w:val="20"/>
                <w:lang w:eastAsia="en-AU"/>
              </w:rPr>
              <w:t>Professional, scientific and technical services</w:t>
            </w:r>
          </w:p>
        </w:tc>
        <w:tc>
          <w:tcPr>
            <w:tcW w:w="956" w:type="pct"/>
            <w:tcBorders>
              <w:top w:val="single" w:sz="4" w:space="0" w:color="7F7F7F" w:themeColor="background2"/>
            </w:tcBorders>
          </w:tcPr>
          <w:p w:rsidR="0075442C" w:rsidRPr="00816657" w:rsidRDefault="0075442C" w:rsidP="00690D9F">
            <w:pPr>
              <w:pStyle w:val="BodyText"/>
              <w:cnfStyle w:val="000000000000"/>
              <w:rPr>
                <w:sz w:val="20"/>
                <w:szCs w:val="20"/>
              </w:rPr>
            </w:pPr>
            <w:r w:rsidRPr="00816657">
              <w:rPr>
                <w:sz w:val="20"/>
                <w:szCs w:val="20"/>
              </w:rPr>
              <w:t>No sufficiently credible pre-existing projections were identified</w:t>
            </w:r>
          </w:p>
        </w:tc>
        <w:tc>
          <w:tcPr>
            <w:tcW w:w="1176" w:type="pct"/>
            <w:tcBorders>
              <w:top w:val="single" w:sz="4" w:space="0" w:color="7F7F7F" w:themeColor="background2"/>
            </w:tcBorders>
          </w:tcPr>
          <w:p w:rsidR="0075442C" w:rsidRPr="00816657" w:rsidRDefault="0075442C" w:rsidP="00F5585F">
            <w:pPr>
              <w:pStyle w:val="BodyText"/>
              <w:cnfStyle w:val="000000000000"/>
              <w:rPr>
                <w:rFonts w:cs="Times New Roman"/>
                <w:color w:val="000000"/>
                <w:szCs w:val="20"/>
                <w:lang w:eastAsia="en-AU"/>
              </w:rPr>
            </w:pPr>
            <w:r w:rsidRPr="00816657">
              <w:rPr>
                <w:rFonts w:cs="Times New Roman"/>
                <w:color w:val="000000"/>
                <w:sz w:val="20"/>
                <w:szCs w:val="20"/>
                <w:lang w:eastAsia="en-AU"/>
              </w:rPr>
              <w:t>From a range of mostly manufacturing sources</w:t>
            </w:r>
            <w:r w:rsidR="00F5585F">
              <w:rPr>
                <w:rFonts w:cs="Times New Roman"/>
                <w:color w:val="000000"/>
                <w:sz w:val="20"/>
                <w:szCs w:val="20"/>
                <w:lang w:eastAsia="en-AU"/>
              </w:rPr>
              <w:t>.</w:t>
            </w:r>
          </w:p>
        </w:tc>
        <w:tc>
          <w:tcPr>
            <w:tcW w:w="706" w:type="pct"/>
            <w:tcBorders>
              <w:top w:val="single" w:sz="4" w:space="0" w:color="7F7F7F" w:themeColor="background2"/>
            </w:tcBorders>
          </w:tcPr>
          <w:p w:rsidR="0075442C" w:rsidRPr="00816657" w:rsidRDefault="0075442C" w:rsidP="00690D9F">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causal analysis</w:t>
            </w:r>
          </w:p>
          <w:p w:rsidR="0075442C" w:rsidRPr="00816657" w:rsidRDefault="0075442C" w:rsidP="00690D9F">
            <w:pPr>
              <w:pStyle w:val="BodyText"/>
              <w:cnfStyle w:val="000000000000"/>
              <w:rPr>
                <w:rFonts w:cs="Times New Roman"/>
                <w:color w:val="000000"/>
                <w:sz w:val="20"/>
                <w:szCs w:val="20"/>
                <w:lang w:eastAsia="en-AU"/>
              </w:rPr>
            </w:pPr>
          </w:p>
        </w:tc>
      </w:tr>
      <w:tr w:rsidR="0075442C" w:rsidRPr="00816657" w:rsidTr="00F5585F">
        <w:trPr>
          <w:trHeight w:val="1167"/>
        </w:trPr>
        <w:tc>
          <w:tcPr>
            <w:cnfStyle w:val="001000000000"/>
            <w:tcW w:w="2162" w:type="pct"/>
            <w:vMerge/>
          </w:tcPr>
          <w:p w:rsidR="0075442C" w:rsidRPr="00816657" w:rsidRDefault="0075442C" w:rsidP="00690D9F">
            <w:pPr>
              <w:spacing w:line="240" w:lineRule="auto"/>
              <w:rPr>
                <w:rFonts w:cs="Times New Roman"/>
                <w:color w:val="000000"/>
                <w:szCs w:val="20"/>
                <w:lang w:eastAsia="en-AU"/>
              </w:rPr>
            </w:pPr>
          </w:p>
        </w:tc>
        <w:tc>
          <w:tcPr>
            <w:tcW w:w="956" w:type="pct"/>
          </w:tcPr>
          <w:p w:rsidR="0075442C" w:rsidRPr="00816657" w:rsidRDefault="0075442C" w:rsidP="00690D9F">
            <w:pPr>
              <w:spacing w:line="240" w:lineRule="auto"/>
              <w:cnfStyle w:val="000000000000"/>
              <w:rPr>
                <w:rFonts w:cs="Times New Roman"/>
                <w:color w:val="000000"/>
                <w:szCs w:val="20"/>
                <w:lang w:eastAsia="en-AU"/>
              </w:rPr>
            </w:pPr>
            <w:r w:rsidRPr="00816657">
              <w:rPr>
                <w:rFonts w:cs="Times New Roman"/>
                <w:color w:val="000000"/>
                <w:szCs w:val="20"/>
                <w:lang w:eastAsia="en-AU"/>
              </w:rPr>
              <w:t>Historical data set exists however may not be usable for discerning trends.</w:t>
            </w:r>
          </w:p>
        </w:tc>
        <w:tc>
          <w:tcPr>
            <w:tcW w:w="1176" w:type="pct"/>
          </w:tcPr>
          <w:p w:rsidR="0075442C" w:rsidRPr="00816657" w:rsidRDefault="0075442C" w:rsidP="00690D9F">
            <w:pPr>
              <w:pStyle w:val="BodyText"/>
              <w:cnfStyle w:val="000000000000"/>
              <w:rPr>
                <w:rFonts w:cs="Times New Roman"/>
                <w:color w:val="000000"/>
                <w:sz w:val="20"/>
                <w:szCs w:val="20"/>
                <w:lang w:eastAsia="en-AU"/>
              </w:rPr>
            </w:pPr>
            <w:r w:rsidRPr="00816657">
              <w:rPr>
                <w:rFonts w:cs="Times New Roman"/>
                <w:color w:val="000000"/>
                <w:sz w:val="20"/>
                <w:szCs w:val="20"/>
                <w:lang w:eastAsia="en-AU"/>
              </w:rPr>
              <w:t xml:space="preserve">It is understood that 900kt of spent </w:t>
            </w:r>
            <w:r w:rsidR="00061B2C">
              <w:rPr>
                <w:rFonts w:cs="Times New Roman"/>
                <w:color w:val="000000"/>
                <w:sz w:val="20"/>
                <w:szCs w:val="20"/>
                <w:lang w:eastAsia="en-AU"/>
              </w:rPr>
              <w:t>pot</w:t>
            </w:r>
            <w:r w:rsidRPr="00816657">
              <w:rPr>
                <w:rFonts w:cs="Times New Roman"/>
                <w:color w:val="000000"/>
                <w:sz w:val="20"/>
                <w:szCs w:val="20"/>
                <w:lang w:eastAsia="en-AU"/>
              </w:rPr>
              <w:t xml:space="preserve">lining, a hazardous waste from aluminium smelters is stored on site in NSW, Qld, Tas &amp; Vic. Would fall into this </w:t>
            </w:r>
            <w:r>
              <w:rPr>
                <w:rFonts w:cs="Times New Roman"/>
                <w:color w:val="000000"/>
                <w:sz w:val="20"/>
                <w:szCs w:val="20"/>
                <w:lang w:eastAsia="en-AU"/>
              </w:rPr>
              <w:t>waste</w:t>
            </w:r>
            <w:r w:rsidRPr="00816657">
              <w:rPr>
                <w:rFonts w:cs="Times New Roman"/>
                <w:color w:val="000000"/>
                <w:sz w:val="20"/>
                <w:szCs w:val="20"/>
                <w:lang w:eastAsia="en-AU"/>
              </w:rPr>
              <w:t xml:space="preserve"> group.</w:t>
            </w:r>
          </w:p>
        </w:tc>
        <w:tc>
          <w:tcPr>
            <w:tcW w:w="706" w:type="pct"/>
          </w:tcPr>
          <w:p w:rsidR="0075442C" w:rsidRPr="00816657" w:rsidRDefault="0075442C" w:rsidP="00690D9F">
            <w:pPr>
              <w:pStyle w:val="BodyText"/>
              <w:cnfStyle w:val="000000000000"/>
              <w:rPr>
                <w:rFonts w:cs="Times New Roman"/>
                <w:color w:val="000000"/>
                <w:sz w:val="20"/>
                <w:szCs w:val="20"/>
                <w:lang w:eastAsia="en-AU"/>
              </w:rPr>
            </w:pPr>
            <w:r w:rsidRPr="00816657">
              <w:rPr>
                <w:rFonts w:cs="Times New Roman"/>
                <w:color w:val="000000"/>
                <w:sz w:val="20"/>
                <w:szCs w:val="20"/>
                <w:lang w:eastAsia="en-AU"/>
              </w:rPr>
              <w:t xml:space="preserve">In the high scenario, assume spent </w:t>
            </w:r>
            <w:r w:rsidR="00061B2C">
              <w:rPr>
                <w:rFonts w:cs="Times New Roman"/>
                <w:color w:val="000000"/>
                <w:sz w:val="20"/>
                <w:szCs w:val="20"/>
                <w:lang w:eastAsia="en-AU"/>
              </w:rPr>
              <w:t>pot</w:t>
            </w:r>
            <w:r w:rsidRPr="00816657">
              <w:rPr>
                <w:rFonts w:cs="Times New Roman"/>
                <w:color w:val="000000"/>
                <w:sz w:val="20"/>
                <w:szCs w:val="20"/>
                <w:lang w:eastAsia="en-AU"/>
              </w:rPr>
              <w:t>lining enters the waste stream.</w:t>
            </w:r>
          </w:p>
          <w:p w:rsidR="0075442C" w:rsidRPr="00816657" w:rsidRDefault="0075442C" w:rsidP="00690D9F">
            <w:pPr>
              <w:spacing w:line="240" w:lineRule="auto"/>
              <w:cnfStyle w:val="000000000000"/>
              <w:rPr>
                <w:rFonts w:cs="Times New Roman"/>
                <w:color w:val="000000"/>
                <w:szCs w:val="20"/>
                <w:lang w:eastAsia="en-AU"/>
              </w:rPr>
            </w:pPr>
          </w:p>
        </w:tc>
      </w:tr>
    </w:tbl>
    <w:p w:rsidR="0075442C" w:rsidRDefault="0075442C" w:rsidP="0075442C">
      <w:pPr>
        <w:pStyle w:val="BodyText"/>
      </w:pPr>
    </w:p>
    <w:p w:rsidR="0075442C" w:rsidRPr="00816657" w:rsidRDefault="0075442C" w:rsidP="0075442C">
      <w:pPr>
        <w:pStyle w:val="Figures"/>
      </w:pPr>
      <w:bookmarkStart w:id="135" w:name="_Toc425849299"/>
      <w:r w:rsidRPr="00816657">
        <w:t xml:space="preserve">Table </w:t>
      </w:r>
      <w:fldSimple w:instr=" SEQ Table \* ARABIC ">
        <w:r w:rsidR="002F3000">
          <w:rPr>
            <w:noProof/>
          </w:rPr>
          <w:t>14</w:t>
        </w:r>
      </w:fldSimple>
      <w:r w:rsidRPr="00816657">
        <w:t xml:space="preserve">: </w:t>
      </w:r>
      <w:r w:rsidRPr="00816657">
        <w:tab/>
        <w:t>Best, high and low projected rates of change for other inorganic chemical waste to 2034</w:t>
      </w:r>
      <w:bookmarkEnd w:id="135"/>
    </w:p>
    <w:tbl>
      <w:tblPr>
        <w:tblStyle w:val="BETable1"/>
        <w:tblW w:w="9498" w:type="dxa"/>
        <w:tblLayout w:type="fixed"/>
        <w:tblCellMar>
          <w:top w:w="0" w:type="dxa"/>
          <w:bottom w:w="0" w:type="dxa"/>
        </w:tblCellMar>
        <w:tblLook w:val="04A0"/>
      </w:tblPr>
      <w:tblGrid>
        <w:gridCol w:w="567"/>
        <w:gridCol w:w="1134"/>
        <w:gridCol w:w="3969"/>
        <w:gridCol w:w="709"/>
        <w:gridCol w:w="284"/>
        <w:gridCol w:w="850"/>
        <w:gridCol w:w="284"/>
        <w:gridCol w:w="708"/>
        <w:gridCol w:w="335"/>
        <w:gridCol w:w="658"/>
      </w:tblGrid>
      <w:tr w:rsidR="0075442C" w:rsidRPr="00816657" w:rsidTr="0075442C">
        <w:trPr>
          <w:cnfStyle w:val="100000000000"/>
        </w:trPr>
        <w:tc>
          <w:tcPr>
            <w:cnfStyle w:val="001000000000"/>
            <w:tcW w:w="567" w:type="dxa"/>
          </w:tcPr>
          <w:p w:rsidR="0075442C" w:rsidRPr="00816657" w:rsidRDefault="0075442C" w:rsidP="00690D9F"/>
        </w:tc>
        <w:tc>
          <w:tcPr>
            <w:tcW w:w="1134" w:type="dxa"/>
          </w:tcPr>
          <w:p w:rsidR="0075442C" w:rsidRPr="00816657" w:rsidRDefault="0075442C" w:rsidP="00690D9F">
            <w:pPr>
              <w:cnfStyle w:val="100000000000"/>
            </w:pPr>
            <w:r w:rsidRPr="00816657">
              <w:t>Applies to</w:t>
            </w:r>
          </w:p>
        </w:tc>
        <w:tc>
          <w:tcPr>
            <w:tcW w:w="3969" w:type="dxa"/>
          </w:tcPr>
          <w:p w:rsidR="0075442C" w:rsidRPr="00816657" w:rsidRDefault="0075442C" w:rsidP="00690D9F">
            <w:pPr>
              <w:cnfStyle w:val="100000000000"/>
            </w:pPr>
            <w:r w:rsidRPr="00816657">
              <w:t>Approach</w:t>
            </w:r>
          </w:p>
        </w:tc>
        <w:tc>
          <w:tcPr>
            <w:tcW w:w="709" w:type="dxa"/>
          </w:tcPr>
          <w:p w:rsidR="0075442C" w:rsidRPr="00816657" w:rsidRDefault="0075442C" w:rsidP="00690D9F">
            <w:pPr>
              <w:jc w:val="right"/>
              <w:cnfStyle w:val="100000000000"/>
            </w:pPr>
            <w:r w:rsidRPr="00816657">
              <w:t>2014</w:t>
            </w:r>
          </w:p>
        </w:tc>
        <w:tc>
          <w:tcPr>
            <w:tcW w:w="284" w:type="dxa"/>
          </w:tcPr>
          <w:p w:rsidR="0075442C" w:rsidRPr="00816657" w:rsidRDefault="0075442C" w:rsidP="00690D9F">
            <w:pPr>
              <w:jc w:val="right"/>
              <w:cnfStyle w:val="100000000000"/>
            </w:pPr>
            <w:r w:rsidRPr="00816657">
              <w:t>...</w:t>
            </w:r>
          </w:p>
        </w:tc>
        <w:tc>
          <w:tcPr>
            <w:tcW w:w="850" w:type="dxa"/>
          </w:tcPr>
          <w:p w:rsidR="0075442C" w:rsidRPr="00816657" w:rsidRDefault="0075442C" w:rsidP="00690D9F">
            <w:pPr>
              <w:jc w:val="right"/>
              <w:cnfStyle w:val="100000000000"/>
            </w:pPr>
            <w:r w:rsidRPr="00816657">
              <w:t>2017</w:t>
            </w:r>
          </w:p>
        </w:tc>
        <w:tc>
          <w:tcPr>
            <w:tcW w:w="284" w:type="dxa"/>
          </w:tcPr>
          <w:p w:rsidR="0075442C" w:rsidRPr="00816657" w:rsidRDefault="0075442C" w:rsidP="00690D9F">
            <w:pPr>
              <w:jc w:val="right"/>
              <w:cnfStyle w:val="100000000000"/>
            </w:pPr>
            <w:r w:rsidRPr="00816657">
              <w:t>...</w:t>
            </w:r>
          </w:p>
        </w:tc>
        <w:tc>
          <w:tcPr>
            <w:tcW w:w="708" w:type="dxa"/>
          </w:tcPr>
          <w:p w:rsidR="0075442C" w:rsidRPr="00816657" w:rsidRDefault="0075442C" w:rsidP="00690D9F">
            <w:pPr>
              <w:jc w:val="right"/>
              <w:cnfStyle w:val="100000000000"/>
            </w:pPr>
            <w:r w:rsidRPr="00816657">
              <w:t>2027</w:t>
            </w:r>
          </w:p>
        </w:tc>
        <w:tc>
          <w:tcPr>
            <w:tcW w:w="335" w:type="dxa"/>
          </w:tcPr>
          <w:p w:rsidR="0075442C" w:rsidRPr="00816657" w:rsidRDefault="0075442C" w:rsidP="00690D9F">
            <w:pPr>
              <w:jc w:val="right"/>
              <w:cnfStyle w:val="100000000000"/>
            </w:pPr>
            <w:r w:rsidRPr="00816657">
              <w:t>...</w:t>
            </w:r>
          </w:p>
        </w:tc>
        <w:tc>
          <w:tcPr>
            <w:tcW w:w="658" w:type="dxa"/>
          </w:tcPr>
          <w:p w:rsidR="0075442C" w:rsidRPr="00816657" w:rsidRDefault="0075442C" w:rsidP="00690D9F">
            <w:pPr>
              <w:jc w:val="right"/>
              <w:cnfStyle w:val="100000000000"/>
            </w:pPr>
            <w:r w:rsidRPr="00816657">
              <w:t>2034</w:t>
            </w:r>
          </w:p>
        </w:tc>
      </w:tr>
      <w:tr w:rsidR="0075442C" w:rsidRPr="00816657" w:rsidTr="0075442C">
        <w:tc>
          <w:tcPr>
            <w:cnfStyle w:val="001000000000"/>
            <w:tcW w:w="567" w:type="dxa"/>
          </w:tcPr>
          <w:p w:rsidR="0075442C" w:rsidRPr="00816657" w:rsidRDefault="0075442C" w:rsidP="00690D9F">
            <w:r w:rsidRPr="00816657">
              <w:t>Best</w:t>
            </w:r>
          </w:p>
        </w:tc>
        <w:tc>
          <w:tcPr>
            <w:tcW w:w="1134" w:type="dxa"/>
            <w:vMerge w:val="restart"/>
            <w:vAlign w:val="center"/>
          </w:tcPr>
          <w:p w:rsidR="0075442C" w:rsidRPr="00816657" w:rsidRDefault="0075442C" w:rsidP="00690D9F">
            <w:pPr>
              <w:cnfStyle w:val="000000000000"/>
            </w:pPr>
            <w:r w:rsidRPr="00816657">
              <w:t>ACT, NSW, NT, Qld, SA, Tas, Vic, WA</w:t>
            </w:r>
          </w:p>
        </w:tc>
        <w:tc>
          <w:tcPr>
            <w:tcW w:w="3969" w:type="dxa"/>
          </w:tcPr>
          <w:p w:rsidR="0075442C" w:rsidRPr="00816657" w:rsidRDefault="0075442C" w:rsidP="00690D9F">
            <w:pPr>
              <w:cnfStyle w:val="000000000000"/>
            </w:pPr>
            <w:r w:rsidRPr="00816657">
              <w:t>Decline with manufacturing</w:t>
            </w:r>
          </w:p>
        </w:tc>
        <w:tc>
          <w:tcPr>
            <w:tcW w:w="709" w:type="dxa"/>
          </w:tcPr>
          <w:p w:rsidR="0075442C" w:rsidRPr="00816657" w:rsidRDefault="0075442C" w:rsidP="00690D9F">
            <w:pPr>
              <w:jc w:val="right"/>
              <w:cnfStyle w:val="000000000000"/>
            </w:pPr>
            <w:r w:rsidRPr="00816657">
              <w:t>-2.0%</w:t>
            </w:r>
          </w:p>
        </w:tc>
        <w:tc>
          <w:tcPr>
            <w:tcW w:w="284" w:type="dxa"/>
          </w:tcPr>
          <w:p w:rsidR="0075442C" w:rsidRPr="00816657" w:rsidRDefault="0075442C" w:rsidP="00690D9F">
            <w:pPr>
              <w:jc w:val="right"/>
              <w:cnfStyle w:val="000000000000"/>
            </w:pPr>
            <w:r w:rsidRPr="00816657">
              <w:t>...</w:t>
            </w:r>
          </w:p>
        </w:tc>
        <w:tc>
          <w:tcPr>
            <w:tcW w:w="850" w:type="dxa"/>
          </w:tcPr>
          <w:p w:rsidR="0075442C" w:rsidRPr="00816657" w:rsidRDefault="0075442C" w:rsidP="00690D9F">
            <w:pPr>
              <w:jc w:val="right"/>
              <w:cnfStyle w:val="000000000000"/>
            </w:pPr>
            <w:r w:rsidRPr="00816657">
              <w:t>-2.0%</w:t>
            </w:r>
          </w:p>
        </w:tc>
        <w:tc>
          <w:tcPr>
            <w:tcW w:w="284" w:type="dxa"/>
          </w:tcPr>
          <w:p w:rsidR="0075442C" w:rsidRPr="00816657" w:rsidRDefault="0075442C" w:rsidP="00690D9F">
            <w:pPr>
              <w:jc w:val="right"/>
              <w:cnfStyle w:val="000000000000"/>
            </w:pPr>
            <w:r w:rsidRPr="00816657">
              <w:t>...</w:t>
            </w:r>
          </w:p>
        </w:tc>
        <w:tc>
          <w:tcPr>
            <w:tcW w:w="708" w:type="dxa"/>
          </w:tcPr>
          <w:p w:rsidR="0075442C" w:rsidRPr="00816657" w:rsidRDefault="0075442C" w:rsidP="00690D9F">
            <w:pPr>
              <w:jc w:val="right"/>
              <w:cnfStyle w:val="000000000000"/>
            </w:pPr>
            <w:r w:rsidRPr="00816657">
              <w:t>-2.0%</w:t>
            </w:r>
          </w:p>
        </w:tc>
        <w:tc>
          <w:tcPr>
            <w:tcW w:w="335" w:type="dxa"/>
          </w:tcPr>
          <w:p w:rsidR="0075442C" w:rsidRPr="00816657" w:rsidRDefault="0075442C" w:rsidP="00690D9F">
            <w:pPr>
              <w:jc w:val="right"/>
              <w:cnfStyle w:val="000000000000"/>
            </w:pPr>
            <w:r w:rsidRPr="00816657">
              <w:t>...</w:t>
            </w:r>
          </w:p>
        </w:tc>
        <w:tc>
          <w:tcPr>
            <w:tcW w:w="658" w:type="dxa"/>
          </w:tcPr>
          <w:p w:rsidR="0075442C" w:rsidRPr="00816657" w:rsidRDefault="0075442C" w:rsidP="00690D9F">
            <w:pPr>
              <w:jc w:val="right"/>
              <w:cnfStyle w:val="000000000000"/>
            </w:pPr>
            <w:r w:rsidRPr="00816657">
              <w:t>-2.0%</w:t>
            </w:r>
          </w:p>
        </w:tc>
      </w:tr>
      <w:tr w:rsidR="0075442C" w:rsidRPr="00816657" w:rsidTr="0075442C">
        <w:tc>
          <w:tcPr>
            <w:cnfStyle w:val="001000000000"/>
            <w:tcW w:w="567" w:type="dxa"/>
          </w:tcPr>
          <w:p w:rsidR="0075442C" w:rsidRPr="00816657" w:rsidRDefault="0075442C" w:rsidP="00690D9F">
            <w:r w:rsidRPr="00816657">
              <w:t>High</w:t>
            </w:r>
          </w:p>
        </w:tc>
        <w:tc>
          <w:tcPr>
            <w:tcW w:w="1134" w:type="dxa"/>
            <w:vMerge/>
            <w:vAlign w:val="center"/>
          </w:tcPr>
          <w:p w:rsidR="0075442C" w:rsidRPr="00816657" w:rsidRDefault="0075442C" w:rsidP="00690D9F">
            <w:pPr>
              <w:cnfStyle w:val="000000000000"/>
            </w:pPr>
          </w:p>
        </w:tc>
        <w:tc>
          <w:tcPr>
            <w:tcW w:w="3969" w:type="dxa"/>
          </w:tcPr>
          <w:p w:rsidR="0075442C" w:rsidRPr="00816657" w:rsidRDefault="0075442C" w:rsidP="00690D9F">
            <w:pPr>
              <w:cnfStyle w:val="000000000000"/>
            </w:pPr>
            <w:r w:rsidRPr="00816657">
              <w:t>Best estimate of annual rate of change +2%</w:t>
            </w:r>
          </w:p>
        </w:tc>
        <w:tc>
          <w:tcPr>
            <w:tcW w:w="709" w:type="dxa"/>
          </w:tcPr>
          <w:p w:rsidR="0075442C" w:rsidRPr="00816657" w:rsidRDefault="0075442C" w:rsidP="00690D9F">
            <w:pPr>
              <w:jc w:val="right"/>
              <w:cnfStyle w:val="000000000000"/>
            </w:pPr>
            <w:r w:rsidRPr="00816657">
              <w:t>0.0%</w:t>
            </w:r>
          </w:p>
        </w:tc>
        <w:tc>
          <w:tcPr>
            <w:tcW w:w="284" w:type="dxa"/>
          </w:tcPr>
          <w:p w:rsidR="0075442C" w:rsidRPr="00816657" w:rsidRDefault="0075442C" w:rsidP="00690D9F">
            <w:pPr>
              <w:jc w:val="right"/>
              <w:cnfStyle w:val="000000000000"/>
            </w:pPr>
            <w:r w:rsidRPr="00816657">
              <w:t>...</w:t>
            </w:r>
          </w:p>
        </w:tc>
        <w:tc>
          <w:tcPr>
            <w:tcW w:w="850" w:type="dxa"/>
          </w:tcPr>
          <w:p w:rsidR="0075442C" w:rsidRPr="00816657" w:rsidRDefault="0075442C" w:rsidP="00690D9F">
            <w:pPr>
              <w:jc w:val="right"/>
              <w:cnfStyle w:val="000000000000"/>
            </w:pPr>
            <w:r w:rsidRPr="00816657">
              <w:t>0.0%</w:t>
            </w:r>
          </w:p>
        </w:tc>
        <w:tc>
          <w:tcPr>
            <w:tcW w:w="284" w:type="dxa"/>
          </w:tcPr>
          <w:p w:rsidR="0075442C" w:rsidRPr="00816657" w:rsidRDefault="0075442C" w:rsidP="00690D9F">
            <w:pPr>
              <w:jc w:val="right"/>
              <w:cnfStyle w:val="000000000000"/>
            </w:pPr>
            <w:r w:rsidRPr="00816657">
              <w:t>...</w:t>
            </w:r>
          </w:p>
        </w:tc>
        <w:tc>
          <w:tcPr>
            <w:tcW w:w="708" w:type="dxa"/>
          </w:tcPr>
          <w:p w:rsidR="0075442C" w:rsidRPr="00816657" w:rsidRDefault="0075442C" w:rsidP="00690D9F">
            <w:pPr>
              <w:jc w:val="right"/>
              <w:cnfStyle w:val="000000000000"/>
            </w:pPr>
            <w:r w:rsidRPr="00816657">
              <w:t>0.0%</w:t>
            </w:r>
          </w:p>
        </w:tc>
        <w:tc>
          <w:tcPr>
            <w:tcW w:w="335" w:type="dxa"/>
          </w:tcPr>
          <w:p w:rsidR="0075442C" w:rsidRPr="00816657" w:rsidRDefault="0075442C" w:rsidP="00690D9F">
            <w:pPr>
              <w:jc w:val="right"/>
              <w:cnfStyle w:val="000000000000"/>
            </w:pPr>
            <w:r w:rsidRPr="00816657">
              <w:t>...</w:t>
            </w:r>
          </w:p>
        </w:tc>
        <w:tc>
          <w:tcPr>
            <w:tcW w:w="658" w:type="dxa"/>
          </w:tcPr>
          <w:p w:rsidR="0075442C" w:rsidRPr="00816657" w:rsidRDefault="0075442C" w:rsidP="00690D9F">
            <w:pPr>
              <w:jc w:val="right"/>
              <w:cnfStyle w:val="000000000000"/>
            </w:pPr>
            <w:r w:rsidRPr="00816657">
              <w:t>0.0%</w:t>
            </w:r>
          </w:p>
        </w:tc>
      </w:tr>
      <w:tr w:rsidR="0075442C" w:rsidRPr="00816657" w:rsidTr="0075442C">
        <w:tc>
          <w:tcPr>
            <w:cnfStyle w:val="001000000000"/>
            <w:tcW w:w="567" w:type="dxa"/>
            <w:tcBorders>
              <w:bottom w:val="single" w:sz="12" w:space="0" w:color="auto"/>
            </w:tcBorders>
          </w:tcPr>
          <w:p w:rsidR="0075442C" w:rsidRPr="00816657" w:rsidRDefault="0075442C" w:rsidP="00690D9F">
            <w:r w:rsidRPr="00816657">
              <w:t>Low</w:t>
            </w:r>
          </w:p>
        </w:tc>
        <w:tc>
          <w:tcPr>
            <w:tcW w:w="1134" w:type="dxa"/>
            <w:vMerge/>
            <w:tcBorders>
              <w:bottom w:val="single" w:sz="12" w:space="0" w:color="auto"/>
            </w:tcBorders>
            <w:vAlign w:val="center"/>
          </w:tcPr>
          <w:p w:rsidR="0075442C" w:rsidRPr="00816657" w:rsidRDefault="0075442C" w:rsidP="00690D9F">
            <w:pPr>
              <w:cnfStyle w:val="000000000000"/>
            </w:pPr>
          </w:p>
        </w:tc>
        <w:tc>
          <w:tcPr>
            <w:tcW w:w="3969" w:type="dxa"/>
            <w:tcBorders>
              <w:bottom w:val="single" w:sz="12" w:space="0" w:color="auto"/>
            </w:tcBorders>
          </w:tcPr>
          <w:p w:rsidR="0075442C" w:rsidRPr="00816657" w:rsidRDefault="0075442C" w:rsidP="00690D9F">
            <w:pPr>
              <w:cnfStyle w:val="000000000000"/>
            </w:pPr>
            <w:r w:rsidRPr="00816657">
              <w:t>Best estimate of annual rate of change - 2%</w:t>
            </w:r>
          </w:p>
        </w:tc>
        <w:tc>
          <w:tcPr>
            <w:tcW w:w="709" w:type="dxa"/>
            <w:tcBorders>
              <w:bottom w:val="single" w:sz="12" w:space="0" w:color="auto"/>
            </w:tcBorders>
          </w:tcPr>
          <w:p w:rsidR="0075442C" w:rsidRPr="00816657" w:rsidRDefault="0075442C" w:rsidP="00690D9F">
            <w:pPr>
              <w:jc w:val="right"/>
              <w:cnfStyle w:val="000000000000"/>
            </w:pPr>
            <w:r w:rsidRPr="00816657">
              <w:t>-4.0%</w:t>
            </w:r>
          </w:p>
        </w:tc>
        <w:tc>
          <w:tcPr>
            <w:tcW w:w="284" w:type="dxa"/>
            <w:tcBorders>
              <w:bottom w:val="single" w:sz="12" w:space="0" w:color="auto"/>
            </w:tcBorders>
          </w:tcPr>
          <w:p w:rsidR="0075442C" w:rsidRPr="00816657" w:rsidRDefault="0075442C" w:rsidP="00690D9F">
            <w:pPr>
              <w:jc w:val="right"/>
              <w:cnfStyle w:val="000000000000"/>
            </w:pPr>
            <w:r w:rsidRPr="00816657">
              <w:t>...</w:t>
            </w:r>
          </w:p>
        </w:tc>
        <w:tc>
          <w:tcPr>
            <w:tcW w:w="850" w:type="dxa"/>
            <w:tcBorders>
              <w:bottom w:val="single" w:sz="12" w:space="0" w:color="auto"/>
            </w:tcBorders>
          </w:tcPr>
          <w:p w:rsidR="0075442C" w:rsidRPr="00816657" w:rsidRDefault="0075442C" w:rsidP="00690D9F">
            <w:pPr>
              <w:jc w:val="right"/>
              <w:cnfStyle w:val="000000000000"/>
            </w:pPr>
            <w:r w:rsidRPr="00816657">
              <w:t>-4.0%</w:t>
            </w:r>
          </w:p>
        </w:tc>
        <w:tc>
          <w:tcPr>
            <w:tcW w:w="284" w:type="dxa"/>
            <w:tcBorders>
              <w:bottom w:val="single" w:sz="12" w:space="0" w:color="auto"/>
            </w:tcBorders>
          </w:tcPr>
          <w:p w:rsidR="0075442C" w:rsidRPr="00816657" w:rsidRDefault="0075442C" w:rsidP="00690D9F">
            <w:pPr>
              <w:jc w:val="right"/>
              <w:cnfStyle w:val="000000000000"/>
            </w:pPr>
            <w:r w:rsidRPr="00816657">
              <w:t>...</w:t>
            </w:r>
          </w:p>
        </w:tc>
        <w:tc>
          <w:tcPr>
            <w:tcW w:w="708" w:type="dxa"/>
            <w:tcBorders>
              <w:bottom w:val="single" w:sz="12" w:space="0" w:color="auto"/>
            </w:tcBorders>
          </w:tcPr>
          <w:p w:rsidR="0075442C" w:rsidRPr="00816657" w:rsidRDefault="0075442C" w:rsidP="00690D9F">
            <w:pPr>
              <w:jc w:val="right"/>
              <w:cnfStyle w:val="000000000000"/>
            </w:pPr>
            <w:r w:rsidRPr="00816657">
              <w:t>-4.0%</w:t>
            </w:r>
          </w:p>
        </w:tc>
        <w:tc>
          <w:tcPr>
            <w:tcW w:w="335" w:type="dxa"/>
            <w:tcBorders>
              <w:bottom w:val="single" w:sz="12" w:space="0" w:color="auto"/>
            </w:tcBorders>
          </w:tcPr>
          <w:p w:rsidR="0075442C" w:rsidRPr="00816657" w:rsidRDefault="0075442C" w:rsidP="00690D9F">
            <w:pPr>
              <w:jc w:val="right"/>
              <w:cnfStyle w:val="000000000000"/>
            </w:pPr>
            <w:r w:rsidRPr="00816657">
              <w:t>...</w:t>
            </w:r>
          </w:p>
        </w:tc>
        <w:tc>
          <w:tcPr>
            <w:tcW w:w="658" w:type="dxa"/>
            <w:tcBorders>
              <w:bottom w:val="single" w:sz="12" w:space="0" w:color="auto"/>
            </w:tcBorders>
          </w:tcPr>
          <w:p w:rsidR="0075442C" w:rsidRPr="00816657" w:rsidRDefault="0075442C" w:rsidP="00690D9F">
            <w:pPr>
              <w:jc w:val="right"/>
              <w:cnfStyle w:val="000000000000"/>
            </w:pPr>
            <w:r w:rsidRPr="00816657">
              <w:t>-4.0%</w:t>
            </w:r>
          </w:p>
        </w:tc>
      </w:tr>
      <w:tr w:rsidR="0075442C" w:rsidRPr="00816657" w:rsidTr="0075442C">
        <w:tc>
          <w:tcPr>
            <w:cnfStyle w:val="001000000000"/>
            <w:tcW w:w="567" w:type="dxa"/>
            <w:tcBorders>
              <w:top w:val="single" w:sz="12" w:space="0" w:color="auto"/>
            </w:tcBorders>
          </w:tcPr>
          <w:p w:rsidR="0075442C" w:rsidRPr="00816657" w:rsidRDefault="0075442C" w:rsidP="00690D9F">
            <w:r w:rsidRPr="00816657">
              <w:t>Best</w:t>
            </w:r>
          </w:p>
        </w:tc>
        <w:tc>
          <w:tcPr>
            <w:tcW w:w="1134" w:type="dxa"/>
            <w:vMerge w:val="restart"/>
            <w:tcBorders>
              <w:top w:val="single" w:sz="12" w:space="0" w:color="auto"/>
            </w:tcBorders>
            <w:vAlign w:val="center"/>
          </w:tcPr>
          <w:p w:rsidR="0075442C" w:rsidRPr="00816657" w:rsidRDefault="0075442C" w:rsidP="00690D9F">
            <w:pPr>
              <w:cnfStyle w:val="000000000000"/>
            </w:pPr>
            <w:r w:rsidRPr="00816657">
              <w:t>NSW, Qld, Tas, Vic</w:t>
            </w:r>
          </w:p>
        </w:tc>
        <w:tc>
          <w:tcPr>
            <w:tcW w:w="3969" w:type="dxa"/>
            <w:tcBorders>
              <w:top w:val="single" w:sz="12" w:space="0" w:color="auto"/>
            </w:tcBorders>
          </w:tcPr>
          <w:p w:rsidR="0075442C" w:rsidRPr="00816657" w:rsidRDefault="0075442C" w:rsidP="00690D9F">
            <w:pPr>
              <w:cnfStyle w:val="000000000000"/>
            </w:pPr>
            <w:r w:rsidRPr="00816657">
              <w:t xml:space="preserve">Storage of spent </w:t>
            </w:r>
            <w:r w:rsidR="00061B2C">
              <w:t>pot</w:t>
            </w:r>
            <w:r w:rsidRPr="00816657">
              <w:t>lining continues</w:t>
            </w:r>
          </w:p>
        </w:tc>
        <w:tc>
          <w:tcPr>
            <w:tcW w:w="709" w:type="dxa"/>
            <w:tcBorders>
              <w:top w:val="single" w:sz="12" w:space="0" w:color="auto"/>
            </w:tcBorders>
          </w:tcPr>
          <w:p w:rsidR="0075442C" w:rsidRPr="00816657" w:rsidRDefault="0075442C" w:rsidP="00690D9F">
            <w:pPr>
              <w:jc w:val="right"/>
              <w:cnfStyle w:val="000000000000"/>
            </w:pPr>
            <w:r w:rsidRPr="00816657">
              <w:t>0t</w:t>
            </w:r>
          </w:p>
        </w:tc>
        <w:tc>
          <w:tcPr>
            <w:tcW w:w="284" w:type="dxa"/>
            <w:tcBorders>
              <w:top w:val="single" w:sz="12" w:space="0" w:color="auto"/>
            </w:tcBorders>
          </w:tcPr>
          <w:p w:rsidR="0075442C" w:rsidRPr="00816657" w:rsidRDefault="0075442C" w:rsidP="00690D9F">
            <w:pPr>
              <w:jc w:val="right"/>
              <w:cnfStyle w:val="000000000000"/>
            </w:pPr>
            <w:r w:rsidRPr="00816657">
              <w:t>...</w:t>
            </w:r>
          </w:p>
        </w:tc>
        <w:tc>
          <w:tcPr>
            <w:tcW w:w="850" w:type="dxa"/>
            <w:tcBorders>
              <w:top w:val="single" w:sz="12" w:space="0" w:color="auto"/>
            </w:tcBorders>
          </w:tcPr>
          <w:p w:rsidR="0075442C" w:rsidRPr="00816657" w:rsidRDefault="0075442C" w:rsidP="00690D9F">
            <w:pPr>
              <w:jc w:val="right"/>
              <w:cnfStyle w:val="000000000000"/>
            </w:pPr>
            <w:r w:rsidRPr="00816657">
              <w:t>0t</w:t>
            </w:r>
          </w:p>
        </w:tc>
        <w:tc>
          <w:tcPr>
            <w:tcW w:w="284" w:type="dxa"/>
            <w:tcBorders>
              <w:top w:val="single" w:sz="12" w:space="0" w:color="auto"/>
            </w:tcBorders>
          </w:tcPr>
          <w:p w:rsidR="0075442C" w:rsidRPr="00816657" w:rsidRDefault="0075442C" w:rsidP="00690D9F">
            <w:pPr>
              <w:jc w:val="right"/>
              <w:cnfStyle w:val="000000000000"/>
            </w:pPr>
            <w:r w:rsidRPr="00816657">
              <w:t>...</w:t>
            </w:r>
          </w:p>
        </w:tc>
        <w:tc>
          <w:tcPr>
            <w:tcW w:w="708" w:type="dxa"/>
            <w:tcBorders>
              <w:top w:val="single" w:sz="12" w:space="0" w:color="auto"/>
            </w:tcBorders>
          </w:tcPr>
          <w:p w:rsidR="0075442C" w:rsidRPr="00816657" w:rsidRDefault="0075442C" w:rsidP="00690D9F">
            <w:pPr>
              <w:jc w:val="right"/>
              <w:cnfStyle w:val="000000000000"/>
            </w:pPr>
            <w:r w:rsidRPr="00816657">
              <w:t>0t</w:t>
            </w:r>
          </w:p>
        </w:tc>
        <w:tc>
          <w:tcPr>
            <w:tcW w:w="335" w:type="dxa"/>
            <w:tcBorders>
              <w:top w:val="single" w:sz="12" w:space="0" w:color="auto"/>
            </w:tcBorders>
          </w:tcPr>
          <w:p w:rsidR="0075442C" w:rsidRPr="00816657" w:rsidRDefault="0075442C" w:rsidP="00690D9F">
            <w:pPr>
              <w:jc w:val="right"/>
              <w:cnfStyle w:val="000000000000"/>
            </w:pPr>
            <w:r w:rsidRPr="00816657">
              <w:t>...</w:t>
            </w:r>
          </w:p>
        </w:tc>
        <w:tc>
          <w:tcPr>
            <w:tcW w:w="658" w:type="dxa"/>
            <w:tcBorders>
              <w:top w:val="single" w:sz="12" w:space="0" w:color="auto"/>
            </w:tcBorders>
          </w:tcPr>
          <w:p w:rsidR="0075442C" w:rsidRPr="00816657" w:rsidRDefault="0075442C" w:rsidP="00690D9F">
            <w:pPr>
              <w:jc w:val="right"/>
              <w:cnfStyle w:val="000000000000"/>
            </w:pPr>
            <w:r w:rsidRPr="00816657">
              <w:t>0t</w:t>
            </w:r>
          </w:p>
        </w:tc>
      </w:tr>
      <w:tr w:rsidR="0075442C" w:rsidRPr="00816657" w:rsidTr="0075442C">
        <w:trPr>
          <w:trHeight w:val="49"/>
        </w:trPr>
        <w:tc>
          <w:tcPr>
            <w:cnfStyle w:val="001000000000"/>
            <w:tcW w:w="567" w:type="dxa"/>
          </w:tcPr>
          <w:p w:rsidR="0075442C" w:rsidRPr="00816657" w:rsidRDefault="0075442C" w:rsidP="00690D9F">
            <w:r w:rsidRPr="00816657">
              <w:t>High</w:t>
            </w:r>
          </w:p>
        </w:tc>
        <w:tc>
          <w:tcPr>
            <w:tcW w:w="1134" w:type="dxa"/>
            <w:vMerge/>
          </w:tcPr>
          <w:p w:rsidR="0075442C" w:rsidRPr="00816657" w:rsidRDefault="0075442C" w:rsidP="00690D9F">
            <w:pPr>
              <w:cnfStyle w:val="000000000000"/>
            </w:pPr>
          </w:p>
        </w:tc>
        <w:tc>
          <w:tcPr>
            <w:tcW w:w="3969" w:type="dxa"/>
          </w:tcPr>
          <w:p w:rsidR="0075442C" w:rsidRPr="00816657" w:rsidRDefault="0075442C" w:rsidP="00690D9F">
            <w:pPr>
              <w:cnfStyle w:val="000000000000"/>
            </w:pPr>
            <w:r>
              <w:t>Spent pot</w:t>
            </w:r>
            <w:r w:rsidRPr="00816657">
              <w:t>lining treated over 10 yrs starting in 3</w:t>
            </w:r>
          </w:p>
        </w:tc>
        <w:tc>
          <w:tcPr>
            <w:tcW w:w="709" w:type="dxa"/>
          </w:tcPr>
          <w:p w:rsidR="0075442C" w:rsidRPr="00816657" w:rsidRDefault="0075442C" w:rsidP="00690D9F">
            <w:pPr>
              <w:jc w:val="right"/>
              <w:cnfStyle w:val="000000000000"/>
            </w:pPr>
            <w:r w:rsidRPr="00816657">
              <w:t>0t</w:t>
            </w:r>
          </w:p>
        </w:tc>
        <w:tc>
          <w:tcPr>
            <w:tcW w:w="284" w:type="dxa"/>
          </w:tcPr>
          <w:p w:rsidR="0075442C" w:rsidRPr="00816657" w:rsidRDefault="0075442C" w:rsidP="00690D9F">
            <w:pPr>
              <w:jc w:val="right"/>
              <w:cnfStyle w:val="000000000000"/>
            </w:pPr>
            <w:r w:rsidRPr="00816657">
              <w:t>...</w:t>
            </w:r>
          </w:p>
        </w:tc>
        <w:tc>
          <w:tcPr>
            <w:tcW w:w="850" w:type="dxa"/>
          </w:tcPr>
          <w:p w:rsidR="0075442C" w:rsidRPr="00816657" w:rsidRDefault="0075442C" w:rsidP="00690D9F">
            <w:pPr>
              <w:jc w:val="right"/>
              <w:cnfStyle w:val="000000000000"/>
            </w:pPr>
            <w:r w:rsidRPr="00816657">
              <w:t>22,500t</w:t>
            </w:r>
          </w:p>
        </w:tc>
        <w:tc>
          <w:tcPr>
            <w:tcW w:w="284" w:type="dxa"/>
          </w:tcPr>
          <w:p w:rsidR="0075442C" w:rsidRPr="00816657" w:rsidRDefault="0075442C" w:rsidP="00690D9F">
            <w:pPr>
              <w:jc w:val="right"/>
              <w:cnfStyle w:val="000000000000"/>
            </w:pPr>
            <w:r w:rsidRPr="00816657">
              <w:t>...</w:t>
            </w:r>
          </w:p>
        </w:tc>
        <w:tc>
          <w:tcPr>
            <w:tcW w:w="708" w:type="dxa"/>
          </w:tcPr>
          <w:p w:rsidR="0075442C" w:rsidRPr="00816657" w:rsidRDefault="0075442C" w:rsidP="00690D9F">
            <w:pPr>
              <w:jc w:val="right"/>
              <w:cnfStyle w:val="000000000000"/>
            </w:pPr>
            <w:r w:rsidRPr="00816657">
              <w:t>0t</w:t>
            </w:r>
          </w:p>
        </w:tc>
        <w:tc>
          <w:tcPr>
            <w:tcW w:w="335" w:type="dxa"/>
          </w:tcPr>
          <w:p w:rsidR="0075442C" w:rsidRPr="00816657" w:rsidRDefault="0075442C" w:rsidP="00690D9F">
            <w:pPr>
              <w:jc w:val="right"/>
              <w:cnfStyle w:val="000000000000"/>
            </w:pPr>
            <w:r w:rsidRPr="00816657">
              <w:t>...</w:t>
            </w:r>
          </w:p>
        </w:tc>
        <w:tc>
          <w:tcPr>
            <w:tcW w:w="658" w:type="dxa"/>
          </w:tcPr>
          <w:p w:rsidR="0075442C" w:rsidRPr="00816657" w:rsidRDefault="0075442C" w:rsidP="00690D9F">
            <w:pPr>
              <w:jc w:val="right"/>
              <w:cnfStyle w:val="000000000000"/>
            </w:pPr>
            <w:r w:rsidRPr="00816657">
              <w:t>0t</w:t>
            </w:r>
          </w:p>
        </w:tc>
      </w:tr>
      <w:tr w:rsidR="0075442C" w:rsidRPr="00816657" w:rsidTr="0075442C">
        <w:tc>
          <w:tcPr>
            <w:cnfStyle w:val="001000000000"/>
            <w:tcW w:w="567" w:type="dxa"/>
          </w:tcPr>
          <w:p w:rsidR="0075442C" w:rsidRPr="00816657" w:rsidRDefault="0075442C" w:rsidP="00690D9F">
            <w:r w:rsidRPr="00816657">
              <w:t>Low</w:t>
            </w:r>
          </w:p>
        </w:tc>
        <w:tc>
          <w:tcPr>
            <w:tcW w:w="1134" w:type="dxa"/>
            <w:vMerge/>
          </w:tcPr>
          <w:p w:rsidR="0075442C" w:rsidRPr="00816657" w:rsidRDefault="0075442C" w:rsidP="00690D9F">
            <w:pPr>
              <w:cnfStyle w:val="000000000000"/>
            </w:pPr>
          </w:p>
        </w:tc>
        <w:tc>
          <w:tcPr>
            <w:tcW w:w="3969" w:type="dxa"/>
          </w:tcPr>
          <w:p w:rsidR="0075442C" w:rsidRPr="00816657" w:rsidRDefault="0075442C" w:rsidP="00690D9F">
            <w:pPr>
              <w:cnfStyle w:val="000000000000"/>
            </w:pPr>
            <w:r w:rsidRPr="00816657">
              <w:t xml:space="preserve">Storage of spent </w:t>
            </w:r>
            <w:r w:rsidR="00061B2C">
              <w:t>pot</w:t>
            </w:r>
            <w:r w:rsidRPr="00816657">
              <w:t>lining continues</w:t>
            </w:r>
          </w:p>
        </w:tc>
        <w:tc>
          <w:tcPr>
            <w:tcW w:w="709" w:type="dxa"/>
          </w:tcPr>
          <w:p w:rsidR="0075442C" w:rsidRPr="00816657" w:rsidRDefault="0075442C" w:rsidP="00690D9F">
            <w:pPr>
              <w:jc w:val="right"/>
              <w:cnfStyle w:val="000000000000"/>
            </w:pPr>
            <w:r w:rsidRPr="00816657">
              <w:t>0t</w:t>
            </w:r>
          </w:p>
        </w:tc>
        <w:tc>
          <w:tcPr>
            <w:tcW w:w="284" w:type="dxa"/>
          </w:tcPr>
          <w:p w:rsidR="0075442C" w:rsidRPr="00816657" w:rsidRDefault="0075442C" w:rsidP="00690D9F">
            <w:pPr>
              <w:jc w:val="right"/>
              <w:cnfStyle w:val="000000000000"/>
            </w:pPr>
            <w:r w:rsidRPr="00816657">
              <w:t>...</w:t>
            </w:r>
          </w:p>
        </w:tc>
        <w:tc>
          <w:tcPr>
            <w:tcW w:w="850" w:type="dxa"/>
          </w:tcPr>
          <w:p w:rsidR="0075442C" w:rsidRPr="00816657" w:rsidRDefault="0075442C" w:rsidP="00690D9F">
            <w:pPr>
              <w:jc w:val="right"/>
              <w:cnfStyle w:val="000000000000"/>
            </w:pPr>
            <w:r w:rsidRPr="00816657">
              <w:t>0t</w:t>
            </w:r>
          </w:p>
        </w:tc>
        <w:tc>
          <w:tcPr>
            <w:tcW w:w="284" w:type="dxa"/>
          </w:tcPr>
          <w:p w:rsidR="0075442C" w:rsidRPr="00816657" w:rsidRDefault="0075442C" w:rsidP="00690D9F">
            <w:pPr>
              <w:jc w:val="right"/>
              <w:cnfStyle w:val="000000000000"/>
            </w:pPr>
            <w:r w:rsidRPr="00816657">
              <w:t>...</w:t>
            </w:r>
          </w:p>
        </w:tc>
        <w:tc>
          <w:tcPr>
            <w:tcW w:w="708" w:type="dxa"/>
          </w:tcPr>
          <w:p w:rsidR="0075442C" w:rsidRPr="00816657" w:rsidRDefault="0075442C" w:rsidP="00690D9F">
            <w:pPr>
              <w:jc w:val="right"/>
              <w:cnfStyle w:val="000000000000"/>
            </w:pPr>
            <w:r w:rsidRPr="00816657">
              <w:t>0t</w:t>
            </w:r>
          </w:p>
        </w:tc>
        <w:tc>
          <w:tcPr>
            <w:tcW w:w="335" w:type="dxa"/>
          </w:tcPr>
          <w:p w:rsidR="0075442C" w:rsidRPr="00816657" w:rsidRDefault="0075442C" w:rsidP="00690D9F">
            <w:pPr>
              <w:jc w:val="right"/>
              <w:cnfStyle w:val="000000000000"/>
            </w:pPr>
            <w:r w:rsidRPr="00816657">
              <w:t>...</w:t>
            </w:r>
          </w:p>
        </w:tc>
        <w:tc>
          <w:tcPr>
            <w:tcW w:w="658" w:type="dxa"/>
          </w:tcPr>
          <w:p w:rsidR="0075442C" w:rsidRPr="00816657" w:rsidRDefault="0075442C" w:rsidP="00690D9F">
            <w:pPr>
              <w:jc w:val="right"/>
              <w:cnfStyle w:val="000000000000"/>
            </w:pPr>
            <w:r w:rsidRPr="00816657">
              <w:t>0t</w:t>
            </w:r>
          </w:p>
        </w:tc>
      </w:tr>
    </w:tbl>
    <w:p w:rsidR="0075442C" w:rsidRDefault="0075442C" w:rsidP="0075442C">
      <w:pPr>
        <w:spacing w:line="240" w:lineRule="auto"/>
        <w:rPr>
          <w:rFonts w:asciiTheme="minorHAnsi" w:hAnsiTheme="minorHAnsi" w:cs="Calibri"/>
          <w:b/>
          <w:color w:val="0000FF"/>
          <w:sz w:val="22"/>
        </w:rPr>
      </w:pPr>
    </w:p>
    <w:p w:rsidR="0075442C" w:rsidRPr="00816657" w:rsidRDefault="0075442C" w:rsidP="0075442C">
      <w:pPr>
        <w:pStyle w:val="Figures"/>
      </w:pPr>
      <w:bookmarkStart w:id="136" w:name="_Toc425849229"/>
      <w:r w:rsidRPr="00816657">
        <w:t xml:space="preserve">Figure </w:t>
      </w:r>
      <w:fldSimple w:instr=" SEQ Figure \* ARABIC ">
        <w:r w:rsidR="002F3000">
          <w:rPr>
            <w:noProof/>
          </w:rPr>
          <w:t>11</w:t>
        </w:r>
      </w:fldSimple>
      <w:r w:rsidRPr="00816657">
        <w:t xml:space="preserve">: </w:t>
      </w:r>
      <w:r w:rsidRPr="00816657">
        <w:tab/>
        <w:t>Best, high and low national projection estimates of other inorganic chemical waste to 2034</w:t>
      </w:r>
      <w:bookmarkEnd w:id="136"/>
    </w:p>
    <w:p w:rsidR="0075442C" w:rsidRDefault="0075442C" w:rsidP="0075442C">
      <w:pPr>
        <w:pStyle w:val="BodyText"/>
      </w:pPr>
      <w:r w:rsidRPr="00C05ED6">
        <w:rPr>
          <w:noProof/>
          <w:lang w:eastAsia="en-AU"/>
        </w:rPr>
        <w:drawing>
          <wp:inline distT="0" distB="0" distL="0" distR="0">
            <wp:extent cx="5560827" cy="2126512"/>
            <wp:effectExtent l="0" t="0" r="190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t="5076" b="2640"/>
                    <a:stretch/>
                  </pic:blipFill>
                  <pic:spPr bwMode="auto">
                    <a:xfrm>
                      <a:off x="0" y="0"/>
                      <a:ext cx="5561905" cy="21269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442C" w:rsidRPr="00816657" w:rsidRDefault="0075442C" w:rsidP="0075442C">
      <w:pPr>
        <w:pStyle w:val="FigureTableinfo"/>
      </w:pPr>
      <w:r>
        <w:t>The peculiar shape of the high estimate is due to releases of spent potlining from the current large stockpiles</w:t>
      </w:r>
    </w:p>
    <w:p w:rsidR="00C61814" w:rsidRPr="0082541E" w:rsidRDefault="00C61814"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outlineLvl w:val="2"/>
        <w:rPr>
          <w:rFonts w:ascii="Arial Rounded MT Bold" w:hAnsi="Arial Rounded MT Bold" w:cs="Arial"/>
          <w:color w:val="0000FF"/>
          <w:szCs w:val="20"/>
        </w:rPr>
      </w:pPr>
      <w:r w:rsidRPr="0082541E">
        <w:rPr>
          <w:rFonts w:ascii="Arial Rounded MT Bold" w:hAnsi="Arial Rounded MT Bold" w:cs="Arial"/>
          <w:color w:val="0000FF"/>
          <w:szCs w:val="20"/>
        </w:rPr>
        <w:lastRenderedPageBreak/>
        <w:t>Spent potlin</w:t>
      </w:r>
      <w:r w:rsidR="00061B2C">
        <w:rPr>
          <w:rFonts w:ascii="Arial Rounded MT Bold" w:hAnsi="Arial Rounded MT Bold" w:cs="Arial"/>
          <w:color w:val="0000FF"/>
          <w:szCs w:val="20"/>
        </w:rPr>
        <w:t>ing</w:t>
      </w:r>
      <w:r w:rsidRPr="0082541E">
        <w:rPr>
          <w:rFonts w:ascii="Arial Rounded MT Bold" w:hAnsi="Arial Rounded MT Bold" w:cs="Arial"/>
          <w:color w:val="0000FF"/>
          <w:szCs w:val="20"/>
        </w:rPr>
        <w:t xml:space="preserve"> (SPL) waste</w:t>
      </w:r>
    </w:p>
    <w:p w:rsidR="0082541E" w:rsidRPr="0082541E" w:rsidRDefault="0082541E"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line="240" w:lineRule="auto"/>
        <w:rPr>
          <w:color w:val="080808"/>
          <w:szCs w:val="20"/>
        </w:rPr>
      </w:pPr>
      <w:r w:rsidRPr="0082541E">
        <w:rPr>
          <w:color w:val="080808"/>
          <w:szCs w:val="20"/>
        </w:rPr>
        <w:t>Spent potlining (SPL) is a waste material generated from aluminium smelters, of which there are five in Australia. Aluminium smelting is the extraction of aluminium metal from aluminium oxide (also known as alumina). The process takes place in electrolytic cells that are known as pots. The pots are made up of steel shells with two linings, an outer insulating or refractory lining and an inner carbon lining that acts as the cathode. During the operation of the cell, substances, including aluminium and fluorides, are absorbed into the cell lining. After some years of operation, the potlining fails and is removed. The removed material is SPL, a hazardous waste due to:</w:t>
      </w:r>
    </w:p>
    <w:p w:rsidR="0082541E" w:rsidRPr="0082541E" w:rsidRDefault="0082541E"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line="240" w:lineRule="auto"/>
        <w:ind w:left="567" w:hanging="567"/>
        <w:rPr>
          <w:color w:val="080808"/>
          <w:szCs w:val="20"/>
        </w:rPr>
      </w:pPr>
      <w:r w:rsidRPr="0082541E">
        <w:rPr>
          <w:color w:val="080808"/>
          <w:szCs w:val="20"/>
        </w:rPr>
        <w:t>•</w:t>
      </w:r>
      <w:r w:rsidRPr="0082541E">
        <w:rPr>
          <w:color w:val="080808"/>
          <w:szCs w:val="20"/>
        </w:rPr>
        <w:tab/>
      </w:r>
      <w:proofErr w:type="gramStart"/>
      <w:r w:rsidRPr="0082541E">
        <w:rPr>
          <w:color w:val="080808"/>
          <w:szCs w:val="20"/>
        </w:rPr>
        <w:t>the</w:t>
      </w:r>
      <w:proofErr w:type="gramEnd"/>
      <w:r w:rsidRPr="0082541E">
        <w:rPr>
          <w:color w:val="080808"/>
          <w:szCs w:val="20"/>
        </w:rPr>
        <w:t xml:space="preserve"> presence of fluoride and cyanide compounds that are leachable in water</w:t>
      </w:r>
    </w:p>
    <w:p w:rsidR="0082541E" w:rsidRPr="0082541E" w:rsidRDefault="0082541E"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line="240" w:lineRule="auto"/>
        <w:ind w:left="567" w:hanging="567"/>
        <w:rPr>
          <w:color w:val="080808"/>
          <w:szCs w:val="20"/>
        </w:rPr>
      </w:pPr>
      <w:r w:rsidRPr="0082541E">
        <w:rPr>
          <w:color w:val="080808"/>
          <w:szCs w:val="20"/>
        </w:rPr>
        <w:t>•</w:t>
      </w:r>
      <w:r w:rsidRPr="0082541E">
        <w:rPr>
          <w:color w:val="080808"/>
          <w:szCs w:val="20"/>
        </w:rPr>
        <w:tab/>
      </w:r>
      <w:proofErr w:type="gramStart"/>
      <w:r w:rsidRPr="0082541E">
        <w:rPr>
          <w:color w:val="080808"/>
          <w:szCs w:val="20"/>
        </w:rPr>
        <w:t>its</w:t>
      </w:r>
      <w:proofErr w:type="gramEnd"/>
      <w:r w:rsidRPr="0082541E">
        <w:rPr>
          <w:color w:val="080808"/>
          <w:szCs w:val="20"/>
        </w:rPr>
        <w:t xml:space="preserve"> corrosiveness – it exhibits high pH due to the presence of alkali metals and oxides</w:t>
      </w:r>
    </w:p>
    <w:p w:rsidR="0082541E" w:rsidRPr="0082541E" w:rsidRDefault="0082541E"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ind w:left="567" w:hanging="567"/>
        <w:rPr>
          <w:color w:val="080808"/>
          <w:szCs w:val="20"/>
        </w:rPr>
      </w:pPr>
      <w:r w:rsidRPr="0082541E">
        <w:rPr>
          <w:color w:val="080808"/>
          <w:szCs w:val="20"/>
        </w:rPr>
        <w:t>•</w:t>
      </w:r>
      <w:r w:rsidRPr="0082541E">
        <w:rPr>
          <w:color w:val="080808"/>
          <w:szCs w:val="20"/>
        </w:rPr>
        <w:tab/>
      </w:r>
      <w:proofErr w:type="gramStart"/>
      <w:r w:rsidRPr="0082541E">
        <w:rPr>
          <w:color w:val="080808"/>
          <w:szCs w:val="20"/>
        </w:rPr>
        <w:t>its</w:t>
      </w:r>
      <w:proofErr w:type="gramEnd"/>
      <w:r w:rsidRPr="0082541E">
        <w:rPr>
          <w:color w:val="080808"/>
          <w:szCs w:val="20"/>
        </w:rPr>
        <w:t xml:space="preserve"> reactivity with water - producing inflammable, toxic and explosive gases.</w:t>
      </w:r>
    </w:p>
    <w:p w:rsidR="0082541E" w:rsidRPr="0082541E" w:rsidRDefault="0082541E"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82541E">
        <w:rPr>
          <w:color w:val="080808"/>
          <w:szCs w:val="20"/>
        </w:rPr>
        <w:t>The toxic, corrosive and reactive nature of SPL means that particular care must be taken in its handling, transportation and storage. SPL has been recognised a major environmental concern for the industry for decades, but has recovery potential because of its fluoride and energy content.</w:t>
      </w:r>
    </w:p>
    <w:p w:rsidR="0082541E" w:rsidRPr="0082541E" w:rsidRDefault="0082541E"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82541E">
        <w:rPr>
          <w:color w:val="080808"/>
          <w:szCs w:val="20"/>
        </w:rPr>
        <w:t xml:space="preserve">SPL waste is included within the broad group Other D (other inorganic chemicals), which includes many NEPM codes (see section 4.7). </w:t>
      </w:r>
      <w:r w:rsidR="0075442C">
        <w:rPr>
          <w:color w:val="080808"/>
          <w:szCs w:val="20"/>
        </w:rPr>
        <w:t>It</w:t>
      </w:r>
      <w:r w:rsidRPr="0082541E">
        <w:rPr>
          <w:color w:val="080808"/>
          <w:szCs w:val="20"/>
        </w:rPr>
        <w:t xml:space="preserve"> was not isolated as a waste group </w:t>
      </w:r>
      <w:r w:rsidR="0075442C">
        <w:rPr>
          <w:color w:val="080808"/>
          <w:szCs w:val="20"/>
        </w:rPr>
        <w:t>because</w:t>
      </w:r>
      <w:r w:rsidRPr="0082541E">
        <w:rPr>
          <w:color w:val="080808"/>
          <w:szCs w:val="20"/>
        </w:rPr>
        <w:t xml:space="preserve"> historically, reported quantities of D110 Inorganic fluorine compounds excluding calcium fluoride (to tracking systems) have been sporadic and at low levels, not worthy of a waste group in their own right. This is because suitable treatment infrastructure in Australia is limited and, as a consequence, wastes have been stockpiled onsite or exported for recycling (in Spain or the UK), meaning they do not materially register on tracking systems.</w:t>
      </w:r>
    </w:p>
    <w:p w:rsidR="0082541E" w:rsidRPr="0082541E" w:rsidRDefault="0082541E"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82541E">
        <w:rPr>
          <w:color w:val="080808"/>
          <w:szCs w:val="20"/>
        </w:rPr>
        <w:t>Consultation with industry in the Hazardous Waste Infrastructure Needs and Capacity Assessment project indicates that the primary issue with this waste was the scale of the stockpile – industry estimates a stockpile of 900,000 tonnes of this hazardous waste, sufficient to more than half fill the Melbourne Cricket Ground.</w:t>
      </w:r>
    </w:p>
    <w:p w:rsidR="0082541E" w:rsidRPr="0082541E" w:rsidRDefault="0082541E"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82541E">
        <w:rPr>
          <w:color w:val="080808"/>
          <w:szCs w:val="20"/>
        </w:rPr>
        <w:t>Despite some exports and massive onsite storages, a steady stream of local recycling does occur. Alcoa’s Australian website states that a significant and growing amount of SPL has been recycled at its Point Henry smelter near Geelong in Victoria:</w:t>
      </w:r>
      <w:r w:rsidR="0075442C">
        <w:rPr>
          <w:color w:val="080808"/>
          <w:szCs w:val="20"/>
        </w:rPr>
        <w:t xml:space="preserve"> </w:t>
      </w:r>
      <w:r w:rsidRPr="0075442C">
        <w:rPr>
          <w:i/>
          <w:color w:val="080808"/>
          <w:szCs w:val="20"/>
        </w:rPr>
        <w:t>“In</w:t>
      </w:r>
      <w:r w:rsidR="00061B2C">
        <w:rPr>
          <w:i/>
          <w:color w:val="080808"/>
          <w:szCs w:val="20"/>
        </w:rPr>
        <w:t xml:space="preserve"> 2009, 7,449 tonnes of spent pot</w:t>
      </w:r>
      <w:r w:rsidRPr="0075442C">
        <w:rPr>
          <w:i/>
          <w:color w:val="080808"/>
          <w:szCs w:val="20"/>
        </w:rPr>
        <w:t xml:space="preserve">lining (SPL) were recycled. A by-product of the smelting process, SPL is made of carbon and refractory materials. We engaged a contractor to process SPL at our Point Henry operations to produce mineral products and a fuel that has reduced emissions for the cement industry. An extra 242 tonnes of SPL was recycled in 2009 compared with 2008, which was 1727 tonnes more than in 2007.” </w:t>
      </w:r>
      <w:r w:rsidRPr="0082541E">
        <w:rPr>
          <w:color w:val="080808"/>
          <w:szCs w:val="20"/>
        </w:rPr>
        <w:t>This recycling quantity does not ‘arise’ in tracking system data since it is recycled onsite from onsite SPL stores.</w:t>
      </w:r>
    </w:p>
    <w:p w:rsidR="0082541E" w:rsidRPr="0082541E" w:rsidRDefault="0082541E"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82541E">
        <w:rPr>
          <w:color w:val="080808"/>
          <w:szCs w:val="20"/>
        </w:rPr>
        <w:t>Projections of ‘Other D’ waste group over the next 20 years are provided in the Hazardous Waste Infrastructure Needs and Capacity Assessment report. While the low and best scenario assume that stockpiling will continue, the ‘high’ scenario assumes local processing of the stockpiles commences in three years’ time and takes 10 years to exhaust, creating a sustained 10 year spike in arisings.</w:t>
      </w:r>
    </w:p>
    <w:p w:rsidR="00EB262B" w:rsidRDefault="0082541E" w:rsidP="0082541E">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82541E">
        <w:rPr>
          <w:color w:val="080808"/>
          <w:szCs w:val="20"/>
        </w:rPr>
        <w:t>The storage of large quantities of spent potlining from aluminium smelting should be a social concern, given the decline of this industry. The three current operators able to process this waste report sufficient capacity to process the stockpile over a 10-15 year period. A mismatch between demand and capacity could cause inappropriate treatment or demand for exports. A nationally coordinated negotiation with the industry would be advisable.</w:t>
      </w:r>
      <w:r w:rsidR="00D06841" w:rsidRPr="0082541E">
        <w:rPr>
          <w:color w:val="080808"/>
          <w:szCs w:val="20"/>
        </w:rPr>
        <w:t xml:space="preserve"> </w:t>
      </w:r>
    </w:p>
    <w:p w:rsidR="0075442C" w:rsidRPr="0082541E" w:rsidRDefault="001731D9" w:rsidP="0075442C">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line="240" w:lineRule="auto"/>
        <w:rPr>
          <w:szCs w:val="20"/>
        </w:rPr>
      </w:pPr>
      <w:r>
        <w:rPr>
          <w:color w:val="080808"/>
          <w:szCs w:val="20"/>
        </w:rPr>
        <w:t xml:space="preserve">It is recommended that </w:t>
      </w:r>
      <w:r w:rsidR="0075442C" w:rsidRPr="0082541E">
        <w:rPr>
          <w:color w:val="080808"/>
          <w:szCs w:val="20"/>
        </w:rPr>
        <w:t xml:space="preserve">DoE consult with the </w:t>
      </w:r>
      <w:r>
        <w:rPr>
          <w:color w:val="080808"/>
          <w:szCs w:val="20"/>
        </w:rPr>
        <w:t>a</w:t>
      </w:r>
      <w:r w:rsidR="0075442C" w:rsidRPr="0082541E">
        <w:rPr>
          <w:color w:val="080808"/>
          <w:szCs w:val="20"/>
        </w:rPr>
        <w:t xml:space="preserve">luminium industry and NSW, Vic, Qld, </w:t>
      </w:r>
      <w:proofErr w:type="gramStart"/>
      <w:r w:rsidR="0075442C" w:rsidRPr="0082541E">
        <w:rPr>
          <w:color w:val="080808"/>
          <w:szCs w:val="20"/>
        </w:rPr>
        <w:t>Tas</w:t>
      </w:r>
      <w:proofErr w:type="gramEnd"/>
      <w:r w:rsidR="0075442C" w:rsidRPr="0082541E">
        <w:rPr>
          <w:color w:val="080808"/>
          <w:szCs w:val="20"/>
        </w:rPr>
        <w:t xml:space="preserve"> state governments to develop a nationally agreed approach to the management of SPL stockpiles that ensures the</w:t>
      </w:r>
      <w:r>
        <w:rPr>
          <w:color w:val="080808"/>
          <w:szCs w:val="20"/>
        </w:rPr>
        <w:t>ir</w:t>
      </w:r>
      <w:r w:rsidR="0075442C" w:rsidRPr="0082541E">
        <w:rPr>
          <w:color w:val="080808"/>
          <w:szCs w:val="20"/>
        </w:rPr>
        <w:t xml:space="preserve"> eventual removal and the ongoing recovery or treatment of SPL wastes. </w:t>
      </w:r>
    </w:p>
    <w:p w:rsidR="00942C16" w:rsidRPr="00816657" w:rsidRDefault="00942C16" w:rsidP="00C61814">
      <w:pPr>
        <w:pStyle w:val="BodyText"/>
      </w:pPr>
    </w:p>
    <w:p w:rsidR="00942C16" w:rsidRDefault="00942C16">
      <w:pPr>
        <w:spacing w:line="240" w:lineRule="auto"/>
        <w:rPr>
          <w:rFonts w:ascii="Arial Rounded MT Bold" w:hAnsi="Arial Rounded MT Bold" w:cs="Arial"/>
          <w:color w:val="0000FF"/>
          <w:sz w:val="22"/>
        </w:rPr>
      </w:pPr>
      <w:r>
        <w:br w:type="page"/>
      </w:r>
    </w:p>
    <w:p w:rsidR="00877CF8" w:rsidRDefault="00877CF8" w:rsidP="005D6078">
      <w:pPr>
        <w:pStyle w:val="Heading3"/>
      </w:pPr>
      <w:r w:rsidRPr="00816657">
        <w:lastRenderedPageBreak/>
        <w:t xml:space="preserve">E. Reactive chemicals </w:t>
      </w:r>
    </w:p>
    <w:p w:rsidR="00FD33B6" w:rsidRDefault="00FD33B6" w:rsidP="007F5BD4">
      <w:pPr>
        <w:pStyle w:val="BodyText"/>
      </w:pPr>
      <w:r w:rsidRPr="00FD33B6">
        <w:t xml:space="preserve">This waste group includes only one NEPM </w:t>
      </w:r>
      <w:r>
        <w:t xml:space="preserve">75 </w:t>
      </w:r>
      <w:r w:rsidRPr="00FD33B6">
        <w:t xml:space="preserve">code: </w:t>
      </w:r>
      <w:r w:rsidRPr="007F5BD4">
        <w:rPr>
          <w:i/>
        </w:rPr>
        <w:t>E100 Waste containing peroxides other than hydrogen peroxide</w:t>
      </w:r>
      <w:r w:rsidRPr="00FD33B6">
        <w:t>, although it shares similar strong oxidising properties to D340 Perchlorates and D350 Chlorates, which were not grouped together in this category to preserve NEPM E reporting alignment and because the contributions from D340 and D350 are similarly small.</w:t>
      </w:r>
    </w:p>
    <w:p w:rsidR="00FD33B6" w:rsidRPr="005E3D0E" w:rsidRDefault="00FD33B6" w:rsidP="007F5BD4">
      <w:pPr>
        <w:pStyle w:val="BodyText"/>
      </w:pPr>
    </w:p>
    <w:p w:rsidR="00C858B8" w:rsidRPr="00816657" w:rsidRDefault="00C858B8" w:rsidP="00C858B8">
      <w:pPr>
        <w:pStyle w:val="BodyText"/>
        <w:rPr>
          <w:b/>
        </w:rPr>
      </w:pPr>
      <w:r w:rsidRPr="00FA10FC">
        <w:rPr>
          <w:b/>
          <w:color w:val="0000FF" w:themeColor="text2"/>
        </w:rPr>
        <w:t>Summary analysis</w:t>
      </w:r>
    </w:p>
    <w:tbl>
      <w:tblPr>
        <w:tblStyle w:val="BETable11"/>
        <w:tblW w:w="4882" w:type="pct"/>
        <w:tblInd w:w="0" w:type="dxa"/>
        <w:tblBorders>
          <w:insideH w:val="none" w:sz="0" w:space="0" w:color="auto"/>
          <w:insideV w:val="single" w:sz="4" w:space="0" w:color="7F7F7F" w:themeColor="background2"/>
        </w:tblBorders>
        <w:tblLook w:val="04A0"/>
      </w:tblPr>
      <w:tblGrid>
        <w:gridCol w:w="3137"/>
        <w:gridCol w:w="3137"/>
        <w:gridCol w:w="3138"/>
      </w:tblGrid>
      <w:tr w:rsidR="00171242" w:rsidRPr="00816657" w:rsidTr="00843995">
        <w:trPr>
          <w:cnfStyle w:val="100000000000"/>
        </w:trPr>
        <w:tc>
          <w:tcPr>
            <w:cnfStyle w:val="001000000000"/>
            <w:tcW w:w="1666" w:type="pct"/>
            <w:tcBorders>
              <w:bottom w:val="single" w:sz="4" w:space="0" w:color="7F7F7F" w:themeColor="background2"/>
            </w:tcBorders>
          </w:tcPr>
          <w:p w:rsidR="00171242" w:rsidRPr="00816657" w:rsidRDefault="00171242" w:rsidP="00BC3BD0">
            <w:pPr>
              <w:pStyle w:val="BodyText"/>
              <w:rPr>
                <w:sz w:val="20"/>
                <w:szCs w:val="20"/>
              </w:rPr>
            </w:pPr>
            <w:r w:rsidRPr="00816657">
              <w:rPr>
                <w:sz w:val="20"/>
                <w:szCs w:val="20"/>
              </w:rPr>
              <w:t>Industry sources</w:t>
            </w:r>
          </w:p>
        </w:tc>
        <w:tc>
          <w:tcPr>
            <w:tcW w:w="1666" w:type="pct"/>
            <w:tcBorders>
              <w:bottom w:val="single" w:sz="4" w:space="0" w:color="7F7F7F" w:themeColor="background2"/>
            </w:tcBorders>
          </w:tcPr>
          <w:p w:rsidR="00171242" w:rsidRPr="00816657" w:rsidRDefault="00171242" w:rsidP="00EA7F18">
            <w:pPr>
              <w:pStyle w:val="BodyText"/>
              <w:cnfStyle w:val="100000000000"/>
              <w:rPr>
                <w:sz w:val="20"/>
                <w:szCs w:val="20"/>
              </w:rPr>
            </w:pPr>
            <w:r w:rsidRPr="00816657">
              <w:rPr>
                <w:sz w:val="20"/>
                <w:szCs w:val="20"/>
              </w:rPr>
              <w:t>Considerations</w:t>
            </w:r>
          </w:p>
        </w:tc>
        <w:tc>
          <w:tcPr>
            <w:tcW w:w="1667" w:type="pct"/>
            <w:tcBorders>
              <w:bottom w:val="single" w:sz="4" w:space="0" w:color="7F7F7F" w:themeColor="background2"/>
            </w:tcBorders>
          </w:tcPr>
          <w:p w:rsidR="00171242" w:rsidRPr="00816657" w:rsidRDefault="00171242" w:rsidP="00EA7F18">
            <w:pPr>
              <w:pStyle w:val="BodyText"/>
              <w:cnfStyle w:val="100000000000"/>
              <w:rPr>
                <w:sz w:val="20"/>
                <w:szCs w:val="20"/>
              </w:rPr>
            </w:pPr>
            <w:r w:rsidRPr="00816657">
              <w:rPr>
                <w:sz w:val="20"/>
                <w:szCs w:val="20"/>
              </w:rPr>
              <w:t>Approach</w:t>
            </w:r>
          </w:p>
        </w:tc>
      </w:tr>
      <w:tr w:rsidR="00171242" w:rsidRPr="00816657" w:rsidTr="00843995">
        <w:tc>
          <w:tcPr>
            <w:cnfStyle w:val="001000000000"/>
            <w:tcW w:w="1666" w:type="pct"/>
            <w:vMerge w:val="restart"/>
            <w:tcBorders>
              <w:top w:val="single" w:sz="4" w:space="0" w:color="7F7F7F" w:themeColor="background2"/>
            </w:tcBorders>
          </w:tcPr>
          <w:p w:rsidR="00FD33B6" w:rsidRPr="007F5BD4" w:rsidRDefault="00FD33B6" w:rsidP="007F5BD4">
            <w:pPr>
              <w:pStyle w:val="ListParagraph"/>
              <w:numPr>
                <w:ilvl w:val="0"/>
                <w:numId w:val="53"/>
              </w:numPr>
              <w:spacing w:line="240" w:lineRule="auto"/>
              <w:ind w:left="426"/>
              <w:rPr>
                <w:rFonts w:cs="Times New Roman"/>
                <w:color w:val="000000"/>
                <w:szCs w:val="20"/>
                <w:lang w:eastAsia="en-AU"/>
              </w:rPr>
            </w:pPr>
            <w:r w:rsidRPr="007F5BD4">
              <w:rPr>
                <w:rFonts w:cs="Times New Roman"/>
                <w:color w:val="000000"/>
                <w:szCs w:val="20"/>
                <w:lang w:eastAsia="en-AU"/>
              </w:rPr>
              <w:t>Chemical manufacturing</w:t>
            </w:r>
          </w:p>
          <w:p w:rsidR="00FD33B6" w:rsidRPr="007F5BD4" w:rsidRDefault="00FD33B6" w:rsidP="007F5BD4">
            <w:pPr>
              <w:pStyle w:val="ListParagraph"/>
              <w:numPr>
                <w:ilvl w:val="0"/>
                <w:numId w:val="53"/>
              </w:numPr>
              <w:spacing w:line="240" w:lineRule="auto"/>
              <w:ind w:left="426"/>
              <w:rPr>
                <w:rFonts w:cs="Times New Roman"/>
                <w:color w:val="000000"/>
                <w:szCs w:val="20"/>
                <w:lang w:eastAsia="en-AU"/>
              </w:rPr>
            </w:pPr>
            <w:r w:rsidRPr="007F5BD4">
              <w:rPr>
                <w:rFonts w:cs="Times New Roman"/>
                <w:color w:val="000000"/>
                <w:szCs w:val="20"/>
                <w:lang w:eastAsia="en-AU"/>
              </w:rPr>
              <w:t>Metal product manufacturing</w:t>
            </w:r>
          </w:p>
          <w:p w:rsidR="00FD33B6" w:rsidRPr="007F5BD4" w:rsidRDefault="00FD33B6" w:rsidP="007F5BD4">
            <w:pPr>
              <w:pStyle w:val="ListParagraph"/>
              <w:numPr>
                <w:ilvl w:val="0"/>
                <w:numId w:val="53"/>
              </w:numPr>
              <w:spacing w:line="240" w:lineRule="auto"/>
              <w:ind w:left="426"/>
              <w:rPr>
                <w:rFonts w:cs="Times New Roman"/>
                <w:color w:val="000000"/>
                <w:szCs w:val="20"/>
                <w:lang w:eastAsia="en-AU"/>
              </w:rPr>
            </w:pPr>
            <w:r w:rsidRPr="007F5BD4">
              <w:rPr>
                <w:rFonts w:cs="Times New Roman"/>
                <w:color w:val="000000"/>
                <w:szCs w:val="20"/>
                <w:lang w:eastAsia="en-AU"/>
              </w:rPr>
              <w:t>Water supply drainage &amp; sewerage</w:t>
            </w:r>
          </w:p>
          <w:p w:rsidR="00FD33B6" w:rsidRPr="007F5BD4" w:rsidRDefault="00FD33B6" w:rsidP="007F5BD4">
            <w:pPr>
              <w:pStyle w:val="ListParagraph"/>
              <w:numPr>
                <w:ilvl w:val="0"/>
                <w:numId w:val="53"/>
              </w:numPr>
              <w:spacing w:line="240" w:lineRule="auto"/>
              <w:ind w:left="426"/>
              <w:rPr>
                <w:rFonts w:cs="Times New Roman"/>
                <w:color w:val="000000"/>
                <w:szCs w:val="20"/>
                <w:lang w:eastAsia="en-AU"/>
              </w:rPr>
            </w:pPr>
            <w:r w:rsidRPr="007F5BD4">
              <w:rPr>
                <w:rFonts w:cs="Times New Roman"/>
                <w:color w:val="000000"/>
                <w:szCs w:val="20"/>
                <w:lang w:eastAsia="en-AU"/>
              </w:rPr>
              <w:t>Oil and gas extraction</w:t>
            </w:r>
          </w:p>
          <w:p w:rsidR="00FD33B6" w:rsidRPr="007F5BD4" w:rsidRDefault="00FD33B6" w:rsidP="007F5BD4">
            <w:pPr>
              <w:pStyle w:val="ListParagraph"/>
              <w:numPr>
                <w:ilvl w:val="0"/>
                <w:numId w:val="53"/>
              </w:numPr>
              <w:spacing w:line="240" w:lineRule="auto"/>
              <w:ind w:left="426"/>
              <w:rPr>
                <w:rFonts w:cs="Times New Roman"/>
                <w:color w:val="000000"/>
                <w:szCs w:val="20"/>
                <w:lang w:eastAsia="en-AU"/>
              </w:rPr>
            </w:pPr>
            <w:r w:rsidRPr="007F5BD4">
              <w:rPr>
                <w:rFonts w:cs="Times New Roman"/>
                <w:color w:val="000000"/>
                <w:szCs w:val="20"/>
                <w:lang w:eastAsia="en-AU"/>
              </w:rPr>
              <w:t xml:space="preserve">Soap and </w:t>
            </w:r>
            <w:r w:rsidR="0017374C">
              <w:rPr>
                <w:rFonts w:cs="Times New Roman"/>
                <w:color w:val="000000"/>
                <w:szCs w:val="20"/>
                <w:lang w:eastAsia="en-AU"/>
              </w:rPr>
              <w:t>o</w:t>
            </w:r>
            <w:r w:rsidRPr="007F5BD4">
              <w:rPr>
                <w:rFonts w:cs="Times New Roman"/>
                <w:color w:val="000000"/>
                <w:szCs w:val="20"/>
                <w:lang w:eastAsia="en-AU"/>
              </w:rPr>
              <w:t xml:space="preserve">ther </w:t>
            </w:r>
            <w:r w:rsidR="0017374C">
              <w:rPr>
                <w:rFonts w:cs="Times New Roman"/>
                <w:color w:val="000000"/>
                <w:szCs w:val="20"/>
                <w:lang w:eastAsia="en-AU"/>
              </w:rPr>
              <w:t>d</w:t>
            </w:r>
            <w:r w:rsidRPr="007F5BD4">
              <w:rPr>
                <w:rFonts w:cs="Times New Roman"/>
                <w:color w:val="000000"/>
                <w:szCs w:val="20"/>
                <w:lang w:eastAsia="en-AU"/>
              </w:rPr>
              <w:t xml:space="preserve">etergent </w:t>
            </w:r>
            <w:r w:rsidR="0017374C">
              <w:rPr>
                <w:rFonts w:cs="Times New Roman"/>
                <w:color w:val="000000"/>
                <w:szCs w:val="20"/>
                <w:lang w:eastAsia="en-AU"/>
              </w:rPr>
              <w:t>m</w:t>
            </w:r>
            <w:r w:rsidRPr="007F5BD4">
              <w:rPr>
                <w:rFonts w:cs="Times New Roman"/>
                <w:color w:val="000000"/>
                <w:szCs w:val="20"/>
                <w:lang w:eastAsia="en-AU"/>
              </w:rPr>
              <w:t>anufacturing</w:t>
            </w:r>
          </w:p>
          <w:p w:rsidR="00171242" w:rsidRPr="007F5BD4" w:rsidRDefault="00FD33B6" w:rsidP="007F5BD4">
            <w:pPr>
              <w:pStyle w:val="ListParagraph"/>
              <w:numPr>
                <w:ilvl w:val="0"/>
                <w:numId w:val="53"/>
              </w:numPr>
              <w:spacing w:line="240" w:lineRule="auto"/>
              <w:ind w:left="426"/>
              <w:rPr>
                <w:rFonts w:cs="Times New Roman"/>
                <w:color w:val="000000"/>
                <w:szCs w:val="20"/>
                <w:lang w:eastAsia="en-AU"/>
              </w:rPr>
            </w:pPr>
            <w:r w:rsidRPr="007F5BD4">
              <w:rPr>
                <w:rFonts w:cs="Times New Roman"/>
                <w:color w:val="000000"/>
                <w:szCs w:val="20"/>
                <w:lang w:eastAsia="en-AU"/>
              </w:rPr>
              <w:t xml:space="preserve">Potato, </w:t>
            </w:r>
            <w:r w:rsidR="0017374C">
              <w:rPr>
                <w:rFonts w:cs="Times New Roman"/>
                <w:color w:val="000000"/>
                <w:szCs w:val="20"/>
                <w:lang w:eastAsia="en-AU"/>
              </w:rPr>
              <w:t>c</w:t>
            </w:r>
            <w:r w:rsidRPr="007F5BD4">
              <w:rPr>
                <w:rFonts w:cs="Times New Roman"/>
                <w:color w:val="000000"/>
                <w:szCs w:val="20"/>
                <w:lang w:eastAsia="en-AU"/>
              </w:rPr>
              <w:t xml:space="preserve">orn and </w:t>
            </w:r>
            <w:r w:rsidR="0017374C">
              <w:rPr>
                <w:rFonts w:cs="Times New Roman"/>
                <w:color w:val="000000"/>
                <w:szCs w:val="20"/>
                <w:lang w:eastAsia="en-AU"/>
              </w:rPr>
              <w:t>o</w:t>
            </w:r>
            <w:r w:rsidRPr="007F5BD4">
              <w:rPr>
                <w:rFonts w:cs="Times New Roman"/>
                <w:color w:val="000000"/>
                <w:szCs w:val="20"/>
                <w:lang w:eastAsia="en-AU"/>
              </w:rPr>
              <w:t xml:space="preserve">ther </w:t>
            </w:r>
            <w:r w:rsidR="0017374C">
              <w:rPr>
                <w:rFonts w:cs="Times New Roman"/>
                <w:color w:val="000000"/>
                <w:szCs w:val="20"/>
                <w:lang w:eastAsia="en-AU"/>
              </w:rPr>
              <w:t>c</w:t>
            </w:r>
            <w:r w:rsidRPr="007F5BD4">
              <w:rPr>
                <w:rFonts w:cs="Times New Roman"/>
                <w:color w:val="000000"/>
                <w:szCs w:val="20"/>
                <w:lang w:eastAsia="en-AU"/>
              </w:rPr>
              <w:t xml:space="preserve">risp </w:t>
            </w:r>
            <w:r w:rsidR="0017374C">
              <w:rPr>
                <w:rFonts w:cs="Times New Roman"/>
                <w:color w:val="000000"/>
                <w:szCs w:val="20"/>
                <w:lang w:eastAsia="en-AU"/>
              </w:rPr>
              <w:t>m</w:t>
            </w:r>
            <w:r w:rsidRPr="007F5BD4">
              <w:rPr>
                <w:rFonts w:cs="Times New Roman"/>
                <w:color w:val="000000"/>
                <w:szCs w:val="20"/>
                <w:lang w:eastAsia="en-AU"/>
              </w:rPr>
              <w:t>anufacturing</w:t>
            </w:r>
          </w:p>
        </w:tc>
        <w:tc>
          <w:tcPr>
            <w:tcW w:w="1666" w:type="pct"/>
            <w:tcBorders>
              <w:top w:val="single" w:sz="4" w:space="0" w:color="7F7F7F" w:themeColor="background2"/>
            </w:tcBorders>
          </w:tcPr>
          <w:p w:rsidR="00171242" w:rsidRPr="00816657" w:rsidRDefault="00171242" w:rsidP="00BC3BD0">
            <w:pPr>
              <w:pStyle w:val="BodyText"/>
              <w:cnfStyle w:val="000000000000"/>
              <w:rPr>
                <w:sz w:val="20"/>
                <w:szCs w:val="20"/>
              </w:rPr>
            </w:pPr>
            <w:r w:rsidRPr="00816657">
              <w:rPr>
                <w:sz w:val="20"/>
                <w:szCs w:val="20"/>
              </w:rPr>
              <w:t>No sufficiently credible pre-existing projections were identified</w:t>
            </w:r>
          </w:p>
        </w:tc>
        <w:tc>
          <w:tcPr>
            <w:tcW w:w="1667" w:type="pct"/>
            <w:tcBorders>
              <w:top w:val="single" w:sz="4" w:space="0" w:color="7F7F7F" w:themeColor="background2"/>
            </w:tcBorders>
          </w:tcPr>
          <w:p w:rsidR="00171242" w:rsidRPr="00816657" w:rsidRDefault="00171242"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judgement - trend and causal analysis</w:t>
            </w:r>
          </w:p>
          <w:p w:rsidR="00171242" w:rsidRPr="00816657" w:rsidRDefault="00171242" w:rsidP="00EA7F18">
            <w:pPr>
              <w:pStyle w:val="BodyText"/>
              <w:cnfStyle w:val="000000000000"/>
              <w:rPr>
                <w:rFonts w:cs="Times New Roman"/>
                <w:color w:val="000000"/>
                <w:sz w:val="20"/>
                <w:szCs w:val="20"/>
                <w:lang w:eastAsia="en-AU"/>
              </w:rPr>
            </w:pPr>
          </w:p>
        </w:tc>
      </w:tr>
      <w:tr w:rsidR="00171242" w:rsidRPr="00816657" w:rsidTr="00843995">
        <w:tc>
          <w:tcPr>
            <w:cnfStyle w:val="001000000000"/>
            <w:tcW w:w="1666" w:type="pct"/>
            <w:vMerge/>
          </w:tcPr>
          <w:p w:rsidR="00171242" w:rsidRPr="00816657" w:rsidRDefault="00171242" w:rsidP="00C858B8">
            <w:pPr>
              <w:spacing w:line="240" w:lineRule="auto"/>
              <w:rPr>
                <w:rFonts w:cs="Times New Roman"/>
                <w:color w:val="000000"/>
                <w:szCs w:val="20"/>
                <w:lang w:eastAsia="en-AU"/>
              </w:rPr>
            </w:pPr>
          </w:p>
        </w:tc>
        <w:tc>
          <w:tcPr>
            <w:tcW w:w="1666" w:type="pct"/>
          </w:tcPr>
          <w:p w:rsidR="00171242" w:rsidRPr="00816657" w:rsidRDefault="00171242" w:rsidP="00C858B8">
            <w:pPr>
              <w:spacing w:line="240" w:lineRule="auto"/>
              <w:cnfStyle w:val="000000000000"/>
              <w:rPr>
                <w:rFonts w:cs="Times New Roman"/>
                <w:color w:val="000000"/>
                <w:szCs w:val="20"/>
                <w:lang w:eastAsia="en-AU"/>
              </w:rPr>
            </w:pPr>
            <w:r w:rsidRPr="00816657">
              <w:rPr>
                <w:rFonts w:cs="Times New Roman"/>
                <w:color w:val="000000"/>
                <w:szCs w:val="20"/>
                <w:lang w:eastAsia="en-AU"/>
              </w:rPr>
              <w:t>Historical data sets show apparent rise in waste in Qld but decline is seen elsewhere</w:t>
            </w:r>
          </w:p>
        </w:tc>
        <w:tc>
          <w:tcPr>
            <w:tcW w:w="1667" w:type="pct"/>
          </w:tcPr>
          <w:p w:rsidR="00171242" w:rsidRPr="00816657" w:rsidRDefault="00171242" w:rsidP="00C858B8">
            <w:pPr>
              <w:spacing w:line="240" w:lineRule="auto"/>
              <w:cnfStyle w:val="000000000000"/>
              <w:rPr>
                <w:rFonts w:cs="Times New Roman"/>
                <w:color w:val="000000"/>
                <w:szCs w:val="20"/>
                <w:lang w:eastAsia="en-AU"/>
              </w:rPr>
            </w:pPr>
          </w:p>
        </w:tc>
      </w:tr>
    </w:tbl>
    <w:p w:rsidR="00C858B8" w:rsidRPr="00816657" w:rsidRDefault="00C858B8" w:rsidP="007F5BD4">
      <w:pPr>
        <w:pStyle w:val="BodyText"/>
      </w:pPr>
    </w:p>
    <w:p w:rsidR="00376588" w:rsidRPr="00816657" w:rsidRDefault="00376588" w:rsidP="00655F62">
      <w:pPr>
        <w:pStyle w:val="Figures"/>
      </w:pPr>
      <w:bookmarkStart w:id="137" w:name="_Toc425849300"/>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15</w:t>
      </w:r>
      <w:r w:rsidR="006D07F5" w:rsidRPr="00816657">
        <w:rPr>
          <w:noProof/>
        </w:rPr>
        <w:fldChar w:fldCharType="end"/>
      </w:r>
      <w:r w:rsidRPr="00816657">
        <w:t xml:space="preserve">: </w:t>
      </w:r>
      <w:r w:rsidRPr="00816657">
        <w:tab/>
        <w:t>Best, high and low projected rates of change for reactive chemical waste to 2034</w:t>
      </w:r>
      <w:bookmarkEnd w:id="137"/>
    </w:p>
    <w:tbl>
      <w:tblPr>
        <w:tblStyle w:val="BETable1"/>
        <w:tblW w:w="8745" w:type="dxa"/>
        <w:tblLayout w:type="fixed"/>
        <w:tblLook w:val="04A0"/>
      </w:tblPr>
      <w:tblGrid>
        <w:gridCol w:w="1134"/>
        <w:gridCol w:w="1134"/>
        <w:gridCol w:w="4395"/>
        <w:gridCol w:w="803"/>
        <w:gridCol w:w="476"/>
        <w:gridCol w:w="803"/>
      </w:tblGrid>
      <w:tr w:rsidR="00C234D2" w:rsidRPr="00816657" w:rsidTr="00171242">
        <w:trPr>
          <w:cnfStyle w:val="100000000000"/>
        </w:trPr>
        <w:tc>
          <w:tcPr>
            <w:cnfStyle w:val="001000000000"/>
            <w:tcW w:w="1134" w:type="dxa"/>
          </w:tcPr>
          <w:p w:rsidR="00C234D2" w:rsidRPr="00816657" w:rsidRDefault="00C234D2" w:rsidP="00DF2118"/>
        </w:tc>
        <w:tc>
          <w:tcPr>
            <w:tcW w:w="1134" w:type="dxa"/>
          </w:tcPr>
          <w:p w:rsidR="00C234D2" w:rsidRPr="00816657" w:rsidRDefault="00C234D2" w:rsidP="00DF2118">
            <w:pPr>
              <w:cnfStyle w:val="100000000000"/>
            </w:pPr>
            <w:r w:rsidRPr="00816657">
              <w:t>Applies to</w:t>
            </w:r>
          </w:p>
        </w:tc>
        <w:tc>
          <w:tcPr>
            <w:tcW w:w="4395" w:type="dxa"/>
          </w:tcPr>
          <w:p w:rsidR="00C234D2" w:rsidRPr="00816657" w:rsidRDefault="00C234D2" w:rsidP="00DF2118">
            <w:pPr>
              <w:cnfStyle w:val="100000000000"/>
            </w:pPr>
            <w:r w:rsidRPr="00816657">
              <w:t>Approach</w:t>
            </w:r>
          </w:p>
        </w:tc>
        <w:tc>
          <w:tcPr>
            <w:tcW w:w="803" w:type="dxa"/>
          </w:tcPr>
          <w:p w:rsidR="00C234D2" w:rsidRPr="00816657" w:rsidRDefault="00C234D2" w:rsidP="00DF1E42">
            <w:pPr>
              <w:jc w:val="right"/>
              <w:cnfStyle w:val="100000000000"/>
            </w:pPr>
            <w:r w:rsidRPr="00816657">
              <w:t>2014</w:t>
            </w:r>
          </w:p>
        </w:tc>
        <w:tc>
          <w:tcPr>
            <w:tcW w:w="476" w:type="dxa"/>
          </w:tcPr>
          <w:p w:rsidR="00C234D2" w:rsidRPr="00816657" w:rsidRDefault="00C234D2" w:rsidP="00DF1E42">
            <w:pPr>
              <w:jc w:val="right"/>
              <w:cnfStyle w:val="100000000000"/>
            </w:pPr>
            <w:r w:rsidRPr="00816657">
              <w:t>...</w:t>
            </w:r>
          </w:p>
        </w:tc>
        <w:tc>
          <w:tcPr>
            <w:tcW w:w="803" w:type="dxa"/>
          </w:tcPr>
          <w:p w:rsidR="00C234D2" w:rsidRPr="00816657" w:rsidRDefault="00C234D2" w:rsidP="00DF1E42">
            <w:pPr>
              <w:jc w:val="right"/>
              <w:cnfStyle w:val="100000000000"/>
            </w:pPr>
            <w:r w:rsidRPr="00816657">
              <w:t>2034</w:t>
            </w:r>
          </w:p>
        </w:tc>
      </w:tr>
      <w:tr w:rsidR="00C234D2" w:rsidRPr="00816657" w:rsidTr="00171242">
        <w:tc>
          <w:tcPr>
            <w:cnfStyle w:val="001000000000"/>
            <w:tcW w:w="1134" w:type="dxa"/>
          </w:tcPr>
          <w:p w:rsidR="00C234D2" w:rsidRPr="00816657" w:rsidRDefault="00C234D2" w:rsidP="00DF2118">
            <w:r w:rsidRPr="00816657">
              <w:t>Best</w:t>
            </w:r>
          </w:p>
        </w:tc>
        <w:tc>
          <w:tcPr>
            <w:tcW w:w="1134" w:type="dxa"/>
            <w:vMerge w:val="restart"/>
            <w:vAlign w:val="center"/>
          </w:tcPr>
          <w:p w:rsidR="00C234D2" w:rsidRPr="00816657" w:rsidRDefault="00C234D2" w:rsidP="00DF2118">
            <w:pPr>
              <w:cnfStyle w:val="000000000000"/>
            </w:pPr>
            <w:r w:rsidRPr="00816657">
              <w:t>ACT, NSW, NT, Qld, SA, Tas, Vic, WA</w:t>
            </w:r>
          </w:p>
        </w:tc>
        <w:tc>
          <w:tcPr>
            <w:tcW w:w="4395" w:type="dxa"/>
          </w:tcPr>
          <w:p w:rsidR="00C234D2" w:rsidRPr="00816657" w:rsidRDefault="00C234D2" w:rsidP="00DF2118">
            <w:pPr>
              <w:cnfStyle w:val="000000000000"/>
            </w:pPr>
            <w:r w:rsidRPr="00816657">
              <w:t>Stable</w:t>
            </w:r>
          </w:p>
        </w:tc>
        <w:tc>
          <w:tcPr>
            <w:tcW w:w="803" w:type="dxa"/>
          </w:tcPr>
          <w:p w:rsidR="00C234D2" w:rsidRPr="00816657" w:rsidRDefault="00C234D2" w:rsidP="00DF1E42">
            <w:pPr>
              <w:jc w:val="right"/>
              <w:cnfStyle w:val="000000000000"/>
            </w:pPr>
            <w:r w:rsidRPr="00816657">
              <w:t>0.0%</w:t>
            </w:r>
          </w:p>
        </w:tc>
        <w:tc>
          <w:tcPr>
            <w:tcW w:w="476" w:type="dxa"/>
          </w:tcPr>
          <w:p w:rsidR="00C234D2" w:rsidRPr="00816657" w:rsidRDefault="00C234D2" w:rsidP="00DF1E42">
            <w:pPr>
              <w:jc w:val="right"/>
              <w:cnfStyle w:val="000000000000"/>
            </w:pPr>
            <w:r w:rsidRPr="00816657">
              <w:t>...</w:t>
            </w:r>
          </w:p>
        </w:tc>
        <w:tc>
          <w:tcPr>
            <w:tcW w:w="803" w:type="dxa"/>
          </w:tcPr>
          <w:p w:rsidR="00C234D2" w:rsidRPr="00816657" w:rsidRDefault="00C234D2" w:rsidP="00DF1E42">
            <w:pPr>
              <w:jc w:val="right"/>
              <w:cnfStyle w:val="000000000000"/>
            </w:pPr>
            <w:r w:rsidRPr="00816657">
              <w:t>0.0%</w:t>
            </w:r>
          </w:p>
        </w:tc>
      </w:tr>
      <w:tr w:rsidR="00C234D2" w:rsidRPr="00816657" w:rsidTr="00171242">
        <w:tc>
          <w:tcPr>
            <w:cnfStyle w:val="001000000000"/>
            <w:tcW w:w="1134" w:type="dxa"/>
          </w:tcPr>
          <w:p w:rsidR="00C234D2" w:rsidRPr="00816657" w:rsidRDefault="00C234D2" w:rsidP="00DF2118">
            <w:r w:rsidRPr="00816657">
              <w:t>High</w:t>
            </w:r>
          </w:p>
        </w:tc>
        <w:tc>
          <w:tcPr>
            <w:tcW w:w="1134" w:type="dxa"/>
            <w:vMerge/>
            <w:vAlign w:val="center"/>
          </w:tcPr>
          <w:p w:rsidR="00C234D2" w:rsidRPr="00816657" w:rsidRDefault="00C234D2" w:rsidP="00DF2118">
            <w:pPr>
              <w:cnfStyle w:val="000000000000"/>
            </w:pPr>
          </w:p>
        </w:tc>
        <w:tc>
          <w:tcPr>
            <w:tcW w:w="4395" w:type="dxa"/>
          </w:tcPr>
          <w:p w:rsidR="00C234D2" w:rsidRPr="00816657" w:rsidRDefault="00C234D2" w:rsidP="00DF2118">
            <w:pPr>
              <w:cnfStyle w:val="000000000000"/>
            </w:pPr>
            <w:r w:rsidRPr="00816657">
              <w:t>Best estimate of annual rate of change + 2%</w:t>
            </w:r>
          </w:p>
        </w:tc>
        <w:tc>
          <w:tcPr>
            <w:tcW w:w="803" w:type="dxa"/>
          </w:tcPr>
          <w:p w:rsidR="00C234D2" w:rsidRPr="00816657" w:rsidRDefault="00C234D2" w:rsidP="00DF1E42">
            <w:pPr>
              <w:jc w:val="right"/>
              <w:cnfStyle w:val="000000000000"/>
            </w:pPr>
            <w:r w:rsidRPr="00816657">
              <w:t>2.0%</w:t>
            </w:r>
          </w:p>
        </w:tc>
        <w:tc>
          <w:tcPr>
            <w:tcW w:w="476" w:type="dxa"/>
          </w:tcPr>
          <w:p w:rsidR="00C234D2" w:rsidRPr="00816657" w:rsidRDefault="00C234D2" w:rsidP="00DF1E42">
            <w:pPr>
              <w:jc w:val="right"/>
              <w:cnfStyle w:val="000000000000"/>
            </w:pPr>
            <w:r w:rsidRPr="00816657">
              <w:t>...</w:t>
            </w:r>
          </w:p>
        </w:tc>
        <w:tc>
          <w:tcPr>
            <w:tcW w:w="803" w:type="dxa"/>
          </w:tcPr>
          <w:p w:rsidR="00C234D2" w:rsidRPr="00816657" w:rsidRDefault="00C234D2" w:rsidP="00DF1E42">
            <w:pPr>
              <w:jc w:val="right"/>
              <w:cnfStyle w:val="000000000000"/>
            </w:pPr>
            <w:r w:rsidRPr="00816657">
              <w:t>2.0%</w:t>
            </w:r>
          </w:p>
        </w:tc>
      </w:tr>
      <w:tr w:rsidR="00C234D2" w:rsidRPr="00816657" w:rsidTr="00171242">
        <w:tc>
          <w:tcPr>
            <w:cnfStyle w:val="001000000000"/>
            <w:tcW w:w="1134" w:type="dxa"/>
          </w:tcPr>
          <w:p w:rsidR="00C234D2" w:rsidRPr="00816657" w:rsidRDefault="00C234D2" w:rsidP="00DF2118">
            <w:r w:rsidRPr="00816657">
              <w:t>Low</w:t>
            </w:r>
          </w:p>
        </w:tc>
        <w:tc>
          <w:tcPr>
            <w:tcW w:w="1134" w:type="dxa"/>
            <w:vMerge/>
            <w:vAlign w:val="center"/>
          </w:tcPr>
          <w:p w:rsidR="00C234D2" w:rsidRPr="00816657" w:rsidRDefault="00C234D2" w:rsidP="00DF2118">
            <w:pPr>
              <w:cnfStyle w:val="000000000000"/>
            </w:pPr>
          </w:p>
        </w:tc>
        <w:tc>
          <w:tcPr>
            <w:tcW w:w="4395" w:type="dxa"/>
          </w:tcPr>
          <w:p w:rsidR="00C234D2" w:rsidRPr="00816657" w:rsidRDefault="00C234D2" w:rsidP="00DF2118">
            <w:pPr>
              <w:cnfStyle w:val="000000000000"/>
            </w:pPr>
            <w:r w:rsidRPr="00816657">
              <w:t>Best estimate of annual rate of change - 2%</w:t>
            </w:r>
          </w:p>
        </w:tc>
        <w:tc>
          <w:tcPr>
            <w:tcW w:w="803" w:type="dxa"/>
          </w:tcPr>
          <w:p w:rsidR="00C234D2" w:rsidRPr="00816657" w:rsidRDefault="00C234D2" w:rsidP="00DF1E42">
            <w:pPr>
              <w:jc w:val="right"/>
              <w:cnfStyle w:val="000000000000"/>
            </w:pPr>
            <w:r w:rsidRPr="00816657">
              <w:t>-2.0%</w:t>
            </w:r>
          </w:p>
        </w:tc>
        <w:tc>
          <w:tcPr>
            <w:tcW w:w="476" w:type="dxa"/>
          </w:tcPr>
          <w:p w:rsidR="00C234D2" w:rsidRPr="00816657" w:rsidRDefault="00C234D2" w:rsidP="00DF1E42">
            <w:pPr>
              <w:jc w:val="right"/>
              <w:cnfStyle w:val="000000000000"/>
            </w:pPr>
            <w:r w:rsidRPr="00816657">
              <w:t>...</w:t>
            </w:r>
          </w:p>
        </w:tc>
        <w:tc>
          <w:tcPr>
            <w:tcW w:w="803" w:type="dxa"/>
          </w:tcPr>
          <w:p w:rsidR="00C234D2" w:rsidRPr="00816657" w:rsidRDefault="00C234D2" w:rsidP="00DF1E42">
            <w:pPr>
              <w:jc w:val="right"/>
              <w:cnfStyle w:val="000000000000"/>
            </w:pPr>
            <w:r w:rsidRPr="00816657">
              <w:t>-2.0%</w:t>
            </w:r>
          </w:p>
        </w:tc>
      </w:tr>
    </w:tbl>
    <w:p w:rsidR="00C858B8" w:rsidRPr="00816657" w:rsidRDefault="00C858B8" w:rsidP="007F5BD4">
      <w:pPr>
        <w:pStyle w:val="BodyText"/>
      </w:pPr>
    </w:p>
    <w:p w:rsidR="00877CF8" w:rsidRPr="00816657" w:rsidRDefault="00877CF8" w:rsidP="00655F62">
      <w:pPr>
        <w:pStyle w:val="Figures"/>
      </w:pPr>
      <w:bookmarkStart w:id="138" w:name="_Toc425849230"/>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12</w:t>
      </w:r>
      <w:r w:rsidR="006D07F5" w:rsidRPr="00816657">
        <w:rPr>
          <w:noProof/>
        </w:rPr>
        <w:fldChar w:fldCharType="end"/>
      </w:r>
      <w:r w:rsidRPr="00816657">
        <w:t xml:space="preserve">: </w:t>
      </w:r>
      <w:r w:rsidRPr="00816657">
        <w:tab/>
        <w:t>Best, high and low national projection estimates of reactive chemical waste to 2034</w:t>
      </w:r>
      <w:bookmarkEnd w:id="138"/>
    </w:p>
    <w:p w:rsidR="00877CF8" w:rsidRPr="00816657" w:rsidRDefault="00C05ED6">
      <w:pPr>
        <w:spacing w:line="240" w:lineRule="auto"/>
      </w:pPr>
      <w:r w:rsidRPr="00C05ED6">
        <w:rPr>
          <w:noProof/>
          <w:lang w:eastAsia="en-AU"/>
        </w:rPr>
        <w:drawing>
          <wp:inline distT="0" distB="0" distL="0" distR="0">
            <wp:extent cx="5495238" cy="227619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495238" cy="2276191"/>
                    </a:xfrm>
                    <a:prstGeom prst="rect">
                      <a:avLst/>
                    </a:prstGeom>
                  </pic:spPr>
                </pic:pic>
              </a:graphicData>
            </a:graphic>
          </wp:inline>
        </w:drawing>
      </w:r>
    </w:p>
    <w:p w:rsidR="00877CF8" w:rsidRPr="00816657" w:rsidRDefault="00877CF8">
      <w:pPr>
        <w:spacing w:line="240" w:lineRule="auto"/>
      </w:pPr>
    </w:p>
    <w:p w:rsidR="00877CF8" w:rsidRPr="00816657" w:rsidRDefault="00877CF8">
      <w:pPr>
        <w:spacing w:line="240" w:lineRule="auto"/>
      </w:pPr>
    </w:p>
    <w:p w:rsidR="00877CF8" w:rsidRPr="00816657" w:rsidRDefault="00877CF8">
      <w:pPr>
        <w:spacing w:line="240" w:lineRule="auto"/>
      </w:pPr>
    </w:p>
    <w:p w:rsidR="00C234D2" w:rsidRPr="00816657" w:rsidRDefault="00C234D2">
      <w:pPr>
        <w:spacing w:line="240" w:lineRule="auto"/>
        <w:rPr>
          <w:rFonts w:ascii="Arial Rounded MT Bold" w:hAnsi="Arial Rounded MT Bold" w:cs="Arial"/>
          <w:color w:val="0000FF"/>
          <w:sz w:val="36"/>
          <w:szCs w:val="36"/>
        </w:rPr>
      </w:pPr>
      <w:r w:rsidRPr="00816657">
        <w:br w:type="page"/>
      </w:r>
    </w:p>
    <w:p w:rsidR="00964383" w:rsidRPr="00816657" w:rsidRDefault="00877CF8" w:rsidP="005D6078">
      <w:pPr>
        <w:pStyle w:val="Heading3"/>
      </w:pPr>
      <w:r w:rsidRPr="00816657">
        <w:lastRenderedPageBreak/>
        <w:t>F. Paints, resins, inks, organic sludges</w:t>
      </w:r>
    </w:p>
    <w:p w:rsidR="0017374C" w:rsidRPr="007F5BD4" w:rsidRDefault="0017374C" w:rsidP="00964383">
      <w:pPr>
        <w:pStyle w:val="BodyText"/>
        <w:rPr>
          <w:i/>
        </w:rPr>
      </w:pPr>
      <w:r w:rsidRPr="0017374C">
        <w:t xml:space="preserve">This group includes: </w:t>
      </w:r>
      <w:r w:rsidRPr="007F5BD4">
        <w:rPr>
          <w:i/>
        </w:rPr>
        <w:t>F100 Waste from the production and use of inks, dyes, pigments, paints, lacquers &amp; varnish</w:t>
      </w:r>
      <w:r w:rsidRPr="0017374C">
        <w:t xml:space="preserve"> and </w:t>
      </w:r>
      <w:r w:rsidRPr="007F5BD4">
        <w:rPr>
          <w:i/>
        </w:rPr>
        <w:t>F110 Waste from the production &amp; use of resins, latex, plasticisers, glues and adhesives</w:t>
      </w:r>
      <w:r>
        <w:rPr>
          <w:i/>
        </w:rPr>
        <w:t>.</w:t>
      </w:r>
      <w:r w:rsidRPr="007F5BD4">
        <w:rPr>
          <w:i/>
        </w:rPr>
        <w:t xml:space="preserve"> </w:t>
      </w:r>
    </w:p>
    <w:p w:rsidR="00877CF8" w:rsidRPr="00816657" w:rsidRDefault="00877CF8" w:rsidP="00964383">
      <w:pPr>
        <w:pStyle w:val="BodyText"/>
      </w:pPr>
      <w:r w:rsidRPr="00816657">
        <w:t xml:space="preserve"> </w:t>
      </w:r>
    </w:p>
    <w:p w:rsidR="00C858B8" w:rsidRPr="00816657" w:rsidRDefault="00C858B8" w:rsidP="00C858B8">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10"/>
        <w:gridCol w:w="2410"/>
        <w:gridCol w:w="2410"/>
        <w:gridCol w:w="2410"/>
      </w:tblGrid>
      <w:tr w:rsidR="00E42D11" w:rsidRPr="00816657" w:rsidTr="00EA7F18">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964383" w:rsidRPr="00816657" w:rsidTr="00343BBB">
        <w:trPr>
          <w:trHeight w:val="49"/>
        </w:trPr>
        <w:tc>
          <w:tcPr>
            <w:cnfStyle w:val="001000000000"/>
            <w:tcW w:w="1250" w:type="pct"/>
            <w:vMerge w:val="restart"/>
            <w:tcBorders>
              <w:top w:val="single" w:sz="4" w:space="0" w:color="7F7F7F" w:themeColor="background2"/>
            </w:tcBorders>
          </w:tcPr>
          <w:p w:rsidR="0017374C" w:rsidRPr="007F5BD4" w:rsidRDefault="0017374C" w:rsidP="007F5BD4">
            <w:pPr>
              <w:pStyle w:val="ListParagraph"/>
              <w:numPr>
                <w:ilvl w:val="0"/>
                <w:numId w:val="54"/>
              </w:numPr>
              <w:spacing w:line="240" w:lineRule="auto"/>
              <w:ind w:left="284"/>
              <w:rPr>
                <w:rFonts w:cs="Times New Roman"/>
                <w:color w:val="000000"/>
                <w:szCs w:val="20"/>
                <w:lang w:eastAsia="en-AU"/>
              </w:rPr>
            </w:pPr>
            <w:r w:rsidRPr="007F5BD4">
              <w:rPr>
                <w:rFonts w:cs="Times New Roman"/>
                <w:color w:val="000000"/>
                <w:szCs w:val="20"/>
                <w:lang w:eastAsia="en-AU"/>
              </w:rPr>
              <w:t xml:space="preserve">Motor vehicle manufacturing </w:t>
            </w:r>
          </w:p>
          <w:p w:rsidR="0017374C" w:rsidRPr="007F5BD4" w:rsidRDefault="0017374C" w:rsidP="007F5BD4">
            <w:pPr>
              <w:pStyle w:val="ListParagraph"/>
              <w:numPr>
                <w:ilvl w:val="0"/>
                <w:numId w:val="54"/>
              </w:numPr>
              <w:spacing w:line="240" w:lineRule="auto"/>
              <w:ind w:left="284"/>
              <w:rPr>
                <w:rFonts w:cs="Times New Roman"/>
                <w:color w:val="000000"/>
                <w:szCs w:val="20"/>
                <w:lang w:eastAsia="en-AU"/>
              </w:rPr>
            </w:pPr>
            <w:r w:rsidRPr="007F5BD4">
              <w:rPr>
                <w:rFonts w:cs="Times New Roman"/>
                <w:color w:val="000000"/>
                <w:szCs w:val="20"/>
                <w:lang w:eastAsia="en-AU"/>
              </w:rPr>
              <w:t>Paint ink and resin manufacturing</w:t>
            </w:r>
          </w:p>
          <w:p w:rsidR="0017374C" w:rsidRPr="007F5BD4" w:rsidRDefault="0017374C" w:rsidP="007F5BD4">
            <w:pPr>
              <w:pStyle w:val="ListParagraph"/>
              <w:numPr>
                <w:ilvl w:val="0"/>
                <w:numId w:val="54"/>
              </w:numPr>
              <w:spacing w:line="240" w:lineRule="auto"/>
              <w:ind w:left="284"/>
              <w:rPr>
                <w:rFonts w:cs="Times New Roman"/>
                <w:color w:val="000000"/>
                <w:szCs w:val="20"/>
                <w:lang w:eastAsia="en-AU"/>
              </w:rPr>
            </w:pPr>
            <w:r w:rsidRPr="007F5BD4">
              <w:rPr>
                <w:rFonts w:cs="Times New Roman"/>
                <w:color w:val="000000"/>
                <w:szCs w:val="20"/>
                <w:lang w:eastAsia="en-AU"/>
              </w:rPr>
              <w:t>Chemical and chemical product manufacturing</w:t>
            </w:r>
          </w:p>
          <w:p w:rsidR="0017374C" w:rsidRPr="007F5BD4" w:rsidRDefault="0017374C" w:rsidP="007F5BD4">
            <w:pPr>
              <w:pStyle w:val="ListParagraph"/>
              <w:numPr>
                <w:ilvl w:val="0"/>
                <w:numId w:val="54"/>
              </w:numPr>
              <w:spacing w:line="240" w:lineRule="auto"/>
              <w:ind w:left="284"/>
              <w:rPr>
                <w:rFonts w:cs="Times New Roman"/>
                <w:color w:val="000000"/>
                <w:szCs w:val="20"/>
                <w:lang w:eastAsia="en-AU"/>
              </w:rPr>
            </w:pPr>
            <w:r w:rsidRPr="007F5BD4">
              <w:rPr>
                <w:rFonts w:cs="Times New Roman"/>
                <w:color w:val="000000"/>
                <w:szCs w:val="20"/>
                <w:lang w:eastAsia="en-AU"/>
              </w:rPr>
              <w:t>Printing</w:t>
            </w:r>
          </w:p>
          <w:p w:rsidR="0017374C" w:rsidRPr="007F5BD4" w:rsidRDefault="0017374C" w:rsidP="007F5BD4">
            <w:pPr>
              <w:pStyle w:val="ListParagraph"/>
              <w:numPr>
                <w:ilvl w:val="0"/>
                <w:numId w:val="54"/>
              </w:numPr>
              <w:spacing w:line="240" w:lineRule="auto"/>
              <w:ind w:left="284"/>
              <w:rPr>
                <w:rFonts w:cs="Times New Roman"/>
                <w:color w:val="000000"/>
                <w:szCs w:val="20"/>
                <w:lang w:eastAsia="en-AU"/>
              </w:rPr>
            </w:pPr>
            <w:r w:rsidRPr="007F5BD4">
              <w:rPr>
                <w:rFonts w:cs="Times New Roman"/>
                <w:color w:val="000000"/>
                <w:szCs w:val="20"/>
                <w:lang w:eastAsia="en-AU"/>
              </w:rPr>
              <w:t>Machinery and equipment manufacturing</w:t>
            </w:r>
          </w:p>
          <w:p w:rsidR="0017374C" w:rsidRPr="007F5BD4" w:rsidRDefault="0017374C" w:rsidP="007F5BD4">
            <w:pPr>
              <w:pStyle w:val="ListParagraph"/>
              <w:numPr>
                <w:ilvl w:val="0"/>
                <w:numId w:val="54"/>
              </w:numPr>
              <w:spacing w:line="240" w:lineRule="auto"/>
              <w:ind w:left="284"/>
              <w:rPr>
                <w:rFonts w:cs="Times New Roman"/>
                <w:color w:val="000000"/>
                <w:szCs w:val="20"/>
                <w:lang w:eastAsia="en-AU"/>
              </w:rPr>
            </w:pPr>
            <w:r w:rsidRPr="007F5BD4">
              <w:rPr>
                <w:rFonts w:cs="Times New Roman"/>
                <w:color w:val="000000"/>
                <w:szCs w:val="20"/>
                <w:lang w:eastAsia="en-AU"/>
              </w:rPr>
              <w:t>Metal product manufacturing</w:t>
            </w:r>
          </w:p>
          <w:p w:rsidR="0017374C" w:rsidRPr="007F5BD4" w:rsidRDefault="0017374C" w:rsidP="007F5BD4">
            <w:pPr>
              <w:pStyle w:val="ListParagraph"/>
              <w:numPr>
                <w:ilvl w:val="0"/>
                <w:numId w:val="54"/>
              </w:numPr>
              <w:spacing w:line="240" w:lineRule="auto"/>
              <w:ind w:left="284"/>
              <w:rPr>
                <w:rFonts w:cs="Times New Roman"/>
                <w:color w:val="000000"/>
                <w:szCs w:val="20"/>
                <w:lang w:eastAsia="en-AU"/>
              </w:rPr>
            </w:pPr>
            <w:r w:rsidRPr="007F5BD4">
              <w:rPr>
                <w:rFonts w:cs="Times New Roman"/>
                <w:color w:val="000000"/>
                <w:szCs w:val="20"/>
                <w:lang w:eastAsia="en-AU"/>
              </w:rPr>
              <w:t>Pulp and paper manufacturing</w:t>
            </w:r>
          </w:p>
          <w:p w:rsidR="0017374C" w:rsidRPr="007F5BD4" w:rsidRDefault="0017374C" w:rsidP="007F5BD4">
            <w:pPr>
              <w:pStyle w:val="ListParagraph"/>
              <w:numPr>
                <w:ilvl w:val="0"/>
                <w:numId w:val="54"/>
              </w:numPr>
              <w:spacing w:line="240" w:lineRule="auto"/>
              <w:ind w:left="284"/>
              <w:rPr>
                <w:rFonts w:cs="Times New Roman"/>
                <w:color w:val="000000"/>
                <w:szCs w:val="20"/>
                <w:lang w:eastAsia="en-AU"/>
              </w:rPr>
            </w:pPr>
            <w:r w:rsidRPr="007F5BD4">
              <w:rPr>
                <w:rFonts w:cs="Times New Roman"/>
                <w:color w:val="000000"/>
                <w:szCs w:val="20"/>
                <w:lang w:eastAsia="en-AU"/>
              </w:rPr>
              <w:t>Aircraft manufacturing</w:t>
            </w:r>
          </w:p>
          <w:p w:rsidR="00964383" w:rsidRPr="007F5BD4" w:rsidRDefault="0017374C" w:rsidP="007F5BD4">
            <w:pPr>
              <w:pStyle w:val="ListParagraph"/>
              <w:numPr>
                <w:ilvl w:val="0"/>
                <w:numId w:val="54"/>
              </w:numPr>
              <w:spacing w:line="240" w:lineRule="auto"/>
              <w:ind w:left="284"/>
              <w:rPr>
                <w:rFonts w:cs="Times New Roman"/>
                <w:color w:val="000000"/>
                <w:szCs w:val="20"/>
                <w:lang w:eastAsia="en-AU"/>
              </w:rPr>
            </w:pPr>
            <w:r w:rsidRPr="007F5BD4">
              <w:rPr>
                <w:rFonts w:cs="Times New Roman"/>
                <w:color w:val="000000"/>
                <w:szCs w:val="20"/>
                <w:lang w:eastAsia="en-AU"/>
              </w:rPr>
              <w:t>Furniture manufacturing</w:t>
            </w:r>
          </w:p>
        </w:tc>
        <w:tc>
          <w:tcPr>
            <w:tcW w:w="1250" w:type="pct"/>
            <w:vMerge w:val="restart"/>
            <w:tcBorders>
              <w:top w:val="single" w:sz="4" w:space="0" w:color="7F7F7F" w:themeColor="background2"/>
            </w:tcBorders>
          </w:tcPr>
          <w:p w:rsidR="00964383" w:rsidRPr="00816657" w:rsidRDefault="00964383"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Comprehensive projections do not exist - NC &amp; SRU (2014) projects 10 years of consumption of paints producing most of F100. It also projects sales growth from 47 to 68kt in 10 years annually (this equals a 3.8% growth)</w:t>
            </w:r>
          </w:p>
        </w:tc>
        <w:tc>
          <w:tcPr>
            <w:tcW w:w="1250" w:type="pct"/>
            <w:tcBorders>
              <w:top w:val="single" w:sz="4" w:space="0" w:color="7F7F7F" w:themeColor="background2"/>
              <w:bottom w:val="nil"/>
            </w:tcBorders>
          </w:tcPr>
          <w:p w:rsidR="00964383" w:rsidRPr="00816657" w:rsidRDefault="00964383"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Quantities are relatively stable</w:t>
            </w:r>
          </w:p>
        </w:tc>
        <w:tc>
          <w:tcPr>
            <w:tcW w:w="1250" w:type="pct"/>
            <w:vMerge w:val="restart"/>
            <w:tcBorders>
              <w:top w:val="single" w:sz="4" w:space="0" w:color="7F7F7F" w:themeColor="background2"/>
            </w:tcBorders>
          </w:tcPr>
          <w:p w:rsidR="00964383" w:rsidRPr="00816657" w:rsidRDefault="00964383" w:rsidP="00C858B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a range: NC &amp; SRU (2014) estimate - fall due to manufacturing decline</w:t>
            </w:r>
          </w:p>
        </w:tc>
      </w:tr>
      <w:tr w:rsidR="00964383" w:rsidRPr="00816657" w:rsidTr="00343BBB">
        <w:trPr>
          <w:trHeight w:val="829"/>
        </w:trPr>
        <w:tc>
          <w:tcPr>
            <w:cnfStyle w:val="001000000000"/>
            <w:tcW w:w="1250" w:type="pct"/>
            <w:vMerge/>
          </w:tcPr>
          <w:p w:rsidR="00964383" w:rsidRPr="00816657" w:rsidRDefault="00964383" w:rsidP="00C858B8">
            <w:pPr>
              <w:spacing w:line="240" w:lineRule="auto"/>
              <w:rPr>
                <w:rFonts w:cs="Times New Roman"/>
                <w:color w:val="000000"/>
                <w:szCs w:val="20"/>
                <w:lang w:eastAsia="en-AU"/>
              </w:rPr>
            </w:pPr>
          </w:p>
        </w:tc>
        <w:tc>
          <w:tcPr>
            <w:tcW w:w="1250" w:type="pct"/>
            <w:vMerge/>
          </w:tcPr>
          <w:p w:rsidR="00964383" w:rsidRPr="00816657" w:rsidRDefault="00964383" w:rsidP="00EA7F18">
            <w:pPr>
              <w:pStyle w:val="BodyText"/>
              <w:cnfStyle w:val="000000000000"/>
              <w:rPr>
                <w:rFonts w:cs="Times New Roman"/>
                <w:color w:val="000000"/>
                <w:sz w:val="20"/>
                <w:szCs w:val="20"/>
                <w:lang w:eastAsia="en-AU"/>
              </w:rPr>
            </w:pPr>
          </w:p>
        </w:tc>
        <w:tc>
          <w:tcPr>
            <w:tcW w:w="1250" w:type="pct"/>
            <w:tcBorders>
              <w:top w:val="nil"/>
              <w:bottom w:val="nil"/>
            </w:tcBorders>
          </w:tcPr>
          <w:p w:rsidR="00964383" w:rsidRPr="00816657" w:rsidRDefault="00964383"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Vehicle manufacturing to close</w:t>
            </w:r>
          </w:p>
        </w:tc>
        <w:tc>
          <w:tcPr>
            <w:tcW w:w="1250" w:type="pct"/>
            <w:vMerge/>
          </w:tcPr>
          <w:p w:rsidR="00964383" w:rsidRPr="00816657" w:rsidRDefault="00964383" w:rsidP="00EA7F18">
            <w:pPr>
              <w:pStyle w:val="BodyText"/>
              <w:cnfStyle w:val="000000000000"/>
              <w:rPr>
                <w:rFonts w:cs="Times New Roman"/>
                <w:color w:val="000000"/>
                <w:sz w:val="20"/>
                <w:szCs w:val="20"/>
                <w:lang w:eastAsia="en-AU"/>
              </w:rPr>
            </w:pPr>
          </w:p>
        </w:tc>
      </w:tr>
      <w:tr w:rsidR="00964383" w:rsidRPr="00816657" w:rsidTr="00343BBB">
        <w:trPr>
          <w:trHeight w:val="829"/>
        </w:trPr>
        <w:tc>
          <w:tcPr>
            <w:cnfStyle w:val="001000000000"/>
            <w:tcW w:w="1250" w:type="pct"/>
            <w:vMerge/>
          </w:tcPr>
          <w:p w:rsidR="00964383" w:rsidRPr="00816657" w:rsidRDefault="00964383" w:rsidP="00C858B8">
            <w:pPr>
              <w:spacing w:line="240" w:lineRule="auto"/>
              <w:rPr>
                <w:rFonts w:cs="Times New Roman"/>
                <w:color w:val="000000"/>
                <w:szCs w:val="20"/>
                <w:lang w:eastAsia="en-AU"/>
              </w:rPr>
            </w:pPr>
          </w:p>
        </w:tc>
        <w:tc>
          <w:tcPr>
            <w:tcW w:w="1250" w:type="pct"/>
            <w:vMerge/>
          </w:tcPr>
          <w:p w:rsidR="00964383" w:rsidRPr="00816657" w:rsidRDefault="00964383" w:rsidP="00EA7F18">
            <w:pPr>
              <w:pStyle w:val="BodyText"/>
              <w:cnfStyle w:val="000000000000"/>
              <w:rPr>
                <w:rFonts w:cs="Times New Roman"/>
                <w:color w:val="000000"/>
                <w:sz w:val="20"/>
                <w:szCs w:val="20"/>
                <w:lang w:eastAsia="en-AU"/>
              </w:rPr>
            </w:pPr>
          </w:p>
        </w:tc>
        <w:tc>
          <w:tcPr>
            <w:tcW w:w="1250" w:type="pct"/>
            <w:tcBorders>
              <w:top w:val="nil"/>
              <w:bottom w:val="nil"/>
            </w:tcBorders>
          </w:tcPr>
          <w:p w:rsidR="00964383" w:rsidRPr="00816657" w:rsidRDefault="00964383" w:rsidP="00EA7F18">
            <w:pPr>
              <w:pStyle w:val="BodyText"/>
              <w:cnfStyle w:val="000000000000"/>
              <w:rPr>
                <w:rFonts w:cs="Times New Roman"/>
                <w:color w:val="000000"/>
                <w:sz w:val="20"/>
                <w:szCs w:val="20"/>
                <w:lang w:eastAsia="en-AU"/>
              </w:rPr>
            </w:pPr>
          </w:p>
        </w:tc>
        <w:tc>
          <w:tcPr>
            <w:tcW w:w="1250" w:type="pct"/>
            <w:vMerge/>
          </w:tcPr>
          <w:p w:rsidR="00964383" w:rsidRPr="00816657" w:rsidRDefault="00964383" w:rsidP="00EA7F18">
            <w:pPr>
              <w:pStyle w:val="BodyText"/>
              <w:cnfStyle w:val="000000000000"/>
              <w:rPr>
                <w:rFonts w:cs="Times New Roman"/>
                <w:color w:val="000000"/>
                <w:sz w:val="20"/>
                <w:szCs w:val="20"/>
                <w:lang w:eastAsia="en-AU"/>
              </w:rPr>
            </w:pPr>
          </w:p>
        </w:tc>
      </w:tr>
      <w:tr w:rsidR="00964383" w:rsidRPr="00816657" w:rsidTr="00C858B8">
        <w:tc>
          <w:tcPr>
            <w:cnfStyle w:val="001000000000"/>
            <w:tcW w:w="1250" w:type="pct"/>
            <w:vMerge/>
          </w:tcPr>
          <w:p w:rsidR="00964383" w:rsidRPr="00816657" w:rsidRDefault="00964383" w:rsidP="00C858B8">
            <w:pPr>
              <w:spacing w:line="240" w:lineRule="auto"/>
              <w:rPr>
                <w:rFonts w:cs="Times New Roman"/>
                <w:color w:val="000000"/>
                <w:szCs w:val="20"/>
                <w:lang w:eastAsia="en-AU"/>
              </w:rPr>
            </w:pPr>
          </w:p>
        </w:tc>
        <w:tc>
          <w:tcPr>
            <w:tcW w:w="1250" w:type="pct"/>
          </w:tcPr>
          <w:p w:rsidR="00964383" w:rsidRPr="00816657" w:rsidRDefault="00964383" w:rsidP="00C858B8">
            <w:pPr>
              <w:spacing w:line="240" w:lineRule="auto"/>
              <w:cnfStyle w:val="000000000000"/>
              <w:rPr>
                <w:rFonts w:cs="Times New Roman"/>
                <w:color w:val="000000"/>
                <w:szCs w:val="20"/>
                <w:lang w:eastAsia="en-AU"/>
              </w:rPr>
            </w:pPr>
            <w:r w:rsidRPr="00816657">
              <w:rPr>
                <w:rFonts w:cs="Times New Roman"/>
                <w:color w:val="000000"/>
                <w:szCs w:val="20"/>
                <w:lang w:eastAsia="en-AU"/>
              </w:rPr>
              <w:t>Historical data shows general increasing trend however this may have changed from 2012-13</w:t>
            </w:r>
          </w:p>
        </w:tc>
        <w:tc>
          <w:tcPr>
            <w:tcW w:w="1250" w:type="pct"/>
            <w:tcBorders>
              <w:top w:val="nil"/>
            </w:tcBorders>
          </w:tcPr>
          <w:p w:rsidR="00964383" w:rsidRPr="00816657" w:rsidRDefault="00964383" w:rsidP="00C858B8">
            <w:pPr>
              <w:spacing w:line="240" w:lineRule="auto"/>
              <w:cnfStyle w:val="000000000000"/>
              <w:rPr>
                <w:rFonts w:cs="Times New Roman"/>
                <w:color w:val="000000"/>
                <w:szCs w:val="20"/>
                <w:lang w:eastAsia="en-AU"/>
              </w:rPr>
            </w:pPr>
          </w:p>
        </w:tc>
        <w:tc>
          <w:tcPr>
            <w:tcW w:w="1250" w:type="pct"/>
          </w:tcPr>
          <w:p w:rsidR="00964383" w:rsidRPr="00816657" w:rsidRDefault="00964383" w:rsidP="00C858B8">
            <w:pPr>
              <w:spacing w:line="240" w:lineRule="auto"/>
              <w:cnfStyle w:val="000000000000"/>
              <w:rPr>
                <w:rFonts w:cs="Times New Roman"/>
                <w:color w:val="000000"/>
                <w:szCs w:val="20"/>
                <w:lang w:eastAsia="en-AU"/>
              </w:rPr>
            </w:pPr>
          </w:p>
        </w:tc>
      </w:tr>
    </w:tbl>
    <w:p w:rsidR="00C858B8" w:rsidRPr="00816657" w:rsidRDefault="00C858B8" w:rsidP="00376588">
      <w:pPr>
        <w:pStyle w:val="BodyText"/>
        <w:rPr>
          <w:b/>
        </w:rPr>
      </w:pPr>
    </w:p>
    <w:p w:rsidR="00376588" w:rsidRPr="00816657" w:rsidRDefault="00376588" w:rsidP="00655F62">
      <w:pPr>
        <w:pStyle w:val="Figures"/>
      </w:pPr>
      <w:bookmarkStart w:id="139" w:name="_Toc425849301"/>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16</w:t>
      </w:r>
      <w:r w:rsidR="006D07F5" w:rsidRPr="00816657">
        <w:rPr>
          <w:noProof/>
        </w:rPr>
        <w:fldChar w:fldCharType="end"/>
      </w:r>
      <w:r w:rsidRPr="00816657">
        <w:t xml:space="preserve">: </w:t>
      </w:r>
      <w:r w:rsidRPr="00816657">
        <w:tab/>
        <w:t>Best, high and low projected rates of change for paints, resins, inks and organic sludge waste to 2034</w:t>
      </w:r>
      <w:bookmarkEnd w:id="139"/>
    </w:p>
    <w:tbl>
      <w:tblPr>
        <w:tblStyle w:val="BETable1"/>
        <w:tblW w:w="8745" w:type="dxa"/>
        <w:tblLayout w:type="fixed"/>
        <w:tblLook w:val="04A0"/>
      </w:tblPr>
      <w:tblGrid>
        <w:gridCol w:w="1134"/>
        <w:gridCol w:w="1134"/>
        <w:gridCol w:w="4395"/>
        <w:gridCol w:w="803"/>
        <w:gridCol w:w="476"/>
        <w:gridCol w:w="803"/>
      </w:tblGrid>
      <w:tr w:rsidR="00E30CEB" w:rsidRPr="00816657" w:rsidTr="00171242">
        <w:trPr>
          <w:cnfStyle w:val="100000000000"/>
        </w:trPr>
        <w:tc>
          <w:tcPr>
            <w:cnfStyle w:val="001000000000"/>
            <w:tcW w:w="1134" w:type="dxa"/>
          </w:tcPr>
          <w:p w:rsidR="00E30CEB" w:rsidRPr="00816657" w:rsidRDefault="00E30CEB" w:rsidP="00DF2118"/>
        </w:tc>
        <w:tc>
          <w:tcPr>
            <w:tcW w:w="1134" w:type="dxa"/>
          </w:tcPr>
          <w:p w:rsidR="00E30CEB" w:rsidRPr="00816657" w:rsidRDefault="00E30CEB" w:rsidP="00DF2118">
            <w:pPr>
              <w:cnfStyle w:val="100000000000"/>
            </w:pPr>
            <w:r w:rsidRPr="00816657">
              <w:t>Applies to</w:t>
            </w:r>
          </w:p>
        </w:tc>
        <w:tc>
          <w:tcPr>
            <w:tcW w:w="4395" w:type="dxa"/>
          </w:tcPr>
          <w:p w:rsidR="00E30CEB" w:rsidRPr="00816657" w:rsidRDefault="00E30CEB" w:rsidP="00DF2118">
            <w:pPr>
              <w:cnfStyle w:val="100000000000"/>
            </w:pPr>
            <w:r w:rsidRPr="00816657">
              <w:t>Approach</w:t>
            </w:r>
          </w:p>
        </w:tc>
        <w:tc>
          <w:tcPr>
            <w:tcW w:w="803" w:type="dxa"/>
          </w:tcPr>
          <w:p w:rsidR="00E30CEB" w:rsidRPr="00816657" w:rsidRDefault="00E30CEB" w:rsidP="00DF1E42">
            <w:pPr>
              <w:jc w:val="right"/>
              <w:cnfStyle w:val="100000000000"/>
            </w:pPr>
            <w:r w:rsidRPr="00816657">
              <w:t>2014</w:t>
            </w:r>
          </w:p>
        </w:tc>
        <w:tc>
          <w:tcPr>
            <w:tcW w:w="476" w:type="dxa"/>
          </w:tcPr>
          <w:p w:rsidR="00E30CEB" w:rsidRPr="00816657" w:rsidRDefault="00E30CEB" w:rsidP="00DF1E42">
            <w:pPr>
              <w:jc w:val="right"/>
              <w:cnfStyle w:val="100000000000"/>
            </w:pPr>
            <w:r w:rsidRPr="00816657">
              <w:t>...</w:t>
            </w:r>
          </w:p>
        </w:tc>
        <w:tc>
          <w:tcPr>
            <w:tcW w:w="803" w:type="dxa"/>
          </w:tcPr>
          <w:p w:rsidR="00E30CEB" w:rsidRPr="00816657" w:rsidRDefault="00E30CEB" w:rsidP="00DF1E42">
            <w:pPr>
              <w:jc w:val="right"/>
              <w:cnfStyle w:val="100000000000"/>
            </w:pPr>
            <w:r w:rsidRPr="00816657">
              <w:t>2034</w:t>
            </w:r>
          </w:p>
        </w:tc>
      </w:tr>
      <w:tr w:rsidR="00E30CEB" w:rsidRPr="00816657" w:rsidTr="00171242">
        <w:tc>
          <w:tcPr>
            <w:cnfStyle w:val="001000000000"/>
            <w:tcW w:w="1134" w:type="dxa"/>
          </w:tcPr>
          <w:p w:rsidR="00E30CEB" w:rsidRPr="00816657" w:rsidRDefault="00E30CEB" w:rsidP="00DF2118">
            <w:r w:rsidRPr="00816657">
              <w:t>Best</w:t>
            </w:r>
          </w:p>
        </w:tc>
        <w:tc>
          <w:tcPr>
            <w:tcW w:w="1134" w:type="dxa"/>
            <w:vMerge w:val="restart"/>
            <w:vAlign w:val="center"/>
          </w:tcPr>
          <w:p w:rsidR="00E30CEB" w:rsidRPr="00816657" w:rsidRDefault="00E30CEB" w:rsidP="00DF2118">
            <w:pPr>
              <w:cnfStyle w:val="000000000000"/>
            </w:pPr>
            <w:r w:rsidRPr="00816657">
              <w:t>ACT, NSW, NT, Qld, SA, Tas, Vic, WA</w:t>
            </w:r>
          </w:p>
        </w:tc>
        <w:tc>
          <w:tcPr>
            <w:tcW w:w="4395" w:type="dxa"/>
          </w:tcPr>
          <w:p w:rsidR="00E30CEB" w:rsidRPr="00816657" w:rsidRDefault="00E30CEB" w:rsidP="00DF2118">
            <w:pPr>
              <w:cnfStyle w:val="000000000000"/>
            </w:pPr>
            <w:r w:rsidRPr="00816657">
              <w:t>Population growth</w:t>
            </w:r>
          </w:p>
        </w:tc>
        <w:tc>
          <w:tcPr>
            <w:tcW w:w="803" w:type="dxa"/>
          </w:tcPr>
          <w:p w:rsidR="00E30CEB" w:rsidRPr="00816657" w:rsidRDefault="00E30CEB" w:rsidP="00DF1E42">
            <w:pPr>
              <w:jc w:val="right"/>
              <w:cnfStyle w:val="000000000000"/>
            </w:pPr>
            <w:r w:rsidRPr="00816657">
              <w:t>1.5%</w:t>
            </w:r>
          </w:p>
        </w:tc>
        <w:tc>
          <w:tcPr>
            <w:tcW w:w="476" w:type="dxa"/>
          </w:tcPr>
          <w:p w:rsidR="00E30CEB" w:rsidRPr="00816657" w:rsidRDefault="00E30CEB" w:rsidP="00DF1E42">
            <w:pPr>
              <w:jc w:val="right"/>
              <w:cnfStyle w:val="000000000000"/>
            </w:pPr>
            <w:r w:rsidRPr="00816657">
              <w:t>...</w:t>
            </w:r>
          </w:p>
        </w:tc>
        <w:tc>
          <w:tcPr>
            <w:tcW w:w="803" w:type="dxa"/>
          </w:tcPr>
          <w:p w:rsidR="00E30CEB" w:rsidRPr="00816657" w:rsidRDefault="00E30CEB" w:rsidP="00DF1E42">
            <w:pPr>
              <w:jc w:val="right"/>
              <w:cnfStyle w:val="000000000000"/>
            </w:pPr>
            <w:r w:rsidRPr="00816657">
              <w:t>1.5%</w:t>
            </w:r>
          </w:p>
        </w:tc>
      </w:tr>
      <w:tr w:rsidR="00E30CEB" w:rsidRPr="00816657" w:rsidTr="00171242">
        <w:tc>
          <w:tcPr>
            <w:cnfStyle w:val="001000000000"/>
            <w:tcW w:w="1134" w:type="dxa"/>
          </w:tcPr>
          <w:p w:rsidR="00E30CEB" w:rsidRPr="00816657" w:rsidRDefault="00E30CEB" w:rsidP="00DF2118">
            <w:r w:rsidRPr="00816657">
              <w:t>High</w:t>
            </w:r>
          </w:p>
        </w:tc>
        <w:tc>
          <w:tcPr>
            <w:tcW w:w="1134" w:type="dxa"/>
            <w:vMerge/>
            <w:vAlign w:val="center"/>
          </w:tcPr>
          <w:p w:rsidR="00E30CEB" w:rsidRPr="00816657" w:rsidRDefault="00E30CEB" w:rsidP="00DF2118">
            <w:pPr>
              <w:cnfStyle w:val="000000000000"/>
            </w:pPr>
          </w:p>
        </w:tc>
        <w:tc>
          <w:tcPr>
            <w:tcW w:w="4395" w:type="dxa"/>
          </w:tcPr>
          <w:p w:rsidR="00E30CEB" w:rsidRPr="00816657" w:rsidRDefault="00E30CEB" w:rsidP="00DF2118">
            <w:pPr>
              <w:cnfStyle w:val="000000000000"/>
            </w:pPr>
            <w:r w:rsidRPr="00816657">
              <w:t>NC &amp; SRU (2014) projection</w:t>
            </w:r>
          </w:p>
        </w:tc>
        <w:tc>
          <w:tcPr>
            <w:tcW w:w="803" w:type="dxa"/>
          </w:tcPr>
          <w:p w:rsidR="00E30CEB" w:rsidRPr="00816657" w:rsidRDefault="00E30CEB" w:rsidP="00DF1E42">
            <w:pPr>
              <w:jc w:val="right"/>
              <w:cnfStyle w:val="000000000000"/>
            </w:pPr>
            <w:r w:rsidRPr="00816657">
              <w:t>3.8%</w:t>
            </w:r>
          </w:p>
        </w:tc>
        <w:tc>
          <w:tcPr>
            <w:tcW w:w="476" w:type="dxa"/>
          </w:tcPr>
          <w:p w:rsidR="00E30CEB" w:rsidRPr="00816657" w:rsidRDefault="00E30CEB" w:rsidP="00DF1E42">
            <w:pPr>
              <w:jc w:val="right"/>
              <w:cnfStyle w:val="000000000000"/>
            </w:pPr>
            <w:r w:rsidRPr="00816657">
              <w:t>...</w:t>
            </w:r>
          </w:p>
        </w:tc>
        <w:tc>
          <w:tcPr>
            <w:tcW w:w="803" w:type="dxa"/>
          </w:tcPr>
          <w:p w:rsidR="00E30CEB" w:rsidRPr="00816657" w:rsidRDefault="00E30CEB" w:rsidP="00DF1E42">
            <w:pPr>
              <w:jc w:val="right"/>
              <w:cnfStyle w:val="000000000000"/>
            </w:pPr>
            <w:r w:rsidRPr="00816657">
              <w:t>3.8%</w:t>
            </w:r>
          </w:p>
        </w:tc>
      </w:tr>
      <w:tr w:rsidR="00E30CEB" w:rsidRPr="00816657" w:rsidTr="00171242">
        <w:tc>
          <w:tcPr>
            <w:cnfStyle w:val="001000000000"/>
            <w:tcW w:w="1134" w:type="dxa"/>
          </w:tcPr>
          <w:p w:rsidR="00E30CEB" w:rsidRPr="00816657" w:rsidRDefault="00E30CEB" w:rsidP="00DF2118">
            <w:r w:rsidRPr="00816657">
              <w:t>Low</w:t>
            </w:r>
          </w:p>
        </w:tc>
        <w:tc>
          <w:tcPr>
            <w:tcW w:w="1134" w:type="dxa"/>
            <w:vMerge/>
            <w:vAlign w:val="center"/>
          </w:tcPr>
          <w:p w:rsidR="00E30CEB" w:rsidRPr="00816657" w:rsidRDefault="00E30CEB" w:rsidP="00DF2118">
            <w:pPr>
              <w:cnfStyle w:val="000000000000"/>
            </w:pPr>
          </w:p>
        </w:tc>
        <w:tc>
          <w:tcPr>
            <w:tcW w:w="4395" w:type="dxa"/>
          </w:tcPr>
          <w:p w:rsidR="00E30CEB" w:rsidRPr="00816657" w:rsidRDefault="00E30CEB" w:rsidP="00DF2118">
            <w:pPr>
              <w:cnfStyle w:val="000000000000"/>
            </w:pPr>
            <w:r w:rsidRPr="00816657">
              <w:t>Best estimate of annual rate of change - 2%</w:t>
            </w:r>
          </w:p>
        </w:tc>
        <w:tc>
          <w:tcPr>
            <w:tcW w:w="803" w:type="dxa"/>
          </w:tcPr>
          <w:p w:rsidR="00E30CEB" w:rsidRPr="00816657" w:rsidRDefault="00E30CEB" w:rsidP="00DF1E42">
            <w:pPr>
              <w:jc w:val="right"/>
              <w:cnfStyle w:val="000000000000"/>
            </w:pPr>
            <w:r w:rsidRPr="00816657">
              <w:t>-0.5%</w:t>
            </w:r>
          </w:p>
        </w:tc>
        <w:tc>
          <w:tcPr>
            <w:tcW w:w="476" w:type="dxa"/>
          </w:tcPr>
          <w:p w:rsidR="00E30CEB" w:rsidRPr="00816657" w:rsidRDefault="00E30CEB" w:rsidP="00DF1E42">
            <w:pPr>
              <w:jc w:val="right"/>
              <w:cnfStyle w:val="000000000000"/>
            </w:pPr>
            <w:r w:rsidRPr="00816657">
              <w:t>...</w:t>
            </w:r>
          </w:p>
        </w:tc>
        <w:tc>
          <w:tcPr>
            <w:tcW w:w="803" w:type="dxa"/>
          </w:tcPr>
          <w:p w:rsidR="00E30CEB" w:rsidRPr="00816657" w:rsidRDefault="00E30CEB" w:rsidP="00DF1E42">
            <w:pPr>
              <w:jc w:val="right"/>
              <w:cnfStyle w:val="000000000000"/>
            </w:pPr>
            <w:r w:rsidRPr="00816657">
              <w:t>-0.5%</w:t>
            </w:r>
          </w:p>
        </w:tc>
      </w:tr>
    </w:tbl>
    <w:p w:rsidR="00343BBB" w:rsidRPr="00816657" w:rsidRDefault="00343BBB" w:rsidP="00655F62">
      <w:pPr>
        <w:pStyle w:val="Figures"/>
      </w:pPr>
    </w:p>
    <w:p w:rsidR="00877CF8" w:rsidRPr="00816657" w:rsidRDefault="00877CF8" w:rsidP="00655F62">
      <w:pPr>
        <w:pStyle w:val="Figures"/>
      </w:pPr>
      <w:bookmarkStart w:id="140" w:name="_Toc425849231"/>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13</w:t>
      </w:r>
      <w:r w:rsidR="006D07F5" w:rsidRPr="00816657">
        <w:rPr>
          <w:noProof/>
        </w:rPr>
        <w:fldChar w:fldCharType="end"/>
      </w:r>
      <w:r w:rsidRPr="00816657">
        <w:t xml:space="preserve">: </w:t>
      </w:r>
      <w:r w:rsidRPr="00816657">
        <w:tab/>
        <w:t>Best, high and low national projection estimates of paints, resins, inks and organic sludge waste to 2034</w:t>
      </w:r>
      <w:bookmarkEnd w:id="140"/>
    </w:p>
    <w:p w:rsidR="00C663EA" w:rsidRPr="00816657" w:rsidRDefault="00C05ED6">
      <w:pPr>
        <w:spacing w:line="240" w:lineRule="auto"/>
        <w:rPr>
          <w:rFonts w:ascii="Arial Rounded MT Bold" w:hAnsi="Arial Rounded MT Bold" w:cs="Arial"/>
          <w:color w:val="0000FF"/>
          <w:sz w:val="36"/>
          <w:szCs w:val="36"/>
        </w:rPr>
      </w:pPr>
      <w:r w:rsidRPr="00C05ED6">
        <w:rPr>
          <w:noProof/>
          <w:lang w:eastAsia="en-AU"/>
        </w:rPr>
        <w:drawing>
          <wp:inline distT="0" distB="0" distL="0" distR="0">
            <wp:extent cx="5533334" cy="2228572"/>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533334" cy="2228572"/>
                    </a:xfrm>
                    <a:prstGeom prst="rect">
                      <a:avLst/>
                    </a:prstGeom>
                  </pic:spPr>
                </pic:pic>
              </a:graphicData>
            </a:graphic>
          </wp:inline>
        </w:drawing>
      </w:r>
      <w:r w:rsidR="00C663EA" w:rsidRPr="00816657">
        <w:br w:type="page"/>
      </w:r>
    </w:p>
    <w:p w:rsidR="00D92260" w:rsidRPr="00816657" w:rsidRDefault="00D92260" w:rsidP="005D6078">
      <w:pPr>
        <w:pStyle w:val="Heading3"/>
      </w:pPr>
      <w:r w:rsidRPr="00816657">
        <w:lastRenderedPageBreak/>
        <w:t xml:space="preserve">G. Organic solvents </w:t>
      </w:r>
    </w:p>
    <w:p w:rsidR="003E4F62" w:rsidRDefault="0017374C" w:rsidP="0017374C">
      <w:pPr>
        <w:pStyle w:val="BodyText"/>
      </w:pPr>
      <w:r>
        <w:t xml:space="preserve">This waste group includes: </w:t>
      </w:r>
    </w:p>
    <w:p w:rsidR="003E4F62" w:rsidRPr="003E4F62" w:rsidRDefault="003E4F62" w:rsidP="003E4F62">
      <w:pPr>
        <w:pStyle w:val="BodyText"/>
        <w:rPr>
          <w:i/>
        </w:rPr>
      </w:pPr>
      <w:r w:rsidRPr="003E4F62">
        <w:rPr>
          <w:i/>
        </w:rPr>
        <w:t>•</w:t>
      </w:r>
      <w:r w:rsidRPr="003E4F62">
        <w:rPr>
          <w:i/>
        </w:rPr>
        <w:tab/>
        <w:t>G100 ethers</w:t>
      </w:r>
    </w:p>
    <w:p w:rsidR="003E4F62" w:rsidRPr="003E4F62" w:rsidRDefault="003E4F62" w:rsidP="003E4F62">
      <w:pPr>
        <w:pStyle w:val="BodyText"/>
        <w:rPr>
          <w:i/>
        </w:rPr>
      </w:pPr>
      <w:r w:rsidRPr="003E4F62">
        <w:rPr>
          <w:i/>
        </w:rPr>
        <w:t>•</w:t>
      </w:r>
      <w:r w:rsidRPr="003E4F62">
        <w:rPr>
          <w:i/>
        </w:rPr>
        <w:tab/>
        <w:t>G110 organic solvents excluding halogenated solvents</w:t>
      </w:r>
    </w:p>
    <w:p w:rsidR="003E4F62" w:rsidRPr="003E4F62" w:rsidRDefault="003E4F62" w:rsidP="003E4F62">
      <w:pPr>
        <w:pStyle w:val="BodyText"/>
        <w:rPr>
          <w:i/>
        </w:rPr>
      </w:pPr>
      <w:r w:rsidRPr="003E4F62">
        <w:rPr>
          <w:i/>
        </w:rPr>
        <w:t>•</w:t>
      </w:r>
      <w:r w:rsidRPr="003E4F62">
        <w:rPr>
          <w:i/>
        </w:rPr>
        <w:tab/>
        <w:t>G150 halogenated organic solvents</w:t>
      </w:r>
    </w:p>
    <w:p w:rsidR="0017374C" w:rsidRPr="007F5BD4" w:rsidRDefault="003E4F62" w:rsidP="003E4F62">
      <w:pPr>
        <w:pStyle w:val="BodyText"/>
        <w:rPr>
          <w:i/>
        </w:rPr>
      </w:pPr>
      <w:r w:rsidRPr="003E4F62">
        <w:rPr>
          <w:i/>
        </w:rPr>
        <w:t>•</w:t>
      </w:r>
      <w:r w:rsidRPr="003E4F62">
        <w:rPr>
          <w:i/>
        </w:rPr>
        <w:tab/>
        <w:t xml:space="preserve">G160 waste from the production, formulation and use of organic solvents. </w:t>
      </w:r>
    </w:p>
    <w:p w:rsidR="003E4F62" w:rsidRDefault="003E4F62" w:rsidP="0017374C">
      <w:pPr>
        <w:pStyle w:val="BodyText"/>
      </w:pPr>
    </w:p>
    <w:p w:rsidR="00964383" w:rsidRDefault="0017374C" w:rsidP="0017374C">
      <w:pPr>
        <w:pStyle w:val="BodyText"/>
      </w:pPr>
      <w:r>
        <w:t>Solvents have three principal areas of use; as cleaning agents, as a raw material or feedstock in the production and manufacture of other substances, and as a carrying and/or dispersion medium in chemical synthetic processes. They are often distinguished on the basis of halogenation in their chemical structure, with halogenated organic solvents more of a health and environmental concern than non-halogenated organic solvents. As a result, both usage and waste from halogenated organic solvents tend to be declining in favour of non-halogenated alternatives.</w:t>
      </w:r>
    </w:p>
    <w:p w:rsidR="0017374C" w:rsidRPr="00816657" w:rsidRDefault="0017374C" w:rsidP="0017374C">
      <w:pPr>
        <w:pStyle w:val="BodyText"/>
      </w:pPr>
    </w:p>
    <w:p w:rsidR="00C858B8" w:rsidRPr="00816657" w:rsidRDefault="00C858B8" w:rsidP="00C858B8">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3213"/>
        <w:gridCol w:w="3213"/>
        <w:gridCol w:w="3214"/>
      </w:tblGrid>
      <w:tr w:rsidR="00964383" w:rsidRPr="00816657" w:rsidTr="00964383">
        <w:trPr>
          <w:cnfStyle w:val="100000000000"/>
        </w:trPr>
        <w:tc>
          <w:tcPr>
            <w:cnfStyle w:val="001000000000"/>
            <w:tcW w:w="1666" w:type="pct"/>
            <w:tcBorders>
              <w:bottom w:val="single" w:sz="4" w:space="0" w:color="7F7F7F" w:themeColor="background2"/>
            </w:tcBorders>
          </w:tcPr>
          <w:p w:rsidR="00964383" w:rsidRPr="00816657" w:rsidRDefault="00964383" w:rsidP="00BC3BD0">
            <w:pPr>
              <w:pStyle w:val="BodyText"/>
              <w:rPr>
                <w:sz w:val="20"/>
                <w:szCs w:val="20"/>
              </w:rPr>
            </w:pPr>
            <w:r w:rsidRPr="00816657">
              <w:rPr>
                <w:sz w:val="20"/>
                <w:szCs w:val="20"/>
              </w:rPr>
              <w:t>Industry sources</w:t>
            </w:r>
          </w:p>
        </w:tc>
        <w:tc>
          <w:tcPr>
            <w:tcW w:w="1666" w:type="pct"/>
            <w:tcBorders>
              <w:bottom w:val="single" w:sz="4" w:space="0" w:color="7F7F7F" w:themeColor="background2"/>
            </w:tcBorders>
          </w:tcPr>
          <w:p w:rsidR="00964383" w:rsidRPr="00816657" w:rsidRDefault="00964383" w:rsidP="00EA7F18">
            <w:pPr>
              <w:pStyle w:val="BodyText"/>
              <w:cnfStyle w:val="100000000000"/>
              <w:rPr>
                <w:sz w:val="20"/>
                <w:szCs w:val="20"/>
              </w:rPr>
            </w:pPr>
            <w:r w:rsidRPr="00816657">
              <w:rPr>
                <w:sz w:val="20"/>
                <w:szCs w:val="20"/>
              </w:rPr>
              <w:t>Considerations</w:t>
            </w:r>
          </w:p>
        </w:tc>
        <w:tc>
          <w:tcPr>
            <w:tcW w:w="1667" w:type="pct"/>
            <w:tcBorders>
              <w:bottom w:val="single" w:sz="4" w:space="0" w:color="7F7F7F" w:themeColor="background2"/>
            </w:tcBorders>
          </w:tcPr>
          <w:p w:rsidR="00964383" w:rsidRPr="00816657" w:rsidRDefault="00964383" w:rsidP="00EA7F18">
            <w:pPr>
              <w:pStyle w:val="BodyText"/>
              <w:cnfStyle w:val="100000000000"/>
              <w:rPr>
                <w:sz w:val="20"/>
                <w:szCs w:val="20"/>
              </w:rPr>
            </w:pPr>
            <w:r w:rsidRPr="00816657">
              <w:rPr>
                <w:sz w:val="20"/>
                <w:szCs w:val="20"/>
              </w:rPr>
              <w:t>Approach</w:t>
            </w:r>
          </w:p>
        </w:tc>
      </w:tr>
      <w:tr w:rsidR="00964383" w:rsidRPr="00816657" w:rsidTr="00964383">
        <w:tc>
          <w:tcPr>
            <w:cnfStyle w:val="001000000000"/>
            <w:tcW w:w="1666" w:type="pct"/>
            <w:vMerge w:val="restart"/>
            <w:tcBorders>
              <w:top w:val="single" w:sz="4" w:space="0" w:color="7F7F7F" w:themeColor="background2"/>
            </w:tcBorders>
          </w:tcPr>
          <w:p w:rsidR="0017374C" w:rsidRPr="007F5BD4" w:rsidRDefault="0017374C" w:rsidP="007F5BD4">
            <w:pPr>
              <w:pStyle w:val="ListParagraph"/>
              <w:numPr>
                <w:ilvl w:val="0"/>
                <w:numId w:val="55"/>
              </w:numPr>
              <w:spacing w:line="240" w:lineRule="auto"/>
              <w:ind w:left="426"/>
              <w:rPr>
                <w:rFonts w:cs="Times New Roman"/>
                <w:color w:val="000000"/>
                <w:szCs w:val="20"/>
                <w:lang w:eastAsia="en-AU"/>
              </w:rPr>
            </w:pPr>
            <w:r w:rsidRPr="007F5BD4">
              <w:rPr>
                <w:rFonts w:cs="Times New Roman"/>
                <w:color w:val="000000"/>
                <w:szCs w:val="20"/>
                <w:lang w:eastAsia="en-AU"/>
              </w:rPr>
              <w:t>Fertiliser manufacturing</w:t>
            </w:r>
          </w:p>
          <w:p w:rsidR="0017374C" w:rsidRPr="007F5BD4" w:rsidRDefault="0017374C" w:rsidP="007F5BD4">
            <w:pPr>
              <w:pStyle w:val="ListParagraph"/>
              <w:numPr>
                <w:ilvl w:val="0"/>
                <w:numId w:val="55"/>
              </w:numPr>
              <w:spacing w:line="240" w:lineRule="auto"/>
              <w:ind w:left="426"/>
              <w:rPr>
                <w:rFonts w:cs="Times New Roman"/>
                <w:color w:val="000000"/>
                <w:szCs w:val="20"/>
                <w:lang w:eastAsia="en-AU"/>
              </w:rPr>
            </w:pPr>
            <w:r w:rsidRPr="007F5BD4">
              <w:rPr>
                <w:rFonts w:cs="Times New Roman"/>
                <w:color w:val="000000"/>
                <w:szCs w:val="20"/>
                <w:lang w:eastAsia="en-AU"/>
              </w:rPr>
              <w:t>Agrichemical formulation</w:t>
            </w:r>
          </w:p>
          <w:p w:rsidR="0017374C" w:rsidRPr="007F5BD4" w:rsidRDefault="0017374C" w:rsidP="007F5BD4">
            <w:pPr>
              <w:pStyle w:val="ListParagraph"/>
              <w:numPr>
                <w:ilvl w:val="0"/>
                <w:numId w:val="55"/>
              </w:numPr>
              <w:spacing w:line="240" w:lineRule="auto"/>
              <w:ind w:left="426"/>
              <w:rPr>
                <w:rFonts w:cs="Times New Roman"/>
                <w:color w:val="000000"/>
                <w:szCs w:val="20"/>
                <w:lang w:eastAsia="en-AU"/>
              </w:rPr>
            </w:pPr>
            <w:r w:rsidRPr="007F5BD4">
              <w:rPr>
                <w:rFonts w:cs="Times New Roman"/>
                <w:color w:val="000000"/>
                <w:szCs w:val="20"/>
                <w:lang w:eastAsia="en-AU"/>
              </w:rPr>
              <w:t>Chemical and chemical product manufacturing</w:t>
            </w:r>
          </w:p>
          <w:p w:rsidR="0017374C" w:rsidRPr="007F5BD4" w:rsidRDefault="0017374C" w:rsidP="007F5BD4">
            <w:pPr>
              <w:pStyle w:val="ListParagraph"/>
              <w:numPr>
                <w:ilvl w:val="0"/>
                <w:numId w:val="55"/>
              </w:numPr>
              <w:spacing w:line="240" w:lineRule="auto"/>
              <w:ind w:left="426"/>
              <w:rPr>
                <w:rFonts w:cs="Times New Roman"/>
                <w:color w:val="000000"/>
                <w:szCs w:val="20"/>
                <w:lang w:eastAsia="en-AU"/>
              </w:rPr>
            </w:pPr>
            <w:r w:rsidRPr="007F5BD4">
              <w:rPr>
                <w:rFonts w:cs="Times New Roman"/>
                <w:color w:val="000000"/>
                <w:szCs w:val="20"/>
                <w:lang w:eastAsia="en-AU"/>
              </w:rPr>
              <w:t>Oil and gas extraction</w:t>
            </w:r>
          </w:p>
          <w:p w:rsidR="0017374C" w:rsidRPr="007F5BD4" w:rsidRDefault="0017374C" w:rsidP="007F5BD4">
            <w:pPr>
              <w:pStyle w:val="ListParagraph"/>
              <w:numPr>
                <w:ilvl w:val="0"/>
                <w:numId w:val="55"/>
              </w:numPr>
              <w:spacing w:line="240" w:lineRule="auto"/>
              <w:ind w:left="426"/>
              <w:rPr>
                <w:rFonts w:cs="Times New Roman"/>
                <w:color w:val="000000"/>
                <w:szCs w:val="20"/>
                <w:lang w:eastAsia="en-AU"/>
              </w:rPr>
            </w:pPr>
            <w:r w:rsidRPr="007F5BD4">
              <w:rPr>
                <w:rFonts w:cs="Times New Roman"/>
                <w:color w:val="000000"/>
                <w:szCs w:val="20"/>
                <w:lang w:eastAsia="en-AU"/>
              </w:rPr>
              <w:t>Printing</w:t>
            </w:r>
          </w:p>
          <w:p w:rsidR="0017374C" w:rsidRPr="007F5BD4" w:rsidRDefault="0017374C" w:rsidP="007F5BD4">
            <w:pPr>
              <w:pStyle w:val="ListParagraph"/>
              <w:numPr>
                <w:ilvl w:val="0"/>
                <w:numId w:val="55"/>
              </w:numPr>
              <w:spacing w:line="240" w:lineRule="auto"/>
              <w:ind w:left="426"/>
              <w:rPr>
                <w:rFonts w:cs="Times New Roman"/>
                <w:color w:val="000000"/>
                <w:szCs w:val="20"/>
                <w:lang w:eastAsia="en-AU"/>
              </w:rPr>
            </w:pPr>
            <w:r w:rsidRPr="007F5BD4">
              <w:rPr>
                <w:rFonts w:cs="Times New Roman"/>
                <w:color w:val="000000"/>
                <w:szCs w:val="20"/>
                <w:lang w:eastAsia="en-AU"/>
              </w:rPr>
              <w:t>Motor vehicle manufacturing</w:t>
            </w:r>
          </w:p>
          <w:p w:rsidR="00964383" w:rsidRPr="007F5BD4" w:rsidRDefault="0017374C" w:rsidP="007F5BD4">
            <w:pPr>
              <w:pStyle w:val="ListParagraph"/>
              <w:numPr>
                <w:ilvl w:val="0"/>
                <w:numId w:val="55"/>
              </w:numPr>
              <w:spacing w:line="240" w:lineRule="auto"/>
              <w:ind w:left="426"/>
              <w:rPr>
                <w:rFonts w:cs="Times New Roman"/>
                <w:color w:val="000000"/>
                <w:szCs w:val="20"/>
                <w:lang w:eastAsia="en-AU"/>
              </w:rPr>
            </w:pPr>
            <w:r w:rsidRPr="007F5BD4">
              <w:rPr>
                <w:rFonts w:cs="Times New Roman"/>
                <w:color w:val="000000"/>
                <w:szCs w:val="20"/>
                <w:lang w:eastAsia="en-AU"/>
              </w:rPr>
              <w:t>Dry cleaning</w:t>
            </w:r>
          </w:p>
        </w:tc>
        <w:tc>
          <w:tcPr>
            <w:tcW w:w="1666" w:type="pct"/>
            <w:tcBorders>
              <w:top w:val="single" w:sz="4" w:space="0" w:color="7F7F7F" w:themeColor="background2"/>
            </w:tcBorders>
          </w:tcPr>
          <w:p w:rsidR="00964383" w:rsidRPr="00816657" w:rsidRDefault="00964383" w:rsidP="00BC3BD0">
            <w:pPr>
              <w:pStyle w:val="BodyText"/>
              <w:cnfStyle w:val="000000000000"/>
              <w:rPr>
                <w:sz w:val="20"/>
                <w:szCs w:val="20"/>
              </w:rPr>
            </w:pPr>
            <w:r w:rsidRPr="00816657">
              <w:rPr>
                <w:sz w:val="20"/>
                <w:szCs w:val="20"/>
              </w:rPr>
              <w:t>No sufficiently credible pre-existing projections were identified</w:t>
            </w:r>
          </w:p>
        </w:tc>
        <w:tc>
          <w:tcPr>
            <w:tcW w:w="1667" w:type="pct"/>
            <w:tcBorders>
              <w:top w:val="single" w:sz="4" w:space="0" w:color="7F7F7F" w:themeColor="background2"/>
            </w:tcBorders>
          </w:tcPr>
          <w:p w:rsidR="00964383" w:rsidRPr="00816657" w:rsidRDefault="00964383"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causal analysis</w:t>
            </w:r>
          </w:p>
        </w:tc>
      </w:tr>
      <w:tr w:rsidR="00964383" w:rsidRPr="00816657" w:rsidTr="00964383">
        <w:tc>
          <w:tcPr>
            <w:cnfStyle w:val="001000000000"/>
            <w:tcW w:w="1666" w:type="pct"/>
            <w:vMerge/>
          </w:tcPr>
          <w:p w:rsidR="00964383" w:rsidRPr="00816657" w:rsidRDefault="00964383" w:rsidP="007D4498">
            <w:pPr>
              <w:spacing w:line="240" w:lineRule="auto"/>
              <w:rPr>
                <w:rFonts w:cs="Times New Roman"/>
                <w:color w:val="000000"/>
                <w:szCs w:val="20"/>
                <w:lang w:eastAsia="en-AU"/>
              </w:rPr>
            </w:pPr>
          </w:p>
        </w:tc>
        <w:tc>
          <w:tcPr>
            <w:tcW w:w="1666" w:type="pct"/>
          </w:tcPr>
          <w:p w:rsidR="00964383" w:rsidRPr="00816657" w:rsidRDefault="00964383" w:rsidP="007D4498">
            <w:pPr>
              <w:spacing w:line="240" w:lineRule="auto"/>
              <w:cnfStyle w:val="000000000000"/>
              <w:rPr>
                <w:rFonts w:cs="Times New Roman"/>
                <w:color w:val="000000"/>
                <w:szCs w:val="20"/>
                <w:lang w:eastAsia="en-AU"/>
              </w:rPr>
            </w:pPr>
            <w:r w:rsidRPr="00816657">
              <w:rPr>
                <w:rFonts w:cs="Times New Roman"/>
                <w:color w:val="000000"/>
                <w:szCs w:val="20"/>
                <w:lang w:eastAsia="en-AU"/>
              </w:rPr>
              <w:t>No historical data set exists that is adequate for discerning trends</w:t>
            </w:r>
          </w:p>
        </w:tc>
        <w:tc>
          <w:tcPr>
            <w:tcW w:w="1667" w:type="pct"/>
          </w:tcPr>
          <w:p w:rsidR="00964383" w:rsidRPr="00816657" w:rsidRDefault="00964383" w:rsidP="007D4498">
            <w:pPr>
              <w:spacing w:line="240" w:lineRule="auto"/>
              <w:cnfStyle w:val="000000000000"/>
              <w:rPr>
                <w:rFonts w:cs="Times New Roman"/>
                <w:color w:val="000000"/>
                <w:szCs w:val="20"/>
                <w:lang w:eastAsia="en-AU"/>
              </w:rPr>
            </w:pPr>
          </w:p>
        </w:tc>
      </w:tr>
    </w:tbl>
    <w:p w:rsidR="00C858B8" w:rsidRPr="00816657" w:rsidRDefault="00C858B8" w:rsidP="00376588">
      <w:pPr>
        <w:pStyle w:val="BodyText"/>
        <w:rPr>
          <w:b/>
        </w:rPr>
      </w:pPr>
    </w:p>
    <w:p w:rsidR="00376588" w:rsidRPr="00816657" w:rsidRDefault="00376588" w:rsidP="00655F62">
      <w:pPr>
        <w:pStyle w:val="Figures"/>
      </w:pPr>
      <w:bookmarkStart w:id="141" w:name="_Toc425849302"/>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17</w:t>
      </w:r>
      <w:r w:rsidR="006D07F5" w:rsidRPr="00816657">
        <w:rPr>
          <w:noProof/>
        </w:rPr>
        <w:fldChar w:fldCharType="end"/>
      </w:r>
      <w:r w:rsidRPr="00816657">
        <w:t xml:space="preserve">: </w:t>
      </w:r>
      <w:r w:rsidRPr="00816657">
        <w:tab/>
        <w:t>Best, high and low projected rates of change for organic solvent waste to 2034</w:t>
      </w:r>
      <w:bookmarkEnd w:id="141"/>
    </w:p>
    <w:tbl>
      <w:tblPr>
        <w:tblStyle w:val="BETable1"/>
        <w:tblW w:w="8745" w:type="dxa"/>
        <w:tblLayout w:type="fixed"/>
        <w:tblLook w:val="04A0"/>
      </w:tblPr>
      <w:tblGrid>
        <w:gridCol w:w="1134"/>
        <w:gridCol w:w="1134"/>
        <w:gridCol w:w="4395"/>
        <w:gridCol w:w="803"/>
        <w:gridCol w:w="476"/>
        <w:gridCol w:w="803"/>
      </w:tblGrid>
      <w:tr w:rsidR="00C663EA" w:rsidRPr="00816657" w:rsidTr="00964383">
        <w:trPr>
          <w:cnfStyle w:val="100000000000"/>
        </w:trPr>
        <w:tc>
          <w:tcPr>
            <w:cnfStyle w:val="001000000000"/>
            <w:tcW w:w="1134" w:type="dxa"/>
          </w:tcPr>
          <w:p w:rsidR="00C663EA" w:rsidRPr="00816657" w:rsidRDefault="00C663EA" w:rsidP="00DF2118"/>
        </w:tc>
        <w:tc>
          <w:tcPr>
            <w:tcW w:w="1134" w:type="dxa"/>
          </w:tcPr>
          <w:p w:rsidR="00C663EA" w:rsidRPr="00816657" w:rsidRDefault="00C663EA" w:rsidP="00DF2118">
            <w:pPr>
              <w:cnfStyle w:val="100000000000"/>
            </w:pPr>
            <w:r w:rsidRPr="00816657">
              <w:t>Applies to</w:t>
            </w:r>
          </w:p>
        </w:tc>
        <w:tc>
          <w:tcPr>
            <w:tcW w:w="4395" w:type="dxa"/>
          </w:tcPr>
          <w:p w:rsidR="00C663EA" w:rsidRPr="00816657" w:rsidRDefault="00C663EA" w:rsidP="00DF2118">
            <w:pPr>
              <w:cnfStyle w:val="100000000000"/>
            </w:pPr>
            <w:r w:rsidRPr="00816657">
              <w:t>Approach</w:t>
            </w:r>
          </w:p>
        </w:tc>
        <w:tc>
          <w:tcPr>
            <w:tcW w:w="803" w:type="dxa"/>
          </w:tcPr>
          <w:p w:rsidR="00C663EA" w:rsidRPr="00816657" w:rsidRDefault="00C663EA" w:rsidP="00DF1E42">
            <w:pPr>
              <w:jc w:val="right"/>
              <w:cnfStyle w:val="100000000000"/>
            </w:pPr>
            <w:r w:rsidRPr="00816657">
              <w:t>2014</w:t>
            </w:r>
          </w:p>
        </w:tc>
        <w:tc>
          <w:tcPr>
            <w:tcW w:w="476" w:type="dxa"/>
          </w:tcPr>
          <w:p w:rsidR="00C663EA" w:rsidRPr="00816657" w:rsidRDefault="00C663EA" w:rsidP="00DF1E42">
            <w:pPr>
              <w:jc w:val="right"/>
              <w:cnfStyle w:val="100000000000"/>
            </w:pPr>
            <w:r w:rsidRPr="00816657">
              <w:t>...</w:t>
            </w:r>
          </w:p>
        </w:tc>
        <w:tc>
          <w:tcPr>
            <w:tcW w:w="803" w:type="dxa"/>
          </w:tcPr>
          <w:p w:rsidR="00C663EA" w:rsidRPr="00816657" w:rsidRDefault="00C663EA" w:rsidP="00DF1E42">
            <w:pPr>
              <w:jc w:val="right"/>
              <w:cnfStyle w:val="100000000000"/>
            </w:pPr>
            <w:r w:rsidRPr="00816657">
              <w:t>2034</w:t>
            </w:r>
          </w:p>
        </w:tc>
      </w:tr>
      <w:tr w:rsidR="00C663EA" w:rsidRPr="00816657" w:rsidTr="00964383">
        <w:tc>
          <w:tcPr>
            <w:cnfStyle w:val="001000000000"/>
            <w:tcW w:w="1134" w:type="dxa"/>
          </w:tcPr>
          <w:p w:rsidR="00C663EA" w:rsidRPr="00816657" w:rsidRDefault="00C663EA" w:rsidP="00DF2118">
            <w:r w:rsidRPr="00816657">
              <w:t>Best</w:t>
            </w:r>
          </w:p>
        </w:tc>
        <w:tc>
          <w:tcPr>
            <w:tcW w:w="1134" w:type="dxa"/>
            <w:vMerge w:val="restart"/>
            <w:vAlign w:val="center"/>
          </w:tcPr>
          <w:p w:rsidR="00C663EA" w:rsidRPr="00816657" w:rsidRDefault="00C663EA" w:rsidP="00DF2118">
            <w:pPr>
              <w:cnfStyle w:val="000000000000"/>
            </w:pPr>
            <w:r w:rsidRPr="00816657">
              <w:t>ACT, NSW, NT, Qld, SA, Tas, Vic, WA</w:t>
            </w:r>
          </w:p>
        </w:tc>
        <w:tc>
          <w:tcPr>
            <w:tcW w:w="4395" w:type="dxa"/>
          </w:tcPr>
          <w:p w:rsidR="00C663EA" w:rsidRPr="00816657" w:rsidRDefault="00C663EA" w:rsidP="00DF2118">
            <w:pPr>
              <w:cnfStyle w:val="000000000000"/>
            </w:pPr>
            <w:r w:rsidRPr="00816657">
              <w:t>Economic growth</w:t>
            </w:r>
          </w:p>
        </w:tc>
        <w:tc>
          <w:tcPr>
            <w:tcW w:w="803" w:type="dxa"/>
          </w:tcPr>
          <w:p w:rsidR="00C663EA" w:rsidRPr="00816657" w:rsidRDefault="00C663EA" w:rsidP="00DF1E42">
            <w:pPr>
              <w:jc w:val="right"/>
              <w:cnfStyle w:val="000000000000"/>
            </w:pPr>
            <w:r w:rsidRPr="00816657">
              <w:t>2.8%</w:t>
            </w:r>
          </w:p>
        </w:tc>
        <w:tc>
          <w:tcPr>
            <w:tcW w:w="476" w:type="dxa"/>
          </w:tcPr>
          <w:p w:rsidR="00C663EA" w:rsidRPr="00816657" w:rsidRDefault="00C663EA" w:rsidP="00DF1E42">
            <w:pPr>
              <w:jc w:val="right"/>
              <w:cnfStyle w:val="000000000000"/>
            </w:pPr>
            <w:r w:rsidRPr="00816657">
              <w:t>...</w:t>
            </w:r>
          </w:p>
        </w:tc>
        <w:tc>
          <w:tcPr>
            <w:tcW w:w="803" w:type="dxa"/>
          </w:tcPr>
          <w:p w:rsidR="00C663EA" w:rsidRPr="00816657" w:rsidRDefault="00C663EA" w:rsidP="00DF1E42">
            <w:pPr>
              <w:jc w:val="right"/>
              <w:cnfStyle w:val="000000000000"/>
            </w:pPr>
            <w:r w:rsidRPr="00816657">
              <w:t>2.8%</w:t>
            </w:r>
          </w:p>
        </w:tc>
      </w:tr>
      <w:tr w:rsidR="00C663EA" w:rsidRPr="00816657" w:rsidTr="00964383">
        <w:tc>
          <w:tcPr>
            <w:cnfStyle w:val="001000000000"/>
            <w:tcW w:w="1134" w:type="dxa"/>
          </w:tcPr>
          <w:p w:rsidR="00C663EA" w:rsidRPr="00816657" w:rsidRDefault="00C663EA" w:rsidP="00DF2118">
            <w:r w:rsidRPr="00816657">
              <w:t>High</w:t>
            </w:r>
          </w:p>
        </w:tc>
        <w:tc>
          <w:tcPr>
            <w:tcW w:w="1134" w:type="dxa"/>
            <w:vMerge/>
            <w:vAlign w:val="center"/>
          </w:tcPr>
          <w:p w:rsidR="00C663EA" w:rsidRPr="00816657" w:rsidRDefault="00C663EA" w:rsidP="00DF2118">
            <w:pPr>
              <w:cnfStyle w:val="000000000000"/>
            </w:pPr>
          </w:p>
        </w:tc>
        <w:tc>
          <w:tcPr>
            <w:tcW w:w="4395" w:type="dxa"/>
          </w:tcPr>
          <w:p w:rsidR="00C663EA" w:rsidRPr="00816657" w:rsidRDefault="00C663EA" w:rsidP="00DF2118">
            <w:pPr>
              <w:cnfStyle w:val="000000000000"/>
            </w:pPr>
            <w:r w:rsidRPr="00816657">
              <w:t>Best estimate of annual rate of change + 2%</w:t>
            </w:r>
          </w:p>
        </w:tc>
        <w:tc>
          <w:tcPr>
            <w:tcW w:w="803" w:type="dxa"/>
          </w:tcPr>
          <w:p w:rsidR="00C663EA" w:rsidRPr="00816657" w:rsidRDefault="00C663EA" w:rsidP="00DF1E42">
            <w:pPr>
              <w:jc w:val="right"/>
              <w:cnfStyle w:val="000000000000"/>
            </w:pPr>
            <w:r w:rsidRPr="00816657">
              <w:t>4.8%</w:t>
            </w:r>
          </w:p>
        </w:tc>
        <w:tc>
          <w:tcPr>
            <w:tcW w:w="476" w:type="dxa"/>
          </w:tcPr>
          <w:p w:rsidR="00C663EA" w:rsidRPr="00816657" w:rsidRDefault="00C663EA" w:rsidP="00DF1E42">
            <w:pPr>
              <w:jc w:val="right"/>
              <w:cnfStyle w:val="000000000000"/>
            </w:pPr>
            <w:r w:rsidRPr="00816657">
              <w:t>...</w:t>
            </w:r>
          </w:p>
        </w:tc>
        <w:tc>
          <w:tcPr>
            <w:tcW w:w="803" w:type="dxa"/>
          </w:tcPr>
          <w:p w:rsidR="00C663EA" w:rsidRPr="00816657" w:rsidRDefault="00C663EA" w:rsidP="00DF1E42">
            <w:pPr>
              <w:jc w:val="right"/>
              <w:cnfStyle w:val="000000000000"/>
            </w:pPr>
            <w:r w:rsidRPr="00816657">
              <w:t>4.8%</w:t>
            </w:r>
          </w:p>
        </w:tc>
      </w:tr>
      <w:tr w:rsidR="00C663EA" w:rsidRPr="00816657" w:rsidTr="00964383">
        <w:tc>
          <w:tcPr>
            <w:cnfStyle w:val="001000000000"/>
            <w:tcW w:w="1134" w:type="dxa"/>
          </w:tcPr>
          <w:p w:rsidR="00C663EA" w:rsidRPr="00816657" w:rsidRDefault="00C663EA" w:rsidP="00DF2118">
            <w:r w:rsidRPr="00816657">
              <w:t>Low</w:t>
            </w:r>
          </w:p>
        </w:tc>
        <w:tc>
          <w:tcPr>
            <w:tcW w:w="1134" w:type="dxa"/>
            <w:vMerge/>
            <w:vAlign w:val="center"/>
          </w:tcPr>
          <w:p w:rsidR="00C663EA" w:rsidRPr="00816657" w:rsidRDefault="00C663EA" w:rsidP="00DF2118">
            <w:pPr>
              <w:cnfStyle w:val="000000000000"/>
            </w:pPr>
          </w:p>
        </w:tc>
        <w:tc>
          <w:tcPr>
            <w:tcW w:w="4395" w:type="dxa"/>
          </w:tcPr>
          <w:p w:rsidR="00C663EA" w:rsidRPr="00816657" w:rsidRDefault="00C663EA" w:rsidP="00DF2118">
            <w:pPr>
              <w:cnfStyle w:val="000000000000"/>
            </w:pPr>
            <w:r w:rsidRPr="00816657">
              <w:t>Best estimate of annual rate of change - 2%</w:t>
            </w:r>
          </w:p>
        </w:tc>
        <w:tc>
          <w:tcPr>
            <w:tcW w:w="803" w:type="dxa"/>
          </w:tcPr>
          <w:p w:rsidR="00C663EA" w:rsidRPr="00816657" w:rsidRDefault="00C663EA" w:rsidP="00DF1E42">
            <w:pPr>
              <w:jc w:val="right"/>
              <w:cnfStyle w:val="000000000000"/>
            </w:pPr>
            <w:r w:rsidRPr="00816657">
              <w:t>0.8%</w:t>
            </w:r>
          </w:p>
        </w:tc>
        <w:tc>
          <w:tcPr>
            <w:tcW w:w="476" w:type="dxa"/>
          </w:tcPr>
          <w:p w:rsidR="00C663EA" w:rsidRPr="00816657" w:rsidRDefault="00C663EA" w:rsidP="00DF1E42">
            <w:pPr>
              <w:jc w:val="right"/>
              <w:cnfStyle w:val="000000000000"/>
            </w:pPr>
            <w:r w:rsidRPr="00816657">
              <w:t>...</w:t>
            </w:r>
          </w:p>
        </w:tc>
        <w:tc>
          <w:tcPr>
            <w:tcW w:w="803" w:type="dxa"/>
          </w:tcPr>
          <w:p w:rsidR="00C663EA" w:rsidRPr="00816657" w:rsidRDefault="00C663EA" w:rsidP="00DF1E42">
            <w:pPr>
              <w:jc w:val="right"/>
              <w:cnfStyle w:val="000000000000"/>
            </w:pPr>
            <w:r w:rsidRPr="00816657">
              <w:t>0.8%</w:t>
            </w:r>
          </w:p>
        </w:tc>
      </w:tr>
    </w:tbl>
    <w:p w:rsidR="007D4498" w:rsidRPr="00816657" w:rsidRDefault="007D4498" w:rsidP="00655F62">
      <w:pPr>
        <w:pStyle w:val="Figures"/>
      </w:pPr>
    </w:p>
    <w:p w:rsidR="00D92260" w:rsidRPr="00816657" w:rsidRDefault="00D92260" w:rsidP="00655F62">
      <w:pPr>
        <w:pStyle w:val="Figures"/>
      </w:pPr>
      <w:bookmarkStart w:id="142" w:name="_Toc425849232"/>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14</w:t>
      </w:r>
      <w:r w:rsidR="006D07F5" w:rsidRPr="00816657">
        <w:rPr>
          <w:noProof/>
        </w:rPr>
        <w:fldChar w:fldCharType="end"/>
      </w:r>
      <w:r w:rsidRPr="00816657">
        <w:t xml:space="preserve">: </w:t>
      </w:r>
      <w:r w:rsidRPr="00816657">
        <w:tab/>
        <w:t>Best, high and low national projection estimates of organic solvent waste to 2034</w:t>
      </w:r>
      <w:bookmarkEnd w:id="142"/>
    </w:p>
    <w:p w:rsidR="00C663EA" w:rsidRPr="00816657" w:rsidRDefault="00C05ED6">
      <w:pPr>
        <w:spacing w:line="240" w:lineRule="auto"/>
        <w:rPr>
          <w:rFonts w:ascii="Arial Rounded MT Bold" w:hAnsi="Arial Rounded MT Bold" w:cs="Arial"/>
          <w:color w:val="0000FF"/>
          <w:sz w:val="36"/>
          <w:szCs w:val="36"/>
        </w:rPr>
      </w:pPr>
      <w:r w:rsidRPr="00C05ED6">
        <w:rPr>
          <w:noProof/>
          <w:lang w:eastAsia="en-AU"/>
        </w:rPr>
        <w:drawing>
          <wp:inline distT="0" distB="0" distL="0" distR="0">
            <wp:extent cx="5542858" cy="2247619"/>
            <wp:effectExtent l="0" t="0" r="127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542858" cy="2247619"/>
                    </a:xfrm>
                    <a:prstGeom prst="rect">
                      <a:avLst/>
                    </a:prstGeom>
                  </pic:spPr>
                </pic:pic>
              </a:graphicData>
            </a:graphic>
          </wp:inline>
        </w:drawing>
      </w:r>
      <w:r w:rsidR="00C663EA" w:rsidRPr="00816657">
        <w:br w:type="page"/>
      </w:r>
    </w:p>
    <w:p w:rsidR="00D92260" w:rsidRPr="00816657" w:rsidRDefault="00D92260" w:rsidP="005D6078">
      <w:pPr>
        <w:pStyle w:val="Heading3"/>
      </w:pPr>
      <w:r w:rsidRPr="00816657">
        <w:lastRenderedPageBreak/>
        <w:t xml:space="preserve">H. Pesticides </w:t>
      </w:r>
    </w:p>
    <w:p w:rsidR="003E4F62" w:rsidRPr="003E4F62" w:rsidRDefault="003E4F62" w:rsidP="003E4F62">
      <w:pPr>
        <w:pStyle w:val="Heading3"/>
        <w:rPr>
          <w:rFonts w:ascii="Calibri" w:hAnsi="Calibri" w:cstheme="minorHAnsi"/>
          <w:color w:val="080808"/>
        </w:rPr>
      </w:pPr>
      <w:r w:rsidRPr="003E4F62">
        <w:rPr>
          <w:rFonts w:ascii="Calibri" w:hAnsi="Calibri" w:cstheme="minorHAnsi"/>
          <w:color w:val="080808"/>
        </w:rPr>
        <w:t xml:space="preserve">This group includes three potentially diverse types of waste: </w:t>
      </w:r>
    </w:p>
    <w:p w:rsidR="003E4F62" w:rsidRPr="003E4F62" w:rsidRDefault="003E4F62" w:rsidP="003E4F62">
      <w:pPr>
        <w:pStyle w:val="Heading3"/>
        <w:rPr>
          <w:rFonts w:ascii="Calibri" w:hAnsi="Calibri" w:cstheme="minorHAnsi"/>
          <w:color w:val="080808"/>
        </w:rPr>
      </w:pPr>
      <w:r w:rsidRPr="003E4F62">
        <w:rPr>
          <w:rFonts w:ascii="Calibri" w:hAnsi="Calibri" w:cstheme="minorHAnsi"/>
          <w:color w:val="080808"/>
        </w:rPr>
        <w:t>•</w:t>
      </w:r>
      <w:r w:rsidRPr="003E4F62">
        <w:rPr>
          <w:rFonts w:ascii="Calibri" w:hAnsi="Calibri" w:cstheme="minorHAnsi"/>
          <w:color w:val="080808"/>
        </w:rPr>
        <w:tab/>
        <w:t>H100: waste from the production, formulation and use of biocides and phytopharmaceuticals</w:t>
      </w:r>
    </w:p>
    <w:p w:rsidR="003E4F62" w:rsidRPr="003E4F62" w:rsidRDefault="003E4F62" w:rsidP="003E4F62">
      <w:pPr>
        <w:pStyle w:val="Heading3"/>
        <w:rPr>
          <w:rFonts w:ascii="Calibri" w:hAnsi="Calibri" w:cstheme="minorHAnsi"/>
          <w:color w:val="080808"/>
        </w:rPr>
      </w:pPr>
      <w:r w:rsidRPr="003E4F62">
        <w:rPr>
          <w:rFonts w:ascii="Calibri" w:hAnsi="Calibri" w:cstheme="minorHAnsi"/>
          <w:color w:val="080808"/>
        </w:rPr>
        <w:t>•</w:t>
      </w:r>
      <w:r w:rsidRPr="003E4F62">
        <w:rPr>
          <w:rFonts w:ascii="Calibri" w:hAnsi="Calibri" w:cstheme="minorHAnsi"/>
          <w:color w:val="080808"/>
        </w:rPr>
        <w:tab/>
        <w:t>H110: organic phosphorous compounds</w:t>
      </w:r>
    </w:p>
    <w:p w:rsidR="003E4F62" w:rsidRPr="003E4F62" w:rsidRDefault="003E4F62" w:rsidP="003E4F62">
      <w:pPr>
        <w:pStyle w:val="Heading3"/>
        <w:rPr>
          <w:rFonts w:ascii="Calibri" w:hAnsi="Calibri" w:cstheme="minorHAnsi"/>
          <w:color w:val="080808"/>
        </w:rPr>
      </w:pPr>
      <w:r w:rsidRPr="003E4F62">
        <w:rPr>
          <w:rFonts w:ascii="Calibri" w:hAnsi="Calibri" w:cstheme="minorHAnsi"/>
          <w:color w:val="080808"/>
        </w:rPr>
        <w:t>•</w:t>
      </w:r>
      <w:r w:rsidRPr="003E4F62">
        <w:rPr>
          <w:rFonts w:ascii="Calibri" w:hAnsi="Calibri" w:cstheme="minorHAnsi"/>
          <w:color w:val="080808"/>
        </w:rPr>
        <w:tab/>
        <w:t>H170: waste from manufacture, formulation and use of wood-preserving chemicals.</w:t>
      </w:r>
    </w:p>
    <w:p w:rsidR="003E4F62" w:rsidRPr="003E4F62" w:rsidRDefault="003E4F62" w:rsidP="003E4F62">
      <w:pPr>
        <w:pStyle w:val="Heading3"/>
        <w:rPr>
          <w:rFonts w:ascii="Calibri" w:hAnsi="Calibri" w:cstheme="minorHAnsi"/>
          <w:color w:val="080808"/>
        </w:rPr>
      </w:pPr>
      <w:r w:rsidRPr="003E4F62">
        <w:rPr>
          <w:rFonts w:ascii="Calibri" w:hAnsi="Calibri" w:cstheme="minorHAnsi"/>
          <w:color w:val="080808"/>
        </w:rPr>
        <w:t xml:space="preserve">H100 is the major pesticide heading (biocide means pesticide) although it also includes the relatively unrelated phytopharmaceuticals, which are </w:t>
      </w:r>
      <w:proofErr w:type="gramStart"/>
      <w:r w:rsidRPr="003E4F62">
        <w:rPr>
          <w:rFonts w:ascii="Calibri" w:hAnsi="Calibri" w:cstheme="minorHAnsi"/>
          <w:color w:val="080808"/>
        </w:rPr>
        <w:t>plant</w:t>
      </w:r>
      <w:proofErr w:type="gramEnd"/>
      <w:r w:rsidRPr="003E4F62">
        <w:rPr>
          <w:rFonts w:ascii="Calibri" w:hAnsi="Calibri" w:cstheme="minorHAnsi"/>
          <w:color w:val="080808"/>
        </w:rPr>
        <w:t xml:space="preserve"> derived pharmaceutical products such as alkaloids. </w:t>
      </w:r>
    </w:p>
    <w:p w:rsidR="003E4F62" w:rsidRPr="003E4F62" w:rsidRDefault="003E4F62" w:rsidP="003E4F62">
      <w:pPr>
        <w:pStyle w:val="Heading3"/>
        <w:rPr>
          <w:rFonts w:ascii="Calibri" w:hAnsi="Calibri" w:cstheme="minorHAnsi"/>
          <w:color w:val="080808"/>
        </w:rPr>
      </w:pPr>
      <w:r w:rsidRPr="003E4F62">
        <w:rPr>
          <w:rFonts w:ascii="Calibri" w:hAnsi="Calibri" w:cstheme="minorHAnsi"/>
          <w:color w:val="080808"/>
        </w:rPr>
        <w:t>H110 includes wastes from organic phosphorus compounds used as lubricants, plasticizers, flame retardants and, most notably, as organophosphate pesticides.</w:t>
      </w:r>
    </w:p>
    <w:p w:rsidR="003E4F62" w:rsidRDefault="003E4F62" w:rsidP="00964383">
      <w:pPr>
        <w:pStyle w:val="BodyText"/>
      </w:pPr>
      <w:r w:rsidRPr="003E4F62">
        <w:t>H170 is different again in that it covers wastes from timber preservation which in Australia has historically been dominated by chromated copper arsenate (CCA) treatment. Its overlap in this NEPM category is presumably due to the function of CCA preservation of timber, where the copper acts as a fungicide, the arsenic an insecticide (both types of biocide) and the chromium chemically fixes these to the wood to stabilise them.</w:t>
      </w:r>
    </w:p>
    <w:p w:rsidR="003647F5" w:rsidRDefault="003647F5" w:rsidP="00964383">
      <w:pPr>
        <w:pStyle w:val="BodyText"/>
      </w:pPr>
    </w:p>
    <w:p w:rsidR="00963C6C" w:rsidRPr="00816657" w:rsidRDefault="00963C6C" w:rsidP="00963C6C">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10"/>
        <w:gridCol w:w="2410"/>
        <w:gridCol w:w="2410"/>
        <w:gridCol w:w="2410"/>
      </w:tblGrid>
      <w:tr w:rsidR="00E42D11" w:rsidRPr="00816657" w:rsidTr="00EA7F18">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964383" w:rsidRPr="00816657" w:rsidTr="00EA7F18">
        <w:tc>
          <w:tcPr>
            <w:cnfStyle w:val="001000000000"/>
            <w:tcW w:w="1250" w:type="pct"/>
            <w:vMerge w:val="restart"/>
            <w:tcBorders>
              <w:top w:val="single" w:sz="4" w:space="0" w:color="7F7F7F" w:themeColor="background2"/>
            </w:tcBorders>
          </w:tcPr>
          <w:p w:rsidR="00964383" w:rsidRPr="00816657" w:rsidRDefault="00964383" w:rsidP="00964383">
            <w:pPr>
              <w:spacing w:line="240" w:lineRule="auto"/>
              <w:rPr>
                <w:rFonts w:cs="Times New Roman"/>
                <w:color w:val="000000"/>
                <w:szCs w:val="20"/>
                <w:lang w:eastAsia="en-AU"/>
              </w:rPr>
            </w:pPr>
            <w:r w:rsidRPr="00816657">
              <w:rPr>
                <w:rFonts w:cs="Times New Roman"/>
                <w:color w:val="000000"/>
                <w:szCs w:val="20"/>
                <w:lang w:eastAsia="en-AU"/>
              </w:rPr>
              <w:t>Services to agriculture; wood product manufacture; waste sector</w:t>
            </w:r>
          </w:p>
        </w:tc>
        <w:tc>
          <w:tcPr>
            <w:tcW w:w="1250" w:type="pct"/>
            <w:tcBorders>
              <w:top w:val="single" w:sz="4" w:space="0" w:color="7F7F7F" w:themeColor="background2"/>
            </w:tcBorders>
          </w:tcPr>
          <w:p w:rsidR="00964383" w:rsidRDefault="00964383" w:rsidP="00BC3BD0">
            <w:pPr>
              <w:pStyle w:val="BodyText"/>
              <w:cnfStyle w:val="000000000000"/>
              <w:rPr>
                <w:sz w:val="20"/>
                <w:szCs w:val="20"/>
              </w:rPr>
            </w:pPr>
            <w:r w:rsidRPr="00816657">
              <w:rPr>
                <w:sz w:val="20"/>
                <w:szCs w:val="20"/>
              </w:rPr>
              <w:t>No sufficiently credible pre-existing projections were identified</w:t>
            </w:r>
          </w:p>
          <w:p w:rsidR="003647F5" w:rsidRPr="00816657" w:rsidRDefault="003647F5" w:rsidP="00BC3BD0">
            <w:pPr>
              <w:pStyle w:val="BodyText"/>
              <w:cnfStyle w:val="000000000000"/>
              <w:rPr>
                <w:sz w:val="20"/>
                <w:szCs w:val="20"/>
              </w:rPr>
            </w:pPr>
            <w:r w:rsidRPr="003647F5">
              <w:rPr>
                <w:sz w:val="20"/>
                <w:szCs w:val="20"/>
              </w:rPr>
              <w:t>No historical data set exists that is adequate for discerning trends</w:t>
            </w:r>
          </w:p>
        </w:tc>
        <w:tc>
          <w:tcPr>
            <w:tcW w:w="1250" w:type="pct"/>
            <w:tcBorders>
              <w:top w:val="single" w:sz="4" w:space="0" w:color="7F7F7F" w:themeColor="background2"/>
            </w:tcBorders>
          </w:tcPr>
          <w:p w:rsidR="00964383" w:rsidRPr="00816657" w:rsidRDefault="00964383"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The cause of the dominance of and spike in Qld for several of the projected years is unknown – this is possible due to regulatory change</w:t>
            </w:r>
          </w:p>
        </w:tc>
        <w:tc>
          <w:tcPr>
            <w:tcW w:w="1250" w:type="pct"/>
            <w:tcBorders>
              <w:top w:val="single" w:sz="4" w:space="0" w:color="7F7F7F" w:themeColor="background2"/>
            </w:tcBorders>
          </w:tcPr>
          <w:p w:rsidR="00964383" w:rsidRPr="00816657" w:rsidRDefault="00964383"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causal analysis</w:t>
            </w:r>
          </w:p>
        </w:tc>
      </w:tr>
      <w:tr w:rsidR="00964383" w:rsidRPr="00816657" w:rsidTr="00EA7F18">
        <w:tc>
          <w:tcPr>
            <w:cnfStyle w:val="001000000000"/>
            <w:tcW w:w="1250" w:type="pct"/>
            <w:vMerge/>
          </w:tcPr>
          <w:p w:rsidR="00964383" w:rsidRPr="00816657" w:rsidRDefault="00964383" w:rsidP="00963C6C">
            <w:pPr>
              <w:spacing w:line="240" w:lineRule="auto"/>
              <w:rPr>
                <w:rFonts w:cs="Times New Roman"/>
                <w:color w:val="000000"/>
                <w:szCs w:val="20"/>
                <w:lang w:eastAsia="en-AU"/>
              </w:rPr>
            </w:pPr>
          </w:p>
        </w:tc>
        <w:tc>
          <w:tcPr>
            <w:tcW w:w="1250" w:type="pct"/>
          </w:tcPr>
          <w:p w:rsidR="00964383" w:rsidRPr="00816657" w:rsidRDefault="00964383" w:rsidP="00963C6C">
            <w:pPr>
              <w:spacing w:line="240" w:lineRule="auto"/>
              <w:cnfStyle w:val="000000000000"/>
              <w:rPr>
                <w:rFonts w:cs="Times New Roman"/>
                <w:color w:val="000000"/>
                <w:szCs w:val="20"/>
                <w:lang w:eastAsia="en-AU"/>
              </w:rPr>
            </w:pPr>
          </w:p>
        </w:tc>
        <w:tc>
          <w:tcPr>
            <w:tcW w:w="1250" w:type="pct"/>
          </w:tcPr>
          <w:p w:rsidR="00964383" w:rsidRPr="00816657" w:rsidRDefault="00964383" w:rsidP="00343BBB">
            <w:pPr>
              <w:spacing w:line="240" w:lineRule="auto"/>
              <w:cnfStyle w:val="000000000000"/>
              <w:rPr>
                <w:rFonts w:cs="Times New Roman"/>
                <w:color w:val="000000"/>
                <w:szCs w:val="20"/>
                <w:lang w:eastAsia="en-AU"/>
              </w:rPr>
            </w:pPr>
            <w:r w:rsidRPr="00816657">
              <w:rPr>
                <w:rFonts w:cs="Times New Roman"/>
                <w:color w:val="000000"/>
                <w:szCs w:val="20"/>
                <w:lang w:eastAsia="en-AU"/>
              </w:rPr>
              <w:t>Quantities are driven by agriculture sector</w:t>
            </w:r>
          </w:p>
        </w:tc>
        <w:tc>
          <w:tcPr>
            <w:tcW w:w="1250" w:type="pct"/>
          </w:tcPr>
          <w:p w:rsidR="00964383" w:rsidRPr="00816657" w:rsidRDefault="00964383" w:rsidP="00963C6C">
            <w:pPr>
              <w:spacing w:line="240" w:lineRule="auto"/>
              <w:cnfStyle w:val="000000000000"/>
              <w:rPr>
                <w:rFonts w:cs="Times New Roman"/>
                <w:color w:val="000000"/>
                <w:szCs w:val="20"/>
                <w:lang w:eastAsia="en-AU"/>
              </w:rPr>
            </w:pPr>
          </w:p>
        </w:tc>
      </w:tr>
    </w:tbl>
    <w:p w:rsidR="00216F9A" w:rsidRDefault="00216F9A" w:rsidP="00216F9A">
      <w:pPr>
        <w:pStyle w:val="BodyText"/>
      </w:pPr>
    </w:p>
    <w:p w:rsidR="00376588" w:rsidRPr="00816657" w:rsidRDefault="00376588" w:rsidP="00655F62">
      <w:pPr>
        <w:pStyle w:val="Figures"/>
      </w:pPr>
      <w:bookmarkStart w:id="143" w:name="_Toc425849303"/>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18</w:t>
      </w:r>
      <w:r w:rsidR="006D07F5" w:rsidRPr="00816657">
        <w:rPr>
          <w:noProof/>
        </w:rPr>
        <w:fldChar w:fldCharType="end"/>
      </w:r>
      <w:r w:rsidRPr="00816657">
        <w:t xml:space="preserve">: </w:t>
      </w:r>
      <w:r w:rsidRPr="00816657">
        <w:tab/>
        <w:t>Best, high and low projected rates of change for pesticide waste to 2034</w:t>
      </w:r>
      <w:bookmarkEnd w:id="143"/>
    </w:p>
    <w:tbl>
      <w:tblPr>
        <w:tblStyle w:val="BETable1"/>
        <w:tblW w:w="9072" w:type="dxa"/>
        <w:tblLayout w:type="fixed"/>
        <w:tblLook w:val="04A0"/>
      </w:tblPr>
      <w:tblGrid>
        <w:gridCol w:w="1134"/>
        <w:gridCol w:w="1134"/>
        <w:gridCol w:w="4395"/>
        <w:gridCol w:w="803"/>
        <w:gridCol w:w="803"/>
        <w:gridCol w:w="803"/>
      </w:tblGrid>
      <w:tr w:rsidR="00B8309B" w:rsidRPr="00816657" w:rsidTr="00DF2118">
        <w:trPr>
          <w:cnfStyle w:val="100000000000"/>
        </w:trPr>
        <w:tc>
          <w:tcPr>
            <w:cnfStyle w:val="001000000000"/>
            <w:tcW w:w="1134" w:type="dxa"/>
          </w:tcPr>
          <w:p w:rsidR="00B8309B" w:rsidRPr="00816657" w:rsidRDefault="00B8309B" w:rsidP="00DF2118"/>
        </w:tc>
        <w:tc>
          <w:tcPr>
            <w:tcW w:w="1134" w:type="dxa"/>
          </w:tcPr>
          <w:p w:rsidR="00B8309B" w:rsidRPr="00816657" w:rsidRDefault="00B8309B" w:rsidP="00DF2118">
            <w:pPr>
              <w:cnfStyle w:val="100000000000"/>
            </w:pPr>
            <w:r w:rsidRPr="00816657">
              <w:t>Applies to</w:t>
            </w:r>
          </w:p>
        </w:tc>
        <w:tc>
          <w:tcPr>
            <w:tcW w:w="4395" w:type="dxa"/>
          </w:tcPr>
          <w:p w:rsidR="00B8309B" w:rsidRPr="00816657" w:rsidRDefault="00B8309B" w:rsidP="00DF2118">
            <w:pPr>
              <w:cnfStyle w:val="100000000000"/>
            </w:pPr>
            <w:r w:rsidRPr="00816657">
              <w:t>Approach</w:t>
            </w:r>
          </w:p>
        </w:tc>
        <w:tc>
          <w:tcPr>
            <w:tcW w:w="803" w:type="dxa"/>
          </w:tcPr>
          <w:p w:rsidR="00B8309B" w:rsidRPr="00816657" w:rsidRDefault="00B8309B" w:rsidP="00DF1E42">
            <w:pPr>
              <w:jc w:val="right"/>
              <w:cnfStyle w:val="100000000000"/>
            </w:pPr>
            <w:r w:rsidRPr="00816657">
              <w:t>2014</w:t>
            </w:r>
          </w:p>
        </w:tc>
        <w:tc>
          <w:tcPr>
            <w:tcW w:w="803" w:type="dxa"/>
          </w:tcPr>
          <w:p w:rsidR="00B8309B" w:rsidRPr="00816657" w:rsidRDefault="00B8309B" w:rsidP="00DF1E42">
            <w:pPr>
              <w:jc w:val="right"/>
              <w:cnfStyle w:val="100000000000"/>
            </w:pPr>
            <w:r w:rsidRPr="00816657">
              <w:t>...</w:t>
            </w:r>
          </w:p>
        </w:tc>
        <w:tc>
          <w:tcPr>
            <w:tcW w:w="803" w:type="dxa"/>
          </w:tcPr>
          <w:p w:rsidR="00B8309B" w:rsidRPr="00816657" w:rsidRDefault="00B8309B" w:rsidP="00DF1E42">
            <w:pPr>
              <w:jc w:val="right"/>
              <w:cnfStyle w:val="100000000000"/>
            </w:pPr>
            <w:r w:rsidRPr="00816657">
              <w:t>2034</w:t>
            </w:r>
          </w:p>
        </w:tc>
      </w:tr>
      <w:tr w:rsidR="00B8309B" w:rsidRPr="00816657" w:rsidTr="00DF2118">
        <w:tc>
          <w:tcPr>
            <w:cnfStyle w:val="001000000000"/>
            <w:tcW w:w="1134" w:type="dxa"/>
          </w:tcPr>
          <w:p w:rsidR="00B8309B" w:rsidRPr="00816657" w:rsidRDefault="00B8309B" w:rsidP="00DF2118">
            <w:r w:rsidRPr="00816657">
              <w:t>Best</w:t>
            </w:r>
          </w:p>
        </w:tc>
        <w:tc>
          <w:tcPr>
            <w:tcW w:w="1134" w:type="dxa"/>
            <w:vMerge w:val="restart"/>
            <w:vAlign w:val="center"/>
          </w:tcPr>
          <w:p w:rsidR="00B8309B" w:rsidRPr="00816657" w:rsidRDefault="00B8309B" w:rsidP="00DF2118">
            <w:pPr>
              <w:cnfStyle w:val="000000000000"/>
            </w:pPr>
            <w:r w:rsidRPr="00816657">
              <w:t>ACT, NSW, NT, Qld, SA, Tas, Vic, WA</w:t>
            </w:r>
          </w:p>
        </w:tc>
        <w:tc>
          <w:tcPr>
            <w:tcW w:w="4395" w:type="dxa"/>
          </w:tcPr>
          <w:p w:rsidR="00B8309B" w:rsidRPr="00816657" w:rsidRDefault="00B8309B" w:rsidP="00DF2118">
            <w:pPr>
              <w:cnfStyle w:val="000000000000"/>
            </w:pPr>
            <w:r w:rsidRPr="00816657">
              <w:t>Economic growth</w:t>
            </w:r>
          </w:p>
        </w:tc>
        <w:tc>
          <w:tcPr>
            <w:tcW w:w="803" w:type="dxa"/>
          </w:tcPr>
          <w:p w:rsidR="00B8309B" w:rsidRPr="00816657" w:rsidRDefault="00B8309B" w:rsidP="00DF1E42">
            <w:pPr>
              <w:jc w:val="right"/>
              <w:cnfStyle w:val="000000000000"/>
            </w:pPr>
            <w:r w:rsidRPr="00816657">
              <w:t>2.8%</w:t>
            </w:r>
          </w:p>
        </w:tc>
        <w:tc>
          <w:tcPr>
            <w:tcW w:w="803" w:type="dxa"/>
          </w:tcPr>
          <w:p w:rsidR="00B8309B" w:rsidRPr="00816657" w:rsidRDefault="00B8309B" w:rsidP="00DF1E42">
            <w:pPr>
              <w:jc w:val="right"/>
              <w:cnfStyle w:val="000000000000"/>
            </w:pPr>
            <w:r w:rsidRPr="00816657">
              <w:t>...</w:t>
            </w:r>
          </w:p>
        </w:tc>
        <w:tc>
          <w:tcPr>
            <w:tcW w:w="803" w:type="dxa"/>
          </w:tcPr>
          <w:p w:rsidR="00B8309B" w:rsidRPr="00816657" w:rsidRDefault="00B8309B" w:rsidP="00DF1E42">
            <w:pPr>
              <w:jc w:val="right"/>
              <w:cnfStyle w:val="000000000000"/>
            </w:pPr>
            <w:r w:rsidRPr="00816657">
              <w:t>2.8%</w:t>
            </w:r>
          </w:p>
        </w:tc>
      </w:tr>
      <w:tr w:rsidR="00B8309B" w:rsidRPr="00816657" w:rsidTr="00DF2118">
        <w:tc>
          <w:tcPr>
            <w:cnfStyle w:val="001000000000"/>
            <w:tcW w:w="1134" w:type="dxa"/>
          </w:tcPr>
          <w:p w:rsidR="00B8309B" w:rsidRPr="00816657" w:rsidRDefault="00B8309B" w:rsidP="00DF2118">
            <w:r w:rsidRPr="00816657">
              <w:t>High</w:t>
            </w:r>
          </w:p>
        </w:tc>
        <w:tc>
          <w:tcPr>
            <w:tcW w:w="1134" w:type="dxa"/>
            <w:vMerge/>
            <w:vAlign w:val="center"/>
          </w:tcPr>
          <w:p w:rsidR="00B8309B" w:rsidRPr="00816657" w:rsidRDefault="00B8309B" w:rsidP="00DF2118">
            <w:pPr>
              <w:cnfStyle w:val="000000000000"/>
            </w:pPr>
          </w:p>
        </w:tc>
        <w:tc>
          <w:tcPr>
            <w:tcW w:w="4395" w:type="dxa"/>
          </w:tcPr>
          <w:p w:rsidR="00B8309B" w:rsidRPr="00816657" w:rsidRDefault="00B8309B" w:rsidP="00DF2118">
            <w:pPr>
              <w:cnfStyle w:val="000000000000"/>
            </w:pPr>
            <w:r w:rsidRPr="00816657">
              <w:t>Best estimate of annual rate of change + 2%</w:t>
            </w:r>
          </w:p>
        </w:tc>
        <w:tc>
          <w:tcPr>
            <w:tcW w:w="803" w:type="dxa"/>
          </w:tcPr>
          <w:p w:rsidR="00B8309B" w:rsidRPr="00816657" w:rsidRDefault="00B8309B" w:rsidP="00DF1E42">
            <w:pPr>
              <w:jc w:val="right"/>
              <w:cnfStyle w:val="000000000000"/>
            </w:pPr>
            <w:r w:rsidRPr="00816657">
              <w:t>4.8%</w:t>
            </w:r>
          </w:p>
        </w:tc>
        <w:tc>
          <w:tcPr>
            <w:tcW w:w="803" w:type="dxa"/>
          </w:tcPr>
          <w:p w:rsidR="00B8309B" w:rsidRPr="00816657" w:rsidRDefault="00B8309B" w:rsidP="00DF1E42">
            <w:pPr>
              <w:jc w:val="right"/>
              <w:cnfStyle w:val="000000000000"/>
            </w:pPr>
            <w:r w:rsidRPr="00816657">
              <w:t>...</w:t>
            </w:r>
          </w:p>
        </w:tc>
        <w:tc>
          <w:tcPr>
            <w:tcW w:w="803" w:type="dxa"/>
          </w:tcPr>
          <w:p w:rsidR="00B8309B" w:rsidRPr="00816657" w:rsidRDefault="00B8309B" w:rsidP="00DF1E42">
            <w:pPr>
              <w:jc w:val="right"/>
              <w:cnfStyle w:val="000000000000"/>
            </w:pPr>
            <w:r w:rsidRPr="00816657">
              <w:t>4.8%</w:t>
            </w:r>
          </w:p>
        </w:tc>
      </w:tr>
      <w:tr w:rsidR="00B8309B" w:rsidRPr="00816657" w:rsidTr="00DF2118">
        <w:tc>
          <w:tcPr>
            <w:cnfStyle w:val="001000000000"/>
            <w:tcW w:w="1134" w:type="dxa"/>
          </w:tcPr>
          <w:p w:rsidR="00B8309B" w:rsidRPr="00816657" w:rsidRDefault="00B8309B" w:rsidP="00DF2118">
            <w:r w:rsidRPr="00816657">
              <w:t>Low</w:t>
            </w:r>
          </w:p>
        </w:tc>
        <w:tc>
          <w:tcPr>
            <w:tcW w:w="1134" w:type="dxa"/>
            <w:vMerge/>
            <w:vAlign w:val="center"/>
          </w:tcPr>
          <w:p w:rsidR="00B8309B" w:rsidRPr="00816657" w:rsidRDefault="00B8309B" w:rsidP="00DF2118">
            <w:pPr>
              <w:cnfStyle w:val="000000000000"/>
            </w:pPr>
          </w:p>
        </w:tc>
        <w:tc>
          <w:tcPr>
            <w:tcW w:w="4395" w:type="dxa"/>
          </w:tcPr>
          <w:p w:rsidR="00B8309B" w:rsidRPr="00816657" w:rsidRDefault="00B8309B" w:rsidP="00DF2118">
            <w:pPr>
              <w:cnfStyle w:val="000000000000"/>
            </w:pPr>
            <w:r w:rsidRPr="00816657">
              <w:t>Best estimate of annual rate of change - 2%</w:t>
            </w:r>
          </w:p>
        </w:tc>
        <w:tc>
          <w:tcPr>
            <w:tcW w:w="803" w:type="dxa"/>
          </w:tcPr>
          <w:p w:rsidR="00B8309B" w:rsidRPr="00816657" w:rsidRDefault="00B8309B" w:rsidP="00DF1E42">
            <w:pPr>
              <w:jc w:val="right"/>
              <w:cnfStyle w:val="000000000000"/>
            </w:pPr>
            <w:r w:rsidRPr="00816657">
              <w:t>0.8%</w:t>
            </w:r>
          </w:p>
        </w:tc>
        <w:tc>
          <w:tcPr>
            <w:tcW w:w="803" w:type="dxa"/>
          </w:tcPr>
          <w:p w:rsidR="00B8309B" w:rsidRPr="00816657" w:rsidRDefault="00B8309B" w:rsidP="00DF1E42">
            <w:pPr>
              <w:jc w:val="right"/>
              <w:cnfStyle w:val="000000000000"/>
            </w:pPr>
            <w:r w:rsidRPr="00816657">
              <w:t>...</w:t>
            </w:r>
          </w:p>
        </w:tc>
        <w:tc>
          <w:tcPr>
            <w:tcW w:w="803" w:type="dxa"/>
          </w:tcPr>
          <w:p w:rsidR="00B8309B" w:rsidRPr="00816657" w:rsidRDefault="00B8309B" w:rsidP="00DF1E42">
            <w:pPr>
              <w:jc w:val="right"/>
              <w:cnfStyle w:val="000000000000"/>
            </w:pPr>
            <w:r w:rsidRPr="00816657">
              <w:t>0.8%</w:t>
            </w:r>
          </w:p>
        </w:tc>
      </w:tr>
    </w:tbl>
    <w:p w:rsidR="003647F5" w:rsidRPr="00816657" w:rsidRDefault="003647F5" w:rsidP="00216F9A">
      <w:pPr>
        <w:pStyle w:val="BodyText"/>
      </w:pPr>
    </w:p>
    <w:p w:rsidR="00D92260" w:rsidRPr="00816657" w:rsidRDefault="00D92260" w:rsidP="00655F62">
      <w:pPr>
        <w:pStyle w:val="Figures"/>
      </w:pPr>
      <w:bookmarkStart w:id="144" w:name="_Toc425849233"/>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15</w:t>
      </w:r>
      <w:r w:rsidR="006D07F5" w:rsidRPr="00816657">
        <w:rPr>
          <w:noProof/>
        </w:rPr>
        <w:fldChar w:fldCharType="end"/>
      </w:r>
      <w:r w:rsidRPr="00816657">
        <w:t xml:space="preserve">: </w:t>
      </w:r>
      <w:r w:rsidRPr="00816657">
        <w:tab/>
        <w:t>Best, high and low national projection estimates of pesticide waste to 2034</w:t>
      </w:r>
      <w:bookmarkEnd w:id="144"/>
    </w:p>
    <w:p w:rsidR="00B8309B" w:rsidRPr="00816657" w:rsidRDefault="00C05ED6">
      <w:pPr>
        <w:spacing w:line="240" w:lineRule="auto"/>
        <w:rPr>
          <w:rFonts w:ascii="Arial Rounded MT Bold" w:hAnsi="Arial Rounded MT Bold" w:cs="Arial"/>
          <w:color w:val="0000FF"/>
          <w:sz w:val="36"/>
          <w:szCs w:val="36"/>
        </w:rPr>
      </w:pPr>
      <w:r w:rsidRPr="00C05ED6">
        <w:rPr>
          <w:noProof/>
          <w:lang w:eastAsia="en-AU"/>
        </w:rPr>
        <w:drawing>
          <wp:inline distT="0" distB="0" distL="0" distR="0">
            <wp:extent cx="5695238" cy="2247619"/>
            <wp:effectExtent l="0" t="0" r="127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695238" cy="2247619"/>
                    </a:xfrm>
                    <a:prstGeom prst="rect">
                      <a:avLst/>
                    </a:prstGeom>
                  </pic:spPr>
                </pic:pic>
              </a:graphicData>
            </a:graphic>
          </wp:inline>
        </w:drawing>
      </w:r>
      <w:r w:rsidR="00B8309B" w:rsidRPr="00816657">
        <w:br w:type="page"/>
      </w:r>
    </w:p>
    <w:p w:rsidR="00D92260" w:rsidRPr="00816657" w:rsidRDefault="00D92260" w:rsidP="005D6078">
      <w:pPr>
        <w:pStyle w:val="Heading3"/>
      </w:pPr>
      <w:r w:rsidRPr="00816657">
        <w:lastRenderedPageBreak/>
        <w:t xml:space="preserve">J. Oils </w:t>
      </w:r>
    </w:p>
    <w:p w:rsidR="003647F5" w:rsidRDefault="003647F5" w:rsidP="003647F5">
      <w:pPr>
        <w:pStyle w:val="BodyText"/>
      </w:pPr>
      <w:r>
        <w:t xml:space="preserve">This waste group includes the following NEPM 75 codes: </w:t>
      </w:r>
    </w:p>
    <w:p w:rsidR="003647F5" w:rsidRDefault="003647F5" w:rsidP="003647F5">
      <w:pPr>
        <w:pStyle w:val="BodyText"/>
      </w:pPr>
      <w:r>
        <w:t>•</w:t>
      </w:r>
      <w:r>
        <w:tab/>
      </w:r>
      <w:r w:rsidRPr="007F5BD4">
        <w:rPr>
          <w:i/>
        </w:rPr>
        <w:t>J100 Waste mineral oils unfit for their original intended use; waste oil/water</w:t>
      </w:r>
      <w:r>
        <w:t xml:space="preserve"> (39%)</w:t>
      </w:r>
    </w:p>
    <w:p w:rsidR="003647F5" w:rsidRDefault="003647F5" w:rsidP="003647F5">
      <w:pPr>
        <w:pStyle w:val="BodyText"/>
      </w:pPr>
      <w:r w:rsidRPr="007F5BD4">
        <w:rPr>
          <w:i/>
        </w:rPr>
        <w:t>•</w:t>
      </w:r>
      <w:r w:rsidRPr="007F5BD4">
        <w:rPr>
          <w:i/>
        </w:rPr>
        <w:tab/>
        <w:t>J120 hydrocarbons/water mixtures or emulsions</w:t>
      </w:r>
      <w:r>
        <w:t xml:space="preserve"> (60%)</w:t>
      </w:r>
    </w:p>
    <w:p w:rsidR="003647F5" w:rsidRDefault="003647F5" w:rsidP="003647F5">
      <w:pPr>
        <w:pStyle w:val="BodyText"/>
      </w:pPr>
      <w:r w:rsidRPr="007F5BD4">
        <w:rPr>
          <w:i/>
        </w:rPr>
        <w:t>•</w:t>
      </w:r>
      <w:r w:rsidRPr="007F5BD4">
        <w:rPr>
          <w:i/>
        </w:rPr>
        <w:tab/>
        <w:t>J160 waste tarry residues arising from refining, distillation, and any pyrolytic treatment</w:t>
      </w:r>
      <w:r>
        <w:t xml:space="preserve"> (1%).</w:t>
      </w:r>
    </w:p>
    <w:p w:rsidR="001360BD" w:rsidRDefault="003647F5" w:rsidP="007F5BD4">
      <w:pPr>
        <w:pStyle w:val="BodyText"/>
        <w:spacing w:before="120"/>
      </w:pPr>
      <w:r>
        <w:t>J100</w:t>
      </w:r>
      <w:r w:rsidR="00512566">
        <w:t xml:space="preserve"> </w:t>
      </w:r>
      <w:r>
        <w:t xml:space="preserve">is dominated by </w:t>
      </w:r>
      <w:r w:rsidR="00512566">
        <w:t>use</w:t>
      </w:r>
      <w:r>
        <w:t xml:space="preserve">d oil from vehicles. J120 is typically wastewaters that have been contaminated with oils, such as truck and vehicle washwaters, skimmer and interceptor waters, vehicle coolant waters and potentially shipping bilge water. J160 is produced in the refining of petroleum, re-refining of lubricating oils, </w:t>
      </w:r>
      <w:proofErr w:type="gramStart"/>
      <w:r>
        <w:t>production</w:t>
      </w:r>
      <w:proofErr w:type="gramEnd"/>
      <w:r>
        <w:t xml:space="preserve"> of metallurgical coke or town gas by pyrolysis of coal.</w:t>
      </w:r>
      <w:r w:rsidR="008C7F61">
        <w:t xml:space="preserve"> </w:t>
      </w:r>
    </w:p>
    <w:p w:rsidR="008C7F61" w:rsidRDefault="008C7F61" w:rsidP="007F5BD4">
      <w:pPr>
        <w:pStyle w:val="BodyText"/>
        <w:spacing w:before="120"/>
      </w:pPr>
      <w:r>
        <w:t>Oil wastes arisings are distributed across industries in jurisdictions quite similarly, with differences being more to do with jurisdictional industrial mix variations, such as the prevalence of mining in WA and Queensland. Mining makes up 30% of recorded sources in Queensland.</w:t>
      </w:r>
    </w:p>
    <w:p w:rsidR="00AA4F99" w:rsidRDefault="00AA4F99" w:rsidP="007F5BD4">
      <w:pPr>
        <w:pStyle w:val="BodyText"/>
        <w:rPr>
          <w:i/>
        </w:rPr>
      </w:pPr>
    </w:p>
    <w:p w:rsidR="00AA4F99" w:rsidRPr="007F5BD4" w:rsidRDefault="00AA4F99" w:rsidP="00144AD0">
      <w:pPr>
        <w:pStyle w:val="Heading3"/>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2F2F2" w:themeFill="background1" w:themeFillShade="F2"/>
      </w:pPr>
      <w:r w:rsidRPr="00315A9E">
        <w:t>Prod</w:t>
      </w:r>
      <w:r w:rsidR="00216F9A">
        <w:t>uct Stewardship for Oil Program</w:t>
      </w:r>
    </w:p>
    <w:p w:rsidR="001360BD" w:rsidRPr="00144AD0" w:rsidRDefault="00AA4F99" w:rsidP="00144AD0">
      <w:pPr>
        <w:pStyle w:val="BodyT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2F2F2" w:themeFill="background1" w:themeFillShade="F2"/>
        <w:spacing w:before="120"/>
        <w:rPr>
          <w:sz w:val="20"/>
          <w:szCs w:val="20"/>
        </w:rPr>
      </w:pPr>
      <w:r w:rsidRPr="00144AD0">
        <w:rPr>
          <w:sz w:val="20"/>
          <w:szCs w:val="20"/>
        </w:rPr>
        <w:t>The DoE website provides the following information regarding the Product Stewardship for Oil Program:</w:t>
      </w:r>
    </w:p>
    <w:p w:rsidR="001360BD" w:rsidRPr="00144AD0" w:rsidRDefault="00AA4F99" w:rsidP="00144AD0">
      <w:pPr>
        <w:pStyle w:val="BodyT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2F2F2" w:themeFill="background1" w:themeFillShade="F2"/>
        <w:spacing w:before="120"/>
        <w:rPr>
          <w:i/>
          <w:sz w:val="20"/>
          <w:szCs w:val="20"/>
        </w:rPr>
      </w:pPr>
      <w:r w:rsidRPr="00144AD0">
        <w:rPr>
          <w:i/>
          <w:sz w:val="20"/>
          <w:szCs w:val="20"/>
        </w:rPr>
        <w:t>The Prod</w:t>
      </w:r>
      <w:r w:rsidR="00216F9A">
        <w:rPr>
          <w:i/>
          <w:sz w:val="20"/>
          <w:szCs w:val="20"/>
        </w:rPr>
        <w:t>uct Stewardship for Oil Program</w:t>
      </w:r>
      <w:r w:rsidRPr="00144AD0">
        <w:rPr>
          <w:i/>
          <w:sz w:val="20"/>
          <w:szCs w:val="20"/>
        </w:rPr>
        <w:t xml:space="preserve"> was introduced by the Australian Government in 2001 to provide incentives to increase used oil recycling. The program aims to encourage the environmentally sustainable management and re-refining of used oil and its re-use. The arrangements comprise a levy-benefit system, where an 8.5 cents per litre levy on new oil, helps fund benefit payments to used oil recyclers. These arrangements provide incentives to increase used oil recycling in the Australian community. </w:t>
      </w:r>
    </w:p>
    <w:p w:rsidR="001360BD" w:rsidRPr="00144AD0" w:rsidRDefault="00AA4F99" w:rsidP="00144AD0">
      <w:pPr>
        <w:pStyle w:val="BodyT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2F2F2" w:themeFill="background1" w:themeFillShade="F2"/>
        <w:spacing w:before="120"/>
        <w:rPr>
          <w:i/>
          <w:sz w:val="20"/>
          <w:szCs w:val="20"/>
        </w:rPr>
      </w:pPr>
      <w:r w:rsidRPr="00144AD0">
        <w:rPr>
          <w:i/>
          <w:sz w:val="20"/>
          <w:szCs w:val="20"/>
        </w:rPr>
        <w:t>Recycling operations claiming benefits must be both:</w:t>
      </w:r>
    </w:p>
    <w:p w:rsidR="001360BD" w:rsidRPr="00144AD0" w:rsidRDefault="001360BD" w:rsidP="00144AD0">
      <w:pPr>
        <w:pStyle w:val="BodyT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2F2F2" w:themeFill="background1" w:themeFillShade="F2"/>
        <w:ind w:firstLine="720"/>
        <w:rPr>
          <w:i/>
          <w:sz w:val="20"/>
          <w:szCs w:val="20"/>
        </w:rPr>
      </w:pPr>
      <w:r w:rsidRPr="00144AD0">
        <w:rPr>
          <w:i/>
          <w:sz w:val="20"/>
          <w:szCs w:val="20"/>
        </w:rPr>
        <w:t>-</w:t>
      </w:r>
      <w:r w:rsidR="00144AD0">
        <w:rPr>
          <w:i/>
          <w:sz w:val="20"/>
          <w:szCs w:val="20"/>
        </w:rPr>
        <w:t xml:space="preserve">  </w:t>
      </w:r>
      <w:r w:rsidR="00AA4F99" w:rsidRPr="00144AD0">
        <w:rPr>
          <w:i/>
          <w:sz w:val="20"/>
          <w:szCs w:val="20"/>
        </w:rPr>
        <w:t>recycling used oil; and</w:t>
      </w:r>
    </w:p>
    <w:p w:rsidR="001360BD" w:rsidRPr="00144AD0" w:rsidRDefault="001360BD" w:rsidP="00144AD0">
      <w:pPr>
        <w:pStyle w:val="BodyT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2F2F2" w:themeFill="background1" w:themeFillShade="F2"/>
        <w:ind w:firstLine="720"/>
        <w:rPr>
          <w:i/>
          <w:sz w:val="20"/>
          <w:szCs w:val="20"/>
        </w:rPr>
      </w:pPr>
      <w:r w:rsidRPr="00144AD0">
        <w:rPr>
          <w:i/>
          <w:sz w:val="20"/>
          <w:szCs w:val="20"/>
        </w:rPr>
        <w:t>-</w:t>
      </w:r>
      <w:r w:rsidR="00144AD0">
        <w:rPr>
          <w:i/>
          <w:sz w:val="20"/>
          <w:szCs w:val="20"/>
        </w:rPr>
        <w:t xml:space="preserve">  </w:t>
      </w:r>
      <w:proofErr w:type="gramStart"/>
      <w:r w:rsidR="00AA4F99" w:rsidRPr="00144AD0">
        <w:rPr>
          <w:i/>
          <w:sz w:val="20"/>
          <w:szCs w:val="20"/>
        </w:rPr>
        <w:t>either</w:t>
      </w:r>
      <w:proofErr w:type="gramEnd"/>
      <w:r w:rsidR="00AA4F99" w:rsidRPr="00144AD0">
        <w:rPr>
          <w:i/>
          <w:sz w:val="20"/>
          <w:szCs w:val="20"/>
        </w:rPr>
        <w:t xml:space="preserve"> directly using the recycled product, or selling that recycled product for end use.</w:t>
      </w:r>
    </w:p>
    <w:p w:rsidR="00AA4F99" w:rsidRPr="00144AD0" w:rsidRDefault="00AA4F99" w:rsidP="00144AD0">
      <w:pPr>
        <w:pStyle w:val="BodyT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2F2F2" w:themeFill="background1" w:themeFillShade="F2"/>
        <w:spacing w:before="120"/>
        <w:rPr>
          <w:i/>
          <w:sz w:val="20"/>
          <w:szCs w:val="20"/>
        </w:rPr>
      </w:pPr>
      <w:r w:rsidRPr="00144AD0">
        <w:rPr>
          <w:i/>
          <w:sz w:val="20"/>
          <w:szCs w:val="20"/>
        </w:rPr>
        <w:t>To be considered for benefits, the recycler must undertake the final processing (recycling) stage prior to end use and the product must be used by that recycler or sold for end use (</w:t>
      </w:r>
      <w:r w:rsidR="00CF76E1" w:rsidRPr="00144AD0">
        <w:rPr>
          <w:i/>
          <w:sz w:val="20"/>
          <w:szCs w:val="20"/>
        </w:rPr>
        <w:t>i.e.</w:t>
      </w:r>
      <w:r w:rsidRPr="00144AD0">
        <w:rPr>
          <w:i/>
          <w:sz w:val="20"/>
          <w:szCs w:val="20"/>
        </w:rPr>
        <w:t xml:space="preserve"> not just processed and stockpiled)</w:t>
      </w:r>
      <w:r w:rsidR="001360BD" w:rsidRPr="00144AD0">
        <w:rPr>
          <w:rStyle w:val="FootnoteReference"/>
          <w:i/>
          <w:sz w:val="20"/>
          <w:szCs w:val="20"/>
        </w:rPr>
        <w:t xml:space="preserve"> </w:t>
      </w:r>
      <w:r w:rsidR="001360BD" w:rsidRPr="00144AD0">
        <w:rPr>
          <w:rStyle w:val="FootnoteReference"/>
          <w:i/>
          <w:sz w:val="20"/>
          <w:szCs w:val="20"/>
        </w:rPr>
        <w:footnoteReference w:id="13"/>
      </w:r>
      <w:r w:rsidRPr="00144AD0">
        <w:rPr>
          <w:i/>
          <w:sz w:val="20"/>
          <w:szCs w:val="20"/>
        </w:rPr>
        <w:t>.</w:t>
      </w:r>
      <w:r w:rsidRPr="00144AD0">
        <w:rPr>
          <w:rStyle w:val="FootnoteReference"/>
          <w:i/>
          <w:sz w:val="20"/>
          <w:szCs w:val="20"/>
        </w:rPr>
        <w:t xml:space="preserve"> </w:t>
      </w:r>
    </w:p>
    <w:p w:rsidR="001360BD" w:rsidRPr="00144AD0" w:rsidRDefault="001360BD" w:rsidP="00144AD0">
      <w:pPr>
        <w:pStyle w:val="BodyT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2F2F2" w:themeFill="background1" w:themeFillShade="F2"/>
        <w:spacing w:before="120"/>
        <w:rPr>
          <w:sz w:val="20"/>
          <w:szCs w:val="20"/>
        </w:rPr>
      </w:pPr>
      <w:r w:rsidRPr="00C80441">
        <w:rPr>
          <w:sz w:val="20"/>
          <w:szCs w:val="20"/>
        </w:rPr>
        <w:t xml:space="preserve">The </w:t>
      </w:r>
      <w:r w:rsidR="00216F9A" w:rsidRPr="00C80441">
        <w:rPr>
          <w:sz w:val="20"/>
          <w:szCs w:val="20"/>
        </w:rPr>
        <w:t>Product Stewardship for Oil</w:t>
      </w:r>
      <w:r w:rsidRPr="00C80441">
        <w:rPr>
          <w:sz w:val="20"/>
          <w:szCs w:val="20"/>
        </w:rPr>
        <w:t xml:space="preserve"> program provides a financial incentive (of 50</w:t>
      </w:r>
      <w:r w:rsidR="00216F9A" w:rsidRPr="00C80441">
        <w:rPr>
          <w:sz w:val="20"/>
          <w:szCs w:val="20"/>
        </w:rPr>
        <w:t xml:space="preserve"> </w:t>
      </w:r>
      <w:r w:rsidRPr="00C80441">
        <w:rPr>
          <w:sz w:val="20"/>
          <w:szCs w:val="20"/>
        </w:rPr>
        <w:t>cents/li</w:t>
      </w:r>
      <w:r w:rsidR="008F5A72" w:rsidRPr="00C80441">
        <w:rPr>
          <w:sz w:val="20"/>
          <w:szCs w:val="20"/>
        </w:rPr>
        <w:t>tre) for industry to re-refine</w:t>
      </w:r>
      <w:r w:rsidRPr="00C80441">
        <w:rPr>
          <w:sz w:val="20"/>
          <w:szCs w:val="20"/>
        </w:rPr>
        <w:t xml:space="preserve"> waste oil for sale.</w:t>
      </w:r>
      <w:r w:rsidRPr="00144AD0">
        <w:rPr>
          <w:sz w:val="20"/>
          <w:szCs w:val="20"/>
        </w:rPr>
        <w:t xml:space="preserve"> </w:t>
      </w:r>
    </w:p>
    <w:p w:rsidR="00963C6C" w:rsidRPr="00816657" w:rsidRDefault="00963C6C" w:rsidP="007F5BD4">
      <w:pPr>
        <w:pStyle w:val="BodyText"/>
        <w:spacing w:before="120"/>
        <w:rPr>
          <w:b/>
        </w:rPr>
      </w:pPr>
      <w:r w:rsidRPr="00FA10FC">
        <w:rPr>
          <w:b/>
          <w:color w:val="0000FF" w:themeColor="text2"/>
        </w:rPr>
        <w:t>Summary analysis</w:t>
      </w:r>
    </w:p>
    <w:tbl>
      <w:tblPr>
        <w:tblStyle w:val="BETable11"/>
        <w:tblW w:w="4956" w:type="pct"/>
        <w:tblInd w:w="0" w:type="dxa"/>
        <w:tblBorders>
          <w:insideH w:val="none" w:sz="0" w:space="0" w:color="auto"/>
          <w:insideV w:val="single" w:sz="4" w:space="0" w:color="7F7F7F" w:themeColor="background2"/>
        </w:tblBorders>
        <w:tblLook w:val="04A0"/>
      </w:tblPr>
      <w:tblGrid>
        <w:gridCol w:w="3185"/>
        <w:gridCol w:w="3186"/>
        <w:gridCol w:w="3184"/>
      </w:tblGrid>
      <w:tr w:rsidR="00843995" w:rsidRPr="00816657" w:rsidTr="00843995">
        <w:trPr>
          <w:cnfStyle w:val="100000000000"/>
        </w:trPr>
        <w:tc>
          <w:tcPr>
            <w:cnfStyle w:val="001000000000"/>
            <w:tcW w:w="1667" w:type="pct"/>
            <w:tcBorders>
              <w:bottom w:val="single" w:sz="4" w:space="0" w:color="7F7F7F" w:themeColor="background2"/>
            </w:tcBorders>
          </w:tcPr>
          <w:p w:rsidR="00843995" w:rsidRPr="00816657" w:rsidRDefault="00843995" w:rsidP="00BC3BD0">
            <w:pPr>
              <w:pStyle w:val="BodyText"/>
              <w:rPr>
                <w:sz w:val="20"/>
                <w:szCs w:val="20"/>
              </w:rPr>
            </w:pPr>
            <w:r w:rsidRPr="00816657">
              <w:rPr>
                <w:sz w:val="20"/>
                <w:szCs w:val="20"/>
              </w:rPr>
              <w:t>Industry sources</w:t>
            </w:r>
          </w:p>
        </w:tc>
        <w:tc>
          <w:tcPr>
            <w:tcW w:w="1667" w:type="pct"/>
            <w:tcBorders>
              <w:bottom w:val="single" w:sz="4" w:space="0" w:color="7F7F7F" w:themeColor="background2"/>
            </w:tcBorders>
          </w:tcPr>
          <w:p w:rsidR="00843995" w:rsidRPr="00816657" w:rsidRDefault="00843995" w:rsidP="00EA7F18">
            <w:pPr>
              <w:pStyle w:val="BodyText"/>
              <w:cnfStyle w:val="100000000000"/>
              <w:rPr>
                <w:sz w:val="20"/>
                <w:szCs w:val="20"/>
              </w:rPr>
            </w:pPr>
            <w:r w:rsidRPr="00816657">
              <w:rPr>
                <w:sz w:val="20"/>
                <w:szCs w:val="20"/>
              </w:rPr>
              <w:t>Considerations</w:t>
            </w:r>
          </w:p>
        </w:tc>
        <w:tc>
          <w:tcPr>
            <w:tcW w:w="1666" w:type="pct"/>
            <w:tcBorders>
              <w:bottom w:val="single" w:sz="4" w:space="0" w:color="7F7F7F" w:themeColor="background2"/>
            </w:tcBorders>
          </w:tcPr>
          <w:p w:rsidR="00843995" w:rsidRPr="00816657" w:rsidRDefault="00843995" w:rsidP="00EA7F18">
            <w:pPr>
              <w:pStyle w:val="BodyText"/>
              <w:cnfStyle w:val="100000000000"/>
              <w:rPr>
                <w:sz w:val="20"/>
                <w:szCs w:val="20"/>
              </w:rPr>
            </w:pPr>
            <w:r w:rsidRPr="00816657">
              <w:rPr>
                <w:sz w:val="20"/>
                <w:szCs w:val="20"/>
              </w:rPr>
              <w:t>Approach</w:t>
            </w:r>
          </w:p>
        </w:tc>
      </w:tr>
      <w:tr w:rsidR="00843995" w:rsidRPr="00816657" w:rsidTr="00843995">
        <w:tc>
          <w:tcPr>
            <w:cnfStyle w:val="001000000000"/>
            <w:tcW w:w="1667" w:type="pct"/>
            <w:vMerge w:val="restart"/>
            <w:tcBorders>
              <w:top w:val="single" w:sz="4" w:space="0" w:color="7F7F7F" w:themeColor="background2"/>
            </w:tcBorders>
          </w:tcPr>
          <w:p w:rsidR="008C7F61" w:rsidRPr="007F5BD4" w:rsidRDefault="008C7F61" w:rsidP="007F5BD4">
            <w:pPr>
              <w:pStyle w:val="ListParagraph"/>
              <w:numPr>
                <w:ilvl w:val="0"/>
                <w:numId w:val="62"/>
              </w:numPr>
              <w:spacing w:line="240" w:lineRule="auto"/>
              <w:ind w:left="426"/>
              <w:rPr>
                <w:rFonts w:cs="Times New Roman"/>
                <w:color w:val="000000"/>
                <w:szCs w:val="20"/>
                <w:lang w:eastAsia="en-AU"/>
              </w:rPr>
            </w:pPr>
            <w:r w:rsidRPr="007F5BD4">
              <w:rPr>
                <w:rFonts w:cs="Times New Roman"/>
                <w:color w:val="000000"/>
                <w:szCs w:val="20"/>
                <w:lang w:eastAsia="en-AU"/>
              </w:rPr>
              <w:t>Mining</w:t>
            </w:r>
          </w:p>
          <w:p w:rsidR="008C7F61" w:rsidRPr="007F5BD4" w:rsidRDefault="008C7F61" w:rsidP="007F5BD4">
            <w:pPr>
              <w:pStyle w:val="ListParagraph"/>
              <w:numPr>
                <w:ilvl w:val="0"/>
                <w:numId w:val="62"/>
              </w:numPr>
              <w:spacing w:line="240" w:lineRule="auto"/>
              <w:ind w:left="426"/>
              <w:rPr>
                <w:rFonts w:cs="Times New Roman"/>
                <w:color w:val="000000"/>
                <w:szCs w:val="20"/>
                <w:lang w:eastAsia="en-AU"/>
              </w:rPr>
            </w:pPr>
            <w:r w:rsidRPr="007F5BD4">
              <w:rPr>
                <w:rFonts w:cs="Times New Roman"/>
                <w:color w:val="000000"/>
                <w:szCs w:val="20"/>
                <w:lang w:eastAsia="en-AU"/>
              </w:rPr>
              <w:t>Manufacturing (various)</w:t>
            </w:r>
          </w:p>
          <w:p w:rsidR="008C7F61" w:rsidRPr="007F5BD4" w:rsidRDefault="008C7F61" w:rsidP="007F5BD4">
            <w:pPr>
              <w:pStyle w:val="ListParagraph"/>
              <w:numPr>
                <w:ilvl w:val="0"/>
                <w:numId w:val="62"/>
              </w:numPr>
              <w:spacing w:line="240" w:lineRule="auto"/>
              <w:ind w:left="426"/>
              <w:rPr>
                <w:rFonts w:cs="Times New Roman"/>
                <w:color w:val="000000"/>
                <w:szCs w:val="20"/>
                <w:lang w:eastAsia="en-AU"/>
              </w:rPr>
            </w:pPr>
            <w:r w:rsidRPr="007F5BD4">
              <w:rPr>
                <w:rFonts w:cs="Times New Roman"/>
                <w:color w:val="000000"/>
                <w:szCs w:val="20"/>
                <w:lang w:eastAsia="en-AU"/>
              </w:rPr>
              <w:t>Transport</w:t>
            </w:r>
          </w:p>
          <w:p w:rsidR="008C7F61" w:rsidRPr="007F5BD4" w:rsidRDefault="008C7F61" w:rsidP="007F5BD4">
            <w:pPr>
              <w:pStyle w:val="ListParagraph"/>
              <w:numPr>
                <w:ilvl w:val="0"/>
                <w:numId w:val="62"/>
              </w:numPr>
              <w:spacing w:line="240" w:lineRule="auto"/>
              <w:ind w:left="426"/>
              <w:rPr>
                <w:rFonts w:cs="Times New Roman"/>
                <w:color w:val="000000"/>
                <w:szCs w:val="20"/>
                <w:lang w:eastAsia="en-AU"/>
              </w:rPr>
            </w:pPr>
            <w:r w:rsidRPr="007F5BD4">
              <w:rPr>
                <w:rFonts w:cs="Times New Roman"/>
                <w:color w:val="000000"/>
                <w:szCs w:val="20"/>
                <w:lang w:eastAsia="en-AU"/>
              </w:rPr>
              <w:t>Retail (vehicle servicing shops)</w:t>
            </w:r>
          </w:p>
          <w:p w:rsidR="00843995" w:rsidRPr="007F5BD4" w:rsidRDefault="008C7F61" w:rsidP="007F5BD4">
            <w:pPr>
              <w:pStyle w:val="ListParagraph"/>
              <w:numPr>
                <w:ilvl w:val="0"/>
                <w:numId w:val="62"/>
              </w:numPr>
              <w:spacing w:line="240" w:lineRule="auto"/>
              <w:ind w:left="426"/>
              <w:rPr>
                <w:rFonts w:cs="Times New Roman"/>
                <w:color w:val="000000"/>
                <w:szCs w:val="20"/>
                <w:lang w:eastAsia="en-AU"/>
              </w:rPr>
            </w:pPr>
            <w:r w:rsidRPr="007F5BD4">
              <w:rPr>
                <w:rFonts w:cs="Times New Roman"/>
                <w:color w:val="000000"/>
                <w:szCs w:val="20"/>
                <w:lang w:eastAsia="en-AU"/>
              </w:rPr>
              <w:t>Waste sector.</w:t>
            </w:r>
          </w:p>
        </w:tc>
        <w:tc>
          <w:tcPr>
            <w:tcW w:w="1667" w:type="pct"/>
            <w:tcBorders>
              <w:top w:val="single" w:sz="4" w:space="0" w:color="7F7F7F" w:themeColor="background2"/>
            </w:tcBorders>
          </w:tcPr>
          <w:p w:rsidR="00843995" w:rsidRPr="00816657" w:rsidRDefault="00843995" w:rsidP="00BC3BD0">
            <w:pPr>
              <w:pStyle w:val="BodyText"/>
              <w:cnfStyle w:val="000000000000"/>
              <w:rPr>
                <w:sz w:val="20"/>
                <w:szCs w:val="20"/>
              </w:rPr>
            </w:pPr>
            <w:r w:rsidRPr="00816657">
              <w:rPr>
                <w:sz w:val="20"/>
                <w:szCs w:val="20"/>
              </w:rPr>
              <w:t>No sufficiently credible pre-existing projections were identified</w:t>
            </w:r>
          </w:p>
        </w:tc>
        <w:tc>
          <w:tcPr>
            <w:tcW w:w="1666" w:type="pct"/>
            <w:tcBorders>
              <w:top w:val="single" w:sz="4" w:space="0" w:color="7F7F7F" w:themeColor="background2"/>
            </w:tcBorders>
          </w:tcPr>
          <w:p w:rsidR="00843995" w:rsidRPr="00816657" w:rsidRDefault="00843995"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causal analysis</w:t>
            </w:r>
          </w:p>
        </w:tc>
      </w:tr>
      <w:tr w:rsidR="00843995" w:rsidRPr="00816657" w:rsidTr="00843995">
        <w:tc>
          <w:tcPr>
            <w:cnfStyle w:val="001000000000"/>
            <w:tcW w:w="1667" w:type="pct"/>
            <w:vMerge/>
          </w:tcPr>
          <w:p w:rsidR="00843995" w:rsidRPr="00816657" w:rsidRDefault="00843995" w:rsidP="00963C6C">
            <w:pPr>
              <w:spacing w:line="240" w:lineRule="auto"/>
              <w:rPr>
                <w:rFonts w:cs="Times New Roman"/>
                <w:color w:val="000000"/>
                <w:szCs w:val="20"/>
                <w:lang w:eastAsia="en-AU"/>
              </w:rPr>
            </w:pPr>
          </w:p>
        </w:tc>
        <w:tc>
          <w:tcPr>
            <w:tcW w:w="1667" w:type="pct"/>
          </w:tcPr>
          <w:p w:rsidR="00843995" w:rsidRPr="00816657" w:rsidRDefault="00843995" w:rsidP="00963C6C">
            <w:pPr>
              <w:spacing w:line="240" w:lineRule="auto"/>
              <w:cnfStyle w:val="000000000000"/>
              <w:rPr>
                <w:rFonts w:cs="Times New Roman"/>
                <w:color w:val="000000"/>
                <w:szCs w:val="20"/>
                <w:lang w:eastAsia="en-AU"/>
              </w:rPr>
            </w:pPr>
            <w:r w:rsidRPr="00816657">
              <w:rPr>
                <w:rFonts w:cs="Times New Roman"/>
                <w:color w:val="000000"/>
                <w:szCs w:val="20"/>
                <w:lang w:eastAsia="en-AU"/>
              </w:rPr>
              <w:t>No historical data set exists that is adequate for discerning trends</w:t>
            </w:r>
          </w:p>
        </w:tc>
        <w:tc>
          <w:tcPr>
            <w:tcW w:w="1666" w:type="pct"/>
          </w:tcPr>
          <w:p w:rsidR="00843995" w:rsidRPr="00816657" w:rsidRDefault="00843995" w:rsidP="00963C6C">
            <w:pPr>
              <w:spacing w:line="240" w:lineRule="auto"/>
              <w:cnfStyle w:val="000000000000"/>
              <w:rPr>
                <w:rFonts w:cs="Times New Roman"/>
                <w:color w:val="000000"/>
                <w:szCs w:val="20"/>
                <w:lang w:eastAsia="en-AU"/>
              </w:rPr>
            </w:pPr>
          </w:p>
        </w:tc>
      </w:tr>
    </w:tbl>
    <w:p w:rsidR="001360BD" w:rsidRDefault="001360BD" w:rsidP="00216F9A">
      <w:pPr>
        <w:pStyle w:val="BodyText"/>
      </w:pPr>
    </w:p>
    <w:p w:rsidR="00376588" w:rsidRPr="00816657" w:rsidRDefault="00376588" w:rsidP="00655F62">
      <w:pPr>
        <w:pStyle w:val="Figures"/>
      </w:pPr>
      <w:bookmarkStart w:id="145" w:name="_Toc425849304"/>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19</w:t>
      </w:r>
      <w:r w:rsidR="006D07F5" w:rsidRPr="00816657">
        <w:rPr>
          <w:noProof/>
        </w:rPr>
        <w:fldChar w:fldCharType="end"/>
      </w:r>
      <w:r w:rsidRPr="00816657">
        <w:t xml:space="preserve">: </w:t>
      </w:r>
      <w:r w:rsidRPr="00816657">
        <w:tab/>
        <w:t>Best, high and low projected rates of change for oil waste to 2034</w:t>
      </w:r>
      <w:bookmarkEnd w:id="145"/>
    </w:p>
    <w:tbl>
      <w:tblPr>
        <w:tblStyle w:val="BETable1"/>
        <w:tblW w:w="9072" w:type="dxa"/>
        <w:tblLayout w:type="fixed"/>
        <w:tblLook w:val="04A0"/>
      </w:tblPr>
      <w:tblGrid>
        <w:gridCol w:w="709"/>
        <w:gridCol w:w="992"/>
        <w:gridCol w:w="4820"/>
        <w:gridCol w:w="850"/>
        <w:gridCol w:w="567"/>
        <w:gridCol w:w="1134"/>
      </w:tblGrid>
      <w:tr w:rsidR="00B8309B" w:rsidRPr="00816657" w:rsidTr="00963C6C">
        <w:trPr>
          <w:cnfStyle w:val="100000000000"/>
        </w:trPr>
        <w:tc>
          <w:tcPr>
            <w:cnfStyle w:val="001000000000"/>
            <w:tcW w:w="709" w:type="dxa"/>
          </w:tcPr>
          <w:p w:rsidR="00B8309B" w:rsidRPr="00816657" w:rsidRDefault="00B8309B" w:rsidP="00DF2118"/>
        </w:tc>
        <w:tc>
          <w:tcPr>
            <w:tcW w:w="992" w:type="dxa"/>
          </w:tcPr>
          <w:p w:rsidR="00B8309B" w:rsidRPr="00816657" w:rsidRDefault="00B8309B" w:rsidP="00DF2118">
            <w:pPr>
              <w:cnfStyle w:val="100000000000"/>
            </w:pPr>
            <w:r w:rsidRPr="00816657">
              <w:t>Applies to</w:t>
            </w:r>
          </w:p>
        </w:tc>
        <w:tc>
          <w:tcPr>
            <w:tcW w:w="4820" w:type="dxa"/>
          </w:tcPr>
          <w:p w:rsidR="00B8309B" w:rsidRPr="00816657" w:rsidRDefault="00B8309B" w:rsidP="00DF2118">
            <w:pPr>
              <w:cnfStyle w:val="100000000000"/>
            </w:pPr>
            <w:r w:rsidRPr="00816657">
              <w:t>Approach</w:t>
            </w:r>
          </w:p>
        </w:tc>
        <w:tc>
          <w:tcPr>
            <w:tcW w:w="850" w:type="dxa"/>
          </w:tcPr>
          <w:p w:rsidR="00B8309B" w:rsidRPr="00816657" w:rsidRDefault="00B8309B" w:rsidP="00DF1E42">
            <w:pPr>
              <w:jc w:val="right"/>
              <w:cnfStyle w:val="100000000000"/>
            </w:pPr>
            <w:r w:rsidRPr="00816657">
              <w:t>2014</w:t>
            </w:r>
          </w:p>
        </w:tc>
        <w:tc>
          <w:tcPr>
            <w:tcW w:w="567" w:type="dxa"/>
          </w:tcPr>
          <w:p w:rsidR="00B8309B" w:rsidRPr="00816657" w:rsidRDefault="00B8309B" w:rsidP="00DF1E42">
            <w:pPr>
              <w:jc w:val="right"/>
              <w:cnfStyle w:val="100000000000"/>
            </w:pPr>
            <w:r w:rsidRPr="00816657">
              <w:t>...</w:t>
            </w:r>
          </w:p>
        </w:tc>
        <w:tc>
          <w:tcPr>
            <w:tcW w:w="1134" w:type="dxa"/>
          </w:tcPr>
          <w:p w:rsidR="00B8309B" w:rsidRPr="00816657" w:rsidRDefault="00B8309B" w:rsidP="00DF1E42">
            <w:pPr>
              <w:jc w:val="right"/>
              <w:cnfStyle w:val="100000000000"/>
            </w:pPr>
            <w:r w:rsidRPr="00816657">
              <w:t>2034</w:t>
            </w:r>
          </w:p>
        </w:tc>
      </w:tr>
      <w:tr w:rsidR="00B8309B" w:rsidRPr="00816657" w:rsidTr="00963C6C">
        <w:tc>
          <w:tcPr>
            <w:cnfStyle w:val="001000000000"/>
            <w:tcW w:w="709" w:type="dxa"/>
          </w:tcPr>
          <w:p w:rsidR="00B8309B" w:rsidRPr="00816657" w:rsidRDefault="00B8309B" w:rsidP="00DF2118">
            <w:r w:rsidRPr="00816657">
              <w:t>Best</w:t>
            </w:r>
          </w:p>
        </w:tc>
        <w:tc>
          <w:tcPr>
            <w:tcW w:w="992" w:type="dxa"/>
            <w:vMerge w:val="restart"/>
            <w:vAlign w:val="center"/>
          </w:tcPr>
          <w:p w:rsidR="00B8309B" w:rsidRPr="00816657" w:rsidRDefault="00B8309B" w:rsidP="00B8309B">
            <w:pPr>
              <w:cnfStyle w:val="000000000000"/>
            </w:pPr>
            <w:r w:rsidRPr="00816657">
              <w:t>Qld, WA</w:t>
            </w:r>
          </w:p>
        </w:tc>
        <w:tc>
          <w:tcPr>
            <w:tcW w:w="4820" w:type="dxa"/>
          </w:tcPr>
          <w:p w:rsidR="00B8309B" w:rsidRPr="00816657" w:rsidRDefault="00B8309B" w:rsidP="00DF2118">
            <w:pPr>
              <w:cnfStyle w:val="000000000000"/>
            </w:pPr>
            <w:r w:rsidRPr="00816657">
              <w:t>Increase with mining</w:t>
            </w:r>
          </w:p>
        </w:tc>
        <w:tc>
          <w:tcPr>
            <w:tcW w:w="850" w:type="dxa"/>
          </w:tcPr>
          <w:p w:rsidR="00B8309B" w:rsidRPr="00816657" w:rsidRDefault="00B8309B" w:rsidP="00DF1E42">
            <w:pPr>
              <w:jc w:val="right"/>
              <w:cnfStyle w:val="000000000000"/>
            </w:pPr>
            <w:r w:rsidRPr="00816657">
              <w:t>7.7%</w:t>
            </w:r>
          </w:p>
        </w:tc>
        <w:tc>
          <w:tcPr>
            <w:tcW w:w="567" w:type="dxa"/>
          </w:tcPr>
          <w:p w:rsidR="00B8309B" w:rsidRPr="00816657" w:rsidRDefault="00B8309B" w:rsidP="00DF1E42">
            <w:pPr>
              <w:jc w:val="right"/>
              <w:cnfStyle w:val="000000000000"/>
            </w:pPr>
            <w:r w:rsidRPr="00816657">
              <w:t>...</w:t>
            </w:r>
          </w:p>
        </w:tc>
        <w:tc>
          <w:tcPr>
            <w:tcW w:w="1134" w:type="dxa"/>
          </w:tcPr>
          <w:p w:rsidR="00B8309B" w:rsidRPr="00816657" w:rsidRDefault="00B8309B" w:rsidP="00DF1E42">
            <w:pPr>
              <w:jc w:val="right"/>
              <w:cnfStyle w:val="000000000000"/>
            </w:pPr>
            <w:r w:rsidRPr="00816657">
              <w:t>7.7%</w:t>
            </w:r>
          </w:p>
        </w:tc>
      </w:tr>
      <w:tr w:rsidR="00B8309B" w:rsidRPr="00816657" w:rsidTr="00963C6C">
        <w:tc>
          <w:tcPr>
            <w:cnfStyle w:val="001000000000"/>
            <w:tcW w:w="709" w:type="dxa"/>
          </w:tcPr>
          <w:p w:rsidR="00B8309B" w:rsidRPr="00816657" w:rsidRDefault="00B8309B" w:rsidP="00DF2118">
            <w:r w:rsidRPr="00816657">
              <w:t>High</w:t>
            </w:r>
          </w:p>
        </w:tc>
        <w:tc>
          <w:tcPr>
            <w:tcW w:w="992" w:type="dxa"/>
            <w:vMerge/>
            <w:vAlign w:val="center"/>
          </w:tcPr>
          <w:p w:rsidR="00B8309B" w:rsidRPr="00816657" w:rsidRDefault="00B8309B" w:rsidP="00DF2118">
            <w:pPr>
              <w:cnfStyle w:val="000000000000"/>
            </w:pPr>
          </w:p>
        </w:tc>
        <w:tc>
          <w:tcPr>
            <w:tcW w:w="4820" w:type="dxa"/>
          </w:tcPr>
          <w:p w:rsidR="00B8309B" w:rsidRPr="00816657" w:rsidRDefault="00B8309B" w:rsidP="00DF2118">
            <w:pPr>
              <w:cnfStyle w:val="000000000000"/>
            </w:pPr>
            <w:r w:rsidRPr="00816657">
              <w:t>Stronger increase</w:t>
            </w:r>
          </w:p>
        </w:tc>
        <w:tc>
          <w:tcPr>
            <w:tcW w:w="850" w:type="dxa"/>
          </w:tcPr>
          <w:p w:rsidR="00B8309B" w:rsidRPr="00816657" w:rsidRDefault="00B8309B" w:rsidP="00DF1E42">
            <w:pPr>
              <w:jc w:val="right"/>
              <w:cnfStyle w:val="000000000000"/>
            </w:pPr>
            <w:r w:rsidRPr="00816657">
              <w:t>10.0%</w:t>
            </w:r>
          </w:p>
        </w:tc>
        <w:tc>
          <w:tcPr>
            <w:tcW w:w="567" w:type="dxa"/>
          </w:tcPr>
          <w:p w:rsidR="00B8309B" w:rsidRPr="00816657" w:rsidRDefault="00B8309B" w:rsidP="00DF1E42">
            <w:pPr>
              <w:jc w:val="right"/>
              <w:cnfStyle w:val="000000000000"/>
            </w:pPr>
            <w:r w:rsidRPr="00816657">
              <w:t>...</w:t>
            </w:r>
          </w:p>
        </w:tc>
        <w:tc>
          <w:tcPr>
            <w:tcW w:w="1134" w:type="dxa"/>
          </w:tcPr>
          <w:p w:rsidR="00B8309B" w:rsidRPr="00816657" w:rsidRDefault="00B8309B" w:rsidP="00DF1E42">
            <w:pPr>
              <w:jc w:val="right"/>
              <w:cnfStyle w:val="000000000000"/>
            </w:pPr>
            <w:r w:rsidRPr="00816657">
              <w:t>10.0%</w:t>
            </w:r>
          </w:p>
        </w:tc>
      </w:tr>
      <w:tr w:rsidR="00B8309B" w:rsidRPr="00816657" w:rsidTr="00963C6C">
        <w:tc>
          <w:tcPr>
            <w:cnfStyle w:val="001000000000"/>
            <w:tcW w:w="709" w:type="dxa"/>
            <w:tcBorders>
              <w:bottom w:val="single" w:sz="12" w:space="0" w:color="auto"/>
            </w:tcBorders>
          </w:tcPr>
          <w:p w:rsidR="00B8309B" w:rsidRPr="00816657" w:rsidRDefault="00B8309B" w:rsidP="00DF2118">
            <w:r w:rsidRPr="00816657">
              <w:t>Low</w:t>
            </w:r>
          </w:p>
        </w:tc>
        <w:tc>
          <w:tcPr>
            <w:tcW w:w="992" w:type="dxa"/>
            <w:vMerge/>
            <w:tcBorders>
              <w:bottom w:val="single" w:sz="12" w:space="0" w:color="auto"/>
            </w:tcBorders>
            <w:vAlign w:val="center"/>
          </w:tcPr>
          <w:p w:rsidR="00B8309B" w:rsidRPr="00816657" w:rsidRDefault="00B8309B" w:rsidP="00DF2118">
            <w:pPr>
              <w:cnfStyle w:val="000000000000"/>
            </w:pPr>
          </w:p>
        </w:tc>
        <w:tc>
          <w:tcPr>
            <w:tcW w:w="4820" w:type="dxa"/>
            <w:tcBorders>
              <w:bottom w:val="single" w:sz="12" w:space="0" w:color="auto"/>
            </w:tcBorders>
          </w:tcPr>
          <w:p w:rsidR="00B8309B" w:rsidRPr="00816657" w:rsidRDefault="00B8309B" w:rsidP="00DF2118">
            <w:pPr>
              <w:cnfStyle w:val="000000000000"/>
            </w:pPr>
            <w:r w:rsidRPr="00816657">
              <w:t>Economic growth</w:t>
            </w:r>
          </w:p>
        </w:tc>
        <w:tc>
          <w:tcPr>
            <w:tcW w:w="850" w:type="dxa"/>
            <w:tcBorders>
              <w:bottom w:val="single" w:sz="12" w:space="0" w:color="auto"/>
            </w:tcBorders>
          </w:tcPr>
          <w:p w:rsidR="00B8309B" w:rsidRPr="00816657" w:rsidRDefault="00B8309B" w:rsidP="00DF1E42">
            <w:pPr>
              <w:jc w:val="right"/>
              <w:cnfStyle w:val="000000000000"/>
            </w:pPr>
            <w:r w:rsidRPr="00816657">
              <w:t>2.8%</w:t>
            </w:r>
          </w:p>
        </w:tc>
        <w:tc>
          <w:tcPr>
            <w:tcW w:w="567" w:type="dxa"/>
            <w:tcBorders>
              <w:bottom w:val="single" w:sz="12" w:space="0" w:color="auto"/>
            </w:tcBorders>
          </w:tcPr>
          <w:p w:rsidR="00B8309B" w:rsidRPr="00816657" w:rsidRDefault="00B8309B" w:rsidP="00DF1E42">
            <w:pPr>
              <w:jc w:val="right"/>
              <w:cnfStyle w:val="000000000000"/>
            </w:pPr>
            <w:r w:rsidRPr="00816657">
              <w:t>...</w:t>
            </w:r>
          </w:p>
        </w:tc>
        <w:tc>
          <w:tcPr>
            <w:tcW w:w="1134" w:type="dxa"/>
            <w:tcBorders>
              <w:bottom w:val="single" w:sz="12" w:space="0" w:color="auto"/>
            </w:tcBorders>
          </w:tcPr>
          <w:p w:rsidR="00B8309B" w:rsidRPr="00816657" w:rsidRDefault="00B8309B" w:rsidP="00DF1E42">
            <w:pPr>
              <w:jc w:val="right"/>
              <w:cnfStyle w:val="000000000000"/>
            </w:pPr>
            <w:r w:rsidRPr="00816657">
              <w:t>2.8%</w:t>
            </w:r>
          </w:p>
        </w:tc>
      </w:tr>
      <w:tr w:rsidR="00B8309B" w:rsidRPr="00816657" w:rsidTr="00963C6C">
        <w:tc>
          <w:tcPr>
            <w:cnfStyle w:val="001000000000"/>
            <w:tcW w:w="709" w:type="dxa"/>
            <w:tcBorders>
              <w:top w:val="single" w:sz="12" w:space="0" w:color="auto"/>
            </w:tcBorders>
          </w:tcPr>
          <w:p w:rsidR="00B8309B" w:rsidRPr="00816657" w:rsidRDefault="00B8309B" w:rsidP="00DF2118">
            <w:r w:rsidRPr="00816657">
              <w:t>Best</w:t>
            </w:r>
          </w:p>
        </w:tc>
        <w:tc>
          <w:tcPr>
            <w:tcW w:w="992" w:type="dxa"/>
            <w:vMerge w:val="restart"/>
            <w:tcBorders>
              <w:top w:val="single" w:sz="12" w:space="0" w:color="auto"/>
            </w:tcBorders>
            <w:vAlign w:val="center"/>
          </w:tcPr>
          <w:p w:rsidR="00B8309B" w:rsidRPr="00816657" w:rsidRDefault="00B8309B" w:rsidP="00B8309B">
            <w:pPr>
              <w:cnfStyle w:val="000000000000"/>
            </w:pPr>
            <w:r w:rsidRPr="00816657">
              <w:t>ACT, NSW, NT, SA, Tas, Vic</w:t>
            </w:r>
          </w:p>
        </w:tc>
        <w:tc>
          <w:tcPr>
            <w:tcW w:w="4820" w:type="dxa"/>
            <w:tcBorders>
              <w:top w:val="single" w:sz="12" w:space="0" w:color="auto"/>
            </w:tcBorders>
          </w:tcPr>
          <w:p w:rsidR="00B8309B" w:rsidRPr="00816657" w:rsidRDefault="00B8309B" w:rsidP="00DF2118">
            <w:pPr>
              <w:cnfStyle w:val="000000000000"/>
            </w:pPr>
            <w:r w:rsidRPr="00816657">
              <w:t>Stable - increase in some areas; declining manufacturing</w:t>
            </w:r>
          </w:p>
        </w:tc>
        <w:tc>
          <w:tcPr>
            <w:tcW w:w="850" w:type="dxa"/>
            <w:tcBorders>
              <w:top w:val="single" w:sz="12" w:space="0" w:color="auto"/>
            </w:tcBorders>
          </w:tcPr>
          <w:p w:rsidR="00B8309B" w:rsidRPr="00816657" w:rsidRDefault="00B8309B" w:rsidP="00DF1E42">
            <w:pPr>
              <w:jc w:val="right"/>
              <w:cnfStyle w:val="000000000000"/>
            </w:pPr>
            <w:r w:rsidRPr="00816657">
              <w:t>0.0%</w:t>
            </w:r>
          </w:p>
        </w:tc>
        <w:tc>
          <w:tcPr>
            <w:tcW w:w="567" w:type="dxa"/>
            <w:tcBorders>
              <w:top w:val="single" w:sz="12" w:space="0" w:color="auto"/>
            </w:tcBorders>
          </w:tcPr>
          <w:p w:rsidR="00B8309B" w:rsidRPr="00816657" w:rsidRDefault="00B8309B" w:rsidP="00DF1E42">
            <w:pPr>
              <w:jc w:val="right"/>
              <w:cnfStyle w:val="000000000000"/>
            </w:pPr>
            <w:r w:rsidRPr="00816657">
              <w:t>...</w:t>
            </w:r>
          </w:p>
        </w:tc>
        <w:tc>
          <w:tcPr>
            <w:tcW w:w="1134" w:type="dxa"/>
            <w:tcBorders>
              <w:top w:val="single" w:sz="12" w:space="0" w:color="auto"/>
            </w:tcBorders>
          </w:tcPr>
          <w:p w:rsidR="00B8309B" w:rsidRPr="00816657" w:rsidRDefault="00B8309B" w:rsidP="00DF1E42">
            <w:pPr>
              <w:jc w:val="right"/>
              <w:cnfStyle w:val="000000000000"/>
            </w:pPr>
            <w:r w:rsidRPr="00816657">
              <w:t>0.0%</w:t>
            </w:r>
          </w:p>
        </w:tc>
      </w:tr>
      <w:tr w:rsidR="00B8309B" w:rsidRPr="00816657" w:rsidTr="00963C6C">
        <w:trPr>
          <w:trHeight w:val="49"/>
        </w:trPr>
        <w:tc>
          <w:tcPr>
            <w:cnfStyle w:val="001000000000"/>
            <w:tcW w:w="709" w:type="dxa"/>
          </w:tcPr>
          <w:p w:rsidR="00B8309B" w:rsidRPr="00816657" w:rsidRDefault="00B8309B" w:rsidP="00DF2118">
            <w:r w:rsidRPr="00816657">
              <w:t>High</w:t>
            </w:r>
          </w:p>
        </w:tc>
        <w:tc>
          <w:tcPr>
            <w:tcW w:w="992" w:type="dxa"/>
            <w:vMerge/>
          </w:tcPr>
          <w:p w:rsidR="00B8309B" w:rsidRPr="00816657" w:rsidRDefault="00B8309B" w:rsidP="00DF2118">
            <w:pPr>
              <w:cnfStyle w:val="000000000000"/>
            </w:pPr>
          </w:p>
        </w:tc>
        <w:tc>
          <w:tcPr>
            <w:tcW w:w="4820" w:type="dxa"/>
          </w:tcPr>
          <w:p w:rsidR="00B8309B" w:rsidRPr="00816657" w:rsidRDefault="00B8309B" w:rsidP="00DF2118">
            <w:pPr>
              <w:cnfStyle w:val="000000000000"/>
            </w:pPr>
            <w:r w:rsidRPr="00816657">
              <w:t>Best estimate of annual rate of change + 2%</w:t>
            </w:r>
          </w:p>
        </w:tc>
        <w:tc>
          <w:tcPr>
            <w:tcW w:w="850" w:type="dxa"/>
          </w:tcPr>
          <w:p w:rsidR="00B8309B" w:rsidRPr="00816657" w:rsidRDefault="00B8309B" w:rsidP="00DF1E42">
            <w:pPr>
              <w:jc w:val="right"/>
              <w:cnfStyle w:val="000000000000"/>
            </w:pPr>
            <w:r w:rsidRPr="00816657">
              <w:t>2.0%</w:t>
            </w:r>
          </w:p>
        </w:tc>
        <w:tc>
          <w:tcPr>
            <w:tcW w:w="567" w:type="dxa"/>
          </w:tcPr>
          <w:p w:rsidR="00B8309B" w:rsidRPr="00816657" w:rsidRDefault="00B8309B" w:rsidP="00DF1E42">
            <w:pPr>
              <w:jc w:val="right"/>
              <w:cnfStyle w:val="000000000000"/>
            </w:pPr>
            <w:r w:rsidRPr="00816657">
              <w:t>...</w:t>
            </w:r>
          </w:p>
        </w:tc>
        <w:tc>
          <w:tcPr>
            <w:tcW w:w="1134" w:type="dxa"/>
          </w:tcPr>
          <w:p w:rsidR="00B8309B" w:rsidRPr="00816657" w:rsidRDefault="00B8309B" w:rsidP="00DF1E42">
            <w:pPr>
              <w:jc w:val="right"/>
              <w:cnfStyle w:val="000000000000"/>
            </w:pPr>
            <w:r w:rsidRPr="00816657">
              <w:t>2.0%</w:t>
            </w:r>
          </w:p>
        </w:tc>
      </w:tr>
      <w:tr w:rsidR="00B8309B" w:rsidRPr="00816657" w:rsidTr="00963C6C">
        <w:tc>
          <w:tcPr>
            <w:cnfStyle w:val="001000000000"/>
            <w:tcW w:w="709" w:type="dxa"/>
          </w:tcPr>
          <w:p w:rsidR="00B8309B" w:rsidRPr="00816657" w:rsidRDefault="00B8309B" w:rsidP="00DF2118">
            <w:r w:rsidRPr="00816657">
              <w:t>Low</w:t>
            </w:r>
          </w:p>
        </w:tc>
        <w:tc>
          <w:tcPr>
            <w:tcW w:w="992" w:type="dxa"/>
            <w:vMerge/>
          </w:tcPr>
          <w:p w:rsidR="00B8309B" w:rsidRPr="00816657" w:rsidRDefault="00B8309B" w:rsidP="00DF2118">
            <w:pPr>
              <w:cnfStyle w:val="000000000000"/>
            </w:pPr>
          </w:p>
        </w:tc>
        <w:tc>
          <w:tcPr>
            <w:tcW w:w="4820" w:type="dxa"/>
          </w:tcPr>
          <w:p w:rsidR="00B8309B" w:rsidRPr="00816657" w:rsidRDefault="00B8309B" w:rsidP="00DF2118">
            <w:pPr>
              <w:cnfStyle w:val="000000000000"/>
            </w:pPr>
            <w:r w:rsidRPr="00816657">
              <w:t>Best estimate of annual rate of change - 2%</w:t>
            </w:r>
          </w:p>
        </w:tc>
        <w:tc>
          <w:tcPr>
            <w:tcW w:w="850" w:type="dxa"/>
          </w:tcPr>
          <w:p w:rsidR="00B8309B" w:rsidRPr="00816657" w:rsidRDefault="00B8309B" w:rsidP="00DF1E42">
            <w:pPr>
              <w:jc w:val="right"/>
              <w:cnfStyle w:val="000000000000"/>
            </w:pPr>
            <w:r w:rsidRPr="00816657">
              <w:t>-2.0%</w:t>
            </w:r>
          </w:p>
        </w:tc>
        <w:tc>
          <w:tcPr>
            <w:tcW w:w="567" w:type="dxa"/>
          </w:tcPr>
          <w:p w:rsidR="00B8309B" w:rsidRPr="00816657" w:rsidRDefault="00B8309B" w:rsidP="00DF1E42">
            <w:pPr>
              <w:jc w:val="right"/>
              <w:cnfStyle w:val="000000000000"/>
            </w:pPr>
            <w:r w:rsidRPr="00816657">
              <w:t>...</w:t>
            </w:r>
          </w:p>
        </w:tc>
        <w:tc>
          <w:tcPr>
            <w:tcW w:w="1134" w:type="dxa"/>
          </w:tcPr>
          <w:p w:rsidR="00B8309B" w:rsidRPr="00816657" w:rsidRDefault="00B8309B" w:rsidP="00DF1E42">
            <w:pPr>
              <w:jc w:val="right"/>
              <w:cnfStyle w:val="000000000000"/>
            </w:pPr>
            <w:r w:rsidRPr="00816657">
              <w:t>-2.0%</w:t>
            </w:r>
          </w:p>
        </w:tc>
      </w:tr>
    </w:tbl>
    <w:p w:rsidR="00923849" w:rsidRDefault="00923849" w:rsidP="007F5BD4">
      <w:pPr>
        <w:pStyle w:val="BodyText"/>
      </w:pPr>
    </w:p>
    <w:p w:rsidR="00D92260" w:rsidRPr="00816657" w:rsidRDefault="00225209" w:rsidP="00655F62">
      <w:pPr>
        <w:pStyle w:val="Figures"/>
      </w:pPr>
      <w:bookmarkStart w:id="146" w:name="_Toc425849234"/>
      <w:r w:rsidRPr="00C05ED6">
        <w:rPr>
          <w:noProof/>
          <w:lang w:eastAsia="en-AU"/>
        </w:rPr>
        <w:lastRenderedPageBreak/>
        <w:drawing>
          <wp:anchor distT="0" distB="0" distL="114300" distR="114300" simplePos="0" relativeHeight="251656704" behindDoc="0" locked="0" layoutInCell="1" allowOverlap="1">
            <wp:simplePos x="0" y="0"/>
            <wp:positionH relativeFrom="column">
              <wp:posOffset>306705</wp:posOffset>
            </wp:positionH>
            <wp:positionV relativeFrom="paragraph">
              <wp:posOffset>249555</wp:posOffset>
            </wp:positionV>
            <wp:extent cx="5281295" cy="209994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1295" cy="2099945"/>
                    </a:xfrm>
                    <a:prstGeom prst="rect">
                      <a:avLst/>
                    </a:prstGeom>
                  </pic:spPr>
                </pic:pic>
              </a:graphicData>
            </a:graphic>
          </wp:anchor>
        </w:drawing>
      </w:r>
      <w:r w:rsidR="00D92260"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16</w:t>
      </w:r>
      <w:r w:rsidR="006D07F5" w:rsidRPr="00816657">
        <w:rPr>
          <w:noProof/>
        </w:rPr>
        <w:fldChar w:fldCharType="end"/>
      </w:r>
      <w:r w:rsidR="00D92260" w:rsidRPr="00816657">
        <w:t xml:space="preserve">: </w:t>
      </w:r>
      <w:r w:rsidR="00D92260" w:rsidRPr="00816657">
        <w:tab/>
        <w:t>Best, high and low national projection estimates of oil waste to 2034</w:t>
      </w:r>
      <w:bookmarkEnd w:id="146"/>
    </w:p>
    <w:p w:rsidR="00D92260" w:rsidRPr="00816657" w:rsidRDefault="00D92260" w:rsidP="00D92260">
      <w:pPr>
        <w:spacing w:line="240" w:lineRule="auto"/>
      </w:pPr>
    </w:p>
    <w:p w:rsidR="00D92260" w:rsidRPr="00816657" w:rsidRDefault="00D92260" w:rsidP="00D92260">
      <w:pPr>
        <w:spacing w:line="240" w:lineRule="auto"/>
      </w:pPr>
    </w:p>
    <w:p w:rsidR="00B8309B" w:rsidRPr="00816657" w:rsidRDefault="00B8309B">
      <w:pPr>
        <w:spacing w:line="240" w:lineRule="auto"/>
        <w:rPr>
          <w:rFonts w:ascii="Arial Rounded MT Bold" w:hAnsi="Arial Rounded MT Bold" w:cs="Arial"/>
          <w:color w:val="0000FF"/>
          <w:sz w:val="36"/>
          <w:szCs w:val="36"/>
        </w:rPr>
      </w:pPr>
      <w:r w:rsidRPr="00816657">
        <w:br w:type="page"/>
      </w:r>
    </w:p>
    <w:p w:rsidR="00D92260" w:rsidRDefault="00D92260" w:rsidP="005D6078">
      <w:pPr>
        <w:pStyle w:val="Heading3"/>
      </w:pPr>
      <w:r w:rsidRPr="00816657">
        <w:lastRenderedPageBreak/>
        <w:t>K100. Animal effluent and residues (+ food processing waste)</w:t>
      </w:r>
    </w:p>
    <w:p w:rsidR="00AD3EED" w:rsidRPr="00AD3EED" w:rsidRDefault="00AD3EED" w:rsidP="00AD3EED">
      <w:pPr>
        <w:spacing w:line="240" w:lineRule="auto"/>
        <w:rPr>
          <w:color w:val="080808"/>
          <w:sz w:val="22"/>
        </w:rPr>
      </w:pPr>
      <w:r w:rsidRPr="00AD3EED">
        <w:rPr>
          <w:color w:val="080808"/>
          <w:sz w:val="22"/>
        </w:rPr>
        <w:t xml:space="preserve">This waste group is represents the NEPM code </w:t>
      </w:r>
      <w:r w:rsidRPr="00AD3EED">
        <w:rPr>
          <w:i/>
          <w:color w:val="080808"/>
          <w:sz w:val="22"/>
        </w:rPr>
        <w:t xml:space="preserve">K100 </w:t>
      </w:r>
      <w:r w:rsidRPr="00AD3EED">
        <w:rPr>
          <w:rFonts w:cs="Times New Roman"/>
          <w:i/>
          <w:color w:val="000000"/>
          <w:sz w:val="22"/>
          <w:szCs w:val="20"/>
        </w:rPr>
        <w:t>Animal effluent and residues (abattoir effluent, poultry and fish processing wastes)</w:t>
      </w:r>
      <w:r w:rsidRPr="00AD3EED">
        <w:rPr>
          <w:rFonts w:cs="Times New Roman"/>
          <w:color w:val="000000"/>
          <w:sz w:val="22"/>
          <w:szCs w:val="20"/>
        </w:rPr>
        <w:t xml:space="preserve">, plus the wastes unique to Queensland </w:t>
      </w:r>
      <w:r w:rsidRPr="00AD3EED">
        <w:rPr>
          <w:rFonts w:cs="Times New Roman"/>
          <w:i/>
          <w:color w:val="000000"/>
          <w:sz w:val="22"/>
          <w:szCs w:val="20"/>
        </w:rPr>
        <w:t>regulated</w:t>
      </w:r>
      <w:r w:rsidRPr="00AD3EED">
        <w:rPr>
          <w:rFonts w:cs="Times New Roman"/>
          <w:color w:val="000000"/>
          <w:sz w:val="22"/>
          <w:szCs w:val="20"/>
        </w:rPr>
        <w:t xml:space="preserve"> waste: </w:t>
      </w:r>
      <w:r w:rsidRPr="00AD3EED">
        <w:rPr>
          <w:rFonts w:cs="Times New Roman"/>
          <w:i/>
          <w:color w:val="000000"/>
          <w:sz w:val="22"/>
          <w:szCs w:val="20"/>
        </w:rPr>
        <w:t>Liquid food processing waste</w:t>
      </w:r>
      <w:r w:rsidRPr="00AD3EED">
        <w:rPr>
          <w:rFonts w:cs="Times New Roman"/>
          <w:color w:val="000000"/>
          <w:sz w:val="22"/>
          <w:szCs w:val="20"/>
        </w:rPr>
        <w:t xml:space="preserve"> and Victoria: </w:t>
      </w:r>
      <w:r w:rsidRPr="00AD3EED">
        <w:rPr>
          <w:rFonts w:cs="Times New Roman"/>
          <w:i/>
          <w:color w:val="000000"/>
          <w:sz w:val="22"/>
          <w:szCs w:val="20"/>
        </w:rPr>
        <w:t>Food and beverage processing wastes, including animal and vegetable oils and derivatives</w:t>
      </w:r>
      <w:r w:rsidRPr="00AD3EED">
        <w:rPr>
          <w:rFonts w:cs="Times New Roman"/>
          <w:color w:val="000000"/>
          <w:sz w:val="22"/>
          <w:szCs w:val="20"/>
        </w:rPr>
        <w:t>, both so-called K200. Animal effluent and residues includes abattoir wastes such as manure from the stockyards and the partly digested paunch or stomach content, as well as similar waste components from poultry and fish processing activities.</w:t>
      </w:r>
      <w:r>
        <w:rPr>
          <w:rFonts w:cs="Times New Roman"/>
          <w:color w:val="000000"/>
          <w:sz w:val="22"/>
          <w:szCs w:val="20"/>
        </w:rPr>
        <w:t xml:space="preserve"> </w:t>
      </w:r>
      <w:r w:rsidRPr="00AD3EED">
        <w:rPr>
          <w:rFonts w:cs="Times New Roman"/>
          <w:color w:val="000000"/>
          <w:sz w:val="22"/>
          <w:szCs w:val="20"/>
        </w:rPr>
        <w:t xml:space="preserve">It is notable that neither NSW nor SA </w:t>
      </w:r>
      <w:proofErr w:type="gramStart"/>
      <w:r w:rsidRPr="00AD3EED">
        <w:rPr>
          <w:rFonts w:cs="Times New Roman"/>
          <w:color w:val="000000"/>
          <w:sz w:val="22"/>
          <w:szCs w:val="20"/>
        </w:rPr>
        <w:t>track</w:t>
      </w:r>
      <w:proofErr w:type="gramEnd"/>
      <w:r w:rsidRPr="00AD3EED">
        <w:rPr>
          <w:rFonts w:cs="Times New Roman"/>
          <w:color w:val="000000"/>
          <w:sz w:val="22"/>
          <w:szCs w:val="20"/>
        </w:rPr>
        <w:t xml:space="preserve"> this waste group.</w:t>
      </w:r>
    </w:p>
    <w:p w:rsidR="00AD3EED" w:rsidRPr="005E3D0E" w:rsidRDefault="00AD3EED" w:rsidP="007F5BD4">
      <w:pPr>
        <w:pStyle w:val="BodyText"/>
      </w:pPr>
    </w:p>
    <w:p w:rsidR="00542624" w:rsidRPr="00816657" w:rsidRDefault="00542624" w:rsidP="00542624">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10"/>
        <w:gridCol w:w="2410"/>
        <w:gridCol w:w="2410"/>
        <w:gridCol w:w="2410"/>
      </w:tblGrid>
      <w:tr w:rsidR="00E42D11" w:rsidRPr="00816657" w:rsidTr="00EA7F18">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843995" w:rsidRPr="00816657" w:rsidTr="00EA7F18">
        <w:tc>
          <w:tcPr>
            <w:cnfStyle w:val="001000000000"/>
            <w:tcW w:w="1250" w:type="pct"/>
            <w:vMerge w:val="restart"/>
            <w:tcBorders>
              <w:top w:val="single" w:sz="4" w:space="0" w:color="7F7F7F" w:themeColor="background2"/>
            </w:tcBorders>
          </w:tcPr>
          <w:p w:rsidR="00AD3EED" w:rsidRPr="007F5BD4" w:rsidRDefault="00AD3EED" w:rsidP="007F5BD4">
            <w:pPr>
              <w:pStyle w:val="ListParagraph"/>
              <w:numPr>
                <w:ilvl w:val="0"/>
                <w:numId w:val="63"/>
              </w:numPr>
              <w:spacing w:line="240" w:lineRule="auto"/>
              <w:ind w:left="426"/>
              <w:rPr>
                <w:rFonts w:cs="Times New Roman"/>
                <w:color w:val="000000"/>
                <w:szCs w:val="20"/>
                <w:lang w:eastAsia="en-AU"/>
              </w:rPr>
            </w:pPr>
            <w:r w:rsidRPr="007F5BD4">
              <w:rPr>
                <w:rFonts w:cs="Times New Roman"/>
                <w:color w:val="000000"/>
                <w:szCs w:val="20"/>
                <w:lang w:eastAsia="en-AU"/>
              </w:rPr>
              <w:t>Food product manufacturing (meat, poultry and dairy processing)</w:t>
            </w:r>
          </w:p>
          <w:p w:rsidR="00843995" w:rsidRPr="007F5BD4" w:rsidRDefault="00AD3EED" w:rsidP="007F5BD4">
            <w:pPr>
              <w:pStyle w:val="ListParagraph"/>
              <w:numPr>
                <w:ilvl w:val="0"/>
                <w:numId w:val="63"/>
              </w:numPr>
              <w:spacing w:line="240" w:lineRule="auto"/>
              <w:ind w:left="426"/>
              <w:rPr>
                <w:rFonts w:cs="Times New Roman"/>
                <w:color w:val="000000"/>
                <w:szCs w:val="20"/>
                <w:lang w:eastAsia="en-AU"/>
              </w:rPr>
            </w:pPr>
            <w:r w:rsidRPr="007F5BD4">
              <w:rPr>
                <w:rFonts w:cs="Times New Roman"/>
                <w:color w:val="000000"/>
                <w:szCs w:val="20"/>
                <w:lang w:eastAsia="en-AU"/>
              </w:rPr>
              <w:t>Waste sector</w:t>
            </w:r>
          </w:p>
        </w:tc>
        <w:tc>
          <w:tcPr>
            <w:tcW w:w="1250" w:type="pct"/>
            <w:tcBorders>
              <w:top w:val="single" w:sz="4" w:space="0" w:color="7F7F7F" w:themeColor="background2"/>
            </w:tcBorders>
          </w:tcPr>
          <w:p w:rsidR="00843995" w:rsidRPr="00816657" w:rsidRDefault="00843995"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843995" w:rsidRPr="00816657" w:rsidRDefault="00843995"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This waste is not tracked in NSW</w:t>
            </w:r>
            <w:r w:rsidR="00AD3EED">
              <w:rPr>
                <w:rFonts w:cs="Times New Roman"/>
                <w:color w:val="000000"/>
                <w:sz w:val="20"/>
                <w:szCs w:val="20"/>
                <w:lang w:eastAsia="en-AU"/>
              </w:rPr>
              <w:t xml:space="preserve"> or SA</w:t>
            </w:r>
          </w:p>
        </w:tc>
        <w:tc>
          <w:tcPr>
            <w:tcW w:w="1250" w:type="pct"/>
            <w:tcBorders>
              <w:top w:val="single" w:sz="4" w:space="0" w:color="7F7F7F" w:themeColor="background2"/>
            </w:tcBorders>
          </w:tcPr>
          <w:p w:rsidR="00843995" w:rsidRPr="00816657" w:rsidRDefault="00843995"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causal analysis</w:t>
            </w:r>
          </w:p>
        </w:tc>
      </w:tr>
      <w:tr w:rsidR="00843995" w:rsidRPr="00816657" w:rsidTr="00EA7F18">
        <w:tc>
          <w:tcPr>
            <w:cnfStyle w:val="001000000000"/>
            <w:tcW w:w="1250" w:type="pct"/>
            <w:vMerge/>
          </w:tcPr>
          <w:p w:rsidR="00843995" w:rsidRPr="00816657" w:rsidRDefault="00843995" w:rsidP="00542624">
            <w:pPr>
              <w:spacing w:line="240" w:lineRule="auto"/>
              <w:rPr>
                <w:rFonts w:cs="Times New Roman"/>
                <w:color w:val="000000"/>
                <w:szCs w:val="20"/>
                <w:lang w:eastAsia="en-AU"/>
              </w:rPr>
            </w:pPr>
          </w:p>
        </w:tc>
        <w:tc>
          <w:tcPr>
            <w:tcW w:w="1250" w:type="pct"/>
          </w:tcPr>
          <w:p w:rsidR="00843995" w:rsidRPr="00816657" w:rsidRDefault="00843995" w:rsidP="00542624">
            <w:pPr>
              <w:spacing w:line="240" w:lineRule="auto"/>
              <w:cnfStyle w:val="000000000000"/>
              <w:rPr>
                <w:rFonts w:cs="Times New Roman"/>
                <w:color w:val="000000"/>
                <w:szCs w:val="20"/>
                <w:lang w:eastAsia="en-AU"/>
              </w:rPr>
            </w:pPr>
            <w:r w:rsidRPr="00816657">
              <w:rPr>
                <w:rFonts w:cs="Times New Roman"/>
                <w:color w:val="000000"/>
                <w:szCs w:val="20"/>
                <w:lang w:eastAsia="en-AU"/>
              </w:rPr>
              <w:t>No historical data set exists that is adequate for discerning trends</w:t>
            </w:r>
          </w:p>
        </w:tc>
        <w:tc>
          <w:tcPr>
            <w:tcW w:w="1250" w:type="pct"/>
          </w:tcPr>
          <w:p w:rsidR="00843995" w:rsidRPr="00816657" w:rsidRDefault="00843995" w:rsidP="00542624">
            <w:pPr>
              <w:spacing w:line="240" w:lineRule="auto"/>
              <w:cnfStyle w:val="000000000000"/>
              <w:rPr>
                <w:rFonts w:cs="Times New Roman"/>
                <w:color w:val="000000"/>
                <w:szCs w:val="20"/>
                <w:lang w:eastAsia="en-AU"/>
              </w:rPr>
            </w:pPr>
          </w:p>
        </w:tc>
        <w:tc>
          <w:tcPr>
            <w:tcW w:w="1250" w:type="pct"/>
          </w:tcPr>
          <w:p w:rsidR="00843995" w:rsidRPr="00816657" w:rsidRDefault="00843995" w:rsidP="00542624">
            <w:pPr>
              <w:spacing w:line="240" w:lineRule="auto"/>
              <w:cnfStyle w:val="000000000000"/>
              <w:rPr>
                <w:rFonts w:cs="Times New Roman"/>
                <w:color w:val="000000"/>
                <w:szCs w:val="20"/>
                <w:lang w:eastAsia="en-AU"/>
              </w:rPr>
            </w:pPr>
          </w:p>
        </w:tc>
      </w:tr>
    </w:tbl>
    <w:p w:rsidR="00542624" w:rsidRPr="00816657" w:rsidRDefault="00542624" w:rsidP="00376588">
      <w:pPr>
        <w:pStyle w:val="BodyText"/>
        <w:rPr>
          <w:b/>
        </w:rPr>
      </w:pPr>
    </w:p>
    <w:p w:rsidR="00376588" w:rsidRPr="00816657" w:rsidRDefault="00376588" w:rsidP="00655F62">
      <w:pPr>
        <w:pStyle w:val="Figures"/>
      </w:pPr>
      <w:bookmarkStart w:id="147" w:name="_Toc425849305"/>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20</w:t>
      </w:r>
      <w:r w:rsidR="006D07F5" w:rsidRPr="00816657">
        <w:rPr>
          <w:noProof/>
        </w:rPr>
        <w:fldChar w:fldCharType="end"/>
      </w:r>
      <w:r w:rsidRPr="00816657">
        <w:t xml:space="preserve">: </w:t>
      </w:r>
      <w:r w:rsidRPr="00816657">
        <w:tab/>
        <w:t>Best, high and low projected rates of change for animal effluent and residue (+ food processing waste) waste to 2034</w:t>
      </w:r>
      <w:bookmarkEnd w:id="147"/>
    </w:p>
    <w:tbl>
      <w:tblPr>
        <w:tblStyle w:val="BETable1"/>
        <w:tblW w:w="9072" w:type="dxa"/>
        <w:tblLayout w:type="fixed"/>
        <w:tblLook w:val="04A0"/>
      </w:tblPr>
      <w:tblGrid>
        <w:gridCol w:w="1134"/>
        <w:gridCol w:w="1134"/>
        <w:gridCol w:w="4395"/>
        <w:gridCol w:w="803"/>
        <w:gridCol w:w="803"/>
        <w:gridCol w:w="803"/>
      </w:tblGrid>
      <w:tr w:rsidR="00B8309B" w:rsidRPr="00816657" w:rsidTr="00DF2118">
        <w:trPr>
          <w:cnfStyle w:val="100000000000"/>
        </w:trPr>
        <w:tc>
          <w:tcPr>
            <w:cnfStyle w:val="001000000000"/>
            <w:tcW w:w="1134" w:type="dxa"/>
          </w:tcPr>
          <w:p w:rsidR="00B8309B" w:rsidRPr="00816657" w:rsidRDefault="00B8309B" w:rsidP="00DF2118"/>
        </w:tc>
        <w:tc>
          <w:tcPr>
            <w:tcW w:w="1134" w:type="dxa"/>
          </w:tcPr>
          <w:p w:rsidR="00B8309B" w:rsidRPr="00816657" w:rsidRDefault="00B8309B" w:rsidP="00DF2118">
            <w:pPr>
              <w:cnfStyle w:val="100000000000"/>
            </w:pPr>
            <w:r w:rsidRPr="00816657">
              <w:t>Applies to</w:t>
            </w:r>
          </w:p>
        </w:tc>
        <w:tc>
          <w:tcPr>
            <w:tcW w:w="4395" w:type="dxa"/>
          </w:tcPr>
          <w:p w:rsidR="00B8309B" w:rsidRPr="00816657" w:rsidRDefault="00B8309B" w:rsidP="00DF2118">
            <w:pPr>
              <w:cnfStyle w:val="100000000000"/>
            </w:pPr>
            <w:r w:rsidRPr="00816657">
              <w:t>Approach</w:t>
            </w:r>
          </w:p>
        </w:tc>
        <w:tc>
          <w:tcPr>
            <w:tcW w:w="803" w:type="dxa"/>
          </w:tcPr>
          <w:p w:rsidR="00B8309B" w:rsidRPr="00816657" w:rsidRDefault="00B8309B" w:rsidP="00DF1E42">
            <w:pPr>
              <w:jc w:val="right"/>
              <w:cnfStyle w:val="100000000000"/>
            </w:pPr>
            <w:r w:rsidRPr="00816657">
              <w:t>2014</w:t>
            </w:r>
          </w:p>
        </w:tc>
        <w:tc>
          <w:tcPr>
            <w:tcW w:w="803" w:type="dxa"/>
          </w:tcPr>
          <w:p w:rsidR="00B8309B" w:rsidRPr="00816657" w:rsidRDefault="00B8309B" w:rsidP="00DF1E42">
            <w:pPr>
              <w:jc w:val="right"/>
              <w:cnfStyle w:val="100000000000"/>
            </w:pPr>
            <w:r w:rsidRPr="00816657">
              <w:t>...</w:t>
            </w:r>
          </w:p>
        </w:tc>
        <w:tc>
          <w:tcPr>
            <w:tcW w:w="803" w:type="dxa"/>
          </w:tcPr>
          <w:p w:rsidR="00B8309B" w:rsidRPr="00816657" w:rsidRDefault="00B8309B" w:rsidP="00DF1E42">
            <w:pPr>
              <w:jc w:val="right"/>
              <w:cnfStyle w:val="100000000000"/>
            </w:pPr>
            <w:r w:rsidRPr="00816657">
              <w:t>2034</w:t>
            </w:r>
          </w:p>
        </w:tc>
      </w:tr>
      <w:tr w:rsidR="007C28C6" w:rsidRPr="00816657" w:rsidTr="00DF2118">
        <w:tc>
          <w:tcPr>
            <w:cnfStyle w:val="001000000000"/>
            <w:tcW w:w="1134" w:type="dxa"/>
          </w:tcPr>
          <w:p w:rsidR="007C28C6" w:rsidRPr="00816657" w:rsidRDefault="007C28C6" w:rsidP="00DF2118">
            <w:r w:rsidRPr="00816657">
              <w:t>Best</w:t>
            </w:r>
          </w:p>
        </w:tc>
        <w:tc>
          <w:tcPr>
            <w:tcW w:w="1134" w:type="dxa"/>
            <w:vMerge w:val="restart"/>
            <w:vAlign w:val="center"/>
          </w:tcPr>
          <w:p w:rsidR="007C28C6" w:rsidRPr="00816657" w:rsidRDefault="007C28C6" w:rsidP="00DF2118">
            <w:pPr>
              <w:cnfStyle w:val="000000000000"/>
            </w:pPr>
            <w:r w:rsidRPr="00816657">
              <w:t>ACT, NSW, NT, Qld, SA, Tas, Vic, WA</w:t>
            </w:r>
          </w:p>
        </w:tc>
        <w:tc>
          <w:tcPr>
            <w:tcW w:w="4395" w:type="dxa"/>
          </w:tcPr>
          <w:p w:rsidR="007C28C6" w:rsidRPr="00816657" w:rsidRDefault="007C28C6" w:rsidP="00DF2118">
            <w:pPr>
              <w:cnfStyle w:val="000000000000"/>
            </w:pPr>
            <w:r w:rsidRPr="00816657">
              <w:t>Meat processing industry growth</w:t>
            </w:r>
          </w:p>
        </w:tc>
        <w:tc>
          <w:tcPr>
            <w:tcW w:w="803" w:type="dxa"/>
          </w:tcPr>
          <w:p w:rsidR="007C28C6" w:rsidRPr="00816657" w:rsidRDefault="007C28C6" w:rsidP="00DF1E42">
            <w:pPr>
              <w:jc w:val="right"/>
              <w:cnfStyle w:val="000000000000"/>
            </w:pPr>
            <w:r w:rsidRPr="00816657">
              <w:t>2.2%</w:t>
            </w:r>
          </w:p>
        </w:tc>
        <w:tc>
          <w:tcPr>
            <w:tcW w:w="803" w:type="dxa"/>
          </w:tcPr>
          <w:p w:rsidR="007C28C6" w:rsidRPr="00816657" w:rsidRDefault="007C28C6" w:rsidP="00DF1E42">
            <w:pPr>
              <w:jc w:val="right"/>
              <w:cnfStyle w:val="000000000000"/>
            </w:pPr>
            <w:r w:rsidRPr="00816657">
              <w:t>...</w:t>
            </w:r>
          </w:p>
        </w:tc>
        <w:tc>
          <w:tcPr>
            <w:tcW w:w="803" w:type="dxa"/>
          </w:tcPr>
          <w:p w:rsidR="007C28C6" w:rsidRPr="00816657" w:rsidRDefault="007C28C6" w:rsidP="00DF1E42">
            <w:pPr>
              <w:jc w:val="right"/>
              <w:cnfStyle w:val="000000000000"/>
            </w:pPr>
            <w:r w:rsidRPr="00816657">
              <w:t>2.2%</w:t>
            </w:r>
          </w:p>
        </w:tc>
      </w:tr>
      <w:tr w:rsidR="007C28C6" w:rsidRPr="00816657" w:rsidTr="00DF2118">
        <w:tc>
          <w:tcPr>
            <w:cnfStyle w:val="001000000000"/>
            <w:tcW w:w="1134" w:type="dxa"/>
          </w:tcPr>
          <w:p w:rsidR="007C28C6" w:rsidRPr="00816657" w:rsidRDefault="007C28C6" w:rsidP="00DF2118">
            <w:r w:rsidRPr="00816657">
              <w:t>High</w:t>
            </w:r>
          </w:p>
        </w:tc>
        <w:tc>
          <w:tcPr>
            <w:tcW w:w="1134" w:type="dxa"/>
            <w:vMerge/>
            <w:vAlign w:val="center"/>
          </w:tcPr>
          <w:p w:rsidR="007C28C6" w:rsidRPr="00816657" w:rsidRDefault="007C28C6" w:rsidP="00DF2118">
            <w:pPr>
              <w:cnfStyle w:val="000000000000"/>
            </w:pPr>
          </w:p>
        </w:tc>
        <w:tc>
          <w:tcPr>
            <w:tcW w:w="4395" w:type="dxa"/>
          </w:tcPr>
          <w:p w:rsidR="007C28C6" w:rsidRPr="00816657" w:rsidRDefault="007C28C6" w:rsidP="00DF2118">
            <w:pPr>
              <w:cnfStyle w:val="000000000000"/>
            </w:pPr>
            <w:r w:rsidRPr="00816657">
              <w:t>Best estimate of annual rate of change + 2%</w:t>
            </w:r>
          </w:p>
        </w:tc>
        <w:tc>
          <w:tcPr>
            <w:tcW w:w="803" w:type="dxa"/>
          </w:tcPr>
          <w:p w:rsidR="007C28C6" w:rsidRPr="00816657" w:rsidRDefault="007C28C6" w:rsidP="00DF1E42">
            <w:pPr>
              <w:jc w:val="right"/>
              <w:cnfStyle w:val="000000000000"/>
            </w:pPr>
            <w:r w:rsidRPr="00816657">
              <w:t>4.2%</w:t>
            </w:r>
          </w:p>
        </w:tc>
        <w:tc>
          <w:tcPr>
            <w:tcW w:w="803" w:type="dxa"/>
          </w:tcPr>
          <w:p w:rsidR="007C28C6" w:rsidRPr="00816657" w:rsidRDefault="007C28C6" w:rsidP="00DF1E42">
            <w:pPr>
              <w:jc w:val="right"/>
              <w:cnfStyle w:val="000000000000"/>
            </w:pPr>
            <w:r w:rsidRPr="00816657">
              <w:t>...</w:t>
            </w:r>
          </w:p>
        </w:tc>
        <w:tc>
          <w:tcPr>
            <w:tcW w:w="803" w:type="dxa"/>
          </w:tcPr>
          <w:p w:rsidR="007C28C6" w:rsidRPr="00816657" w:rsidRDefault="007C28C6" w:rsidP="00DF1E42">
            <w:pPr>
              <w:jc w:val="right"/>
              <w:cnfStyle w:val="000000000000"/>
            </w:pPr>
            <w:r w:rsidRPr="00816657">
              <w:t>4.2%</w:t>
            </w:r>
          </w:p>
        </w:tc>
      </w:tr>
      <w:tr w:rsidR="007C28C6" w:rsidRPr="00816657" w:rsidTr="00DF2118">
        <w:tc>
          <w:tcPr>
            <w:cnfStyle w:val="001000000000"/>
            <w:tcW w:w="1134" w:type="dxa"/>
          </w:tcPr>
          <w:p w:rsidR="007C28C6" w:rsidRPr="00816657" w:rsidRDefault="007C28C6" w:rsidP="00DF2118">
            <w:r w:rsidRPr="00816657">
              <w:t>Low</w:t>
            </w:r>
          </w:p>
        </w:tc>
        <w:tc>
          <w:tcPr>
            <w:tcW w:w="1134" w:type="dxa"/>
            <w:vMerge/>
            <w:vAlign w:val="center"/>
          </w:tcPr>
          <w:p w:rsidR="007C28C6" w:rsidRPr="00816657" w:rsidRDefault="007C28C6" w:rsidP="00DF2118">
            <w:pPr>
              <w:cnfStyle w:val="000000000000"/>
            </w:pPr>
          </w:p>
        </w:tc>
        <w:tc>
          <w:tcPr>
            <w:tcW w:w="4395" w:type="dxa"/>
          </w:tcPr>
          <w:p w:rsidR="007C28C6" w:rsidRPr="00816657" w:rsidRDefault="007C28C6" w:rsidP="00DF2118">
            <w:pPr>
              <w:cnfStyle w:val="000000000000"/>
            </w:pPr>
            <w:r w:rsidRPr="00816657">
              <w:t>Best estimate of annual rate of change - 2%</w:t>
            </w:r>
          </w:p>
        </w:tc>
        <w:tc>
          <w:tcPr>
            <w:tcW w:w="803" w:type="dxa"/>
          </w:tcPr>
          <w:p w:rsidR="007C28C6" w:rsidRPr="00816657" w:rsidRDefault="007C28C6" w:rsidP="00DF1E42">
            <w:pPr>
              <w:jc w:val="right"/>
              <w:cnfStyle w:val="000000000000"/>
            </w:pPr>
            <w:r w:rsidRPr="00816657">
              <w:t>0.2%</w:t>
            </w:r>
          </w:p>
        </w:tc>
        <w:tc>
          <w:tcPr>
            <w:tcW w:w="803" w:type="dxa"/>
          </w:tcPr>
          <w:p w:rsidR="007C28C6" w:rsidRPr="00816657" w:rsidRDefault="007C28C6" w:rsidP="00DF1E42">
            <w:pPr>
              <w:jc w:val="right"/>
              <w:cnfStyle w:val="000000000000"/>
            </w:pPr>
            <w:r w:rsidRPr="00816657">
              <w:t>...</w:t>
            </w:r>
          </w:p>
        </w:tc>
        <w:tc>
          <w:tcPr>
            <w:tcW w:w="803" w:type="dxa"/>
          </w:tcPr>
          <w:p w:rsidR="007C28C6" w:rsidRPr="00816657" w:rsidRDefault="007C28C6" w:rsidP="00DF1E42">
            <w:pPr>
              <w:jc w:val="right"/>
              <w:cnfStyle w:val="000000000000"/>
            </w:pPr>
            <w:r w:rsidRPr="00816657">
              <w:t>0.2%</w:t>
            </w:r>
          </w:p>
        </w:tc>
      </w:tr>
    </w:tbl>
    <w:p w:rsidR="00542624" w:rsidRPr="00816657" w:rsidRDefault="00542624" w:rsidP="007F5BD4">
      <w:pPr>
        <w:pStyle w:val="BodyText"/>
      </w:pPr>
    </w:p>
    <w:p w:rsidR="00D92260" w:rsidRPr="00816657" w:rsidRDefault="00D92260" w:rsidP="00655F62">
      <w:pPr>
        <w:pStyle w:val="Figures"/>
      </w:pPr>
      <w:bookmarkStart w:id="148" w:name="_Toc425849235"/>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17</w:t>
      </w:r>
      <w:r w:rsidR="006D07F5" w:rsidRPr="00816657">
        <w:rPr>
          <w:noProof/>
        </w:rPr>
        <w:fldChar w:fldCharType="end"/>
      </w:r>
      <w:r w:rsidRPr="00816657">
        <w:t xml:space="preserve">: </w:t>
      </w:r>
      <w:r w:rsidRPr="00816657">
        <w:tab/>
        <w:t>Best, high and low national projection estimates of animal effluent and residue (+ food processing waste) waste to 2034</w:t>
      </w:r>
      <w:bookmarkEnd w:id="148"/>
    </w:p>
    <w:p w:rsidR="00D92260" w:rsidRPr="00816657" w:rsidRDefault="00C05ED6" w:rsidP="00D92260">
      <w:pPr>
        <w:spacing w:line="240" w:lineRule="auto"/>
      </w:pPr>
      <w:r w:rsidRPr="00C05ED6">
        <w:rPr>
          <w:noProof/>
          <w:lang w:eastAsia="en-AU"/>
        </w:rPr>
        <w:drawing>
          <wp:inline distT="0" distB="0" distL="0" distR="0">
            <wp:extent cx="5638096" cy="2314286"/>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638096" cy="2314286"/>
                    </a:xfrm>
                    <a:prstGeom prst="rect">
                      <a:avLst/>
                    </a:prstGeom>
                  </pic:spPr>
                </pic:pic>
              </a:graphicData>
            </a:graphic>
          </wp:inline>
        </w:drawing>
      </w:r>
    </w:p>
    <w:p w:rsidR="007C28C6" w:rsidRPr="00816657" w:rsidRDefault="007C28C6" w:rsidP="007F5BD4">
      <w:pPr>
        <w:pStyle w:val="BodyText"/>
      </w:pPr>
      <w:r w:rsidRPr="00816657">
        <w:br w:type="page"/>
      </w:r>
    </w:p>
    <w:p w:rsidR="00D92260" w:rsidRDefault="00D92260" w:rsidP="005D6078">
      <w:pPr>
        <w:pStyle w:val="Heading3"/>
      </w:pPr>
      <w:r w:rsidRPr="00816657">
        <w:lastRenderedPageBreak/>
        <w:t>K110. Grease trap waste</w:t>
      </w:r>
    </w:p>
    <w:p w:rsidR="00AD3EED" w:rsidRPr="00AD3EED" w:rsidRDefault="00AD3EED" w:rsidP="00AD3EED">
      <w:pPr>
        <w:spacing w:line="240" w:lineRule="auto"/>
        <w:rPr>
          <w:color w:val="080808"/>
          <w:sz w:val="22"/>
        </w:rPr>
      </w:pPr>
      <w:r w:rsidRPr="00AD3EED">
        <w:rPr>
          <w:i/>
          <w:color w:val="080808"/>
          <w:sz w:val="22"/>
        </w:rPr>
        <w:t>K110 Grease trap waste</w:t>
      </w:r>
      <w:r w:rsidRPr="00AD3EED">
        <w:rPr>
          <w:color w:val="080808"/>
          <w:sz w:val="22"/>
        </w:rPr>
        <w:t>, or grease interceptor trap waste, is waste from a grease interceptor used for the capture of food, grease and solids before entry to the sewer. These wastes include any solids that are derived from the treatment of this waste. It is primarily sourced from retail food business, such as restaurants and fast food outlets.</w:t>
      </w:r>
      <w:r w:rsidRPr="00AD3EED">
        <w:t xml:space="preserve"> </w:t>
      </w:r>
      <w:r w:rsidRPr="00AD3EED">
        <w:rPr>
          <w:color w:val="080808"/>
          <w:sz w:val="22"/>
        </w:rPr>
        <w:t>Like other</w:t>
      </w:r>
      <w:r>
        <w:rPr>
          <w:color w:val="080808"/>
          <w:sz w:val="22"/>
        </w:rPr>
        <w:t xml:space="preserve"> NEPM </w:t>
      </w:r>
      <w:r w:rsidRPr="00AD3EED">
        <w:rPr>
          <w:color w:val="080808"/>
          <w:sz w:val="22"/>
        </w:rPr>
        <w:t>K wastes, grease trap is not tracked in NSW or SA.</w:t>
      </w:r>
    </w:p>
    <w:p w:rsidR="00AD3EED" w:rsidRPr="005E3D0E" w:rsidRDefault="00AD3EED" w:rsidP="007F5BD4">
      <w:pPr>
        <w:pStyle w:val="BodyText"/>
      </w:pPr>
    </w:p>
    <w:p w:rsidR="00542624" w:rsidRPr="00816657" w:rsidRDefault="00542624" w:rsidP="00542624">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10"/>
        <w:gridCol w:w="2410"/>
        <w:gridCol w:w="2410"/>
        <w:gridCol w:w="2410"/>
      </w:tblGrid>
      <w:tr w:rsidR="00E42D11" w:rsidRPr="00816657" w:rsidTr="00EA7F18">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843995" w:rsidRPr="00816657" w:rsidTr="00EA7F18">
        <w:tc>
          <w:tcPr>
            <w:cnfStyle w:val="001000000000"/>
            <w:tcW w:w="1250" w:type="pct"/>
            <w:vMerge w:val="restart"/>
            <w:tcBorders>
              <w:top w:val="single" w:sz="4" w:space="0" w:color="7F7F7F" w:themeColor="background2"/>
            </w:tcBorders>
          </w:tcPr>
          <w:p w:rsidR="00AD3EED" w:rsidRPr="00AD3EED" w:rsidRDefault="00AD3EED" w:rsidP="007F5BD4">
            <w:pPr>
              <w:pStyle w:val="BodyText"/>
              <w:numPr>
                <w:ilvl w:val="0"/>
                <w:numId w:val="64"/>
              </w:numPr>
              <w:ind w:left="426"/>
              <w:rPr>
                <w:rFonts w:cs="Times New Roman"/>
                <w:color w:val="000000"/>
                <w:sz w:val="20"/>
                <w:szCs w:val="20"/>
                <w:lang w:eastAsia="en-AU"/>
              </w:rPr>
            </w:pPr>
            <w:r w:rsidRPr="00AD3EED">
              <w:rPr>
                <w:rFonts w:cs="Times New Roman"/>
                <w:color w:val="000000"/>
                <w:sz w:val="20"/>
                <w:szCs w:val="20"/>
                <w:lang w:eastAsia="en-AU"/>
              </w:rPr>
              <w:t>Food product manufacturing</w:t>
            </w:r>
          </w:p>
          <w:p w:rsidR="00AD3EED" w:rsidRPr="00AD3EED" w:rsidRDefault="00AD3EED" w:rsidP="007F5BD4">
            <w:pPr>
              <w:pStyle w:val="BodyText"/>
              <w:numPr>
                <w:ilvl w:val="0"/>
                <w:numId w:val="64"/>
              </w:numPr>
              <w:ind w:left="426"/>
              <w:rPr>
                <w:rFonts w:cs="Times New Roman"/>
                <w:color w:val="000000"/>
                <w:sz w:val="20"/>
                <w:szCs w:val="20"/>
                <w:lang w:eastAsia="en-AU"/>
              </w:rPr>
            </w:pPr>
            <w:r w:rsidRPr="00AD3EED">
              <w:rPr>
                <w:rFonts w:cs="Times New Roman"/>
                <w:color w:val="000000"/>
                <w:sz w:val="20"/>
                <w:szCs w:val="20"/>
                <w:lang w:eastAsia="en-AU"/>
              </w:rPr>
              <w:t>Cafes and restaurants</w:t>
            </w:r>
          </w:p>
          <w:p w:rsidR="00AD3EED" w:rsidRPr="00AD3EED" w:rsidRDefault="00AD3EED" w:rsidP="007F5BD4">
            <w:pPr>
              <w:pStyle w:val="BodyText"/>
              <w:numPr>
                <w:ilvl w:val="0"/>
                <w:numId w:val="64"/>
              </w:numPr>
              <w:ind w:left="426"/>
              <w:rPr>
                <w:rFonts w:cs="Times New Roman"/>
                <w:color w:val="000000"/>
                <w:sz w:val="20"/>
                <w:szCs w:val="20"/>
                <w:lang w:eastAsia="en-AU"/>
              </w:rPr>
            </w:pPr>
            <w:r w:rsidRPr="00AD3EED">
              <w:rPr>
                <w:rFonts w:cs="Times New Roman"/>
                <w:color w:val="000000"/>
                <w:sz w:val="20"/>
                <w:szCs w:val="20"/>
                <w:lang w:eastAsia="en-AU"/>
              </w:rPr>
              <w:t>Supermarkets and grocery stores</w:t>
            </w:r>
          </w:p>
          <w:p w:rsidR="00843995" w:rsidRPr="00816657" w:rsidRDefault="00AD3EED" w:rsidP="007F5BD4">
            <w:pPr>
              <w:pStyle w:val="BodyText"/>
              <w:numPr>
                <w:ilvl w:val="0"/>
                <w:numId w:val="64"/>
              </w:numPr>
              <w:ind w:left="426"/>
              <w:rPr>
                <w:rFonts w:cs="Times New Roman"/>
                <w:color w:val="000000"/>
                <w:sz w:val="20"/>
                <w:szCs w:val="20"/>
                <w:lang w:eastAsia="en-AU"/>
              </w:rPr>
            </w:pPr>
            <w:r w:rsidRPr="00AD3EED">
              <w:rPr>
                <w:rFonts w:cs="Times New Roman"/>
                <w:color w:val="000000"/>
                <w:sz w:val="20"/>
                <w:szCs w:val="20"/>
                <w:lang w:eastAsia="en-AU"/>
              </w:rPr>
              <w:t>Waste sector (as collectors and aggregators from cafes and restaurants)</w:t>
            </w:r>
          </w:p>
        </w:tc>
        <w:tc>
          <w:tcPr>
            <w:tcW w:w="1250" w:type="pct"/>
            <w:tcBorders>
              <w:top w:val="single" w:sz="4" w:space="0" w:color="7F7F7F" w:themeColor="background2"/>
            </w:tcBorders>
          </w:tcPr>
          <w:p w:rsidR="00843995" w:rsidRPr="00816657" w:rsidRDefault="00843995"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843995" w:rsidRPr="00816657" w:rsidRDefault="00843995"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This waste is not tracked in NSW</w:t>
            </w:r>
            <w:r w:rsidR="00AD3EED">
              <w:rPr>
                <w:rFonts w:cs="Times New Roman"/>
                <w:color w:val="000000"/>
                <w:sz w:val="20"/>
                <w:szCs w:val="20"/>
                <w:lang w:eastAsia="en-AU"/>
              </w:rPr>
              <w:t xml:space="preserve"> or SA</w:t>
            </w:r>
          </w:p>
        </w:tc>
        <w:tc>
          <w:tcPr>
            <w:tcW w:w="1250" w:type="pct"/>
            <w:tcBorders>
              <w:top w:val="single" w:sz="4" w:space="0" w:color="7F7F7F" w:themeColor="background2"/>
            </w:tcBorders>
          </w:tcPr>
          <w:p w:rsidR="00843995" w:rsidRPr="00816657" w:rsidRDefault="00843995"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causal analysis</w:t>
            </w:r>
          </w:p>
        </w:tc>
      </w:tr>
      <w:tr w:rsidR="00843995" w:rsidRPr="00816657" w:rsidTr="00EA7F18">
        <w:tc>
          <w:tcPr>
            <w:cnfStyle w:val="001000000000"/>
            <w:tcW w:w="1250" w:type="pct"/>
            <w:vMerge/>
          </w:tcPr>
          <w:p w:rsidR="00843995" w:rsidRPr="00816657" w:rsidRDefault="00843995" w:rsidP="00542624">
            <w:pPr>
              <w:pStyle w:val="BodyText"/>
              <w:rPr>
                <w:rFonts w:cs="Times New Roman"/>
                <w:color w:val="000000"/>
                <w:sz w:val="20"/>
                <w:szCs w:val="20"/>
                <w:lang w:eastAsia="en-AU"/>
              </w:rPr>
            </w:pPr>
          </w:p>
        </w:tc>
        <w:tc>
          <w:tcPr>
            <w:tcW w:w="1250" w:type="pct"/>
          </w:tcPr>
          <w:p w:rsidR="00843995" w:rsidRPr="00816657" w:rsidRDefault="00843995" w:rsidP="00EA7F18">
            <w:pPr>
              <w:spacing w:line="240" w:lineRule="auto"/>
              <w:cnfStyle w:val="000000000000"/>
              <w:rPr>
                <w:rFonts w:cs="Times New Roman"/>
                <w:color w:val="000000"/>
                <w:szCs w:val="20"/>
                <w:lang w:eastAsia="en-AU"/>
              </w:rPr>
            </w:pPr>
            <w:r w:rsidRPr="00816657">
              <w:rPr>
                <w:rFonts w:cs="Times New Roman"/>
                <w:color w:val="000000"/>
                <w:szCs w:val="20"/>
                <w:lang w:eastAsia="en-AU"/>
              </w:rPr>
              <w:t>No historical data set exists that is adequate for discerning trends</w:t>
            </w:r>
          </w:p>
        </w:tc>
        <w:tc>
          <w:tcPr>
            <w:tcW w:w="1250" w:type="pct"/>
          </w:tcPr>
          <w:p w:rsidR="00843995" w:rsidRPr="00816657" w:rsidRDefault="00843995" w:rsidP="00EA7F18">
            <w:pPr>
              <w:spacing w:line="240" w:lineRule="auto"/>
              <w:cnfStyle w:val="000000000000"/>
              <w:rPr>
                <w:rFonts w:cs="Times New Roman"/>
                <w:color w:val="000000"/>
                <w:szCs w:val="20"/>
                <w:lang w:eastAsia="en-AU"/>
              </w:rPr>
            </w:pPr>
          </w:p>
        </w:tc>
        <w:tc>
          <w:tcPr>
            <w:tcW w:w="1250" w:type="pct"/>
          </w:tcPr>
          <w:p w:rsidR="00843995" w:rsidRPr="00816657" w:rsidRDefault="00843995" w:rsidP="00EA7F18">
            <w:pPr>
              <w:spacing w:line="240" w:lineRule="auto"/>
              <w:cnfStyle w:val="000000000000"/>
              <w:rPr>
                <w:rFonts w:cs="Times New Roman"/>
                <w:color w:val="000000"/>
                <w:szCs w:val="20"/>
                <w:lang w:eastAsia="en-AU"/>
              </w:rPr>
            </w:pPr>
          </w:p>
        </w:tc>
      </w:tr>
    </w:tbl>
    <w:p w:rsidR="00542624" w:rsidRPr="00816657" w:rsidRDefault="00542624" w:rsidP="007C28C6">
      <w:pPr>
        <w:pStyle w:val="BodyText"/>
        <w:rPr>
          <w:b/>
        </w:rPr>
      </w:pPr>
    </w:p>
    <w:p w:rsidR="00376588" w:rsidRPr="00816657" w:rsidRDefault="00376588" w:rsidP="00655F62">
      <w:pPr>
        <w:pStyle w:val="Figures"/>
      </w:pPr>
      <w:bookmarkStart w:id="149" w:name="_Toc425849306"/>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21</w:t>
      </w:r>
      <w:r w:rsidR="006D07F5" w:rsidRPr="00816657">
        <w:rPr>
          <w:noProof/>
        </w:rPr>
        <w:fldChar w:fldCharType="end"/>
      </w:r>
      <w:r w:rsidRPr="00816657">
        <w:t xml:space="preserve">: </w:t>
      </w:r>
      <w:r w:rsidRPr="00816657">
        <w:tab/>
        <w:t>Best, high and low projected rates of change for grease trap waste to 2034</w:t>
      </w:r>
      <w:bookmarkEnd w:id="149"/>
    </w:p>
    <w:tbl>
      <w:tblPr>
        <w:tblStyle w:val="BETable1"/>
        <w:tblW w:w="9072" w:type="dxa"/>
        <w:tblLayout w:type="fixed"/>
        <w:tblLook w:val="04A0"/>
      </w:tblPr>
      <w:tblGrid>
        <w:gridCol w:w="1134"/>
        <w:gridCol w:w="1134"/>
        <w:gridCol w:w="4395"/>
        <w:gridCol w:w="803"/>
        <w:gridCol w:w="803"/>
        <w:gridCol w:w="803"/>
      </w:tblGrid>
      <w:tr w:rsidR="007C28C6" w:rsidRPr="00816657" w:rsidTr="00DF2118">
        <w:trPr>
          <w:cnfStyle w:val="100000000000"/>
        </w:trPr>
        <w:tc>
          <w:tcPr>
            <w:cnfStyle w:val="001000000000"/>
            <w:tcW w:w="1134" w:type="dxa"/>
          </w:tcPr>
          <w:p w:rsidR="007C28C6" w:rsidRPr="00816657" w:rsidRDefault="007C28C6" w:rsidP="00DF2118"/>
        </w:tc>
        <w:tc>
          <w:tcPr>
            <w:tcW w:w="1134" w:type="dxa"/>
          </w:tcPr>
          <w:p w:rsidR="007C28C6" w:rsidRPr="00816657" w:rsidRDefault="007C28C6" w:rsidP="00DF2118">
            <w:pPr>
              <w:cnfStyle w:val="100000000000"/>
            </w:pPr>
            <w:r w:rsidRPr="00816657">
              <w:t>Applies to</w:t>
            </w:r>
          </w:p>
        </w:tc>
        <w:tc>
          <w:tcPr>
            <w:tcW w:w="4395" w:type="dxa"/>
          </w:tcPr>
          <w:p w:rsidR="007C28C6" w:rsidRPr="00816657" w:rsidRDefault="007C28C6" w:rsidP="00DF2118">
            <w:pPr>
              <w:cnfStyle w:val="100000000000"/>
            </w:pPr>
            <w:r w:rsidRPr="00816657">
              <w:t>Approach</w:t>
            </w:r>
          </w:p>
        </w:tc>
        <w:tc>
          <w:tcPr>
            <w:tcW w:w="803" w:type="dxa"/>
          </w:tcPr>
          <w:p w:rsidR="007C28C6" w:rsidRPr="00816657" w:rsidRDefault="007C28C6" w:rsidP="00DF1E42">
            <w:pPr>
              <w:jc w:val="right"/>
              <w:cnfStyle w:val="100000000000"/>
            </w:pPr>
            <w:r w:rsidRPr="00816657">
              <w:t>2014</w:t>
            </w:r>
          </w:p>
        </w:tc>
        <w:tc>
          <w:tcPr>
            <w:tcW w:w="803" w:type="dxa"/>
          </w:tcPr>
          <w:p w:rsidR="007C28C6" w:rsidRPr="00816657" w:rsidRDefault="007C28C6" w:rsidP="00DF1E42">
            <w:pPr>
              <w:jc w:val="right"/>
              <w:cnfStyle w:val="100000000000"/>
            </w:pPr>
            <w:r w:rsidRPr="00816657">
              <w:t>...</w:t>
            </w:r>
          </w:p>
        </w:tc>
        <w:tc>
          <w:tcPr>
            <w:tcW w:w="803" w:type="dxa"/>
          </w:tcPr>
          <w:p w:rsidR="007C28C6" w:rsidRPr="00816657" w:rsidRDefault="007C28C6" w:rsidP="00DF1E42">
            <w:pPr>
              <w:jc w:val="right"/>
              <w:cnfStyle w:val="100000000000"/>
            </w:pPr>
            <w:r w:rsidRPr="00816657">
              <w:t>2034</w:t>
            </w:r>
          </w:p>
        </w:tc>
      </w:tr>
      <w:tr w:rsidR="007C28C6" w:rsidRPr="00816657" w:rsidTr="00DF2118">
        <w:tc>
          <w:tcPr>
            <w:cnfStyle w:val="001000000000"/>
            <w:tcW w:w="1134" w:type="dxa"/>
          </w:tcPr>
          <w:p w:rsidR="007C28C6" w:rsidRPr="00816657" w:rsidRDefault="007C28C6" w:rsidP="00DF2118">
            <w:r w:rsidRPr="00816657">
              <w:t>Best</w:t>
            </w:r>
          </w:p>
        </w:tc>
        <w:tc>
          <w:tcPr>
            <w:tcW w:w="1134" w:type="dxa"/>
            <w:vMerge w:val="restart"/>
            <w:vAlign w:val="center"/>
          </w:tcPr>
          <w:p w:rsidR="007C28C6" w:rsidRPr="00816657" w:rsidRDefault="007C28C6" w:rsidP="00DF2118">
            <w:pPr>
              <w:cnfStyle w:val="000000000000"/>
            </w:pPr>
            <w:r w:rsidRPr="00816657">
              <w:t>ACT, NSW, NT, Qld, SA, Tas, Vic, WA</w:t>
            </w:r>
          </w:p>
        </w:tc>
        <w:tc>
          <w:tcPr>
            <w:tcW w:w="4395" w:type="dxa"/>
          </w:tcPr>
          <w:p w:rsidR="007C28C6" w:rsidRPr="00816657" w:rsidRDefault="007C28C6" w:rsidP="00DF2118">
            <w:pPr>
              <w:cnfStyle w:val="000000000000"/>
            </w:pPr>
            <w:r w:rsidRPr="00816657">
              <w:t>Economic growth</w:t>
            </w:r>
          </w:p>
        </w:tc>
        <w:tc>
          <w:tcPr>
            <w:tcW w:w="803" w:type="dxa"/>
          </w:tcPr>
          <w:p w:rsidR="007C28C6" w:rsidRPr="00816657" w:rsidRDefault="007C28C6" w:rsidP="00DF1E42">
            <w:pPr>
              <w:jc w:val="right"/>
              <w:cnfStyle w:val="000000000000"/>
            </w:pPr>
            <w:r w:rsidRPr="00816657">
              <w:t>2.8%</w:t>
            </w:r>
          </w:p>
        </w:tc>
        <w:tc>
          <w:tcPr>
            <w:tcW w:w="803" w:type="dxa"/>
          </w:tcPr>
          <w:p w:rsidR="007C28C6" w:rsidRPr="00816657" w:rsidRDefault="007C28C6" w:rsidP="00DF1E42">
            <w:pPr>
              <w:jc w:val="right"/>
              <w:cnfStyle w:val="000000000000"/>
            </w:pPr>
            <w:r w:rsidRPr="00816657">
              <w:t>...</w:t>
            </w:r>
          </w:p>
        </w:tc>
        <w:tc>
          <w:tcPr>
            <w:tcW w:w="803" w:type="dxa"/>
          </w:tcPr>
          <w:p w:rsidR="007C28C6" w:rsidRPr="00816657" w:rsidRDefault="007C28C6" w:rsidP="00DF1E42">
            <w:pPr>
              <w:jc w:val="right"/>
              <w:cnfStyle w:val="000000000000"/>
            </w:pPr>
            <w:r w:rsidRPr="00816657">
              <w:t>2.8%</w:t>
            </w:r>
          </w:p>
        </w:tc>
      </w:tr>
      <w:tr w:rsidR="007C28C6" w:rsidRPr="00816657" w:rsidTr="00DF2118">
        <w:tc>
          <w:tcPr>
            <w:cnfStyle w:val="001000000000"/>
            <w:tcW w:w="1134" w:type="dxa"/>
          </w:tcPr>
          <w:p w:rsidR="007C28C6" w:rsidRPr="00816657" w:rsidRDefault="007C28C6" w:rsidP="00DF2118">
            <w:r w:rsidRPr="00816657">
              <w:t>High</w:t>
            </w:r>
          </w:p>
        </w:tc>
        <w:tc>
          <w:tcPr>
            <w:tcW w:w="1134" w:type="dxa"/>
            <w:vMerge/>
            <w:vAlign w:val="center"/>
          </w:tcPr>
          <w:p w:rsidR="007C28C6" w:rsidRPr="00816657" w:rsidRDefault="007C28C6" w:rsidP="00DF2118">
            <w:pPr>
              <w:cnfStyle w:val="000000000000"/>
            </w:pPr>
          </w:p>
        </w:tc>
        <w:tc>
          <w:tcPr>
            <w:tcW w:w="4395" w:type="dxa"/>
          </w:tcPr>
          <w:p w:rsidR="007C28C6" w:rsidRPr="00816657" w:rsidRDefault="007C28C6" w:rsidP="00DF2118">
            <w:pPr>
              <w:cnfStyle w:val="000000000000"/>
            </w:pPr>
            <w:r w:rsidRPr="00816657">
              <w:t>Best estimate of annual rate of change + 2%</w:t>
            </w:r>
          </w:p>
        </w:tc>
        <w:tc>
          <w:tcPr>
            <w:tcW w:w="803" w:type="dxa"/>
          </w:tcPr>
          <w:p w:rsidR="007C28C6" w:rsidRPr="00816657" w:rsidRDefault="007C28C6" w:rsidP="00DF1E42">
            <w:pPr>
              <w:jc w:val="right"/>
              <w:cnfStyle w:val="000000000000"/>
            </w:pPr>
            <w:r w:rsidRPr="00816657">
              <w:t>4.8%</w:t>
            </w:r>
          </w:p>
        </w:tc>
        <w:tc>
          <w:tcPr>
            <w:tcW w:w="803" w:type="dxa"/>
          </w:tcPr>
          <w:p w:rsidR="007C28C6" w:rsidRPr="00816657" w:rsidRDefault="007C28C6" w:rsidP="00DF1E42">
            <w:pPr>
              <w:jc w:val="right"/>
              <w:cnfStyle w:val="000000000000"/>
            </w:pPr>
            <w:r w:rsidRPr="00816657">
              <w:t>...</w:t>
            </w:r>
          </w:p>
        </w:tc>
        <w:tc>
          <w:tcPr>
            <w:tcW w:w="803" w:type="dxa"/>
          </w:tcPr>
          <w:p w:rsidR="007C28C6" w:rsidRPr="00816657" w:rsidRDefault="007C28C6" w:rsidP="00DF1E42">
            <w:pPr>
              <w:jc w:val="right"/>
              <w:cnfStyle w:val="000000000000"/>
            </w:pPr>
            <w:r w:rsidRPr="00816657">
              <w:t>4.8%</w:t>
            </w:r>
          </w:p>
        </w:tc>
      </w:tr>
      <w:tr w:rsidR="007C28C6" w:rsidRPr="00816657" w:rsidTr="00DF2118">
        <w:tc>
          <w:tcPr>
            <w:cnfStyle w:val="001000000000"/>
            <w:tcW w:w="1134" w:type="dxa"/>
          </w:tcPr>
          <w:p w:rsidR="007C28C6" w:rsidRPr="00816657" w:rsidRDefault="007C28C6" w:rsidP="00DF2118">
            <w:r w:rsidRPr="00816657">
              <w:t>Low</w:t>
            </w:r>
          </w:p>
        </w:tc>
        <w:tc>
          <w:tcPr>
            <w:tcW w:w="1134" w:type="dxa"/>
            <w:vMerge/>
            <w:vAlign w:val="center"/>
          </w:tcPr>
          <w:p w:rsidR="007C28C6" w:rsidRPr="00816657" w:rsidRDefault="007C28C6" w:rsidP="00DF2118">
            <w:pPr>
              <w:cnfStyle w:val="000000000000"/>
            </w:pPr>
          </w:p>
        </w:tc>
        <w:tc>
          <w:tcPr>
            <w:tcW w:w="4395" w:type="dxa"/>
          </w:tcPr>
          <w:p w:rsidR="007C28C6" w:rsidRPr="00816657" w:rsidRDefault="007C28C6" w:rsidP="00DF2118">
            <w:pPr>
              <w:cnfStyle w:val="000000000000"/>
            </w:pPr>
            <w:r w:rsidRPr="00816657">
              <w:t>Best estimate of annual rate of change - 2%</w:t>
            </w:r>
          </w:p>
        </w:tc>
        <w:tc>
          <w:tcPr>
            <w:tcW w:w="803" w:type="dxa"/>
          </w:tcPr>
          <w:p w:rsidR="007C28C6" w:rsidRPr="00816657" w:rsidRDefault="007C28C6" w:rsidP="00DF1E42">
            <w:pPr>
              <w:jc w:val="right"/>
              <w:cnfStyle w:val="000000000000"/>
            </w:pPr>
            <w:r w:rsidRPr="00816657">
              <w:t>0.8%</w:t>
            </w:r>
          </w:p>
        </w:tc>
        <w:tc>
          <w:tcPr>
            <w:tcW w:w="803" w:type="dxa"/>
          </w:tcPr>
          <w:p w:rsidR="007C28C6" w:rsidRPr="00816657" w:rsidRDefault="007C28C6" w:rsidP="00DF1E42">
            <w:pPr>
              <w:jc w:val="right"/>
              <w:cnfStyle w:val="000000000000"/>
            </w:pPr>
            <w:r w:rsidRPr="00816657">
              <w:t>...</w:t>
            </w:r>
          </w:p>
        </w:tc>
        <w:tc>
          <w:tcPr>
            <w:tcW w:w="803" w:type="dxa"/>
          </w:tcPr>
          <w:p w:rsidR="007C28C6" w:rsidRPr="00816657" w:rsidRDefault="007C28C6" w:rsidP="00DF1E42">
            <w:pPr>
              <w:jc w:val="right"/>
              <w:cnfStyle w:val="000000000000"/>
            </w:pPr>
            <w:r w:rsidRPr="00816657">
              <w:t>0.8%</w:t>
            </w:r>
          </w:p>
        </w:tc>
      </w:tr>
    </w:tbl>
    <w:p w:rsidR="00542624" w:rsidRPr="00816657" w:rsidRDefault="00542624" w:rsidP="007F5BD4">
      <w:pPr>
        <w:pStyle w:val="BodyText"/>
      </w:pPr>
    </w:p>
    <w:p w:rsidR="00D92260" w:rsidRPr="00816657" w:rsidRDefault="00D92260" w:rsidP="00655F62">
      <w:pPr>
        <w:pStyle w:val="Figures"/>
      </w:pPr>
      <w:bookmarkStart w:id="150" w:name="_Toc425849236"/>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18</w:t>
      </w:r>
      <w:r w:rsidR="006D07F5" w:rsidRPr="00816657">
        <w:rPr>
          <w:noProof/>
        </w:rPr>
        <w:fldChar w:fldCharType="end"/>
      </w:r>
      <w:r w:rsidRPr="00816657">
        <w:t xml:space="preserve">: </w:t>
      </w:r>
      <w:r w:rsidRPr="00816657">
        <w:tab/>
        <w:t>Best, high and low national projection estimates of grease trap waste to 2034</w:t>
      </w:r>
      <w:bookmarkEnd w:id="150"/>
    </w:p>
    <w:p w:rsidR="00D92260" w:rsidRPr="00816657" w:rsidRDefault="00C05ED6" w:rsidP="00D92260">
      <w:pPr>
        <w:spacing w:line="240" w:lineRule="auto"/>
      </w:pPr>
      <w:r w:rsidRPr="00C05ED6">
        <w:rPr>
          <w:noProof/>
          <w:lang w:eastAsia="en-AU"/>
        </w:rPr>
        <w:drawing>
          <wp:inline distT="0" distB="0" distL="0" distR="0">
            <wp:extent cx="5742858" cy="231428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742858" cy="2314286"/>
                    </a:xfrm>
                    <a:prstGeom prst="rect">
                      <a:avLst/>
                    </a:prstGeom>
                  </pic:spPr>
                </pic:pic>
              </a:graphicData>
            </a:graphic>
          </wp:inline>
        </w:drawing>
      </w:r>
    </w:p>
    <w:p w:rsidR="007C28C6" w:rsidRPr="00816657" w:rsidRDefault="007C28C6">
      <w:pPr>
        <w:spacing w:line="240" w:lineRule="auto"/>
        <w:rPr>
          <w:rFonts w:ascii="Arial Rounded MT Bold" w:hAnsi="Arial Rounded MT Bold" w:cs="Arial"/>
          <w:color w:val="0000FF"/>
          <w:sz w:val="36"/>
          <w:szCs w:val="36"/>
        </w:rPr>
      </w:pPr>
      <w:r w:rsidRPr="00816657">
        <w:br w:type="page"/>
      </w:r>
    </w:p>
    <w:p w:rsidR="00D92260" w:rsidRPr="00816657" w:rsidRDefault="00D92260" w:rsidP="005D6078">
      <w:pPr>
        <w:pStyle w:val="Heading3"/>
      </w:pPr>
      <w:proofErr w:type="gramStart"/>
      <w:r w:rsidRPr="00816657">
        <w:lastRenderedPageBreak/>
        <w:t>K140 &amp; 190.</w:t>
      </w:r>
      <w:proofErr w:type="gramEnd"/>
      <w:r w:rsidRPr="00816657">
        <w:t xml:space="preserve"> Tannery and wool scouring wastes</w:t>
      </w:r>
    </w:p>
    <w:p w:rsidR="00542624" w:rsidRPr="00816657" w:rsidRDefault="00542624" w:rsidP="00542624">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10"/>
        <w:gridCol w:w="2410"/>
        <w:gridCol w:w="2410"/>
        <w:gridCol w:w="2410"/>
      </w:tblGrid>
      <w:tr w:rsidR="00E42D11" w:rsidRPr="00816657" w:rsidTr="00EA7F18">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48404E" w:rsidRPr="00816657" w:rsidTr="00EA7F18">
        <w:tc>
          <w:tcPr>
            <w:cnfStyle w:val="001000000000"/>
            <w:tcW w:w="1250" w:type="pct"/>
            <w:vMerge w:val="restart"/>
            <w:tcBorders>
              <w:top w:val="single" w:sz="4" w:space="0" w:color="7F7F7F" w:themeColor="background2"/>
            </w:tcBorders>
          </w:tcPr>
          <w:p w:rsidR="0048404E" w:rsidRPr="00816657" w:rsidRDefault="0048404E" w:rsidP="0048404E">
            <w:pPr>
              <w:spacing w:line="240" w:lineRule="auto"/>
              <w:rPr>
                <w:rFonts w:cs="Times New Roman"/>
                <w:color w:val="000000"/>
                <w:szCs w:val="20"/>
                <w:lang w:eastAsia="en-AU"/>
              </w:rPr>
            </w:pPr>
            <w:r w:rsidRPr="00816657">
              <w:rPr>
                <w:rFonts w:cs="Times New Roman"/>
                <w:color w:val="000000"/>
                <w:szCs w:val="20"/>
                <w:lang w:eastAsia="en-AU"/>
              </w:rPr>
              <w:t>Leather tanning; fur dressing; and leather product manufacturing</w:t>
            </w:r>
          </w:p>
        </w:tc>
        <w:tc>
          <w:tcPr>
            <w:tcW w:w="1250" w:type="pct"/>
            <w:tcBorders>
              <w:top w:val="single" w:sz="4" w:space="0" w:color="7F7F7F" w:themeColor="background2"/>
            </w:tcBorders>
          </w:tcPr>
          <w:p w:rsidR="0048404E" w:rsidRPr="00816657" w:rsidRDefault="0048404E"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48404E" w:rsidRPr="00816657" w:rsidRDefault="0048404E"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This waste is not tracked in NSW</w:t>
            </w:r>
          </w:p>
        </w:tc>
        <w:tc>
          <w:tcPr>
            <w:tcW w:w="1250" w:type="pct"/>
            <w:tcBorders>
              <w:top w:val="single" w:sz="4" w:space="0" w:color="7F7F7F" w:themeColor="background2"/>
            </w:tcBorders>
          </w:tcPr>
          <w:p w:rsidR="0048404E" w:rsidRPr="00816657" w:rsidRDefault="0048404E"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judgement - trend and causal analysis</w:t>
            </w:r>
          </w:p>
        </w:tc>
      </w:tr>
      <w:tr w:rsidR="0048404E" w:rsidRPr="00816657" w:rsidTr="00EA7F18">
        <w:tc>
          <w:tcPr>
            <w:cnfStyle w:val="001000000000"/>
            <w:tcW w:w="1250" w:type="pct"/>
            <w:vMerge/>
          </w:tcPr>
          <w:p w:rsidR="0048404E" w:rsidRPr="00816657" w:rsidRDefault="0048404E" w:rsidP="00542624">
            <w:pPr>
              <w:spacing w:line="240" w:lineRule="auto"/>
              <w:rPr>
                <w:rFonts w:cs="Times New Roman"/>
                <w:color w:val="000000"/>
                <w:szCs w:val="20"/>
                <w:lang w:eastAsia="en-AU"/>
              </w:rPr>
            </w:pPr>
          </w:p>
        </w:tc>
        <w:tc>
          <w:tcPr>
            <w:tcW w:w="1250" w:type="pct"/>
          </w:tcPr>
          <w:p w:rsidR="0048404E" w:rsidRPr="00816657" w:rsidRDefault="0048404E" w:rsidP="00542624">
            <w:pPr>
              <w:spacing w:line="240" w:lineRule="auto"/>
              <w:cnfStyle w:val="000000000000"/>
              <w:rPr>
                <w:rFonts w:cs="Times New Roman"/>
                <w:color w:val="000000"/>
                <w:szCs w:val="20"/>
                <w:lang w:eastAsia="en-AU"/>
              </w:rPr>
            </w:pPr>
            <w:r w:rsidRPr="00816657">
              <w:rPr>
                <w:rFonts w:cs="Times New Roman"/>
                <w:color w:val="000000"/>
                <w:szCs w:val="20"/>
                <w:lang w:eastAsia="en-AU"/>
              </w:rPr>
              <w:t>Historical data set suggests a declining trend</w:t>
            </w:r>
          </w:p>
        </w:tc>
        <w:tc>
          <w:tcPr>
            <w:tcW w:w="1250" w:type="pct"/>
          </w:tcPr>
          <w:p w:rsidR="0048404E" w:rsidRPr="00816657" w:rsidRDefault="0048404E" w:rsidP="00542624">
            <w:pPr>
              <w:spacing w:line="240" w:lineRule="auto"/>
              <w:cnfStyle w:val="000000000000"/>
              <w:rPr>
                <w:rFonts w:cs="Times New Roman"/>
                <w:color w:val="000000"/>
                <w:szCs w:val="20"/>
                <w:lang w:eastAsia="en-AU"/>
              </w:rPr>
            </w:pPr>
            <w:r w:rsidRPr="00816657">
              <w:rPr>
                <w:rFonts w:cs="Times New Roman"/>
                <w:color w:val="000000"/>
                <w:szCs w:val="20"/>
                <w:lang w:eastAsia="en-AU"/>
              </w:rPr>
              <w:t>The Australian wool scouring industry is in a long-term decline</w:t>
            </w:r>
          </w:p>
        </w:tc>
        <w:tc>
          <w:tcPr>
            <w:tcW w:w="1250" w:type="pct"/>
          </w:tcPr>
          <w:p w:rsidR="0048404E" w:rsidRPr="00816657" w:rsidRDefault="0048404E" w:rsidP="00542624">
            <w:pPr>
              <w:spacing w:line="240" w:lineRule="auto"/>
              <w:cnfStyle w:val="000000000000"/>
              <w:rPr>
                <w:rFonts w:cs="Times New Roman"/>
                <w:color w:val="000000"/>
                <w:szCs w:val="20"/>
                <w:lang w:eastAsia="en-AU"/>
              </w:rPr>
            </w:pPr>
          </w:p>
        </w:tc>
      </w:tr>
      <w:tr w:rsidR="0048404E" w:rsidRPr="00816657" w:rsidTr="00EA7F18">
        <w:tc>
          <w:tcPr>
            <w:cnfStyle w:val="001000000000"/>
            <w:tcW w:w="1250" w:type="pct"/>
            <w:vMerge/>
          </w:tcPr>
          <w:p w:rsidR="0048404E" w:rsidRPr="00816657" w:rsidRDefault="0048404E" w:rsidP="00542624">
            <w:pPr>
              <w:spacing w:line="240" w:lineRule="auto"/>
              <w:rPr>
                <w:rFonts w:cs="Times New Roman"/>
                <w:color w:val="000000"/>
                <w:szCs w:val="20"/>
                <w:lang w:eastAsia="en-AU"/>
              </w:rPr>
            </w:pPr>
          </w:p>
        </w:tc>
        <w:tc>
          <w:tcPr>
            <w:tcW w:w="1250" w:type="pct"/>
          </w:tcPr>
          <w:p w:rsidR="0048404E" w:rsidRPr="00816657" w:rsidRDefault="0048404E" w:rsidP="00542624">
            <w:pPr>
              <w:spacing w:line="240" w:lineRule="auto"/>
              <w:cnfStyle w:val="000000000000"/>
              <w:rPr>
                <w:rFonts w:cs="Times New Roman"/>
                <w:color w:val="000000"/>
                <w:szCs w:val="20"/>
                <w:lang w:eastAsia="en-AU"/>
              </w:rPr>
            </w:pPr>
          </w:p>
        </w:tc>
        <w:tc>
          <w:tcPr>
            <w:tcW w:w="1250" w:type="pct"/>
          </w:tcPr>
          <w:p w:rsidR="0048404E" w:rsidRPr="00816657" w:rsidRDefault="0048404E" w:rsidP="00542624">
            <w:pPr>
              <w:spacing w:line="240" w:lineRule="auto"/>
              <w:cnfStyle w:val="000000000000"/>
              <w:rPr>
                <w:rFonts w:cs="Times New Roman"/>
                <w:color w:val="000000"/>
                <w:szCs w:val="20"/>
                <w:lang w:eastAsia="en-AU"/>
              </w:rPr>
            </w:pPr>
            <w:r w:rsidRPr="00816657">
              <w:rPr>
                <w:rFonts w:cs="Times New Roman"/>
                <w:color w:val="000000"/>
                <w:szCs w:val="20"/>
                <w:lang w:eastAsia="en-AU"/>
              </w:rPr>
              <w:t>The leather &amp; leather substitute product manufacturing industry has also 'struggled over the past five years' (IBISWorld)</w:t>
            </w:r>
          </w:p>
        </w:tc>
        <w:tc>
          <w:tcPr>
            <w:tcW w:w="1250" w:type="pct"/>
          </w:tcPr>
          <w:p w:rsidR="0048404E" w:rsidRPr="00816657" w:rsidRDefault="0048404E" w:rsidP="00542624">
            <w:pPr>
              <w:spacing w:line="240" w:lineRule="auto"/>
              <w:cnfStyle w:val="000000000000"/>
              <w:rPr>
                <w:rFonts w:cs="Times New Roman"/>
                <w:color w:val="000000"/>
                <w:szCs w:val="20"/>
                <w:lang w:eastAsia="en-AU"/>
              </w:rPr>
            </w:pPr>
          </w:p>
        </w:tc>
      </w:tr>
    </w:tbl>
    <w:p w:rsidR="00542624" w:rsidRPr="00816657" w:rsidRDefault="00542624" w:rsidP="00376588">
      <w:pPr>
        <w:pStyle w:val="BodyText"/>
        <w:rPr>
          <w:b/>
        </w:rPr>
      </w:pPr>
    </w:p>
    <w:p w:rsidR="00376588" w:rsidRPr="00816657" w:rsidRDefault="00376588" w:rsidP="00655F62">
      <w:pPr>
        <w:pStyle w:val="Figures"/>
      </w:pPr>
      <w:bookmarkStart w:id="151" w:name="_Toc425849307"/>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22</w:t>
      </w:r>
      <w:r w:rsidR="006D07F5" w:rsidRPr="00816657">
        <w:rPr>
          <w:noProof/>
        </w:rPr>
        <w:fldChar w:fldCharType="end"/>
      </w:r>
      <w:r w:rsidRPr="00816657">
        <w:t xml:space="preserve">: </w:t>
      </w:r>
      <w:r w:rsidRPr="00816657">
        <w:tab/>
        <w:t>Best, high and low projected rates of change for tannery and wool scouring waste to 2034</w:t>
      </w:r>
      <w:bookmarkEnd w:id="151"/>
    </w:p>
    <w:tbl>
      <w:tblPr>
        <w:tblStyle w:val="BETable1"/>
        <w:tblW w:w="9498" w:type="dxa"/>
        <w:tblLayout w:type="fixed"/>
        <w:tblLook w:val="04A0"/>
      </w:tblPr>
      <w:tblGrid>
        <w:gridCol w:w="567"/>
        <w:gridCol w:w="1134"/>
        <w:gridCol w:w="5812"/>
        <w:gridCol w:w="709"/>
        <w:gridCol w:w="567"/>
        <w:gridCol w:w="709"/>
      </w:tblGrid>
      <w:tr w:rsidR="007C28C6" w:rsidRPr="00816657" w:rsidTr="00542624">
        <w:trPr>
          <w:cnfStyle w:val="100000000000"/>
        </w:trPr>
        <w:tc>
          <w:tcPr>
            <w:cnfStyle w:val="001000000000"/>
            <w:tcW w:w="567" w:type="dxa"/>
          </w:tcPr>
          <w:p w:rsidR="007C28C6" w:rsidRPr="00816657" w:rsidRDefault="007C28C6" w:rsidP="00DF2118"/>
        </w:tc>
        <w:tc>
          <w:tcPr>
            <w:tcW w:w="1134" w:type="dxa"/>
          </w:tcPr>
          <w:p w:rsidR="007C28C6" w:rsidRPr="00816657" w:rsidRDefault="007C28C6" w:rsidP="00DF2118">
            <w:pPr>
              <w:cnfStyle w:val="100000000000"/>
            </w:pPr>
            <w:r w:rsidRPr="00816657">
              <w:t>Applies to</w:t>
            </w:r>
          </w:p>
        </w:tc>
        <w:tc>
          <w:tcPr>
            <w:tcW w:w="5812" w:type="dxa"/>
          </w:tcPr>
          <w:p w:rsidR="007C28C6" w:rsidRPr="00816657" w:rsidRDefault="007C28C6" w:rsidP="00DF2118">
            <w:pPr>
              <w:cnfStyle w:val="100000000000"/>
            </w:pPr>
            <w:r w:rsidRPr="00816657">
              <w:t>Approach</w:t>
            </w:r>
          </w:p>
        </w:tc>
        <w:tc>
          <w:tcPr>
            <w:tcW w:w="709" w:type="dxa"/>
          </w:tcPr>
          <w:p w:rsidR="007C28C6" w:rsidRPr="00816657" w:rsidRDefault="007C28C6" w:rsidP="00DF1E42">
            <w:pPr>
              <w:jc w:val="right"/>
              <w:cnfStyle w:val="100000000000"/>
            </w:pPr>
            <w:r w:rsidRPr="00816657">
              <w:t>2014</w:t>
            </w:r>
          </w:p>
        </w:tc>
        <w:tc>
          <w:tcPr>
            <w:tcW w:w="567" w:type="dxa"/>
          </w:tcPr>
          <w:p w:rsidR="007C28C6" w:rsidRPr="00816657" w:rsidRDefault="007C28C6" w:rsidP="00DF1E42">
            <w:pPr>
              <w:jc w:val="right"/>
              <w:cnfStyle w:val="100000000000"/>
            </w:pPr>
            <w:r w:rsidRPr="00816657">
              <w:t>...</w:t>
            </w:r>
          </w:p>
        </w:tc>
        <w:tc>
          <w:tcPr>
            <w:tcW w:w="709" w:type="dxa"/>
          </w:tcPr>
          <w:p w:rsidR="007C28C6" w:rsidRPr="00816657" w:rsidRDefault="007C28C6" w:rsidP="00DF1E42">
            <w:pPr>
              <w:jc w:val="right"/>
              <w:cnfStyle w:val="100000000000"/>
            </w:pPr>
            <w:r w:rsidRPr="00816657">
              <w:t>2034</w:t>
            </w:r>
          </w:p>
        </w:tc>
      </w:tr>
      <w:tr w:rsidR="007C28C6" w:rsidRPr="00816657" w:rsidTr="00542624">
        <w:tc>
          <w:tcPr>
            <w:cnfStyle w:val="001000000000"/>
            <w:tcW w:w="567" w:type="dxa"/>
          </w:tcPr>
          <w:p w:rsidR="007C28C6" w:rsidRPr="00816657" w:rsidRDefault="007C28C6" w:rsidP="00DF2118">
            <w:r w:rsidRPr="00816657">
              <w:t>Best</w:t>
            </w:r>
          </w:p>
        </w:tc>
        <w:tc>
          <w:tcPr>
            <w:tcW w:w="1134" w:type="dxa"/>
            <w:vMerge w:val="restart"/>
            <w:vAlign w:val="center"/>
          </w:tcPr>
          <w:p w:rsidR="007C28C6" w:rsidRPr="00816657" w:rsidRDefault="007C28C6" w:rsidP="00DF2118">
            <w:pPr>
              <w:cnfStyle w:val="000000000000"/>
            </w:pPr>
            <w:r w:rsidRPr="00816657">
              <w:t>ACT, NSW, NT, Qld, SA, Tas, Vic, WA</w:t>
            </w:r>
          </w:p>
        </w:tc>
        <w:tc>
          <w:tcPr>
            <w:tcW w:w="5812" w:type="dxa"/>
          </w:tcPr>
          <w:p w:rsidR="007C28C6" w:rsidRPr="00816657" w:rsidRDefault="007C28C6" w:rsidP="00DF2118">
            <w:pPr>
              <w:cnfStyle w:val="000000000000"/>
            </w:pPr>
            <w:r w:rsidRPr="00816657">
              <w:t>Short-term projection for leather &amp; leather substitute product manuf.</w:t>
            </w:r>
          </w:p>
        </w:tc>
        <w:tc>
          <w:tcPr>
            <w:tcW w:w="709" w:type="dxa"/>
          </w:tcPr>
          <w:p w:rsidR="007C28C6" w:rsidRPr="00816657" w:rsidRDefault="007C28C6" w:rsidP="00DF1E42">
            <w:pPr>
              <w:jc w:val="right"/>
              <w:cnfStyle w:val="000000000000"/>
            </w:pPr>
            <w:r w:rsidRPr="00816657">
              <w:t>-4.1%</w:t>
            </w:r>
          </w:p>
        </w:tc>
        <w:tc>
          <w:tcPr>
            <w:tcW w:w="567" w:type="dxa"/>
          </w:tcPr>
          <w:p w:rsidR="007C28C6" w:rsidRPr="00816657" w:rsidRDefault="007C28C6" w:rsidP="00DF1E42">
            <w:pPr>
              <w:jc w:val="right"/>
              <w:cnfStyle w:val="000000000000"/>
            </w:pPr>
            <w:r w:rsidRPr="00816657">
              <w:t>...</w:t>
            </w:r>
          </w:p>
        </w:tc>
        <w:tc>
          <w:tcPr>
            <w:tcW w:w="709" w:type="dxa"/>
          </w:tcPr>
          <w:p w:rsidR="007C28C6" w:rsidRPr="00816657" w:rsidRDefault="007C28C6" w:rsidP="00DF1E42">
            <w:pPr>
              <w:jc w:val="right"/>
              <w:cnfStyle w:val="000000000000"/>
            </w:pPr>
            <w:r w:rsidRPr="00816657">
              <w:t>-4.1%</w:t>
            </w:r>
          </w:p>
        </w:tc>
      </w:tr>
      <w:tr w:rsidR="007C28C6" w:rsidRPr="00816657" w:rsidTr="00542624">
        <w:tc>
          <w:tcPr>
            <w:cnfStyle w:val="001000000000"/>
            <w:tcW w:w="567" w:type="dxa"/>
          </w:tcPr>
          <w:p w:rsidR="007C28C6" w:rsidRPr="00816657" w:rsidRDefault="007C28C6" w:rsidP="00DF2118">
            <w:r w:rsidRPr="00816657">
              <w:t>High</w:t>
            </w:r>
          </w:p>
        </w:tc>
        <w:tc>
          <w:tcPr>
            <w:tcW w:w="1134" w:type="dxa"/>
            <w:vMerge/>
            <w:vAlign w:val="center"/>
          </w:tcPr>
          <w:p w:rsidR="007C28C6" w:rsidRPr="00816657" w:rsidRDefault="007C28C6" w:rsidP="00DF2118">
            <w:pPr>
              <w:cnfStyle w:val="000000000000"/>
            </w:pPr>
          </w:p>
        </w:tc>
        <w:tc>
          <w:tcPr>
            <w:tcW w:w="5812" w:type="dxa"/>
          </w:tcPr>
          <w:p w:rsidR="007C28C6" w:rsidRPr="00816657" w:rsidRDefault="007C28C6" w:rsidP="00DF2118">
            <w:pPr>
              <w:cnfStyle w:val="000000000000"/>
            </w:pPr>
            <w:r w:rsidRPr="00816657">
              <w:t>Best estimate of annual rate of change + 2%</w:t>
            </w:r>
          </w:p>
        </w:tc>
        <w:tc>
          <w:tcPr>
            <w:tcW w:w="709" w:type="dxa"/>
          </w:tcPr>
          <w:p w:rsidR="007C28C6" w:rsidRPr="00816657" w:rsidRDefault="007C28C6" w:rsidP="00DF1E42">
            <w:pPr>
              <w:jc w:val="right"/>
              <w:cnfStyle w:val="000000000000"/>
            </w:pPr>
            <w:r w:rsidRPr="00816657">
              <w:t>-2.1%</w:t>
            </w:r>
          </w:p>
        </w:tc>
        <w:tc>
          <w:tcPr>
            <w:tcW w:w="567" w:type="dxa"/>
          </w:tcPr>
          <w:p w:rsidR="007C28C6" w:rsidRPr="00816657" w:rsidRDefault="007C28C6" w:rsidP="00DF1E42">
            <w:pPr>
              <w:jc w:val="right"/>
              <w:cnfStyle w:val="000000000000"/>
            </w:pPr>
            <w:r w:rsidRPr="00816657">
              <w:t>...</w:t>
            </w:r>
          </w:p>
        </w:tc>
        <w:tc>
          <w:tcPr>
            <w:tcW w:w="709" w:type="dxa"/>
          </w:tcPr>
          <w:p w:rsidR="007C28C6" w:rsidRPr="00816657" w:rsidRDefault="007C28C6" w:rsidP="00DF1E42">
            <w:pPr>
              <w:jc w:val="right"/>
              <w:cnfStyle w:val="000000000000"/>
            </w:pPr>
            <w:r w:rsidRPr="00816657">
              <w:t>-2.1%</w:t>
            </w:r>
          </w:p>
        </w:tc>
      </w:tr>
      <w:tr w:rsidR="007C28C6" w:rsidRPr="00816657" w:rsidTr="00542624">
        <w:tc>
          <w:tcPr>
            <w:cnfStyle w:val="001000000000"/>
            <w:tcW w:w="567" w:type="dxa"/>
          </w:tcPr>
          <w:p w:rsidR="007C28C6" w:rsidRPr="00816657" w:rsidRDefault="007C28C6" w:rsidP="00DF2118">
            <w:r w:rsidRPr="00816657">
              <w:t>Low</w:t>
            </w:r>
          </w:p>
        </w:tc>
        <w:tc>
          <w:tcPr>
            <w:tcW w:w="1134" w:type="dxa"/>
            <w:vMerge/>
            <w:vAlign w:val="center"/>
          </w:tcPr>
          <w:p w:rsidR="007C28C6" w:rsidRPr="00816657" w:rsidRDefault="007C28C6" w:rsidP="00DF2118">
            <w:pPr>
              <w:cnfStyle w:val="000000000000"/>
            </w:pPr>
          </w:p>
        </w:tc>
        <w:tc>
          <w:tcPr>
            <w:tcW w:w="5812" w:type="dxa"/>
          </w:tcPr>
          <w:p w:rsidR="007C28C6" w:rsidRPr="00816657" w:rsidRDefault="007C28C6" w:rsidP="00DF2118">
            <w:pPr>
              <w:cnfStyle w:val="000000000000"/>
            </w:pPr>
            <w:r w:rsidRPr="00816657">
              <w:t>Best estimate of annual rate of change - 2%</w:t>
            </w:r>
          </w:p>
        </w:tc>
        <w:tc>
          <w:tcPr>
            <w:tcW w:w="709" w:type="dxa"/>
          </w:tcPr>
          <w:p w:rsidR="007C28C6" w:rsidRPr="00816657" w:rsidRDefault="007C28C6" w:rsidP="00DF1E42">
            <w:pPr>
              <w:jc w:val="right"/>
              <w:cnfStyle w:val="000000000000"/>
            </w:pPr>
            <w:r w:rsidRPr="00816657">
              <w:t>-6.1%</w:t>
            </w:r>
          </w:p>
        </w:tc>
        <w:tc>
          <w:tcPr>
            <w:tcW w:w="567" w:type="dxa"/>
          </w:tcPr>
          <w:p w:rsidR="007C28C6" w:rsidRPr="00816657" w:rsidRDefault="007C28C6" w:rsidP="00DF1E42">
            <w:pPr>
              <w:jc w:val="right"/>
              <w:cnfStyle w:val="000000000000"/>
            </w:pPr>
            <w:r w:rsidRPr="00816657">
              <w:t>...</w:t>
            </w:r>
          </w:p>
        </w:tc>
        <w:tc>
          <w:tcPr>
            <w:tcW w:w="709" w:type="dxa"/>
          </w:tcPr>
          <w:p w:rsidR="007C28C6" w:rsidRPr="00816657" w:rsidRDefault="007C28C6" w:rsidP="00DF1E42">
            <w:pPr>
              <w:jc w:val="right"/>
              <w:cnfStyle w:val="000000000000"/>
            </w:pPr>
            <w:r w:rsidRPr="00816657">
              <w:t>-6.1%</w:t>
            </w:r>
          </w:p>
        </w:tc>
      </w:tr>
    </w:tbl>
    <w:p w:rsidR="00542624" w:rsidRPr="00816657" w:rsidRDefault="00542624" w:rsidP="007F5BD4">
      <w:pPr>
        <w:pStyle w:val="BodyText"/>
      </w:pPr>
    </w:p>
    <w:p w:rsidR="00D92260" w:rsidRPr="00816657" w:rsidRDefault="00D92260" w:rsidP="00655F62">
      <w:pPr>
        <w:pStyle w:val="Figures"/>
      </w:pPr>
      <w:bookmarkStart w:id="152" w:name="_Toc425849237"/>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19</w:t>
      </w:r>
      <w:r w:rsidR="006D07F5" w:rsidRPr="00816657">
        <w:rPr>
          <w:noProof/>
        </w:rPr>
        <w:fldChar w:fldCharType="end"/>
      </w:r>
      <w:r w:rsidRPr="00816657">
        <w:t xml:space="preserve">: </w:t>
      </w:r>
      <w:r w:rsidRPr="00816657">
        <w:tab/>
        <w:t>Best, high and low national projection estimates of tannery and wool scouring waste to 2034</w:t>
      </w:r>
      <w:bookmarkEnd w:id="152"/>
    </w:p>
    <w:p w:rsidR="00D92260" w:rsidRPr="00816657" w:rsidRDefault="00C05ED6" w:rsidP="00D92260">
      <w:pPr>
        <w:spacing w:line="240" w:lineRule="auto"/>
      </w:pPr>
      <w:r w:rsidRPr="00C05ED6">
        <w:rPr>
          <w:noProof/>
          <w:lang w:eastAsia="en-AU"/>
        </w:rPr>
        <w:drawing>
          <wp:inline distT="0" distB="0" distL="0" distR="0">
            <wp:extent cx="5714286" cy="2323810"/>
            <wp:effectExtent l="0" t="0" r="127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714286" cy="2323810"/>
                    </a:xfrm>
                    <a:prstGeom prst="rect">
                      <a:avLst/>
                    </a:prstGeom>
                  </pic:spPr>
                </pic:pic>
              </a:graphicData>
            </a:graphic>
          </wp:inline>
        </w:drawing>
      </w:r>
    </w:p>
    <w:p w:rsidR="00542624" w:rsidRPr="00816657" w:rsidRDefault="007C28C6">
      <w:pPr>
        <w:spacing w:line="240" w:lineRule="auto"/>
        <w:sectPr w:rsidR="00542624" w:rsidRPr="00816657" w:rsidSect="005E3D0E">
          <w:headerReference w:type="even" r:id="rId64"/>
          <w:headerReference w:type="default" r:id="rId65"/>
          <w:footerReference w:type="even" r:id="rId66"/>
          <w:footerReference w:type="default" r:id="rId67"/>
          <w:headerReference w:type="first" r:id="rId68"/>
          <w:footerReference w:type="first" r:id="rId69"/>
          <w:pgSz w:w="11907" w:h="16840" w:code="9"/>
          <w:pgMar w:top="1531" w:right="1077" w:bottom="1135" w:left="1304" w:header="709" w:footer="709" w:gutter="0"/>
          <w:cols w:space="708"/>
          <w:docGrid w:linePitch="360"/>
        </w:sectPr>
      </w:pPr>
      <w:r w:rsidRPr="00816657">
        <w:br w:type="page"/>
      </w:r>
    </w:p>
    <w:p w:rsidR="00D92260" w:rsidRDefault="00D92260" w:rsidP="005D6078">
      <w:pPr>
        <w:pStyle w:val="Heading3"/>
      </w:pPr>
      <w:r w:rsidRPr="00816657">
        <w:lastRenderedPageBreak/>
        <w:t xml:space="preserve">M160a. </w:t>
      </w:r>
      <w:r w:rsidR="00ED73E5" w:rsidRPr="00816657">
        <w:t>Perfluorooctanesulfonic acid</w:t>
      </w:r>
      <w:r w:rsidR="00ED73E5">
        <w:t xml:space="preserve"> or </w:t>
      </w:r>
      <w:r w:rsidR="00ED73E5" w:rsidRPr="00816657">
        <w:t xml:space="preserve">perfluorooctane sulfonate </w:t>
      </w:r>
      <w:r w:rsidR="00ED73E5">
        <w:t>(PFOS)</w:t>
      </w:r>
    </w:p>
    <w:p w:rsidR="00AD3EED" w:rsidRDefault="00AD3EED" w:rsidP="00AD3EED">
      <w:pPr>
        <w:pStyle w:val="BodyText"/>
      </w:pPr>
      <w:r w:rsidRPr="00816657">
        <w:t xml:space="preserve">PFOS is a man-made fluorosurfactant and global pollutant. PFOS was the key ingredient in </w:t>
      </w:r>
      <w:r w:rsidR="003B34D2" w:rsidRPr="00816657">
        <w:t>Scotch guard</w:t>
      </w:r>
      <w:r w:rsidRPr="00816657">
        <w:t xml:space="preserve">, a fabric protector made by 3M, and numerous stain repellents and is currently used in an industrial context as a mist dispersant in surface coating and in firefighting foams. It was added to Annex B of the </w:t>
      </w:r>
      <w:r w:rsidRPr="007F5BD4">
        <w:rPr>
          <w:i/>
        </w:rPr>
        <w:t>Stockholm Convention on Persistent Organic Pollutants</w:t>
      </w:r>
      <w:r w:rsidRPr="00816657">
        <w:t xml:space="preserve"> in May 2009.</w:t>
      </w:r>
      <w:r w:rsidR="00ED73E5">
        <w:t xml:space="preserve"> </w:t>
      </w:r>
      <w:r w:rsidR="00C11E1E" w:rsidRPr="00816657">
        <w:t xml:space="preserve">Under the domestic treaty making process Australia must determine whether to ratify listing of the </w:t>
      </w:r>
      <w:r w:rsidR="00B91ED9">
        <w:t>PFOS</w:t>
      </w:r>
      <w:r w:rsidR="00C11E1E" w:rsidRPr="00816657">
        <w:t xml:space="preserve"> after having taken into consideration the costs and benefits of the feasible technical options that it would need to implement to satisfy ratification. This decision has not yet been made.</w:t>
      </w:r>
      <w:r w:rsidR="00C11E1E">
        <w:t xml:space="preserve"> </w:t>
      </w:r>
      <w:r w:rsidR="00ED73E5" w:rsidRPr="007F5BD4">
        <w:rPr>
          <w:b/>
        </w:rPr>
        <w:t xml:space="preserve">Review Appendix </w:t>
      </w:r>
      <w:fldSimple w:instr=" REF _Ref408390265 \r \h  \* MERGEFORMAT ">
        <w:r w:rsidR="002F3000">
          <w:rPr>
            <w:b/>
          </w:rPr>
          <w:t>A.5</w:t>
        </w:r>
      </w:fldSimple>
      <w:r w:rsidR="00ED73E5">
        <w:t xml:space="preserve"> for a detailed discussion of PFOS and the data sources and assumptions used in providing the projections below.</w:t>
      </w:r>
    </w:p>
    <w:p w:rsidR="00ED73E5" w:rsidRPr="00816657" w:rsidRDefault="00ED73E5" w:rsidP="00AD3EED">
      <w:pPr>
        <w:pStyle w:val="BodyText"/>
      </w:pPr>
    </w:p>
    <w:p w:rsidR="00542624" w:rsidRPr="00816657" w:rsidRDefault="00542624" w:rsidP="00542624">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186"/>
        <w:gridCol w:w="3257"/>
        <w:gridCol w:w="4253"/>
        <w:gridCol w:w="4990"/>
      </w:tblGrid>
      <w:tr w:rsidR="00E42D11" w:rsidRPr="00816657" w:rsidTr="00652140">
        <w:trPr>
          <w:cnfStyle w:val="100000000000"/>
        </w:trPr>
        <w:tc>
          <w:tcPr>
            <w:cnfStyle w:val="001000000000"/>
            <w:tcW w:w="744"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109"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448"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699"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01725B" w:rsidRPr="00816657" w:rsidTr="00652140">
        <w:tc>
          <w:tcPr>
            <w:cnfStyle w:val="001000000000"/>
            <w:tcW w:w="744" w:type="pct"/>
            <w:tcBorders>
              <w:top w:val="single" w:sz="4" w:space="0" w:color="7F7F7F" w:themeColor="background2"/>
            </w:tcBorders>
          </w:tcPr>
          <w:p w:rsidR="0001725B" w:rsidRPr="00816657" w:rsidRDefault="0001725B" w:rsidP="00816657">
            <w:pPr>
              <w:spacing w:line="240" w:lineRule="auto"/>
              <w:rPr>
                <w:rFonts w:cs="Times New Roman"/>
                <w:color w:val="000000"/>
                <w:szCs w:val="20"/>
                <w:lang w:eastAsia="en-AU"/>
              </w:rPr>
            </w:pPr>
            <w:r w:rsidRPr="00816657">
              <w:rPr>
                <w:rFonts w:cs="Times New Roman"/>
                <w:color w:val="000000"/>
                <w:szCs w:val="20"/>
                <w:lang w:eastAsia="en-AU"/>
              </w:rPr>
              <w:t>Biosolids - newly produced from wastewater treatment plants; aqueous film forming foams (AFFF) from fire-brigades, airports, docks, defence, petrochemicals, mining; wash waters from fire-fighting scenes</w:t>
            </w:r>
          </w:p>
        </w:tc>
        <w:tc>
          <w:tcPr>
            <w:tcW w:w="1109" w:type="pct"/>
            <w:tcBorders>
              <w:top w:val="single" w:sz="4" w:space="0" w:color="7F7F7F" w:themeColor="background2"/>
            </w:tcBorders>
          </w:tcPr>
          <w:p w:rsidR="00ED73E5" w:rsidRDefault="0001725B">
            <w:pPr>
              <w:spacing w:line="240" w:lineRule="auto"/>
              <w:cnfStyle w:val="000000000000"/>
              <w:rPr>
                <w:rFonts w:cs="Times New Roman"/>
                <w:color w:val="000000"/>
                <w:szCs w:val="20"/>
                <w:lang w:eastAsia="en-AU"/>
              </w:rPr>
            </w:pPr>
            <w:r w:rsidRPr="00816657">
              <w:rPr>
                <w:rFonts w:cs="Times New Roman"/>
                <w:color w:val="000000"/>
                <w:szCs w:val="20"/>
                <w:lang w:eastAsia="en-AU"/>
              </w:rPr>
              <w:t>Credible projections do not exist for biosolids. Some stocks and flows modelling summary data provided by DoE for AFFF &amp; firewaters</w:t>
            </w:r>
            <w:r w:rsidR="00ED73E5">
              <w:rPr>
                <w:rFonts w:cs="Times New Roman"/>
                <w:color w:val="000000"/>
                <w:szCs w:val="20"/>
                <w:lang w:eastAsia="en-AU"/>
              </w:rPr>
              <w:t>.</w:t>
            </w:r>
          </w:p>
          <w:p w:rsidR="00ED73E5" w:rsidRDefault="00ED73E5">
            <w:pPr>
              <w:spacing w:line="240" w:lineRule="auto"/>
              <w:cnfStyle w:val="000000000000"/>
              <w:rPr>
                <w:rFonts w:cs="Times New Roman"/>
                <w:color w:val="000000"/>
                <w:szCs w:val="20"/>
                <w:lang w:eastAsia="en-AU"/>
              </w:rPr>
            </w:pPr>
          </w:p>
          <w:p w:rsidR="0001725B" w:rsidRPr="00816657" w:rsidRDefault="00ED73E5">
            <w:pPr>
              <w:spacing w:line="240" w:lineRule="auto"/>
              <w:cnfStyle w:val="000000000000"/>
              <w:rPr>
                <w:rFonts w:cs="Times New Roman"/>
                <w:color w:val="000000"/>
                <w:szCs w:val="20"/>
                <w:lang w:eastAsia="en-AU"/>
              </w:rPr>
            </w:pPr>
            <w:r>
              <w:rPr>
                <w:rFonts w:cs="Times New Roman"/>
                <w:color w:val="000000"/>
                <w:szCs w:val="20"/>
                <w:lang w:eastAsia="en-AU"/>
              </w:rPr>
              <w:t xml:space="preserve"> </w:t>
            </w:r>
            <w:r w:rsidRPr="00816657">
              <w:rPr>
                <w:rFonts w:cs="Times New Roman"/>
                <w:color w:val="000000"/>
                <w:szCs w:val="20"/>
                <w:lang w:eastAsia="en-AU"/>
              </w:rPr>
              <w:t>Trend data is not easily discernible (maybe partly in N140 ‘fire debris &amp; firewaters’ and M250 ‘surfactants’).</w:t>
            </w:r>
          </w:p>
        </w:tc>
        <w:tc>
          <w:tcPr>
            <w:tcW w:w="1448" w:type="pct"/>
            <w:tcBorders>
              <w:top w:val="single" w:sz="4" w:space="0" w:color="7F7F7F" w:themeColor="background2"/>
            </w:tcBorders>
          </w:tcPr>
          <w:p w:rsidR="00ED73E5" w:rsidRDefault="0001725B">
            <w:pPr>
              <w:spacing w:line="240" w:lineRule="auto"/>
              <w:cnfStyle w:val="000000000000"/>
              <w:rPr>
                <w:rFonts w:cs="Times New Roman"/>
                <w:color w:val="000000"/>
                <w:szCs w:val="20"/>
                <w:lang w:eastAsia="en-AU"/>
              </w:rPr>
            </w:pPr>
            <w:r w:rsidRPr="00816657">
              <w:rPr>
                <w:rFonts w:cs="Times New Roman"/>
                <w:color w:val="000000"/>
                <w:szCs w:val="20"/>
                <w:lang w:eastAsia="en-AU"/>
              </w:rPr>
              <w:t xml:space="preserve">See Appendix </w:t>
            </w:r>
            <w:r w:rsidR="006D07F5" w:rsidRPr="00816657">
              <w:rPr>
                <w:rFonts w:cs="Times New Roman"/>
                <w:color w:val="000000"/>
                <w:szCs w:val="20"/>
                <w:lang w:eastAsia="en-AU"/>
              </w:rPr>
              <w:fldChar w:fldCharType="begin"/>
            </w:r>
            <w:r w:rsidRPr="00816657">
              <w:rPr>
                <w:rFonts w:cs="Times New Roman"/>
                <w:color w:val="000000"/>
                <w:szCs w:val="20"/>
                <w:lang w:eastAsia="en-AU"/>
              </w:rPr>
              <w:instrText xml:space="preserve"> REF _Ref408390265 \r \h </w:instrText>
            </w:r>
            <w:r w:rsidR="006D07F5" w:rsidRPr="00816657">
              <w:rPr>
                <w:rFonts w:cs="Times New Roman"/>
                <w:color w:val="000000"/>
                <w:szCs w:val="20"/>
                <w:lang w:eastAsia="en-AU"/>
              </w:rPr>
            </w:r>
            <w:r w:rsidR="006D07F5" w:rsidRPr="00816657">
              <w:rPr>
                <w:rFonts w:cs="Times New Roman"/>
                <w:color w:val="000000"/>
                <w:szCs w:val="20"/>
                <w:lang w:eastAsia="en-AU"/>
              </w:rPr>
              <w:fldChar w:fldCharType="separate"/>
            </w:r>
            <w:r w:rsidR="002F3000">
              <w:rPr>
                <w:rFonts w:cs="Times New Roman"/>
                <w:color w:val="000000"/>
                <w:szCs w:val="20"/>
                <w:lang w:eastAsia="en-AU"/>
              </w:rPr>
              <w:t>A.5</w:t>
            </w:r>
            <w:r w:rsidR="006D07F5" w:rsidRPr="00816657">
              <w:rPr>
                <w:rFonts w:cs="Times New Roman"/>
                <w:color w:val="000000"/>
                <w:szCs w:val="20"/>
                <w:lang w:eastAsia="en-AU"/>
              </w:rPr>
              <w:fldChar w:fldCharType="end"/>
            </w:r>
            <w:r w:rsidRPr="00816657">
              <w:rPr>
                <w:rFonts w:cs="Times New Roman"/>
                <w:color w:val="000000"/>
                <w:szCs w:val="20"/>
                <w:lang w:eastAsia="en-AU"/>
              </w:rPr>
              <w:t xml:space="preserve"> for details of data sources and assumptions</w:t>
            </w:r>
            <w:r w:rsidR="00ED73E5">
              <w:rPr>
                <w:rFonts w:cs="Times New Roman"/>
                <w:color w:val="000000"/>
                <w:szCs w:val="20"/>
                <w:lang w:eastAsia="en-AU"/>
              </w:rPr>
              <w:t xml:space="preserve">. </w:t>
            </w:r>
          </w:p>
          <w:p w:rsidR="00ED73E5" w:rsidRDefault="00ED73E5">
            <w:pPr>
              <w:spacing w:line="240" w:lineRule="auto"/>
              <w:cnfStyle w:val="000000000000"/>
            </w:pPr>
            <w:r w:rsidRPr="00816657">
              <w:rPr>
                <w:rFonts w:cs="Times New Roman"/>
                <w:color w:val="000000"/>
                <w:szCs w:val="20"/>
                <w:lang w:eastAsia="en-AU"/>
              </w:rPr>
              <w:t xml:space="preserve">It is assumed that a concentration limit above which contaminated wastes would be considered hazardous (i.e. a </w:t>
            </w:r>
            <w:r w:rsidRPr="00816657">
              <w:t>Low POP Concentration Limit or LPCL) would be agreed within 2 years</w:t>
            </w:r>
            <w:r>
              <w:t xml:space="preserve">. </w:t>
            </w:r>
          </w:p>
          <w:p w:rsidR="00ED73E5" w:rsidRDefault="00ED73E5">
            <w:pPr>
              <w:spacing w:line="240" w:lineRule="auto"/>
              <w:cnfStyle w:val="000000000000"/>
            </w:pPr>
          </w:p>
          <w:p w:rsidR="0001725B" w:rsidRPr="00816657" w:rsidRDefault="00ED73E5">
            <w:pPr>
              <w:spacing w:line="240" w:lineRule="auto"/>
              <w:cnfStyle w:val="000000000000"/>
              <w:rPr>
                <w:rFonts w:cs="Times New Roman"/>
                <w:color w:val="000000"/>
                <w:szCs w:val="20"/>
                <w:lang w:eastAsia="en-AU"/>
              </w:rPr>
            </w:pPr>
            <w:r w:rsidRPr="00816657">
              <w:rPr>
                <w:rFonts w:cs="Times New Roman"/>
                <w:color w:val="000000"/>
                <w:szCs w:val="20"/>
                <w:lang w:eastAsia="en-AU"/>
              </w:rPr>
              <w:t>Calculations suggest the LPCL would be relevant only for biosolids. AFFF &amp; firewaters will contain PFOS above any LPCL to be set</w:t>
            </w:r>
          </w:p>
        </w:tc>
        <w:tc>
          <w:tcPr>
            <w:tcW w:w="1699" w:type="pct"/>
            <w:tcBorders>
              <w:top w:val="single" w:sz="4" w:space="0" w:color="7F7F7F" w:themeColor="background2"/>
            </w:tcBorders>
          </w:tcPr>
          <w:p w:rsidR="0001725B" w:rsidRPr="00816657" w:rsidRDefault="0001725B">
            <w:pPr>
              <w:spacing w:line="240" w:lineRule="auto"/>
              <w:cnfStyle w:val="000000000000"/>
              <w:rPr>
                <w:rFonts w:cs="Times New Roman"/>
                <w:color w:val="000000"/>
                <w:szCs w:val="20"/>
                <w:lang w:eastAsia="en-AU"/>
              </w:rPr>
            </w:pPr>
            <w:r w:rsidRPr="00816657">
              <w:rPr>
                <w:rFonts w:cs="Times New Roman"/>
                <w:color w:val="000000"/>
                <w:szCs w:val="20"/>
                <w:lang w:eastAsia="en-AU"/>
              </w:rPr>
              <w:t>Assume Australia ratifies Stockholm in two years, but stocks currently being destroyed regardless of ratification decision</w:t>
            </w:r>
            <w:r w:rsidR="00ED73E5">
              <w:rPr>
                <w:rFonts w:cs="Times New Roman"/>
                <w:color w:val="000000"/>
                <w:szCs w:val="20"/>
                <w:lang w:eastAsia="en-AU"/>
              </w:rPr>
              <w:t>.</w:t>
            </w:r>
            <w:r w:rsidR="00ED73E5" w:rsidRPr="00816657">
              <w:rPr>
                <w:rFonts w:cs="Times New Roman"/>
                <w:color w:val="000000"/>
                <w:szCs w:val="20"/>
                <w:lang w:eastAsia="en-AU"/>
              </w:rPr>
              <w:t xml:space="preserve"> AFFF foams still an allowable use under Stockholm anyway</w:t>
            </w:r>
            <w:r w:rsidR="00ED73E5">
              <w:rPr>
                <w:rFonts w:cs="Times New Roman"/>
                <w:color w:val="000000"/>
                <w:szCs w:val="20"/>
                <w:lang w:eastAsia="en-AU"/>
              </w:rPr>
              <w:t xml:space="preserve">. </w:t>
            </w:r>
            <w:r w:rsidR="00ED73E5" w:rsidRPr="00816657">
              <w:rPr>
                <w:rFonts w:cs="Times New Roman"/>
                <w:color w:val="000000"/>
                <w:szCs w:val="20"/>
                <w:lang w:eastAsia="en-AU"/>
              </w:rPr>
              <w:t>Because of large firewater volumes, PFOS high scenario assumes decreased AFFF concentrate sent for destruction and increase in diluted foam usage. For biosolids, use causal analysis, historical biosolids production data and literature data on POPs concentrations. Use range of LPCLs to define scenarios</w:t>
            </w:r>
          </w:p>
        </w:tc>
      </w:tr>
    </w:tbl>
    <w:p w:rsidR="00ED73E5" w:rsidRPr="00816657" w:rsidRDefault="00ED73E5" w:rsidP="00652140">
      <w:pPr>
        <w:pStyle w:val="BodyText"/>
      </w:pPr>
    </w:p>
    <w:p w:rsidR="00DF2118" w:rsidRPr="00816657" w:rsidRDefault="00F13C82" w:rsidP="00655F62">
      <w:pPr>
        <w:pStyle w:val="Figures"/>
      </w:pPr>
      <w:bookmarkStart w:id="153" w:name="_Toc425849308"/>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23</w:t>
      </w:r>
      <w:r w:rsidR="006D07F5" w:rsidRPr="00816657">
        <w:rPr>
          <w:noProof/>
        </w:rPr>
        <w:fldChar w:fldCharType="end"/>
      </w:r>
      <w:r w:rsidRPr="00816657">
        <w:t xml:space="preserve">: </w:t>
      </w:r>
      <w:r w:rsidRPr="00816657">
        <w:tab/>
        <w:t>Approaches used to project PFOS waste</w:t>
      </w:r>
      <w:bookmarkEnd w:id="153"/>
    </w:p>
    <w:tbl>
      <w:tblPr>
        <w:tblStyle w:val="BETable1"/>
        <w:tblW w:w="12758" w:type="dxa"/>
        <w:tblLayout w:type="fixed"/>
        <w:tblCellMar>
          <w:top w:w="0" w:type="dxa"/>
          <w:bottom w:w="0" w:type="dxa"/>
        </w:tblCellMar>
        <w:tblLook w:val="04A0"/>
      </w:tblPr>
      <w:tblGrid>
        <w:gridCol w:w="3023"/>
        <w:gridCol w:w="1797"/>
        <w:gridCol w:w="7938"/>
      </w:tblGrid>
      <w:tr w:rsidR="00DF2118" w:rsidRPr="00816657" w:rsidTr="00652140">
        <w:trPr>
          <w:cnfStyle w:val="100000000000"/>
        </w:trPr>
        <w:tc>
          <w:tcPr>
            <w:cnfStyle w:val="001000000000"/>
            <w:tcW w:w="3023" w:type="dxa"/>
          </w:tcPr>
          <w:p w:rsidR="00DF2118" w:rsidRPr="00816657" w:rsidRDefault="00DF2118" w:rsidP="00DF2118">
            <w:r w:rsidRPr="00816657">
              <w:t>Approach re. PFOS in AFFF</w:t>
            </w:r>
          </w:p>
        </w:tc>
        <w:tc>
          <w:tcPr>
            <w:tcW w:w="1797" w:type="dxa"/>
          </w:tcPr>
          <w:p w:rsidR="00DF2118" w:rsidRPr="00816657" w:rsidRDefault="00DF2118" w:rsidP="00DF2118">
            <w:pPr>
              <w:cnfStyle w:val="100000000000"/>
            </w:pPr>
            <w:r w:rsidRPr="00816657">
              <w:t>Applies to</w:t>
            </w:r>
          </w:p>
        </w:tc>
        <w:tc>
          <w:tcPr>
            <w:tcW w:w="7938" w:type="dxa"/>
          </w:tcPr>
          <w:p w:rsidR="00DF2118" w:rsidRPr="00816657" w:rsidRDefault="00DF2118" w:rsidP="00DF2118">
            <w:pPr>
              <w:cnfStyle w:val="100000000000"/>
            </w:pPr>
            <w:r w:rsidRPr="00816657">
              <w:t>Approach</w:t>
            </w:r>
          </w:p>
        </w:tc>
      </w:tr>
      <w:tr w:rsidR="00DF2118" w:rsidRPr="00816657" w:rsidTr="00652140">
        <w:tc>
          <w:tcPr>
            <w:cnfStyle w:val="001000000000"/>
            <w:tcW w:w="3023" w:type="dxa"/>
          </w:tcPr>
          <w:p w:rsidR="00DF2118" w:rsidRPr="00816657" w:rsidRDefault="00DF2118" w:rsidP="00DF2118">
            <w:r w:rsidRPr="00816657">
              <w:t>Best</w:t>
            </w:r>
          </w:p>
        </w:tc>
        <w:tc>
          <w:tcPr>
            <w:tcW w:w="1797" w:type="dxa"/>
            <w:vMerge w:val="restart"/>
            <w:vAlign w:val="center"/>
          </w:tcPr>
          <w:p w:rsidR="00DF2118" w:rsidRPr="00816657" w:rsidRDefault="00DF2118" w:rsidP="00DF2118">
            <w:pPr>
              <w:cnfStyle w:val="000000000000"/>
            </w:pPr>
            <w:r w:rsidRPr="00816657">
              <w:t>National total only</w:t>
            </w:r>
          </w:p>
        </w:tc>
        <w:tc>
          <w:tcPr>
            <w:tcW w:w="7938" w:type="dxa"/>
          </w:tcPr>
          <w:p w:rsidR="00DF2118" w:rsidRPr="00816657" w:rsidRDefault="00DF2118" w:rsidP="00DF2118">
            <w:pPr>
              <w:cnfStyle w:val="000000000000"/>
            </w:pPr>
            <w:r w:rsidRPr="00816657">
              <w:t>Stock destruction at current rate (usage at current rate)</w:t>
            </w:r>
          </w:p>
        </w:tc>
      </w:tr>
      <w:tr w:rsidR="00DF2118" w:rsidRPr="00816657" w:rsidTr="00652140">
        <w:tc>
          <w:tcPr>
            <w:cnfStyle w:val="001000000000"/>
            <w:tcW w:w="3023" w:type="dxa"/>
          </w:tcPr>
          <w:p w:rsidR="00DF2118" w:rsidRPr="00816657" w:rsidRDefault="00DF2118" w:rsidP="00DF2118">
            <w:r w:rsidRPr="00816657">
              <w:t>High</w:t>
            </w:r>
          </w:p>
        </w:tc>
        <w:tc>
          <w:tcPr>
            <w:tcW w:w="1797" w:type="dxa"/>
            <w:vMerge/>
          </w:tcPr>
          <w:p w:rsidR="00DF2118" w:rsidRPr="00816657" w:rsidRDefault="00DF2118" w:rsidP="00DF2118">
            <w:pPr>
              <w:cnfStyle w:val="000000000000"/>
            </w:pPr>
          </w:p>
        </w:tc>
        <w:tc>
          <w:tcPr>
            <w:tcW w:w="7938" w:type="dxa"/>
          </w:tcPr>
          <w:p w:rsidR="00DF2118" w:rsidRPr="00816657" w:rsidRDefault="00DF2118" w:rsidP="00DF2118">
            <w:pPr>
              <w:cnfStyle w:val="000000000000"/>
            </w:pPr>
            <w:r w:rsidRPr="00816657">
              <w:t>No stock destruction from 2015 (entire stock used in firefighting)</w:t>
            </w:r>
          </w:p>
        </w:tc>
      </w:tr>
      <w:tr w:rsidR="00DF2118" w:rsidRPr="00816657" w:rsidTr="00652140">
        <w:tc>
          <w:tcPr>
            <w:cnfStyle w:val="001000000000"/>
            <w:tcW w:w="3023" w:type="dxa"/>
          </w:tcPr>
          <w:p w:rsidR="00DF2118" w:rsidRPr="00816657" w:rsidRDefault="00DF2118" w:rsidP="00DF2118">
            <w:r w:rsidRPr="00816657">
              <w:t>Low</w:t>
            </w:r>
          </w:p>
        </w:tc>
        <w:tc>
          <w:tcPr>
            <w:tcW w:w="1797" w:type="dxa"/>
            <w:vMerge/>
          </w:tcPr>
          <w:p w:rsidR="00DF2118" w:rsidRPr="00816657" w:rsidRDefault="00DF2118" w:rsidP="00DF2118">
            <w:pPr>
              <w:cnfStyle w:val="000000000000"/>
            </w:pPr>
          </w:p>
        </w:tc>
        <w:tc>
          <w:tcPr>
            <w:tcW w:w="7938" w:type="dxa"/>
          </w:tcPr>
          <w:p w:rsidR="00DF2118" w:rsidRPr="00816657" w:rsidRDefault="00DF2118" w:rsidP="00DF2118">
            <w:pPr>
              <w:cnfStyle w:val="000000000000"/>
            </w:pPr>
            <w:r w:rsidRPr="00816657">
              <w:t>No stock destruction from 2015 (25% decrease in usage from best estimate)</w:t>
            </w:r>
          </w:p>
        </w:tc>
      </w:tr>
      <w:tr w:rsidR="00DF2118" w:rsidRPr="00816657" w:rsidTr="00652140">
        <w:tc>
          <w:tcPr>
            <w:cnfStyle w:val="001000000000"/>
            <w:tcW w:w="3023" w:type="dxa"/>
          </w:tcPr>
          <w:p w:rsidR="00DF2118" w:rsidRPr="00816657" w:rsidRDefault="00DF2118" w:rsidP="00DF2118">
            <w:pPr>
              <w:rPr>
                <w:b/>
              </w:rPr>
            </w:pPr>
            <w:r w:rsidRPr="00816657">
              <w:rPr>
                <w:b/>
              </w:rPr>
              <w:t>Approach re. PFOS in firewaters</w:t>
            </w:r>
          </w:p>
        </w:tc>
        <w:tc>
          <w:tcPr>
            <w:tcW w:w="1797" w:type="dxa"/>
          </w:tcPr>
          <w:p w:rsidR="00DF2118" w:rsidRPr="00816657" w:rsidRDefault="00DF2118" w:rsidP="00DF2118">
            <w:pPr>
              <w:cnfStyle w:val="000000000000"/>
              <w:rPr>
                <w:b/>
              </w:rPr>
            </w:pPr>
            <w:r w:rsidRPr="00816657">
              <w:rPr>
                <w:b/>
              </w:rPr>
              <w:t>Applies to</w:t>
            </w:r>
          </w:p>
        </w:tc>
        <w:tc>
          <w:tcPr>
            <w:tcW w:w="7938" w:type="dxa"/>
          </w:tcPr>
          <w:p w:rsidR="00DF2118" w:rsidRPr="00816657" w:rsidRDefault="00DF2118" w:rsidP="00DF2118">
            <w:pPr>
              <w:cnfStyle w:val="000000000000"/>
              <w:rPr>
                <w:b/>
              </w:rPr>
            </w:pPr>
            <w:r w:rsidRPr="00816657">
              <w:rPr>
                <w:b/>
              </w:rPr>
              <w:t>Approach</w:t>
            </w:r>
          </w:p>
        </w:tc>
      </w:tr>
      <w:tr w:rsidR="00DF2118" w:rsidRPr="00816657" w:rsidTr="00652140">
        <w:tc>
          <w:tcPr>
            <w:cnfStyle w:val="001000000000"/>
            <w:tcW w:w="3023" w:type="dxa"/>
          </w:tcPr>
          <w:p w:rsidR="00DF2118" w:rsidRPr="00816657" w:rsidRDefault="00DF2118" w:rsidP="00DF2118">
            <w:r w:rsidRPr="00816657">
              <w:t>Best</w:t>
            </w:r>
          </w:p>
        </w:tc>
        <w:tc>
          <w:tcPr>
            <w:tcW w:w="1797" w:type="dxa"/>
            <w:vMerge w:val="restart"/>
            <w:vAlign w:val="center"/>
          </w:tcPr>
          <w:p w:rsidR="00DF2118" w:rsidRPr="00816657" w:rsidRDefault="00DF2118" w:rsidP="00DF2118">
            <w:pPr>
              <w:cnfStyle w:val="000000000000"/>
            </w:pPr>
            <w:r w:rsidRPr="00816657">
              <w:t>National total only</w:t>
            </w:r>
          </w:p>
        </w:tc>
        <w:tc>
          <w:tcPr>
            <w:tcW w:w="7938" w:type="dxa"/>
          </w:tcPr>
          <w:p w:rsidR="00DF2118" w:rsidRPr="00816657" w:rsidRDefault="00DF2118" w:rsidP="00DF2118">
            <w:pPr>
              <w:cnfStyle w:val="000000000000"/>
            </w:pPr>
            <w:r w:rsidRPr="00816657">
              <w:t>Stock destruction at current rate (usage at current rate)</w:t>
            </w:r>
          </w:p>
        </w:tc>
      </w:tr>
      <w:tr w:rsidR="00DF2118" w:rsidRPr="00816657" w:rsidTr="00652140">
        <w:tc>
          <w:tcPr>
            <w:cnfStyle w:val="001000000000"/>
            <w:tcW w:w="3023" w:type="dxa"/>
          </w:tcPr>
          <w:p w:rsidR="00DF2118" w:rsidRPr="00816657" w:rsidRDefault="00DF2118" w:rsidP="00DF2118">
            <w:r w:rsidRPr="00816657">
              <w:t>High</w:t>
            </w:r>
          </w:p>
        </w:tc>
        <w:tc>
          <w:tcPr>
            <w:tcW w:w="1797" w:type="dxa"/>
            <w:vMerge/>
          </w:tcPr>
          <w:p w:rsidR="00DF2118" w:rsidRPr="00816657" w:rsidRDefault="00DF2118" w:rsidP="00DF2118">
            <w:pPr>
              <w:cnfStyle w:val="000000000000"/>
            </w:pPr>
          </w:p>
        </w:tc>
        <w:tc>
          <w:tcPr>
            <w:tcW w:w="7938" w:type="dxa"/>
          </w:tcPr>
          <w:p w:rsidR="00DF2118" w:rsidRPr="00816657" w:rsidRDefault="00DF2118" w:rsidP="00DF2118">
            <w:pPr>
              <w:cnfStyle w:val="000000000000"/>
            </w:pPr>
            <w:r w:rsidRPr="00816657">
              <w:t>No stock destruction from 2015 (entire stock used in firefighting)</w:t>
            </w:r>
          </w:p>
        </w:tc>
      </w:tr>
      <w:tr w:rsidR="00DF2118" w:rsidRPr="00816657" w:rsidTr="00652140">
        <w:tc>
          <w:tcPr>
            <w:cnfStyle w:val="001000000000"/>
            <w:tcW w:w="3023" w:type="dxa"/>
          </w:tcPr>
          <w:p w:rsidR="00DF2118" w:rsidRPr="00816657" w:rsidRDefault="00DF2118" w:rsidP="00DF2118">
            <w:r w:rsidRPr="00816657">
              <w:t>Low</w:t>
            </w:r>
          </w:p>
        </w:tc>
        <w:tc>
          <w:tcPr>
            <w:tcW w:w="1797" w:type="dxa"/>
            <w:vMerge/>
          </w:tcPr>
          <w:p w:rsidR="00DF2118" w:rsidRPr="00816657" w:rsidRDefault="00DF2118" w:rsidP="00DF2118">
            <w:pPr>
              <w:cnfStyle w:val="000000000000"/>
            </w:pPr>
          </w:p>
        </w:tc>
        <w:tc>
          <w:tcPr>
            <w:tcW w:w="7938" w:type="dxa"/>
          </w:tcPr>
          <w:p w:rsidR="00DF2118" w:rsidRPr="00816657" w:rsidRDefault="00DF2118" w:rsidP="00DF2118">
            <w:pPr>
              <w:cnfStyle w:val="000000000000"/>
            </w:pPr>
            <w:r w:rsidRPr="00816657">
              <w:t>No stock destruction from 2015 (25% decrease in usage from best estimate)</w:t>
            </w:r>
          </w:p>
        </w:tc>
      </w:tr>
      <w:tr w:rsidR="00DF2118" w:rsidRPr="00816657" w:rsidTr="00652140">
        <w:tc>
          <w:tcPr>
            <w:cnfStyle w:val="001000000000"/>
            <w:tcW w:w="3023" w:type="dxa"/>
          </w:tcPr>
          <w:p w:rsidR="00DF2118" w:rsidRPr="00816657" w:rsidRDefault="00DF2118" w:rsidP="00DF2118">
            <w:pPr>
              <w:rPr>
                <w:b/>
              </w:rPr>
            </w:pPr>
            <w:r w:rsidRPr="00816657">
              <w:rPr>
                <w:b/>
              </w:rPr>
              <w:t>Approach re. biosolids</w:t>
            </w:r>
          </w:p>
        </w:tc>
        <w:tc>
          <w:tcPr>
            <w:tcW w:w="1797" w:type="dxa"/>
          </w:tcPr>
          <w:p w:rsidR="00DF2118" w:rsidRPr="00816657" w:rsidRDefault="00DF2118" w:rsidP="00DF2118">
            <w:pPr>
              <w:cnfStyle w:val="000000000000"/>
              <w:rPr>
                <w:b/>
              </w:rPr>
            </w:pPr>
            <w:r w:rsidRPr="00816657">
              <w:rPr>
                <w:b/>
              </w:rPr>
              <w:t>Applies to</w:t>
            </w:r>
          </w:p>
        </w:tc>
        <w:tc>
          <w:tcPr>
            <w:tcW w:w="7938" w:type="dxa"/>
          </w:tcPr>
          <w:p w:rsidR="00DF2118" w:rsidRPr="00816657" w:rsidRDefault="00DF2118" w:rsidP="00DF2118">
            <w:pPr>
              <w:cnfStyle w:val="000000000000"/>
              <w:rPr>
                <w:b/>
              </w:rPr>
            </w:pPr>
            <w:r w:rsidRPr="00816657">
              <w:rPr>
                <w:b/>
              </w:rPr>
              <w:t>Approach</w:t>
            </w:r>
          </w:p>
        </w:tc>
      </w:tr>
      <w:tr w:rsidR="00DF2118" w:rsidRPr="00816657" w:rsidTr="00652140">
        <w:tc>
          <w:tcPr>
            <w:cnfStyle w:val="001000000000"/>
            <w:tcW w:w="3023" w:type="dxa"/>
          </w:tcPr>
          <w:p w:rsidR="00DF2118" w:rsidRPr="00816657" w:rsidRDefault="00DF2118" w:rsidP="00DF2118">
            <w:r w:rsidRPr="00816657">
              <w:t>Best</w:t>
            </w:r>
          </w:p>
        </w:tc>
        <w:tc>
          <w:tcPr>
            <w:tcW w:w="1797" w:type="dxa"/>
            <w:vMerge w:val="restart"/>
            <w:vAlign w:val="center"/>
          </w:tcPr>
          <w:p w:rsidR="00DF2118" w:rsidRPr="00816657" w:rsidRDefault="00DF2118" w:rsidP="00DF2118">
            <w:pPr>
              <w:cnfStyle w:val="000000000000"/>
            </w:pPr>
            <w:r w:rsidRPr="00816657">
              <w:t>National total only</w:t>
            </w:r>
          </w:p>
        </w:tc>
        <w:tc>
          <w:tcPr>
            <w:tcW w:w="7938" w:type="dxa"/>
          </w:tcPr>
          <w:p w:rsidR="00DF2118" w:rsidRPr="00816657" w:rsidRDefault="00DF2118" w:rsidP="00DF2118">
            <w:pPr>
              <w:cnfStyle w:val="000000000000"/>
            </w:pPr>
            <w:r w:rsidRPr="00816657">
              <w:t>LPCL = 10mg/kg; grows with population</w:t>
            </w:r>
          </w:p>
        </w:tc>
      </w:tr>
      <w:tr w:rsidR="00DF2118" w:rsidRPr="00816657" w:rsidTr="00652140">
        <w:tc>
          <w:tcPr>
            <w:cnfStyle w:val="001000000000"/>
            <w:tcW w:w="3023" w:type="dxa"/>
          </w:tcPr>
          <w:p w:rsidR="00DF2118" w:rsidRPr="00816657" w:rsidRDefault="00DF2118" w:rsidP="00DF2118">
            <w:r w:rsidRPr="00816657">
              <w:t>High</w:t>
            </w:r>
          </w:p>
        </w:tc>
        <w:tc>
          <w:tcPr>
            <w:tcW w:w="1797" w:type="dxa"/>
            <w:vMerge/>
          </w:tcPr>
          <w:p w:rsidR="00DF2118" w:rsidRPr="00816657" w:rsidRDefault="00DF2118" w:rsidP="00DF2118">
            <w:pPr>
              <w:cnfStyle w:val="000000000000"/>
            </w:pPr>
          </w:p>
        </w:tc>
        <w:tc>
          <w:tcPr>
            <w:tcW w:w="7938" w:type="dxa"/>
          </w:tcPr>
          <w:p w:rsidR="00DF2118" w:rsidRPr="00816657" w:rsidRDefault="00DF2118" w:rsidP="00DF2118">
            <w:pPr>
              <w:cnfStyle w:val="000000000000"/>
            </w:pPr>
            <w:r w:rsidRPr="00816657">
              <w:t>LPCL = 1mg/kg; grows with population +1%</w:t>
            </w:r>
          </w:p>
        </w:tc>
      </w:tr>
      <w:tr w:rsidR="00DF2118" w:rsidRPr="00816657" w:rsidTr="00652140">
        <w:tc>
          <w:tcPr>
            <w:cnfStyle w:val="001000000000"/>
            <w:tcW w:w="3023" w:type="dxa"/>
          </w:tcPr>
          <w:p w:rsidR="00DF2118" w:rsidRPr="00816657" w:rsidRDefault="00DF2118" w:rsidP="00DF2118">
            <w:r w:rsidRPr="00816657">
              <w:t>Low</w:t>
            </w:r>
          </w:p>
        </w:tc>
        <w:tc>
          <w:tcPr>
            <w:tcW w:w="1797" w:type="dxa"/>
            <w:vMerge/>
          </w:tcPr>
          <w:p w:rsidR="00DF2118" w:rsidRPr="00816657" w:rsidRDefault="00DF2118" w:rsidP="00DF2118">
            <w:pPr>
              <w:cnfStyle w:val="000000000000"/>
            </w:pPr>
          </w:p>
        </w:tc>
        <w:tc>
          <w:tcPr>
            <w:tcW w:w="7938" w:type="dxa"/>
          </w:tcPr>
          <w:p w:rsidR="00DF2118" w:rsidRPr="00816657" w:rsidRDefault="00DF2118" w:rsidP="00DF2118">
            <w:pPr>
              <w:cnfStyle w:val="000000000000"/>
            </w:pPr>
            <w:r w:rsidRPr="00816657">
              <w:t>LPCL = 100mg/kg; negligible biosolids above this level</w:t>
            </w:r>
          </w:p>
        </w:tc>
      </w:tr>
    </w:tbl>
    <w:p w:rsidR="00652140" w:rsidRPr="0001725B" w:rsidRDefault="00652140" w:rsidP="0001725B">
      <w:pPr>
        <w:pStyle w:val="BodyText"/>
        <w:rPr>
          <w:sz w:val="2"/>
          <w:szCs w:val="2"/>
        </w:rPr>
      </w:pPr>
    </w:p>
    <w:p w:rsidR="00ED73E5" w:rsidRDefault="00ED73E5" w:rsidP="00655F62">
      <w:pPr>
        <w:pStyle w:val="Figures"/>
      </w:pPr>
    </w:p>
    <w:p w:rsidR="00376588" w:rsidRPr="00816657" w:rsidRDefault="00376588" w:rsidP="00655F62">
      <w:pPr>
        <w:pStyle w:val="Figures"/>
      </w:pPr>
      <w:bookmarkStart w:id="154" w:name="_Toc425849309"/>
      <w:r w:rsidRPr="00816657">
        <w:lastRenderedPageBreak/>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24</w:t>
      </w:r>
      <w:r w:rsidR="006D07F5" w:rsidRPr="00816657">
        <w:rPr>
          <w:noProof/>
        </w:rPr>
        <w:fldChar w:fldCharType="end"/>
      </w:r>
      <w:r w:rsidRPr="00816657">
        <w:t xml:space="preserve">: </w:t>
      </w:r>
      <w:r w:rsidRPr="00816657">
        <w:tab/>
        <w:t xml:space="preserve">Best, high and low projected </w:t>
      </w:r>
      <w:r w:rsidR="0006014E" w:rsidRPr="00816657">
        <w:t>tonnes</w:t>
      </w:r>
      <w:r w:rsidRPr="00816657">
        <w:t xml:space="preserve"> for PFOS waste to 2034</w:t>
      </w:r>
      <w:bookmarkEnd w:id="154"/>
    </w:p>
    <w:tbl>
      <w:tblPr>
        <w:tblStyle w:val="BETable1"/>
        <w:tblW w:w="15436" w:type="dxa"/>
        <w:tblInd w:w="-227" w:type="dxa"/>
        <w:tblLayout w:type="fixed"/>
        <w:tblCellMar>
          <w:left w:w="57" w:type="dxa"/>
          <w:right w:w="57" w:type="dxa"/>
        </w:tblCellMar>
        <w:tblLook w:val="04A0"/>
      </w:tblPr>
      <w:tblGrid>
        <w:gridCol w:w="565"/>
        <w:gridCol w:w="614"/>
        <w:gridCol w:w="614"/>
        <w:gridCol w:w="705"/>
        <w:gridCol w:w="705"/>
        <w:gridCol w:w="705"/>
        <w:gridCol w:w="705"/>
        <w:gridCol w:w="705"/>
        <w:gridCol w:w="705"/>
        <w:gridCol w:w="705"/>
        <w:gridCol w:w="705"/>
        <w:gridCol w:w="705"/>
        <w:gridCol w:w="705"/>
        <w:gridCol w:w="705"/>
        <w:gridCol w:w="736"/>
        <w:gridCol w:w="736"/>
        <w:gridCol w:w="736"/>
        <w:gridCol w:w="736"/>
        <w:gridCol w:w="736"/>
        <w:gridCol w:w="736"/>
        <w:gridCol w:w="736"/>
        <w:gridCol w:w="736"/>
      </w:tblGrid>
      <w:tr w:rsidR="00F13C82" w:rsidRPr="00816657" w:rsidTr="007F5BD4">
        <w:trPr>
          <w:cnfStyle w:val="100000000000"/>
        </w:trPr>
        <w:tc>
          <w:tcPr>
            <w:cnfStyle w:val="001000000000"/>
            <w:tcW w:w="565" w:type="dxa"/>
          </w:tcPr>
          <w:p w:rsidR="00F13C82" w:rsidRPr="00816657" w:rsidRDefault="00F13C82" w:rsidP="00652140">
            <w:pPr>
              <w:rPr>
                <w:rFonts w:asciiTheme="minorHAnsi" w:hAnsiTheme="minorHAnsi"/>
                <w:sz w:val="18"/>
                <w:szCs w:val="18"/>
              </w:rPr>
            </w:pPr>
          </w:p>
        </w:tc>
        <w:tc>
          <w:tcPr>
            <w:tcW w:w="614"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2014</w:t>
            </w:r>
          </w:p>
        </w:tc>
        <w:tc>
          <w:tcPr>
            <w:tcW w:w="614"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2015</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2016</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2017</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2018</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2019</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2020</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2021</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2022</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2023</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2024</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2025</w:t>
            </w:r>
          </w:p>
        </w:tc>
        <w:tc>
          <w:tcPr>
            <w:tcW w:w="705"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2026</w:t>
            </w:r>
          </w:p>
        </w:tc>
        <w:tc>
          <w:tcPr>
            <w:tcW w:w="736"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2027</w:t>
            </w:r>
          </w:p>
        </w:tc>
        <w:tc>
          <w:tcPr>
            <w:tcW w:w="736"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2028</w:t>
            </w:r>
          </w:p>
        </w:tc>
        <w:tc>
          <w:tcPr>
            <w:tcW w:w="736"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2029</w:t>
            </w:r>
          </w:p>
        </w:tc>
        <w:tc>
          <w:tcPr>
            <w:tcW w:w="736"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2030</w:t>
            </w:r>
          </w:p>
        </w:tc>
        <w:tc>
          <w:tcPr>
            <w:tcW w:w="736"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2031</w:t>
            </w:r>
          </w:p>
        </w:tc>
        <w:tc>
          <w:tcPr>
            <w:tcW w:w="736"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2032</w:t>
            </w:r>
          </w:p>
        </w:tc>
        <w:tc>
          <w:tcPr>
            <w:tcW w:w="736"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2033</w:t>
            </w:r>
          </w:p>
        </w:tc>
        <w:tc>
          <w:tcPr>
            <w:tcW w:w="736" w:type="dxa"/>
          </w:tcPr>
          <w:p w:rsidR="00F13C82" w:rsidRPr="00816657" w:rsidRDefault="00F13C82" w:rsidP="00652140">
            <w:pPr>
              <w:jc w:val="right"/>
              <w:cnfStyle w:val="100000000000"/>
              <w:rPr>
                <w:rFonts w:asciiTheme="minorHAnsi" w:hAnsiTheme="minorHAnsi"/>
                <w:sz w:val="18"/>
                <w:szCs w:val="18"/>
              </w:rPr>
            </w:pPr>
            <w:r w:rsidRPr="00816657">
              <w:rPr>
                <w:rFonts w:asciiTheme="minorHAnsi" w:hAnsiTheme="minorHAnsi"/>
                <w:sz w:val="18"/>
                <w:szCs w:val="18"/>
              </w:rPr>
              <w:t>2034</w:t>
            </w:r>
          </w:p>
        </w:tc>
      </w:tr>
      <w:tr w:rsidR="00F13C82" w:rsidRPr="00816657" w:rsidTr="007F5BD4">
        <w:tc>
          <w:tcPr>
            <w:cnfStyle w:val="001000000000"/>
            <w:tcW w:w="15436" w:type="dxa"/>
            <w:gridSpan w:val="22"/>
          </w:tcPr>
          <w:p w:rsidR="00F13C82" w:rsidRPr="00816657" w:rsidRDefault="00F13C82" w:rsidP="00652140">
            <w:pPr>
              <w:rPr>
                <w:rFonts w:asciiTheme="minorHAnsi" w:hAnsiTheme="minorHAnsi"/>
                <w:sz w:val="18"/>
                <w:szCs w:val="18"/>
              </w:rPr>
            </w:pPr>
            <w:r w:rsidRPr="00816657">
              <w:rPr>
                <w:rFonts w:asciiTheme="minorHAnsi" w:hAnsiTheme="minorHAnsi"/>
                <w:b/>
                <w:sz w:val="18"/>
                <w:szCs w:val="18"/>
              </w:rPr>
              <w:t>Approach re. PFOS in AFFF</w:t>
            </w:r>
          </w:p>
        </w:tc>
      </w:tr>
      <w:tr w:rsidR="00F13C82" w:rsidRPr="00816657" w:rsidTr="007F5BD4">
        <w:tc>
          <w:tcPr>
            <w:cnfStyle w:val="001000000000"/>
            <w:tcW w:w="565" w:type="dxa"/>
          </w:tcPr>
          <w:p w:rsidR="00F13C82" w:rsidRPr="00816657" w:rsidRDefault="00F13C82" w:rsidP="00652140">
            <w:pPr>
              <w:rPr>
                <w:rFonts w:asciiTheme="minorHAnsi" w:hAnsiTheme="minorHAnsi"/>
                <w:sz w:val="18"/>
                <w:szCs w:val="18"/>
              </w:rPr>
            </w:pPr>
            <w:r w:rsidRPr="00816657">
              <w:rPr>
                <w:rFonts w:asciiTheme="minorHAnsi" w:hAnsiTheme="minorHAnsi"/>
                <w:sz w:val="18"/>
                <w:szCs w:val="18"/>
              </w:rPr>
              <w:t>Best</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38</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34</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31</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27</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25</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18</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16</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15</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13</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11</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6</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6</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5</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5</w:t>
            </w:r>
          </w:p>
        </w:tc>
      </w:tr>
      <w:tr w:rsidR="00F13C82" w:rsidRPr="00816657" w:rsidTr="007F5BD4">
        <w:tc>
          <w:tcPr>
            <w:cnfStyle w:val="001000000000"/>
            <w:tcW w:w="565" w:type="dxa"/>
          </w:tcPr>
          <w:p w:rsidR="00F13C82" w:rsidRPr="00816657" w:rsidRDefault="00F13C82" w:rsidP="00652140">
            <w:pPr>
              <w:rPr>
                <w:rFonts w:asciiTheme="minorHAnsi" w:hAnsiTheme="minorHAnsi"/>
                <w:sz w:val="18"/>
                <w:szCs w:val="18"/>
              </w:rPr>
            </w:pPr>
            <w:r w:rsidRPr="00816657">
              <w:rPr>
                <w:rFonts w:asciiTheme="minorHAnsi" w:hAnsiTheme="minorHAnsi"/>
                <w:sz w:val="18"/>
                <w:szCs w:val="18"/>
              </w:rPr>
              <w:t>High</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38</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r>
      <w:tr w:rsidR="00F13C82" w:rsidRPr="00816657" w:rsidTr="007F5BD4">
        <w:tc>
          <w:tcPr>
            <w:cnfStyle w:val="001000000000"/>
            <w:tcW w:w="565" w:type="dxa"/>
          </w:tcPr>
          <w:p w:rsidR="00F13C82" w:rsidRPr="00816657" w:rsidRDefault="00F13C82" w:rsidP="00652140">
            <w:pPr>
              <w:rPr>
                <w:rFonts w:asciiTheme="minorHAnsi" w:hAnsiTheme="minorHAnsi"/>
                <w:sz w:val="18"/>
                <w:szCs w:val="18"/>
              </w:rPr>
            </w:pPr>
            <w:r w:rsidRPr="00816657">
              <w:rPr>
                <w:rFonts w:asciiTheme="minorHAnsi" w:hAnsiTheme="minorHAnsi"/>
                <w:sz w:val="18"/>
                <w:szCs w:val="18"/>
              </w:rPr>
              <w:t>Low</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38</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r>
      <w:tr w:rsidR="00F13C82" w:rsidRPr="00816657" w:rsidTr="007F5BD4">
        <w:tc>
          <w:tcPr>
            <w:cnfStyle w:val="001000000000"/>
            <w:tcW w:w="15436" w:type="dxa"/>
            <w:gridSpan w:val="22"/>
          </w:tcPr>
          <w:p w:rsidR="00F13C82" w:rsidRPr="00816657" w:rsidRDefault="00F13C82" w:rsidP="00652140">
            <w:pPr>
              <w:rPr>
                <w:rFonts w:asciiTheme="minorHAnsi" w:hAnsiTheme="minorHAnsi"/>
                <w:sz w:val="18"/>
                <w:szCs w:val="18"/>
              </w:rPr>
            </w:pPr>
            <w:r w:rsidRPr="00816657">
              <w:rPr>
                <w:rFonts w:asciiTheme="minorHAnsi" w:hAnsiTheme="minorHAnsi"/>
                <w:b/>
                <w:sz w:val="18"/>
                <w:szCs w:val="18"/>
              </w:rPr>
              <w:t>Approach re. PFOS in firewaters</w:t>
            </w:r>
          </w:p>
        </w:tc>
      </w:tr>
      <w:tr w:rsidR="00F13C82" w:rsidRPr="00816657" w:rsidTr="007F5BD4">
        <w:tc>
          <w:tcPr>
            <w:cnfStyle w:val="001000000000"/>
            <w:tcW w:w="565" w:type="dxa"/>
          </w:tcPr>
          <w:p w:rsidR="00F13C82" w:rsidRPr="00816657" w:rsidRDefault="00F13C82" w:rsidP="00652140">
            <w:pPr>
              <w:rPr>
                <w:rFonts w:asciiTheme="minorHAnsi" w:hAnsiTheme="minorHAnsi"/>
                <w:sz w:val="18"/>
                <w:szCs w:val="18"/>
              </w:rPr>
            </w:pPr>
            <w:r w:rsidRPr="00816657">
              <w:rPr>
                <w:rFonts w:asciiTheme="minorHAnsi" w:hAnsiTheme="minorHAnsi"/>
                <w:sz w:val="18"/>
                <w:szCs w:val="18"/>
              </w:rPr>
              <w:t>Best</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3,768</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3,391</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3,052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2,747</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2,472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2,225</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2,002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1,802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1,622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1,460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1,314</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1,182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1,064</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958</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862</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776</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698</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628</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565</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509</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458</w:t>
            </w:r>
          </w:p>
        </w:tc>
      </w:tr>
      <w:tr w:rsidR="00F13C82" w:rsidRPr="00816657" w:rsidTr="007F5BD4">
        <w:tc>
          <w:tcPr>
            <w:cnfStyle w:val="001000000000"/>
            <w:tcW w:w="565" w:type="dxa"/>
          </w:tcPr>
          <w:p w:rsidR="00F13C82" w:rsidRPr="00816657" w:rsidRDefault="00F13C82" w:rsidP="00652140">
            <w:pPr>
              <w:rPr>
                <w:rFonts w:asciiTheme="minorHAnsi" w:hAnsiTheme="minorHAnsi"/>
                <w:sz w:val="18"/>
                <w:szCs w:val="18"/>
              </w:rPr>
            </w:pPr>
            <w:r w:rsidRPr="00816657">
              <w:rPr>
                <w:rFonts w:asciiTheme="minorHAnsi" w:hAnsiTheme="minorHAnsi"/>
                <w:sz w:val="18"/>
                <w:szCs w:val="18"/>
              </w:rPr>
              <w:t>High</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3,768</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4,521</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4,069</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3,662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3,296</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2,966</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2,670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2,403</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2,162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1,946</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1,752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1,576</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1,419</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1,277</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1,149</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1,034</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931</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838</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754</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679</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611</w:t>
            </w:r>
          </w:p>
        </w:tc>
      </w:tr>
      <w:tr w:rsidR="00F13C82" w:rsidRPr="00816657" w:rsidTr="007F5BD4">
        <w:tc>
          <w:tcPr>
            <w:cnfStyle w:val="001000000000"/>
            <w:tcW w:w="565" w:type="dxa"/>
          </w:tcPr>
          <w:p w:rsidR="00F13C82" w:rsidRPr="00816657" w:rsidRDefault="00F13C82" w:rsidP="00652140">
            <w:pPr>
              <w:rPr>
                <w:rFonts w:asciiTheme="minorHAnsi" w:hAnsiTheme="minorHAnsi"/>
                <w:sz w:val="18"/>
                <w:szCs w:val="18"/>
              </w:rPr>
            </w:pPr>
            <w:r w:rsidRPr="00816657">
              <w:rPr>
                <w:rFonts w:asciiTheme="minorHAnsi" w:hAnsiTheme="minorHAnsi"/>
                <w:sz w:val="18"/>
                <w:szCs w:val="18"/>
              </w:rPr>
              <w:t>Low</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3,768</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2,543</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2,289</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2,060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1,854</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1,669</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1,502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1,351</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1,216</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1,095</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985</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887</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798</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718</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646</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582</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524</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471</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424</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382</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344</w:t>
            </w:r>
          </w:p>
        </w:tc>
      </w:tr>
      <w:tr w:rsidR="00F13C82" w:rsidRPr="00816657" w:rsidTr="007F5BD4">
        <w:tc>
          <w:tcPr>
            <w:cnfStyle w:val="001000000000"/>
            <w:tcW w:w="15436" w:type="dxa"/>
            <w:gridSpan w:val="22"/>
          </w:tcPr>
          <w:p w:rsidR="00F13C82" w:rsidRPr="00816657" w:rsidRDefault="00F13C82" w:rsidP="00652140">
            <w:pPr>
              <w:rPr>
                <w:rFonts w:asciiTheme="minorHAnsi" w:hAnsiTheme="minorHAnsi"/>
                <w:sz w:val="18"/>
                <w:szCs w:val="18"/>
              </w:rPr>
            </w:pPr>
            <w:r w:rsidRPr="00816657">
              <w:rPr>
                <w:rFonts w:asciiTheme="minorHAnsi" w:hAnsiTheme="minorHAnsi"/>
                <w:b/>
                <w:sz w:val="18"/>
                <w:szCs w:val="18"/>
              </w:rPr>
              <w:t>Approach re. biosolids</w:t>
            </w:r>
          </w:p>
        </w:tc>
      </w:tr>
      <w:tr w:rsidR="00F13C82" w:rsidRPr="00816657" w:rsidTr="007F5BD4">
        <w:tc>
          <w:tcPr>
            <w:cnfStyle w:val="001000000000"/>
            <w:tcW w:w="565" w:type="dxa"/>
          </w:tcPr>
          <w:p w:rsidR="00F13C82" w:rsidRPr="00816657" w:rsidRDefault="00F13C82" w:rsidP="00652140">
            <w:pPr>
              <w:rPr>
                <w:rFonts w:asciiTheme="minorHAnsi" w:hAnsiTheme="minorHAnsi"/>
                <w:sz w:val="18"/>
                <w:szCs w:val="18"/>
              </w:rPr>
            </w:pPr>
            <w:r w:rsidRPr="00816657">
              <w:rPr>
                <w:rFonts w:asciiTheme="minorHAnsi" w:hAnsiTheme="minorHAnsi"/>
                <w:sz w:val="18"/>
                <w:szCs w:val="18"/>
              </w:rPr>
              <w:t>Best</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7,521</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7,633</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7,748</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7,864</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7,982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8,102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8,223</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8,347</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8,472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8,599</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8,728</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8,859</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8,992</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9,127</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9,264</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9,403</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9,544</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9,687</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9,832</w:t>
            </w:r>
          </w:p>
        </w:tc>
      </w:tr>
      <w:tr w:rsidR="00F13C82" w:rsidRPr="00816657" w:rsidTr="007F5BD4">
        <w:tc>
          <w:tcPr>
            <w:cnfStyle w:val="001000000000"/>
            <w:tcW w:w="565" w:type="dxa"/>
          </w:tcPr>
          <w:p w:rsidR="00F13C82" w:rsidRPr="00816657" w:rsidRDefault="00F13C82" w:rsidP="00652140">
            <w:pPr>
              <w:rPr>
                <w:rFonts w:asciiTheme="minorHAnsi" w:hAnsiTheme="minorHAnsi"/>
                <w:sz w:val="18"/>
                <w:szCs w:val="18"/>
              </w:rPr>
            </w:pPr>
            <w:r w:rsidRPr="00816657">
              <w:rPr>
                <w:rFonts w:asciiTheme="minorHAnsi" w:hAnsiTheme="minorHAnsi"/>
                <w:sz w:val="18"/>
                <w:szCs w:val="18"/>
              </w:rPr>
              <w:t>High</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76,696</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78,613</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80,578</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82,593</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84,658</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86,774</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88,943</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91,167</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93,446</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95,782</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98,177</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100,631</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103,147</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105,726</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108,369</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111,078</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113,855</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116,701</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119,619</w:t>
            </w:r>
          </w:p>
        </w:tc>
      </w:tr>
      <w:tr w:rsidR="00F13C82" w:rsidRPr="00816657" w:rsidTr="007F5BD4">
        <w:tc>
          <w:tcPr>
            <w:cnfStyle w:val="001000000000"/>
            <w:tcW w:w="565" w:type="dxa"/>
          </w:tcPr>
          <w:p w:rsidR="00F13C82" w:rsidRPr="00816657" w:rsidRDefault="00F13C82" w:rsidP="00652140">
            <w:pPr>
              <w:rPr>
                <w:rFonts w:asciiTheme="minorHAnsi" w:hAnsiTheme="minorHAnsi"/>
                <w:sz w:val="18"/>
                <w:szCs w:val="18"/>
              </w:rPr>
            </w:pPr>
            <w:r w:rsidRPr="00816657">
              <w:rPr>
                <w:rFonts w:asciiTheme="minorHAnsi" w:hAnsiTheme="minorHAnsi"/>
                <w:sz w:val="18"/>
                <w:szCs w:val="18"/>
              </w:rPr>
              <w:t>Low</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c>
          <w:tcPr>
            <w:tcW w:w="736" w:type="dxa"/>
          </w:tcPr>
          <w:p w:rsidR="00F13C82" w:rsidRPr="00816657" w:rsidRDefault="00F13C82" w:rsidP="00652140">
            <w:pPr>
              <w:jc w:val="right"/>
              <w:cnfStyle w:val="000000000000"/>
              <w:rPr>
                <w:rFonts w:asciiTheme="minorHAnsi" w:hAnsiTheme="minorHAnsi"/>
                <w:sz w:val="18"/>
                <w:szCs w:val="18"/>
              </w:rPr>
            </w:pPr>
            <w:r w:rsidRPr="00816657">
              <w:rPr>
                <w:rFonts w:asciiTheme="minorHAnsi" w:hAnsiTheme="minorHAnsi"/>
                <w:sz w:val="18"/>
                <w:szCs w:val="18"/>
              </w:rPr>
              <w:t>0</w:t>
            </w:r>
          </w:p>
        </w:tc>
      </w:tr>
    </w:tbl>
    <w:p w:rsidR="00ED73E5" w:rsidRDefault="00ED73E5" w:rsidP="00652140">
      <w:pPr>
        <w:pStyle w:val="BodyText"/>
      </w:pPr>
    </w:p>
    <w:p w:rsidR="00D92260" w:rsidRPr="00816657" w:rsidRDefault="00D92260" w:rsidP="00655F62">
      <w:pPr>
        <w:pStyle w:val="Figures"/>
      </w:pPr>
      <w:bookmarkStart w:id="155" w:name="_Toc425849238"/>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20</w:t>
      </w:r>
      <w:r w:rsidR="006D07F5" w:rsidRPr="00816657">
        <w:rPr>
          <w:noProof/>
        </w:rPr>
        <w:fldChar w:fldCharType="end"/>
      </w:r>
      <w:r w:rsidRPr="00816657">
        <w:t xml:space="preserve">: </w:t>
      </w:r>
      <w:r w:rsidRPr="00816657">
        <w:tab/>
        <w:t>Best, high and low national projection estimates of PFOS waste to 2034</w:t>
      </w:r>
      <w:bookmarkEnd w:id="155"/>
    </w:p>
    <w:p w:rsidR="00EA57B5" w:rsidRPr="00816657" w:rsidRDefault="00C05ED6" w:rsidP="00D92260">
      <w:pPr>
        <w:spacing w:line="240" w:lineRule="auto"/>
        <w:sectPr w:rsidR="00EA57B5" w:rsidRPr="00816657" w:rsidSect="005E3D0E">
          <w:headerReference w:type="even" r:id="rId70"/>
          <w:headerReference w:type="default" r:id="rId71"/>
          <w:footerReference w:type="even" r:id="rId72"/>
          <w:footerReference w:type="default" r:id="rId73"/>
          <w:headerReference w:type="first" r:id="rId74"/>
          <w:footerReference w:type="first" r:id="rId75"/>
          <w:pgSz w:w="16840" w:h="11907" w:orient="landscape" w:code="9"/>
          <w:pgMar w:top="1417" w:right="1134" w:bottom="851" w:left="1134" w:header="709" w:footer="567" w:gutter="0"/>
          <w:cols w:space="708"/>
          <w:docGrid w:linePitch="360"/>
        </w:sectPr>
      </w:pPr>
      <w:r w:rsidRPr="00C05ED6">
        <w:rPr>
          <w:noProof/>
          <w:lang w:eastAsia="en-AU"/>
        </w:rPr>
        <w:drawing>
          <wp:inline distT="0" distB="0" distL="0" distR="0">
            <wp:extent cx="5419048" cy="2247619"/>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419048" cy="2247619"/>
                    </a:xfrm>
                    <a:prstGeom prst="rect">
                      <a:avLst/>
                    </a:prstGeom>
                  </pic:spPr>
                </pic:pic>
              </a:graphicData>
            </a:graphic>
          </wp:inline>
        </w:drawing>
      </w:r>
    </w:p>
    <w:p w:rsidR="006A2838" w:rsidRDefault="00D92260" w:rsidP="005D6078">
      <w:pPr>
        <w:pStyle w:val="Heading3"/>
      </w:pPr>
      <w:r w:rsidRPr="00816657">
        <w:lastRenderedPageBreak/>
        <w:t xml:space="preserve">M160b. </w:t>
      </w:r>
      <w:r w:rsidR="006A2838">
        <w:t xml:space="preserve">Persistent organic pollutants - </w:t>
      </w:r>
      <w:r w:rsidR="006A2838" w:rsidRPr="00D95856">
        <w:t>bromodiphenyl ether</w:t>
      </w:r>
      <w:r w:rsidR="006A2838">
        <w:t>s (various forms) (</w:t>
      </w:r>
      <w:r w:rsidRPr="00816657">
        <w:t>POP-BDEs</w:t>
      </w:r>
      <w:r w:rsidR="006A2838">
        <w:t>)</w:t>
      </w:r>
    </w:p>
    <w:p w:rsidR="004D383B" w:rsidRDefault="004D383B" w:rsidP="004D383B">
      <w:pPr>
        <w:pStyle w:val="BodyText"/>
      </w:pPr>
      <w:r w:rsidRPr="00816657">
        <w:t>PBDEs have been used globally since the late 1970s for their flame-retarding properties and have been applied as an additive to a range of products (articles) including electrical and electronic equipment (EEE), furniture upholstery, automobile interiors, mattresses, carpet underlay and other items that are required to be flame retardant. In May 2009 the Stockholm Convention’s Conference of Parties agreed to add nine new Persistent Organic Pollutants (POPs) to the Convention’s annexes, including certain congeners contained in commercial pentabromodiphenyl ether (c-pentaBDE) and commercial octabromodiphenyl ether (c-octaBDE) and together referred to as POP-BDEs. Under the domestic treaty making process Australia must determine whether to ratify listing of the POP</w:t>
      </w:r>
      <w:r w:rsidRPr="00816657">
        <w:noBreakHyphen/>
        <w:t>BDEs after having taken into consideration the costs and benefits of the feasible technical options that it would need to implement to satisfy ratification. This decision has not yet been made.</w:t>
      </w:r>
      <w:r>
        <w:t xml:space="preserve"> </w:t>
      </w:r>
      <w:r w:rsidRPr="009211E8">
        <w:rPr>
          <w:b/>
        </w:rPr>
        <w:t xml:space="preserve">Review Appendix </w:t>
      </w:r>
      <w:fldSimple w:instr=" REF _Ref408390265 \r \h  \* MERGEFORMAT ">
        <w:r w:rsidR="002F3000">
          <w:rPr>
            <w:b/>
          </w:rPr>
          <w:t>A.5</w:t>
        </w:r>
      </w:fldSimple>
      <w:r>
        <w:t xml:space="preserve"> for a detailed discussion of POP-BDEs and the data sources and assumptions used in providing the projections below.</w:t>
      </w:r>
    </w:p>
    <w:p w:rsidR="00D92260" w:rsidRDefault="00D92260" w:rsidP="005D6078">
      <w:pPr>
        <w:pStyle w:val="Heading3"/>
      </w:pPr>
    </w:p>
    <w:p w:rsidR="00EA57B5" w:rsidRPr="00816657" w:rsidRDefault="00EA57B5" w:rsidP="00EA57B5">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3671"/>
        <w:gridCol w:w="3671"/>
        <w:gridCol w:w="3672"/>
        <w:gridCol w:w="3672"/>
      </w:tblGrid>
      <w:tr w:rsidR="00E42D11" w:rsidRPr="00816657" w:rsidTr="00BC31C7">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BC31C7" w:rsidRPr="00816657" w:rsidTr="00BC31C7">
        <w:tc>
          <w:tcPr>
            <w:cnfStyle w:val="001000000000"/>
            <w:tcW w:w="1250" w:type="pct"/>
            <w:vMerge w:val="restart"/>
            <w:tcBorders>
              <w:top w:val="single" w:sz="4" w:space="0" w:color="7F7F7F" w:themeColor="background2"/>
            </w:tcBorders>
          </w:tcPr>
          <w:p w:rsidR="00BC31C7" w:rsidRPr="00816657" w:rsidRDefault="00BC31C7" w:rsidP="00652140">
            <w:pPr>
              <w:spacing w:line="240" w:lineRule="auto"/>
              <w:rPr>
                <w:rFonts w:cs="Times New Roman"/>
                <w:color w:val="000000"/>
                <w:szCs w:val="20"/>
                <w:lang w:eastAsia="en-AU"/>
              </w:rPr>
            </w:pPr>
            <w:r w:rsidRPr="00816657">
              <w:rPr>
                <w:rFonts w:cs="Times New Roman"/>
                <w:color w:val="000000"/>
                <w:szCs w:val="20"/>
                <w:lang w:eastAsia="en-AU"/>
              </w:rPr>
              <w:t>Biosolids - newly produced from wastewater treatment plants; waste electric and electronic equipment (WEEE)</w:t>
            </w:r>
          </w:p>
        </w:tc>
        <w:tc>
          <w:tcPr>
            <w:tcW w:w="1250" w:type="pct"/>
            <w:tcBorders>
              <w:top w:val="single" w:sz="4" w:space="0" w:color="7F7F7F" w:themeColor="background2"/>
            </w:tcBorders>
          </w:tcPr>
          <w:p w:rsidR="00BC31C7" w:rsidRPr="00816657" w:rsidRDefault="00BC31C7"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BC31C7" w:rsidRPr="00816657" w:rsidRDefault="00BC31C7" w:rsidP="0001725B">
            <w:pPr>
              <w:pStyle w:val="BodyText"/>
              <w:cnfStyle w:val="000000000000"/>
              <w:rPr>
                <w:rFonts w:cs="Times New Roman"/>
                <w:color w:val="000000"/>
                <w:sz w:val="20"/>
                <w:szCs w:val="20"/>
                <w:lang w:eastAsia="en-AU"/>
              </w:rPr>
            </w:pPr>
            <w:r w:rsidRPr="00816657">
              <w:rPr>
                <w:rFonts w:cs="Times New Roman"/>
                <w:color w:val="000000"/>
                <w:sz w:val="20"/>
                <w:szCs w:val="20"/>
                <w:lang w:eastAsia="en-AU"/>
              </w:rPr>
              <w:t>See</w:t>
            </w:r>
            <w:r w:rsidR="0001725B">
              <w:rPr>
                <w:rFonts w:cs="Times New Roman"/>
                <w:color w:val="000000"/>
                <w:sz w:val="20"/>
                <w:szCs w:val="20"/>
                <w:lang w:eastAsia="en-AU"/>
              </w:rPr>
              <w:t xml:space="preserve"> Appendix</w:t>
            </w:r>
            <w:r w:rsidRPr="00816657">
              <w:rPr>
                <w:rFonts w:cs="Times New Roman"/>
                <w:color w:val="000000"/>
                <w:sz w:val="20"/>
                <w:szCs w:val="20"/>
                <w:lang w:eastAsia="en-AU"/>
              </w:rPr>
              <w:t xml:space="preserve"> </w:t>
            </w:r>
            <w:r w:rsidR="006D07F5">
              <w:rPr>
                <w:rFonts w:cs="Times New Roman"/>
                <w:color w:val="000000"/>
                <w:sz w:val="20"/>
                <w:szCs w:val="20"/>
                <w:lang w:eastAsia="en-AU"/>
              </w:rPr>
              <w:fldChar w:fldCharType="begin"/>
            </w:r>
            <w:r w:rsidR="0001725B">
              <w:rPr>
                <w:rFonts w:cs="Times New Roman"/>
                <w:color w:val="000000"/>
                <w:sz w:val="20"/>
                <w:szCs w:val="20"/>
                <w:lang w:eastAsia="en-AU"/>
              </w:rPr>
              <w:instrText xml:space="preserve"> REF _Ref408390265 \r \h </w:instrText>
            </w:r>
            <w:r w:rsidR="006D07F5">
              <w:rPr>
                <w:rFonts w:cs="Times New Roman"/>
                <w:color w:val="000000"/>
                <w:sz w:val="20"/>
                <w:szCs w:val="20"/>
                <w:lang w:eastAsia="en-AU"/>
              </w:rPr>
            </w:r>
            <w:r w:rsidR="006D07F5">
              <w:rPr>
                <w:rFonts w:cs="Times New Roman"/>
                <w:color w:val="000000"/>
                <w:sz w:val="20"/>
                <w:szCs w:val="20"/>
                <w:lang w:eastAsia="en-AU"/>
              </w:rPr>
              <w:fldChar w:fldCharType="separate"/>
            </w:r>
            <w:r w:rsidR="002F3000">
              <w:rPr>
                <w:rFonts w:cs="Times New Roman"/>
                <w:color w:val="000000"/>
                <w:sz w:val="20"/>
                <w:szCs w:val="20"/>
                <w:lang w:eastAsia="en-AU"/>
              </w:rPr>
              <w:t>A.5</w:t>
            </w:r>
            <w:r w:rsidR="006D07F5">
              <w:rPr>
                <w:rFonts w:cs="Times New Roman"/>
                <w:color w:val="000000"/>
                <w:sz w:val="20"/>
                <w:szCs w:val="20"/>
                <w:lang w:eastAsia="en-AU"/>
              </w:rPr>
              <w:fldChar w:fldCharType="end"/>
            </w:r>
            <w:r w:rsidRPr="00816657">
              <w:rPr>
                <w:rFonts w:cs="Times New Roman"/>
                <w:color w:val="000000"/>
                <w:sz w:val="20"/>
                <w:szCs w:val="20"/>
                <w:lang w:eastAsia="en-AU"/>
              </w:rPr>
              <w:t>for details of data sources and assumptions</w:t>
            </w:r>
          </w:p>
        </w:tc>
        <w:tc>
          <w:tcPr>
            <w:tcW w:w="1250" w:type="pct"/>
            <w:tcBorders>
              <w:top w:val="single" w:sz="4" w:space="0" w:color="7F7F7F" w:themeColor="background2"/>
            </w:tcBorders>
          </w:tcPr>
          <w:p w:rsidR="00BC31C7" w:rsidRPr="00816657" w:rsidRDefault="00BC31C7" w:rsidP="00EA7F18">
            <w:pPr>
              <w:spacing w:line="240" w:lineRule="auto"/>
              <w:cnfStyle w:val="000000000000"/>
              <w:rPr>
                <w:rFonts w:cs="Times New Roman"/>
                <w:color w:val="000000"/>
                <w:szCs w:val="20"/>
                <w:lang w:eastAsia="en-AU"/>
              </w:rPr>
            </w:pPr>
            <w:r w:rsidRPr="00816657">
              <w:rPr>
                <w:rFonts w:cs="Times New Roman"/>
                <w:color w:val="000000"/>
                <w:szCs w:val="20"/>
                <w:lang w:eastAsia="en-AU"/>
              </w:rPr>
              <w:t>Assume LPCL is agreed in 2 years' time; Australia ratifies Stockholm in 2 years' time</w:t>
            </w:r>
          </w:p>
        </w:tc>
      </w:tr>
      <w:tr w:rsidR="00BC31C7" w:rsidRPr="00816657" w:rsidTr="00BC31C7">
        <w:tc>
          <w:tcPr>
            <w:cnfStyle w:val="001000000000"/>
            <w:tcW w:w="1250" w:type="pct"/>
            <w:vMerge/>
          </w:tcPr>
          <w:p w:rsidR="00BC31C7" w:rsidRPr="00816657" w:rsidRDefault="00BC31C7" w:rsidP="00EA57B5">
            <w:pPr>
              <w:spacing w:line="240" w:lineRule="auto"/>
              <w:rPr>
                <w:rFonts w:cs="Times New Roman"/>
                <w:color w:val="000000"/>
                <w:szCs w:val="20"/>
                <w:lang w:eastAsia="en-AU"/>
              </w:rPr>
            </w:pPr>
          </w:p>
        </w:tc>
        <w:tc>
          <w:tcPr>
            <w:tcW w:w="1250" w:type="pct"/>
          </w:tcPr>
          <w:p w:rsidR="00BC31C7" w:rsidRPr="00816657" w:rsidRDefault="00BC31C7" w:rsidP="00EA57B5">
            <w:pPr>
              <w:spacing w:line="240" w:lineRule="auto"/>
              <w:cnfStyle w:val="000000000000"/>
              <w:rPr>
                <w:rFonts w:cs="Times New Roman"/>
                <w:color w:val="000000"/>
                <w:szCs w:val="20"/>
                <w:lang w:eastAsia="en-AU"/>
              </w:rPr>
            </w:pPr>
            <w:r w:rsidRPr="00816657">
              <w:rPr>
                <w:rFonts w:cs="Times New Roman"/>
                <w:color w:val="000000"/>
                <w:szCs w:val="20"/>
                <w:lang w:eastAsia="en-AU"/>
              </w:rPr>
              <w:t>No historical data set exists that is adequate for discerning trends</w:t>
            </w:r>
          </w:p>
        </w:tc>
        <w:tc>
          <w:tcPr>
            <w:tcW w:w="1250" w:type="pct"/>
          </w:tcPr>
          <w:p w:rsidR="00BC31C7" w:rsidRPr="00816657" w:rsidRDefault="00BC31C7" w:rsidP="00EA57B5">
            <w:pPr>
              <w:spacing w:line="240" w:lineRule="auto"/>
              <w:cnfStyle w:val="000000000000"/>
              <w:rPr>
                <w:rFonts w:cs="Times New Roman"/>
                <w:color w:val="000000"/>
                <w:szCs w:val="20"/>
                <w:lang w:eastAsia="en-AU"/>
              </w:rPr>
            </w:pPr>
            <w:r w:rsidRPr="00816657">
              <w:rPr>
                <w:rFonts w:cs="Times New Roman"/>
                <w:color w:val="000000"/>
                <w:szCs w:val="20"/>
                <w:lang w:eastAsia="en-AU"/>
              </w:rPr>
              <w:t>Literature suggests POP-BDE levels in biosolids are typically lower than lowest LPCL under consideration.</w:t>
            </w:r>
          </w:p>
        </w:tc>
        <w:tc>
          <w:tcPr>
            <w:tcW w:w="1250" w:type="pct"/>
          </w:tcPr>
          <w:p w:rsidR="00BC31C7" w:rsidRPr="00816657" w:rsidRDefault="00BC31C7" w:rsidP="00EA57B5">
            <w:pPr>
              <w:spacing w:line="240" w:lineRule="auto"/>
              <w:cnfStyle w:val="000000000000"/>
              <w:rPr>
                <w:rFonts w:cs="Times New Roman"/>
                <w:color w:val="000000"/>
                <w:szCs w:val="20"/>
                <w:lang w:eastAsia="en-AU"/>
              </w:rPr>
            </w:pPr>
            <w:r w:rsidRPr="00816657">
              <w:rPr>
                <w:rFonts w:cs="Times New Roman"/>
                <w:color w:val="000000"/>
                <w:szCs w:val="20"/>
                <w:lang w:eastAsia="en-AU"/>
              </w:rPr>
              <w:t>Use causal analysis</w:t>
            </w:r>
          </w:p>
          <w:p w:rsidR="00BC31C7" w:rsidRPr="00816657" w:rsidRDefault="00BC31C7" w:rsidP="00EA57B5">
            <w:pPr>
              <w:spacing w:line="240" w:lineRule="auto"/>
              <w:cnfStyle w:val="000000000000"/>
              <w:rPr>
                <w:rFonts w:cs="Times New Roman"/>
                <w:color w:val="000000"/>
                <w:szCs w:val="20"/>
                <w:lang w:eastAsia="en-AU"/>
              </w:rPr>
            </w:pPr>
          </w:p>
        </w:tc>
      </w:tr>
      <w:tr w:rsidR="00BC31C7" w:rsidRPr="00816657" w:rsidTr="00BC31C7">
        <w:tc>
          <w:tcPr>
            <w:cnfStyle w:val="001000000000"/>
            <w:tcW w:w="1250" w:type="pct"/>
            <w:vMerge/>
          </w:tcPr>
          <w:p w:rsidR="00BC31C7" w:rsidRPr="00816657" w:rsidRDefault="00BC31C7" w:rsidP="00EA7F18">
            <w:pPr>
              <w:spacing w:line="240" w:lineRule="auto"/>
              <w:rPr>
                <w:rFonts w:cs="Times New Roman"/>
                <w:color w:val="000000"/>
                <w:szCs w:val="20"/>
                <w:lang w:eastAsia="en-AU"/>
              </w:rPr>
            </w:pPr>
          </w:p>
        </w:tc>
        <w:tc>
          <w:tcPr>
            <w:tcW w:w="1250" w:type="pct"/>
          </w:tcPr>
          <w:p w:rsidR="00BC31C7" w:rsidRPr="00816657" w:rsidRDefault="00BC31C7" w:rsidP="00EA7F18">
            <w:pPr>
              <w:spacing w:line="240" w:lineRule="auto"/>
              <w:cnfStyle w:val="000000000000"/>
              <w:rPr>
                <w:rFonts w:cs="Times New Roman"/>
                <w:color w:val="000000"/>
                <w:szCs w:val="20"/>
                <w:lang w:eastAsia="en-AU"/>
              </w:rPr>
            </w:pPr>
          </w:p>
        </w:tc>
        <w:tc>
          <w:tcPr>
            <w:tcW w:w="1250" w:type="pct"/>
          </w:tcPr>
          <w:p w:rsidR="00BC31C7" w:rsidRPr="00816657" w:rsidRDefault="00BC31C7" w:rsidP="00EA7F18">
            <w:pPr>
              <w:spacing w:line="240" w:lineRule="auto"/>
              <w:cnfStyle w:val="000000000000"/>
              <w:rPr>
                <w:rFonts w:cs="Times New Roman"/>
                <w:color w:val="000000"/>
                <w:szCs w:val="20"/>
                <w:lang w:eastAsia="en-AU"/>
              </w:rPr>
            </w:pPr>
            <w:r w:rsidRPr="00816657">
              <w:rPr>
                <w:rFonts w:cs="Times New Roman"/>
                <w:color w:val="000000"/>
                <w:szCs w:val="20"/>
                <w:lang w:eastAsia="en-AU"/>
              </w:rPr>
              <w:t>POP-BDEs unlikely to be used in future WEEE, but may contaminate recycled plastic above LPCLs</w:t>
            </w:r>
          </w:p>
        </w:tc>
        <w:tc>
          <w:tcPr>
            <w:tcW w:w="1250" w:type="pct"/>
          </w:tcPr>
          <w:p w:rsidR="00BC31C7" w:rsidRPr="00816657" w:rsidRDefault="00BC31C7" w:rsidP="00EA7F18">
            <w:pPr>
              <w:spacing w:line="240" w:lineRule="auto"/>
              <w:cnfStyle w:val="000000000000"/>
              <w:rPr>
                <w:rFonts w:cs="Times New Roman"/>
                <w:color w:val="000000"/>
                <w:szCs w:val="20"/>
                <w:lang w:eastAsia="en-AU"/>
              </w:rPr>
            </w:pPr>
          </w:p>
        </w:tc>
      </w:tr>
    </w:tbl>
    <w:p w:rsidR="00376588" w:rsidRPr="00816657" w:rsidRDefault="00376588" w:rsidP="00376588">
      <w:pPr>
        <w:pStyle w:val="BodyText"/>
      </w:pPr>
    </w:p>
    <w:p w:rsidR="0074175B" w:rsidRPr="00816657" w:rsidRDefault="0074175B" w:rsidP="00655F62">
      <w:pPr>
        <w:pStyle w:val="Figures"/>
      </w:pPr>
      <w:bookmarkStart w:id="156" w:name="_Toc425849310"/>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25</w:t>
      </w:r>
      <w:r w:rsidR="006D07F5" w:rsidRPr="00816657">
        <w:rPr>
          <w:noProof/>
        </w:rPr>
        <w:fldChar w:fldCharType="end"/>
      </w:r>
      <w:r w:rsidRPr="00816657">
        <w:t xml:space="preserve">: </w:t>
      </w:r>
      <w:r w:rsidRPr="00816657">
        <w:tab/>
      </w:r>
      <w:r w:rsidR="00520EDF" w:rsidRPr="00816657">
        <w:t>Approaches used to project POP-BDEs waste</w:t>
      </w:r>
      <w:bookmarkEnd w:id="156"/>
    </w:p>
    <w:tbl>
      <w:tblPr>
        <w:tblStyle w:val="BETable1"/>
        <w:tblW w:w="9923" w:type="dxa"/>
        <w:tblLayout w:type="fixed"/>
        <w:tblLook w:val="04A0"/>
      </w:tblPr>
      <w:tblGrid>
        <w:gridCol w:w="2127"/>
        <w:gridCol w:w="1701"/>
        <w:gridCol w:w="6095"/>
      </w:tblGrid>
      <w:tr w:rsidR="0074175B" w:rsidRPr="00816657" w:rsidTr="00EA57B5">
        <w:trPr>
          <w:cnfStyle w:val="100000000000"/>
        </w:trPr>
        <w:tc>
          <w:tcPr>
            <w:cnfStyle w:val="001000000000"/>
            <w:tcW w:w="2127" w:type="dxa"/>
          </w:tcPr>
          <w:p w:rsidR="0074175B" w:rsidRPr="00816657" w:rsidRDefault="0074175B" w:rsidP="00520EDF">
            <w:r w:rsidRPr="00816657">
              <w:t>Approach re. biosolids</w:t>
            </w:r>
          </w:p>
        </w:tc>
        <w:tc>
          <w:tcPr>
            <w:tcW w:w="1701" w:type="dxa"/>
          </w:tcPr>
          <w:p w:rsidR="0074175B" w:rsidRPr="00816657" w:rsidRDefault="0074175B" w:rsidP="00520EDF">
            <w:pPr>
              <w:cnfStyle w:val="100000000000"/>
            </w:pPr>
            <w:r w:rsidRPr="00816657">
              <w:t>Applies to</w:t>
            </w:r>
          </w:p>
        </w:tc>
        <w:tc>
          <w:tcPr>
            <w:tcW w:w="6095" w:type="dxa"/>
          </w:tcPr>
          <w:p w:rsidR="0074175B" w:rsidRPr="00816657" w:rsidRDefault="0074175B" w:rsidP="00520EDF">
            <w:pPr>
              <w:cnfStyle w:val="100000000000"/>
            </w:pPr>
            <w:r w:rsidRPr="00816657">
              <w:t>Approach</w:t>
            </w:r>
          </w:p>
        </w:tc>
      </w:tr>
      <w:tr w:rsidR="0074175B" w:rsidRPr="00816657" w:rsidTr="00EA57B5">
        <w:tc>
          <w:tcPr>
            <w:cnfStyle w:val="001000000000"/>
            <w:tcW w:w="2127" w:type="dxa"/>
          </w:tcPr>
          <w:p w:rsidR="0074175B" w:rsidRPr="00816657" w:rsidRDefault="0074175B" w:rsidP="00520EDF">
            <w:r w:rsidRPr="00816657">
              <w:t>Best</w:t>
            </w:r>
          </w:p>
        </w:tc>
        <w:tc>
          <w:tcPr>
            <w:tcW w:w="1701" w:type="dxa"/>
            <w:vMerge w:val="restart"/>
            <w:vAlign w:val="center"/>
          </w:tcPr>
          <w:p w:rsidR="0074175B" w:rsidRPr="00816657" w:rsidRDefault="0074175B" w:rsidP="00520EDF">
            <w:pPr>
              <w:cnfStyle w:val="000000000000"/>
            </w:pPr>
            <w:r w:rsidRPr="00816657">
              <w:t>National total only</w:t>
            </w:r>
          </w:p>
        </w:tc>
        <w:tc>
          <w:tcPr>
            <w:tcW w:w="6095" w:type="dxa"/>
          </w:tcPr>
          <w:p w:rsidR="0074175B" w:rsidRPr="00816657" w:rsidRDefault="0074175B" w:rsidP="00520EDF">
            <w:pPr>
              <w:cnfStyle w:val="000000000000"/>
            </w:pPr>
            <w:r w:rsidRPr="00816657">
              <w:t>L set at 50mg/kg (zero arisings)</w:t>
            </w:r>
          </w:p>
        </w:tc>
      </w:tr>
      <w:tr w:rsidR="0074175B" w:rsidRPr="00816657" w:rsidTr="00EA57B5">
        <w:tc>
          <w:tcPr>
            <w:cnfStyle w:val="001000000000"/>
            <w:tcW w:w="2127" w:type="dxa"/>
          </w:tcPr>
          <w:p w:rsidR="0074175B" w:rsidRPr="00816657" w:rsidRDefault="0074175B" w:rsidP="00520EDF">
            <w:r w:rsidRPr="00816657">
              <w:t>High</w:t>
            </w:r>
          </w:p>
        </w:tc>
        <w:tc>
          <w:tcPr>
            <w:tcW w:w="1701" w:type="dxa"/>
            <w:vMerge/>
          </w:tcPr>
          <w:p w:rsidR="0074175B" w:rsidRPr="00816657" w:rsidRDefault="0074175B" w:rsidP="00520EDF">
            <w:pPr>
              <w:cnfStyle w:val="000000000000"/>
            </w:pPr>
          </w:p>
        </w:tc>
        <w:tc>
          <w:tcPr>
            <w:tcW w:w="6095" w:type="dxa"/>
          </w:tcPr>
          <w:p w:rsidR="0074175B" w:rsidRPr="00816657" w:rsidRDefault="0074175B" w:rsidP="00520EDF">
            <w:pPr>
              <w:cnfStyle w:val="000000000000"/>
            </w:pPr>
            <w:r w:rsidRPr="00816657">
              <w:t>LPCL set at 10mg/kg (zero arisings)</w:t>
            </w:r>
          </w:p>
        </w:tc>
      </w:tr>
      <w:tr w:rsidR="0074175B" w:rsidRPr="00816657" w:rsidTr="00EA57B5">
        <w:tc>
          <w:tcPr>
            <w:cnfStyle w:val="001000000000"/>
            <w:tcW w:w="2127" w:type="dxa"/>
          </w:tcPr>
          <w:p w:rsidR="0074175B" w:rsidRPr="00816657" w:rsidRDefault="0074175B" w:rsidP="00520EDF">
            <w:r w:rsidRPr="00816657">
              <w:t>Low</w:t>
            </w:r>
          </w:p>
        </w:tc>
        <w:tc>
          <w:tcPr>
            <w:tcW w:w="1701" w:type="dxa"/>
            <w:vMerge/>
          </w:tcPr>
          <w:p w:rsidR="0074175B" w:rsidRPr="00816657" w:rsidRDefault="0074175B" w:rsidP="00520EDF">
            <w:pPr>
              <w:cnfStyle w:val="000000000000"/>
            </w:pPr>
          </w:p>
        </w:tc>
        <w:tc>
          <w:tcPr>
            <w:tcW w:w="6095" w:type="dxa"/>
          </w:tcPr>
          <w:p w:rsidR="0074175B" w:rsidRPr="00816657" w:rsidRDefault="0074175B" w:rsidP="00520EDF">
            <w:pPr>
              <w:cnfStyle w:val="000000000000"/>
            </w:pPr>
            <w:r w:rsidRPr="00816657">
              <w:t>LPCL is set at 200mg/kg (zero arisings)</w:t>
            </w:r>
          </w:p>
        </w:tc>
      </w:tr>
      <w:tr w:rsidR="0074175B" w:rsidRPr="00816657" w:rsidTr="00EA57B5">
        <w:tc>
          <w:tcPr>
            <w:cnfStyle w:val="001000000000"/>
            <w:tcW w:w="2127" w:type="dxa"/>
          </w:tcPr>
          <w:p w:rsidR="0074175B" w:rsidRPr="00816657" w:rsidRDefault="0074175B" w:rsidP="00520EDF">
            <w:pPr>
              <w:rPr>
                <w:b/>
              </w:rPr>
            </w:pPr>
            <w:r w:rsidRPr="00816657">
              <w:rPr>
                <w:b/>
              </w:rPr>
              <w:t>Approach re. WEEE</w:t>
            </w:r>
          </w:p>
        </w:tc>
        <w:tc>
          <w:tcPr>
            <w:tcW w:w="1701" w:type="dxa"/>
          </w:tcPr>
          <w:p w:rsidR="0074175B" w:rsidRPr="00816657" w:rsidRDefault="0074175B" w:rsidP="00520EDF">
            <w:pPr>
              <w:cnfStyle w:val="000000000000"/>
              <w:rPr>
                <w:b/>
              </w:rPr>
            </w:pPr>
            <w:r w:rsidRPr="00816657">
              <w:rPr>
                <w:b/>
              </w:rPr>
              <w:t>Applies to</w:t>
            </w:r>
          </w:p>
        </w:tc>
        <w:tc>
          <w:tcPr>
            <w:tcW w:w="6095" w:type="dxa"/>
          </w:tcPr>
          <w:p w:rsidR="0074175B" w:rsidRPr="00816657" w:rsidRDefault="0074175B" w:rsidP="00520EDF">
            <w:pPr>
              <w:cnfStyle w:val="000000000000"/>
              <w:rPr>
                <w:b/>
              </w:rPr>
            </w:pPr>
            <w:r w:rsidRPr="00816657">
              <w:rPr>
                <w:b/>
              </w:rPr>
              <w:t>Approach</w:t>
            </w:r>
          </w:p>
        </w:tc>
      </w:tr>
      <w:tr w:rsidR="0074175B" w:rsidRPr="00816657" w:rsidTr="00EA57B5">
        <w:tc>
          <w:tcPr>
            <w:cnfStyle w:val="001000000000"/>
            <w:tcW w:w="2127" w:type="dxa"/>
          </w:tcPr>
          <w:p w:rsidR="0074175B" w:rsidRPr="00816657" w:rsidRDefault="0074175B" w:rsidP="00520EDF">
            <w:r w:rsidRPr="00816657">
              <w:t>Best</w:t>
            </w:r>
          </w:p>
        </w:tc>
        <w:tc>
          <w:tcPr>
            <w:tcW w:w="1701" w:type="dxa"/>
            <w:vMerge w:val="restart"/>
            <w:vAlign w:val="center"/>
          </w:tcPr>
          <w:p w:rsidR="0074175B" w:rsidRPr="00816657" w:rsidRDefault="0074175B" w:rsidP="00520EDF">
            <w:pPr>
              <w:cnfStyle w:val="000000000000"/>
            </w:pPr>
            <w:r w:rsidRPr="00816657">
              <w:t>National total only</w:t>
            </w:r>
          </w:p>
        </w:tc>
        <w:tc>
          <w:tcPr>
            <w:tcW w:w="6095" w:type="dxa"/>
          </w:tcPr>
          <w:p w:rsidR="0074175B" w:rsidRPr="00816657" w:rsidRDefault="0074175B" w:rsidP="00520EDF">
            <w:pPr>
              <w:cnfStyle w:val="000000000000"/>
            </w:pPr>
            <w:r w:rsidRPr="00816657">
              <w:t>LPCL = 50mg/kg; RIS estimated recycling rates (80% by 2022)</w:t>
            </w:r>
          </w:p>
        </w:tc>
      </w:tr>
      <w:tr w:rsidR="0074175B" w:rsidRPr="00816657" w:rsidTr="00EA57B5">
        <w:tc>
          <w:tcPr>
            <w:cnfStyle w:val="001000000000"/>
            <w:tcW w:w="2127" w:type="dxa"/>
          </w:tcPr>
          <w:p w:rsidR="0074175B" w:rsidRPr="00816657" w:rsidRDefault="0074175B" w:rsidP="00520EDF">
            <w:r w:rsidRPr="00816657">
              <w:t>High</w:t>
            </w:r>
          </w:p>
        </w:tc>
        <w:tc>
          <w:tcPr>
            <w:tcW w:w="1701" w:type="dxa"/>
            <w:vMerge/>
          </w:tcPr>
          <w:p w:rsidR="0074175B" w:rsidRPr="00816657" w:rsidRDefault="0074175B" w:rsidP="00520EDF">
            <w:pPr>
              <w:cnfStyle w:val="000000000000"/>
            </w:pPr>
          </w:p>
        </w:tc>
        <w:tc>
          <w:tcPr>
            <w:tcW w:w="6095" w:type="dxa"/>
          </w:tcPr>
          <w:p w:rsidR="0074175B" w:rsidRPr="00816657" w:rsidRDefault="0074175B" w:rsidP="00520EDF">
            <w:pPr>
              <w:cnfStyle w:val="000000000000"/>
            </w:pPr>
            <w:r w:rsidRPr="00816657">
              <w:t>LPCL = 10mg/kg; lower than RIS recycling rate (50% by 2022)</w:t>
            </w:r>
          </w:p>
        </w:tc>
      </w:tr>
      <w:tr w:rsidR="0074175B" w:rsidRPr="00816657" w:rsidTr="00EA57B5">
        <w:tc>
          <w:tcPr>
            <w:cnfStyle w:val="001000000000"/>
            <w:tcW w:w="2127" w:type="dxa"/>
          </w:tcPr>
          <w:p w:rsidR="0074175B" w:rsidRPr="00816657" w:rsidRDefault="0074175B" w:rsidP="00520EDF">
            <w:r w:rsidRPr="00816657">
              <w:t>Low</w:t>
            </w:r>
          </w:p>
        </w:tc>
        <w:tc>
          <w:tcPr>
            <w:tcW w:w="1701" w:type="dxa"/>
            <w:vMerge/>
          </w:tcPr>
          <w:p w:rsidR="0074175B" w:rsidRPr="00816657" w:rsidRDefault="0074175B" w:rsidP="00520EDF">
            <w:pPr>
              <w:cnfStyle w:val="000000000000"/>
            </w:pPr>
          </w:p>
        </w:tc>
        <w:tc>
          <w:tcPr>
            <w:tcW w:w="6095" w:type="dxa"/>
          </w:tcPr>
          <w:p w:rsidR="0074175B" w:rsidRPr="00816657" w:rsidRDefault="0074175B" w:rsidP="00520EDF">
            <w:pPr>
              <w:cnfStyle w:val="000000000000"/>
            </w:pPr>
            <w:r w:rsidRPr="00816657">
              <w:t>LPCL 200mg/kg; higher than RIS recycling rate (95% by 2022)</w:t>
            </w:r>
          </w:p>
        </w:tc>
      </w:tr>
    </w:tbl>
    <w:p w:rsidR="00395C9B" w:rsidRPr="00816657" w:rsidRDefault="00395C9B" w:rsidP="00655F62">
      <w:pPr>
        <w:pStyle w:val="Figures"/>
      </w:pPr>
    </w:p>
    <w:p w:rsidR="00376588" w:rsidRPr="00816657" w:rsidRDefault="00376588" w:rsidP="00655F62">
      <w:pPr>
        <w:pStyle w:val="Figures"/>
      </w:pPr>
      <w:bookmarkStart w:id="157" w:name="_Toc425849311"/>
      <w:r w:rsidRPr="00816657">
        <w:lastRenderedPageBreak/>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26</w:t>
      </w:r>
      <w:r w:rsidR="006D07F5" w:rsidRPr="00816657">
        <w:rPr>
          <w:noProof/>
        </w:rPr>
        <w:fldChar w:fldCharType="end"/>
      </w:r>
      <w:r w:rsidRPr="00816657">
        <w:t xml:space="preserve">: </w:t>
      </w:r>
      <w:r w:rsidRPr="00816657">
        <w:tab/>
        <w:t xml:space="preserve">Best, high and </w:t>
      </w:r>
      <w:r w:rsidR="0006014E" w:rsidRPr="00816657">
        <w:t>tonnes</w:t>
      </w:r>
      <w:r w:rsidRPr="00816657">
        <w:t xml:space="preserve"> for POP-BDEs waste to 2034</w:t>
      </w:r>
      <w:bookmarkEnd w:id="157"/>
    </w:p>
    <w:tbl>
      <w:tblPr>
        <w:tblStyle w:val="BETable1"/>
        <w:tblW w:w="13369" w:type="dxa"/>
        <w:tblInd w:w="0" w:type="dxa"/>
        <w:tblLayout w:type="fixed"/>
        <w:tblCellMar>
          <w:left w:w="57" w:type="dxa"/>
          <w:right w:w="57" w:type="dxa"/>
        </w:tblCellMar>
        <w:tblLook w:val="04A0"/>
      </w:tblPr>
      <w:tblGrid>
        <w:gridCol w:w="565"/>
        <w:gridCol w:w="569"/>
        <w:gridCol w:w="569"/>
        <w:gridCol w:w="614"/>
        <w:gridCol w:w="614"/>
        <w:gridCol w:w="614"/>
        <w:gridCol w:w="614"/>
        <w:gridCol w:w="614"/>
        <w:gridCol w:w="614"/>
        <w:gridCol w:w="614"/>
        <w:gridCol w:w="614"/>
        <w:gridCol w:w="614"/>
        <w:gridCol w:w="614"/>
        <w:gridCol w:w="614"/>
        <w:gridCol w:w="614"/>
        <w:gridCol w:w="614"/>
        <w:gridCol w:w="614"/>
        <w:gridCol w:w="614"/>
        <w:gridCol w:w="614"/>
        <w:gridCol w:w="614"/>
        <w:gridCol w:w="614"/>
        <w:gridCol w:w="614"/>
      </w:tblGrid>
      <w:tr w:rsidR="0074175B" w:rsidRPr="00816657" w:rsidTr="00BC31C7">
        <w:trPr>
          <w:cnfStyle w:val="100000000000"/>
        </w:trPr>
        <w:tc>
          <w:tcPr>
            <w:cnfStyle w:val="001000000000"/>
            <w:tcW w:w="565" w:type="dxa"/>
          </w:tcPr>
          <w:p w:rsidR="0074175B" w:rsidRPr="00816657" w:rsidRDefault="0074175B" w:rsidP="00520EDF">
            <w:pPr>
              <w:rPr>
                <w:rFonts w:asciiTheme="minorHAnsi" w:hAnsiTheme="minorHAnsi"/>
                <w:sz w:val="18"/>
                <w:szCs w:val="18"/>
              </w:rPr>
            </w:pPr>
          </w:p>
        </w:tc>
        <w:tc>
          <w:tcPr>
            <w:tcW w:w="569"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2014</w:t>
            </w:r>
          </w:p>
        </w:tc>
        <w:tc>
          <w:tcPr>
            <w:tcW w:w="569"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2015</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2016</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2017</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2018</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2019</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2020</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2021</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2022</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2023</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2024</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2025</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2026</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2027</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2028</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2029</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2030</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2031</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2032</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2033</w:t>
            </w:r>
          </w:p>
        </w:tc>
        <w:tc>
          <w:tcPr>
            <w:tcW w:w="614" w:type="dxa"/>
          </w:tcPr>
          <w:p w:rsidR="0074175B" w:rsidRPr="00816657" w:rsidRDefault="0074175B" w:rsidP="00DF1E42">
            <w:pPr>
              <w:jc w:val="right"/>
              <w:cnfStyle w:val="100000000000"/>
              <w:rPr>
                <w:rFonts w:asciiTheme="minorHAnsi" w:hAnsiTheme="minorHAnsi"/>
                <w:sz w:val="18"/>
                <w:szCs w:val="18"/>
              </w:rPr>
            </w:pPr>
            <w:r w:rsidRPr="00816657">
              <w:rPr>
                <w:rFonts w:asciiTheme="minorHAnsi" w:hAnsiTheme="minorHAnsi"/>
                <w:sz w:val="18"/>
                <w:szCs w:val="18"/>
              </w:rPr>
              <w:t>2034</w:t>
            </w:r>
          </w:p>
        </w:tc>
      </w:tr>
      <w:tr w:rsidR="0074175B" w:rsidRPr="00816657" w:rsidTr="00BC31C7">
        <w:tc>
          <w:tcPr>
            <w:cnfStyle w:val="001000000000"/>
            <w:tcW w:w="13369" w:type="dxa"/>
            <w:gridSpan w:val="22"/>
          </w:tcPr>
          <w:p w:rsidR="0074175B" w:rsidRPr="00816657" w:rsidRDefault="00520EDF" w:rsidP="00DF1E42">
            <w:pPr>
              <w:rPr>
                <w:rFonts w:asciiTheme="minorHAnsi" w:hAnsiTheme="minorHAnsi"/>
                <w:b/>
                <w:sz w:val="18"/>
                <w:szCs w:val="18"/>
              </w:rPr>
            </w:pPr>
            <w:r w:rsidRPr="00816657">
              <w:rPr>
                <w:rFonts w:asciiTheme="minorHAnsi" w:hAnsiTheme="minorHAnsi"/>
                <w:b/>
                <w:sz w:val="18"/>
                <w:szCs w:val="18"/>
              </w:rPr>
              <w:t>Approach re. biosolids</w:t>
            </w:r>
          </w:p>
        </w:tc>
      </w:tr>
      <w:tr w:rsidR="00520EDF" w:rsidRPr="00816657" w:rsidTr="00BC31C7">
        <w:trPr>
          <w:trHeight w:val="130"/>
        </w:trPr>
        <w:tc>
          <w:tcPr>
            <w:cnfStyle w:val="001000000000"/>
            <w:tcW w:w="565" w:type="dxa"/>
          </w:tcPr>
          <w:p w:rsidR="00520EDF" w:rsidRPr="00816657" w:rsidRDefault="00520EDF" w:rsidP="00520EDF">
            <w:pPr>
              <w:rPr>
                <w:rFonts w:asciiTheme="minorHAnsi" w:hAnsiTheme="minorHAnsi"/>
                <w:sz w:val="18"/>
                <w:szCs w:val="18"/>
              </w:rPr>
            </w:pPr>
            <w:r w:rsidRPr="00816657">
              <w:rPr>
                <w:rFonts w:asciiTheme="minorHAnsi" w:hAnsiTheme="minorHAnsi"/>
                <w:sz w:val="18"/>
                <w:szCs w:val="18"/>
              </w:rPr>
              <w:t>Best</w:t>
            </w:r>
          </w:p>
        </w:tc>
        <w:tc>
          <w:tcPr>
            <w:tcW w:w="569"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r>
      <w:tr w:rsidR="0074175B" w:rsidRPr="00816657" w:rsidTr="00BC31C7">
        <w:tc>
          <w:tcPr>
            <w:cnfStyle w:val="001000000000"/>
            <w:tcW w:w="565" w:type="dxa"/>
          </w:tcPr>
          <w:p w:rsidR="0074175B" w:rsidRPr="00816657" w:rsidRDefault="0074175B" w:rsidP="00520EDF">
            <w:pPr>
              <w:rPr>
                <w:rFonts w:asciiTheme="minorHAnsi" w:hAnsiTheme="minorHAnsi"/>
                <w:sz w:val="18"/>
                <w:szCs w:val="18"/>
              </w:rPr>
            </w:pPr>
            <w:r w:rsidRPr="00816657">
              <w:rPr>
                <w:rFonts w:asciiTheme="minorHAnsi" w:hAnsiTheme="minorHAnsi"/>
                <w:sz w:val="18"/>
                <w:szCs w:val="18"/>
              </w:rPr>
              <w:t>High</w:t>
            </w:r>
          </w:p>
        </w:tc>
        <w:tc>
          <w:tcPr>
            <w:tcW w:w="569" w:type="dxa"/>
          </w:tcPr>
          <w:p w:rsidR="0074175B"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r>
      <w:tr w:rsidR="0074175B" w:rsidRPr="00816657" w:rsidTr="00BC31C7">
        <w:tc>
          <w:tcPr>
            <w:cnfStyle w:val="001000000000"/>
            <w:tcW w:w="565" w:type="dxa"/>
          </w:tcPr>
          <w:p w:rsidR="0074175B" w:rsidRPr="00816657" w:rsidRDefault="0074175B" w:rsidP="00520EDF">
            <w:pPr>
              <w:rPr>
                <w:rFonts w:asciiTheme="minorHAnsi" w:hAnsiTheme="minorHAnsi"/>
                <w:sz w:val="18"/>
                <w:szCs w:val="18"/>
              </w:rPr>
            </w:pPr>
            <w:r w:rsidRPr="00816657">
              <w:rPr>
                <w:rFonts w:asciiTheme="minorHAnsi" w:hAnsiTheme="minorHAnsi"/>
                <w:sz w:val="18"/>
                <w:szCs w:val="18"/>
              </w:rPr>
              <w:t>Low</w:t>
            </w:r>
          </w:p>
        </w:tc>
        <w:tc>
          <w:tcPr>
            <w:tcW w:w="569" w:type="dxa"/>
          </w:tcPr>
          <w:p w:rsidR="0074175B"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tcPr>
          <w:p w:rsidR="0074175B" w:rsidRPr="00816657" w:rsidRDefault="0074175B" w:rsidP="00DF1E42">
            <w:pPr>
              <w:jc w:val="right"/>
              <w:cnfStyle w:val="000000000000"/>
              <w:rPr>
                <w:rFonts w:asciiTheme="minorHAnsi" w:hAnsiTheme="minorHAnsi"/>
                <w:sz w:val="18"/>
                <w:szCs w:val="18"/>
              </w:rPr>
            </w:pPr>
            <w:r w:rsidRPr="00816657">
              <w:rPr>
                <w:rFonts w:asciiTheme="minorHAnsi" w:hAnsiTheme="minorHAnsi"/>
                <w:sz w:val="18"/>
                <w:szCs w:val="18"/>
              </w:rPr>
              <w:t>0</w:t>
            </w:r>
          </w:p>
        </w:tc>
      </w:tr>
      <w:tr w:rsidR="0074175B" w:rsidRPr="00816657" w:rsidTr="00BC31C7">
        <w:tc>
          <w:tcPr>
            <w:cnfStyle w:val="001000000000"/>
            <w:tcW w:w="13369" w:type="dxa"/>
            <w:gridSpan w:val="22"/>
          </w:tcPr>
          <w:p w:rsidR="0074175B" w:rsidRPr="00816657" w:rsidRDefault="00520EDF" w:rsidP="00DF1E42">
            <w:pPr>
              <w:rPr>
                <w:rFonts w:asciiTheme="minorHAnsi" w:hAnsiTheme="minorHAnsi"/>
                <w:sz w:val="18"/>
                <w:szCs w:val="18"/>
              </w:rPr>
            </w:pPr>
            <w:r w:rsidRPr="00816657">
              <w:rPr>
                <w:rFonts w:asciiTheme="minorHAnsi" w:hAnsiTheme="minorHAnsi"/>
                <w:b/>
                <w:sz w:val="18"/>
                <w:szCs w:val="18"/>
              </w:rPr>
              <w:t>Approach re. WEEE</w:t>
            </w:r>
          </w:p>
        </w:tc>
      </w:tr>
      <w:tr w:rsidR="00520EDF" w:rsidRPr="00816657" w:rsidTr="00BC31C7">
        <w:tc>
          <w:tcPr>
            <w:cnfStyle w:val="001000000000"/>
            <w:tcW w:w="565" w:type="dxa"/>
          </w:tcPr>
          <w:p w:rsidR="00520EDF" w:rsidRPr="00816657" w:rsidRDefault="00520EDF" w:rsidP="00520EDF">
            <w:pPr>
              <w:rPr>
                <w:rFonts w:asciiTheme="minorHAnsi" w:hAnsiTheme="minorHAnsi"/>
                <w:sz w:val="18"/>
                <w:szCs w:val="18"/>
              </w:rPr>
            </w:pPr>
            <w:r w:rsidRPr="00816657">
              <w:rPr>
                <w:rFonts w:asciiTheme="minorHAnsi" w:hAnsiTheme="minorHAnsi"/>
                <w:sz w:val="18"/>
                <w:szCs w:val="18"/>
              </w:rPr>
              <w:t>Best</w:t>
            </w:r>
          </w:p>
        </w:tc>
        <w:tc>
          <w:tcPr>
            <w:tcW w:w="569"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379</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322</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274</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233</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198</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168</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143</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121</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103</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88</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75</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63</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54</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46</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39</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33</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28</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24</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20</w:t>
            </w:r>
          </w:p>
        </w:tc>
      </w:tr>
      <w:tr w:rsidR="00520EDF" w:rsidRPr="00816657" w:rsidTr="00BC31C7">
        <w:tc>
          <w:tcPr>
            <w:cnfStyle w:val="001000000000"/>
            <w:tcW w:w="565" w:type="dxa"/>
          </w:tcPr>
          <w:p w:rsidR="00520EDF" w:rsidRPr="00816657" w:rsidRDefault="00520EDF" w:rsidP="00520EDF">
            <w:pPr>
              <w:rPr>
                <w:rFonts w:asciiTheme="minorHAnsi" w:hAnsiTheme="minorHAnsi"/>
                <w:sz w:val="18"/>
                <w:szCs w:val="18"/>
              </w:rPr>
            </w:pPr>
            <w:r w:rsidRPr="00816657">
              <w:rPr>
                <w:rFonts w:asciiTheme="minorHAnsi" w:hAnsiTheme="minorHAnsi"/>
                <w:sz w:val="18"/>
                <w:szCs w:val="18"/>
              </w:rPr>
              <w:t>High</w:t>
            </w:r>
          </w:p>
        </w:tc>
        <w:tc>
          <w:tcPr>
            <w:tcW w:w="569"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2,415</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2,318</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2,225</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2,136</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2,051</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1,969</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1,890</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1,814</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1,742</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1,672</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1,605</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1,541</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1,479</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1,420</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1,363</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1,309</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1,257</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1,206</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1,158</w:t>
            </w:r>
          </w:p>
        </w:tc>
      </w:tr>
      <w:tr w:rsidR="00520EDF" w:rsidRPr="00816657" w:rsidTr="00BC31C7">
        <w:tc>
          <w:tcPr>
            <w:cnfStyle w:val="001000000000"/>
            <w:tcW w:w="565" w:type="dxa"/>
          </w:tcPr>
          <w:p w:rsidR="00520EDF" w:rsidRPr="00816657" w:rsidRDefault="00520EDF" w:rsidP="00520EDF">
            <w:pPr>
              <w:rPr>
                <w:rFonts w:asciiTheme="minorHAnsi" w:hAnsiTheme="minorHAnsi"/>
                <w:sz w:val="18"/>
                <w:szCs w:val="18"/>
              </w:rPr>
            </w:pPr>
            <w:r w:rsidRPr="00816657">
              <w:rPr>
                <w:rFonts w:asciiTheme="minorHAnsi" w:hAnsiTheme="minorHAnsi"/>
                <w:sz w:val="18"/>
                <w:szCs w:val="18"/>
              </w:rPr>
              <w:t>Low</w:t>
            </w:r>
          </w:p>
        </w:tc>
        <w:tc>
          <w:tcPr>
            <w:tcW w:w="569"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74</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55</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41</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31</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23</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17</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13</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10</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7</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6</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4</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3</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2</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1</w:t>
            </w:r>
          </w:p>
        </w:tc>
        <w:tc>
          <w:tcPr>
            <w:tcW w:w="614" w:type="dxa"/>
            <w:vAlign w:val="bottom"/>
          </w:tcPr>
          <w:p w:rsidR="00520EDF" w:rsidRPr="00816657" w:rsidRDefault="00520EDF" w:rsidP="00DF1E42">
            <w:pPr>
              <w:jc w:val="right"/>
              <w:cnfStyle w:val="000000000000"/>
              <w:rPr>
                <w:rFonts w:asciiTheme="minorHAnsi" w:hAnsiTheme="minorHAnsi"/>
                <w:sz w:val="18"/>
                <w:szCs w:val="18"/>
              </w:rPr>
            </w:pPr>
            <w:r w:rsidRPr="00816657">
              <w:rPr>
                <w:rFonts w:asciiTheme="minorHAnsi" w:hAnsiTheme="minorHAnsi"/>
                <w:sz w:val="18"/>
                <w:szCs w:val="18"/>
              </w:rPr>
              <w:t>0</w:t>
            </w:r>
          </w:p>
        </w:tc>
      </w:tr>
    </w:tbl>
    <w:p w:rsidR="0074175B" w:rsidRPr="00816657" w:rsidRDefault="0074175B" w:rsidP="00376588">
      <w:pPr>
        <w:pStyle w:val="BodyText"/>
      </w:pPr>
    </w:p>
    <w:p w:rsidR="00D92260" w:rsidRPr="00816657" w:rsidRDefault="00D92260" w:rsidP="00655F62">
      <w:pPr>
        <w:pStyle w:val="Figures"/>
      </w:pPr>
      <w:bookmarkStart w:id="158" w:name="_Toc425849239"/>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21</w:t>
      </w:r>
      <w:r w:rsidR="006D07F5" w:rsidRPr="00816657">
        <w:rPr>
          <w:noProof/>
        </w:rPr>
        <w:fldChar w:fldCharType="end"/>
      </w:r>
      <w:r w:rsidRPr="00816657">
        <w:t xml:space="preserve">: </w:t>
      </w:r>
      <w:r w:rsidRPr="00816657">
        <w:tab/>
        <w:t>Best, high and low national projection estimates of POP-BDE</w:t>
      </w:r>
      <w:r w:rsidR="00376588" w:rsidRPr="00816657">
        <w:t>s</w:t>
      </w:r>
      <w:r w:rsidRPr="00816657">
        <w:t xml:space="preserve"> waste to 2034</w:t>
      </w:r>
      <w:bookmarkEnd w:id="158"/>
    </w:p>
    <w:p w:rsidR="00D92260" w:rsidRPr="00816657" w:rsidRDefault="00C05ED6" w:rsidP="00D92260">
      <w:pPr>
        <w:spacing w:line="240" w:lineRule="auto"/>
      </w:pPr>
      <w:r w:rsidRPr="00C05ED6">
        <w:rPr>
          <w:noProof/>
          <w:lang w:eastAsia="en-AU"/>
        </w:rPr>
        <w:drawing>
          <wp:inline distT="0" distB="0" distL="0" distR="0">
            <wp:extent cx="5504762" cy="2238095"/>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504762" cy="2238095"/>
                    </a:xfrm>
                    <a:prstGeom prst="rect">
                      <a:avLst/>
                    </a:prstGeom>
                  </pic:spPr>
                </pic:pic>
              </a:graphicData>
            </a:graphic>
          </wp:inline>
        </w:drawing>
      </w:r>
    </w:p>
    <w:p w:rsidR="00EA57B5" w:rsidRPr="00816657" w:rsidRDefault="00EA57B5">
      <w:pPr>
        <w:spacing w:line="240" w:lineRule="auto"/>
        <w:rPr>
          <w:rFonts w:ascii="Arial Rounded MT Bold" w:hAnsi="Arial Rounded MT Bold" w:cs="Arial"/>
          <w:color w:val="0000FF"/>
          <w:sz w:val="22"/>
        </w:rPr>
      </w:pPr>
      <w:r w:rsidRPr="00816657">
        <w:br w:type="page"/>
      </w:r>
    </w:p>
    <w:p w:rsidR="004D383B" w:rsidRDefault="00D92260" w:rsidP="005D6078">
      <w:pPr>
        <w:pStyle w:val="Heading3"/>
      </w:pPr>
      <w:r w:rsidRPr="00816657">
        <w:lastRenderedPageBreak/>
        <w:t xml:space="preserve">M160c. </w:t>
      </w:r>
      <w:r w:rsidR="004D383B" w:rsidRPr="004D383B">
        <w:t>Hexabromocyclododecane</w:t>
      </w:r>
      <w:r w:rsidR="004D383B">
        <w:t xml:space="preserve"> (</w:t>
      </w:r>
      <w:r w:rsidRPr="00816657">
        <w:t>HBCD</w:t>
      </w:r>
      <w:r w:rsidR="004D383B">
        <w:t>)</w:t>
      </w:r>
    </w:p>
    <w:p w:rsidR="004D383B" w:rsidRDefault="00CF76E1" w:rsidP="004D383B">
      <w:pPr>
        <w:pStyle w:val="BodyText"/>
      </w:pPr>
      <w:r w:rsidRPr="00816657">
        <w:t>Although not a P</w:t>
      </w:r>
      <w:r>
        <w:t>OP-</w:t>
      </w:r>
      <w:r w:rsidRPr="00816657">
        <w:t xml:space="preserve">BDE, another </w:t>
      </w:r>
      <w:r>
        <w:t>flame retardant</w:t>
      </w:r>
      <w:r w:rsidRPr="00816657">
        <w:t xml:space="preserve"> known as HBCD, which has been historically used for flame retard</w:t>
      </w:r>
      <w:r>
        <w:t>ence</w:t>
      </w:r>
      <w:r w:rsidRPr="00816657">
        <w:t xml:space="preserve"> in extruded and expanded polystyrene foams, was listed added to Annex B of the </w:t>
      </w:r>
      <w:r w:rsidRPr="009211E8">
        <w:rPr>
          <w:i/>
        </w:rPr>
        <w:t>Stockholm Convention on Persistent Organic Pollutants</w:t>
      </w:r>
      <w:r w:rsidRPr="00816657">
        <w:t xml:space="preserve"> in May 20</w:t>
      </w:r>
      <w:r>
        <w:t>13</w:t>
      </w:r>
      <w:r w:rsidRPr="00816657">
        <w:t xml:space="preserve"> with specific exemptions and allowed uses.</w:t>
      </w:r>
      <w:r>
        <w:t xml:space="preserve"> </w:t>
      </w:r>
      <w:r w:rsidR="00C11E1E" w:rsidRPr="00816657">
        <w:t xml:space="preserve">Under the domestic treaty making process Australia must determine whether to ratify listing of the </w:t>
      </w:r>
      <w:r w:rsidR="00C11E1E">
        <w:t>HBCD</w:t>
      </w:r>
      <w:r w:rsidR="00C11E1E" w:rsidRPr="00816657">
        <w:t xml:space="preserve"> after having taken into consideration the costs and benefits of the feasible technical options that it would need to implement to satisfy ratification. This decision has not yet been made.</w:t>
      </w:r>
      <w:r w:rsidR="00C11E1E">
        <w:t xml:space="preserve"> </w:t>
      </w:r>
      <w:r w:rsidR="004D383B" w:rsidRPr="009211E8">
        <w:rPr>
          <w:b/>
        </w:rPr>
        <w:t xml:space="preserve">Review Appendix </w:t>
      </w:r>
      <w:fldSimple w:instr=" REF _Ref408390265 \r \h  \* MERGEFORMAT ">
        <w:r w:rsidR="002F3000">
          <w:rPr>
            <w:b/>
          </w:rPr>
          <w:t>A.5</w:t>
        </w:r>
      </w:fldSimple>
      <w:r w:rsidR="004D383B">
        <w:t xml:space="preserve"> for a detailed discussion of </w:t>
      </w:r>
      <w:r w:rsidR="00B91ED9">
        <w:t>HBCD a</w:t>
      </w:r>
      <w:r w:rsidR="004D383B">
        <w:t>nd the data sources and assumptions used in providing the projections below.</w:t>
      </w:r>
    </w:p>
    <w:p w:rsidR="00D92260" w:rsidRDefault="00D92260" w:rsidP="00216F9A">
      <w:pPr>
        <w:pStyle w:val="BodyText"/>
      </w:pPr>
    </w:p>
    <w:p w:rsidR="00EA57B5" w:rsidRPr="00816657" w:rsidRDefault="00EA57B5" w:rsidP="00EA57B5">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3671"/>
        <w:gridCol w:w="3671"/>
        <w:gridCol w:w="3672"/>
        <w:gridCol w:w="3672"/>
      </w:tblGrid>
      <w:tr w:rsidR="00E42D11" w:rsidRPr="00816657" w:rsidTr="00EA7F18">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01725B" w:rsidRPr="00816657" w:rsidTr="00EA7F18">
        <w:tc>
          <w:tcPr>
            <w:cnfStyle w:val="001000000000"/>
            <w:tcW w:w="1250" w:type="pct"/>
            <w:vMerge w:val="restart"/>
            <w:tcBorders>
              <w:top w:val="single" w:sz="4" w:space="0" w:color="7F7F7F" w:themeColor="background2"/>
            </w:tcBorders>
          </w:tcPr>
          <w:p w:rsidR="0001725B" w:rsidRPr="00816657" w:rsidRDefault="0001725B" w:rsidP="00BC31C7">
            <w:pPr>
              <w:spacing w:line="240" w:lineRule="auto"/>
              <w:rPr>
                <w:rFonts w:cs="Times New Roman"/>
                <w:color w:val="000000"/>
                <w:szCs w:val="20"/>
                <w:lang w:eastAsia="en-AU"/>
              </w:rPr>
            </w:pPr>
            <w:r w:rsidRPr="00816657">
              <w:rPr>
                <w:rFonts w:cs="Times New Roman"/>
                <w:color w:val="000000"/>
                <w:szCs w:val="20"/>
                <w:lang w:eastAsia="en-AU"/>
              </w:rPr>
              <w:t>Waste: Biosolids - newly produced from wastewater treatment plants; domestic and industrial building insulation materials presenting as part of C&amp;I waste</w:t>
            </w:r>
          </w:p>
        </w:tc>
        <w:tc>
          <w:tcPr>
            <w:tcW w:w="1250" w:type="pct"/>
            <w:tcBorders>
              <w:top w:val="single" w:sz="4" w:space="0" w:color="7F7F7F" w:themeColor="background2"/>
            </w:tcBorders>
          </w:tcPr>
          <w:p w:rsidR="0001725B" w:rsidRPr="00816657" w:rsidRDefault="0001725B" w:rsidP="00EA7F18">
            <w:pPr>
              <w:pStyle w:val="BodyText"/>
              <w:cnfStyle w:val="000000000000"/>
              <w:rPr>
                <w:rFonts w:cs="Times New Roman"/>
                <w:color w:val="000000"/>
                <w:sz w:val="20"/>
                <w:szCs w:val="20"/>
                <w:lang w:eastAsia="en-AU"/>
              </w:rPr>
            </w:pPr>
            <w:r w:rsidRPr="00816657">
              <w:rPr>
                <w:rFonts w:cs="Times New Roman"/>
                <w:color w:val="000000"/>
                <w:sz w:val="20"/>
                <w:szCs w:val="20"/>
                <w:lang w:eastAsia="en-AU"/>
              </w:rPr>
              <w:t>Historical data does not exist as it is not currently tracked as a hazardous waste</w:t>
            </w:r>
          </w:p>
        </w:tc>
        <w:tc>
          <w:tcPr>
            <w:tcW w:w="1250" w:type="pct"/>
            <w:tcBorders>
              <w:top w:val="single" w:sz="4" w:space="0" w:color="7F7F7F" w:themeColor="background2"/>
            </w:tcBorders>
          </w:tcPr>
          <w:p w:rsidR="0001725B" w:rsidRPr="00816657" w:rsidRDefault="0001725B" w:rsidP="006F365B">
            <w:pPr>
              <w:pStyle w:val="BodyText"/>
              <w:cnfStyle w:val="000000000000"/>
              <w:rPr>
                <w:rFonts w:cs="Times New Roman"/>
                <w:color w:val="000000"/>
                <w:sz w:val="20"/>
                <w:szCs w:val="20"/>
                <w:lang w:eastAsia="en-AU"/>
              </w:rPr>
            </w:pPr>
            <w:r w:rsidRPr="00816657">
              <w:rPr>
                <w:rFonts w:cs="Times New Roman"/>
                <w:color w:val="000000"/>
                <w:sz w:val="20"/>
                <w:szCs w:val="20"/>
                <w:lang w:eastAsia="en-AU"/>
              </w:rPr>
              <w:t>See</w:t>
            </w:r>
            <w:r>
              <w:rPr>
                <w:rFonts w:cs="Times New Roman"/>
                <w:color w:val="000000"/>
                <w:sz w:val="20"/>
                <w:szCs w:val="20"/>
                <w:lang w:eastAsia="en-AU"/>
              </w:rPr>
              <w:t xml:space="preserve"> Appendix</w:t>
            </w:r>
            <w:r w:rsidRPr="00816657">
              <w:rPr>
                <w:rFonts w:cs="Times New Roman"/>
                <w:color w:val="000000"/>
                <w:sz w:val="20"/>
                <w:szCs w:val="20"/>
                <w:lang w:eastAsia="en-AU"/>
              </w:rPr>
              <w:t xml:space="preserve"> </w:t>
            </w:r>
            <w:r w:rsidR="006D07F5">
              <w:rPr>
                <w:rFonts w:cs="Times New Roman"/>
                <w:color w:val="000000"/>
                <w:sz w:val="20"/>
                <w:szCs w:val="20"/>
                <w:lang w:eastAsia="en-AU"/>
              </w:rPr>
              <w:fldChar w:fldCharType="begin"/>
            </w:r>
            <w:r>
              <w:rPr>
                <w:rFonts w:cs="Times New Roman"/>
                <w:color w:val="000000"/>
                <w:sz w:val="20"/>
                <w:szCs w:val="20"/>
                <w:lang w:eastAsia="en-AU"/>
              </w:rPr>
              <w:instrText xml:space="preserve"> REF _Ref408390265 \r \h </w:instrText>
            </w:r>
            <w:r w:rsidR="006D07F5">
              <w:rPr>
                <w:rFonts w:cs="Times New Roman"/>
                <w:color w:val="000000"/>
                <w:sz w:val="20"/>
                <w:szCs w:val="20"/>
                <w:lang w:eastAsia="en-AU"/>
              </w:rPr>
            </w:r>
            <w:r w:rsidR="006D07F5">
              <w:rPr>
                <w:rFonts w:cs="Times New Roman"/>
                <w:color w:val="000000"/>
                <w:sz w:val="20"/>
                <w:szCs w:val="20"/>
                <w:lang w:eastAsia="en-AU"/>
              </w:rPr>
              <w:fldChar w:fldCharType="separate"/>
            </w:r>
            <w:r w:rsidR="002F3000">
              <w:rPr>
                <w:rFonts w:cs="Times New Roman"/>
                <w:color w:val="000000"/>
                <w:sz w:val="20"/>
                <w:szCs w:val="20"/>
                <w:lang w:eastAsia="en-AU"/>
              </w:rPr>
              <w:t>A.5</w:t>
            </w:r>
            <w:r w:rsidR="006D07F5">
              <w:rPr>
                <w:rFonts w:cs="Times New Roman"/>
                <w:color w:val="000000"/>
                <w:sz w:val="20"/>
                <w:szCs w:val="20"/>
                <w:lang w:eastAsia="en-AU"/>
              </w:rPr>
              <w:fldChar w:fldCharType="end"/>
            </w:r>
            <w:r w:rsidRPr="00816657">
              <w:rPr>
                <w:rFonts w:cs="Times New Roman"/>
                <w:color w:val="000000"/>
                <w:sz w:val="20"/>
                <w:szCs w:val="20"/>
                <w:lang w:eastAsia="en-AU"/>
              </w:rPr>
              <w:t>for details of data sources and assumptions</w:t>
            </w:r>
          </w:p>
        </w:tc>
        <w:tc>
          <w:tcPr>
            <w:tcW w:w="1250" w:type="pct"/>
            <w:tcBorders>
              <w:top w:val="single" w:sz="4" w:space="0" w:color="7F7F7F" w:themeColor="background2"/>
            </w:tcBorders>
          </w:tcPr>
          <w:p w:rsidR="0001725B" w:rsidRPr="00816657" w:rsidRDefault="0001725B" w:rsidP="00EA57B5">
            <w:pPr>
              <w:pStyle w:val="BodyText"/>
              <w:cnfStyle w:val="000000000000"/>
              <w:rPr>
                <w:rFonts w:cs="Times New Roman"/>
                <w:color w:val="000000"/>
                <w:sz w:val="20"/>
                <w:szCs w:val="20"/>
                <w:lang w:eastAsia="en-AU"/>
              </w:rPr>
            </w:pPr>
            <w:r w:rsidRPr="00816657">
              <w:rPr>
                <w:rFonts w:cs="Times New Roman"/>
                <w:color w:val="000000"/>
                <w:sz w:val="20"/>
                <w:szCs w:val="20"/>
                <w:lang w:eastAsia="en-AU"/>
              </w:rPr>
              <w:t>Assume LPCL is agreed in 2 years' time; Australia ratifies Stockholm in 2 years' time</w:t>
            </w:r>
          </w:p>
        </w:tc>
      </w:tr>
      <w:tr w:rsidR="00BC31C7" w:rsidRPr="00816657" w:rsidTr="00EA7F18">
        <w:tc>
          <w:tcPr>
            <w:cnfStyle w:val="001000000000"/>
            <w:tcW w:w="1250" w:type="pct"/>
            <w:vMerge/>
          </w:tcPr>
          <w:p w:rsidR="00BC31C7" w:rsidRPr="00816657" w:rsidRDefault="00BC31C7" w:rsidP="00EA57B5">
            <w:pPr>
              <w:spacing w:line="240" w:lineRule="auto"/>
              <w:rPr>
                <w:rFonts w:cs="Times New Roman"/>
                <w:color w:val="000000"/>
                <w:szCs w:val="20"/>
                <w:lang w:eastAsia="en-AU"/>
              </w:rPr>
            </w:pPr>
          </w:p>
        </w:tc>
        <w:tc>
          <w:tcPr>
            <w:tcW w:w="1250" w:type="pct"/>
          </w:tcPr>
          <w:p w:rsidR="00BC31C7" w:rsidRPr="00816657" w:rsidRDefault="00BC31C7" w:rsidP="00EA57B5">
            <w:pPr>
              <w:spacing w:line="240" w:lineRule="auto"/>
              <w:cnfStyle w:val="000000000000"/>
              <w:rPr>
                <w:rFonts w:cs="Times New Roman"/>
                <w:color w:val="000000"/>
                <w:szCs w:val="20"/>
                <w:lang w:eastAsia="en-AU"/>
              </w:rPr>
            </w:pPr>
            <w:r w:rsidRPr="00816657">
              <w:rPr>
                <w:rFonts w:cs="Times New Roman"/>
                <w:color w:val="000000"/>
                <w:szCs w:val="20"/>
                <w:lang w:eastAsia="en-AU"/>
              </w:rPr>
              <w:t>Credible projections do not exist, however data has been provided by BoE on HBCP neat chemical import trends</w:t>
            </w:r>
          </w:p>
          <w:p w:rsidR="00BC31C7" w:rsidRPr="00816657" w:rsidRDefault="00BC31C7" w:rsidP="00EA57B5">
            <w:pPr>
              <w:spacing w:line="240" w:lineRule="auto"/>
              <w:cnfStyle w:val="000000000000"/>
              <w:rPr>
                <w:rFonts w:cs="Times New Roman"/>
                <w:color w:val="000000"/>
                <w:szCs w:val="20"/>
                <w:lang w:eastAsia="en-AU"/>
              </w:rPr>
            </w:pPr>
          </w:p>
        </w:tc>
        <w:tc>
          <w:tcPr>
            <w:tcW w:w="1250" w:type="pct"/>
          </w:tcPr>
          <w:p w:rsidR="00BC31C7" w:rsidRPr="00816657" w:rsidRDefault="00BC31C7" w:rsidP="00EA57B5">
            <w:pPr>
              <w:spacing w:line="240" w:lineRule="auto"/>
              <w:cnfStyle w:val="000000000000"/>
              <w:rPr>
                <w:rFonts w:cs="Times New Roman"/>
                <w:color w:val="000000"/>
                <w:szCs w:val="20"/>
                <w:lang w:eastAsia="en-AU"/>
              </w:rPr>
            </w:pPr>
            <w:r w:rsidRPr="00816657">
              <w:rPr>
                <w:rFonts w:cs="Times New Roman"/>
                <w:color w:val="000000"/>
                <w:szCs w:val="20"/>
                <w:lang w:eastAsia="en-AU"/>
              </w:rPr>
              <w:t>Limited literature available suggests HBCD in biosolids could be present at similar or slightly higher concentrations than POP-BDEs</w:t>
            </w:r>
          </w:p>
        </w:tc>
        <w:tc>
          <w:tcPr>
            <w:tcW w:w="1250" w:type="pct"/>
          </w:tcPr>
          <w:p w:rsidR="00BC31C7" w:rsidRPr="00816657" w:rsidRDefault="00BC31C7" w:rsidP="00EA57B5">
            <w:pPr>
              <w:spacing w:line="240" w:lineRule="auto"/>
              <w:cnfStyle w:val="000000000000"/>
              <w:rPr>
                <w:rFonts w:cs="Times New Roman"/>
                <w:color w:val="000000"/>
                <w:szCs w:val="20"/>
                <w:lang w:eastAsia="en-AU"/>
              </w:rPr>
            </w:pPr>
            <w:r w:rsidRPr="00816657">
              <w:rPr>
                <w:rFonts w:cs="Times New Roman"/>
                <w:color w:val="000000"/>
                <w:szCs w:val="20"/>
                <w:lang w:eastAsia="en-AU"/>
              </w:rPr>
              <w:t>Historical import trend data on expanded polystyrene (EPS) from DoE working draft note extract from ACIL Allen RIS and NICNAS neat chemical import data</w:t>
            </w:r>
          </w:p>
        </w:tc>
      </w:tr>
      <w:tr w:rsidR="00EA57B5" w:rsidRPr="00816657" w:rsidTr="00EA57B5">
        <w:trPr>
          <w:trHeight w:val="603"/>
        </w:trPr>
        <w:tc>
          <w:tcPr>
            <w:cnfStyle w:val="001000000000"/>
            <w:tcW w:w="1250" w:type="pct"/>
            <w:vMerge w:val="restart"/>
          </w:tcPr>
          <w:p w:rsidR="00EA57B5" w:rsidRPr="00816657" w:rsidRDefault="00EA57B5" w:rsidP="00EA7F18">
            <w:pPr>
              <w:spacing w:line="240" w:lineRule="auto"/>
              <w:rPr>
                <w:rFonts w:cs="Times New Roman"/>
                <w:color w:val="000000"/>
                <w:szCs w:val="20"/>
                <w:lang w:eastAsia="en-AU"/>
              </w:rPr>
            </w:pPr>
          </w:p>
        </w:tc>
        <w:tc>
          <w:tcPr>
            <w:tcW w:w="1250" w:type="pct"/>
            <w:vMerge w:val="restart"/>
          </w:tcPr>
          <w:p w:rsidR="00EA57B5" w:rsidRPr="00816657" w:rsidRDefault="00EA57B5" w:rsidP="00EA7F18">
            <w:pPr>
              <w:spacing w:line="240" w:lineRule="auto"/>
              <w:cnfStyle w:val="000000000000"/>
              <w:rPr>
                <w:rFonts w:cs="Times New Roman"/>
                <w:color w:val="000000"/>
                <w:szCs w:val="20"/>
                <w:lang w:eastAsia="en-AU"/>
              </w:rPr>
            </w:pPr>
          </w:p>
        </w:tc>
        <w:tc>
          <w:tcPr>
            <w:tcW w:w="1250" w:type="pct"/>
            <w:vMerge w:val="restart"/>
          </w:tcPr>
          <w:p w:rsidR="00EA57B5" w:rsidRPr="00816657" w:rsidRDefault="00EA57B5" w:rsidP="00EA57B5">
            <w:pPr>
              <w:pStyle w:val="BodyText"/>
              <w:cnfStyle w:val="000000000000"/>
              <w:rPr>
                <w:rFonts w:cs="Times New Roman"/>
                <w:color w:val="000000"/>
                <w:sz w:val="20"/>
                <w:szCs w:val="20"/>
                <w:lang w:eastAsia="en-AU"/>
              </w:rPr>
            </w:pPr>
            <w:r w:rsidRPr="00816657">
              <w:rPr>
                <w:rFonts w:cs="Times New Roman"/>
                <w:color w:val="000000"/>
                <w:sz w:val="20"/>
                <w:szCs w:val="20"/>
                <w:lang w:eastAsia="en-AU"/>
              </w:rPr>
              <w:t>HBCD would be present in building insulation materials above any of the range of LPCLs presently under consideration</w:t>
            </w:r>
          </w:p>
        </w:tc>
        <w:tc>
          <w:tcPr>
            <w:tcW w:w="1250" w:type="pct"/>
          </w:tcPr>
          <w:p w:rsidR="00EA57B5" w:rsidRPr="00816657" w:rsidRDefault="00EA57B5" w:rsidP="00EA57B5">
            <w:pPr>
              <w:pStyle w:val="BodyText"/>
              <w:cnfStyle w:val="000000000000"/>
              <w:rPr>
                <w:rFonts w:cs="Times New Roman"/>
                <w:color w:val="000000"/>
                <w:sz w:val="20"/>
                <w:szCs w:val="20"/>
                <w:lang w:eastAsia="en-AU"/>
              </w:rPr>
            </w:pPr>
            <w:r w:rsidRPr="00816657">
              <w:rPr>
                <w:rFonts w:cs="Times New Roman"/>
                <w:color w:val="000000"/>
                <w:sz w:val="20"/>
                <w:szCs w:val="20"/>
                <w:lang w:eastAsia="en-AU"/>
              </w:rPr>
              <w:t>Historical biosolids production data and literature data on POP concentrations; range of LPCLs to help define scenarios</w:t>
            </w:r>
          </w:p>
        </w:tc>
      </w:tr>
      <w:tr w:rsidR="00EA57B5" w:rsidRPr="00816657" w:rsidTr="00EA7F18">
        <w:trPr>
          <w:trHeight w:val="603"/>
        </w:trPr>
        <w:tc>
          <w:tcPr>
            <w:cnfStyle w:val="001000000000"/>
            <w:tcW w:w="1250" w:type="pct"/>
            <w:vMerge/>
          </w:tcPr>
          <w:p w:rsidR="00EA57B5" w:rsidRPr="00816657" w:rsidRDefault="00EA57B5" w:rsidP="00EA7F18">
            <w:pPr>
              <w:spacing w:line="240" w:lineRule="auto"/>
              <w:rPr>
                <w:rFonts w:cs="Times New Roman"/>
                <w:color w:val="000000"/>
                <w:szCs w:val="20"/>
                <w:lang w:eastAsia="en-AU"/>
              </w:rPr>
            </w:pPr>
          </w:p>
        </w:tc>
        <w:tc>
          <w:tcPr>
            <w:tcW w:w="1250" w:type="pct"/>
            <w:vMerge/>
          </w:tcPr>
          <w:p w:rsidR="00EA57B5" w:rsidRPr="00816657" w:rsidRDefault="00EA57B5" w:rsidP="00EA7F18">
            <w:pPr>
              <w:spacing w:line="240" w:lineRule="auto"/>
              <w:cnfStyle w:val="000000000000"/>
              <w:rPr>
                <w:rFonts w:cs="Times New Roman"/>
                <w:color w:val="000000"/>
                <w:szCs w:val="20"/>
                <w:lang w:eastAsia="en-AU"/>
              </w:rPr>
            </w:pPr>
          </w:p>
        </w:tc>
        <w:tc>
          <w:tcPr>
            <w:tcW w:w="1250" w:type="pct"/>
            <w:vMerge/>
          </w:tcPr>
          <w:p w:rsidR="00EA57B5" w:rsidRPr="00816657" w:rsidRDefault="00EA57B5" w:rsidP="00EA57B5">
            <w:pPr>
              <w:pStyle w:val="BodyText"/>
              <w:cnfStyle w:val="000000000000"/>
              <w:rPr>
                <w:rFonts w:cs="Times New Roman"/>
                <w:color w:val="000000"/>
                <w:sz w:val="20"/>
                <w:szCs w:val="20"/>
                <w:lang w:eastAsia="en-AU"/>
              </w:rPr>
            </w:pPr>
          </w:p>
        </w:tc>
        <w:tc>
          <w:tcPr>
            <w:tcW w:w="1250" w:type="pct"/>
          </w:tcPr>
          <w:p w:rsidR="00EA57B5" w:rsidRPr="00816657" w:rsidRDefault="007C207B" w:rsidP="00EA57B5">
            <w:pPr>
              <w:pStyle w:val="BodyText"/>
              <w:cnfStyle w:val="000000000000"/>
              <w:rPr>
                <w:rFonts w:cs="Times New Roman"/>
                <w:color w:val="000000"/>
                <w:sz w:val="20"/>
                <w:szCs w:val="20"/>
                <w:lang w:eastAsia="en-AU"/>
              </w:rPr>
            </w:pPr>
            <w:r w:rsidRPr="00816657">
              <w:rPr>
                <w:rFonts w:cs="Times New Roman"/>
                <w:color w:val="000000"/>
                <w:sz w:val="20"/>
                <w:szCs w:val="20"/>
                <w:lang w:eastAsia="en-AU"/>
              </w:rPr>
              <w:t>Use causal analysis</w:t>
            </w:r>
          </w:p>
        </w:tc>
      </w:tr>
    </w:tbl>
    <w:p w:rsidR="00216F9A" w:rsidRDefault="00216F9A" w:rsidP="00216F9A">
      <w:pPr>
        <w:pStyle w:val="BodyText"/>
      </w:pPr>
    </w:p>
    <w:p w:rsidR="00520EDF" w:rsidRPr="00816657" w:rsidRDefault="00520EDF" w:rsidP="00655F62">
      <w:pPr>
        <w:pStyle w:val="Figures"/>
      </w:pPr>
      <w:bookmarkStart w:id="159" w:name="_Toc425849312"/>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27</w:t>
      </w:r>
      <w:r w:rsidR="006D07F5" w:rsidRPr="00816657">
        <w:rPr>
          <w:noProof/>
        </w:rPr>
        <w:fldChar w:fldCharType="end"/>
      </w:r>
      <w:r w:rsidRPr="00816657">
        <w:t xml:space="preserve">: </w:t>
      </w:r>
      <w:r w:rsidRPr="00816657">
        <w:tab/>
        <w:t>Approaches used to project HBCD waste</w:t>
      </w:r>
      <w:bookmarkEnd w:id="159"/>
    </w:p>
    <w:tbl>
      <w:tblPr>
        <w:tblStyle w:val="BETable1"/>
        <w:tblW w:w="11199" w:type="dxa"/>
        <w:tblLayout w:type="fixed"/>
        <w:tblLook w:val="04A0"/>
      </w:tblPr>
      <w:tblGrid>
        <w:gridCol w:w="2552"/>
        <w:gridCol w:w="1984"/>
        <w:gridCol w:w="6663"/>
      </w:tblGrid>
      <w:tr w:rsidR="00520EDF" w:rsidRPr="00816657" w:rsidTr="00EA57B5">
        <w:trPr>
          <w:cnfStyle w:val="100000000000"/>
        </w:trPr>
        <w:tc>
          <w:tcPr>
            <w:cnfStyle w:val="001000000000"/>
            <w:tcW w:w="2552" w:type="dxa"/>
          </w:tcPr>
          <w:p w:rsidR="00520EDF" w:rsidRPr="00816657" w:rsidRDefault="00520EDF" w:rsidP="00520EDF">
            <w:r w:rsidRPr="00816657">
              <w:t>Approach re. biosolids</w:t>
            </w:r>
          </w:p>
        </w:tc>
        <w:tc>
          <w:tcPr>
            <w:tcW w:w="1984" w:type="dxa"/>
          </w:tcPr>
          <w:p w:rsidR="00520EDF" w:rsidRPr="00816657" w:rsidRDefault="00520EDF" w:rsidP="00520EDF">
            <w:pPr>
              <w:cnfStyle w:val="100000000000"/>
            </w:pPr>
            <w:r w:rsidRPr="00816657">
              <w:t>Applies to</w:t>
            </w:r>
          </w:p>
        </w:tc>
        <w:tc>
          <w:tcPr>
            <w:tcW w:w="6663" w:type="dxa"/>
          </w:tcPr>
          <w:p w:rsidR="00520EDF" w:rsidRPr="00816657" w:rsidRDefault="00520EDF" w:rsidP="00520EDF">
            <w:pPr>
              <w:cnfStyle w:val="100000000000"/>
            </w:pPr>
            <w:r w:rsidRPr="00816657">
              <w:t>Approach</w:t>
            </w:r>
          </w:p>
        </w:tc>
      </w:tr>
      <w:tr w:rsidR="0006014E" w:rsidRPr="00816657" w:rsidTr="00EA57B5">
        <w:tc>
          <w:tcPr>
            <w:cnfStyle w:val="001000000000"/>
            <w:tcW w:w="2552" w:type="dxa"/>
          </w:tcPr>
          <w:p w:rsidR="0006014E" w:rsidRPr="00816657" w:rsidRDefault="0006014E" w:rsidP="00C758EA">
            <w:r w:rsidRPr="00816657">
              <w:t>Best</w:t>
            </w:r>
          </w:p>
        </w:tc>
        <w:tc>
          <w:tcPr>
            <w:tcW w:w="1984" w:type="dxa"/>
            <w:vMerge w:val="restart"/>
            <w:vAlign w:val="center"/>
          </w:tcPr>
          <w:p w:rsidR="0006014E" w:rsidRPr="00816657" w:rsidRDefault="0006014E" w:rsidP="00C758EA">
            <w:pPr>
              <w:cnfStyle w:val="000000000000"/>
            </w:pPr>
            <w:r w:rsidRPr="00816657">
              <w:t>National total only</w:t>
            </w:r>
          </w:p>
        </w:tc>
        <w:tc>
          <w:tcPr>
            <w:tcW w:w="6663" w:type="dxa"/>
          </w:tcPr>
          <w:p w:rsidR="0006014E" w:rsidRPr="00816657" w:rsidRDefault="0006014E" w:rsidP="00520EDF">
            <w:pPr>
              <w:cnfStyle w:val="000000000000"/>
            </w:pPr>
            <w:r w:rsidRPr="00816657">
              <w:t>LPCL = 50mg/kg (negligible biosolids above this level)</w:t>
            </w:r>
          </w:p>
        </w:tc>
      </w:tr>
      <w:tr w:rsidR="0006014E" w:rsidRPr="00816657" w:rsidTr="00EA57B5">
        <w:tc>
          <w:tcPr>
            <w:cnfStyle w:val="001000000000"/>
            <w:tcW w:w="2552" w:type="dxa"/>
          </w:tcPr>
          <w:p w:rsidR="0006014E" w:rsidRPr="00816657" w:rsidRDefault="0006014E" w:rsidP="00520EDF">
            <w:r w:rsidRPr="00816657">
              <w:t>High</w:t>
            </w:r>
          </w:p>
        </w:tc>
        <w:tc>
          <w:tcPr>
            <w:tcW w:w="1984" w:type="dxa"/>
            <w:vMerge/>
          </w:tcPr>
          <w:p w:rsidR="0006014E" w:rsidRPr="00816657" w:rsidRDefault="0006014E" w:rsidP="00520EDF">
            <w:pPr>
              <w:cnfStyle w:val="000000000000"/>
            </w:pPr>
          </w:p>
        </w:tc>
        <w:tc>
          <w:tcPr>
            <w:tcW w:w="6663" w:type="dxa"/>
          </w:tcPr>
          <w:p w:rsidR="0006014E" w:rsidRPr="00816657" w:rsidRDefault="0006014E" w:rsidP="00520EDF">
            <w:pPr>
              <w:cnfStyle w:val="000000000000"/>
            </w:pPr>
            <w:r w:rsidRPr="00816657">
              <w:t>LPCL = 10mg/kg; grows with population +1%</w:t>
            </w:r>
          </w:p>
        </w:tc>
      </w:tr>
      <w:tr w:rsidR="0006014E" w:rsidRPr="00816657" w:rsidTr="00EA57B5">
        <w:tc>
          <w:tcPr>
            <w:cnfStyle w:val="001000000000"/>
            <w:tcW w:w="2552" w:type="dxa"/>
          </w:tcPr>
          <w:p w:rsidR="0006014E" w:rsidRPr="00816657" w:rsidRDefault="0006014E" w:rsidP="00520EDF">
            <w:r w:rsidRPr="00816657">
              <w:t>Low</w:t>
            </w:r>
          </w:p>
        </w:tc>
        <w:tc>
          <w:tcPr>
            <w:tcW w:w="1984" w:type="dxa"/>
            <w:vMerge/>
          </w:tcPr>
          <w:p w:rsidR="0006014E" w:rsidRPr="00816657" w:rsidRDefault="0006014E" w:rsidP="00520EDF">
            <w:pPr>
              <w:cnfStyle w:val="000000000000"/>
            </w:pPr>
          </w:p>
        </w:tc>
        <w:tc>
          <w:tcPr>
            <w:tcW w:w="6663" w:type="dxa"/>
          </w:tcPr>
          <w:p w:rsidR="0006014E" w:rsidRPr="00816657" w:rsidRDefault="0006014E" w:rsidP="00520EDF">
            <w:pPr>
              <w:cnfStyle w:val="000000000000"/>
            </w:pPr>
            <w:r w:rsidRPr="00816657">
              <w:t>LPCL = 200mg/kg (negligible biosolids above this level)</w:t>
            </w:r>
          </w:p>
        </w:tc>
      </w:tr>
      <w:tr w:rsidR="0006014E" w:rsidRPr="00816657" w:rsidTr="00EA57B5">
        <w:tc>
          <w:tcPr>
            <w:cnfStyle w:val="001000000000"/>
            <w:tcW w:w="2552" w:type="dxa"/>
          </w:tcPr>
          <w:p w:rsidR="0006014E" w:rsidRPr="00816657" w:rsidRDefault="0006014E" w:rsidP="00520EDF">
            <w:pPr>
              <w:rPr>
                <w:b/>
              </w:rPr>
            </w:pPr>
            <w:r w:rsidRPr="00816657">
              <w:rPr>
                <w:b/>
              </w:rPr>
              <w:t>Approach re. end of life EPS</w:t>
            </w:r>
          </w:p>
        </w:tc>
        <w:tc>
          <w:tcPr>
            <w:tcW w:w="1984" w:type="dxa"/>
          </w:tcPr>
          <w:p w:rsidR="0006014E" w:rsidRPr="00816657" w:rsidRDefault="0006014E" w:rsidP="00520EDF">
            <w:pPr>
              <w:cnfStyle w:val="000000000000"/>
              <w:rPr>
                <w:b/>
              </w:rPr>
            </w:pPr>
            <w:r w:rsidRPr="00816657">
              <w:rPr>
                <w:b/>
              </w:rPr>
              <w:t>Applies to</w:t>
            </w:r>
          </w:p>
        </w:tc>
        <w:tc>
          <w:tcPr>
            <w:tcW w:w="6663" w:type="dxa"/>
          </w:tcPr>
          <w:p w:rsidR="0006014E" w:rsidRPr="00816657" w:rsidRDefault="0006014E" w:rsidP="00520EDF">
            <w:pPr>
              <w:cnfStyle w:val="000000000000"/>
              <w:rPr>
                <w:b/>
              </w:rPr>
            </w:pPr>
            <w:r w:rsidRPr="00816657">
              <w:rPr>
                <w:b/>
              </w:rPr>
              <w:t>Approach</w:t>
            </w:r>
          </w:p>
        </w:tc>
      </w:tr>
      <w:tr w:rsidR="0006014E" w:rsidRPr="00816657" w:rsidTr="00EA57B5">
        <w:tc>
          <w:tcPr>
            <w:cnfStyle w:val="001000000000"/>
            <w:tcW w:w="2552" w:type="dxa"/>
          </w:tcPr>
          <w:p w:rsidR="0006014E" w:rsidRPr="00816657" w:rsidRDefault="0006014E" w:rsidP="00520EDF">
            <w:r w:rsidRPr="00816657">
              <w:t>Best</w:t>
            </w:r>
          </w:p>
        </w:tc>
        <w:tc>
          <w:tcPr>
            <w:tcW w:w="1984" w:type="dxa"/>
            <w:vMerge w:val="restart"/>
            <w:vAlign w:val="center"/>
          </w:tcPr>
          <w:p w:rsidR="0006014E" w:rsidRPr="00816657" w:rsidRDefault="0006014E" w:rsidP="00520EDF">
            <w:pPr>
              <w:cnfStyle w:val="000000000000"/>
            </w:pPr>
            <w:r w:rsidRPr="00816657">
              <w:t>National total only</w:t>
            </w:r>
          </w:p>
        </w:tc>
        <w:tc>
          <w:tcPr>
            <w:tcW w:w="6663" w:type="dxa"/>
          </w:tcPr>
          <w:p w:rsidR="0006014E" w:rsidRPr="00816657" w:rsidRDefault="0006014E" w:rsidP="00520EDF">
            <w:pPr>
              <w:cnfStyle w:val="000000000000"/>
            </w:pPr>
            <w:r w:rsidRPr="00816657">
              <w:t>Economic growth</w:t>
            </w:r>
          </w:p>
        </w:tc>
      </w:tr>
      <w:tr w:rsidR="0006014E" w:rsidRPr="00816657" w:rsidTr="00EA57B5">
        <w:tc>
          <w:tcPr>
            <w:cnfStyle w:val="001000000000"/>
            <w:tcW w:w="2552" w:type="dxa"/>
          </w:tcPr>
          <w:p w:rsidR="0006014E" w:rsidRPr="00816657" w:rsidRDefault="0006014E" w:rsidP="00520EDF">
            <w:r w:rsidRPr="00816657">
              <w:t>High</w:t>
            </w:r>
          </w:p>
        </w:tc>
        <w:tc>
          <w:tcPr>
            <w:tcW w:w="1984" w:type="dxa"/>
            <w:vMerge/>
          </w:tcPr>
          <w:p w:rsidR="0006014E" w:rsidRPr="00816657" w:rsidRDefault="0006014E" w:rsidP="00520EDF">
            <w:pPr>
              <w:cnfStyle w:val="000000000000"/>
            </w:pPr>
          </w:p>
        </w:tc>
        <w:tc>
          <w:tcPr>
            <w:tcW w:w="6663" w:type="dxa"/>
          </w:tcPr>
          <w:p w:rsidR="0006014E" w:rsidRPr="00816657" w:rsidRDefault="0006014E" w:rsidP="00520EDF">
            <w:pPr>
              <w:cnfStyle w:val="000000000000"/>
            </w:pPr>
            <w:r w:rsidRPr="00816657">
              <w:t>Best estimate of annual rate of change + 2%</w:t>
            </w:r>
          </w:p>
        </w:tc>
      </w:tr>
      <w:tr w:rsidR="0006014E" w:rsidRPr="00816657" w:rsidTr="00EA57B5">
        <w:tc>
          <w:tcPr>
            <w:cnfStyle w:val="001000000000"/>
            <w:tcW w:w="2552" w:type="dxa"/>
          </w:tcPr>
          <w:p w:rsidR="0006014E" w:rsidRPr="00816657" w:rsidRDefault="0006014E" w:rsidP="00520EDF">
            <w:r w:rsidRPr="00816657">
              <w:t>Low</w:t>
            </w:r>
          </w:p>
        </w:tc>
        <w:tc>
          <w:tcPr>
            <w:tcW w:w="1984" w:type="dxa"/>
            <w:vMerge/>
          </w:tcPr>
          <w:p w:rsidR="0006014E" w:rsidRPr="00816657" w:rsidRDefault="0006014E" w:rsidP="00520EDF">
            <w:pPr>
              <w:cnfStyle w:val="000000000000"/>
            </w:pPr>
          </w:p>
        </w:tc>
        <w:tc>
          <w:tcPr>
            <w:tcW w:w="6663" w:type="dxa"/>
          </w:tcPr>
          <w:p w:rsidR="0006014E" w:rsidRPr="00816657" w:rsidRDefault="0006014E" w:rsidP="00520EDF">
            <w:pPr>
              <w:cnfStyle w:val="000000000000"/>
            </w:pPr>
            <w:r w:rsidRPr="00816657">
              <w:t>Best estimate of annual rate of change - 2%</w:t>
            </w:r>
          </w:p>
        </w:tc>
      </w:tr>
    </w:tbl>
    <w:p w:rsidR="00216F9A" w:rsidRDefault="00216F9A" w:rsidP="00216F9A">
      <w:pPr>
        <w:pStyle w:val="BodyText"/>
      </w:pPr>
    </w:p>
    <w:p w:rsidR="00376588" w:rsidRPr="00816657" w:rsidRDefault="00376588" w:rsidP="00655F62">
      <w:pPr>
        <w:pStyle w:val="Figures"/>
      </w:pPr>
      <w:bookmarkStart w:id="160" w:name="_Toc425849313"/>
      <w:r w:rsidRPr="00816657">
        <w:lastRenderedPageBreak/>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28</w:t>
      </w:r>
      <w:r w:rsidR="006D07F5" w:rsidRPr="00816657">
        <w:rPr>
          <w:noProof/>
        </w:rPr>
        <w:fldChar w:fldCharType="end"/>
      </w:r>
      <w:r w:rsidRPr="00816657">
        <w:t xml:space="preserve">: </w:t>
      </w:r>
      <w:r w:rsidRPr="00816657">
        <w:tab/>
        <w:t xml:space="preserve">Best, high and low projected </w:t>
      </w:r>
      <w:r w:rsidR="0006014E" w:rsidRPr="00816657">
        <w:t>tonnes</w:t>
      </w:r>
      <w:r w:rsidRPr="00816657">
        <w:t xml:space="preserve"> for HBCD waste to 2034</w:t>
      </w:r>
      <w:bookmarkEnd w:id="160"/>
    </w:p>
    <w:tbl>
      <w:tblPr>
        <w:tblStyle w:val="BETable1"/>
        <w:tblW w:w="15098" w:type="dxa"/>
        <w:tblInd w:w="0" w:type="dxa"/>
        <w:tblLayout w:type="fixed"/>
        <w:tblCellMar>
          <w:left w:w="57" w:type="dxa"/>
          <w:right w:w="57" w:type="dxa"/>
        </w:tblCellMar>
        <w:tblLook w:val="04A0"/>
      </w:tblPr>
      <w:tblGrid>
        <w:gridCol w:w="565"/>
        <w:gridCol w:w="569"/>
        <w:gridCol w:w="569"/>
        <w:gridCol w:w="705"/>
        <w:gridCol w:w="705"/>
        <w:gridCol w:w="705"/>
        <w:gridCol w:w="705"/>
        <w:gridCol w:w="705"/>
        <w:gridCol w:w="705"/>
        <w:gridCol w:w="705"/>
        <w:gridCol w:w="705"/>
        <w:gridCol w:w="705"/>
        <w:gridCol w:w="705"/>
        <w:gridCol w:w="705"/>
        <w:gridCol w:w="705"/>
        <w:gridCol w:w="705"/>
        <w:gridCol w:w="705"/>
        <w:gridCol w:w="705"/>
        <w:gridCol w:w="705"/>
        <w:gridCol w:w="705"/>
        <w:gridCol w:w="705"/>
        <w:gridCol w:w="705"/>
      </w:tblGrid>
      <w:tr w:rsidR="0006014E" w:rsidRPr="00816657" w:rsidTr="00BC31C7">
        <w:trPr>
          <w:cnfStyle w:val="100000000000"/>
        </w:trPr>
        <w:tc>
          <w:tcPr>
            <w:cnfStyle w:val="001000000000"/>
            <w:tcW w:w="565" w:type="dxa"/>
          </w:tcPr>
          <w:p w:rsidR="0006014E" w:rsidRPr="00816657" w:rsidRDefault="0006014E" w:rsidP="00C758EA">
            <w:pPr>
              <w:rPr>
                <w:rFonts w:asciiTheme="minorHAnsi" w:hAnsiTheme="minorHAnsi"/>
                <w:sz w:val="18"/>
                <w:szCs w:val="18"/>
              </w:rPr>
            </w:pPr>
          </w:p>
        </w:tc>
        <w:tc>
          <w:tcPr>
            <w:tcW w:w="569"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2014</w:t>
            </w:r>
          </w:p>
        </w:tc>
        <w:tc>
          <w:tcPr>
            <w:tcW w:w="569"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2015</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2016</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2017</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2018</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2019</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2020</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2021</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2022</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2023</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2024</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2025</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2026</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2027</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2028</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2029</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2030</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2031</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2032</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2033</w:t>
            </w:r>
          </w:p>
        </w:tc>
        <w:tc>
          <w:tcPr>
            <w:tcW w:w="705" w:type="dxa"/>
          </w:tcPr>
          <w:p w:rsidR="0006014E" w:rsidRPr="00816657" w:rsidRDefault="0006014E" w:rsidP="00DF1E42">
            <w:pPr>
              <w:jc w:val="right"/>
              <w:cnfStyle w:val="100000000000"/>
              <w:rPr>
                <w:rFonts w:asciiTheme="minorHAnsi" w:hAnsiTheme="minorHAnsi"/>
                <w:sz w:val="18"/>
                <w:szCs w:val="18"/>
              </w:rPr>
            </w:pPr>
            <w:r w:rsidRPr="00816657">
              <w:rPr>
                <w:rFonts w:asciiTheme="minorHAnsi" w:hAnsiTheme="minorHAnsi"/>
                <w:sz w:val="18"/>
                <w:szCs w:val="18"/>
              </w:rPr>
              <w:t>2034</w:t>
            </w:r>
          </w:p>
        </w:tc>
      </w:tr>
      <w:tr w:rsidR="0006014E" w:rsidRPr="00816657" w:rsidTr="00BC31C7">
        <w:tc>
          <w:tcPr>
            <w:cnfStyle w:val="001000000000"/>
            <w:tcW w:w="15098" w:type="dxa"/>
            <w:gridSpan w:val="22"/>
          </w:tcPr>
          <w:p w:rsidR="0006014E" w:rsidRPr="00816657" w:rsidRDefault="0006014E" w:rsidP="00DF1E42">
            <w:pPr>
              <w:rPr>
                <w:rFonts w:asciiTheme="minorHAnsi" w:hAnsiTheme="minorHAnsi"/>
                <w:b/>
                <w:sz w:val="18"/>
                <w:szCs w:val="18"/>
              </w:rPr>
            </w:pPr>
            <w:r w:rsidRPr="00816657">
              <w:rPr>
                <w:rFonts w:asciiTheme="minorHAnsi" w:hAnsiTheme="minorHAnsi"/>
                <w:b/>
                <w:sz w:val="18"/>
                <w:szCs w:val="18"/>
              </w:rPr>
              <w:t>Approach re. biosolids</w:t>
            </w:r>
          </w:p>
        </w:tc>
      </w:tr>
      <w:tr w:rsidR="0006014E" w:rsidRPr="00816657" w:rsidTr="00BC31C7">
        <w:trPr>
          <w:trHeight w:val="130"/>
        </w:trPr>
        <w:tc>
          <w:tcPr>
            <w:cnfStyle w:val="001000000000"/>
            <w:tcW w:w="565" w:type="dxa"/>
          </w:tcPr>
          <w:p w:rsidR="0006014E" w:rsidRPr="00816657" w:rsidRDefault="0006014E" w:rsidP="00C758EA">
            <w:pPr>
              <w:rPr>
                <w:rFonts w:asciiTheme="minorHAnsi" w:hAnsiTheme="minorHAnsi"/>
                <w:sz w:val="18"/>
                <w:szCs w:val="18"/>
              </w:rPr>
            </w:pPr>
            <w:r w:rsidRPr="00816657">
              <w:rPr>
                <w:rFonts w:asciiTheme="minorHAnsi" w:hAnsiTheme="minorHAnsi"/>
                <w:sz w:val="18"/>
                <w:szCs w:val="18"/>
              </w:rPr>
              <w:t>Best</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r>
      <w:tr w:rsidR="0006014E" w:rsidRPr="00816657" w:rsidTr="00BC31C7">
        <w:tc>
          <w:tcPr>
            <w:cnfStyle w:val="001000000000"/>
            <w:tcW w:w="565" w:type="dxa"/>
          </w:tcPr>
          <w:p w:rsidR="0006014E" w:rsidRPr="00816657" w:rsidRDefault="0006014E" w:rsidP="00C758EA">
            <w:pPr>
              <w:rPr>
                <w:rFonts w:asciiTheme="minorHAnsi" w:hAnsiTheme="minorHAnsi"/>
                <w:sz w:val="18"/>
                <w:szCs w:val="18"/>
              </w:rPr>
            </w:pPr>
            <w:r w:rsidRPr="00816657">
              <w:rPr>
                <w:rFonts w:asciiTheme="minorHAnsi" w:hAnsiTheme="minorHAnsi"/>
                <w:sz w:val="18"/>
                <w:szCs w:val="18"/>
              </w:rPr>
              <w:t>High</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30,468</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31,230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32,011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32,811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33,631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34,472</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35,334</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36,217</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37,122</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38,051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39,002</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39,977</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40,976</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42,001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43,051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44,127</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45,230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46,361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47,520</w:t>
            </w:r>
          </w:p>
        </w:tc>
      </w:tr>
      <w:tr w:rsidR="0006014E" w:rsidRPr="00816657" w:rsidTr="00BC31C7">
        <w:tc>
          <w:tcPr>
            <w:cnfStyle w:val="001000000000"/>
            <w:tcW w:w="565" w:type="dxa"/>
          </w:tcPr>
          <w:p w:rsidR="0006014E" w:rsidRPr="00816657" w:rsidRDefault="0006014E" w:rsidP="00C758EA">
            <w:pPr>
              <w:rPr>
                <w:rFonts w:asciiTheme="minorHAnsi" w:hAnsiTheme="minorHAnsi"/>
                <w:sz w:val="18"/>
                <w:szCs w:val="18"/>
              </w:rPr>
            </w:pPr>
            <w:r w:rsidRPr="00816657">
              <w:rPr>
                <w:rFonts w:asciiTheme="minorHAnsi" w:hAnsiTheme="minorHAnsi"/>
                <w:sz w:val="18"/>
                <w:szCs w:val="18"/>
              </w:rPr>
              <w:t>Low</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r>
      <w:tr w:rsidR="0006014E" w:rsidRPr="00816657" w:rsidTr="00BC31C7">
        <w:tc>
          <w:tcPr>
            <w:cnfStyle w:val="001000000000"/>
            <w:tcW w:w="15098" w:type="dxa"/>
            <w:gridSpan w:val="22"/>
          </w:tcPr>
          <w:p w:rsidR="0006014E" w:rsidRPr="00816657" w:rsidRDefault="0006014E" w:rsidP="00DF1E42">
            <w:pPr>
              <w:rPr>
                <w:rFonts w:asciiTheme="minorHAnsi" w:hAnsiTheme="minorHAnsi"/>
                <w:sz w:val="18"/>
                <w:szCs w:val="18"/>
              </w:rPr>
            </w:pPr>
            <w:r w:rsidRPr="00816657">
              <w:rPr>
                <w:rFonts w:asciiTheme="minorHAnsi" w:hAnsiTheme="minorHAnsi"/>
                <w:b/>
                <w:sz w:val="18"/>
                <w:szCs w:val="18"/>
              </w:rPr>
              <w:t>Approach re. end of life EPS</w:t>
            </w:r>
          </w:p>
        </w:tc>
      </w:tr>
      <w:tr w:rsidR="0006014E" w:rsidRPr="00816657" w:rsidTr="00BC31C7">
        <w:tc>
          <w:tcPr>
            <w:cnfStyle w:val="001000000000"/>
            <w:tcW w:w="565" w:type="dxa"/>
          </w:tcPr>
          <w:p w:rsidR="0006014E" w:rsidRPr="00816657" w:rsidRDefault="0006014E" w:rsidP="00C758EA">
            <w:pPr>
              <w:rPr>
                <w:rFonts w:asciiTheme="minorHAnsi" w:hAnsiTheme="minorHAnsi"/>
                <w:sz w:val="18"/>
                <w:szCs w:val="18"/>
              </w:rPr>
            </w:pPr>
            <w:r w:rsidRPr="00816657">
              <w:rPr>
                <w:rFonts w:asciiTheme="minorHAnsi" w:hAnsiTheme="minorHAnsi"/>
                <w:sz w:val="18"/>
                <w:szCs w:val="18"/>
              </w:rPr>
              <w:t>Best</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7,609</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7,974</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8,357</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8,758</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9,178</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9,619</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10,081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10,564</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11,072</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11,603</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12,160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12,744</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13,355</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13,996</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14,668</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15,372</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16,110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16,883</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17,694</w:t>
            </w:r>
          </w:p>
        </w:tc>
      </w:tr>
      <w:tr w:rsidR="0006014E" w:rsidRPr="00816657" w:rsidTr="00BC31C7">
        <w:tc>
          <w:tcPr>
            <w:cnfStyle w:val="001000000000"/>
            <w:tcW w:w="565" w:type="dxa"/>
          </w:tcPr>
          <w:p w:rsidR="0006014E" w:rsidRPr="00816657" w:rsidRDefault="0006014E" w:rsidP="00C758EA">
            <w:pPr>
              <w:rPr>
                <w:rFonts w:asciiTheme="minorHAnsi" w:hAnsiTheme="minorHAnsi"/>
                <w:sz w:val="18"/>
                <w:szCs w:val="18"/>
              </w:rPr>
            </w:pPr>
            <w:r w:rsidRPr="00816657">
              <w:rPr>
                <w:rFonts w:asciiTheme="minorHAnsi" w:hAnsiTheme="minorHAnsi"/>
                <w:sz w:val="18"/>
                <w:szCs w:val="18"/>
              </w:rPr>
              <w:t>High</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7,908</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8,129</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8,357</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8,591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8,831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9,079</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9,333</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9,594</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9,863</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10,139</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10,423</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10,715</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11,015</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11,323</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11,640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11,966</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12,301</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12,646</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13,000</w:t>
            </w:r>
          </w:p>
        </w:tc>
      </w:tr>
      <w:tr w:rsidR="0006014E" w:rsidRPr="00816657" w:rsidTr="00BC31C7">
        <w:tc>
          <w:tcPr>
            <w:cnfStyle w:val="001000000000"/>
            <w:tcW w:w="565" w:type="dxa"/>
          </w:tcPr>
          <w:p w:rsidR="0006014E" w:rsidRPr="00816657" w:rsidRDefault="0006014E" w:rsidP="00C758EA">
            <w:pPr>
              <w:rPr>
                <w:rFonts w:asciiTheme="minorHAnsi" w:hAnsiTheme="minorHAnsi"/>
                <w:sz w:val="18"/>
                <w:szCs w:val="18"/>
              </w:rPr>
            </w:pPr>
            <w:r w:rsidRPr="00816657">
              <w:rPr>
                <w:rFonts w:asciiTheme="minorHAnsi" w:hAnsiTheme="minorHAnsi"/>
                <w:sz w:val="18"/>
                <w:szCs w:val="18"/>
              </w:rPr>
              <w:t>Low</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569"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7,316</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7,374</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7,433</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7,493</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7,553</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7,613</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7,674</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7,735</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7,797</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7,860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7,922</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7,986</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8,050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8,114</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8,179</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8,244</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8,310</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8,377</w:t>
            </w:r>
          </w:p>
        </w:tc>
        <w:tc>
          <w:tcPr>
            <w:tcW w:w="705" w:type="dxa"/>
          </w:tcPr>
          <w:p w:rsidR="0006014E" w:rsidRPr="00816657" w:rsidRDefault="0006014E" w:rsidP="00DF1E42">
            <w:pPr>
              <w:jc w:val="right"/>
              <w:cnfStyle w:val="000000000000"/>
              <w:rPr>
                <w:rFonts w:asciiTheme="minorHAnsi" w:hAnsiTheme="minorHAnsi"/>
                <w:sz w:val="18"/>
                <w:szCs w:val="18"/>
              </w:rPr>
            </w:pPr>
            <w:r w:rsidRPr="00816657">
              <w:rPr>
                <w:rFonts w:asciiTheme="minorHAnsi" w:hAnsiTheme="minorHAnsi"/>
                <w:sz w:val="18"/>
                <w:szCs w:val="18"/>
              </w:rPr>
              <w:t>8,444</w:t>
            </w:r>
          </w:p>
        </w:tc>
      </w:tr>
    </w:tbl>
    <w:p w:rsidR="0006014E" w:rsidRPr="00816657" w:rsidRDefault="0006014E" w:rsidP="00BC31C7">
      <w:pPr>
        <w:pStyle w:val="BodyText"/>
        <w:ind w:left="652"/>
      </w:pPr>
    </w:p>
    <w:p w:rsidR="00D92260" w:rsidRPr="00816657" w:rsidRDefault="00D92260" w:rsidP="00655F62">
      <w:pPr>
        <w:pStyle w:val="Figures"/>
      </w:pPr>
      <w:bookmarkStart w:id="161" w:name="_Toc425849240"/>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22</w:t>
      </w:r>
      <w:r w:rsidR="006D07F5" w:rsidRPr="00816657">
        <w:rPr>
          <w:noProof/>
        </w:rPr>
        <w:fldChar w:fldCharType="end"/>
      </w:r>
      <w:r w:rsidRPr="00816657">
        <w:t xml:space="preserve">: </w:t>
      </w:r>
      <w:r w:rsidRPr="00816657">
        <w:tab/>
        <w:t>Best, high and low national projection estimates of HBCD waste to 2034</w:t>
      </w:r>
      <w:bookmarkEnd w:id="161"/>
    </w:p>
    <w:p w:rsidR="0006014E" w:rsidRPr="00816657" w:rsidRDefault="00C05ED6">
      <w:pPr>
        <w:spacing w:line="240" w:lineRule="auto"/>
        <w:rPr>
          <w:rFonts w:ascii="Arial Rounded MT Bold" w:hAnsi="Arial Rounded MT Bold" w:cs="Arial"/>
          <w:color w:val="0000FF"/>
          <w:sz w:val="36"/>
          <w:szCs w:val="36"/>
        </w:rPr>
      </w:pPr>
      <w:r w:rsidRPr="00C05ED6">
        <w:rPr>
          <w:noProof/>
          <w:lang w:eastAsia="en-AU"/>
        </w:rPr>
        <w:drawing>
          <wp:inline distT="0" distB="0" distL="0" distR="0">
            <wp:extent cx="5628572" cy="202857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628572" cy="2028572"/>
                    </a:xfrm>
                    <a:prstGeom prst="rect">
                      <a:avLst/>
                    </a:prstGeom>
                  </pic:spPr>
                </pic:pic>
              </a:graphicData>
            </a:graphic>
          </wp:inline>
        </w:drawing>
      </w:r>
      <w:r w:rsidR="0006014E" w:rsidRPr="00816657">
        <w:br w:type="page"/>
      </w:r>
    </w:p>
    <w:p w:rsidR="00D92260" w:rsidRDefault="00D92260" w:rsidP="005D6078">
      <w:pPr>
        <w:pStyle w:val="Heading3"/>
      </w:pPr>
      <w:r w:rsidRPr="00816657">
        <w:lastRenderedPageBreak/>
        <w:t xml:space="preserve">M160d. </w:t>
      </w:r>
      <w:r w:rsidR="00B91ED9">
        <w:t>Hexachlorobenzine</w:t>
      </w:r>
      <w:r w:rsidR="00B91ED9" w:rsidRPr="00816657">
        <w:t xml:space="preserve"> </w:t>
      </w:r>
      <w:r w:rsidR="00B91ED9">
        <w:t>(</w:t>
      </w:r>
      <w:r w:rsidRPr="00816657">
        <w:t>HCB</w:t>
      </w:r>
      <w:r w:rsidR="00B91ED9">
        <w:t>)</w:t>
      </w:r>
    </w:p>
    <w:p w:rsidR="00B91ED9" w:rsidRDefault="00AC5CEC" w:rsidP="007F5BD4">
      <w:pPr>
        <w:spacing w:line="240" w:lineRule="auto"/>
        <w:rPr>
          <w:b/>
        </w:rPr>
      </w:pPr>
      <w:r>
        <w:rPr>
          <w:color w:val="080808"/>
          <w:sz w:val="22"/>
        </w:rPr>
        <w:t xml:space="preserve">HCB </w:t>
      </w:r>
      <w:r w:rsidR="00E128CA" w:rsidRPr="00E128CA">
        <w:rPr>
          <w:color w:val="080808"/>
          <w:sz w:val="22"/>
        </w:rPr>
        <w:t>w</w:t>
      </w:r>
      <w:r w:rsidR="00E128CA">
        <w:rPr>
          <w:color w:val="080808"/>
          <w:sz w:val="22"/>
        </w:rPr>
        <w:t xml:space="preserve">as one of the 12 POPs originally </w:t>
      </w:r>
      <w:r w:rsidR="00E128CA" w:rsidRPr="00E128CA">
        <w:rPr>
          <w:color w:val="080808"/>
          <w:sz w:val="22"/>
        </w:rPr>
        <w:t>listed in annexes to the Stockholm Convention</w:t>
      </w:r>
      <w:r w:rsidR="00E128CA">
        <w:rPr>
          <w:color w:val="080808"/>
          <w:sz w:val="22"/>
        </w:rPr>
        <w:t xml:space="preserve"> in 2004. </w:t>
      </w:r>
      <w:r w:rsidR="00E128CA" w:rsidRPr="00E128CA">
        <w:rPr>
          <w:color w:val="080808"/>
          <w:sz w:val="22"/>
        </w:rPr>
        <w:t>Australia ratif</w:t>
      </w:r>
      <w:r w:rsidR="00E128CA">
        <w:rPr>
          <w:color w:val="080808"/>
          <w:sz w:val="22"/>
        </w:rPr>
        <w:t>ied</w:t>
      </w:r>
      <w:r w:rsidR="00E128CA" w:rsidRPr="00E128CA">
        <w:rPr>
          <w:color w:val="080808"/>
          <w:sz w:val="22"/>
        </w:rPr>
        <w:t xml:space="preserve"> </w:t>
      </w:r>
      <w:r w:rsidR="00E128CA">
        <w:rPr>
          <w:color w:val="080808"/>
          <w:sz w:val="22"/>
        </w:rPr>
        <w:t xml:space="preserve">and became a party to the </w:t>
      </w:r>
      <w:r w:rsidR="00E128CA" w:rsidRPr="00E128CA">
        <w:rPr>
          <w:color w:val="080808"/>
          <w:sz w:val="22"/>
        </w:rPr>
        <w:t>Convention 2004</w:t>
      </w:r>
      <w:r w:rsidR="00E128CA">
        <w:rPr>
          <w:color w:val="080808"/>
          <w:sz w:val="22"/>
        </w:rPr>
        <w:t xml:space="preserve">. Australia has a stockpile of HCB, estimated to be 15,000 tonnes, </w:t>
      </w:r>
      <w:r w:rsidRPr="00AC5CEC">
        <w:rPr>
          <w:color w:val="080808"/>
          <w:sz w:val="22"/>
        </w:rPr>
        <w:t>stored at Orica’s Port Botany facility in Sydney, for which a more permanent acceptable destruction or other management solution has not been found</w:t>
      </w:r>
      <w:r w:rsidR="00E128CA">
        <w:rPr>
          <w:color w:val="080808"/>
          <w:sz w:val="22"/>
        </w:rPr>
        <w:t>.</w:t>
      </w:r>
    </w:p>
    <w:p w:rsidR="00AC5CEC" w:rsidRDefault="00AC5CEC" w:rsidP="000B7AA9">
      <w:pPr>
        <w:pStyle w:val="BodyText"/>
        <w:rPr>
          <w:b/>
        </w:rPr>
      </w:pPr>
    </w:p>
    <w:p w:rsidR="000B7AA9" w:rsidRPr="00816657" w:rsidRDefault="000B7AA9" w:rsidP="000B7AA9">
      <w:pPr>
        <w:pStyle w:val="BodyText"/>
        <w:rPr>
          <w:b/>
        </w:rPr>
      </w:pPr>
      <w:r w:rsidRPr="00FA10FC">
        <w:rPr>
          <w:b/>
          <w:color w:val="0000FF" w:themeColor="text2"/>
        </w:rPr>
        <w:t>Summary analysis</w:t>
      </w:r>
    </w:p>
    <w:tbl>
      <w:tblPr>
        <w:tblStyle w:val="BETable11"/>
        <w:tblW w:w="4990" w:type="pct"/>
        <w:tblInd w:w="0" w:type="dxa"/>
        <w:tblBorders>
          <w:insideH w:val="none" w:sz="0" w:space="0" w:color="auto"/>
          <w:insideV w:val="single" w:sz="4" w:space="0" w:color="7F7F7F" w:themeColor="background2"/>
        </w:tblBorders>
        <w:tblLook w:val="04A0"/>
      </w:tblPr>
      <w:tblGrid>
        <w:gridCol w:w="1680"/>
        <w:gridCol w:w="3198"/>
        <w:gridCol w:w="9779"/>
      </w:tblGrid>
      <w:tr w:rsidR="0055775F" w:rsidRPr="00816657" w:rsidTr="0055775F">
        <w:trPr>
          <w:cnfStyle w:val="100000000000"/>
        </w:trPr>
        <w:tc>
          <w:tcPr>
            <w:cnfStyle w:val="001000000000"/>
            <w:tcW w:w="573" w:type="pct"/>
            <w:tcBorders>
              <w:bottom w:val="single" w:sz="4" w:space="0" w:color="7F7F7F" w:themeColor="background2"/>
            </w:tcBorders>
          </w:tcPr>
          <w:p w:rsidR="0055775F" w:rsidRPr="00816657" w:rsidRDefault="0055775F" w:rsidP="00BC3BD0">
            <w:pPr>
              <w:pStyle w:val="BodyText"/>
              <w:rPr>
                <w:sz w:val="20"/>
                <w:szCs w:val="20"/>
              </w:rPr>
            </w:pPr>
            <w:r w:rsidRPr="00816657">
              <w:rPr>
                <w:sz w:val="20"/>
                <w:szCs w:val="20"/>
              </w:rPr>
              <w:t>Industry sources</w:t>
            </w:r>
          </w:p>
        </w:tc>
        <w:tc>
          <w:tcPr>
            <w:tcW w:w="1091" w:type="pct"/>
            <w:tcBorders>
              <w:bottom w:val="single" w:sz="4" w:space="0" w:color="7F7F7F" w:themeColor="background2"/>
            </w:tcBorders>
          </w:tcPr>
          <w:p w:rsidR="0055775F" w:rsidRPr="00816657" w:rsidRDefault="0055775F" w:rsidP="00EA7F18">
            <w:pPr>
              <w:pStyle w:val="BodyText"/>
              <w:cnfStyle w:val="100000000000"/>
              <w:rPr>
                <w:sz w:val="20"/>
                <w:szCs w:val="20"/>
              </w:rPr>
            </w:pPr>
            <w:r w:rsidRPr="00816657">
              <w:rPr>
                <w:sz w:val="20"/>
                <w:szCs w:val="20"/>
              </w:rPr>
              <w:t>Considerations</w:t>
            </w:r>
          </w:p>
        </w:tc>
        <w:tc>
          <w:tcPr>
            <w:tcW w:w="3336" w:type="pct"/>
            <w:tcBorders>
              <w:bottom w:val="single" w:sz="4" w:space="0" w:color="7F7F7F" w:themeColor="background2"/>
            </w:tcBorders>
          </w:tcPr>
          <w:p w:rsidR="0055775F" w:rsidRPr="00816657" w:rsidRDefault="0055775F" w:rsidP="00EA7F18">
            <w:pPr>
              <w:pStyle w:val="BodyText"/>
              <w:cnfStyle w:val="100000000000"/>
              <w:rPr>
                <w:sz w:val="20"/>
                <w:szCs w:val="20"/>
              </w:rPr>
            </w:pPr>
            <w:r w:rsidRPr="00816657">
              <w:rPr>
                <w:sz w:val="20"/>
                <w:szCs w:val="20"/>
              </w:rPr>
              <w:t>Approach</w:t>
            </w:r>
          </w:p>
        </w:tc>
      </w:tr>
      <w:tr w:rsidR="0055775F" w:rsidRPr="00816657" w:rsidTr="0055775F">
        <w:tc>
          <w:tcPr>
            <w:cnfStyle w:val="001000000000"/>
            <w:tcW w:w="573" w:type="pct"/>
            <w:vMerge w:val="restart"/>
            <w:tcBorders>
              <w:top w:val="single" w:sz="4" w:space="0" w:color="7F7F7F" w:themeColor="background2"/>
            </w:tcBorders>
          </w:tcPr>
          <w:p w:rsidR="0055775F" w:rsidRPr="00816657" w:rsidRDefault="0055775F" w:rsidP="0055775F">
            <w:pPr>
              <w:spacing w:line="240" w:lineRule="auto"/>
              <w:rPr>
                <w:rFonts w:cs="Times New Roman"/>
                <w:color w:val="000000"/>
                <w:szCs w:val="20"/>
                <w:lang w:eastAsia="en-AU"/>
              </w:rPr>
            </w:pPr>
            <w:r w:rsidRPr="00816657">
              <w:rPr>
                <w:rFonts w:cs="Times New Roman"/>
                <w:color w:val="000000"/>
                <w:szCs w:val="20"/>
                <w:lang w:eastAsia="en-AU"/>
              </w:rPr>
              <w:t>Orica stockpile</w:t>
            </w:r>
          </w:p>
        </w:tc>
        <w:tc>
          <w:tcPr>
            <w:tcW w:w="1091" w:type="pct"/>
            <w:tcBorders>
              <w:top w:val="single" w:sz="4" w:space="0" w:color="7F7F7F" w:themeColor="background2"/>
            </w:tcBorders>
          </w:tcPr>
          <w:p w:rsidR="0055775F" w:rsidRPr="00816657" w:rsidRDefault="0055775F" w:rsidP="00BC3BD0">
            <w:pPr>
              <w:pStyle w:val="BodyText"/>
              <w:cnfStyle w:val="000000000000"/>
              <w:rPr>
                <w:sz w:val="20"/>
                <w:szCs w:val="20"/>
              </w:rPr>
            </w:pPr>
            <w:r w:rsidRPr="00816657">
              <w:rPr>
                <w:sz w:val="20"/>
                <w:szCs w:val="20"/>
              </w:rPr>
              <w:t>No sufficiently credible pre-existing projections were identified</w:t>
            </w:r>
          </w:p>
        </w:tc>
        <w:tc>
          <w:tcPr>
            <w:tcW w:w="3336" w:type="pct"/>
            <w:tcBorders>
              <w:top w:val="single" w:sz="4" w:space="0" w:color="7F7F7F" w:themeColor="background2"/>
            </w:tcBorders>
          </w:tcPr>
          <w:p w:rsidR="0055775F" w:rsidRPr="00816657" w:rsidRDefault="0055775F" w:rsidP="0055775F">
            <w:pPr>
              <w:pStyle w:val="BodyText"/>
              <w:cnfStyle w:val="000000000000"/>
              <w:rPr>
                <w:rFonts w:cs="Times New Roman"/>
                <w:color w:val="000000"/>
                <w:sz w:val="20"/>
                <w:szCs w:val="20"/>
                <w:lang w:eastAsia="en-AU"/>
              </w:rPr>
            </w:pPr>
            <w:r w:rsidRPr="00816657">
              <w:rPr>
                <w:rFonts w:cs="Times New Roman"/>
                <w:color w:val="000000"/>
                <w:sz w:val="20"/>
                <w:szCs w:val="20"/>
                <w:lang w:eastAsia="en-AU"/>
              </w:rPr>
              <w:t>High scenario - Orica stockpile bleeds into Australian waste stream over 10 years starting in three. 2014 stockpile (t) =15,000; annual stockpile growth =10%; stockpile at start of destruction period (t) =19,965</w:t>
            </w:r>
          </w:p>
        </w:tc>
      </w:tr>
      <w:tr w:rsidR="0055775F" w:rsidRPr="00816657" w:rsidTr="0055775F">
        <w:tc>
          <w:tcPr>
            <w:cnfStyle w:val="001000000000"/>
            <w:tcW w:w="573" w:type="pct"/>
            <w:vMerge/>
          </w:tcPr>
          <w:p w:rsidR="0055775F" w:rsidRPr="00816657" w:rsidRDefault="0055775F" w:rsidP="000B7AA9">
            <w:pPr>
              <w:spacing w:line="240" w:lineRule="auto"/>
              <w:rPr>
                <w:rFonts w:cs="Times New Roman"/>
                <w:color w:val="000000"/>
                <w:szCs w:val="20"/>
                <w:lang w:eastAsia="en-AU"/>
              </w:rPr>
            </w:pPr>
          </w:p>
        </w:tc>
        <w:tc>
          <w:tcPr>
            <w:tcW w:w="1091" w:type="pct"/>
          </w:tcPr>
          <w:p w:rsidR="0055775F" w:rsidRPr="00816657" w:rsidRDefault="0055775F" w:rsidP="000B7AA9">
            <w:pPr>
              <w:spacing w:line="240" w:lineRule="auto"/>
              <w:cnfStyle w:val="000000000000"/>
              <w:rPr>
                <w:rFonts w:cs="Times New Roman"/>
                <w:color w:val="000000"/>
                <w:szCs w:val="20"/>
                <w:lang w:eastAsia="en-AU"/>
              </w:rPr>
            </w:pPr>
            <w:r w:rsidRPr="00816657">
              <w:rPr>
                <w:rFonts w:cs="Times New Roman"/>
                <w:color w:val="000000"/>
                <w:szCs w:val="20"/>
                <w:lang w:eastAsia="en-AU"/>
              </w:rPr>
              <w:t>No historical data set exists that is adequate for discerning trends</w:t>
            </w:r>
          </w:p>
        </w:tc>
        <w:tc>
          <w:tcPr>
            <w:tcW w:w="3336" w:type="pct"/>
          </w:tcPr>
          <w:p w:rsidR="0055775F" w:rsidRPr="00816657" w:rsidRDefault="0055775F" w:rsidP="000B7AA9">
            <w:pPr>
              <w:pStyle w:val="BodyText"/>
              <w:cnfStyle w:val="000000000000"/>
              <w:rPr>
                <w:rFonts w:cs="Times New Roman"/>
                <w:color w:val="000000"/>
                <w:sz w:val="20"/>
                <w:szCs w:val="20"/>
                <w:lang w:eastAsia="en-AU"/>
              </w:rPr>
            </w:pPr>
            <w:r w:rsidRPr="00816657">
              <w:rPr>
                <w:rFonts w:cs="Times New Roman"/>
                <w:color w:val="000000"/>
                <w:sz w:val="20"/>
                <w:szCs w:val="20"/>
                <w:lang w:eastAsia="en-AU"/>
              </w:rPr>
              <w:t>Other scenarios - stockpile is exported or storage continues</w:t>
            </w:r>
          </w:p>
        </w:tc>
      </w:tr>
    </w:tbl>
    <w:p w:rsidR="0055775F" w:rsidRPr="00816657" w:rsidRDefault="0055775F" w:rsidP="007F5BD4">
      <w:pPr>
        <w:pStyle w:val="BodyText"/>
        <w:tabs>
          <w:tab w:val="left" w:pos="11864"/>
        </w:tabs>
      </w:pPr>
    </w:p>
    <w:p w:rsidR="00376588" w:rsidRPr="00816657" w:rsidRDefault="00376588" w:rsidP="00655F62">
      <w:pPr>
        <w:pStyle w:val="Figures"/>
      </w:pPr>
      <w:bookmarkStart w:id="162" w:name="_Toc425849314"/>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29</w:t>
      </w:r>
      <w:r w:rsidR="006D07F5" w:rsidRPr="00816657">
        <w:rPr>
          <w:noProof/>
        </w:rPr>
        <w:fldChar w:fldCharType="end"/>
      </w:r>
      <w:r w:rsidRPr="00816657">
        <w:t xml:space="preserve">: </w:t>
      </w:r>
      <w:r w:rsidRPr="00816657">
        <w:tab/>
        <w:t>Best, high and low projected rates of change</w:t>
      </w:r>
      <w:r w:rsidR="00820164" w:rsidRPr="00816657">
        <w:t xml:space="preserve"> and tonnes</w:t>
      </w:r>
      <w:r w:rsidRPr="00816657">
        <w:t xml:space="preserve"> for HCB waste to 2034</w:t>
      </w:r>
      <w:bookmarkEnd w:id="162"/>
    </w:p>
    <w:tbl>
      <w:tblPr>
        <w:tblStyle w:val="BETable1"/>
        <w:tblW w:w="14630" w:type="dxa"/>
        <w:tblLayout w:type="fixed"/>
        <w:tblLook w:val="04A0"/>
      </w:tblPr>
      <w:tblGrid>
        <w:gridCol w:w="687"/>
        <w:gridCol w:w="959"/>
        <w:gridCol w:w="3137"/>
        <w:gridCol w:w="656"/>
        <w:gridCol w:w="656"/>
        <w:gridCol w:w="657"/>
        <w:gridCol w:w="656"/>
        <w:gridCol w:w="656"/>
        <w:gridCol w:w="657"/>
        <w:gridCol w:w="656"/>
        <w:gridCol w:w="656"/>
        <w:gridCol w:w="657"/>
        <w:gridCol w:w="656"/>
        <w:gridCol w:w="657"/>
        <w:gridCol w:w="657"/>
        <w:gridCol w:w="657"/>
        <w:gridCol w:w="656"/>
        <w:gridCol w:w="657"/>
      </w:tblGrid>
      <w:tr w:rsidR="00820164" w:rsidRPr="00816657" w:rsidTr="00820164">
        <w:trPr>
          <w:cnfStyle w:val="100000000000"/>
        </w:trPr>
        <w:tc>
          <w:tcPr>
            <w:cnfStyle w:val="001000000000"/>
            <w:tcW w:w="687" w:type="dxa"/>
          </w:tcPr>
          <w:p w:rsidR="00820164" w:rsidRPr="00816657" w:rsidRDefault="00820164" w:rsidP="00C758EA"/>
        </w:tc>
        <w:tc>
          <w:tcPr>
            <w:tcW w:w="959" w:type="dxa"/>
          </w:tcPr>
          <w:p w:rsidR="00820164" w:rsidRPr="00816657" w:rsidRDefault="00820164" w:rsidP="00C758EA">
            <w:pPr>
              <w:cnfStyle w:val="100000000000"/>
            </w:pPr>
            <w:r w:rsidRPr="00816657">
              <w:t>Applies to</w:t>
            </w:r>
          </w:p>
        </w:tc>
        <w:tc>
          <w:tcPr>
            <w:tcW w:w="3137" w:type="dxa"/>
          </w:tcPr>
          <w:p w:rsidR="00820164" w:rsidRPr="00816657" w:rsidRDefault="00820164" w:rsidP="00C758EA">
            <w:pPr>
              <w:cnfStyle w:val="100000000000"/>
            </w:pPr>
            <w:r w:rsidRPr="00816657">
              <w:t>Approach</w:t>
            </w:r>
          </w:p>
        </w:tc>
        <w:tc>
          <w:tcPr>
            <w:tcW w:w="656" w:type="dxa"/>
          </w:tcPr>
          <w:p w:rsidR="00820164" w:rsidRPr="00816657" w:rsidRDefault="00820164" w:rsidP="00DF1E42">
            <w:pPr>
              <w:jc w:val="right"/>
              <w:cnfStyle w:val="100000000000"/>
            </w:pPr>
            <w:r w:rsidRPr="00816657">
              <w:t>2014</w:t>
            </w:r>
          </w:p>
        </w:tc>
        <w:tc>
          <w:tcPr>
            <w:tcW w:w="656" w:type="dxa"/>
          </w:tcPr>
          <w:p w:rsidR="00820164" w:rsidRPr="00816657" w:rsidRDefault="00820164" w:rsidP="00DF1E42">
            <w:pPr>
              <w:jc w:val="right"/>
              <w:cnfStyle w:val="100000000000"/>
            </w:pPr>
            <w:r w:rsidRPr="00816657">
              <w:t>...</w:t>
            </w:r>
          </w:p>
        </w:tc>
        <w:tc>
          <w:tcPr>
            <w:tcW w:w="657" w:type="dxa"/>
          </w:tcPr>
          <w:p w:rsidR="00820164" w:rsidRPr="00816657" w:rsidRDefault="00820164" w:rsidP="00DF1E42">
            <w:pPr>
              <w:jc w:val="right"/>
              <w:cnfStyle w:val="100000000000"/>
            </w:pPr>
            <w:r w:rsidRPr="00816657">
              <w:t>2017</w:t>
            </w:r>
          </w:p>
        </w:tc>
        <w:tc>
          <w:tcPr>
            <w:tcW w:w="656" w:type="dxa"/>
          </w:tcPr>
          <w:p w:rsidR="00820164" w:rsidRPr="00816657" w:rsidRDefault="00820164" w:rsidP="00DF1E42">
            <w:pPr>
              <w:jc w:val="right"/>
              <w:cnfStyle w:val="100000000000"/>
            </w:pPr>
            <w:r w:rsidRPr="00816657">
              <w:t>2018</w:t>
            </w:r>
          </w:p>
        </w:tc>
        <w:tc>
          <w:tcPr>
            <w:tcW w:w="656" w:type="dxa"/>
          </w:tcPr>
          <w:p w:rsidR="00820164" w:rsidRPr="00816657" w:rsidRDefault="00820164" w:rsidP="00DF1E42">
            <w:pPr>
              <w:jc w:val="right"/>
              <w:cnfStyle w:val="100000000000"/>
            </w:pPr>
            <w:r w:rsidRPr="00816657">
              <w:t>2019</w:t>
            </w:r>
          </w:p>
        </w:tc>
        <w:tc>
          <w:tcPr>
            <w:tcW w:w="657" w:type="dxa"/>
          </w:tcPr>
          <w:p w:rsidR="00820164" w:rsidRPr="00816657" w:rsidRDefault="00820164" w:rsidP="00DF1E42">
            <w:pPr>
              <w:jc w:val="right"/>
              <w:cnfStyle w:val="100000000000"/>
            </w:pPr>
            <w:r w:rsidRPr="00816657">
              <w:t>2020</w:t>
            </w:r>
          </w:p>
        </w:tc>
        <w:tc>
          <w:tcPr>
            <w:tcW w:w="656" w:type="dxa"/>
          </w:tcPr>
          <w:p w:rsidR="00820164" w:rsidRPr="00816657" w:rsidRDefault="00820164" w:rsidP="00DF1E42">
            <w:pPr>
              <w:jc w:val="right"/>
              <w:cnfStyle w:val="100000000000"/>
            </w:pPr>
            <w:r w:rsidRPr="00816657">
              <w:t>2021</w:t>
            </w:r>
          </w:p>
        </w:tc>
        <w:tc>
          <w:tcPr>
            <w:tcW w:w="656" w:type="dxa"/>
          </w:tcPr>
          <w:p w:rsidR="00820164" w:rsidRPr="00816657" w:rsidRDefault="00820164" w:rsidP="00DF1E42">
            <w:pPr>
              <w:jc w:val="right"/>
              <w:cnfStyle w:val="100000000000"/>
            </w:pPr>
            <w:r w:rsidRPr="00816657">
              <w:t>2022</w:t>
            </w:r>
          </w:p>
        </w:tc>
        <w:tc>
          <w:tcPr>
            <w:tcW w:w="657" w:type="dxa"/>
          </w:tcPr>
          <w:p w:rsidR="00820164" w:rsidRPr="00816657" w:rsidRDefault="00820164" w:rsidP="00DF1E42">
            <w:pPr>
              <w:jc w:val="right"/>
              <w:cnfStyle w:val="100000000000"/>
            </w:pPr>
            <w:r w:rsidRPr="00816657">
              <w:t>2023</w:t>
            </w:r>
          </w:p>
        </w:tc>
        <w:tc>
          <w:tcPr>
            <w:tcW w:w="656" w:type="dxa"/>
          </w:tcPr>
          <w:p w:rsidR="00820164" w:rsidRPr="00816657" w:rsidRDefault="00820164" w:rsidP="00DF1E42">
            <w:pPr>
              <w:jc w:val="right"/>
              <w:cnfStyle w:val="100000000000"/>
            </w:pPr>
            <w:r w:rsidRPr="00816657">
              <w:t>2024</w:t>
            </w:r>
          </w:p>
        </w:tc>
        <w:tc>
          <w:tcPr>
            <w:tcW w:w="657" w:type="dxa"/>
          </w:tcPr>
          <w:p w:rsidR="00820164" w:rsidRPr="00816657" w:rsidRDefault="00820164" w:rsidP="00DF1E42">
            <w:pPr>
              <w:jc w:val="right"/>
              <w:cnfStyle w:val="100000000000"/>
            </w:pPr>
            <w:r w:rsidRPr="00816657">
              <w:t>2025</w:t>
            </w:r>
          </w:p>
        </w:tc>
        <w:tc>
          <w:tcPr>
            <w:tcW w:w="657" w:type="dxa"/>
          </w:tcPr>
          <w:p w:rsidR="00820164" w:rsidRPr="00816657" w:rsidRDefault="00820164" w:rsidP="00DF1E42">
            <w:pPr>
              <w:jc w:val="right"/>
              <w:cnfStyle w:val="100000000000"/>
            </w:pPr>
            <w:r w:rsidRPr="00816657">
              <w:t>2026</w:t>
            </w:r>
          </w:p>
        </w:tc>
        <w:tc>
          <w:tcPr>
            <w:tcW w:w="657" w:type="dxa"/>
          </w:tcPr>
          <w:p w:rsidR="00820164" w:rsidRPr="00816657" w:rsidRDefault="00820164" w:rsidP="00DF1E42">
            <w:pPr>
              <w:jc w:val="right"/>
              <w:cnfStyle w:val="100000000000"/>
            </w:pPr>
            <w:r w:rsidRPr="00816657">
              <w:t>2027</w:t>
            </w:r>
          </w:p>
        </w:tc>
        <w:tc>
          <w:tcPr>
            <w:tcW w:w="656" w:type="dxa"/>
          </w:tcPr>
          <w:p w:rsidR="00820164" w:rsidRPr="00816657" w:rsidRDefault="00820164" w:rsidP="00DF1E42">
            <w:pPr>
              <w:jc w:val="right"/>
              <w:cnfStyle w:val="100000000000"/>
            </w:pPr>
            <w:r w:rsidRPr="00816657">
              <w:t>...</w:t>
            </w:r>
          </w:p>
        </w:tc>
        <w:tc>
          <w:tcPr>
            <w:tcW w:w="657" w:type="dxa"/>
          </w:tcPr>
          <w:p w:rsidR="00820164" w:rsidRPr="00816657" w:rsidRDefault="00820164" w:rsidP="00DF1E42">
            <w:pPr>
              <w:jc w:val="right"/>
              <w:cnfStyle w:val="100000000000"/>
            </w:pPr>
            <w:r w:rsidRPr="00816657">
              <w:t>2034</w:t>
            </w:r>
          </w:p>
        </w:tc>
      </w:tr>
      <w:tr w:rsidR="0001725B" w:rsidRPr="00816657" w:rsidTr="0001725B">
        <w:tc>
          <w:tcPr>
            <w:cnfStyle w:val="001000000000"/>
            <w:tcW w:w="687" w:type="dxa"/>
          </w:tcPr>
          <w:p w:rsidR="0001725B" w:rsidRPr="00816657" w:rsidRDefault="0001725B" w:rsidP="00C758EA">
            <w:r w:rsidRPr="00816657">
              <w:t>Best</w:t>
            </w:r>
          </w:p>
        </w:tc>
        <w:tc>
          <w:tcPr>
            <w:tcW w:w="959" w:type="dxa"/>
            <w:vMerge w:val="restart"/>
            <w:vAlign w:val="center"/>
          </w:tcPr>
          <w:p w:rsidR="0001725B" w:rsidRPr="00816657" w:rsidRDefault="0001725B" w:rsidP="0001725B">
            <w:pPr>
              <w:cnfStyle w:val="000000000000"/>
            </w:pPr>
            <w:r w:rsidRPr="00816657">
              <w:t>ACT, NT, Qld, SA, Tas, Vic, WA</w:t>
            </w:r>
          </w:p>
        </w:tc>
        <w:tc>
          <w:tcPr>
            <w:tcW w:w="3137" w:type="dxa"/>
            <w:vMerge w:val="restart"/>
            <w:vAlign w:val="center"/>
          </w:tcPr>
          <w:p w:rsidR="0001725B" w:rsidRPr="00816657" w:rsidRDefault="0001725B" w:rsidP="00C758EA">
            <w:pPr>
              <w:cnfStyle w:val="000000000000"/>
            </w:pPr>
            <w:r w:rsidRPr="00816657">
              <w:t>No waste</w:t>
            </w:r>
          </w:p>
        </w:tc>
        <w:tc>
          <w:tcPr>
            <w:tcW w:w="656" w:type="dxa"/>
            <w:vMerge w:val="restart"/>
            <w:vAlign w:val="center"/>
          </w:tcPr>
          <w:p w:rsidR="0001725B" w:rsidRPr="00816657" w:rsidRDefault="0001725B" w:rsidP="00DF1E42">
            <w:pPr>
              <w:jc w:val="right"/>
              <w:cnfStyle w:val="000000000000"/>
            </w:pPr>
            <w:r>
              <w:t>0</w:t>
            </w:r>
          </w:p>
        </w:tc>
        <w:tc>
          <w:tcPr>
            <w:tcW w:w="656" w:type="dxa"/>
            <w:vMerge w:val="restart"/>
            <w:vAlign w:val="center"/>
          </w:tcPr>
          <w:p w:rsidR="0001725B" w:rsidRPr="00816657" w:rsidRDefault="0001725B" w:rsidP="00DF1E42">
            <w:pPr>
              <w:jc w:val="right"/>
              <w:cnfStyle w:val="000000000000"/>
            </w:pPr>
            <w:r w:rsidRPr="00816657">
              <w:t>...</w:t>
            </w:r>
          </w:p>
        </w:tc>
        <w:tc>
          <w:tcPr>
            <w:tcW w:w="657" w:type="dxa"/>
            <w:vMerge w:val="restart"/>
            <w:vAlign w:val="center"/>
          </w:tcPr>
          <w:p w:rsidR="0001725B" w:rsidRPr="00816657" w:rsidRDefault="0001725B" w:rsidP="00DF1E42">
            <w:pPr>
              <w:jc w:val="right"/>
              <w:cnfStyle w:val="000000000000"/>
            </w:pPr>
            <w:r w:rsidRPr="00816657">
              <w:t>...</w:t>
            </w:r>
          </w:p>
        </w:tc>
        <w:tc>
          <w:tcPr>
            <w:tcW w:w="656" w:type="dxa"/>
            <w:vMerge w:val="restart"/>
            <w:vAlign w:val="center"/>
          </w:tcPr>
          <w:p w:rsidR="0001725B" w:rsidRPr="00816657" w:rsidRDefault="0001725B" w:rsidP="00DF1E42">
            <w:pPr>
              <w:jc w:val="right"/>
              <w:cnfStyle w:val="000000000000"/>
            </w:pPr>
            <w:r w:rsidRPr="00816657">
              <w:t>...</w:t>
            </w:r>
          </w:p>
        </w:tc>
        <w:tc>
          <w:tcPr>
            <w:tcW w:w="656" w:type="dxa"/>
            <w:vMerge w:val="restart"/>
            <w:vAlign w:val="center"/>
          </w:tcPr>
          <w:p w:rsidR="0001725B" w:rsidRPr="00816657" w:rsidRDefault="0001725B" w:rsidP="00DF1E42">
            <w:pPr>
              <w:jc w:val="right"/>
              <w:cnfStyle w:val="000000000000"/>
            </w:pPr>
            <w:r w:rsidRPr="00816657">
              <w:t>...</w:t>
            </w:r>
          </w:p>
        </w:tc>
        <w:tc>
          <w:tcPr>
            <w:tcW w:w="657" w:type="dxa"/>
            <w:vMerge w:val="restart"/>
            <w:vAlign w:val="center"/>
          </w:tcPr>
          <w:p w:rsidR="0001725B" w:rsidRPr="00816657" w:rsidRDefault="0001725B" w:rsidP="00DF1E42">
            <w:pPr>
              <w:jc w:val="right"/>
              <w:cnfStyle w:val="000000000000"/>
            </w:pPr>
            <w:r w:rsidRPr="00816657">
              <w:t>...</w:t>
            </w:r>
          </w:p>
        </w:tc>
        <w:tc>
          <w:tcPr>
            <w:tcW w:w="656" w:type="dxa"/>
            <w:vMerge w:val="restart"/>
            <w:vAlign w:val="center"/>
          </w:tcPr>
          <w:p w:rsidR="0001725B" w:rsidRPr="00816657" w:rsidRDefault="0001725B" w:rsidP="00DF1E42">
            <w:pPr>
              <w:jc w:val="right"/>
              <w:cnfStyle w:val="000000000000"/>
            </w:pPr>
            <w:r w:rsidRPr="00816657">
              <w:t>...</w:t>
            </w:r>
          </w:p>
        </w:tc>
        <w:tc>
          <w:tcPr>
            <w:tcW w:w="656" w:type="dxa"/>
            <w:vMerge w:val="restart"/>
            <w:vAlign w:val="center"/>
          </w:tcPr>
          <w:p w:rsidR="0001725B" w:rsidRPr="00816657" w:rsidRDefault="0001725B" w:rsidP="00DF1E42">
            <w:pPr>
              <w:jc w:val="right"/>
              <w:cnfStyle w:val="000000000000"/>
            </w:pPr>
            <w:r w:rsidRPr="00816657">
              <w:t>...</w:t>
            </w:r>
          </w:p>
        </w:tc>
        <w:tc>
          <w:tcPr>
            <w:tcW w:w="657" w:type="dxa"/>
            <w:vMerge w:val="restart"/>
            <w:vAlign w:val="center"/>
          </w:tcPr>
          <w:p w:rsidR="0001725B" w:rsidRPr="00816657" w:rsidRDefault="0001725B" w:rsidP="00DF1E42">
            <w:pPr>
              <w:jc w:val="right"/>
              <w:cnfStyle w:val="000000000000"/>
            </w:pPr>
            <w:r w:rsidRPr="00816657">
              <w:t>...</w:t>
            </w:r>
          </w:p>
        </w:tc>
        <w:tc>
          <w:tcPr>
            <w:tcW w:w="656" w:type="dxa"/>
            <w:vMerge w:val="restart"/>
            <w:vAlign w:val="center"/>
          </w:tcPr>
          <w:p w:rsidR="0001725B" w:rsidRPr="00816657" w:rsidRDefault="0001725B" w:rsidP="00DF1E42">
            <w:pPr>
              <w:jc w:val="right"/>
              <w:cnfStyle w:val="000000000000"/>
            </w:pPr>
            <w:r w:rsidRPr="00816657">
              <w:t>...</w:t>
            </w:r>
          </w:p>
        </w:tc>
        <w:tc>
          <w:tcPr>
            <w:tcW w:w="657" w:type="dxa"/>
            <w:vMerge w:val="restart"/>
            <w:vAlign w:val="center"/>
          </w:tcPr>
          <w:p w:rsidR="0001725B" w:rsidRPr="00816657" w:rsidRDefault="0001725B" w:rsidP="00DF1E42">
            <w:pPr>
              <w:jc w:val="right"/>
              <w:cnfStyle w:val="000000000000"/>
            </w:pPr>
            <w:r w:rsidRPr="00816657">
              <w:t>...</w:t>
            </w:r>
          </w:p>
        </w:tc>
        <w:tc>
          <w:tcPr>
            <w:tcW w:w="657" w:type="dxa"/>
            <w:vMerge w:val="restart"/>
            <w:vAlign w:val="center"/>
          </w:tcPr>
          <w:p w:rsidR="0001725B" w:rsidRPr="00816657" w:rsidRDefault="0001725B" w:rsidP="00DF1E42">
            <w:pPr>
              <w:jc w:val="right"/>
              <w:cnfStyle w:val="000000000000"/>
            </w:pPr>
            <w:r w:rsidRPr="00816657">
              <w:t>...</w:t>
            </w:r>
          </w:p>
        </w:tc>
        <w:tc>
          <w:tcPr>
            <w:tcW w:w="657" w:type="dxa"/>
            <w:vMerge w:val="restart"/>
            <w:vAlign w:val="center"/>
          </w:tcPr>
          <w:p w:rsidR="0001725B" w:rsidRPr="00816657" w:rsidRDefault="0001725B" w:rsidP="00DF1E42">
            <w:pPr>
              <w:jc w:val="right"/>
              <w:cnfStyle w:val="000000000000"/>
            </w:pPr>
            <w:r w:rsidRPr="00816657">
              <w:t>...</w:t>
            </w:r>
          </w:p>
        </w:tc>
        <w:tc>
          <w:tcPr>
            <w:tcW w:w="656" w:type="dxa"/>
            <w:vMerge w:val="restart"/>
            <w:vAlign w:val="center"/>
          </w:tcPr>
          <w:p w:rsidR="0001725B" w:rsidRPr="00816657" w:rsidRDefault="0001725B" w:rsidP="00DF1E42">
            <w:pPr>
              <w:jc w:val="right"/>
              <w:cnfStyle w:val="000000000000"/>
            </w:pPr>
            <w:r w:rsidRPr="00816657">
              <w:t>...</w:t>
            </w:r>
          </w:p>
        </w:tc>
        <w:tc>
          <w:tcPr>
            <w:tcW w:w="657" w:type="dxa"/>
            <w:vMerge w:val="restart"/>
            <w:vAlign w:val="center"/>
          </w:tcPr>
          <w:p w:rsidR="0001725B" w:rsidRPr="00816657" w:rsidRDefault="0001725B" w:rsidP="00DF1E42">
            <w:pPr>
              <w:jc w:val="right"/>
              <w:cnfStyle w:val="000000000000"/>
            </w:pPr>
            <w:r>
              <w:t>0</w:t>
            </w:r>
          </w:p>
        </w:tc>
      </w:tr>
      <w:tr w:rsidR="0001725B" w:rsidRPr="00816657" w:rsidTr="00820164">
        <w:tc>
          <w:tcPr>
            <w:cnfStyle w:val="001000000000"/>
            <w:tcW w:w="687" w:type="dxa"/>
          </w:tcPr>
          <w:p w:rsidR="0001725B" w:rsidRPr="00816657" w:rsidRDefault="0001725B" w:rsidP="00C758EA">
            <w:r w:rsidRPr="00816657">
              <w:t>High</w:t>
            </w:r>
          </w:p>
        </w:tc>
        <w:tc>
          <w:tcPr>
            <w:tcW w:w="959" w:type="dxa"/>
            <w:vMerge/>
            <w:vAlign w:val="center"/>
          </w:tcPr>
          <w:p w:rsidR="0001725B" w:rsidRPr="00816657" w:rsidRDefault="0001725B" w:rsidP="00C758EA">
            <w:pPr>
              <w:cnfStyle w:val="000000000000"/>
            </w:pPr>
          </w:p>
        </w:tc>
        <w:tc>
          <w:tcPr>
            <w:tcW w:w="3137" w:type="dxa"/>
            <w:vMerge/>
          </w:tcPr>
          <w:p w:rsidR="0001725B" w:rsidRPr="00816657" w:rsidRDefault="0001725B" w:rsidP="00C758EA">
            <w:pPr>
              <w:cnfStyle w:val="000000000000"/>
            </w:pPr>
          </w:p>
        </w:tc>
        <w:tc>
          <w:tcPr>
            <w:tcW w:w="656"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r>
      <w:tr w:rsidR="0001725B" w:rsidRPr="00816657" w:rsidTr="00820164">
        <w:tc>
          <w:tcPr>
            <w:cnfStyle w:val="001000000000"/>
            <w:tcW w:w="687" w:type="dxa"/>
          </w:tcPr>
          <w:p w:rsidR="0001725B" w:rsidRPr="00816657" w:rsidRDefault="0001725B" w:rsidP="00C758EA">
            <w:r w:rsidRPr="00816657">
              <w:t>Low</w:t>
            </w:r>
          </w:p>
        </w:tc>
        <w:tc>
          <w:tcPr>
            <w:tcW w:w="959" w:type="dxa"/>
            <w:vMerge/>
            <w:vAlign w:val="center"/>
          </w:tcPr>
          <w:p w:rsidR="0001725B" w:rsidRPr="00816657" w:rsidRDefault="0001725B" w:rsidP="00C758EA">
            <w:pPr>
              <w:cnfStyle w:val="000000000000"/>
            </w:pPr>
          </w:p>
        </w:tc>
        <w:tc>
          <w:tcPr>
            <w:tcW w:w="3137" w:type="dxa"/>
            <w:vMerge/>
          </w:tcPr>
          <w:p w:rsidR="0001725B" w:rsidRPr="00816657" w:rsidRDefault="0001725B" w:rsidP="00C758EA">
            <w:pPr>
              <w:cnfStyle w:val="000000000000"/>
            </w:pPr>
          </w:p>
        </w:tc>
        <w:tc>
          <w:tcPr>
            <w:tcW w:w="656"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c>
          <w:tcPr>
            <w:tcW w:w="656" w:type="dxa"/>
            <w:vMerge/>
          </w:tcPr>
          <w:p w:rsidR="0001725B" w:rsidRPr="00816657" w:rsidRDefault="0001725B" w:rsidP="00DF1E42">
            <w:pPr>
              <w:jc w:val="right"/>
              <w:cnfStyle w:val="000000000000"/>
            </w:pPr>
          </w:p>
        </w:tc>
        <w:tc>
          <w:tcPr>
            <w:tcW w:w="657" w:type="dxa"/>
            <w:vMerge/>
          </w:tcPr>
          <w:p w:rsidR="0001725B" w:rsidRPr="00816657" w:rsidRDefault="0001725B" w:rsidP="00DF1E42">
            <w:pPr>
              <w:jc w:val="right"/>
              <w:cnfStyle w:val="000000000000"/>
            </w:pPr>
          </w:p>
        </w:tc>
      </w:tr>
      <w:tr w:rsidR="00820164" w:rsidRPr="00816657" w:rsidTr="00820164">
        <w:tc>
          <w:tcPr>
            <w:cnfStyle w:val="001000000000"/>
            <w:tcW w:w="687" w:type="dxa"/>
          </w:tcPr>
          <w:p w:rsidR="00820164" w:rsidRPr="00816657" w:rsidRDefault="00820164" w:rsidP="00C758EA">
            <w:r w:rsidRPr="00816657">
              <w:t>High</w:t>
            </w:r>
          </w:p>
        </w:tc>
        <w:tc>
          <w:tcPr>
            <w:tcW w:w="959" w:type="dxa"/>
          </w:tcPr>
          <w:p w:rsidR="00820164" w:rsidRPr="00816657" w:rsidRDefault="00820164" w:rsidP="00C758EA">
            <w:pPr>
              <w:cnfStyle w:val="000000000000"/>
            </w:pPr>
            <w:r w:rsidRPr="00816657">
              <w:t>NSW</w:t>
            </w:r>
          </w:p>
        </w:tc>
        <w:tc>
          <w:tcPr>
            <w:tcW w:w="3137" w:type="dxa"/>
          </w:tcPr>
          <w:p w:rsidR="00820164" w:rsidRPr="00816657" w:rsidRDefault="00820164" w:rsidP="00C758EA">
            <w:pPr>
              <w:cnfStyle w:val="000000000000"/>
            </w:pPr>
          </w:p>
        </w:tc>
        <w:tc>
          <w:tcPr>
            <w:tcW w:w="656" w:type="dxa"/>
          </w:tcPr>
          <w:p w:rsidR="00820164" w:rsidRPr="00816657" w:rsidRDefault="00820164" w:rsidP="00DF1E42">
            <w:pPr>
              <w:jc w:val="right"/>
              <w:cnfStyle w:val="000000000000"/>
            </w:pPr>
            <w:r w:rsidRPr="00816657">
              <w:t>0</w:t>
            </w:r>
          </w:p>
        </w:tc>
        <w:tc>
          <w:tcPr>
            <w:tcW w:w="656" w:type="dxa"/>
          </w:tcPr>
          <w:p w:rsidR="00820164" w:rsidRPr="00816657" w:rsidRDefault="00820164" w:rsidP="00DF1E42">
            <w:pPr>
              <w:jc w:val="right"/>
              <w:cnfStyle w:val="000000000000"/>
            </w:pPr>
            <w:r w:rsidRPr="00816657">
              <w:t>...</w:t>
            </w:r>
          </w:p>
        </w:tc>
        <w:tc>
          <w:tcPr>
            <w:tcW w:w="657" w:type="dxa"/>
          </w:tcPr>
          <w:p w:rsidR="00820164" w:rsidRPr="00816657" w:rsidRDefault="00820164" w:rsidP="00DF1E42">
            <w:pPr>
              <w:jc w:val="right"/>
              <w:cnfStyle w:val="000000000000"/>
            </w:pPr>
            <w:r w:rsidRPr="00816657">
              <w:t>1,977</w:t>
            </w:r>
          </w:p>
        </w:tc>
        <w:tc>
          <w:tcPr>
            <w:tcW w:w="656" w:type="dxa"/>
          </w:tcPr>
          <w:p w:rsidR="00820164" w:rsidRPr="00816657" w:rsidRDefault="00820164" w:rsidP="00DF1E42">
            <w:pPr>
              <w:jc w:val="right"/>
              <w:cnfStyle w:val="000000000000"/>
            </w:pPr>
            <w:r w:rsidRPr="00816657">
              <w:t>3,594</w:t>
            </w:r>
          </w:p>
        </w:tc>
        <w:tc>
          <w:tcPr>
            <w:tcW w:w="656" w:type="dxa"/>
          </w:tcPr>
          <w:p w:rsidR="00820164" w:rsidRPr="00816657" w:rsidRDefault="00820164" w:rsidP="00DF1E42">
            <w:pPr>
              <w:jc w:val="right"/>
              <w:cnfStyle w:val="000000000000"/>
            </w:pPr>
            <w:r w:rsidRPr="00816657">
              <w:t>3,394</w:t>
            </w:r>
          </w:p>
        </w:tc>
        <w:tc>
          <w:tcPr>
            <w:tcW w:w="657" w:type="dxa"/>
          </w:tcPr>
          <w:p w:rsidR="00820164" w:rsidRPr="00816657" w:rsidRDefault="00820164" w:rsidP="00DF1E42">
            <w:pPr>
              <w:jc w:val="right"/>
              <w:cnfStyle w:val="000000000000"/>
            </w:pPr>
            <w:r w:rsidRPr="00816657">
              <w:t>3,194</w:t>
            </w:r>
          </w:p>
        </w:tc>
        <w:tc>
          <w:tcPr>
            <w:tcW w:w="656" w:type="dxa"/>
          </w:tcPr>
          <w:p w:rsidR="00820164" w:rsidRPr="00816657" w:rsidRDefault="00820164" w:rsidP="00DF1E42">
            <w:pPr>
              <w:jc w:val="right"/>
              <w:cnfStyle w:val="000000000000"/>
            </w:pPr>
            <w:r w:rsidRPr="00816657">
              <w:t>2,995</w:t>
            </w:r>
          </w:p>
        </w:tc>
        <w:tc>
          <w:tcPr>
            <w:tcW w:w="656" w:type="dxa"/>
          </w:tcPr>
          <w:p w:rsidR="00820164" w:rsidRPr="00816657" w:rsidRDefault="00820164" w:rsidP="00DF1E42">
            <w:pPr>
              <w:jc w:val="right"/>
              <w:cnfStyle w:val="000000000000"/>
            </w:pPr>
            <w:r w:rsidRPr="00816657">
              <w:t>2,795</w:t>
            </w:r>
          </w:p>
        </w:tc>
        <w:tc>
          <w:tcPr>
            <w:tcW w:w="657" w:type="dxa"/>
          </w:tcPr>
          <w:p w:rsidR="00820164" w:rsidRPr="00816657" w:rsidRDefault="00820164" w:rsidP="00DF1E42">
            <w:pPr>
              <w:jc w:val="right"/>
              <w:cnfStyle w:val="000000000000"/>
            </w:pPr>
            <w:r w:rsidRPr="00816657">
              <w:t>2,595</w:t>
            </w:r>
          </w:p>
        </w:tc>
        <w:tc>
          <w:tcPr>
            <w:tcW w:w="656" w:type="dxa"/>
          </w:tcPr>
          <w:p w:rsidR="00820164" w:rsidRPr="00816657" w:rsidRDefault="00820164" w:rsidP="00DF1E42">
            <w:pPr>
              <w:jc w:val="right"/>
              <w:cnfStyle w:val="000000000000"/>
            </w:pPr>
            <w:r w:rsidRPr="00816657">
              <w:t>2,396</w:t>
            </w:r>
          </w:p>
        </w:tc>
        <w:tc>
          <w:tcPr>
            <w:tcW w:w="657" w:type="dxa"/>
          </w:tcPr>
          <w:p w:rsidR="00820164" w:rsidRPr="00816657" w:rsidRDefault="00820164" w:rsidP="00DF1E42">
            <w:pPr>
              <w:jc w:val="right"/>
              <w:cnfStyle w:val="000000000000"/>
            </w:pPr>
            <w:r w:rsidRPr="00816657">
              <w:t>2,196</w:t>
            </w:r>
          </w:p>
        </w:tc>
        <w:tc>
          <w:tcPr>
            <w:tcW w:w="657" w:type="dxa"/>
          </w:tcPr>
          <w:p w:rsidR="00820164" w:rsidRPr="00816657" w:rsidRDefault="00820164" w:rsidP="00DF1E42">
            <w:pPr>
              <w:jc w:val="right"/>
              <w:cnfStyle w:val="000000000000"/>
            </w:pPr>
            <w:r w:rsidRPr="00816657">
              <w:t>1,997</w:t>
            </w:r>
          </w:p>
        </w:tc>
        <w:tc>
          <w:tcPr>
            <w:tcW w:w="657" w:type="dxa"/>
          </w:tcPr>
          <w:p w:rsidR="00820164" w:rsidRPr="00816657" w:rsidRDefault="00820164" w:rsidP="00DF1E42">
            <w:pPr>
              <w:jc w:val="right"/>
              <w:cnfStyle w:val="000000000000"/>
            </w:pPr>
            <w:r w:rsidRPr="00816657">
              <w:t>0</w:t>
            </w:r>
          </w:p>
        </w:tc>
        <w:tc>
          <w:tcPr>
            <w:tcW w:w="656" w:type="dxa"/>
          </w:tcPr>
          <w:p w:rsidR="00820164" w:rsidRPr="00816657" w:rsidRDefault="00820164" w:rsidP="00DF1E42">
            <w:pPr>
              <w:jc w:val="right"/>
              <w:cnfStyle w:val="000000000000"/>
            </w:pPr>
            <w:r w:rsidRPr="00816657">
              <w:t>...</w:t>
            </w:r>
          </w:p>
        </w:tc>
        <w:tc>
          <w:tcPr>
            <w:tcW w:w="657" w:type="dxa"/>
          </w:tcPr>
          <w:p w:rsidR="00820164" w:rsidRPr="00816657" w:rsidRDefault="00820164" w:rsidP="00DF1E42">
            <w:pPr>
              <w:jc w:val="right"/>
              <w:cnfStyle w:val="000000000000"/>
            </w:pPr>
            <w:r w:rsidRPr="00816657">
              <w:t>0</w:t>
            </w:r>
          </w:p>
        </w:tc>
      </w:tr>
    </w:tbl>
    <w:p w:rsidR="0055775F" w:rsidRPr="00816657" w:rsidRDefault="0055775F" w:rsidP="0055775F">
      <w:pPr>
        <w:pStyle w:val="BodyText"/>
      </w:pPr>
    </w:p>
    <w:p w:rsidR="00D92260" w:rsidRPr="00816657" w:rsidRDefault="00D92260" w:rsidP="00655F62">
      <w:pPr>
        <w:pStyle w:val="Figures"/>
      </w:pPr>
      <w:bookmarkStart w:id="163" w:name="_Toc425849241"/>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23</w:t>
      </w:r>
      <w:r w:rsidR="006D07F5" w:rsidRPr="00816657">
        <w:rPr>
          <w:noProof/>
        </w:rPr>
        <w:fldChar w:fldCharType="end"/>
      </w:r>
      <w:r w:rsidRPr="00816657">
        <w:t xml:space="preserve">: </w:t>
      </w:r>
      <w:r w:rsidRPr="00816657">
        <w:tab/>
        <w:t>Best, high and low national projection estimates of HCB waste to 2034</w:t>
      </w:r>
      <w:bookmarkEnd w:id="163"/>
    </w:p>
    <w:p w:rsidR="00DC45F1" w:rsidRPr="00816657" w:rsidRDefault="00C05ED6" w:rsidP="007F5BD4">
      <w:pPr>
        <w:spacing w:line="240" w:lineRule="auto"/>
        <w:sectPr w:rsidR="00DC45F1" w:rsidRPr="00816657" w:rsidSect="00EA57B5">
          <w:headerReference w:type="even" r:id="rId79"/>
          <w:headerReference w:type="default" r:id="rId80"/>
          <w:footerReference w:type="even" r:id="rId81"/>
          <w:footerReference w:type="default" r:id="rId82"/>
          <w:headerReference w:type="first" r:id="rId83"/>
          <w:footerReference w:type="first" r:id="rId84"/>
          <w:pgSz w:w="16840" w:h="11907" w:orient="landscape" w:code="9"/>
          <w:pgMar w:top="1417" w:right="1134" w:bottom="1276" w:left="1134" w:header="709" w:footer="567" w:gutter="0"/>
          <w:cols w:space="708"/>
          <w:docGrid w:linePitch="360"/>
        </w:sectPr>
      </w:pPr>
      <w:r w:rsidRPr="00C05ED6">
        <w:rPr>
          <w:noProof/>
          <w:lang w:eastAsia="en-AU"/>
        </w:rPr>
        <w:drawing>
          <wp:inline distT="0" distB="0" distL="0" distR="0">
            <wp:extent cx="5542858" cy="1714286"/>
            <wp:effectExtent l="0" t="0" r="127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542858" cy="1714286"/>
                    </a:xfrm>
                    <a:prstGeom prst="rect">
                      <a:avLst/>
                    </a:prstGeom>
                  </pic:spPr>
                </pic:pic>
              </a:graphicData>
            </a:graphic>
          </wp:inline>
        </w:drawing>
      </w:r>
      <w:r w:rsidR="00820164" w:rsidRPr="00816657">
        <w:br w:type="page"/>
      </w:r>
    </w:p>
    <w:p w:rsidR="00D92260" w:rsidRPr="00816657" w:rsidRDefault="00D92260" w:rsidP="005D6078">
      <w:pPr>
        <w:pStyle w:val="Heading3"/>
      </w:pPr>
      <w:proofErr w:type="gramStart"/>
      <w:r w:rsidRPr="00816657">
        <w:lastRenderedPageBreak/>
        <w:t>Other M.</w:t>
      </w:r>
      <w:proofErr w:type="gramEnd"/>
      <w:r w:rsidRPr="00816657">
        <w:t xml:space="preserve"> Other organic chemicals</w:t>
      </w:r>
    </w:p>
    <w:p w:rsidR="006E1059" w:rsidRPr="006E1059" w:rsidRDefault="006E1059" w:rsidP="006E1059">
      <w:pPr>
        <w:spacing w:line="240" w:lineRule="auto"/>
        <w:rPr>
          <w:color w:val="080808"/>
          <w:sz w:val="22"/>
        </w:rPr>
      </w:pPr>
      <w:r w:rsidRPr="006E1059">
        <w:rPr>
          <w:color w:val="080808"/>
          <w:sz w:val="22"/>
        </w:rPr>
        <w:t>This waste group includes the broad catch-all of</w:t>
      </w:r>
      <w:r>
        <w:rPr>
          <w:color w:val="080808"/>
          <w:sz w:val="22"/>
        </w:rPr>
        <w:t xml:space="preserve"> the following NEPM 75 codes</w:t>
      </w:r>
      <w:r w:rsidRPr="006E1059">
        <w:rPr>
          <w:color w:val="080808"/>
          <w:sz w:val="22"/>
        </w:rPr>
        <w:t xml:space="preserve">: </w:t>
      </w:r>
    </w:p>
    <w:p w:rsidR="006E1059" w:rsidRPr="007F5BD4" w:rsidRDefault="006E1059" w:rsidP="007F5BD4">
      <w:pPr>
        <w:pStyle w:val="ListParagraph"/>
        <w:numPr>
          <w:ilvl w:val="0"/>
          <w:numId w:val="66"/>
        </w:numPr>
        <w:spacing w:before="80" w:line="240" w:lineRule="auto"/>
        <w:ind w:left="426"/>
        <w:rPr>
          <w:i/>
          <w:sz w:val="22"/>
        </w:rPr>
      </w:pPr>
      <w:r w:rsidRPr="007F5BD4">
        <w:rPr>
          <w:i/>
          <w:sz w:val="22"/>
        </w:rPr>
        <w:t xml:space="preserve">M100 waste substances and articles containing or contaminated with polychlorinated biphenyls, polychlorinated naphthalenes, polychlorinated terphenyls and/or polybrominated biphenyls </w:t>
      </w:r>
    </w:p>
    <w:p w:rsidR="006E1059" w:rsidRPr="007F5BD4" w:rsidRDefault="006E1059" w:rsidP="007F5BD4">
      <w:pPr>
        <w:pStyle w:val="ListParagraph"/>
        <w:numPr>
          <w:ilvl w:val="0"/>
          <w:numId w:val="66"/>
        </w:numPr>
        <w:spacing w:before="80" w:line="240" w:lineRule="auto"/>
        <w:ind w:left="426"/>
        <w:rPr>
          <w:i/>
          <w:sz w:val="22"/>
        </w:rPr>
      </w:pPr>
      <w:r w:rsidRPr="007F5BD4">
        <w:rPr>
          <w:i/>
          <w:sz w:val="22"/>
        </w:rPr>
        <w:t>M150 phenols, phenol compounds including chlorophenols</w:t>
      </w:r>
    </w:p>
    <w:p w:rsidR="006E1059" w:rsidRPr="007F5BD4" w:rsidRDefault="006E1059" w:rsidP="007F5BD4">
      <w:pPr>
        <w:pStyle w:val="ListParagraph"/>
        <w:numPr>
          <w:ilvl w:val="0"/>
          <w:numId w:val="66"/>
        </w:numPr>
        <w:spacing w:before="80" w:line="240" w:lineRule="auto"/>
        <w:ind w:left="426"/>
        <w:rPr>
          <w:i/>
          <w:sz w:val="22"/>
        </w:rPr>
      </w:pPr>
      <w:r w:rsidRPr="007F5BD4">
        <w:rPr>
          <w:i/>
          <w:sz w:val="22"/>
        </w:rPr>
        <w:t>M160 organohalogen compounds</w:t>
      </w:r>
    </w:p>
    <w:p w:rsidR="006E1059" w:rsidRPr="007F5BD4" w:rsidRDefault="006E1059" w:rsidP="007F5BD4">
      <w:pPr>
        <w:pStyle w:val="ListParagraph"/>
        <w:numPr>
          <w:ilvl w:val="0"/>
          <w:numId w:val="66"/>
        </w:numPr>
        <w:spacing w:before="80" w:line="240" w:lineRule="auto"/>
        <w:ind w:left="426"/>
        <w:rPr>
          <w:i/>
          <w:sz w:val="22"/>
        </w:rPr>
      </w:pPr>
      <w:r w:rsidRPr="007F5BD4">
        <w:rPr>
          <w:i/>
          <w:sz w:val="22"/>
        </w:rPr>
        <w:t>M160 &amp; M170 polychlorinated dibenzo-furan and polychlorinated dibenzo-p-dioxin, respectively</w:t>
      </w:r>
    </w:p>
    <w:p w:rsidR="006E1059" w:rsidRPr="007F5BD4" w:rsidRDefault="006E1059" w:rsidP="007F5BD4">
      <w:pPr>
        <w:pStyle w:val="ListParagraph"/>
        <w:numPr>
          <w:ilvl w:val="0"/>
          <w:numId w:val="66"/>
        </w:numPr>
        <w:spacing w:before="80" w:line="240" w:lineRule="auto"/>
        <w:ind w:left="426"/>
        <w:rPr>
          <w:i/>
          <w:sz w:val="22"/>
        </w:rPr>
      </w:pPr>
      <w:r w:rsidRPr="007F5BD4">
        <w:rPr>
          <w:i/>
          <w:sz w:val="22"/>
        </w:rPr>
        <w:t>M210 cyanides (organic)</w:t>
      </w:r>
    </w:p>
    <w:p w:rsidR="006E1059" w:rsidRPr="007F5BD4" w:rsidRDefault="006E1059" w:rsidP="007F5BD4">
      <w:pPr>
        <w:pStyle w:val="ListParagraph"/>
        <w:numPr>
          <w:ilvl w:val="0"/>
          <w:numId w:val="66"/>
        </w:numPr>
        <w:spacing w:before="80" w:line="240" w:lineRule="auto"/>
        <w:ind w:left="426"/>
        <w:rPr>
          <w:i/>
          <w:sz w:val="22"/>
        </w:rPr>
      </w:pPr>
      <w:r w:rsidRPr="007F5BD4">
        <w:rPr>
          <w:i/>
          <w:sz w:val="22"/>
        </w:rPr>
        <w:t>M220 isocyanate compounds</w:t>
      </w:r>
    </w:p>
    <w:p w:rsidR="006E1059" w:rsidRPr="007F5BD4" w:rsidRDefault="006E1059" w:rsidP="007F5BD4">
      <w:pPr>
        <w:pStyle w:val="ListParagraph"/>
        <w:numPr>
          <w:ilvl w:val="0"/>
          <w:numId w:val="66"/>
        </w:numPr>
        <w:spacing w:before="80" w:line="240" w:lineRule="auto"/>
        <w:ind w:left="426"/>
        <w:rPr>
          <w:i/>
          <w:sz w:val="22"/>
        </w:rPr>
      </w:pPr>
      <w:r w:rsidRPr="007F5BD4">
        <w:rPr>
          <w:i/>
          <w:sz w:val="22"/>
        </w:rPr>
        <w:t>M230 triethylamine catalysts for setting foundry sands</w:t>
      </w:r>
    </w:p>
    <w:p w:rsidR="006E1059" w:rsidRPr="007F5BD4" w:rsidRDefault="006E1059" w:rsidP="007F5BD4">
      <w:pPr>
        <w:pStyle w:val="ListParagraph"/>
        <w:numPr>
          <w:ilvl w:val="0"/>
          <w:numId w:val="66"/>
        </w:numPr>
        <w:spacing w:before="80" w:line="240" w:lineRule="auto"/>
        <w:ind w:left="426"/>
        <w:rPr>
          <w:i/>
          <w:sz w:val="22"/>
        </w:rPr>
      </w:pPr>
      <w:r w:rsidRPr="007F5BD4">
        <w:rPr>
          <w:i/>
          <w:sz w:val="22"/>
        </w:rPr>
        <w:t>M250 surface active agents (surfactants) containing principally organic constituents</w:t>
      </w:r>
    </w:p>
    <w:p w:rsidR="006E1059" w:rsidRPr="007F5BD4" w:rsidRDefault="006E1059" w:rsidP="007F5BD4">
      <w:pPr>
        <w:pStyle w:val="ListParagraph"/>
        <w:numPr>
          <w:ilvl w:val="0"/>
          <w:numId w:val="66"/>
        </w:numPr>
        <w:spacing w:before="80" w:line="240" w:lineRule="auto"/>
        <w:ind w:left="426"/>
        <w:rPr>
          <w:i/>
          <w:sz w:val="22"/>
        </w:rPr>
      </w:pPr>
      <w:r w:rsidRPr="007F5BD4">
        <w:rPr>
          <w:i/>
          <w:sz w:val="22"/>
        </w:rPr>
        <w:t>M260 highly odorous organic chemicals (including mercaptans and acrylates).</w:t>
      </w:r>
    </w:p>
    <w:p w:rsidR="00DC45F1" w:rsidRPr="00816657" w:rsidRDefault="00DC45F1" w:rsidP="007F5BD4">
      <w:pPr>
        <w:pStyle w:val="BodyText"/>
        <w:spacing w:before="120"/>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10"/>
        <w:gridCol w:w="2410"/>
        <w:gridCol w:w="2410"/>
        <w:gridCol w:w="2410"/>
      </w:tblGrid>
      <w:tr w:rsidR="00E42D11" w:rsidRPr="00816657" w:rsidTr="00EA7F18">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55775F" w:rsidRPr="00816657" w:rsidTr="00EA7F18">
        <w:tc>
          <w:tcPr>
            <w:cnfStyle w:val="001000000000"/>
            <w:tcW w:w="1250" w:type="pct"/>
            <w:vMerge w:val="restart"/>
            <w:tcBorders>
              <w:top w:val="single" w:sz="4" w:space="0" w:color="7F7F7F" w:themeColor="background2"/>
            </w:tcBorders>
          </w:tcPr>
          <w:p w:rsidR="006E1059" w:rsidRPr="006E1059" w:rsidRDefault="006E1059" w:rsidP="006E1059">
            <w:pPr>
              <w:numPr>
                <w:ilvl w:val="0"/>
                <w:numId w:val="46"/>
              </w:numPr>
              <w:spacing w:after="60" w:line="240" w:lineRule="auto"/>
              <w:ind w:left="142" w:hanging="144"/>
              <w:rPr>
                <w:rFonts w:cs="Times New Roman"/>
                <w:color w:val="000000"/>
                <w:szCs w:val="20"/>
                <w:lang w:eastAsia="en-AU"/>
              </w:rPr>
            </w:pPr>
            <w:r w:rsidRPr="006E1059">
              <w:rPr>
                <w:rFonts w:cs="Times New Roman"/>
                <w:color w:val="000000"/>
                <w:szCs w:val="20"/>
                <w:lang w:eastAsia="en-AU"/>
              </w:rPr>
              <w:t>Airline industry</w:t>
            </w:r>
          </w:p>
          <w:p w:rsidR="006E1059" w:rsidRPr="006E1059" w:rsidRDefault="006E1059" w:rsidP="006E1059">
            <w:pPr>
              <w:numPr>
                <w:ilvl w:val="0"/>
                <w:numId w:val="46"/>
              </w:numPr>
              <w:spacing w:after="60" w:line="240" w:lineRule="auto"/>
              <w:ind w:left="142" w:hanging="144"/>
              <w:rPr>
                <w:rFonts w:cs="Times New Roman"/>
                <w:color w:val="000000"/>
                <w:szCs w:val="20"/>
                <w:lang w:eastAsia="en-AU"/>
              </w:rPr>
            </w:pPr>
            <w:r w:rsidRPr="006E1059">
              <w:rPr>
                <w:rFonts w:cs="Times New Roman"/>
                <w:color w:val="000000"/>
                <w:szCs w:val="20"/>
                <w:lang w:eastAsia="en-AU"/>
              </w:rPr>
              <w:t>Iron and steel casting</w:t>
            </w:r>
          </w:p>
          <w:p w:rsidR="006E1059" w:rsidRPr="006E1059" w:rsidRDefault="006E1059" w:rsidP="006E1059">
            <w:pPr>
              <w:numPr>
                <w:ilvl w:val="0"/>
                <w:numId w:val="46"/>
              </w:numPr>
              <w:spacing w:after="60" w:line="240" w:lineRule="auto"/>
              <w:ind w:left="142" w:hanging="144"/>
              <w:rPr>
                <w:rFonts w:cs="Times New Roman"/>
                <w:color w:val="000000"/>
                <w:szCs w:val="20"/>
                <w:lang w:eastAsia="en-AU"/>
              </w:rPr>
            </w:pPr>
            <w:r w:rsidRPr="006E1059">
              <w:rPr>
                <w:rFonts w:cs="Times New Roman"/>
                <w:color w:val="000000"/>
                <w:szCs w:val="20"/>
                <w:lang w:eastAsia="en-AU"/>
              </w:rPr>
              <w:t>Chemical manufacturing</w:t>
            </w:r>
          </w:p>
          <w:p w:rsidR="006E1059" w:rsidRPr="006E1059" w:rsidRDefault="006E1059" w:rsidP="006E1059">
            <w:pPr>
              <w:numPr>
                <w:ilvl w:val="0"/>
                <w:numId w:val="46"/>
              </w:numPr>
              <w:spacing w:after="60" w:line="240" w:lineRule="auto"/>
              <w:ind w:left="142" w:hanging="144"/>
              <w:rPr>
                <w:rFonts w:cs="Times New Roman"/>
                <w:color w:val="000000"/>
                <w:szCs w:val="20"/>
                <w:lang w:eastAsia="en-AU"/>
              </w:rPr>
            </w:pPr>
            <w:r w:rsidRPr="006E1059">
              <w:rPr>
                <w:rFonts w:cs="Times New Roman"/>
                <w:color w:val="000000"/>
                <w:szCs w:val="20"/>
                <w:lang w:eastAsia="en-AU"/>
              </w:rPr>
              <w:t>Soap and detergent manufacturing</w:t>
            </w:r>
          </w:p>
          <w:p w:rsidR="006E1059" w:rsidRPr="006E1059" w:rsidRDefault="006E1059" w:rsidP="006E1059">
            <w:pPr>
              <w:numPr>
                <w:ilvl w:val="0"/>
                <w:numId w:val="46"/>
              </w:numPr>
              <w:spacing w:after="60" w:line="240" w:lineRule="auto"/>
              <w:ind w:left="142" w:hanging="144"/>
              <w:rPr>
                <w:rFonts w:cs="Times New Roman"/>
                <w:color w:val="000000"/>
                <w:szCs w:val="20"/>
                <w:lang w:eastAsia="en-AU"/>
              </w:rPr>
            </w:pPr>
            <w:r w:rsidRPr="006E1059">
              <w:rPr>
                <w:rFonts w:cs="Times New Roman"/>
                <w:color w:val="000000"/>
                <w:szCs w:val="20"/>
                <w:lang w:eastAsia="en-AU"/>
              </w:rPr>
              <w:t>Various other manufacturing</w:t>
            </w:r>
          </w:p>
          <w:p w:rsidR="0055775F" w:rsidRPr="00816657" w:rsidRDefault="006E1059" w:rsidP="007F5BD4">
            <w:pPr>
              <w:pStyle w:val="BodyText"/>
              <w:numPr>
                <w:ilvl w:val="0"/>
                <w:numId w:val="46"/>
              </w:numPr>
              <w:ind w:left="142" w:hanging="142"/>
              <w:rPr>
                <w:rFonts w:cs="Times New Roman"/>
                <w:color w:val="000000"/>
                <w:szCs w:val="20"/>
                <w:lang w:eastAsia="en-AU"/>
              </w:rPr>
            </w:pPr>
            <w:r w:rsidRPr="006E1059">
              <w:rPr>
                <w:rFonts w:cs="Times New Roman"/>
                <w:color w:val="000000"/>
                <w:sz w:val="20"/>
                <w:szCs w:val="20"/>
                <w:lang w:eastAsia="en-AU"/>
              </w:rPr>
              <w:t>Electricity supply</w:t>
            </w:r>
          </w:p>
        </w:tc>
        <w:tc>
          <w:tcPr>
            <w:tcW w:w="1250" w:type="pct"/>
            <w:tcBorders>
              <w:top w:val="single" w:sz="4" w:space="0" w:color="7F7F7F" w:themeColor="background2"/>
            </w:tcBorders>
          </w:tcPr>
          <w:p w:rsidR="0055775F" w:rsidRPr="00816657" w:rsidRDefault="0055775F"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55775F" w:rsidRPr="00816657" w:rsidRDefault="0055775F" w:rsidP="00EA7F18">
            <w:pPr>
              <w:pStyle w:val="BodyText"/>
              <w:cnfStyle w:val="000000000000"/>
              <w:rPr>
                <w:sz w:val="20"/>
                <w:szCs w:val="20"/>
              </w:rPr>
            </w:pPr>
            <w:r w:rsidRPr="00816657">
              <w:rPr>
                <w:sz w:val="20"/>
                <w:szCs w:val="20"/>
              </w:rPr>
              <w:t>Historical data for 'all M' is identical (or close to) future data for 'other M'</w:t>
            </w:r>
          </w:p>
        </w:tc>
        <w:tc>
          <w:tcPr>
            <w:tcW w:w="1250" w:type="pct"/>
            <w:tcBorders>
              <w:top w:val="single" w:sz="4" w:space="0" w:color="7F7F7F" w:themeColor="background2"/>
            </w:tcBorders>
          </w:tcPr>
          <w:p w:rsidR="0055775F" w:rsidRPr="00816657" w:rsidRDefault="0055775F" w:rsidP="00EA7F18">
            <w:pPr>
              <w:pStyle w:val="BodyText"/>
              <w:cnfStyle w:val="000000000000"/>
              <w:rPr>
                <w:sz w:val="20"/>
                <w:szCs w:val="20"/>
              </w:rPr>
            </w:pPr>
            <w:r w:rsidRPr="00816657">
              <w:rPr>
                <w:sz w:val="20"/>
                <w:szCs w:val="20"/>
              </w:rPr>
              <w:t>Use judgement - trend and causal analysis</w:t>
            </w:r>
          </w:p>
        </w:tc>
      </w:tr>
      <w:tr w:rsidR="0055775F" w:rsidRPr="00816657" w:rsidTr="00EA7F18">
        <w:tc>
          <w:tcPr>
            <w:cnfStyle w:val="001000000000"/>
            <w:tcW w:w="1250" w:type="pct"/>
            <w:vMerge/>
          </w:tcPr>
          <w:p w:rsidR="0055775F" w:rsidRPr="00816657" w:rsidRDefault="0055775F" w:rsidP="00DC45F1">
            <w:pPr>
              <w:pStyle w:val="BodyText"/>
              <w:rPr>
                <w:sz w:val="20"/>
                <w:szCs w:val="20"/>
              </w:rPr>
            </w:pPr>
          </w:p>
        </w:tc>
        <w:tc>
          <w:tcPr>
            <w:tcW w:w="1250" w:type="pct"/>
          </w:tcPr>
          <w:p w:rsidR="0055775F" w:rsidRPr="00816657" w:rsidRDefault="0055775F" w:rsidP="00DC45F1">
            <w:pPr>
              <w:pStyle w:val="BodyText"/>
              <w:cnfStyle w:val="000000000000"/>
              <w:rPr>
                <w:sz w:val="20"/>
                <w:szCs w:val="20"/>
              </w:rPr>
            </w:pPr>
            <w:r w:rsidRPr="00816657">
              <w:rPr>
                <w:sz w:val="20"/>
                <w:szCs w:val="20"/>
              </w:rPr>
              <w:t>Historical data set suggests stable or a slight decline in tonnages</w:t>
            </w:r>
          </w:p>
        </w:tc>
        <w:tc>
          <w:tcPr>
            <w:tcW w:w="1250" w:type="pct"/>
          </w:tcPr>
          <w:p w:rsidR="0055775F" w:rsidRPr="00816657" w:rsidRDefault="0055775F" w:rsidP="00DC45F1">
            <w:pPr>
              <w:pStyle w:val="BodyText"/>
              <w:cnfStyle w:val="000000000000"/>
              <w:rPr>
                <w:sz w:val="20"/>
                <w:szCs w:val="20"/>
              </w:rPr>
            </w:pPr>
            <w:r w:rsidRPr="00816657">
              <w:rPr>
                <w:sz w:val="20"/>
                <w:szCs w:val="20"/>
              </w:rPr>
              <w:t>Likely to be influenced by firefighting foams</w:t>
            </w:r>
          </w:p>
        </w:tc>
        <w:tc>
          <w:tcPr>
            <w:tcW w:w="1250" w:type="pct"/>
          </w:tcPr>
          <w:p w:rsidR="0055775F" w:rsidRPr="00816657" w:rsidRDefault="0055775F" w:rsidP="00EA7F18">
            <w:pPr>
              <w:spacing w:line="240" w:lineRule="auto"/>
              <w:cnfStyle w:val="000000000000"/>
              <w:rPr>
                <w:rFonts w:cs="Times New Roman"/>
                <w:color w:val="000000"/>
                <w:szCs w:val="20"/>
                <w:lang w:eastAsia="en-AU"/>
              </w:rPr>
            </w:pPr>
          </w:p>
        </w:tc>
      </w:tr>
      <w:tr w:rsidR="0055775F" w:rsidRPr="00816657" w:rsidTr="007F5BD4">
        <w:trPr>
          <w:trHeight w:val="59"/>
        </w:trPr>
        <w:tc>
          <w:tcPr>
            <w:cnfStyle w:val="001000000000"/>
            <w:tcW w:w="1250" w:type="pct"/>
            <w:vMerge/>
          </w:tcPr>
          <w:p w:rsidR="0055775F" w:rsidRPr="00816657" w:rsidRDefault="0055775F" w:rsidP="00EA7F18">
            <w:pPr>
              <w:spacing w:line="240" w:lineRule="auto"/>
              <w:rPr>
                <w:rFonts w:cs="Times New Roman"/>
                <w:color w:val="000000"/>
                <w:szCs w:val="20"/>
                <w:lang w:eastAsia="en-AU"/>
              </w:rPr>
            </w:pPr>
          </w:p>
        </w:tc>
        <w:tc>
          <w:tcPr>
            <w:tcW w:w="1250" w:type="pct"/>
          </w:tcPr>
          <w:p w:rsidR="0055775F" w:rsidRPr="00816657" w:rsidRDefault="0055775F" w:rsidP="00DC45F1">
            <w:pPr>
              <w:pStyle w:val="BodyText"/>
              <w:cnfStyle w:val="000000000000"/>
              <w:rPr>
                <w:b/>
                <w:sz w:val="20"/>
                <w:szCs w:val="20"/>
              </w:rPr>
            </w:pPr>
            <w:r w:rsidRPr="00816657">
              <w:rPr>
                <w:sz w:val="20"/>
                <w:szCs w:val="20"/>
              </w:rPr>
              <w:t>For Victoria, exponential decay is apparent</w:t>
            </w:r>
          </w:p>
        </w:tc>
        <w:tc>
          <w:tcPr>
            <w:tcW w:w="1250" w:type="pct"/>
          </w:tcPr>
          <w:p w:rsidR="0055775F" w:rsidRPr="00816657" w:rsidRDefault="0055775F" w:rsidP="00EA7F18">
            <w:pPr>
              <w:pStyle w:val="BodyText"/>
              <w:cnfStyle w:val="000000000000"/>
              <w:rPr>
                <w:sz w:val="20"/>
                <w:szCs w:val="20"/>
              </w:rPr>
            </w:pPr>
          </w:p>
        </w:tc>
        <w:tc>
          <w:tcPr>
            <w:tcW w:w="1250" w:type="pct"/>
          </w:tcPr>
          <w:p w:rsidR="0055775F" w:rsidRPr="00816657" w:rsidRDefault="0055775F" w:rsidP="00EA7F18">
            <w:pPr>
              <w:pStyle w:val="BodyText"/>
              <w:cnfStyle w:val="000000000000"/>
              <w:rPr>
                <w:rFonts w:cs="Times New Roman"/>
                <w:color w:val="000000"/>
                <w:sz w:val="20"/>
                <w:szCs w:val="20"/>
                <w:lang w:eastAsia="en-AU"/>
              </w:rPr>
            </w:pPr>
          </w:p>
        </w:tc>
      </w:tr>
    </w:tbl>
    <w:p w:rsidR="00923849" w:rsidRPr="00816657" w:rsidRDefault="00923849" w:rsidP="007F5BD4">
      <w:pPr>
        <w:pStyle w:val="BodyText"/>
      </w:pPr>
    </w:p>
    <w:p w:rsidR="00376588" w:rsidRPr="00816657" w:rsidRDefault="00376588" w:rsidP="00655F62">
      <w:pPr>
        <w:pStyle w:val="Figures"/>
      </w:pPr>
      <w:bookmarkStart w:id="164" w:name="_Toc425849315"/>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30</w:t>
      </w:r>
      <w:r w:rsidR="006D07F5" w:rsidRPr="00816657">
        <w:rPr>
          <w:noProof/>
        </w:rPr>
        <w:fldChar w:fldCharType="end"/>
      </w:r>
      <w:r w:rsidRPr="00816657">
        <w:t xml:space="preserve">: </w:t>
      </w:r>
      <w:r w:rsidRPr="00816657">
        <w:tab/>
        <w:t>Best, high and low projected rates of change for other organic chemical waste to 2034</w:t>
      </w:r>
      <w:bookmarkEnd w:id="164"/>
    </w:p>
    <w:tbl>
      <w:tblPr>
        <w:tblStyle w:val="BETable1"/>
        <w:tblW w:w="9356" w:type="dxa"/>
        <w:tblLayout w:type="fixed"/>
        <w:tblLook w:val="04A0"/>
      </w:tblPr>
      <w:tblGrid>
        <w:gridCol w:w="709"/>
        <w:gridCol w:w="992"/>
        <w:gridCol w:w="4253"/>
        <w:gridCol w:w="850"/>
        <w:gridCol w:w="426"/>
        <w:gridCol w:w="850"/>
        <w:gridCol w:w="425"/>
        <w:gridCol w:w="851"/>
      </w:tblGrid>
      <w:tr w:rsidR="00E76648" w:rsidRPr="00816657" w:rsidTr="00DC45F1">
        <w:trPr>
          <w:cnfStyle w:val="100000000000"/>
        </w:trPr>
        <w:tc>
          <w:tcPr>
            <w:cnfStyle w:val="001000000000"/>
            <w:tcW w:w="709" w:type="dxa"/>
          </w:tcPr>
          <w:p w:rsidR="00E76648" w:rsidRPr="00816657" w:rsidRDefault="00E76648" w:rsidP="00C758EA"/>
        </w:tc>
        <w:tc>
          <w:tcPr>
            <w:tcW w:w="992" w:type="dxa"/>
          </w:tcPr>
          <w:p w:rsidR="00E76648" w:rsidRPr="00816657" w:rsidRDefault="00E76648" w:rsidP="00C758EA">
            <w:pPr>
              <w:cnfStyle w:val="100000000000"/>
            </w:pPr>
            <w:r w:rsidRPr="00816657">
              <w:t>Applies to</w:t>
            </w:r>
          </w:p>
        </w:tc>
        <w:tc>
          <w:tcPr>
            <w:tcW w:w="4253" w:type="dxa"/>
          </w:tcPr>
          <w:p w:rsidR="00E76648" w:rsidRPr="00816657" w:rsidRDefault="00E76648" w:rsidP="00C758EA">
            <w:pPr>
              <w:cnfStyle w:val="100000000000"/>
            </w:pPr>
            <w:r w:rsidRPr="00816657">
              <w:t>Approach</w:t>
            </w:r>
          </w:p>
        </w:tc>
        <w:tc>
          <w:tcPr>
            <w:tcW w:w="850" w:type="dxa"/>
          </w:tcPr>
          <w:p w:rsidR="00E76648" w:rsidRPr="00816657" w:rsidRDefault="00E76648" w:rsidP="00DF1E42">
            <w:pPr>
              <w:jc w:val="right"/>
              <w:cnfStyle w:val="100000000000"/>
            </w:pPr>
            <w:r w:rsidRPr="00816657">
              <w:t>2014</w:t>
            </w:r>
          </w:p>
        </w:tc>
        <w:tc>
          <w:tcPr>
            <w:tcW w:w="426" w:type="dxa"/>
          </w:tcPr>
          <w:p w:rsidR="00E76648" w:rsidRPr="00816657" w:rsidRDefault="00E76648" w:rsidP="00DF1E42">
            <w:pPr>
              <w:jc w:val="right"/>
              <w:cnfStyle w:val="100000000000"/>
            </w:pPr>
            <w:r w:rsidRPr="00816657">
              <w:t>...</w:t>
            </w:r>
          </w:p>
        </w:tc>
        <w:tc>
          <w:tcPr>
            <w:tcW w:w="850" w:type="dxa"/>
          </w:tcPr>
          <w:p w:rsidR="00E76648" w:rsidRPr="00816657" w:rsidRDefault="00E76648" w:rsidP="00DF1E42">
            <w:pPr>
              <w:jc w:val="right"/>
              <w:cnfStyle w:val="100000000000"/>
            </w:pPr>
            <w:r w:rsidRPr="00816657">
              <w:t>2019</w:t>
            </w:r>
          </w:p>
        </w:tc>
        <w:tc>
          <w:tcPr>
            <w:tcW w:w="425" w:type="dxa"/>
          </w:tcPr>
          <w:p w:rsidR="00E76648" w:rsidRPr="00816657" w:rsidRDefault="00E76648" w:rsidP="00DF1E42">
            <w:pPr>
              <w:jc w:val="right"/>
              <w:cnfStyle w:val="100000000000"/>
            </w:pPr>
            <w:r w:rsidRPr="00816657">
              <w:t>...</w:t>
            </w:r>
          </w:p>
        </w:tc>
        <w:tc>
          <w:tcPr>
            <w:tcW w:w="851" w:type="dxa"/>
          </w:tcPr>
          <w:p w:rsidR="00E76648" w:rsidRPr="00816657" w:rsidRDefault="00E76648" w:rsidP="00DF1E42">
            <w:pPr>
              <w:jc w:val="right"/>
              <w:cnfStyle w:val="100000000000"/>
            </w:pPr>
            <w:r w:rsidRPr="00816657">
              <w:t>2034</w:t>
            </w:r>
          </w:p>
        </w:tc>
      </w:tr>
      <w:tr w:rsidR="00E76648" w:rsidRPr="00816657" w:rsidTr="00DC45F1">
        <w:tc>
          <w:tcPr>
            <w:cnfStyle w:val="001000000000"/>
            <w:tcW w:w="709" w:type="dxa"/>
          </w:tcPr>
          <w:p w:rsidR="00E76648" w:rsidRPr="00816657" w:rsidRDefault="00E76648" w:rsidP="00C758EA">
            <w:r w:rsidRPr="00816657">
              <w:t>Best</w:t>
            </w:r>
          </w:p>
        </w:tc>
        <w:tc>
          <w:tcPr>
            <w:tcW w:w="992" w:type="dxa"/>
            <w:vMerge w:val="restart"/>
            <w:vAlign w:val="center"/>
          </w:tcPr>
          <w:p w:rsidR="00E76648" w:rsidRPr="00816657" w:rsidRDefault="00E76648" w:rsidP="00E76648">
            <w:pPr>
              <w:cnfStyle w:val="000000000000"/>
            </w:pPr>
            <w:r w:rsidRPr="00816657">
              <w:t>Vic</w:t>
            </w:r>
          </w:p>
        </w:tc>
        <w:tc>
          <w:tcPr>
            <w:tcW w:w="4253" w:type="dxa"/>
          </w:tcPr>
          <w:p w:rsidR="00E76648" w:rsidRPr="00816657" w:rsidRDefault="00E76648" w:rsidP="00C758EA">
            <w:pPr>
              <w:cnfStyle w:val="000000000000"/>
            </w:pPr>
            <w:r w:rsidRPr="00816657">
              <w:t>Exponential decay trend for five years, then stable</w:t>
            </w:r>
          </w:p>
        </w:tc>
        <w:tc>
          <w:tcPr>
            <w:tcW w:w="850" w:type="dxa"/>
          </w:tcPr>
          <w:p w:rsidR="00E76648" w:rsidRPr="00816657" w:rsidRDefault="00E76648" w:rsidP="00DF1E42">
            <w:pPr>
              <w:jc w:val="right"/>
              <w:cnfStyle w:val="000000000000"/>
            </w:pPr>
            <w:r w:rsidRPr="00816657">
              <w:t>-13.0%</w:t>
            </w:r>
          </w:p>
        </w:tc>
        <w:tc>
          <w:tcPr>
            <w:tcW w:w="426" w:type="dxa"/>
          </w:tcPr>
          <w:p w:rsidR="00E76648" w:rsidRPr="00816657" w:rsidRDefault="00E76648" w:rsidP="00DF1E42">
            <w:pPr>
              <w:jc w:val="right"/>
              <w:cnfStyle w:val="000000000000"/>
            </w:pPr>
            <w:r w:rsidRPr="00816657">
              <w:t>...</w:t>
            </w:r>
          </w:p>
        </w:tc>
        <w:tc>
          <w:tcPr>
            <w:tcW w:w="850" w:type="dxa"/>
          </w:tcPr>
          <w:p w:rsidR="00E76648" w:rsidRPr="00816657" w:rsidRDefault="00E76648" w:rsidP="00DF1E42">
            <w:pPr>
              <w:jc w:val="right"/>
              <w:cnfStyle w:val="000000000000"/>
            </w:pPr>
            <w:r w:rsidRPr="00816657">
              <w:t>0.0%</w:t>
            </w:r>
          </w:p>
        </w:tc>
        <w:tc>
          <w:tcPr>
            <w:tcW w:w="425" w:type="dxa"/>
          </w:tcPr>
          <w:p w:rsidR="00E76648" w:rsidRPr="00816657" w:rsidRDefault="00E76648" w:rsidP="00DF1E42">
            <w:pPr>
              <w:jc w:val="right"/>
              <w:cnfStyle w:val="000000000000"/>
            </w:pPr>
            <w:r w:rsidRPr="00816657">
              <w:t>...</w:t>
            </w:r>
          </w:p>
        </w:tc>
        <w:tc>
          <w:tcPr>
            <w:tcW w:w="851" w:type="dxa"/>
          </w:tcPr>
          <w:p w:rsidR="00E76648" w:rsidRPr="00816657" w:rsidRDefault="00E76648" w:rsidP="00DF1E42">
            <w:pPr>
              <w:jc w:val="right"/>
              <w:cnfStyle w:val="000000000000"/>
            </w:pPr>
            <w:r w:rsidRPr="00816657">
              <w:t>0.0%</w:t>
            </w:r>
          </w:p>
        </w:tc>
      </w:tr>
      <w:tr w:rsidR="00E76648" w:rsidRPr="00816657" w:rsidTr="00DC45F1">
        <w:tc>
          <w:tcPr>
            <w:cnfStyle w:val="001000000000"/>
            <w:tcW w:w="709" w:type="dxa"/>
          </w:tcPr>
          <w:p w:rsidR="00E76648" w:rsidRPr="00816657" w:rsidRDefault="00E76648" w:rsidP="00C758EA">
            <w:r w:rsidRPr="00816657">
              <w:t>High</w:t>
            </w:r>
          </w:p>
        </w:tc>
        <w:tc>
          <w:tcPr>
            <w:tcW w:w="992" w:type="dxa"/>
            <w:vMerge/>
            <w:vAlign w:val="center"/>
          </w:tcPr>
          <w:p w:rsidR="00E76648" w:rsidRPr="00816657" w:rsidRDefault="00E76648" w:rsidP="00C758EA">
            <w:pPr>
              <w:cnfStyle w:val="000000000000"/>
            </w:pPr>
          </w:p>
        </w:tc>
        <w:tc>
          <w:tcPr>
            <w:tcW w:w="4253" w:type="dxa"/>
          </w:tcPr>
          <w:p w:rsidR="00E76648" w:rsidRPr="00816657" w:rsidRDefault="00E76648" w:rsidP="00C758EA">
            <w:pPr>
              <w:cnfStyle w:val="000000000000"/>
            </w:pPr>
            <w:r w:rsidRPr="00816657">
              <w:t>Best estimate of annual rate of change + 5%</w:t>
            </w:r>
          </w:p>
        </w:tc>
        <w:tc>
          <w:tcPr>
            <w:tcW w:w="850" w:type="dxa"/>
          </w:tcPr>
          <w:p w:rsidR="00E76648" w:rsidRPr="00816657" w:rsidRDefault="00E76648" w:rsidP="00DF1E42">
            <w:pPr>
              <w:jc w:val="right"/>
              <w:cnfStyle w:val="000000000000"/>
            </w:pPr>
            <w:r w:rsidRPr="00816657">
              <w:t>-8.0%</w:t>
            </w:r>
          </w:p>
        </w:tc>
        <w:tc>
          <w:tcPr>
            <w:tcW w:w="426" w:type="dxa"/>
          </w:tcPr>
          <w:p w:rsidR="00E76648" w:rsidRPr="00816657" w:rsidRDefault="00E76648" w:rsidP="00DF1E42">
            <w:pPr>
              <w:jc w:val="right"/>
              <w:cnfStyle w:val="000000000000"/>
            </w:pPr>
            <w:r w:rsidRPr="00816657">
              <w:t>...</w:t>
            </w:r>
          </w:p>
        </w:tc>
        <w:tc>
          <w:tcPr>
            <w:tcW w:w="850" w:type="dxa"/>
          </w:tcPr>
          <w:p w:rsidR="00E76648" w:rsidRPr="00816657" w:rsidRDefault="00E76648" w:rsidP="00DF1E42">
            <w:pPr>
              <w:jc w:val="right"/>
              <w:cnfStyle w:val="000000000000"/>
            </w:pPr>
            <w:r w:rsidRPr="00816657">
              <w:t>5.0%</w:t>
            </w:r>
          </w:p>
        </w:tc>
        <w:tc>
          <w:tcPr>
            <w:tcW w:w="425" w:type="dxa"/>
          </w:tcPr>
          <w:p w:rsidR="00E76648" w:rsidRPr="00816657" w:rsidRDefault="00E76648" w:rsidP="00DF1E42">
            <w:pPr>
              <w:jc w:val="right"/>
              <w:cnfStyle w:val="000000000000"/>
            </w:pPr>
            <w:r w:rsidRPr="00816657">
              <w:t>...</w:t>
            </w:r>
          </w:p>
        </w:tc>
        <w:tc>
          <w:tcPr>
            <w:tcW w:w="851" w:type="dxa"/>
          </w:tcPr>
          <w:p w:rsidR="00E76648" w:rsidRPr="00816657" w:rsidRDefault="00E76648" w:rsidP="00DF1E42">
            <w:pPr>
              <w:jc w:val="right"/>
              <w:cnfStyle w:val="000000000000"/>
            </w:pPr>
            <w:r w:rsidRPr="00816657">
              <w:t>5.0%</w:t>
            </w:r>
          </w:p>
        </w:tc>
      </w:tr>
      <w:tr w:rsidR="00E76648" w:rsidRPr="00816657" w:rsidTr="00DC45F1">
        <w:tc>
          <w:tcPr>
            <w:cnfStyle w:val="001000000000"/>
            <w:tcW w:w="709" w:type="dxa"/>
            <w:tcBorders>
              <w:bottom w:val="single" w:sz="12" w:space="0" w:color="auto"/>
            </w:tcBorders>
          </w:tcPr>
          <w:p w:rsidR="00E76648" w:rsidRPr="00816657" w:rsidRDefault="00E76648" w:rsidP="00C758EA">
            <w:r w:rsidRPr="00816657">
              <w:t>Low</w:t>
            </w:r>
          </w:p>
        </w:tc>
        <w:tc>
          <w:tcPr>
            <w:tcW w:w="992" w:type="dxa"/>
            <w:vMerge/>
            <w:tcBorders>
              <w:bottom w:val="single" w:sz="12" w:space="0" w:color="auto"/>
            </w:tcBorders>
            <w:vAlign w:val="center"/>
          </w:tcPr>
          <w:p w:rsidR="00E76648" w:rsidRPr="00816657" w:rsidRDefault="00E76648" w:rsidP="00C758EA">
            <w:pPr>
              <w:cnfStyle w:val="000000000000"/>
            </w:pPr>
          </w:p>
        </w:tc>
        <w:tc>
          <w:tcPr>
            <w:tcW w:w="4253" w:type="dxa"/>
            <w:tcBorders>
              <w:bottom w:val="single" w:sz="12" w:space="0" w:color="auto"/>
            </w:tcBorders>
          </w:tcPr>
          <w:p w:rsidR="00E76648" w:rsidRPr="00816657" w:rsidRDefault="00E76648" w:rsidP="00C758EA">
            <w:pPr>
              <w:cnfStyle w:val="000000000000"/>
            </w:pPr>
            <w:r w:rsidRPr="00816657">
              <w:t>Best estimate of annual rate of change - 5%</w:t>
            </w:r>
          </w:p>
        </w:tc>
        <w:tc>
          <w:tcPr>
            <w:tcW w:w="850" w:type="dxa"/>
            <w:tcBorders>
              <w:bottom w:val="single" w:sz="12" w:space="0" w:color="auto"/>
            </w:tcBorders>
          </w:tcPr>
          <w:p w:rsidR="00E76648" w:rsidRPr="00816657" w:rsidRDefault="00E76648" w:rsidP="00DF1E42">
            <w:pPr>
              <w:jc w:val="right"/>
              <w:cnfStyle w:val="000000000000"/>
            </w:pPr>
            <w:r w:rsidRPr="00816657">
              <w:t>-18.0%</w:t>
            </w:r>
          </w:p>
        </w:tc>
        <w:tc>
          <w:tcPr>
            <w:tcW w:w="426" w:type="dxa"/>
            <w:tcBorders>
              <w:bottom w:val="single" w:sz="12" w:space="0" w:color="auto"/>
            </w:tcBorders>
          </w:tcPr>
          <w:p w:rsidR="00E76648" w:rsidRPr="00816657" w:rsidRDefault="00E76648" w:rsidP="00DF1E42">
            <w:pPr>
              <w:jc w:val="right"/>
              <w:cnfStyle w:val="000000000000"/>
            </w:pPr>
            <w:r w:rsidRPr="00816657">
              <w:t>...</w:t>
            </w:r>
          </w:p>
        </w:tc>
        <w:tc>
          <w:tcPr>
            <w:tcW w:w="850" w:type="dxa"/>
            <w:tcBorders>
              <w:bottom w:val="single" w:sz="12" w:space="0" w:color="auto"/>
            </w:tcBorders>
          </w:tcPr>
          <w:p w:rsidR="00E76648" w:rsidRPr="00816657" w:rsidRDefault="00E76648" w:rsidP="00DF1E42">
            <w:pPr>
              <w:jc w:val="right"/>
              <w:cnfStyle w:val="000000000000"/>
            </w:pPr>
            <w:r w:rsidRPr="00816657">
              <w:t>-5.0%</w:t>
            </w:r>
          </w:p>
        </w:tc>
        <w:tc>
          <w:tcPr>
            <w:tcW w:w="425" w:type="dxa"/>
            <w:tcBorders>
              <w:bottom w:val="single" w:sz="12" w:space="0" w:color="auto"/>
            </w:tcBorders>
          </w:tcPr>
          <w:p w:rsidR="00E76648" w:rsidRPr="00816657" w:rsidRDefault="00E76648" w:rsidP="00DF1E42">
            <w:pPr>
              <w:jc w:val="right"/>
              <w:cnfStyle w:val="000000000000"/>
            </w:pPr>
            <w:r w:rsidRPr="00816657">
              <w:t>...</w:t>
            </w:r>
          </w:p>
        </w:tc>
        <w:tc>
          <w:tcPr>
            <w:tcW w:w="851" w:type="dxa"/>
            <w:tcBorders>
              <w:bottom w:val="single" w:sz="12" w:space="0" w:color="auto"/>
            </w:tcBorders>
          </w:tcPr>
          <w:p w:rsidR="00E76648" w:rsidRPr="00816657" w:rsidRDefault="00E76648" w:rsidP="00DF1E42">
            <w:pPr>
              <w:jc w:val="right"/>
              <w:cnfStyle w:val="000000000000"/>
            </w:pPr>
            <w:r w:rsidRPr="00816657">
              <w:t>-5.0%</w:t>
            </w:r>
          </w:p>
        </w:tc>
      </w:tr>
      <w:tr w:rsidR="00E76648" w:rsidRPr="00816657" w:rsidTr="00DC45F1">
        <w:tc>
          <w:tcPr>
            <w:cnfStyle w:val="001000000000"/>
            <w:tcW w:w="709" w:type="dxa"/>
            <w:tcBorders>
              <w:top w:val="single" w:sz="12" w:space="0" w:color="auto"/>
            </w:tcBorders>
          </w:tcPr>
          <w:p w:rsidR="00E76648" w:rsidRPr="00816657" w:rsidRDefault="00E76648" w:rsidP="00C758EA">
            <w:r w:rsidRPr="00816657">
              <w:t>Best</w:t>
            </w:r>
          </w:p>
        </w:tc>
        <w:tc>
          <w:tcPr>
            <w:tcW w:w="992" w:type="dxa"/>
            <w:vMerge w:val="restart"/>
            <w:tcBorders>
              <w:top w:val="single" w:sz="12" w:space="0" w:color="auto"/>
            </w:tcBorders>
            <w:vAlign w:val="center"/>
          </w:tcPr>
          <w:p w:rsidR="00E76648" w:rsidRPr="00816657" w:rsidRDefault="00E76648" w:rsidP="00E76648">
            <w:pPr>
              <w:cnfStyle w:val="000000000000"/>
            </w:pPr>
            <w:r w:rsidRPr="00816657">
              <w:t>ACT, NSW, NT, Qld, SA, Tas, WA</w:t>
            </w:r>
          </w:p>
        </w:tc>
        <w:tc>
          <w:tcPr>
            <w:tcW w:w="4253" w:type="dxa"/>
            <w:tcBorders>
              <w:top w:val="single" w:sz="12" w:space="0" w:color="auto"/>
            </w:tcBorders>
          </w:tcPr>
          <w:p w:rsidR="00E76648" w:rsidRPr="00816657" w:rsidRDefault="00E76648" w:rsidP="00C758EA">
            <w:pPr>
              <w:cnfStyle w:val="000000000000"/>
            </w:pPr>
            <w:r w:rsidRPr="00816657">
              <w:t>Decline with manufacturing</w:t>
            </w:r>
          </w:p>
        </w:tc>
        <w:tc>
          <w:tcPr>
            <w:tcW w:w="850" w:type="dxa"/>
            <w:tcBorders>
              <w:top w:val="single" w:sz="12" w:space="0" w:color="auto"/>
            </w:tcBorders>
          </w:tcPr>
          <w:p w:rsidR="00E76648" w:rsidRPr="00816657" w:rsidRDefault="00E76648" w:rsidP="00DF1E42">
            <w:pPr>
              <w:jc w:val="right"/>
              <w:cnfStyle w:val="000000000000"/>
            </w:pPr>
            <w:r w:rsidRPr="00816657">
              <w:t>-2.0%</w:t>
            </w:r>
          </w:p>
        </w:tc>
        <w:tc>
          <w:tcPr>
            <w:tcW w:w="426" w:type="dxa"/>
            <w:tcBorders>
              <w:top w:val="single" w:sz="12" w:space="0" w:color="auto"/>
            </w:tcBorders>
          </w:tcPr>
          <w:p w:rsidR="00E76648" w:rsidRPr="00816657" w:rsidRDefault="00E76648" w:rsidP="00DF1E42">
            <w:pPr>
              <w:jc w:val="right"/>
              <w:cnfStyle w:val="000000000000"/>
            </w:pPr>
            <w:r w:rsidRPr="00816657">
              <w:t>...</w:t>
            </w:r>
          </w:p>
        </w:tc>
        <w:tc>
          <w:tcPr>
            <w:tcW w:w="850" w:type="dxa"/>
            <w:tcBorders>
              <w:top w:val="single" w:sz="12" w:space="0" w:color="auto"/>
            </w:tcBorders>
          </w:tcPr>
          <w:p w:rsidR="00E76648" w:rsidRPr="00816657" w:rsidRDefault="00E76648" w:rsidP="00DF1E42">
            <w:pPr>
              <w:jc w:val="right"/>
              <w:cnfStyle w:val="000000000000"/>
            </w:pPr>
            <w:r w:rsidRPr="00816657">
              <w:t>...</w:t>
            </w:r>
          </w:p>
        </w:tc>
        <w:tc>
          <w:tcPr>
            <w:tcW w:w="425" w:type="dxa"/>
            <w:tcBorders>
              <w:top w:val="single" w:sz="12" w:space="0" w:color="auto"/>
            </w:tcBorders>
          </w:tcPr>
          <w:p w:rsidR="00E76648" w:rsidRPr="00816657" w:rsidRDefault="00E76648" w:rsidP="00DF1E42">
            <w:pPr>
              <w:jc w:val="right"/>
              <w:cnfStyle w:val="000000000000"/>
            </w:pPr>
            <w:r w:rsidRPr="00816657">
              <w:t>...</w:t>
            </w:r>
          </w:p>
        </w:tc>
        <w:tc>
          <w:tcPr>
            <w:tcW w:w="851" w:type="dxa"/>
            <w:tcBorders>
              <w:top w:val="single" w:sz="12" w:space="0" w:color="auto"/>
            </w:tcBorders>
          </w:tcPr>
          <w:p w:rsidR="00E76648" w:rsidRPr="00816657" w:rsidRDefault="00E76648" w:rsidP="00DF1E42">
            <w:pPr>
              <w:jc w:val="right"/>
              <w:cnfStyle w:val="000000000000"/>
            </w:pPr>
            <w:r w:rsidRPr="00816657">
              <w:t>-2.0%</w:t>
            </w:r>
          </w:p>
        </w:tc>
      </w:tr>
      <w:tr w:rsidR="00E76648" w:rsidRPr="00816657" w:rsidTr="00DC45F1">
        <w:tc>
          <w:tcPr>
            <w:cnfStyle w:val="001000000000"/>
            <w:tcW w:w="709" w:type="dxa"/>
          </w:tcPr>
          <w:p w:rsidR="00E76648" w:rsidRPr="00816657" w:rsidRDefault="00E76648" w:rsidP="00C758EA">
            <w:r w:rsidRPr="00816657">
              <w:t>High</w:t>
            </w:r>
          </w:p>
        </w:tc>
        <w:tc>
          <w:tcPr>
            <w:tcW w:w="992" w:type="dxa"/>
            <w:vMerge/>
          </w:tcPr>
          <w:p w:rsidR="00E76648" w:rsidRPr="00816657" w:rsidRDefault="00E76648" w:rsidP="00C758EA">
            <w:pPr>
              <w:cnfStyle w:val="000000000000"/>
            </w:pPr>
          </w:p>
        </w:tc>
        <w:tc>
          <w:tcPr>
            <w:tcW w:w="4253" w:type="dxa"/>
          </w:tcPr>
          <w:p w:rsidR="00E76648" w:rsidRPr="00816657" w:rsidRDefault="00E76648" w:rsidP="00C758EA">
            <w:pPr>
              <w:cnfStyle w:val="000000000000"/>
            </w:pPr>
            <w:r w:rsidRPr="00816657">
              <w:t>Best estimate of annual rate of change + 3%</w:t>
            </w:r>
          </w:p>
        </w:tc>
        <w:tc>
          <w:tcPr>
            <w:tcW w:w="850" w:type="dxa"/>
          </w:tcPr>
          <w:p w:rsidR="00E76648" w:rsidRPr="00816657" w:rsidRDefault="00E76648" w:rsidP="00DF1E42">
            <w:pPr>
              <w:jc w:val="right"/>
              <w:cnfStyle w:val="000000000000"/>
            </w:pPr>
            <w:r w:rsidRPr="00816657">
              <w:t>1.0%</w:t>
            </w:r>
          </w:p>
        </w:tc>
        <w:tc>
          <w:tcPr>
            <w:tcW w:w="426" w:type="dxa"/>
          </w:tcPr>
          <w:p w:rsidR="00E76648" w:rsidRPr="00816657" w:rsidRDefault="00E76648" w:rsidP="00DF1E42">
            <w:pPr>
              <w:jc w:val="right"/>
              <w:cnfStyle w:val="000000000000"/>
            </w:pPr>
            <w:r w:rsidRPr="00816657">
              <w:t>...</w:t>
            </w:r>
          </w:p>
        </w:tc>
        <w:tc>
          <w:tcPr>
            <w:tcW w:w="850" w:type="dxa"/>
          </w:tcPr>
          <w:p w:rsidR="00E76648" w:rsidRPr="00816657" w:rsidRDefault="00E76648" w:rsidP="00DF1E42">
            <w:pPr>
              <w:jc w:val="right"/>
              <w:cnfStyle w:val="000000000000"/>
            </w:pPr>
            <w:r w:rsidRPr="00816657">
              <w:t>...</w:t>
            </w:r>
          </w:p>
        </w:tc>
        <w:tc>
          <w:tcPr>
            <w:tcW w:w="425" w:type="dxa"/>
          </w:tcPr>
          <w:p w:rsidR="00E76648" w:rsidRPr="00816657" w:rsidRDefault="00E76648" w:rsidP="00DF1E42">
            <w:pPr>
              <w:jc w:val="right"/>
              <w:cnfStyle w:val="000000000000"/>
            </w:pPr>
            <w:r w:rsidRPr="00816657">
              <w:t>...</w:t>
            </w:r>
          </w:p>
        </w:tc>
        <w:tc>
          <w:tcPr>
            <w:tcW w:w="851" w:type="dxa"/>
          </w:tcPr>
          <w:p w:rsidR="00E76648" w:rsidRPr="00816657" w:rsidRDefault="00E76648" w:rsidP="00DF1E42">
            <w:pPr>
              <w:jc w:val="right"/>
              <w:cnfStyle w:val="000000000000"/>
            </w:pPr>
            <w:r w:rsidRPr="00816657">
              <w:t>1.0%</w:t>
            </w:r>
          </w:p>
        </w:tc>
      </w:tr>
      <w:tr w:rsidR="00E76648" w:rsidRPr="00816657" w:rsidTr="00DC45F1">
        <w:tc>
          <w:tcPr>
            <w:cnfStyle w:val="001000000000"/>
            <w:tcW w:w="709" w:type="dxa"/>
          </w:tcPr>
          <w:p w:rsidR="00E76648" w:rsidRPr="00816657" w:rsidRDefault="00E76648" w:rsidP="00C758EA">
            <w:r w:rsidRPr="00816657">
              <w:t>Low</w:t>
            </w:r>
          </w:p>
        </w:tc>
        <w:tc>
          <w:tcPr>
            <w:tcW w:w="992" w:type="dxa"/>
            <w:vMerge/>
          </w:tcPr>
          <w:p w:rsidR="00E76648" w:rsidRPr="00816657" w:rsidRDefault="00E76648" w:rsidP="00C758EA">
            <w:pPr>
              <w:cnfStyle w:val="000000000000"/>
            </w:pPr>
          </w:p>
        </w:tc>
        <w:tc>
          <w:tcPr>
            <w:tcW w:w="4253" w:type="dxa"/>
          </w:tcPr>
          <w:p w:rsidR="00E76648" w:rsidRPr="00816657" w:rsidRDefault="00E76648" w:rsidP="00C758EA">
            <w:pPr>
              <w:cnfStyle w:val="000000000000"/>
            </w:pPr>
            <w:r w:rsidRPr="00816657">
              <w:t>Best estimate of annual rate of change - 3%</w:t>
            </w:r>
          </w:p>
        </w:tc>
        <w:tc>
          <w:tcPr>
            <w:tcW w:w="850" w:type="dxa"/>
          </w:tcPr>
          <w:p w:rsidR="00E76648" w:rsidRPr="00816657" w:rsidRDefault="00E76648" w:rsidP="00DF1E42">
            <w:pPr>
              <w:jc w:val="right"/>
              <w:cnfStyle w:val="000000000000"/>
            </w:pPr>
            <w:r w:rsidRPr="00816657">
              <w:t>-5.0%</w:t>
            </w:r>
          </w:p>
        </w:tc>
        <w:tc>
          <w:tcPr>
            <w:tcW w:w="426" w:type="dxa"/>
          </w:tcPr>
          <w:p w:rsidR="00E76648" w:rsidRPr="00816657" w:rsidRDefault="00E76648" w:rsidP="00DF1E42">
            <w:pPr>
              <w:jc w:val="right"/>
              <w:cnfStyle w:val="000000000000"/>
            </w:pPr>
            <w:r w:rsidRPr="00816657">
              <w:t>...</w:t>
            </w:r>
          </w:p>
        </w:tc>
        <w:tc>
          <w:tcPr>
            <w:tcW w:w="850" w:type="dxa"/>
          </w:tcPr>
          <w:p w:rsidR="00E76648" w:rsidRPr="00816657" w:rsidRDefault="00E76648" w:rsidP="00DF1E42">
            <w:pPr>
              <w:jc w:val="right"/>
              <w:cnfStyle w:val="000000000000"/>
            </w:pPr>
            <w:r w:rsidRPr="00816657">
              <w:t>...</w:t>
            </w:r>
          </w:p>
        </w:tc>
        <w:tc>
          <w:tcPr>
            <w:tcW w:w="425" w:type="dxa"/>
          </w:tcPr>
          <w:p w:rsidR="00E76648" w:rsidRPr="00816657" w:rsidRDefault="00E76648" w:rsidP="00DF1E42">
            <w:pPr>
              <w:jc w:val="right"/>
              <w:cnfStyle w:val="000000000000"/>
            </w:pPr>
            <w:r w:rsidRPr="00816657">
              <w:t>...</w:t>
            </w:r>
          </w:p>
        </w:tc>
        <w:tc>
          <w:tcPr>
            <w:tcW w:w="851" w:type="dxa"/>
          </w:tcPr>
          <w:p w:rsidR="00E76648" w:rsidRPr="00816657" w:rsidRDefault="00E76648" w:rsidP="00DF1E42">
            <w:pPr>
              <w:jc w:val="right"/>
              <w:cnfStyle w:val="000000000000"/>
            </w:pPr>
            <w:r w:rsidRPr="00816657">
              <w:t>-5.0%</w:t>
            </w:r>
          </w:p>
        </w:tc>
      </w:tr>
    </w:tbl>
    <w:p w:rsidR="00341C59" w:rsidRDefault="00341C59" w:rsidP="007F5BD4">
      <w:pPr>
        <w:pStyle w:val="BodyText"/>
      </w:pPr>
    </w:p>
    <w:p w:rsidR="00D92260" w:rsidRPr="00816657" w:rsidRDefault="00D92260" w:rsidP="00655F62">
      <w:pPr>
        <w:pStyle w:val="Figures"/>
      </w:pPr>
      <w:bookmarkStart w:id="165" w:name="_Toc425849242"/>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24</w:t>
      </w:r>
      <w:r w:rsidR="006D07F5" w:rsidRPr="00816657">
        <w:rPr>
          <w:noProof/>
        </w:rPr>
        <w:fldChar w:fldCharType="end"/>
      </w:r>
      <w:r w:rsidRPr="00816657">
        <w:t xml:space="preserve">: </w:t>
      </w:r>
      <w:r w:rsidRPr="00816657">
        <w:tab/>
        <w:t>Best, high and low national projection estimates of other organic chemical waste to 2034</w:t>
      </w:r>
      <w:bookmarkEnd w:id="165"/>
    </w:p>
    <w:p w:rsidR="00D92260" w:rsidRPr="00816657" w:rsidRDefault="00C05ED6" w:rsidP="00D92260">
      <w:pPr>
        <w:spacing w:line="240" w:lineRule="auto"/>
      </w:pPr>
      <w:r w:rsidRPr="00C05ED6">
        <w:rPr>
          <w:noProof/>
          <w:lang w:eastAsia="en-AU"/>
        </w:rPr>
        <w:drawing>
          <wp:inline distT="0" distB="0" distL="0" distR="0">
            <wp:extent cx="5380953" cy="2228572"/>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380953" cy="2228572"/>
                    </a:xfrm>
                    <a:prstGeom prst="rect">
                      <a:avLst/>
                    </a:prstGeom>
                  </pic:spPr>
                </pic:pic>
              </a:graphicData>
            </a:graphic>
          </wp:inline>
        </w:drawing>
      </w:r>
    </w:p>
    <w:p w:rsidR="00D92260" w:rsidRPr="00816657" w:rsidRDefault="00D92260" w:rsidP="005D6078">
      <w:pPr>
        <w:pStyle w:val="Heading3"/>
      </w:pPr>
      <w:r w:rsidRPr="00816657">
        <w:lastRenderedPageBreak/>
        <w:t>M120. Contaminated soils</w:t>
      </w:r>
    </w:p>
    <w:p w:rsidR="006E1059" w:rsidRPr="006E1059" w:rsidRDefault="006E1059" w:rsidP="006E1059">
      <w:pPr>
        <w:spacing w:line="240" w:lineRule="auto"/>
        <w:rPr>
          <w:color w:val="080808"/>
          <w:sz w:val="22"/>
        </w:rPr>
      </w:pPr>
      <w:r w:rsidRPr="006E1059">
        <w:rPr>
          <w:color w:val="080808"/>
          <w:sz w:val="22"/>
        </w:rPr>
        <w:t xml:space="preserve">This group comprises </w:t>
      </w:r>
      <w:r w:rsidRPr="006E1059">
        <w:rPr>
          <w:i/>
          <w:color w:val="080808"/>
          <w:sz w:val="22"/>
        </w:rPr>
        <w:t>N120 Soils contaminated with a controlled waste</w:t>
      </w:r>
      <w:r w:rsidRPr="006E1059">
        <w:rPr>
          <w:color w:val="080808"/>
          <w:sz w:val="22"/>
        </w:rPr>
        <w:t xml:space="preserve">. NSW and Queensland do not specifically track contaminated soils, but both were able to report data from landfill records. Queensland is unique in Australia in including acid sulphate soils in this category. These have </w:t>
      </w:r>
      <w:proofErr w:type="gramStart"/>
      <w:r w:rsidRPr="006E1059">
        <w:rPr>
          <w:color w:val="080808"/>
          <w:sz w:val="22"/>
        </w:rPr>
        <w:t>their own</w:t>
      </w:r>
      <w:proofErr w:type="gramEnd"/>
      <w:r w:rsidRPr="006E1059">
        <w:rPr>
          <w:color w:val="080808"/>
          <w:sz w:val="22"/>
        </w:rPr>
        <w:t xml:space="preserve"> characteristics and particular management problems. </w:t>
      </w:r>
    </w:p>
    <w:p w:rsidR="006E1059" w:rsidRDefault="006E1059" w:rsidP="00DC45F1">
      <w:pPr>
        <w:pStyle w:val="BodyText"/>
        <w:rPr>
          <w:b/>
        </w:rPr>
      </w:pPr>
    </w:p>
    <w:p w:rsidR="00DC45F1" w:rsidRPr="00816657" w:rsidRDefault="00DC45F1" w:rsidP="00DC45F1">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1617"/>
        <w:gridCol w:w="2125"/>
        <w:gridCol w:w="4396"/>
        <w:gridCol w:w="1502"/>
      </w:tblGrid>
      <w:tr w:rsidR="00E42D11" w:rsidRPr="00816657" w:rsidTr="0083750C">
        <w:trPr>
          <w:cnfStyle w:val="100000000000"/>
        </w:trPr>
        <w:tc>
          <w:tcPr>
            <w:cnfStyle w:val="001000000000"/>
            <w:tcW w:w="839"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102"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228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779"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83750C" w:rsidRPr="00816657" w:rsidTr="0083750C">
        <w:tc>
          <w:tcPr>
            <w:cnfStyle w:val="001000000000"/>
            <w:tcW w:w="839" w:type="pct"/>
            <w:vMerge w:val="restart"/>
            <w:tcBorders>
              <w:top w:val="single" w:sz="4" w:space="0" w:color="7F7F7F" w:themeColor="background2"/>
            </w:tcBorders>
          </w:tcPr>
          <w:p w:rsidR="0083750C" w:rsidRPr="00816657" w:rsidRDefault="0083750C" w:rsidP="00BC3BD0">
            <w:pPr>
              <w:spacing w:line="240" w:lineRule="auto"/>
              <w:rPr>
                <w:rFonts w:cs="Times New Roman"/>
                <w:color w:val="000000"/>
                <w:szCs w:val="20"/>
                <w:lang w:eastAsia="en-AU"/>
              </w:rPr>
            </w:pPr>
            <w:r w:rsidRPr="00816657">
              <w:rPr>
                <w:szCs w:val="20"/>
              </w:rPr>
              <w:t>Construction; mining; retail trade; electricity supply</w:t>
            </w:r>
          </w:p>
        </w:tc>
        <w:tc>
          <w:tcPr>
            <w:tcW w:w="1102" w:type="pct"/>
            <w:tcBorders>
              <w:top w:val="single" w:sz="4" w:space="0" w:color="7F7F7F" w:themeColor="background2"/>
            </w:tcBorders>
          </w:tcPr>
          <w:p w:rsidR="0083750C" w:rsidRPr="00816657" w:rsidRDefault="0083750C" w:rsidP="00BC3BD0">
            <w:pPr>
              <w:pStyle w:val="BodyText"/>
              <w:cnfStyle w:val="000000000000"/>
              <w:rPr>
                <w:sz w:val="20"/>
                <w:szCs w:val="20"/>
              </w:rPr>
            </w:pPr>
            <w:r w:rsidRPr="00816657">
              <w:rPr>
                <w:sz w:val="20"/>
                <w:szCs w:val="20"/>
              </w:rPr>
              <w:t>No sufficiently credible pre-existing projections were identified</w:t>
            </w:r>
          </w:p>
        </w:tc>
        <w:tc>
          <w:tcPr>
            <w:tcW w:w="2280" w:type="pct"/>
            <w:tcBorders>
              <w:top w:val="single" w:sz="4" w:space="0" w:color="7F7F7F" w:themeColor="background2"/>
            </w:tcBorders>
          </w:tcPr>
          <w:p w:rsidR="0083750C" w:rsidRPr="00816657" w:rsidRDefault="0083750C" w:rsidP="002C00DA">
            <w:pPr>
              <w:pStyle w:val="BodyText"/>
              <w:cnfStyle w:val="000000000000"/>
              <w:rPr>
                <w:sz w:val="20"/>
                <w:szCs w:val="20"/>
              </w:rPr>
            </w:pPr>
            <w:r w:rsidRPr="00816657">
              <w:rPr>
                <w:sz w:val="20"/>
                <w:szCs w:val="20"/>
              </w:rPr>
              <w:t>NSW 2010-11 data includes estimate from outside the tracking system (from WGGRA). Not included in other years</w:t>
            </w:r>
          </w:p>
        </w:tc>
        <w:tc>
          <w:tcPr>
            <w:tcW w:w="779" w:type="pct"/>
            <w:tcBorders>
              <w:top w:val="single" w:sz="4" w:space="0" w:color="7F7F7F" w:themeColor="background2"/>
            </w:tcBorders>
          </w:tcPr>
          <w:p w:rsidR="0083750C" w:rsidRPr="00816657" w:rsidRDefault="0083750C" w:rsidP="00EA7F18">
            <w:pPr>
              <w:pStyle w:val="BodyText"/>
              <w:cnfStyle w:val="000000000000"/>
              <w:rPr>
                <w:sz w:val="20"/>
                <w:szCs w:val="20"/>
              </w:rPr>
            </w:pPr>
            <w:r w:rsidRPr="00816657">
              <w:rPr>
                <w:sz w:val="20"/>
                <w:szCs w:val="20"/>
              </w:rPr>
              <w:t>Use judgement - trend and causal analysis</w:t>
            </w:r>
          </w:p>
        </w:tc>
      </w:tr>
      <w:tr w:rsidR="0083750C" w:rsidRPr="00816657" w:rsidTr="0083750C">
        <w:tc>
          <w:tcPr>
            <w:cnfStyle w:val="001000000000"/>
            <w:tcW w:w="839" w:type="pct"/>
            <w:vMerge/>
          </w:tcPr>
          <w:p w:rsidR="0083750C" w:rsidRPr="00816657" w:rsidRDefault="0083750C" w:rsidP="0083750C">
            <w:pPr>
              <w:pStyle w:val="BodyText"/>
              <w:rPr>
                <w:sz w:val="20"/>
                <w:szCs w:val="20"/>
              </w:rPr>
            </w:pPr>
          </w:p>
        </w:tc>
        <w:tc>
          <w:tcPr>
            <w:tcW w:w="1102" w:type="pct"/>
          </w:tcPr>
          <w:p w:rsidR="0083750C" w:rsidRPr="00816657" w:rsidRDefault="0083750C" w:rsidP="00EA7F18">
            <w:pPr>
              <w:pStyle w:val="BodyText"/>
              <w:cnfStyle w:val="000000000000"/>
              <w:rPr>
                <w:sz w:val="20"/>
                <w:szCs w:val="20"/>
              </w:rPr>
            </w:pPr>
            <w:r w:rsidRPr="00816657">
              <w:rPr>
                <w:sz w:val="20"/>
                <w:szCs w:val="20"/>
              </w:rPr>
              <w:t>No historical data set exists that is adequate for discerning trends</w:t>
            </w:r>
          </w:p>
        </w:tc>
        <w:tc>
          <w:tcPr>
            <w:tcW w:w="2280" w:type="pct"/>
          </w:tcPr>
          <w:p w:rsidR="0083750C" w:rsidRPr="00816657" w:rsidRDefault="0083750C" w:rsidP="002C00DA">
            <w:pPr>
              <w:pStyle w:val="BodyText"/>
              <w:cnfStyle w:val="000000000000"/>
              <w:rPr>
                <w:sz w:val="20"/>
                <w:szCs w:val="20"/>
              </w:rPr>
            </w:pPr>
            <w:r w:rsidRPr="00816657">
              <w:rPr>
                <w:sz w:val="20"/>
                <w:szCs w:val="20"/>
              </w:rPr>
              <w:t>Vic data prior to 2003-04 is from a previous Blue Environment study (used with permission), but includes only 'low-level contaminated soil' (the dominant fraction)</w:t>
            </w:r>
          </w:p>
        </w:tc>
        <w:tc>
          <w:tcPr>
            <w:tcW w:w="779" w:type="pct"/>
          </w:tcPr>
          <w:p w:rsidR="0083750C" w:rsidRPr="00816657" w:rsidRDefault="0083750C" w:rsidP="00EA7F18">
            <w:pPr>
              <w:spacing w:line="240" w:lineRule="auto"/>
              <w:cnfStyle w:val="000000000000"/>
              <w:rPr>
                <w:color w:val="080808"/>
                <w:szCs w:val="20"/>
              </w:rPr>
            </w:pPr>
          </w:p>
        </w:tc>
      </w:tr>
      <w:tr w:rsidR="0083750C" w:rsidRPr="00816657" w:rsidTr="0083750C">
        <w:trPr>
          <w:trHeight w:val="160"/>
        </w:trPr>
        <w:tc>
          <w:tcPr>
            <w:cnfStyle w:val="001000000000"/>
            <w:tcW w:w="839" w:type="pct"/>
            <w:vMerge/>
          </w:tcPr>
          <w:p w:rsidR="0083750C" w:rsidRPr="00816657" w:rsidRDefault="0083750C" w:rsidP="00DC45F1">
            <w:pPr>
              <w:pStyle w:val="BodyText"/>
              <w:rPr>
                <w:sz w:val="20"/>
                <w:szCs w:val="20"/>
              </w:rPr>
            </w:pPr>
          </w:p>
        </w:tc>
        <w:tc>
          <w:tcPr>
            <w:tcW w:w="1102" w:type="pct"/>
          </w:tcPr>
          <w:p w:rsidR="0083750C" w:rsidRPr="00816657" w:rsidRDefault="0083750C" w:rsidP="00DC45F1">
            <w:pPr>
              <w:pStyle w:val="BodyText"/>
              <w:cnfStyle w:val="000000000000"/>
              <w:rPr>
                <w:sz w:val="20"/>
                <w:szCs w:val="20"/>
              </w:rPr>
            </w:pPr>
          </w:p>
        </w:tc>
        <w:tc>
          <w:tcPr>
            <w:tcW w:w="2280" w:type="pct"/>
          </w:tcPr>
          <w:p w:rsidR="0083750C" w:rsidRPr="00816657" w:rsidRDefault="0083750C" w:rsidP="00DC45F1">
            <w:pPr>
              <w:pStyle w:val="BodyText"/>
              <w:cnfStyle w:val="000000000000"/>
              <w:rPr>
                <w:sz w:val="20"/>
                <w:szCs w:val="20"/>
              </w:rPr>
            </w:pPr>
            <w:r w:rsidRPr="00816657">
              <w:rPr>
                <w:sz w:val="20"/>
                <w:szCs w:val="20"/>
              </w:rPr>
              <w:t>Qld data includes acid sulphate soils</w:t>
            </w:r>
          </w:p>
        </w:tc>
        <w:tc>
          <w:tcPr>
            <w:tcW w:w="779" w:type="pct"/>
          </w:tcPr>
          <w:p w:rsidR="0083750C" w:rsidRPr="00816657" w:rsidRDefault="0083750C" w:rsidP="00DC45F1">
            <w:pPr>
              <w:pStyle w:val="BodyText"/>
              <w:cnfStyle w:val="000000000000"/>
              <w:rPr>
                <w:sz w:val="20"/>
                <w:szCs w:val="20"/>
              </w:rPr>
            </w:pPr>
          </w:p>
        </w:tc>
      </w:tr>
      <w:tr w:rsidR="0083750C" w:rsidRPr="00816657" w:rsidTr="0083750C">
        <w:trPr>
          <w:trHeight w:val="364"/>
        </w:trPr>
        <w:tc>
          <w:tcPr>
            <w:cnfStyle w:val="001000000000"/>
            <w:tcW w:w="839" w:type="pct"/>
            <w:vMerge/>
          </w:tcPr>
          <w:p w:rsidR="0083750C" w:rsidRPr="00816657" w:rsidRDefault="0083750C" w:rsidP="00DC45F1">
            <w:pPr>
              <w:pStyle w:val="BodyText"/>
              <w:rPr>
                <w:sz w:val="20"/>
                <w:szCs w:val="20"/>
              </w:rPr>
            </w:pPr>
          </w:p>
        </w:tc>
        <w:tc>
          <w:tcPr>
            <w:tcW w:w="1102" w:type="pct"/>
          </w:tcPr>
          <w:p w:rsidR="0083750C" w:rsidRPr="00816657" w:rsidRDefault="0083750C" w:rsidP="00DC45F1">
            <w:pPr>
              <w:pStyle w:val="BodyText"/>
              <w:cnfStyle w:val="000000000000"/>
              <w:rPr>
                <w:sz w:val="20"/>
                <w:szCs w:val="20"/>
              </w:rPr>
            </w:pPr>
          </w:p>
        </w:tc>
        <w:tc>
          <w:tcPr>
            <w:tcW w:w="2280" w:type="pct"/>
          </w:tcPr>
          <w:p w:rsidR="0083750C" w:rsidRPr="00816657" w:rsidRDefault="0083750C" w:rsidP="00DC45F1">
            <w:pPr>
              <w:pStyle w:val="BodyText"/>
              <w:cnfStyle w:val="000000000000"/>
              <w:rPr>
                <w:sz w:val="20"/>
                <w:szCs w:val="20"/>
              </w:rPr>
            </w:pPr>
            <w:r w:rsidRPr="00816657">
              <w:rPr>
                <w:sz w:val="20"/>
                <w:szCs w:val="20"/>
              </w:rPr>
              <w:t>NEPM for onsite management keeping some material onsite</w:t>
            </w:r>
          </w:p>
        </w:tc>
        <w:tc>
          <w:tcPr>
            <w:tcW w:w="779" w:type="pct"/>
          </w:tcPr>
          <w:p w:rsidR="0083750C" w:rsidRPr="00816657" w:rsidRDefault="0083750C" w:rsidP="00DC45F1">
            <w:pPr>
              <w:pStyle w:val="BodyText"/>
              <w:cnfStyle w:val="000000000000"/>
              <w:rPr>
                <w:sz w:val="20"/>
                <w:szCs w:val="20"/>
              </w:rPr>
            </w:pPr>
          </w:p>
        </w:tc>
      </w:tr>
      <w:tr w:rsidR="0083750C" w:rsidRPr="00816657" w:rsidTr="0083750C">
        <w:trPr>
          <w:trHeight w:val="250"/>
        </w:trPr>
        <w:tc>
          <w:tcPr>
            <w:cnfStyle w:val="001000000000"/>
            <w:tcW w:w="839" w:type="pct"/>
            <w:vMerge/>
          </w:tcPr>
          <w:p w:rsidR="0083750C" w:rsidRPr="00816657" w:rsidRDefault="0083750C" w:rsidP="00DC45F1">
            <w:pPr>
              <w:pStyle w:val="BodyText"/>
              <w:rPr>
                <w:sz w:val="20"/>
                <w:szCs w:val="20"/>
              </w:rPr>
            </w:pPr>
          </w:p>
        </w:tc>
        <w:tc>
          <w:tcPr>
            <w:tcW w:w="1102" w:type="pct"/>
          </w:tcPr>
          <w:p w:rsidR="0083750C" w:rsidRPr="00816657" w:rsidRDefault="0083750C" w:rsidP="00DC45F1">
            <w:pPr>
              <w:pStyle w:val="BodyText"/>
              <w:cnfStyle w:val="000000000000"/>
              <w:rPr>
                <w:sz w:val="20"/>
                <w:szCs w:val="20"/>
              </w:rPr>
            </w:pPr>
          </w:p>
        </w:tc>
        <w:tc>
          <w:tcPr>
            <w:tcW w:w="2280" w:type="pct"/>
          </w:tcPr>
          <w:p w:rsidR="0083750C" w:rsidRPr="00816657" w:rsidRDefault="0083750C" w:rsidP="00DC45F1">
            <w:pPr>
              <w:pStyle w:val="BodyText"/>
              <w:cnfStyle w:val="000000000000"/>
              <w:rPr>
                <w:sz w:val="20"/>
                <w:szCs w:val="20"/>
              </w:rPr>
            </w:pPr>
            <w:r w:rsidRPr="00816657">
              <w:rPr>
                <w:sz w:val="20"/>
                <w:szCs w:val="20"/>
              </w:rPr>
              <w:t>Apparent transfer of some material to Qld</w:t>
            </w:r>
          </w:p>
        </w:tc>
        <w:tc>
          <w:tcPr>
            <w:tcW w:w="779" w:type="pct"/>
          </w:tcPr>
          <w:p w:rsidR="0083750C" w:rsidRPr="00816657" w:rsidRDefault="0083750C" w:rsidP="00DC45F1">
            <w:pPr>
              <w:pStyle w:val="BodyText"/>
              <w:cnfStyle w:val="000000000000"/>
              <w:rPr>
                <w:sz w:val="20"/>
                <w:szCs w:val="20"/>
              </w:rPr>
            </w:pPr>
          </w:p>
        </w:tc>
      </w:tr>
    </w:tbl>
    <w:p w:rsidR="00376588" w:rsidRPr="00816657" w:rsidRDefault="00376588" w:rsidP="00376588">
      <w:pPr>
        <w:pStyle w:val="BodyText"/>
        <w:rPr>
          <w:b/>
        </w:rPr>
      </w:pPr>
    </w:p>
    <w:p w:rsidR="00376588" w:rsidRPr="00816657" w:rsidRDefault="00376588" w:rsidP="00655F62">
      <w:pPr>
        <w:pStyle w:val="Figures"/>
      </w:pPr>
      <w:bookmarkStart w:id="166" w:name="_Toc425849316"/>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31</w:t>
      </w:r>
      <w:r w:rsidR="006D07F5" w:rsidRPr="00816657">
        <w:rPr>
          <w:noProof/>
        </w:rPr>
        <w:fldChar w:fldCharType="end"/>
      </w:r>
      <w:r w:rsidRPr="00816657">
        <w:t xml:space="preserve">: </w:t>
      </w:r>
      <w:r w:rsidRPr="00816657">
        <w:tab/>
        <w:t>Best, high and low projected rates of change for contaminated soil waste to 2034</w:t>
      </w:r>
      <w:bookmarkEnd w:id="166"/>
    </w:p>
    <w:tbl>
      <w:tblPr>
        <w:tblStyle w:val="BETable1"/>
        <w:tblW w:w="9072" w:type="dxa"/>
        <w:tblLayout w:type="fixed"/>
        <w:tblLook w:val="04A0"/>
      </w:tblPr>
      <w:tblGrid>
        <w:gridCol w:w="709"/>
        <w:gridCol w:w="1134"/>
        <w:gridCol w:w="4536"/>
        <w:gridCol w:w="992"/>
        <w:gridCol w:w="567"/>
        <w:gridCol w:w="1134"/>
      </w:tblGrid>
      <w:tr w:rsidR="00E76648" w:rsidRPr="00816657" w:rsidTr="00B72E67">
        <w:trPr>
          <w:cnfStyle w:val="100000000000"/>
        </w:trPr>
        <w:tc>
          <w:tcPr>
            <w:cnfStyle w:val="001000000000"/>
            <w:tcW w:w="709" w:type="dxa"/>
          </w:tcPr>
          <w:p w:rsidR="00E76648" w:rsidRPr="00816657" w:rsidRDefault="00E76648" w:rsidP="00C758EA"/>
        </w:tc>
        <w:tc>
          <w:tcPr>
            <w:tcW w:w="1134" w:type="dxa"/>
          </w:tcPr>
          <w:p w:rsidR="00E76648" w:rsidRPr="00816657" w:rsidRDefault="00E76648" w:rsidP="00C758EA">
            <w:pPr>
              <w:cnfStyle w:val="100000000000"/>
            </w:pPr>
            <w:r w:rsidRPr="00816657">
              <w:t>Applies to</w:t>
            </w:r>
          </w:p>
        </w:tc>
        <w:tc>
          <w:tcPr>
            <w:tcW w:w="4536" w:type="dxa"/>
          </w:tcPr>
          <w:p w:rsidR="00E76648" w:rsidRPr="00816657" w:rsidRDefault="00E76648" w:rsidP="00C758EA">
            <w:pPr>
              <w:cnfStyle w:val="100000000000"/>
            </w:pPr>
            <w:r w:rsidRPr="00816657">
              <w:t>Approach</w:t>
            </w:r>
          </w:p>
        </w:tc>
        <w:tc>
          <w:tcPr>
            <w:tcW w:w="992" w:type="dxa"/>
          </w:tcPr>
          <w:p w:rsidR="00E76648" w:rsidRPr="00816657" w:rsidRDefault="00E76648" w:rsidP="00DF1E42">
            <w:pPr>
              <w:jc w:val="right"/>
              <w:cnfStyle w:val="100000000000"/>
            </w:pPr>
            <w:r w:rsidRPr="00816657">
              <w:t>2014</w:t>
            </w:r>
          </w:p>
        </w:tc>
        <w:tc>
          <w:tcPr>
            <w:tcW w:w="567" w:type="dxa"/>
          </w:tcPr>
          <w:p w:rsidR="00E76648" w:rsidRPr="00816657" w:rsidRDefault="00E76648" w:rsidP="00DF1E42">
            <w:pPr>
              <w:jc w:val="right"/>
              <w:cnfStyle w:val="100000000000"/>
            </w:pPr>
            <w:r w:rsidRPr="00816657">
              <w:t>...</w:t>
            </w:r>
          </w:p>
        </w:tc>
        <w:tc>
          <w:tcPr>
            <w:tcW w:w="1134" w:type="dxa"/>
          </w:tcPr>
          <w:p w:rsidR="00E76648" w:rsidRPr="00816657" w:rsidRDefault="00E76648" w:rsidP="00DF1E42">
            <w:pPr>
              <w:jc w:val="right"/>
              <w:cnfStyle w:val="100000000000"/>
            </w:pPr>
            <w:r w:rsidRPr="00816657">
              <w:t>2034</w:t>
            </w:r>
          </w:p>
        </w:tc>
      </w:tr>
      <w:tr w:rsidR="00E76648" w:rsidRPr="00816657" w:rsidTr="00B72E67">
        <w:tc>
          <w:tcPr>
            <w:cnfStyle w:val="001000000000"/>
            <w:tcW w:w="709" w:type="dxa"/>
          </w:tcPr>
          <w:p w:rsidR="00E76648" w:rsidRPr="00816657" w:rsidRDefault="00E76648" w:rsidP="00C758EA">
            <w:r w:rsidRPr="00816657">
              <w:t>Best</w:t>
            </w:r>
          </w:p>
        </w:tc>
        <w:tc>
          <w:tcPr>
            <w:tcW w:w="1134" w:type="dxa"/>
            <w:vMerge w:val="restart"/>
            <w:vAlign w:val="center"/>
          </w:tcPr>
          <w:p w:rsidR="00E76648" w:rsidRPr="00816657" w:rsidRDefault="00E76648" w:rsidP="00C758EA">
            <w:pPr>
              <w:cnfStyle w:val="000000000000"/>
            </w:pPr>
            <w:r w:rsidRPr="00816657">
              <w:t>ACT, NSW, NT, Qld, SA, Tas, Vic, WA</w:t>
            </w:r>
          </w:p>
        </w:tc>
        <w:tc>
          <w:tcPr>
            <w:tcW w:w="4536" w:type="dxa"/>
          </w:tcPr>
          <w:p w:rsidR="00E76648" w:rsidRPr="00816657" w:rsidRDefault="00E76648" w:rsidP="00C758EA">
            <w:pPr>
              <w:cnfStyle w:val="000000000000"/>
            </w:pPr>
            <w:r w:rsidRPr="00816657">
              <w:t>Stable</w:t>
            </w:r>
          </w:p>
        </w:tc>
        <w:tc>
          <w:tcPr>
            <w:tcW w:w="992" w:type="dxa"/>
          </w:tcPr>
          <w:p w:rsidR="00E76648" w:rsidRPr="00816657" w:rsidRDefault="00E76648" w:rsidP="00DF1E42">
            <w:pPr>
              <w:jc w:val="right"/>
              <w:cnfStyle w:val="000000000000"/>
            </w:pPr>
            <w:r w:rsidRPr="00816657">
              <w:t>2.8%</w:t>
            </w:r>
          </w:p>
        </w:tc>
        <w:tc>
          <w:tcPr>
            <w:tcW w:w="567" w:type="dxa"/>
          </w:tcPr>
          <w:p w:rsidR="00E76648" w:rsidRPr="00816657" w:rsidRDefault="00E76648" w:rsidP="00DF1E42">
            <w:pPr>
              <w:jc w:val="right"/>
              <w:cnfStyle w:val="000000000000"/>
            </w:pPr>
            <w:r w:rsidRPr="00816657">
              <w:t>...</w:t>
            </w:r>
          </w:p>
        </w:tc>
        <w:tc>
          <w:tcPr>
            <w:tcW w:w="1134" w:type="dxa"/>
          </w:tcPr>
          <w:p w:rsidR="00E76648" w:rsidRPr="00816657" w:rsidRDefault="00E76648" w:rsidP="00DF1E42">
            <w:pPr>
              <w:jc w:val="right"/>
              <w:cnfStyle w:val="000000000000"/>
            </w:pPr>
            <w:r w:rsidRPr="00816657">
              <w:t>2.8%</w:t>
            </w:r>
          </w:p>
        </w:tc>
      </w:tr>
      <w:tr w:rsidR="00E76648" w:rsidRPr="00816657" w:rsidTr="00B72E67">
        <w:tc>
          <w:tcPr>
            <w:cnfStyle w:val="001000000000"/>
            <w:tcW w:w="709" w:type="dxa"/>
          </w:tcPr>
          <w:p w:rsidR="00E76648" w:rsidRPr="00816657" w:rsidRDefault="00E76648" w:rsidP="00C758EA">
            <w:r w:rsidRPr="00816657">
              <w:t>High</w:t>
            </w:r>
          </w:p>
        </w:tc>
        <w:tc>
          <w:tcPr>
            <w:tcW w:w="1134" w:type="dxa"/>
            <w:vMerge/>
            <w:vAlign w:val="center"/>
          </w:tcPr>
          <w:p w:rsidR="00E76648" w:rsidRPr="00816657" w:rsidRDefault="00E76648" w:rsidP="00C758EA">
            <w:pPr>
              <w:cnfStyle w:val="000000000000"/>
            </w:pPr>
          </w:p>
        </w:tc>
        <w:tc>
          <w:tcPr>
            <w:tcW w:w="4536" w:type="dxa"/>
          </w:tcPr>
          <w:p w:rsidR="00E76648" w:rsidRPr="00816657" w:rsidRDefault="00E76648" w:rsidP="0083750C">
            <w:pPr>
              <w:cnfStyle w:val="000000000000"/>
            </w:pPr>
            <w:r w:rsidRPr="00816657">
              <w:t xml:space="preserve">As per best estimate, </w:t>
            </w:r>
            <w:r w:rsidR="0083750C" w:rsidRPr="00816657">
              <w:t>+ 50%</w:t>
            </w:r>
          </w:p>
        </w:tc>
        <w:tc>
          <w:tcPr>
            <w:tcW w:w="992" w:type="dxa"/>
          </w:tcPr>
          <w:p w:rsidR="00E76648" w:rsidRPr="00816657" w:rsidRDefault="00E76648" w:rsidP="00DF1E42">
            <w:pPr>
              <w:jc w:val="right"/>
              <w:cnfStyle w:val="000000000000"/>
            </w:pPr>
            <w:r w:rsidRPr="00816657">
              <w:t>2.8%</w:t>
            </w:r>
          </w:p>
        </w:tc>
        <w:tc>
          <w:tcPr>
            <w:tcW w:w="567" w:type="dxa"/>
          </w:tcPr>
          <w:p w:rsidR="00E76648" w:rsidRPr="00816657" w:rsidRDefault="00E76648" w:rsidP="00DF1E42">
            <w:pPr>
              <w:jc w:val="right"/>
              <w:cnfStyle w:val="000000000000"/>
            </w:pPr>
            <w:r w:rsidRPr="00816657">
              <w:t>...</w:t>
            </w:r>
          </w:p>
        </w:tc>
        <w:tc>
          <w:tcPr>
            <w:tcW w:w="1134" w:type="dxa"/>
          </w:tcPr>
          <w:p w:rsidR="00E76648" w:rsidRPr="00816657" w:rsidRDefault="00E76648" w:rsidP="00DF1E42">
            <w:pPr>
              <w:jc w:val="right"/>
              <w:cnfStyle w:val="000000000000"/>
            </w:pPr>
            <w:r w:rsidRPr="00816657">
              <w:t>5.8%</w:t>
            </w:r>
          </w:p>
        </w:tc>
      </w:tr>
      <w:tr w:rsidR="00E76648" w:rsidRPr="00816657" w:rsidTr="007C207B">
        <w:tc>
          <w:tcPr>
            <w:cnfStyle w:val="001000000000"/>
            <w:tcW w:w="709" w:type="dxa"/>
            <w:tcBorders>
              <w:bottom w:val="single" w:sz="4" w:space="0" w:color="auto"/>
            </w:tcBorders>
          </w:tcPr>
          <w:p w:rsidR="00E76648" w:rsidRPr="00816657" w:rsidRDefault="00E76648" w:rsidP="00C758EA">
            <w:r w:rsidRPr="00816657">
              <w:t>Low</w:t>
            </w:r>
          </w:p>
        </w:tc>
        <w:tc>
          <w:tcPr>
            <w:tcW w:w="1134" w:type="dxa"/>
            <w:vMerge/>
            <w:tcBorders>
              <w:bottom w:val="single" w:sz="4" w:space="0" w:color="auto"/>
            </w:tcBorders>
            <w:vAlign w:val="center"/>
          </w:tcPr>
          <w:p w:rsidR="00E76648" w:rsidRPr="00816657" w:rsidRDefault="00E76648" w:rsidP="00C758EA">
            <w:pPr>
              <w:cnfStyle w:val="000000000000"/>
            </w:pPr>
          </w:p>
        </w:tc>
        <w:tc>
          <w:tcPr>
            <w:tcW w:w="4536" w:type="dxa"/>
            <w:tcBorders>
              <w:bottom w:val="single" w:sz="4" w:space="0" w:color="auto"/>
            </w:tcBorders>
          </w:tcPr>
          <w:p w:rsidR="00E76648" w:rsidRPr="00816657" w:rsidRDefault="00E76648" w:rsidP="0083750C">
            <w:pPr>
              <w:cnfStyle w:val="000000000000"/>
            </w:pPr>
            <w:r w:rsidRPr="00816657">
              <w:t>As per best estimate,</w:t>
            </w:r>
            <w:r w:rsidR="0083750C" w:rsidRPr="00816657">
              <w:t xml:space="preserve"> - 50%</w:t>
            </w:r>
          </w:p>
        </w:tc>
        <w:tc>
          <w:tcPr>
            <w:tcW w:w="992" w:type="dxa"/>
            <w:tcBorders>
              <w:bottom w:val="single" w:sz="4" w:space="0" w:color="auto"/>
            </w:tcBorders>
          </w:tcPr>
          <w:p w:rsidR="00E76648" w:rsidRPr="00816657" w:rsidRDefault="00E76648" w:rsidP="00DF1E42">
            <w:pPr>
              <w:jc w:val="right"/>
              <w:cnfStyle w:val="000000000000"/>
            </w:pPr>
            <w:r w:rsidRPr="00816657">
              <w:t>2.8%</w:t>
            </w:r>
          </w:p>
        </w:tc>
        <w:tc>
          <w:tcPr>
            <w:tcW w:w="567" w:type="dxa"/>
            <w:tcBorders>
              <w:bottom w:val="single" w:sz="4" w:space="0" w:color="auto"/>
            </w:tcBorders>
          </w:tcPr>
          <w:p w:rsidR="00E76648" w:rsidRPr="00816657" w:rsidRDefault="00E76648" w:rsidP="00DF1E42">
            <w:pPr>
              <w:jc w:val="right"/>
              <w:cnfStyle w:val="000000000000"/>
            </w:pPr>
            <w:r w:rsidRPr="00816657">
              <w:t>...</w:t>
            </w:r>
          </w:p>
        </w:tc>
        <w:tc>
          <w:tcPr>
            <w:tcW w:w="1134" w:type="dxa"/>
            <w:tcBorders>
              <w:bottom w:val="single" w:sz="4" w:space="0" w:color="auto"/>
            </w:tcBorders>
          </w:tcPr>
          <w:p w:rsidR="00E76648" w:rsidRPr="00816657" w:rsidRDefault="00E76648" w:rsidP="00DF1E42">
            <w:pPr>
              <w:jc w:val="right"/>
              <w:cnfStyle w:val="000000000000"/>
            </w:pPr>
            <w:r w:rsidRPr="00816657">
              <w:t>-0.2%</w:t>
            </w:r>
          </w:p>
        </w:tc>
      </w:tr>
    </w:tbl>
    <w:p w:rsidR="007C207B" w:rsidRPr="00816657" w:rsidRDefault="007C207B" w:rsidP="00376588">
      <w:pPr>
        <w:pStyle w:val="BodyText"/>
      </w:pPr>
    </w:p>
    <w:p w:rsidR="00D92260" w:rsidRPr="00816657" w:rsidRDefault="00D92260" w:rsidP="00655F62">
      <w:pPr>
        <w:pStyle w:val="Figures"/>
      </w:pPr>
      <w:bookmarkStart w:id="167" w:name="_Toc425849243"/>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25</w:t>
      </w:r>
      <w:r w:rsidR="006D07F5" w:rsidRPr="00816657">
        <w:rPr>
          <w:noProof/>
        </w:rPr>
        <w:fldChar w:fldCharType="end"/>
      </w:r>
      <w:r w:rsidRPr="00816657">
        <w:t xml:space="preserve">: </w:t>
      </w:r>
      <w:r w:rsidRPr="00816657">
        <w:tab/>
        <w:t>Best, high and low national projection estimates of contaminated soil waste to 2034</w:t>
      </w:r>
      <w:bookmarkEnd w:id="167"/>
    </w:p>
    <w:p w:rsidR="00D92260" w:rsidRPr="00816657" w:rsidRDefault="00C05ED6" w:rsidP="00D92260">
      <w:pPr>
        <w:spacing w:line="240" w:lineRule="auto"/>
      </w:pPr>
      <w:r w:rsidRPr="00C05ED6">
        <w:rPr>
          <w:noProof/>
          <w:lang w:eastAsia="en-AU"/>
        </w:rPr>
        <w:drawing>
          <wp:inline distT="0" distB="0" distL="0" distR="0">
            <wp:extent cx="5638096" cy="2247619"/>
            <wp:effectExtent l="0" t="0" r="1270" b="63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638096" cy="2247619"/>
                    </a:xfrm>
                    <a:prstGeom prst="rect">
                      <a:avLst/>
                    </a:prstGeom>
                  </pic:spPr>
                </pic:pic>
              </a:graphicData>
            </a:graphic>
          </wp:inline>
        </w:drawing>
      </w:r>
    </w:p>
    <w:p w:rsidR="00E76648" w:rsidRPr="00816657" w:rsidRDefault="00E76648">
      <w:pPr>
        <w:spacing w:line="240" w:lineRule="auto"/>
        <w:rPr>
          <w:rFonts w:ascii="Arial Rounded MT Bold" w:hAnsi="Arial Rounded MT Bold" w:cs="Arial"/>
          <w:color w:val="0000FF"/>
          <w:sz w:val="36"/>
          <w:szCs w:val="36"/>
        </w:rPr>
      </w:pPr>
      <w:r w:rsidRPr="00816657">
        <w:br w:type="page"/>
      </w:r>
    </w:p>
    <w:p w:rsidR="00D92260" w:rsidRDefault="00D92260" w:rsidP="0093164B">
      <w:pPr>
        <w:pStyle w:val="Heading3"/>
      </w:pPr>
      <w:r w:rsidRPr="00816657">
        <w:lastRenderedPageBreak/>
        <w:t>N205a. Contaminated biosolids</w:t>
      </w:r>
    </w:p>
    <w:p w:rsidR="00690D9F" w:rsidRPr="00A11503" w:rsidRDefault="00690D9F" w:rsidP="00690D9F">
      <w:pPr>
        <w:pStyle w:val="BodyText"/>
      </w:pPr>
      <w:r w:rsidRPr="00A11503">
        <w:t>Biosolids are a product of sewage sludge (the sludge collected from wastewater treatment) once it has undergone further treatment to reduce disease causing pathogens and volatile organic matter, producing a stabilised product. Biosolids are typically 75-80% water in their ‘wet’ state, compared to sewage sludge which is approximately 97% water. Like fly ash, biosolids have significant potential for beneficial reuse, which currently occurs throughout Australia. Suitable quality biosolids can be applied as a fertiliser to improve and maintain productive soils and stimulate plant growth.</w:t>
      </w:r>
    </w:p>
    <w:p w:rsidR="00690D9F" w:rsidRPr="00A11503" w:rsidRDefault="00690D9F" w:rsidP="00690D9F">
      <w:pPr>
        <w:pStyle w:val="BodyText"/>
      </w:pPr>
    </w:p>
    <w:p w:rsidR="00690D9F" w:rsidRPr="00A11503" w:rsidRDefault="00690D9F" w:rsidP="00690D9F">
      <w:pPr>
        <w:pStyle w:val="BodyText"/>
      </w:pPr>
      <w:r w:rsidRPr="00A11503">
        <w:t xml:space="preserve">Biosolids are not a controlled waste under the NEPM and consequently are not tracked in all jurisdictions. However, it is widely accepted that some biosolids – particularly those generated in treatment plants servicing industrial areas – are contaminated with heavy metals at levels exceeding criteria set to protect environmental and human health values. Other organic pollutants may also be present. Consequently and conservatively, biosolids have been included in Australia’s annual hazardous waste reporting to the Basel Convention as a precaution. In the 2012 and 2013 Basel report, biosolids were included under the NEPM category </w:t>
      </w:r>
      <w:r w:rsidRPr="00A11503">
        <w:rPr>
          <w:i/>
        </w:rPr>
        <w:t>N205 Residues arising from industrial waste treatment/disposal operations</w:t>
      </w:r>
      <w:r w:rsidRPr="00A11503">
        <w:t>, along with other wastes that are reported to tracking systems under this category.</w:t>
      </w:r>
    </w:p>
    <w:p w:rsidR="00690D9F" w:rsidRPr="00A11503" w:rsidRDefault="00690D9F" w:rsidP="00690D9F">
      <w:pPr>
        <w:pStyle w:val="BodyText"/>
      </w:pPr>
    </w:p>
    <w:p w:rsidR="00690D9F" w:rsidRPr="00A11503" w:rsidRDefault="00690D9F" w:rsidP="00690D9F">
      <w:pPr>
        <w:pStyle w:val="BodyText"/>
      </w:pPr>
      <w:r w:rsidRPr="00A11503">
        <w:t xml:space="preserve">Biosolids guidelines exist in all jurisdictions that allow appropriate beneficial uses of biosolids matched to their inherent hazard (with respect to chemical contaminants such as heavy metals like cadmium, lead and mercury). While it is conservative to classify all biosolids as hazardous waste, it is logical that biosolids containing pollutants at concentrations exceeding the highest classification levels outlined in biosolids guidelines may be deemed to be hazardous waste. Soils or other wastes so contaminated would be regulated as hazardous. Consequently, the hazardous waste group ‘contaminated biosolids’ was created for this </w:t>
      </w:r>
      <w:proofErr w:type="gramStart"/>
      <w:r w:rsidRPr="00A11503">
        <w:t>project,</w:t>
      </w:r>
      <w:proofErr w:type="gramEnd"/>
      <w:r w:rsidRPr="00A11503">
        <w:t xml:space="preserve"> with arisings estimates modelled from national (total) biosolids tonnages.</w:t>
      </w:r>
    </w:p>
    <w:p w:rsidR="00690D9F" w:rsidRPr="00A11503" w:rsidRDefault="00690D9F" w:rsidP="00690D9F">
      <w:pPr>
        <w:pStyle w:val="BodyText"/>
      </w:pPr>
    </w:p>
    <w:p w:rsidR="00690D9F" w:rsidRPr="00A11503" w:rsidRDefault="00690D9F" w:rsidP="00690D9F">
      <w:pPr>
        <w:pStyle w:val="BodyText"/>
      </w:pPr>
      <w:r w:rsidRPr="00A11503">
        <w:t>Biosolids mostly fall outside of the tracking process, although some states appear to track movements of sewage sludge (the raw state of biosolids), presumably based on issues such as odour and pathogenicity. The lack of tracking means biosolids are often ‘missing’ from hazardous waste consideration – their inclusion for Basel reporting purposes is a recent development. They are not typically considered as hazardous waste, or even waste at all by some, but, like fly ash, they can contain contaminants such as heavy metals and even POPs, that would make them a hazardous waste based on NSW or Victorian waste contaminant classification/ categorisation concentrations.</w:t>
      </w:r>
    </w:p>
    <w:p w:rsidR="00690D9F" w:rsidRPr="00A11503" w:rsidRDefault="00690D9F" w:rsidP="00690D9F">
      <w:pPr>
        <w:pStyle w:val="BodyText"/>
      </w:pPr>
    </w:p>
    <w:p w:rsidR="00690D9F" w:rsidRPr="00A11503" w:rsidRDefault="00690D9F" w:rsidP="00690D9F">
      <w:pPr>
        <w:pStyle w:val="BodyText"/>
      </w:pPr>
      <w:r w:rsidRPr="00A11503">
        <w:t>While a hazard risk versus resource value tension exists for biosolids, the application of state-based biosolids guideline chemical contaminant concentration levels should ensure that beneficial reuse applications match the quality of the biosolids in a ‘fit for purpose’ way. This appears to be predominantly what occurs, although the authors were not able to obtain publicly available data to provide transparency to this evaluation process. The major exception to his was the two major Victorian treatment plant biosolids stockpiles (for Eastern and Western Treatment Plants respectively), which have excellent detailed analysis data in the public domain.</w:t>
      </w:r>
    </w:p>
    <w:p w:rsidR="00690D9F" w:rsidRPr="00A11503" w:rsidRDefault="00690D9F" w:rsidP="00690D9F">
      <w:pPr>
        <w:pStyle w:val="BodyText"/>
      </w:pPr>
    </w:p>
    <w:p w:rsidR="00690D9F" w:rsidRPr="00A11503" w:rsidRDefault="00690D9F" w:rsidP="00690D9F">
      <w:pPr>
        <w:pStyle w:val="BodyText"/>
      </w:pPr>
      <w:r w:rsidRPr="00A11503">
        <w:t>Apart from the scale of the waste stream – the largest of all reported to Basel – an emerging problem is the reality that many biosolids guidelines applied by states and territories have inadequate coverage of hazardous chemicals. For example Western Australian and South Australian guidelines, do not consider arsenic, mercury or lead, although these are the heavy metals within much of Victoria’s historical Western Treatment Plant biosolids stockpile that exceed hazardous waste concentration thresholds.</w:t>
      </w:r>
    </w:p>
    <w:p w:rsidR="00690D9F" w:rsidRPr="00A11503" w:rsidRDefault="00690D9F" w:rsidP="00690D9F">
      <w:pPr>
        <w:pStyle w:val="BodyText"/>
      </w:pPr>
    </w:p>
    <w:p w:rsidR="00CD0408" w:rsidRDefault="00690D9F" w:rsidP="00617794">
      <w:pPr>
        <w:pStyle w:val="BodyText"/>
      </w:pPr>
      <w:r w:rsidRPr="00617794">
        <w:t xml:space="preserve">A bigger issue is the potential presence of chemicals only relatively recently determined to be an environmental concern, such as the new Stockholm Convention listings of POPs, which are known to be present in biosolids. Should these chemicals be present at levels high enough to cause concern, legislative change is foreseeable that could lead to a quite different set of biosolids management requirements in the </w:t>
      </w:r>
      <w:r w:rsidRPr="00617794">
        <w:lastRenderedPageBreak/>
        <w:t>near future</w:t>
      </w:r>
      <w:r w:rsidRPr="00A11503">
        <w:t>.</w:t>
      </w:r>
      <w:r w:rsidR="00270388">
        <w:t xml:space="preserve"> </w:t>
      </w:r>
      <w:r w:rsidR="00270388" w:rsidRPr="00617794">
        <w:rPr>
          <w:b/>
        </w:rPr>
        <w:t>Note:</w:t>
      </w:r>
      <w:r w:rsidR="00270388">
        <w:t xml:space="preserve"> as detailed in </w:t>
      </w:r>
      <w:fldSimple w:instr=" REF _Ref408325490 \h  \* MERGEFORMAT ">
        <w:r w:rsidR="002F3000" w:rsidRPr="00816657">
          <w:t xml:space="preserve">Table </w:t>
        </w:r>
        <w:r w:rsidR="002F3000">
          <w:rPr>
            <w:noProof/>
          </w:rPr>
          <w:t>1</w:t>
        </w:r>
      </w:fldSimple>
      <w:r w:rsidR="00270388">
        <w:t xml:space="preserve"> the projections for ‘POP contaminated biosolids’ are included with the projections for M160 a-c (above) and, to avoid double counting, are not included in the projection for contaminated biosolids below.  </w:t>
      </w:r>
    </w:p>
    <w:p w:rsidR="00CD0408" w:rsidRDefault="00CD0408" w:rsidP="00617794">
      <w:pPr>
        <w:pStyle w:val="BodyText"/>
      </w:pPr>
    </w:p>
    <w:p w:rsidR="00CD0408" w:rsidRPr="007F5BD4" w:rsidRDefault="00CD0408" w:rsidP="007F5BD4">
      <w:pPr>
        <w:spacing w:line="240" w:lineRule="auto"/>
        <w:rPr>
          <w:b/>
        </w:rPr>
      </w:pPr>
      <w:r w:rsidRPr="007F5BD4">
        <w:rPr>
          <w:b/>
          <w:sz w:val="22"/>
        </w:rPr>
        <w:t xml:space="preserve">Review Appendix </w:t>
      </w:r>
      <w:fldSimple w:instr=" REF _Ref408390288 \r \h  \* MERGEFORMAT ">
        <w:r w:rsidR="002F3000">
          <w:rPr>
            <w:b/>
            <w:sz w:val="22"/>
          </w:rPr>
          <w:t>A.6</w:t>
        </w:r>
      </w:fldSimple>
      <w:r w:rsidRPr="007F5BD4">
        <w:rPr>
          <w:b/>
          <w:sz w:val="22"/>
        </w:rPr>
        <w:t xml:space="preserve"> </w:t>
      </w:r>
      <w:r w:rsidRPr="007F5BD4">
        <w:rPr>
          <w:sz w:val="22"/>
        </w:rPr>
        <w:t>for a detailed discussion of contaminated biosolids projections including the data sources and assumptions used in providing the projections below.</w:t>
      </w:r>
    </w:p>
    <w:p w:rsidR="00395C9B" w:rsidRDefault="00395C9B" w:rsidP="0072342B">
      <w:pPr>
        <w:pStyle w:val="BodyText"/>
        <w:rPr>
          <w:b/>
        </w:rPr>
      </w:pPr>
    </w:p>
    <w:p w:rsidR="0072342B" w:rsidRPr="00816657" w:rsidRDefault="0072342B" w:rsidP="0072342B">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1617"/>
        <w:gridCol w:w="1984"/>
        <w:gridCol w:w="3544"/>
        <w:gridCol w:w="2495"/>
      </w:tblGrid>
      <w:tr w:rsidR="00E42D11" w:rsidRPr="00816657" w:rsidTr="009C1C85">
        <w:trPr>
          <w:cnfStyle w:val="100000000000"/>
        </w:trPr>
        <w:tc>
          <w:tcPr>
            <w:cnfStyle w:val="001000000000"/>
            <w:tcW w:w="839"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029"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838"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294"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9C1C85" w:rsidRPr="00816657" w:rsidTr="009C1C85">
        <w:tc>
          <w:tcPr>
            <w:cnfStyle w:val="001000000000"/>
            <w:tcW w:w="839" w:type="pct"/>
            <w:tcBorders>
              <w:top w:val="single" w:sz="4" w:space="0" w:color="7F7F7F" w:themeColor="background2"/>
            </w:tcBorders>
          </w:tcPr>
          <w:p w:rsidR="009C1C85" w:rsidRPr="00816657" w:rsidRDefault="009C1C85" w:rsidP="00BC3BD0">
            <w:pPr>
              <w:spacing w:line="240" w:lineRule="auto"/>
              <w:rPr>
                <w:rFonts w:cs="Times New Roman"/>
                <w:color w:val="000000"/>
                <w:szCs w:val="20"/>
                <w:lang w:eastAsia="en-AU"/>
              </w:rPr>
            </w:pPr>
            <w:r w:rsidRPr="00816657">
              <w:rPr>
                <w:szCs w:val="20"/>
              </w:rPr>
              <w:t>Wastewater treatment</w:t>
            </w:r>
          </w:p>
        </w:tc>
        <w:tc>
          <w:tcPr>
            <w:tcW w:w="1029" w:type="pct"/>
            <w:tcBorders>
              <w:top w:val="single" w:sz="4" w:space="0" w:color="7F7F7F" w:themeColor="background2"/>
            </w:tcBorders>
          </w:tcPr>
          <w:p w:rsidR="009C1C85" w:rsidRPr="00816657" w:rsidRDefault="0042794D" w:rsidP="009C1C85">
            <w:pPr>
              <w:pStyle w:val="BodyText"/>
              <w:cnfStyle w:val="000000000000"/>
              <w:rPr>
                <w:sz w:val="20"/>
                <w:szCs w:val="20"/>
              </w:rPr>
            </w:pPr>
            <w:r>
              <w:rPr>
                <w:sz w:val="20"/>
                <w:szCs w:val="20"/>
              </w:rPr>
              <w:t>C</w:t>
            </w:r>
            <w:r w:rsidR="009C1C85" w:rsidRPr="00816657">
              <w:rPr>
                <w:sz w:val="20"/>
                <w:szCs w:val="20"/>
              </w:rPr>
              <w:t>redible projections exist (see DoE 2012b)</w:t>
            </w:r>
            <w:r>
              <w:rPr>
                <w:sz w:val="20"/>
                <w:szCs w:val="20"/>
              </w:rPr>
              <w:t xml:space="preserve"> but are incomplete</w:t>
            </w:r>
          </w:p>
        </w:tc>
        <w:tc>
          <w:tcPr>
            <w:tcW w:w="1838" w:type="pct"/>
            <w:tcBorders>
              <w:top w:val="single" w:sz="4" w:space="0" w:color="7F7F7F" w:themeColor="background2"/>
            </w:tcBorders>
          </w:tcPr>
          <w:p w:rsidR="009C1C85" w:rsidRPr="00816657" w:rsidRDefault="009C1C85" w:rsidP="00EA7F18">
            <w:pPr>
              <w:pStyle w:val="BodyText"/>
              <w:cnfStyle w:val="000000000000"/>
              <w:rPr>
                <w:sz w:val="20"/>
                <w:szCs w:val="20"/>
              </w:rPr>
            </w:pPr>
            <w:r w:rsidRPr="00816657">
              <w:rPr>
                <w:sz w:val="20"/>
                <w:szCs w:val="20"/>
              </w:rPr>
              <w:t>Unlike other waste types listed, the biosolids baseline is potential hazardous waste only. The future extent of hazard classification is uncertain</w:t>
            </w:r>
          </w:p>
        </w:tc>
        <w:tc>
          <w:tcPr>
            <w:tcW w:w="1294" w:type="pct"/>
            <w:vMerge w:val="restart"/>
            <w:tcBorders>
              <w:top w:val="single" w:sz="4" w:space="0" w:color="7F7F7F" w:themeColor="background2"/>
            </w:tcBorders>
          </w:tcPr>
          <w:p w:rsidR="009C1C85" w:rsidRPr="00816657" w:rsidRDefault="009C1C85" w:rsidP="00EA7F18">
            <w:pPr>
              <w:pStyle w:val="BodyText"/>
              <w:cnfStyle w:val="000000000000"/>
              <w:rPr>
                <w:sz w:val="20"/>
                <w:szCs w:val="20"/>
              </w:rPr>
            </w:pPr>
            <w:r w:rsidRPr="00816657">
              <w:rPr>
                <w:sz w:val="20"/>
                <w:szCs w:val="20"/>
              </w:rPr>
              <w:t>Use judgement - trend and causal analysis (</w:t>
            </w:r>
            <w:r w:rsidRPr="00816657">
              <w:rPr>
                <w:szCs w:val="20"/>
              </w:rPr>
              <w:t>description of individual scenario approach described below)</w:t>
            </w:r>
          </w:p>
        </w:tc>
      </w:tr>
      <w:tr w:rsidR="009C1C85" w:rsidRPr="00816657" w:rsidTr="009C1C85">
        <w:tc>
          <w:tcPr>
            <w:cnfStyle w:val="001000000000"/>
            <w:tcW w:w="839" w:type="pct"/>
          </w:tcPr>
          <w:p w:rsidR="009C1C85" w:rsidRPr="00816657" w:rsidRDefault="009C1C85" w:rsidP="009C1C85">
            <w:pPr>
              <w:pStyle w:val="BodyText"/>
              <w:rPr>
                <w:sz w:val="20"/>
                <w:szCs w:val="20"/>
              </w:rPr>
            </w:pPr>
          </w:p>
        </w:tc>
        <w:tc>
          <w:tcPr>
            <w:tcW w:w="1029" w:type="pct"/>
          </w:tcPr>
          <w:p w:rsidR="009C1C85" w:rsidRPr="00816657" w:rsidRDefault="009C1C85" w:rsidP="00EA7F18">
            <w:pPr>
              <w:pStyle w:val="BodyText"/>
              <w:cnfStyle w:val="000000000000"/>
              <w:rPr>
                <w:sz w:val="20"/>
                <w:szCs w:val="20"/>
              </w:rPr>
            </w:pPr>
            <w:r w:rsidRPr="00816657">
              <w:rPr>
                <w:sz w:val="20"/>
                <w:szCs w:val="20"/>
              </w:rPr>
              <w:t>A partial historical database exists</w:t>
            </w:r>
          </w:p>
        </w:tc>
        <w:tc>
          <w:tcPr>
            <w:tcW w:w="1838" w:type="pct"/>
          </w:tcPr>
          <w:p w:rsidR="009C1C85" w:rsidRPr="00816657" w:rsidRDefault="009C1C85" w:rsidP="00EA7F18">
            <w:pPr>
              <w:pStyle w:val="BodyText"/>
              <w:cnfStyle w:val="000000000000"/>
              <w:rPr>
                <w:sz w:val="20"/>
                <w:szCs w:val="20"/>
              </w:rPr>
            </w:pPr>
            <w:r w:rsidRPr="00816657">
              <w:rPr>
                <w:sz w:val="20"/>
                <w:szCs w:val="20"/>
              </w:rPr>
              <w:t>Note: biosolids in 'new' M160 wastes are subtracted to avoid double-counting</w:t>
            </w:r>
          </w:p>
        </w:tc>
        <w:tc>
          <w:tcPr>
            <w:tcW w:w="1294" w:type="pct"/>
            <w:vMerge/>
          </w:tcPr>
          <w:p w:rsidR="009C1C85" w:rsidRPr="00816657" w:rsidRDefault="009C1C85" w:rsidP="00EA7F18">
            <w:pPr>
              <w:spacing w:line="240" w:lineRule="auto"/>
              <w:cnfStyle w:val="000000000000"/>
              <w:rPr>
                <w:color w:val="080808"/>
                <w:szCs w:val="20"/>
              </w:rPr>
            </w:pPr>
          </w:p>
        </w:tc>
      </w:tr>
    </w:tbl>
    <w:p w:rsidR="00690D9F" w:rsidRDefault="00690D9F" w:rsidP="00376588">
      <w:pPr>
        <w:pStyle w:val="BodyText"/>
        <w:rPr>
          <w:b/>
        </w:rPr>
      </w:pPr>
    </w:p>
    <w:p w:rsidR="00C758EA" w:rsidRPr="00816657" w:rsidRDefault="00C758EA" w:rsidP="00376588">
      <w:pPr>
        <w:pStyle w:val="BodyText"/>
        <w:rPr>
          <w:b/>
        </w:rPr>
      </w:pPr>
      <w:r w:rsidRPr="00816657">
        <w:rPr>
          <w:b/>
        </w:rPr>
        <w:t>Best estimate approach:</w:t>
      </w:r>
    </w:p>
    <w:p w:rsidR="0064280F" w:rsidRDefault="00C758EA" w:rsidP="009C1C85">
      <w:pPr>
        <w:pStyle w:val="Bullet1"/>
      </w:pPr>
      <w:r w:rsidRPr="00816657">
        <w:t xml:space="preserve">Contaminated biosolids </w:t>
      </w:r>
      <w:r w:rsidR="0042794D">
        <w:t xml:space="preserve">are defined as those within the </w:t>
      </w:r>
      <w:r w:rsidRPr="00816657">
        <w:t xml:space="preserve">Vic C3 contaminant </w:t>
      </w:r>
      <w:r w:rsidR="0042794D">
        <w:t>category (EPA Vic 2004)</w:t>
      </w:r>
      <w:r w:rsidR="00C1404B" w:rsidRPr="00816657">
        <w:t>.</w:t>
      </w:r>
      <w:r w:rsidR="0064280F">
        <w:t xml:space="preserve"> </w:t>
      </w:r>
    </w:p>
    <w:p w:rsidR="00C1404B" w:rsidRPr="00816657" w:rsidRDefault="0064280F" w:rsidP="009C1C85">
      <w:pPr>
        <w:pStyle w:val="Bullet1"/>
      </w:pPr>
      <w:r>
        <w:t xml:space="preserve">In Victoria it is assumed that all and only the biosolids from Melbourne’s Western Treatment Plant are contaminated. In WA, the proportion of biosolids contaminated equals the proportion stockpiled. In other jurisdictions, the proportion equals that of Victoria multiplied by an indicator representing the relative degree of </w:t>
      </w:r>
      <w:r w:rsidR="00C758EA" w:rsidRPr="00816657">
        <w:t>industrialisation</w:t>
      </w:r>
      <w:r>
        <w:t>, as follows:</w:t>
      </w:r>
      <w:r w:rsidR="009C1C85" w:rsidRPr="00816657">
        <w:t xml:space="preserve"> NSW: 1; Qld: 0.5; ACT, NT, SA, </w:t>
      </w:r>
      <w:proofErr w:type="gramStart"/>
      <w:r w:rsidR="009C1C85" w:rsidRPr="00816657">
        <w:t>Tas</w:t>
      </w:r>
      <w:proofErr w:type="gramEnd"/>
      <w:r w:rsidR="009C1C85" w:rsidRPr="00816657">
        <w:t>: 0.25.</w:t>
      </w:r>
    </w:p>
    <w:p w:rsidR="00C1404B" w:rsidRPr="00816657" w:rsidRDefault="00C1404B" w:rsidP="009C1C85">
      <w:pPr>
        <w:pStyle w:val="Bullet1"/>
      </w:pPr>
      <w:r w:rsidRPr="00816657">
        <w:t>Historical stockpiles remain stockpiled &amp; do not enter the waste stream</w:t>
      </w:r>
    </w:p>
    <w:p w:rsidR="00C1404B" w:rsidRPr="00816657" w:rsidRDefault="00C1404B" w:rsidP="009C1C85">
      <w:pPr>
        <w:pStyle w:val="Bullet1"/>
      </w:pPr>
      <w:r w:rsidRPr="00816657">
        <w:t xml:space="preserve">Quantities grow annually by 1% until 2024, </w:t>
      </w:r>
      <w:proofErr w:type="gramStart"/>
      <w:r w:rsidRPr="00816657">
        <w:t>then</w:t>
      </w:r>
      <w:proofErr w:type="gramEnd"/>
      <w:r w:rsidRPr="00816657">
        <w:t xml:space="preserve"> decline annually by 1% as </w:t>
      </w:r>
      <w:r w:rsidR="0042794D">
        <w:t>sewage quality</w:t>
      </w:r>
      <w:r w:rsidRPr="00816657">
        <w:t xml:space="preserve"> improves</w:t>
      </w:r>
      <w:r w:rsidR="0042794D">
        <w:t>.</w:t>
      </w:r>
    </w:p>
    <w:p w:rsidR="00C758EA" w:rsidRPr="00816657" w:rsidRDefault="00C1404B" w:rsidP="009C1C85">
      <w:pPr>
        <w:pStyle w:val="Bullet1"/>
      </w:pPr>
      <w:r w:rsidRPr="00816657">
        <w:t>2013 calendar year input data are assumed representative of 2013-14</w:t>
      </w:r>
      <w:r w:rsidR="0042794D">
        <w:t>.</w:t>
      </w:r>
    </w:p>
    <w:p w:rsidR="00C758EA" w:rsidRPr="00816657" w:rsidRDefault="00C758EA" w:rsidP="00376588">
      <w:pPr>
        <w:pStyle w:val="BodyText"/>
      </w:pPr>
    </w:p>
    <w:p w:rsidR="00C758EA" w:rsidRPr="00816657" w:rsidRDefault="00C1404B" w:rsidP="00376588">
      <w:pPr>
        <w:pStyle w:val="BodyText"/>
        <w:rPr>
          <w:b/>
        </w:rPr>
      </w:pPr>
      <w:r w:rsidRPr="00816657">
        <w:rPr>
          <w:b/>
        </w:rPr>
        <w:t>High estimate approach:</w:t>
      </w:r>
    </w:p>
    <w:p w:rsidR="00C758EA" w:rsidRPr="00816657" w:rsidRDefault="00C1404B" w:rsidP="009C1C85">
      <w:pPr>
        <w:pStyle w:val="Bullet1"/>
      </w:pPr>
      <w:r w:rsidRPr="00816657">
        <w:t xml:space="preserve">Contaminated biosolids </w:t>
      </w:r>
      <w:r w:rsidR="0042794D">
        <w:t>comprises either: all biosolids produced less those allocated to</w:t>
      </w:r>
      <w:r w:rsidRPr="00816657">
        <w:t xml:space="preserve"> restricted uses (agriculture, landscaping, land rehab)</w:t>
      </w:r>
      <w:r w:rsidR="0042794D">
        <w:t>;</w:t>
      </w:r>
      <w:r w:rsidRPr="00816657">
        <w:t xml:space="preserve"> or best estimate, whichever is higher.</w:t>
      </w:r>
    </w:p>
    <w:p w:rsidR="00C1404B" w:rsidRPr="00816657" w:rsidRDefault="00C1404B" w:rsidP="009C1C85">
      <w:pPr>
        <w:pStyle w:val="Bullet1"/>
      </w:pPr>
      <w:r w:rsidRPr="00816657">
        <w:t>Stockpiles enter the waste stream beginning in 2016 and are fully treated by 2032, i.e. over 15 years</w:t>
      </w:r>
    </w:p>
    <w:p w:rsidR="00C1404B" w:rsidRPr="00816657" w:rsidRDefault="00C1404B" w:rsidP="009C1C85">
      <w:pPr>
        <w:pStyle w:val="Bullet1"/>
      </w:pPr>
      <w:r w:rsidRPr="00816657">
        <w:t xml:space="preserve">Quantities grow annually in proportion to population growth with no improvement of </w:t>
      </w:r>
      <w:r w:rsidR="0042794D">
        <w:t>sewage</w:t>
      </w:r>
      <w:r w:rsidRPr="00816657">
        <w:t xml:space="preserve"> quality</w:t>
      </w:r>
    </w:p>
    <w:p w:rsidR="00C1404B" w:rsidRPr="00816657" w:rsidRDefault="00C1404B" w:rsidP="00376588">
      <w:pPr>
        <w:pStyle w:val="BodyText"/>
      </w:pPr>
    </w:p>
    <w:p w:rsidR="00C1404B" w:rsidRPr="00816657" w:rsidRDefault="00C1404B" w:rsidP="00376588">
      <w:pPr>
        <w:pStyle w:val="BodyText"/>
        <w:rPr>
          <w:b/>
        </w:rPr>
      </w:pPr>
      <w:r w:rsidRPr="00816657">
        <w:rPr>
          <w:b/>
        </w:rPr>
        <w:t>Low estimate approach:</w:t>
      </w:r>
    </w:p>
    <w:p w:rsidR="00C758EA" w:rsidRPr="00816657" w:rsidRDefault="0042794D" w:rsidP="009C1C85">
      <w:pPr>
        <w:pStyle w:val="Bullet1"/>
      </w:pPr>
      <w:r>
        <w:t>Contaminated biosolids are estimated at half the best estimate quantity.</w:t>
      </w:r>
    </w:p>
    <w:p w:rsidR="00C758EA" w:rsidRPr="00816657" w:rsidRDefault="00C1404B" w:rsidP="009C1C85">
      <w:pPr>
        <w:pStyle w:val="Bullet1"/>
      </w:pPr>
      <w:r w:rsidRPr="00816657">
        <w:t>Historical stockpiles remain stockpiled &amp; do not enter the waste stream.</w:t>
      </w:r>
    </w:p>
    <w:p w:rsidR="0042794D" w:rsidRPr="00816657" w:rsidRDefault="0042794D" w:rsidP="0042794D">
      <w:pPr>
        <w:pStyle w:val="Bullet1"/>
      </w:pPr>
      <w:r w:rsidRPr="00816657">
        <w:t>Contaminant levels reduce more quickly than expected due to declining h</w:t>
      </w:r>
      <w:r>
        <w:t xml:space="preserve">eavy industry and manufacturing, resulting in </w:t>
      </w:r>
      <w:r w:rsidRPr="00816657">
        <w:t>an annual net reduction in contaminated biosolids of -2%.</w:t>
      </w:r>
    </w:p>
    <w:p w:rsidR="00341C59" w:rsidRPr="00816657" w:rsidRDefault="00341C59" w:rsidP="007F5BD4">
      <w:pPr>
        <w:pStyle w:val="BodyText"/>
      </w:pPr>
    </w:p>
    <w:p w:rsidR="00376588" w:rsidRPr="00816657" w:rsidRDefault="00376588" w:rsidP="00655F62">
      <w:pPr>
        <w:pStyle w:val="Figures"/>
      </w:pPr>
      <w:bookmarkStart w:id="168" w:name="_Toc425849317"/>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32</w:t>
      </w:r>
      <w:r w:rsidR="006D07F5" w:rsidRPr="00816657">
        <w:rPr>
          <w:noProof/>
        </w:rPr>
        <w:fldChar w:fldCharType="end"/>
      </w:r>
      <w:r w:rsidRPr="00816657">
        <w:t xml:space="preserve">: </w:t>
      </w:r>
      <w:r w:rsidRPr="00816657">
        <w:tab/>
        <w:t xml:space="preserve">Best, high and low projected rates of change for contaminated </w:t>
      </w:r>
      <w:r w:rsidR="00BB1256" w:rsidRPr="00816657">
        <w:t>biosolids</w:t>
      </w:r>
      <w:r w:rsidRPr="00816657">
        <w:t xml:space="preserve"> waste to 2034</w:t>
      </w:r>
      <w:bookmarkEnd w:id="168"/>
    </w:p>
    <w:tbl>
      <w:tblPr>
        <w:tblStyle w:val="BETable1"/>
        <w:tblW w:w="7513" w:type="dxa"/>
        <w:tblLayout w:type="fixed"/>
        <w:tblLook w:val="04A0"/>
      </w:tblPr>
      <w:tblGrid>
        <w:gridCol w:w="1132"/>
        <w:gridCol w:w="1133"/>
        <w:gridCol w:w="1275"/>
        <w:gridCol w:w="794"/>
        <w:gridCol w:w="795"/>
        <w:gridCol w:w="794"/>
        <w:gridCol w:w="795"/>
        <w:gridCol w:w="795"/>
      </w:tblGrid>
      <w:tr w:rsidR="00F8214A" w:rsidRPr="00816657" w:rsidTr="00F8214A">
        <w:trPr>
          <w:cnfStyle w:val="100000000000"/>
        </w:trPr>
        <w:tc>
          <w:tcPr>
            <w:cnfStyle w:val="001000000000"/>
            <w:tcW w:w="1132" w:type="dxa"/>
          </w:tcPr>
          <w:p w:rsidR="00F8214A" w:rsidRPr="00816657" w:rsidRDefault="00F8214A" w:rsidP="00C758EA"/>
        </w:tc>
        <w:tc>
          <w:tcPr>
            <w:tcW w:w="1133" w:type="dxa"/>
          </w:tcPr>
          <w:p w:rsidR="00F8214A" w:rsidRPr="00816657" w:rsidRDefault="00F8214A" w:rsidP="00C758EA">
            <w:pPr>
              <w:cnfStyle w:val="100000000000"/>
            </w:pPr>
            <w:r w:rsidRPr="00816657">
              <w:t>Applies to</w:t>
            </w:r>
          </w:p>
        </w:tc>
        <w:tc>
          <w:tcPr>
            <w:tcW w:w="1275" w:type="dxa"/>
          </w:tcPr>
          <w:p w:rsidR="00F8214A" w:rsidRPr="00816657" w:rsidRDefault="00F8214A" w:rsidP="00C758EA">
            <w:pPr>
              <w:cnfStyle w:val="100000000000"/>
            </w:pPr>
            <w:r w:rsidRPr="00816657">
              <w:t>Approach</w:t>
            </w:r>
          </w:p>
        </w:tc>
        <w:tc>
          <w:tcPr>
            <w:tcW w:w="794" w:type="dxa"/>
          </w:tcPr>
          <w:p w:rsidR="00F8214A" w:rsidRPr="00816657" w:rsidRDefault="00F8214A" w:rsidP="00DF1E42">
            <w:pPr>
              <w:jc w:val="right"/>
              <w:cnfStyle w:val="100000000000"/>
            </w:pPr>
            <w:r w:rsidRPr="00816657">
              <w:t>2014</w:t>
            </w:r>
          </w:p>
        </w:tc>
        <w:tc>
          <w:tcPr>
            <w:tcW w:w="795" w:type="dxa"/>
          </w:tcPr>
          <w:p w:rsidR="00F8214A" w:rsidRPr="00816657" w:rsidRDefault="00F8214A" w:rsidP="00DF1E42">
            <w:pPr>
              <w:jc w:val="right"/>
              <w:cnfStyle w:val="100000000000"/>
            </w:pPr>
            <w:r w:rsidRPr="00816657">
              <w:t>.</w:t>
            </w:r>
            <w:r w:rsidR="00480ECE" w:rsidRPr="00816657">
              <w:t>..</w:t>
            </w:r>
          </w:p>
        </w:tc>
        <w:tc>
          <w:tcPr>
            <w:tcW w:w="794" w:type="dxa"/>
          </w:tcPr>
          <w:p w:rsidR="00F8214A" w:rsidRPr="00816657" w:rsidRDefault="00F8214A" w:rsidP="00DF1E42">
            <w:pPr>
              <w:jc w:val="right"/>
              <w:cnfStyle w:val="100000000000"/>
            </w:pPr>
            <w:r w:rsidRPr="00816657">
              <w:t>2024</w:t>
            </w:r>
          </w:p>
        </w:tc>
        <w:tc>
          <w:tcPr>
            <w:tcW w:w="795" w:type="dxa"/>
          </w:tcPr>
          <w:p w:rsidR="00F8214A" w:rsidRPr="00816657" w:rsidRDefault="00F8214A" w:rsidP="00DF1E42">
            <w:pPr>
              <w:jc w:val="right"/>
              <w:cnfStyle w:val="100000000000"/>
            </w:pPr>
            <w:r w:rsidRPr="00816657">
              <w:t>...</w:t>
            </w:r>
          </w:p>
        </w:tc>
        <w:tc>
          <w:tcPr>
            <w:tcW w:w="795" w:type="dxa"/>
          </w:tcPr>
          <w:p w:rsidR="00F8214A" w:rsidRPr="00816657" w:rsidRDefault="00F8214A" w:rsidP="00DF1E42">
            <w:pPr>
              <w:jc w:val="right"/>
              <w:cnfStyle w:val="100000000000"/>
            </w:pPr>
            <w:r w:rsidRPr="00816657">
              <w:t>2034</w:t>
            </w:r>
          </w:p>
        </w:tc>
      </w:tr>
      <w:tr w:rsidR="00F8214A" w:rsidRPr="00816657" w:rsidTr="00F8214A">
        <w:tc>
          <w:tcPr>
            <w:cnfStyle w:val="001000000000"/>
            <w:tcW w:w="1132" w:type="dxa"/>
          </w:tcPr>
          <w:p w:rsidR="00F8214A" w:rsidRPr="00816657" w:rsidRDefault="00F8214A" w:rsidP="00C758EA">
            <w:r w:rsidRPr="00816657">
              <w:t>Best</w:t>
            </w:r>
          </w:p>
        </w:tc>
        <w:tc>
          <w:tcPr>
            <w:tcW w:w="1133" w:type="dxa"/>
            <w:vMerge w:val="restart"/>
            <w:vAlign w:val="center"/>
          </w:tcPr>
          <w:p w:rsidR="00F8214A" w:rsidRPr="00816657" w:rsidRDefault="00F8214A" w:rsidP="00C758EA">
            <w:pPr>
              <w:cnfStyle w:val="000000000000"/>
            </w:pPr>
            <w:r w:rsidRPr="00816657">
              <w:t>ACT, NSW, NT, Qld, SA, Tas, Vic, WA</w:t>
            </w:r>
          </w:p>
        </w:tc>
        <w:tc>
          <w:tcPr>
            <w:tcW w:w="1275" w:type="dxa"/>
            <w:vMerge w:val="restart"/>
            <w:vAlign w:val="center"/>
          </w:tcPr>
          <w:p w:rsidR="00F8214A" w:rsidRPr="00816657" w:rsidRDefault="00F8214A" w:rsidP="00C1404B">
            <w:pPr>
              <w:cnfStyle w:val="000000000000"/>
            </w:pPr>
            <w:r w:rsidRPr="00816657">
              <w:t>Growth rates (see approach)</w:t>
            </w:r>
          </w:p>
        </w:tc>
        <w:tc>
          <w:tcPr>
            <w:tcW w:w="794" w:type="dxa"/>
          </w:tcPr>
          <w:p w:rsidR="00F8214A" w:rsidRPr="00816657" w:rsidRDefault="00F8214A" w:rsidP="00DF1E42">
            <w:pPr>
              <w:jc w:val="right"/>
              <w:cnfStyle w:val="000000000000"/>
            </w:pPr>
            <w:r w:rsidRPr="00816657">
              <w:t>1.0%</w:t>
            </w:r>
          </w:p>
        </w:tc>
        <w:tc>
          <w:tcPr>
            <w:tcW w:w="795" w:type="dxa"/>
          </w:tcPr>
          <w:p w:rsidR="00F8214A" w:rsidRPr="00816657" w:rsidRDefault="00F8214A" w:rsidP="00DF1E42">
            <w:pPr>
              <w:jc w:val="right"/>
              <w:cnfStyle w:val="000000000000"/>
            </w:pPr>
            <w:r w:rsidRPr="00816657">
              <w:t>...</w:t>
            </w:r>
          </w:p>
        </w:tc>
        <w:tc>
          <w:tcPr>
            <w:tcW w:w="794" w:type="dxa"/>
          </w:tcPr>
          <w:p w:rsidR="00F8214A" w:rsidRPr="00816657" w:rsidRDefault="00F8214A" w:rsidP="00DF1E42">
            <w:pPr>
              <w:jc w:val="right"/>
              <w:cnfStyle w:val="000000000000"/>
            </w:pPr>
            <w:r w:rsidRPr="00816657">
              <w:t>-1.0%</w:t>
            </w:r>
          </w:p>
        </w:tc>
        <w:tc>
          <w:tcPr>
            <w:tcW w:w="795" w:type="dxa"/>
          </w:tcPr>
          <w:p w:rsidR="00F8214A" w:rsidRPr="00816657" w:rsidRDefault="00F8214A" w:rsidP="00DF1E42">
            <w:pPr>
              <w:jc w:val="right"/>
              <w:cnfStyle w:val="000000000000"/>
            </w:pPr>
            <w:r w:rsidRPr="00816657">
              <w:t>...</w:t>
            </w:r>
          </w:p>
        </w:tc>
        <w:tc>
          <w:tcPr>
            <w:tcW w:w="795" w:type="dxa"/>
          </w:tcPr>
          <w:p w:rsidR="00F8214A" w:rsidRPr="00816657" w:rsidRDefault="00F8214A" w:rsidP="00DF1E42">
            <w:pPr>
              <w:jc w:val="right"/>
              <w:cnfStyle w:val="000000000000"/>
            </w:pPr>
            <w:r w:rsidRPr="00816657">
              <w:t>-1.0%</w:t>
            </w:r>
          </w:p>
        </w:tc>
      </w:tr>
      <w:tr w:rsidR="00F8214A" w:rsidRPr="00816657" w:rsidTr="00F8214A">
        <w:tc>
          <w:tcPr>
            <w:cnfStyle w:val="001000000000"/>
            <w:tcW w:w="1132" w:type="dxa"/>
          </w:tcPr>
          <w:p w:rsidR="00F8214A" w:rsidRPr="00816657" w:rsidRDefault="00F8214A" w:rsidP="00C758EA">
            <w:r w:rsidRPr="00816657">
              <w:t>High</w:t>
            </w:r>
          </w:p>
        </w:tc>
        <w:tc>
          <w:tcPr>
            <w:tcW w:w="1133" w:type="dxa"/>
            <w:vMerge/>
            <w:vAlign w:val="center"/>
          </w:tcPr>
          <w:p w:rsidR="00F8214A" w:rsidRPr="00816657" w:rsidRDefault="00F8214A" w:rsidP="00C758EA">
            <w:pPr>
              <w:cnfStyle w:val="000000000000"/>
            </w:pPr>
          </w:p>
        </w:tc>
        <w:tc>
          <w:tcPr>
            <w:tcW w:w="1275" w:type="dxa"/>
            <w:vMerge/>
          </w:tcPr>
          <w:p w:rsidR="00F8214A" w:rsidRPr="00816657" w:rsidRDefault="00F8214A" w:rsidP="00C758EA">
            <w:pPr>
              <w:cnfStyle w:val="000000000000"/>
            </w:pPr>
          </w:p>
        </w:tc>
        <w:tc>
          <w:tcPr>
            <w:tcW w:w="794" w:type="dxa"/>
          </w:tcPr>
          <w:p w:rsidR="00F8214A" w:rsidRPr="00816657" w:rsidRDefault="00F8214A" w:rsidP="00DF1E42">
            <w:pPr>
              <w:jc w:val="right"/>
              <w:cnfStyle w:val="000000000000"/>
            </w:pPr>
            <w:r w:rsidRPr="00816657">
              <w:t>1.5%</w:t>
            </w:r>
          </w:p>
        </w:tc>
        <w:tc>
          <w:tcPr>
            <w:tcW w:w="795" w:type="dxa"/>
          </w:tcPr>
          <w:p w:rsidR="00F8214A" w:rsidRPr="00816657" w:rsidRDefault="00F8214A" w:rsidP="00DF1E42">
            <w:pPr>
              <w:jc w:val="right"/>
              <w:cnfStyle w:val="000000000000"/>
            </w:pPr>
            <w:r w:rsidRPr="00816657">
              <w:t>...</w:t>
            </w:r>
          </w:p>
        </w:tc>
        <w:tc>
          <w:tcPr>
            <w:tcW w:w="794" w:type="dxa"/>
          </w:tcPr>
          <w:p w:rsidR="00F8214A" w:rsidRPr="00816657" w:rsidRDefault="00F8214A" w:rsidP="00DF1E42">
            <w:pPr>
              <w:jc w:val="right"/>
              <w:cnfStyle w:val="000000000000"/>
            </w:pPr>
            <w:r w:rsidRPr="00816657">
              <w:t>...</w:t>
            </w:r>
          </w:p>
        </w:tc>
        <w:tc>
          <w:tcPr>
            <w:tcW w:w="795" w:type="dxa"/>
          </w:tcPr>
          <w:p w:rsidR="00F8214A" w:rsidRPr="00816657" w:rsidRDefault="00F8214A" w:rsidP="00DF1E42">
            <w:pPr>
              <w:jc w:val="right"/>
              <w:cnfStyle w:val="000000000000"/>
            </w:pPr>
            <w:r w:rsidRPr="00816657">
              <w:t>...</w:t>
            </w:r>
          </w:p>
        </w:tc>
        <w:tc>
          <w:tcPr>
            <w:tcW w:w="795" w:type="dxa"/>
          </w:tcPr>
          <w:p w:rsidR="00F8214A" w:rsidRPr="00816657" w:rsidRDefault="00F8214A" w:rsidP="00DF1E42">
            <w:pPr>
              <w:jc w:val="right"/>
              <w:cnfStyle w:val="000000000000"/>
            </w:pPr>
            <w:r w:rsidRPr="00816657">
              <w:t>1.5%</w:t>
            </w:r>
          </w:p>
        </w:tc>
      </w:tr>
      <w:tr w:rsidR="00F8214A" w:rsidRPr="00816657" w:rsidTr="00B97E44">
        <w:tc>
          <w:tcPr>
            <w:cnfStyle w:val="001000000000"/>
            <w:tcW w:w="1132" w:type="dxa"/>
            <w:tcBorders>
              <w:bottom w:val="single" w:sz="4" w:space="0" w:color="auto"/>
            </w:tcBorders>
          </w:tcPr>
          <w:p w:rsidR="00F8214A" w:rsidRPr="00816657" w:rsidRDefault="00F8214A" w:rsidP="00C758EA">
            <w:r w:rsidRPr="00816657">
              <w:t>Low</w:t>
            </w:r>
          </w:p>
        </w:tc>
        <w:tc>
          <w:tcPr>
            <w:tcW w:w="1133" w:type="dxa"/>
            <w:vMerge/>
            <w:tcBorders>
              <w:bottom w:val="single" w:sz="4" w:space="0" w:color="auto"/>
            </w:tcBorders>
            <w:vAlign w:val="center"/>
          </w:tcPr>
          <w:p w:rsidR="00F8214A" w:rsidRPr="00816657" w:rsidRDefault="00F8214A" w:rsidP="00C758EA">
            <w:pPr>
              <w:cnfStyle w:val="000000000000"/>
            </w:pPr>
          </w:p>
        </w:tc>
        <w:tc>
          <w:tcPr>
            <w:tcW w:w="1275" w:type="dxa"/>
            <w:vMerge/>
            <w:tcBorders>
              <w:bottom w:val="single" w:sz="4" w:space="0" w:color="auto"/>
            </w:tcBorders>
          </w:tcPr>
          <w:p w:rsidR="00F8214A" w:rsidRPr="00816657" w:rsidRDefault="00F8214A" w:rsidP="00C758EA">
            <w:pPr>
              <w:cnfStyle w:val="000000000000"/>
            </w:pPr>
          </w:p>
        </w:tc>
        <w:tc>
          <w:tcPr>
            <w:tcW w:w="794" w:type="dxa"/>
            <w:tcBorders>
              <w:bottom w:val="single" w:sz="4" w:space="0" w:color="auto"/>
            </w:tcBorders>
          </w:tcPr>
          <w:p w:rsidR="00F8214A" w:rsidRPr="00816657" w:rsidRDefault="00F8214A" w:rsidP="00DF1E42">
            <w:pPr>
              <w:jc w:val="right"/>
              <w:cnfStyle w:val="000000000000"/>
            </w:pPr>
            <w:r w:rsidRPr="00816657">
              <w:t>-2.0%</w:t>
            </w:r>
          </w:p>
        </w:tc>
        <w:tc>
          <w:tcPr>
            <w:tcW w:w="795" w:type="dxa"/>
            <w:tcBorders>
              <w:bottom w:val="single" w:sz="4" w:space="0" w:color="auto"/>
            </w:tcBorders>
          </w:tcPr>
          <w:p w:rsidR="00F8214A" w:rsidRPr="00816657" w:rsidRDefault="00F8214A" w:rsidP="00DF1E42">
            <w:pPr>
              <w:jc w:val="right"/>
              <w:cnfStyle w:val="000000000000"/>
            </w:pPr>
            <w:r w:rsidRPr="00816657">
              <w:t>...</w:t>
            </w:r>
          </w:p>
        </w:tc>
        <w:tc>
          <w:tcPr>
            <w:tcW w:w="794" w:type="dxa"/>
            <w:tcBorders>
              <w:bottom w:val="single" w:sz="4" w:space="0" w:color="auto"/>
            </w:tcBorders>
          </w:tcPr>
          <w:p w:rsidR="00F8214A" w:rsidRPr="00816657" w:rsidRDefault="00F8214A" w:rsidP="00DF1E42">
            <w:pPr>
              <w:jc w:val="right"/>
              <w:cnfStyle w:val="000000000000"/>
            </w:pPr>
            <w:r w:rsidRPr="00816657">
              <w:t>...</w:t>
            </w:r>
          </w:p>
        </w:tc>
        <w:tc>
          <w:tcPr>
            <w:tcW w:w="795" w:type="dxa"/>
            <w:tcBorders>
              <w:bottom w:val="single" w:sz="4" w:space="0" w:color="auto"/>
            </w:tcBorders>
          </w:tcPr>
          <w:p w:rsidR="00F8214A" w:rsidRPr="00816657" w:rsidRDefault="00F8214A" w:rsidP="00DF1E42">
            <w:pPr>
              <w:jc w:val="right"/>
              <w:cnfStyle w:val="000000000000"/>
            </w:pPr>
            <w:r w:rsidRPr="00816657">
              <w:t>...</w:t>
            </w:r>
          </w:p>
        </w:tc>
        <w:tc>
          <w:tcPr>
            <w:tcW w:w="795" w:type="dxa"/>
            <w:tcBorders>
              <w:bottom w:val="single" w:sz="4" w:space="0" w:color="auto"/>
            </w:tcBorders>
          </w:tcPr>
          <w:p w:rsidR="00F8214A" w:rsidRPr="00816657" w:rsidRDefault="00F8214A" w:rsidP="00DF1E42">
            <w:pPr>
              <w:jc w:val="right"/>
              <w:cnfStyle w:val="000000000000"/>
            </w:pPr>
            <w:r w:rsidRPr="00816657">
              <w:t>-2.0%</w:t>
            </w:r>
          </w:p>
        </w:tc>
      </w:tr>
    </w:tbl>
    <w:p w:rsidR="00C758EA" w:rsidRPr="00816657" w:rsidRDefault="00C758EA" w:rsidP="00376588">
      <w:pPr>
        <w:pStyle w:val="BodyText"/>
      </w:pPr>
    </w:p>
    <w:p w:rsidR="00C758EA" w:rsidRPr="00816657" w:rsidRDefault="00F8214A" w:rsidP="00376588">
      <w:pPr>
        <w:pStyle w:val="BodyText"/>
      </w:pPr>
      <w:r w:rsidRPr="00816657">
        <w:t>Growth rates given above are applied to an absolute baseline figure for each scenario</w:t>
      </w:r>
    </w:p>
    <w:p w:rsidR="003F1105" w:rsidRPr="00816657" w:rsidRDefault="003F1105" w:rsidP="00655F62">
      <w:pPr>
        <w:pStyle w:val="Figures"/>
        <w:sectPr w:rsidR="003F1105" w:rsidRPr="00816657" w:rsidSect="00DC45F1">
          <w:headerReference w:type="even" r:id="rId88"/>
          <w:headerReference w:type="default" r:id="rId89"/>
          <w:footerReference w:type="even" r:id="rId90"/>
          <w:footerReference w:type="default" r:id="rId91"/>
          <w:headerReference w:type="first" r:id="rId92"/>
          <w:footerReference w:type="first" r:id="rId93"/>
          <w:pgSz w:w="11907" w:h="16840" w:code="9"/>
          <w:pgMar w:top="1531" w:right="1077" w:bottom="1417" w:left="1304" w:header="709" w:footer="709" w:gutter="0"/>
          <w:cols w:space="708"/>
          <w:docGrid w:linePitch="360"/>
        </w:sectPr>
      </w:pPr>
    </w:p>
    <w:p w:rsidR="00F8214A" w:rsidRPr="00816657" w:rsidRDefault="00F8214A" w:rsidP="00655F62">
      <w:pPr>
        <w:pStyle w:val="Figures"/>
      </w:pPr>
      <w:bookmarkStart w:id="169" w:name="_Toc425849318"/>
      <w:r w:rsidRPr="00816657">
        <w:lastRenderedPageBreak/>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33</w:t>
      </w:r>
      <w:r w:rsidR="006D07F5" w:rsidRPr="00816657">
        <w:rPr>
          <w:noProof/>
        </w:rPr>
        <w:fldChar w:fldCharType="end"/>
      </w:r>
      <w:r w:rsidRPr="00816657">
        <w:t xml:space="preserve">: </w:t>
      </w:r>
      <w:r w:rsidRPr="00816657">
        <w:tab/>
        <w:t xml:space="preserve">Best, high and low projected tonnes for contaminated </w:t>
      </w:r>
      <w:r w:rsidR="00BB1256" w:rsidRPr="00816657">
        <w:t>biosolids</w:t>
      </w:r>
      <w:r w:rsidRPr="00816657">
        <w:t xml:space="preserve"> waste to 2034</w:t>
      </w:r>
      <w:bookmarkEnd w:id="169"/>
    </w:p>
    <w:tbl>
      <w:tblPr>
        <w:tblStyle w:val="BETable1"/>
        <w:tblW w:w="15452" w:type="dxa"/>
        <w:tblInd w:w="-369" w:type="dxa"/>
        <w:tblLayout w:type="fixed"/>
        <w:tblLook w:val="04A0"/>
      </w:tblPr>
      <w:tblGrid>
        <w:gridCol w:w="710"/>
        <w:gridCol w:w="567"/>
        <w:gridCol w:w="675"/>
        <w:gridCol w:w="675"/>
        <w:gridCol w:w="675"/>
        <w:gridCol w:w="675"/>
        <w:gridCol w:w="675"/>
        <w:gridCol w:w="675"/>
        <w:gridCol w:w="675"/>
        <w:gridCol w:w="675"/>
        <w:gridCol w:w="675"/>
        <w:gridCol w:w="675"/>
        <w:gridCol w:w="675"/>
        <w:gridCol w:w="675"/>
        <w:gridCol w:w="675"/>
        <w:gridCol w:w="675"/>
        <w:gridCol w:w="675"/>
        <w:gridCol w:w="675"/>
        <w:gridCol w:w="675"/>
        <w:gridCol w:w="675"/>
        <w:gridCol w:w="675"/>
        <w:gridCol w:w="675"/>
        <w:gridCol w:w="675"/>
      </w:tblGrid>
      <w:tr w:rsidR="00F8214A" w:rsidRPr="00816657" w:rsidTr="00B97E44">
        <w:trPr>
          <w:cnfStyle w:val="100000000000"/>
        </w:trPr>
        <w:tc>
          <w:tcPr>
            <w:cnfStyle w:val="001000000000"/>
            <w:tcW w:w="710" w:type="dxa"/>
            <w:tcBorders>
              <w:top w:val="single" w:sz="4" w:space="0" w:color="auto"/>
              <w:bottom w:val="single" w:sz="4" w:space="0" w:color="auto"/>
            </w:tcBorders>
          </w:tcPr>
          <w:p w:rsidR="00F8214A" w:rsidRPr="00816657" w:rsidRDefault="00F8214A" w:rsidP="00F8214A"/>
        </w:tc>
        <w:tc>
          <w:tcPr>
            <w:tcW w:w="567" w:type="dxa"/>
            <w:tcBorders>
              <w:top w:val="single" w:sz="4" w:space="0" w:color="auto"/>
              <w:bottom w:val="single" w:sz="4" w:space="0" w:color="auto"/>
            </w:tcBorders>
          </w:tcPr>
          <w:p w:rsidR="00F8214A" w:rsidRPr="00816657" w:rsidRDefault="00F8214A" w:rsidP="00F8214A">
            <w:pPr>
              <w:cnfStyle w:val="100000000000"/>
            </w:pP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2014</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2015</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2016</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2017</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2018</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2019</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2020</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2021</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2022</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2023</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2024</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2025</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2026</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2027</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2028</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2029</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2030</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2031</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2032</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2033</w:t>
            </w:r>
          </w:p>
        </w:tc>
        <w:tc>
          <w:tcPr>
            <w:tcW w:w="675" w:type="dxa"/>
            <w:tcBorders>
              <w:top w:val="single" w:sz="4" w:space="0" w:color="auto"/>
              <w:bottom w:val="single" w:sz="4" w:space="0" w:color="auto"/>
            </w:tcBorders>
          </w:tcPr>
          <w:p w:rsidR="00F8214A" w:rsidRPr="00816657" w:rsidRDefault="00F8214A" w:rsidP="00DF1E42">
            <w:pPr>
              <w:jc w:val="right"/>
              <w:cnfStyle w:val="100000000000"/>
            </w:pPr>
            <w:r w:rsidRPr="00816657">
              <w:t>2034</w:t>
            </w:r>
          </w:p>
        </w:tc>
      </w:tr>
      <w:tr w:rsidR="00F8214A" w:rsidRPr="00816657" w:rsidTr="00B97E44">
        <w:tc>
          <w:tcPr>
            <w:cnfStyle w:val="001000000000"/>
            <w:tcW w:w="15452" w:type="dxa"/>
            <w:gridSpan w:val="23"/>
            <w:tcBorders>
              <w:top w:val="single" w:sz="4" w:space="0" w:color="auto"/>
              <w:bottom w:val="single" w:sz="4" w:space="0" w:color="auto"/>
            </w:tcBorders>
          </w:tcPr>
          <w:p w:rsidR="00F8214A" w:rsidRPr="00816657" w:rsidRDefault="00F8214A" w:rsidP="00DF1E42">
            <w:r w:rsidRPr="00816657">
              <w:rPr>
                <w:b/>
              </w:rPr>
              <w:t>Additional estimate for high and low scenarios using current data as baseline</w:t>
            </w:r>
          </w:p>
        </w:tc>
      </w:tr>
      <w:tr w:rsidR="00F8214A" w:rsidRPr="00816657" w:rsidTr="00B97E44">
        <w:tc>
          <w:tcPr>
            <w:cnfStyle w:val="001000000000"/>
            <w:tcW w:w="710" w:type="dxa"/>
            <w:tcBorders>
              <w:top w:val="single" w:sz="4" w:space="0" w:color="auto"/>
            </w:tcBorders>
          </w:tcPr>
          <w:p w:rsidR="00F8214A" w:rsidRPr="00816657" w:rsidRDefault="00F8214A" w:rsidP="00F8214A">
            <w:r w:rsidRPr="00816657">
              <w:t>Best</w:t>
            </w:r>
          </w:p>
        </w:tc>
        <w:tc>
          <w:tcPr>
            <w:tcW w:w="567" w:type="dxa"/>
            <w:tcBorders>
              <w:top w:val="single" w:sz="4" w:space="0" w:color="auto"/>
            </w:tcBorders>
          </w:tcPr>
          <w:p w:rsidR="00F8214A" w:rsidRPr="00816657" w:rsidRDefault="00F8214A" w:rsidP="00F8214A">
            <w:pPr>
              <w:cnfStyle w:val="000000000000"/>
            </w:pPr>
            <w:r w:rsidRPr="00816657">
              <w:t>ACT</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3,239</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3,272</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3,305</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3,338</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3,371</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3,405</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3,439</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3,473</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3,508</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3,543</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3,507</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3,472</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3,438</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3,403</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3,369</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3,336</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3,302</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3,269</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3,237</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3,204</w:t>
            </w:r>
          </w:p>
        </w:tc>
        <w:tc>
          <w:tcPr>
            <w:tcW w:w="675" w:type="dxa"/>
            <w:tcBorders>
              <w:top w:val="single" w:sz="4" w:space="0" w:color="auto"/>
            </w:tcBorders>
          </w:tcPr>
          <w:p w:rsidR="00F8214A" w:rsidRPr="00816657" w:rsidRDefault="00F8214A" w:rsidP="00DF1E42">
            <w:pPr>
              <w:jc w:val="right"/>
              <w:cnfStyle w:val="000000000000"/>
              <w:rPr>
                <w:sz w:val="16"/>
                <w:szCs w:val="16"/>
              </w:rPr>
            </w:pPr>
            <w:r w:rsidRPr="00816657">
              <w:rPr>
                <w:sz w:val="16"/>
                <w:szCs w:val="16"/>
              </w:rPr>
              <w:t>3,172</w:t>
            </w:r>
          </w:p>
        </w:tc>
      </w:tr>
      <w:tr w:rsidR="00F8214A" w:rsidRPr="00816657" w:rsidTr="00F8214A">
        <w:tc>
          <w:tcPr>
            <w:cnfStyle w:val="001000000000"/>
            <w:tcW w:w="710" w:type="dxa"/>
          </w:tcPr>
          <w:p w:rsidR="00F8214A" w:rsidRPr="00816657" w:rsidRDefault="00F8214A" w:rsidP="00F8214A">
            <w:r w:rsidRPr="00816657">
              <w:t>Best</w:t>
            </w:r>
          </w:p>
        </w:tc>
        <w:tc>
          <w:tcPr>
            <w:tcW w:w="567" w:type="dxa"/>
          </w:tcPr>
          <w:p w:rsidR="00F8214A" w:rsidRPr="00816657" w:rsidRDefault="00F8214A" w:rsidP="00F8214A">
            <w:pPr>
              <w:cnfStyle w:val="000000000000"/>
            </w:pPr>
            <w:r w:rsidRPr="00816657">
              <w:t>NSW</w:t>
            </w:r>
          </w:p>
        </w:tc>
        <w:tc>
          <w:tcPr>
            <w:tcW w:w="675" w:type="dxa"/>
          </w:tcPr>
          <w:p w:rsidR="00F8214A" w:rsidRPr="00816657" w:rsidRDefault="00F8214A" w:rsidP="00DF1E42">
            <w:pPr>
              <w:jc w:val="right"/>
              <w:cnfStyle w:val="000000000000"/>
              <w:rPr>
                <w:sz w:val="16"/>
                <w:szCs w:val="16"/>
              </w:rPr>
            </w:pPr>
            <w:r w:rsidRPr="00816657">
              <w:rPr>
                <w:sz w:val="16"/>
                <w:szCs w:val="16"/>
              </w:rPr>
              <w:t>96,209</w:t>
            </w:r>
          </w:p>
        </w:tc>
        <w:tc>
          <w:tcPr>
            <w:tcW w:w="675" w:type="dxa"/>
          </w:tcPr>
          <w:p w:rsidR="00F8214A" w:rsidRPr="00816657" w:rsidRDefault="00F8214A" w:rsidP="00DF1E42">
            <w:pPr>
              <w:jc w:val="right"/>
              <w:cnfStyle w:val="000000000000"/>
              <w:rPr>
                <w:sz w:val="16"/>
                <w:szCs w:val="16"/>
              </w:rPr>
            </w:pPr>
            <w:r w:rsidRPr="00816657">
              <w:rPr>
                <w:sz w:val="16"/>
                <w:szCs w:val="16"/>
              </w:rPr>
              <w:t>97,171</w:t>
            </w:r>
          </w:p>
        </w:tc>
        <w:tc>
          <w:tcPr>
            <w:tcW w:w="675" w:type="dxa"/>
          </w:tcPr>
          <w:p w:rsidR="00F8214A" w:rsidRPr="00816657" w:rsidRDefault="00F8214A" w:rsidP="00DF1E42">
            <w:pPr>
              <w:jc w:val="right"/>
              <w:cnfStyle w:val="000000000000"/>
              <w:rPr>
                <w:sz w:val="16"/>
                <w:szCs w:val="16"/>
              </w:rPr>
            </w:pPr>
            <w:r w:rsidRPr="00816657">
              <w:rPr>
                <w:sz w:val="16"/>
                <w:szCs w:val="16"/>
              </w:rPr>
              <w:t>98,143</w:t>
            </w:r>
          </w:p>
        </w:tc>
        <w:tc>
          <w:tcPr>
            <w:tcW w:w="675" w:type="dxa"/>
          </w:tcPr>
          <w:p w:rsidR="00F8214A" w:rsidRPr="00816657" w:rsidRDefault="00F8214A" w:rsidP="00DF1E42">
            <w:pPr>
              <w:jc w:val="right"/>
              <w:cnfStyle w:val="000000000000"/>
              <w:rPr>
                <w:sz w:val="16"/>
                <w:szCs w:val="16"/>
              </w:rPr>
            </w:pPr>
            <w:r w:rsidRPr="00816657">
              <w:rPr>
                <w:sz w:val="16"/>
                <w:szCs w:val="16"/>
              </w:rPr>
              <w:t>99,124</w:t>
            </w:r>
          </w:p>
        </w:tc>
        <w:tc>
          <w:tcPr>
            <w:tcW w:w="675" w:type="dxa"/>
          </w:tcPr>
          <w:p w:rsidR="00F8214A" w:rsidRPr="00816657" w:rsidRDefault="00F8214A" w:rsidP="00DF1E42">
            <w:pPr>
              <w:jc w:val="right"/>
              <w:cnfStyle w:val="000000000000"/>
              <w:rPr>
                <w:sz w:val="16"/>
                <w:szCs w:val="16"/>
              </w:rPr>
            </w:pPr>
            <w:r w:rsidRPr="00816657">
              <w:rPr>
                <w:sz w:val="16"/>
                <w:szCs w:val="16"/>
              </w:rPr>
              <w:t>100,115</w:t>
            </w:r>
          </w:p>
        </w:tc>
        <w:tc>
          <w:tcPr>
            <w:tcW w:w="675" w:type="dxa"/>
          </w:tcPr>
          <w:p w:rsidR="00F8214A" w:rsidRPr="00816657" w:rsidRDefault="00F8214A" w:rsidP="00DF1E42">
            <w:pPr>
              <w:jc w:val="right"/>
              <w:cnfStyle w:val="000000000000"/>
              <w:rPr>
                <w:sz w:val="16"/>
                <w:szCs w:val="16"/>
              </w:rPr>
            </w:pPr>
            <w:r w:rsidRPr="00816657">
              <w:rPr>
                <w:sz w:val="16"/>
                <w:szCs w:val="16"/>
              </w:rPr>
              <w:t>101,116</w:t>
            </w:r>
          </w:p>
        </w:tc>
        <w:tc>
          <w:tcPr>
            <w:tcW w:w="675" w:type="dxa"/>
          </w:tcPr>
          <w:p w:rsidR="00F8214A" w:rsidRPr="00816657" w:rsidRDefault="00F8214A" w:rsidP="00DF1E42">
            <w:pPr>
              <w:jc w:val="right"/>
              <w:cnfStyle w:val="000000000000"/>
              <w:rPr>
                <w:sz w:val="16"/>
                <w:szCs w:val="16"/>
              </w:rPr>
            </w:pPr>
            <w:r w:rsidRPr="00816657">
              <w:rPr>
                <w:sz w:val="16"/>
                <w:szCs w:val="16"/>
              </w:rPr>
              <w:t>102,127</w:t>
            </w:r>
          </w:p>
        </w:tc>
        <w:tc>
          <w:tcPr>
            <w:tcW w:w="675" w:type="dxa"/>
          </w:tcPr>
          <w:p w:rsidR="00F8214A" w:rsidRPr="00816657" w:rsidRDefault="00F8214A" w:rsidP="00DF1E42">
            <w:pPr>
              <w:jc w:val="right"/>
              <w:cnfStyle w:val="000000000000"/>
              <w:rPr>
                <w:sz w:val="16"/>
                <w:szCs w:val="16"/>
              </w:rPr>
            </w:pPr>
            <w:r w:rsidRPr="00816657">
              <w:rPr>
                <w:sz w:val="16"/>
                <w:szCs w:val="16"/>
              </w:rPr>
              <w:t>103,149</w:t>
            </w:r>
          </w:p>
        </w:tc>
        <w:tc>
          <w:tcPr>
            <w:tcW w:w="675" w:type="dxa"/>
          </w:tcPr>
          <w:p w:rsidR="00F8214A" w:rsidRPr="00816657" w:rsidRDefault="00F8214A" w:rsidP="00DF1E42">
            <w:pPr>
              <w:jc w:val="right"/>
              <w:cnfStyle w:val="000000000000"/>
              <w:rPr>
                <w:sz w:val="16"/>
                <w:szCs w:val="16"/>
              </w:rPr>
            </w:pPr>
            <w:r w:rsidRPr="00816657">
              <w:rPr>
                <w:sz w:val="16"/>
                <w:szCs w:val="16"/>
              </w:rPr>
              <w:t>104,180</w:t>
            </w:r>
          </w:p>
        </w:tc>
        <w:tc>
          <w:tcPr>
            <w:tcW w:w="675" w:type="dxa"/>
          </w:tcPr>
          <w:p w:rsidR="00F8214A" w:rsidRPr="00816657" w:rsidRDefault="00F8214A" w:rsidP="00DF1E42">
            <w:pPr>
              <w:jc w:val="right"/>
              <w:cnfStyle w:val="000000000000"/>
              <w:rPr>
                <w:sz w:val="16"/>
                <w:szCs w:val="16"/>
              </w:rPr>
            </w:pPr>
            <w:r w:rsidRPr="00816657">
              <w:rPr>
                <w:sz w:val="16"/>
                <w:szCs w:val="16"/>
              </w:rPr>
              <w:t>105,222</w:t>
            </w:r>
          </w:p>
        </w:tc>
        <w:tc>
          <w:tcPr>
            <w:tcW w:w="675" w:type="dxa"/>
          </w:tcPr>
          <w:p w:rsidR="00F8214A" w:rsidRPr="00816657" w:rsidRDefault="00F8214A" w:rsidP="00DF1E42">
            <w:pPr>
              <w:jc w:val="right"/>
              <w:cnfStyle w:val="000000000000"/>
              <w:rPr>
                <w:sz w:val="16"/>
                <w:szCs w:val="16"/>
              </w:rPr>
            </w:pPr>
            <w:r w:rsidRPr="00816657">
              <w:rPr>
                <w:sz w:val="16"/>
                <w:szCs w:val="16"/>
              </w:rPr>
              <w:t>104,170</w:t>
            </w:r>
          </w:p>
        </w:tc>
        <w:tc>
          <w:tcPr>
            <w:tcW w:w="675" w:type="dxa"/>
          </w:tcPr>
          <w:p w:rsidR="00F8214A" w:rsidRPr="00816657" w:rsidRDefault="00F8214A" w:rsidP="00DF1E42">
            <w:pPr>
              <w:jc w:val="right"/>
              <w:cnfStyle w:val="000000000000"/>
              <w:rPr>
                <w:sz w:val="16"/>
                <w:szCs w:val="16"/>
              </w:rPr>
            </w:pPr>
            <w:r w:rsidRPr="00816657">
              <w:rPr>
                <w:sz w:val="16"/>
                <w:szCs w:val="16"/>
              </w:rPr>
              <w:t>103,128</w:t>
            </w:r>
          </w:p>
        </w:tc>
        <w:tc>
          <w:tcPr>
            <w:tcW w:w="675" w:type="dxa"/>
          </w:tcPr>
          <w:p w:rsidR="00F8214A" w:rsidRPr="00816657" w:rsidRDefault="00F8214A" w:rsidP="00DF1E42">
            <w:pPr>
              <w:jc w:val="right"/>
              <w:cnfStyle w:val="000000000000"/>
              <w:rPr>
                <w:sz w:val="16"/>
                <w:szCs w:val="16"/>
              </w:rPr>
            </w:pPr>
            <w:r w:rsidRPr="00816657">
              <w:rPr>
                <w:sz w:val="16"/>
                <w:szCs w:val="16"/>
              </w:rPr>
              <w:t>102,097</w:t>
            </w:r>
          </w:p>
        </w:tc>
        <w:tc>
          <w:tcPr>
            <w:tcW w:w="675" w:type="dxa"/>
          </w:tcPr>
          <w:p w:rsidR="00F8214A" w:rsidRPr="00816657" w:rsidRDefault="00F8214A" w:rsidP="00DF1E42">
            <w:pPr>
              <w:jc w:val="right"/>
              <w:cnfStyle w:val="000000000000"/>
              <w:rPr>
                <w:sz w:val="16"/>
                <w:szCs w:val="16"/>
              </w:rPr>
            </w:pPr>
            <w:r w:rsidRPr="00816657">
              <w:rPr>
                <w:sz w:val="16"/>
                <w:szCs w:val="16"/>
              </w:rPr>
              <w:t>101,076</w:t>
            </w:r>
          </w:p>
        </w:tc>
        <w:tc>
          <w:tcPr>
            <w:tcW w:w="675" w:type="dxa"/>
          </w:tcPr>
          <w:p w:rsidR="00F8214A" w:rsidRPr="00816657" w:rsidRDefault="00F8214A" w:rsidP="00DF1E42">
            <w:pPr>
              <w:jc w:val="right"/>
              <w:cnfStyle w:val="000000000000"/>
              <w:rPr>
                <w:sz w:val="16"/>
                <w:szCs w:val="16"/>
              </w:rPr>
            </w:pPr>
            <w:r w:rsidRPr="00816657">
              <w:rPr>
                <w:sz w:val="16"/>
                <w:szCs w:val="16"/>
              </w:rPr>
              <w:t>100,065</w:t>
            </w:r>
          </w:p>
        </w:tc>
        <w:tc>
          <w:tcPr>
            <w:tcW w:w="675" w:type="dxa"/>
          </w:tcPr>
          <w:p w:rsidR="00F8214A" w:rsidRPr="00816657" w:rsidRDefault="00F8214A" w:rsidP="00DF1E42">
            <w:pPr>
              <w:jc w:val="right"/>
              <w:cnfStyle w:val="000000000000"/>
              <w:rPr>
                <w:sz w:val="16"/>
                <w:szCs w:val="16"/>
              </w:rPr>
            </w:pPr>
            <w:r w:rsidRPr="00816657">
              <w:rPr>
                <w:sz w:val="16"/>
                <w:szCs w:val="16"/>
              </w:rPr>
              <w:t>99,064</w:t>
            </w:r>
          </w:p>
        </w:tc>
        <w:tc>
          <w:tcPr>
            <w:tcW w:w="675" w:type="dxa"/>
          </w:tcPr>
          <w:p w:rsidR="00F8214A" w:rsidRPr="00816657" w:rsidRDefault="00F8214A" w:rsidP="00DF1E42">
            <w:pPr>
              <w:jc w:val="right"/>
              <w:cnfStyle w:val="000000000000"/>
              <w:rPr>
                <w:sz w:val="16"/>
                <w:szCs w:val="16"/>
              </w:rPr>
            </w:pPr>
            <w:r w:rsidRPr="00816657">
              <w:rPr>
                <w:sz w:val="16"/>
                <w:szCs w:val="16"/>
              </w:rPr>
              <w:t>98,074</w:t>
            </w:r>
          </w:p>
        </w:tc>
        <w:tc>
          <w:tcPr>
            <w:tcW w:w="675" w:type="dxa"/>
          </w:tcPr>
          <w:p w:rsidR="00F8214A" w:rsidRPr="00816657" w:rsidRDefault="00F8214A" w:rsidP="00DF1E42">
            <w:pPr>
              <w:jc w:val="right"/>
              <w:cnfStyle w:val="000000000000"/>
              <w:rPr>
                <w:sz w:val="16"/>
                <w:szCs w:val="16"/>
              </w:rPr>
            </w:pPr>
            <w:r w:rsidRPr="00816657">
              <w:rPr>
                <w:sz w:val="16"/>
                <w:szCs w:val="16"/>
              </w:rPr>
              <w:t>97,093</w:t>
            </w:r>
          </w:p>
        </w:tc>
        <w:tc>
          <w:tcPr>
            <w:tcW w:w="675" w:type="dxa"/>
          </w:tcPr>
          <w:p w:rsidR="00F8214A" w:rsidRPr="00816657" w:rsidRDefault="00F8214A" w:rsidP="00DF1E42">
            <w:pPr>
              <w:jc w:val="right"/>
              <w:cnfStyle w:val="000000000000"/>
              <w:rPr>
                <w:sz w:val="16"/>
                <w:szCs w:val="16"/>
              </w:rPr>
            </w:pPr>
            <w:r w:rsidRPr="00816657">
              <w:rPr>
                <w:sz w:val="16"/>
                <w:szCs w:val="16"/>
              </w:rPr>
              <w:t>96,122</w:t>
            </w:r>
          </w:p>
        </w:tc>
        <w:tc>
          <w:tcPr>
            <w:tcW w:w="675" w:type="dxa"/>
          </w:tcPr>
          <w:p w:rsidR="00F8214A" w:rsidRPr="00816657" w:rsidRDefault="00F8214A" w:rsidP="00DF1E42">
            <w:pPr>
              <w:jc w:val="right"/>
              <w:cnfStyle w:val="000000000000"/>
              <w:rPr>
                <w:sz w:val="16"/>
                <w:szCs w:val="16"/>
              </w:rPr>
            </w:pPr>
            <w:r w:rsidRPr="00816657">
              <w:rPr>
                <w:sz w:val="16"/>
                <w:szCs w:val="16"/>
              </w:rPr>
              <w:t>95,161</w:t>
            </w:r>
          </w:p>
        </w:tc>
        <w:tc>
          <w:tcPr>
            <w:tcW w:w="675" w:type="dxa"/>
          </w:tcPr>
          <w:p w:rsidR="00F8214A" w:rsidRPr="00816657" w:rsidRDefault="00F8214A" w:rsidP="00DF1E42">
            <w:pPr>
              <w:jc w:val="right"/>
              <w:cnfStyle w:val="000000000000"/>
              <w:rPr>
                <w:sz w:val="16"/>
                <w:szCs w:val="16"/>
              </w:rPr>
            </w:pPr>
            <w:r w:rsidRPr="00816657">
              <w:rPr>
                <w:sz w:val="16"/>
                <w:szCs w:val="16"/>
              </w:rPr>
              <w:t>94,209</w:t>
            </w:r>
          </w:p>
        </w:tc>
      </w:tr>
      <w:tr w:rsidR="00F8214A" w:rsidRPr="00816657" w:rsidTr="00F8214A">
        <w:tc>
          <w:tcPr>
            <w:cnfStyle w:val="001000000000"/>
            <w:tcW w:w="710" w:type="dxa"/>
          </w:tcPr>
          <w:p w:rsidR="00F8214A" w:rsidRPr="00816657" w:rsidRDefault="00F8214A" w:rsidP="00F8214A">
            <w:r w:rsidRPr="00816657">
              <w:t>Best</w:t>
            </w:r>
          </w:p>
        </w:tc>
        <w:tc>
          <w:tcPr>
            <w:tcW w:w="567" w:type="dxa"/>
          </w:tcPr>
          <w:p w:rsidR="00F8214A" w:rsidRPr="00816657" w:rsidRDefault="00F8214A" w:rsidP="00F8214A">
            <w:pPr>
              <w:cnfStyle w:val="000000000000"/>
            </w:pPr>
            <w:r w:rsidRPr="00816657">
              <w:t>NT</w:t>
            </w:r>
          </w:p>
        </w:tc>
        <w:tc>
          <w:tcPr>
            <w:tcW w:w="675" w:type="dxa"/>
          </w:tcPr>
          <w:p w:rsidR="00F8214A" w:rsidRPr="00816657" w:rsidRDefault="00F8214A" w:rsidP="00DF1E42">
            <w:pPr>
              <w:jc w:val="right"/>
              <w:cnfStyle w:val="000000000000"/>
              <w:rPr>
                <w:sz w:val="16"/>
                <w:szCs w:val="16"/>
              </w:rPr>
            </w:pPr>
            <w:r w:rsidRPr="00816657">
              <w:rPr>
                <w:sz w:val="16"/>
                <w:szCs w:val="16"/>
              </w:rPr>
              <w:t>319</w:t>
            </w:r>
          </w:p>
        </w:tc>
        <w:tc>
          <w:tcPr>
            <w:tcW w:w="675" w:type="dxa"/>
          </w:tcPr>
          <w:p w:rsidR="00F8214A" w:rsidRPr="00816657" w:rsidRDefault="00F8214A" w:rsidP="00DF1E42">
            <w:pPr>
              <w:jc w:val="right"/>
              <w:cnfStyle w:val="000000000000"/>
              <w:rPr>
                <w:sz w:val="16"/>
                <w:szCs w:val="16"/>
              </w:rPr>
            </w:pPr>
            <w:r w:rsidRPr="00816657">
              <w:rPr>
                <w:sz w:val="16"/>
                <w:szCs w:val="16"/>
              </w:rPr>
              <w:t>322</w:t>
            </w:r>
          </w:p>
        </w:tc>
        <w:tc>
          <w:tcPr>
            <w:tcW w:w="675" w:type="dxa"/>
          </w:tcPr>
          <w:p w:rsidR="00F8214A" w:rsidRPr="00816657" w:rsidRDefault="00F8214A" w:rsidP="00DF1E42">
            <w:pPr>
              <w:jc w:val="right"/>
              <w:cnfStyle w:val="000000000000"/>
              <w:rPr>
                <w:sz w:val="16"/>
                <w:szCs w:val="16"/>
              </w:rPr>
            </w:pPr>
            <w:r w:rsidRPr="00816657">
              <w:rPr>
                <w:sz w:val="16"/>
                <w:szCs w:val="16"/>
              </w:rPr>
              <w:t>326</w:t>
            </w:r>
          </w:p>
        </w:tc>
        <w:tc>
          <w:tcPr>
            <w:tcW w:w="675" w:type="dxa"/>
          </w:tcPr>
          <w:p w:rsidR="00F8214A" w:rsidRPr="00816657" w:rsidRDefault="00F8214A" w:rsidP="00DF1E42">
            <w:pPr>
              <w:jc w:val="right"/>
              <w:cnfStyle w:val="000000000000"/>
              <w:rPr>
                <w:sz w:val="16"/>
                <w:szCs w:val="16"/>
              </w:rPr>
            </w:pPr>
            <w:r w:rsidRPr="00816657">
              <w:rPr>
                <w:sz w:val="16"/>
                <w:szCs w:val="16"/>
              </w:rPr>
              <w:t>329</w:t>
            </w:r>
          </w:p>
        </w:tc>
        <w:tc>
          <w:tcPr>
            <w:tcW w:w="675" w:type="dxa"/>
          </w:tcPr>
          <w:p w:rsidR="00F8214A" w:rsidRPr="00816657" w:rsidRDefault="00F8214A" w:rsidP="00DF1E42">
            <w:pPr>
              <w:jc w:val="right"/>
              <w:cnfStyle w:val="000000000000"/>
              <w:rPr>
                <w:sz w:val="16"/>
                <w:szCs w:val="16"/>
              </w:rPr>
            </w:pPr>
            <w:r w:rsidRPr="00816657">
              <w:rPr>
                <w:sz w:val="16"/>
                <w:szCs w:val="16"/>
              </w:rPr>
              <w:t>332</w:t>
            </w:r>
          </w:p>
        </w:tc>
        <w:tc>
          <w:tcPr>
            <w:tcW w:w="675" w:type="dxa"/>
          </w:tcPr>
          <w:p w:rsidR="00F8214A" w:rsidRPr="00816657" w:rsidRDefault="00F8214A" w:rsidP="00DF1E42">
            <w:pPr>
              <w:jc w:val="right"/>
              <w:cnfStyle w:val="000000000000"/>
              <w:rPr>
                <w:sz w:val="16"/>
                <w:szCs w:val="16"/>
              </w:rPr>
            </w:pPr>
            <w:r w:rsidRPr="00816657">
              <w:rPr>
                <w:sz w:val="16"/>
                <w:szCs w:val="16"/>
              </w:rPr>
              <w:t>335</w:t>
            </w:r>
          </w:p>
        </w:tc>
        <w:tc>
          <w:tcPr>
            <w:tcW w:w="675" w:type="dxa"/>
          </w:tcPr>
          <w:p w:rsidR="00F8214A" w:rsidRPr="00816657" w:rsidRDefault="00F8214A" w:rsidP="00DF1E42">
            <w:pPr>
              <w:jc w:val="right"/>
              <w:cnfStyle w:val="000000000000"/>
              <w:rPr>
                <w:sz w:val="16"/>
                <w:szCs w:val="16"/>
              </w:rPr>
            </w:pPr>
            <w:r w:rsidRPr="00816657">
              <w:rPr>
                <w:sz w:val="16"/>
                <w:szCs w:val="16"/>
              </w:rPr>
              <w:t>339</w:t>
            </w:r>
          </w:p>
        </w:tc>
        <w:tc>
          <w:tcPr>
            <w:tcW w:w="675" w:type="dxa"/>
          </w:tcPr>
          <w:p w:rsidR="00F8214A" w:rsidRPr="00816657" w:rsidRDefault="00F8214A" w:rsidP="00DF1E42">
            <w:pPr>
              <w:jc w:val="right"/>
              <w:cnfStyle w:val="000000000000"/>
              <w:rPr>
                <w:sz w:val="16"/>
                <w:szCs w:val="16"/>
              </w:rPr>
            </w:pPr>
            <w:r w:rsidRPr="00816657">
              <w:rPr>
                <w:sz w:val="16"/>
                <w:szCs w:val="16"/>
              </w:rPr>
              <w:t>342</w:t>
            </w:r>
          </w:p>
        </w:tc>
        <w:tc>
          <w:tcPr>
            <w:tcW w:w="675" w:type="dxa"/>
          </w:tcPr>
          <w:p w:rsidR="00F8214A" w:rsidRPr="00816657" w:rsidRDefault="00F8214A" w:rsidP="00DF1E42">
            <w:pPr>
              <w:jc w:val="right"/>
              <w:cnfStyle w:val="000000000000"/>
              <w:rPr>
                <w:sz w:val="16"/>
                <w:szCs w:val="16"/>
              </w:rPr>
            </w:pPr>
            <w:r w:rsidRPr="00816657">
              <w:rPr>
                <w:sz w:val="16"/>
                <w:szCs w:val="16"/>
              </w:rPr>
              <w:t>346</w:t>
            </w:r>
          </w:p>
        </w:tc>
        <w:tc>
          <w:tcPr>
            <w:tcW w:w="675" w:type="dxa"/>
          </w:tcPr>
          <w:p w:rsidR="00F8214A" w:rsidRPr="00816657" w:rsidRDefault="00F8214A" w:rsidP="00DF1E42">
            <w:pPr>
              <w:jc w:val="right"/>
              <w:cnfStyle w:val="000000000000"/>
              <w:rPr>
                <w:sz w:val="16"/>
                <w:szCs w:val="16"/>
              </w:rPr>
            </w:pPr>
            <w:r w:rsidRPr="00816657">
              <w:rPr>
                <w:sz w:val="16"/>
                <w:szCs w:val="16"/>
              </w:rPr>
              <w:t>349</w:t>
            </w:r>
          </w:p>
        </w:tc>
        <w:tc>
          <w:tcPr>
            <w:tcW w:w="675" w:type="dxa"/>
          </w:tcPr>
          <w:p w:rsidR="00F8214A" w:rsidRPr="00816657" w:rsidRDefault="00F8214A" w:rsidP="00DF1E42">
            <w:pPr>
              <w:jc w:val="right"/>
              <w:cnfStyle w:val="000000000000"/>
              <w:rPr>
                <w:sz w:val="16"/>
                <w:szCs w:val="16"/>
              </w:rPr>
            </w:pPr>
            <w:r w:rsidRPr="00816657">
              <w:rPr>
                <w:sz w:val="16"/>
                <w:szCs w:val="16"/>
              </w:rPr>
              <w:t>346</w:t>
            </w:r>
          </w:p>
        </w:tc>
        <w:tc>
          <w:tcPr>
            <w:tcW w:w="675" w:type="dxa"/>
          </w:tcPr>
          <w:p w:rsidR="00F8214A" w:rsidRPr="00816657" w:rsidRDefault="00F8214A" w:rsidP="00DF1E42">
            <w:pPr>
              <w:jc w:val="right"/>
              <w:cnfStyle w:val="000000000000"/>
              <w:rPr>
                <w:sz w:val="16"/>
                <w:szCs w:val="16"/>
              </w:rPr>
            </w:pPr>
            <w:r w:rsidRPr="00816657">
              <w:rPr>
                <w:sz w:val="16"/>
                <w:szCs w:val="16"/>
              </w:rPr>
              <w:t>342</w:t>
            </w:r>
          </w:p>
        </w:tc>
        <w:tc>
          <w:tcPr>
            <w:tcW w:w="675" w:type="dxa"/>
          </w:tcPr>
          <w:p w:rsidR="00F8214A" w:rsidRPr="00816657" w:rsidRDefault="00F8214A" w:rsidP="00DF1E42">
            <w:pPr>
              <w:jc w:val="right"/>
              <w:cnfStyle w:val="000000000000"/>
              <w:rPr>
                <w:sz w:val="16"/>
                <w:szCs w:val="16"/>
              </w:rPr>
            </w:pPr>
            <w:r w:rsidRPr="00816657">
              <w:rPr>
                <w:sz w:val="16"/>
                <w:szCs w:val="16"/>
              </w:rPr>
              <w:t>339</w:t>
            </w:r>
          </w:p>
        </w:tc>
        <w:tc>
          <w:tcPr>
            <w:tcW w:w="675" w:type="dxa"/>
          </w:tcPr>
          <w:p w:rsidR="00F8214A" w:rsidRPr="00816657" w:rsidRDefault="00F8214A" w:rsidP="00DF1E42">
            <w:pPr>
              <w:jc w:val="right"/>
              <w:cnfStyle w:val="000000000000"/>
              <w:rPr>
                <w:sz w:val="16"/>
                <w:szCs w:val="16"/>
              </w:rPr>
            </w:pPr>
            <w:r w:rsidRPr="00816657">
              <w:rPr>
                <w:sz w:val="16"/>
                <w:szCs w:val="16"/>
              </w:rPr>
              <w:t>335</w:t>
            </w:r>
          </w:p>
        </w:tc>
        <w:tc>
          <w:tcPr>
            <w:tcW w:w="675" w:type="dxa"/>
          </w:tcPr>
          <w:p w:rsidR="00F8214A" w:rsidRPr="00816657" w:rsidRDefault="00F8214A" w:rsidP="00DF1E42">
            <w:pPr>
              <w:jc w:val="right"/>
              <w:cnfStyle w:val="000000000000"/>
              <w:rPr>
                <w:sz w:val="16"/>
                <w:szCs w:val="16"/>
              </w:rPr>
            </w:pPr>
            <w:r w:rsidRPr="00816657">
              <w:rPr>
                <w:sz w:val="16"/>
                <w:szCs w:val="16"/>
              </w:rPr>
              <w:t>332</w:t>
            </w:r>
          </w:p>
        </w:tc>
        <w:tc>
          <w:tcPr>
            <w:tcW w:w="675" w:type="dxa"/>
          </w:tcPr>
          <w:p w:rsidR="00F8214A" w:rsidRPr="00816657" w:rsidRDefault="00F8214A" w:rsidP="00DF1E42">
            <w:pPr>
              <w:jc w:val="right"/>
              <w:cnfStyle w:val="000000000000"/>
              <w:rPr>
                <w:sz w:val="16"/>
                <w:szCs w:val="16"/>
              </w:rPr>
            </w:pPr>
            <w:r w:rsidRPr="00816657">
              <w:rPr>
                <w:sz w:val="16"/>
                <w:szCs w:val="16"/>
              </w:rPr>
              <w:t>329</w:t>
            </w:r>
          </w:p>
        </w:tc>
        <w:tc>
          <w:tcPr>
            <w:tcW w:w="675" w:type="dxa"/>
          </w:tcPr>
          <w:p w:rsidR="00F8214A" w:rsidRPr="00816657" w:rsidRDefault="00F8214A" w:rsidP="00DF1E42">
            <w:pPr>
              <w:jc w:val="right"/>
              <w:cnfStyle w:val="000000000000"/>
              <w:rPr>
                <w:sz w:val="16"/>
                <w:szCs w:val="16"/>
              </w:rPr>
            </w:pPr>
            <w:r w:rsidRPr="00816657">
              <w:rPr>
                <w:sz w:val="16"/>
                <w:szCs w:val="16"/>
              </w:rPr>
              <w:t>325</w:t>
            </w:r>
          </w:p>
        </w:tc>
        <w:tc>
          <w:tcPr>
            <w:tcW w:w="675" w:type="dxa"/>
          </w:tcPr>
          <w:p w:rsidR="00F8214A" w:rsidRPr="00816657" w:rsidRDefault="00F8214A" w:rsidP="00DF1E42">
            <w:pPr>
              <w:jc w:val="right"/>
              <w:cnfStyle w:val="000000000000"/>
              <w:rPr>
                <w:sz w:val="16"/>
                <w:szCs w:val="16"/>
              </w:rPr>
            </w:pPr>
            <w:r w:rsidRPr="00816657">
              <w:rPr>
                <w:sz w:val="16"/>
                <w:szCs w:val="16"/>
              </w:rPr>
              <w:t>322</w:t>
            </w:r>
          </w:p>
        </w:tc>
        <w:tc>
          <w:tcPr>
            <w:tcW w:w="675" w:type="dxa"/>
          </w:tcPr>
          <w:p w:rsidR="00F8214A" w:rsidRPr="00816657" w:rsidRDefault="00F8214A" w:rsidP="00DF1E42">
            <w:pPr>
              <w:jc w:val="right"/>
              <w:cnfStyle w:val="000000000000"/>
              <w:rPr>
                <w:sz w:val="16"/>
                <w:szCs w:val="16"/>
              </w:rPr>
            </w:pPr>
            <w:r w:rsidRPr="00816657">
              <w:rPr>
                <w:sz w:val="16"/>
                <w:szCs w:val="16"/>
              </w:rPr>
              <w:t>319</w:t>
            </w:r>
          </w:p>
        </w:tc>
        <w:tc>
          <w:tcPr>
            <w:tcW w:w="675" w:type="dxa"/>
          </w:tcPr>
          <w:p w:rsidR="00F8214A" w:rsidRPr="00816657" w:rsidRDefault="00F8214A" w:rsidP="00DF1E42">
            <w:pPr>
              <w:jc w:val="right"/>
              <w:cnfStyle w:val="000000000000"/>
              <w:rPr>
                <w:sz w:val="16"/>
                <w:szCs w:val="16"/>
              </w:rPr>
            </w:pPr>
            <w:r w:rsidRPr="00816657">
              <w:rPr>
                <w:sz w:val="16"/>
                <w:szCs w:val="16"/>
              </w:rPr>
              <w:t>316</w:t>
            </w:r>
          </w:p>
        </w:tc>
        <w:tc>
          <w:tcPr>
            <w:tcW w:w="675" w:type="dxa"/>
          </w:tcPr>
          <w:p w:rsidR="00F8214A" w:rsidRPr="00816657" w:rsidRDefault="00F8214A" w:rsidP="00DF1E42">
            <w:pPr>
              <w:jc w:val="right"/>
              <w:cnfStyle w:val="000000000000"/>
              <w:rPr>
                <w:sz w:val="16"/>
                <w:szCs w:val="16"/>
              </w:rPr>
            </w:pPr>
            <w:r w:rsidRPr="00816657">
              <w:rPr>
                <w:sz w:val="16"/>
                <w:szCs w:val="16"/>
              </w:rPr>
              <w:t>313</w:t>
            </w:r>
          </w:p>
        </w:tc>
      </w:tr>
      <w:tr w:rsidR="00F8214A" w:rsidRPr="00816657" w:rsidTr="00F8214A">
        <w:tc>
          <w:tcPr>
            <w:cnfStyle w:val="001000000000"/>
            <w:tcW w:w="710" w:type="dxa"/>
          </w:tcPr>
          <w:p w:rsidR="00F8214A" w:rsidRPr="00816657" w:rsidRDefault="00F8214A" w:rsidP="00F8214A">
            <w:r w:rsidRPr="00816657">
              <w:t>Best</w:t>
            </w:r>
          </w:p>
        </w:tc>
        <w:tc>
          <w:tcPr>
            <w:tcW w:w="567" w:type="dxa"/>
          </w:tcPr>
          <w:p w:rsidR="00F8214A" w:rsidRPr="00816657" w:rsidRDefault="00F8214A" w:rsidP="00F8214A">
            <w:pPr>
              <w:cnfStyle w:val="000000000000"/>
            </w:pPr>
            <w:r w:rsidRPr="00816657">
              <w:t>Qld</w:t>
            </w:r>
          </w:p>
        </w:tc>
        <w:tc>
          <w:tcPr>
            <w:tcW w:w="675" w:type="dxa"/>
          </w:tcPr>
          <w:p w:rsidR="00F8214A" w:rsidRPr="00816657" w:rsidRDefault="00F8214A" w:rsidP="00DF1E42">
            <w:pPr>
              <w:jc w:val="right"/>
              <w:cnfStyle w:val="000000000000"/>
              <w:rPr>
                <w:sz w:val="16"/>
                <w:szCs w:val="16"/>
              </w:rPr>
            </w:pPr>
            <w:r w:rsidRPr="00816657">
              <w:rPr>
                <w:sz w:val="16"/>
                <w:szCs w:val="16"/>
              </w:rPr>
              <w:t>39,032</w:t>
            </w:r>
          </w:p>
        </w:tc>
        <w:tc>
          <w:tcPr>
            <w:tcW w:w="675" w:type="dxa"/>
          </w:tcPr>
          <w:p w:rsidR="00F8214A" w:rsidRPr="00816657" w:rsidRDefault="00F8214A" w:rsidP="00DF1E42">
            <w:pPr>
              <w:jc w:val="right"/>
              <w:cnfStyle w:val="000000000000"/>
              <w:rPr>
                <w:sz w:val="16"/>
                <w:szCs w:val="16"/>
              </w:rPr>
            </w:pPr>
            <w:r w:rsidRPr="00816657">
              <w:rPr>
                <w:sz w:val="16"/>
                <w:szCs w:val="16"/>
              </w:rPr>
              <w:t>39,422</w:t>
            </w:r>
          </w:p>
        </w:tc>
        <w:tc>
          <w:tcPr>
            <w:tcW w:w="675" w:type="dxa"/>
          </w:tcPr>
          <w:p w:rsidR="00F8214A" w:rsidRPr="00816657" w:rsidRDefault="00F8214A" w:rsidP="00DF1E42">
            <w:pPr>
              <w:jc w:val="right"/>
              <w:cnfStyle w:val="000000000000"/>
              <w:rPr>
                <w:sz w:val="16"/>
                <w:szCs w:val="16"/>
              </w:rPr>
            </w:pPr>
            <w:r w:rsidRPr="00816657">
              <w:rPr>
                <w:sz w:val="16"/>
                <w:szCs w:val="16"/>
              </w:rPr>
              <w:t>39,816</w:t>
            </w:r>
          </w:p>
        </w:tc>
        <w:tc>
          <w:tcPr>
            <w:tcW w:w="675" w:type="dxa"/>
          </w:tcPr>
          <w:p w:rsidR="00F8214A" w:rsidRPr="00816657" w:rsidRDefault="00F8214A" w:rsidP="00DF1E42">
            <w:pPr>
              <w:jc w:val="right"/>
              <w:cnfStyle w:val="000000000000"/>
              <w:rPr>
                <w:sz w:val="16"/>
                <w:szCs w:val="16"/>
              </w:rPr>
            </w:pPr>
            <w:r w:rsidRPr="00816657">
              <w:rPr>
                <w:sz w:val="16"/>
                <w:szCs w:val="16"/>
              </w:rPr>
              <w:t>40,214</w:t>
            </w:r>
          </w:p>
        </w:tc>
        <w:tc>
          <w:tcPr>
            <w:tcW w:w="675" w:type="dxa"/>
          </w:tcPr>
          <w:p w:rsidR="00F8214A" w:rsidRPr="00816657" w:rsidRDefault="00F8214A" w:rsidP="00DF1E42">
            <w:pPr>
              <w:jc w:val="right"/>
              <w:cnfStyle w:val="000000000000"/>
              <w:rPr>
                <w:sz w:val="16"/>
                <w:szCs w:val="16"/>
              </w:rPr>
            </w:pPr>
            <w:r w:rsidRPr="00816657">
              <w:rPr>
                <w:sz w:val="16"/>
                <w:szCs w:val="16"/>
              </w:rPr>
              <w:t>40,617</w:t>
            </w:r>
          </w:p>
        </w:tc>
        <w:tc>
          <w:tcPr>
            <w:tcW w:w="675" w:type="dxa"/>
          </w:tcPr>
          <w:p w:rsidR="00F8214A" w:rsidRPr="00816657" w:rsidRDefault="00F8214A" w:rsidP="00DF1E42">
            <w:pPr>
              <w:jc w:val="right"/>
              <w:cnfStyle w:val="000000000000"/>
              <w:rPr>
                <w:sz w:val="16"/>
                <w:szCs w:val="16"/>
              </w:rPr>
            </w:pPr>
            <w:r w:rsidRPr="00816657">
              <w:rPr>
                <w:sz w:val="16"/>
                <w:szCs w:val="16"/>
              </w:rPr>
              <w:t>41,023</w:t>
            </w:r>
          </w:p>
        </w:tc>
        <w:tc>
          <w:tcPr>
            <w:tcW w:w="675" w:type="dxa"/>
          </w:tcPr>
          <w:p w:rsidR="00F8214A" w:rsidRPr="00816657" w:rsidRDefault="00F8214A" w:rsidP="00DF1E42">
            <w:pPr>
              <w:jc w:val="right"/>
              <w:cnfStyle w:val="000000000000"/>
              <w:rPr>
                <w:sz w:val="16"/>
                <w:szCs w:val="16"/>
              </w:rPr>
            </w:pPr>
            <w:r w:rsidRPr="00816657">
              <w:rPr>
                <w:sz w:val="16"/>
                <w:szCs w:val="16"/>
              </w:rPr>
              <w:t>41,433</w:t>
            </w:r>
          </w:p>
        </w:tc>
        <w:tc>
          <w:tcPr>
            <w:tcW w:w="675" w:type="dxa"/>
          </w:tcPr>
          <w:p w:rsidR="00F8214A" w:rsidRPr="00816657" w:rsidRDefault="00F8214A" w:rsidP="00DF1E42">
            <w:pPr>
              <w:jc w:val="right"/>
              <w:cnfStyle w:val="000000000000"/>
              <w:rPr>
                <w:sz w:val="16"/>
                <w:szCs w:val="16"/>
              </w:rPr>
            </w:pPr>
            <w:r w:rsidRPr="00816657">
              <w:rPr>
                <w:sz w:val="16"/>
                <w:szCs w:val="16"/>
              </w:rPr>
              <w:t>41,847</w:t>
            </w:r>
          </w:p>
        </w:tc>
        <w:tc>
          <w:tcPr>
            <w:tcW w:w="675" w:type="dxa"/>
          </w:tcPr>
          <w:p w:rsidR="00F8214A" w:rsidRPr="00816657" w:rsidRDefault="00F8214A" w:rsidP="00DF1E42">
            <w:pPr>
              <w:jc w:val="right"/>
              <w:cnfStyle w:val="000000000000"/>
              <w:rPr>
                <w:sz w:val="16"/>
                <w:szCs w:val="16"/>
              </w:rPr>
            </w:pPr>
            <w:r w:rsidRPr="00816657">
              <w:rPr>
                <w:sz w:val="16"/>
                <w:szCs w:val="16"/>
              </w:rPr>
              <w:t>42,266</w:t>
            </w:r>
          </w:p>
        </w:tc>
        <w:tc>
          <w:tcPr>
            <w:tcW w:w="675" w:type="dxa"/>
          </w:tcPr>
          <w:p w:rsidR="00F8214A" w:rsidRPr="00816657" w:rsidRDefault="00F8214A" w:rsidP="00DF1E42">
            <w:pPr>
              <w:jc w:val="right"/>
              <w:cnfStyle w:val="000000000000"/>
              <w:rPr>
                <w:sz w:val="16"/>
                <w:szCs w:val="16"/>
              </w:rPr>
            </w:pPr>
            <w:r w:rsidRPr="00816657">
              <w:rPr>
                <w:sz w:val="16"/>
                <w:szCs w:val="16"/>
              </w:rPr>
              <w:t>42,688</w:t>
            </w:r>
          </w:p>
        </w:tc>
        <w:tc>
          <w:tcPr>
            <w:tcW w:w="675" w:type="dxa"/>
          </w:tcPr>
          <w:p w:rsidR="00F8214A" w:rsidRPr="00816657" w:rsidRDefault="00F8214A" w:rsidP="00DF1E42">
            <w:pPr>
              <w:jc w:val="right"/>
              <w:cnfStyle w:val="000000000000"/>
              <w:rPr>
                <w:sz w:val="16"/>
                <w:szCs w:val="16"/>
              </w:rPr>
            </w:pPr>
            <w:r w:rsidRPr="00816657">
              <w:rPr>
                <w:sz w:val="16"/>
                <w:szCs w:val="16"/>
              </w:rPr>
              <w:t>42,262</w:t>
            </w:r>
          </w:p>
        </w:tc>
        <w:tc>
          <w:tcPr>
            <w:tcW w:w="675" w:type="dxa"/>
          </w:tcPr>
          <w:p w:rsidR="00F8214A" w:rsidRPr="00816657" w:rsidRDefault="00F8214A" w:rsidP="00DF1E42">
            <w:pPr>
              <w:jc w:val="right"/>
              <w:cnfStyle w:val="000000000000"/>
              <w:rPr>
                <w:sz w:val="16"/>
                <w:szCs w:val="16"/>
              </w:rPr>
            </w:pPr>
            <w:r w:rsidRPr="00816657">
              <w:rPr>
                <w:sz w:val="16"/>
                <w:szCs w:val="16"/>
              </w:rPr>
              <w:t>41,839</w:t>
            </w:r>
          </w:p>
        </w:tc>
        <w:tc>
          <w:tcPr>
            <w:tcW w:w="675" w:type="dxa"/>
          </w:tcPr>
          <w:p w:rsidR="00F8214A" w:rsidRPr="00816657" w:rsidRDefault="00F8214A" w:rsidP="00DF1E42">
            <w:pPr>
              <w:jc w:val="right"/>
              <w:cnfStyle w:val="000000000000"/>
              <w:rPr>
                <w:sz w:val="16"/>
                <w:szCs w:val="16"/>
              </w:rPr>
            </w:pPr>
            <w:r w:rsidRPr="00816657">
              <w:rPr>
                <w:sz w:val="16"/>
                <w:szCs w:val="16"/>
              </w:rPr>
              <w:t>41,421</w:t>
            </w:r>
          </w:p>
        </w:tc>
        <w:tc>
          <w:tcPr>
            <w:tcW w:w="675" w:type="dxa"/>
          </w:tcPr>
          <w:p w:rsidR="00F8214A" w:rsidRPr="00816657" w:rsidRDefault="00F8214A" w:rsidP="00DF1E42">
            <w:pPr>
              <w:jc w:val="right"/>
              <w:cnfStyle w:val="000000000000"/>
              <w:rPr>
                <w:sz w:val="16"/>
                <w:szCs w:val="16"/>
              </w:rPr>
            </w:pPr>
            <w:r w:rsidRPr="00816657">
              <w:rPr>
                <w:sz w:val="16"/>
                <w:szCs w:val="16"/>
              </w:rPr>
              <w:t>41,006</w:t>
            </w:r>
          </w:p>
        </w:tc>
        <w:tc>
          <w:tcPr>
            <w:tcW w:w="675" w:type="dxa"/>
          </w:tcPr>
          <w:p w:rsidR="00F8214A" w:rsidRPr="00816657" w:rsidRDefault="00F8214A" w:rsidP="00DF1E42">
            <w:pPr>
              <w:jc w:val="right"/>
              <w:cnfStyle w:val="000000000000"/>
              <w:rPr>
                <w:sz w:val="16"/>
                <w:szCs w:val="16"/>
              </w:rPr>
            </w:pPr>
            <w:r w:rsidRPr="00816657">
              <w:rPr>
                <w:sz w:val="16"/>
                <w:szCs w:val="16"/>
              </w:rPr>
              <w:t>40,596</w:t>
            </w:r>
          </w:p>
        </w:tc>
        <w:tc>
          <w:tcPr>
            <w:tcW w:w="675" w:type="dxa"/>
          </w:tcPr>
          <w:p w:rsidR="00F8214A" w:rsidRPr="00816657" w:rsidRDefault="00F8214A" w:rsidP="00DF1E42">
            <w:pPr>
              <w:jc w:val="right"/>
              <w:cnfStyle w:val="000000000000"/>
              <w:rPr>
                <w:sz w:val="16"/>
                <w:szCs w:val="16"/>
              </w:rPr>
            </w:pPr>
            <w:r w:rsidRPr="00816657">
              <w:rPr>
                <w:sz w:val="16"/>
                <w:szCs w:val="16"/>
              </w:rPr>
              <w:t>40,190</w:t>
            </w:r>
          </w:p>
        </w:tc>
        <w:tc>
          <w:tcPr>
            <w:tcW w:w="675" w:type="dxa"/>
          </w:tcPr>
          <w:p w:rsidR="00F8214A" w:rsidRPr="00816657" w:rsidRDefault="00F8214A" w:rsidP="00DF1E42">
            <w:pPr>
              <w:jc w:val="right"/>
              <w:cnfStyle w:val="000000000000"/>
              <w:rPr>
                <w:sz w:val="16"/>
                <w:szCs w:val="16"/>
              </w:rPr>
            </w:pPr>
            <w:r w:rsidRPr="00816657">
              <w:rPr>
                <w:sz w:val="16"/>
                <w:szCs w:val="16"/>
              </w:rPr>
              <w:t>39,788</w:t>
            </w:r>
          </w:p>
        </w:tc>
        <w:tc>
          <w:tcPr>
            <w:tcW w:w="675" w:type="dxa"/>
          </w:tcPr>
          <w:p w:rsidR="00F8214A" w:rsidRPr="00816657" w:rsidRDefault="00F8214A" w:rsidP="00DF1E42">
            <w:pPr>
              <w:jc w:val="right"/>
              <w:cnfStyle w:val="000000000000"/>
              <w:rPr>
                <w:sz w:val="16"/>
                <w:szCs w:val="16"/>
              </w:rPr>
            </w:pPr>
            <w:r w:rsidRPr="00816657">
              <w:rPr>
                <w:sz w:val="16"/>
                <w:szCs w:val="16"/>
              </w:rPr>
              <w:t>39,391</w:t>
            </w:r>
          </w:p>
        </w:tc>
        <w:tc>
          <w:tcPr>
            <w:tcW w:w="675" w:type="dxa"/>
          </w:tcPr>
          <w:p w:rsidR="00F8214A" w:rsidRPr="00816657" w:rsidRDefault="00F8214A" w:rsidP="00DF1E42">
            <w:pPr>
              <w:jc w:val="right"/>
              <w:cnfStyle w:val="000000000000"/>
              <w:rPr>
                <w:sz w:val="16"/>
                <w:szCs w:val="16"/>
              </w:rPr>
            </w:pPr>
            <w:r w:rsidRPr="00816657">
              <w:rPr>
                <w:sz w:val="16"/>
                <w:szCs w:val="16"/>
              </w:rPr>
              <w:t>38,997</w:t>
            </w:r>
          </w:p>
        </w:tc>
        <w:tc>
          <w:tcPr>
            <w:tcW w:w="675" w:type="dxa"/>
          </w:tcPr>
          <w:p w:rsidR="00F8214A" w:rsidRPr="00816657" w:rsidRDefault="00F8214A" w:rsidP="00DF1E42">
            <w:pPr>
              <w:jc w:val="right"/>
              <w:cnfStyle w:val="000000000000"/>
              <w:rPr>
                <w:sz w:val="16"/>
                <w:szCs w:val="16"/>
              </w:rPr>
            </w:pPr>
            <w:r w:rsidRPr="00816657">
              <w:rPr>
                <w:sz w:val="16"/>
                <w:szCs w:val="16"/>
              </w:rPr>
              <w:t>38,607</w:t>
            </w:r>
          </w:p>
        </w:tc>
        <w:tc>
          <w:tcPr>
            <w:tcW w:w="675" w:type="dxa"/>
          </w:tcPr>
          <w:p w:rsidR="00F8214A" w:rsidRPr="00816657" w:rsidRDefault="00F8214A" w:rsidP="00DF1E42">
            <w:pPr>
              <w:jc w:val="right"/>
              <w:cnfStyle w:val="000000000000"/>
              <w:rPr>
                <w:sz w:val="16"/>
                <w:szCs w:val="16"/>
              </w:rPr>
            </w:pPr>
            <w:r w:rsidRPr="00816657">
              <w:rPr>
                <w:sz w:val="16"/>
                <w:szCs w:val="16"/>
              </w:rPr>
              <w:t>38,221</w:t>
            </w:r>
          </w:p>
        </w:tc>
      </w:tr>
      <w:tr w:rsidR="00F8214A" w:rsidRPr="00816657" w:rsidTr="00F8214A">
        <w:tc>
          <w:tcPr>
            <w:cnfStyle w:val="001000000000"/>
            <w:tcW w:w="710" w:type="dxa"/>
          </w:tcPr>
          <w:p w:rsidR="00F8214A" w:rsidRPr="00816657" w:rsidRDefault="00F8214A" w:rsidP="00F8214A">
            <w:r w:rsidRPr="00816657">
              <w:t>Best</w:t>
            </w:r>
          </w:p>
        </w:tc>
        <w:tc>
          <w:tcPr>
            <w:tcW w:w="567" w:type="dxa"/>
          </w:tcPr>
          <w:p w:rsidR="00F8214A" w:rsidRPr="00816657" w:rsidRDefault="00F8214A" w:rsidP="00F8214A">
            <w:pPr>
              <w:cnfStyle w:val="000000000000"/>
            </w:pPr>
            <w:r w:rsidRPr="00816657">
              <w:t>SA</w:t>
            </w:r>
          </w:p>
        </w:tc>
        <w:tc>
          <w:tcPr>
            <w:tcW w:w="675" w:type="dxa"/>
          </w:tcPr>
          <w:p w:rsidR="00F8214A" w:rsidRPr="00816657" w:rsidRDefault="00F8214A" w:rsidP="00DF1E42">
            <w:pPr>
              <w:jc w:val="right"/>
              <w:cnfStyle w:val="000000000000"/>
              <w:rPr>
                <w:sz w:val="16"/>
                <w:szCs w:val="16"/>
              </w:rPr>
            </w:pPr>
            <w:r w:rsidRPr="00816657">
              <w:rPr>
                <w:sz w:val="16"/>
                <w:szCs w:val="16"/>
              </w:rPr>
              <w:t>8,476</w:t>
            </w:r>
          </w:p>
        </w:tc>
        <w:tc>
          <w:tcPr>
            <w:tcW w:w="675" w:type="dxa"/>
          </w:tcPr>
          <w:p w:rsidR="00F8214A" w:rsidRPr="00816657" w:rsidRDefault="00F8214A" w:rsidP="00DF1E42">
            <w:pPr>
              <w:jc w:val="right"/>
              <w:cnfStyle w:val="000000000000"/>
              <w:rPr>
                <w:sz w:val="16"/>
                <w:szCs w:val="16"/>
              </w:rPr>
            </w:pPr>
            <w:r w:rsidRPr="00816657">
              <w:rPr>
                <w:sz w:val="16"/>
                <w:szCs w:val="16"/>
              </w:rPr>
              <w:t>8,561</w:t>
            </w:r>
          </w:p>
        </w:tc>
        <w:tc>
          <w:tcPr>
            <w:tcW w:w="675" w:type="dxa"/>
          </w:tcPr>
          <w:p w:rsidR="00F8214A" w:rsidRPr="00816657" w:rsidRDefault="00F8214A" w:rsidP="00DF1E42">
            <w:pPr>
              <w:jc w:val="right"/>
              <w:cnfStyle w:val="000000000000"/>
              <w:rPr>
                <w:sz w:val="16"/>
                <w:szCs w:val="16"/>
              </w:rPr>
            </w:pPr>
            <w:r w:rsidRPr="00816657">
              <w:rPr>
                <w:sz w:val="16"/>
                <w:szCs w:val="16"/>
              </w:rPr>
              <w:t>8,647</w:t>
            </w:r>
          </w:p>
        </w:tc>
        <w:tc>
          <w:tcPr>
            <w:tcW w:w="675" w:type="dxa"/>
          </w:tcPr>
          <w:p w:rsidR="00F8214A" w:rsidRPr="00816657" w:rsidRDefault="00F8214A" w:rsidP="00DF1E42">
            <w:pPr>
              <w:jc w:val="right"/>
              <w:cnfStyle w:val="000000000000"/>
              <w:rPr>
                <w:sz w:val="16"/>
                <w:szCs w:val="16"/>
              </w:rPr>
            </w:pPr>
            <w:r w:rsidRPr="00816657">
              <w:rPr>
                <w:sz w:val="16"/>
                <w:szCs w:val="16"/>
              </w:rPr>
              <w:t>8,733</w:t>
            </w:r>
          </w:p>
        </w:tc>
        <w:tc>
          <w:tcPr>
            <w:tcW w:w="675" w:type="dxa"/>
          </w:tcPr>
          <w:p w:rsidR="00F8214A" w:rsidRPr="00816657" w:rsidRDefault="00F8214A" w:rsidP="00DF1E42">
            <w:pPr>
              <w:jc w:val="right"/>
              <w:cnfStyle w:val="000000000000"/>
              <w:rPr>
                <w:sz w:val="16"/>
                <w:szCs w:val="16"/>
              </w:rPr>
            </w:pPr>
            <w:r w:rsidRPr="00816657">
              <w:rPr>
                <w:sz w:val="16"/>
                <w:szCs w:val="16"/>
              </w:rPr>
              <w:t>8,820</w:t>
            </w:r>
          </w:p>
        </w:tc>
        <w:tc>
          <w:tcPr>
            <w:tcW w:w="675" w:type="dxa"/>
          </w:tcPr>
          <w:p w:rsidR="00F8214A" w:rsidRPr="00816657" w:rsidRDefault="00F8214A" w:rsidP="00DF1E42">
            <w:pPr>
              <w:jc w:val="right"/>
              <w:cnfStyle w:val="000000000000"/>
              <w:rPr>
                <w:sz w:val="16"/>
                <w:szCs w:val="16"/>
              </w:rPr>
            </w:pPr>
            <w:r w:rsidRPr="00816657">
              <w:rPr>
                <w:sz w:val="16"/>
                <w:szCs w:val="16"/>
              </w:rPr>
              <w:t>8,909</w:t>
            </w:r>
          </w:p>
        </w:tc>
        <w:tc>
          <w:tcPr>
            <w:tcW w:w="675" w:type="dxa"/>
          </w:tcPr>
          <w:p w:rsidR="00F8214A" w:rsidRPr="00816657" w:rsidRDefault="00F8214A" w:rsidP="00DF1E42">
            <w:pPr>
              <w:jc w:val="right"/>
              <w:cnfStyle w:val="000000000000"/>
              <w:rPr>
                <w:sz w:val="16"/>
                <w:szCs w:val="16"/>
              </w:rPr>
            </w:pPr>
            <w:r w:rsidRPr="00816657">
              <w:rPr>
                <w:sz w:val="16"/>
                <w:szCs w:val="16"/>
              </w:rPr>
              <w:t>8,998</w:t>
            </w:r>
          </w:p>
        </w:tc>
        <w:tc>
          <w:tcPr>
            <w:tcW w:w="675" w:type="dxa"/>
          </w:tcPr>
          <w:p w:rsidR="00F8214A" w:rsidRPr="00816657" w:rsidRDefault="00F8214A" w:rsidP="00DF1E42">
            <w:pPr>
              <w:jc w:val="right"/>
              <w:cnfStyle w:val="000000000000"/>
              <w:rPr>
                <w:sz w:val="16"/>
                <w:szCs w:val="16"/>
              </w:rPr>
            </w:pPr>
            <w:r w:rsidRPr="00816657">
              <w:rPr>
                <w:sz w:val="16"/>
                <w:szCs w:val="16"/>
              </w:rPr>
              <w:t>9,088</w:t>
            </w:r>
          </w:p>
        </w:tc>
        <w:tc>
          <w:tcPr>
            <w:tcW w:w="675" w:type="dxa"/>
          </w:tcPr>
          <w:p w:rsidR="00F8214A" w:rsidRPr="00816657" w:rsidRDefault="00F8214A" w:rsidP="00DF1E42">
            <w:pPr>
              <w:jc w:val="right"/>
              <w:cnfStyle w:val="000000000000"/>
              <w:rPr>
                <w:sz w:val="16"/>
                <w:szCs w:val="16"/>
              </w:rPr>
            </w:pPr>
            <w:r w:rsidRPr="00816657">
              <w:rPr>
                <w:sz w:val="16"/>
                <w:szCs w:val="16"/>
              </w:rPr>
              <w:t>9,179</w:t>
            </w:r>
          </w:p>
        </w:tc>
        <w:tc>
          <w:tcPr>
            <w:tcW w:w="675" w:type="dxa"/>
          </w:tcPr>
          <w:p w:rsidR="00F8214A" w:rsidRPr="00816657" w:rsidRDefault="00F8214A" w:rsidP="00DF1E42">
            <w:pPr>
              <w:jc w:val="right"/>
              <w:cnfStyle w:val="000000000000"/>
              <w:rPr>
                <w:sz w:val="16"/>
                <w:szCs w:val="16"/>
              </w:rPr>
            </w:pPr>
            <w:r w:rsidRPr="00816657">
              <w:rPr>
                <w:sz w:val="16"/>
                <w:szCs w:val="16"/>
              </w:rPr>
              <w:t>9,270</w:t>
            </w:r>
          </w:p>
        </w:tc>
        <w:tc>
          <w:tcPr>
            <w:tcW w:w="675" w:type="dxa"/>
          </w:tcPr>
          <w:p w:rsidR="00F8214A" w:rsidRPr="00816657" w:rsidRDefault="00F8214A" w:rsidP="00DF1E42">
            <w:pPr>
              <w:jc w:val="right"/>
              <w:cnfStyle w:val="000000000000"/>
              <w:rPr>
                <w:sz w:val="16"/>
                <w:szCs w:val="16"/>
              </w:rPr>
            </w:pPr>
            <w:r w:rsidRPr="00816657">
              <w:rPr>
                <w:sz w:val="16"/>
                <w:szCs w:val="16"/>
              </w:rPr>
              <w:t>9,178</w:t>
            </w:r>
          </w:p>
        </w:tc>
        <w:tc>
          <w:tcPr>
            <w:tcW w:w="675" w:type="dxa"/>
          </w:tcPr>
          <w:p w:rsidR="00F8214A" w:rsidRPr="00816657" w:rsidRDefault="00F8214A" w:rsidP="00DF1E42">
            <w:pPr>
              <w:jc w:val="right"/>
              <w:cnfStyle w:val="000000000000"/>
              <w:rPr>
                <w:sz w:val="16"/>
                <w:szCs w:val="16"/>
              </w:rPr>
            </w:pPr>
            <w:r w:rsidRPr="00816657">
              <w:rPr>
                <w:sz w:val="16"/>
                <w:szCs w:val="16"/>
              </w:rPr>
              <w:t>9,086</w:t>
            </w:r>
          </w:p>
        </w:tc>
        <w:tc>
          <w:tcPr>
            <w:tcW w:w="675" w:type="dxa"/>
          </w:tcPr>
          <w:p w:rsidR="00F8214A" w:rsidRPr="00816657" w:rsidRDefault="00F8214A" w:rsidP="00DF1E42">
            <w:pPr>
              <w:jc w:val="right"/>
              <w:cnfStyle w:val="000000000000"/>
              <w:rPr>
                <w:sz w:val="16"/>
                <w:szCs w:val="16"/>
              </w:rPr>
            </w:pPr>
            <w:r w:rsidRPr="00816657">
              <w:rPr>
                <w:sz w:val="16"/>
                <w:szCs w:val="16"/>
              </w:rPr>
              <w:t>8,995</w:t>
            </w:r>
          </w:p>
        </w:tc>
        <w:tc>
          <w:tcPr>
            <w:tcW w:w="675" w:type="dxa"/>
          </w:tcPr>
          <w:p w:rsidR="00F8214A" w:rsidRPr="00816657" w:rsidRDefault="00F8214A" w:rsidP="00DF1E42">
            <w:pPr>
              <w:jc w:val="right"/>
              <w:cnfStyle w:val="000000000000"/>
              <w:rPr>
                <w:sz w:val="16"/>
                <w:szCs w:val="16"/>
              </w:rPr>
            </w:pPr>
            <w:r w:rsidRPr="00816657">
              <w:rPr>
                <w:sz w:val="16"/>
                <w:szCs w:val="16"/>
              </w:rPr>
              <w:t>8,905</w:t>
            </w:r>
          </w:p>
        </w:tc>
        <w:tc>
          <w:tcPr>
            <w:tcW w:w="675" w:type="dxa"/>
          </w:tcPr>
          <w:p w:rsidR="00F8214A" w:rsidRPr="00816657" w:rsidRDefault="00F8214A" w:rsidP="00DF1E42">
            <w:pPr>
              <w:jc w:val="right"/>
              <w:cnfStyle w:val="000000000000"/>
              <w:rPr>
                <w:sz w:val="16"/>
                <w:szCs w:val="16"/>
              </w:rPr>
            </w:pPr>
            <w:r w:rsidRPr="00816657">
              <w:rPr>
                <w:sz w:val="16"/>
                <w:szCs w:val="16"/>
              </w:rPr>
              <w:t>8,816</w:t>
            </w:r>
          </w:p>
        </w:tc>
        <w:tc>
          <w:tcPr>
            <w:tcW w:w="675" w:type="dxa"/>
          </w:tcPr>
          <w:p w:rsidR="00F8214A" w:rsidRPr="00816657" w:rsidRDefault="00F8214A" w:rsidP="00DF1E42">
            <w:pPr>
              <w:jc w:val="right"/>
              <w:cnfStyle w:val="000000000000"/>
              <w:rPr>
                <w:sz w:val="16"/>
                <w:szCs w:val="16"/>
              </w:rPr>
            </w:pPr>
            <w:r w:rsidRPr="00816657">
              <w:rPr>
                <w:sz w:val="16"/>
                <w:szCs w:val="16"/>
              </w:rPr>
              <w:t>8,728</w:t>
            </w:r>
          </w:p>
        </w:tc>
        <w:tc>
          <w:tcPr>
            <w:tcW w:w="675" w:type="dxa"/>
          </w:tcPr>
          <w:p w:rsidR="00F8214A" w:rsidRPr="00816657" w:rsidRDefault="00F8214A" w:rsidP="00DF1E42">
            <w:pPr>
              <w:jc w:val="right"/>
              <w:cnfStyle w:val="000000000000"/>
              <w:rPr>
                <w:sz w:val="16"/>
                <w:szCs w:val="16"/>
              </w:rPr>
            </w:pPr>
            <w:r w:rsidRPr="00816657">
              <w:rPr>
                <w:sz w:val="16"/>
                <w:szCs w:val="16"/>
              </w:rPr>
              <w:t>8,641</w:t>
            </w:r>
          </w:p>
        </w:tc>
        <w:tc>
          <w:tcPr>
            <w:tcW w:w="675" w:type="dxa"/>
          </w:tcPr>
          <w:p w:rsidR="00F8214A" w:rsidRPr="00816657" w:rsidRDefault="00F8214A" w:rsidP="00DF1E42">
            <w:pPr>
              <w:jc w:val="right"/>
              <w:cnfStyle w:val="000000000000"/>
              <w:rPr>
                <w:sz w:val="16"/>
                <w:szCs w:val="16"/>
              </w:rPr>
            </w:pPr>
            <w:r w:rsidRPr="00816657">
              <w:rPr>
                <w:sz w:val="16"/>
                <w:szCs w:val="16"/>
              </w:rPr>
              <w:t>8,554</w:t>
            </w:r>
          </w:p>
        </w:tc>
        <w:tc>
          <w:tcPr>
            <w:tcW w:w="675" w:type="dxa"/>
          </w:tcPr>
          <w:p w:rsidR="00F8214A" w:rsidRPr="00816657" w:rsidRDefault="00F8214A" w:rsidP="00DF1E42">
            <w:pPr>
              <w:jc w:val="right"/>
              <w:cnfStyle w:val="000000000000"/>
              <w:rPr>
                <w:sz w:val="16"/>
                <w:szCs w:val="16"/>
              </w:rPr>
            </w:pPr>
            <w:r w:rsidRPr="00816657">
              <w:rPr>
                <w:sz w:val="16"/>
                <w:szCs w:val="16"/>
              </w:rPr>
              <w:t>8,469</w:t>
            </w:r>
          </w:p>
        </w:tc>
        <w:tc>
          <w:tcPr>
            <w:tcW w:w="675" w:type="dxa"/>
          </w:tcPr>
          <w:p w:rsidR="00F8214A" w:rsidRPr="00816657" w:rsidRDefault="00F8214A" w:rsidP="00DF1E42">
            <w:pPr>
              <w:jc w:val="right"/>
              <w:cnfStyle w:val="000000000000"/>
              <w:rPr>
                <w:sz w:val="16"/>
                <w:szCs w:val="16"/>
              </w:rPr>
            </w:pPr>
            <w:r w:rsidRPr="00816657">
              <w:rPr>
                <w:sz w:val="16"/>
                <w:szCs w:val="16"/>
              </w:rPr>
              <w:t>8,384</w:t>
            </w:r>
          </w:p>
        </w:tc>
        <w:tc>
          <w:tcPr>
            <w:tcW w:w="675" w:type="dxa"/>
          </w:tcPr>
          <w:p w:rsidR="00F8214A" w:rsidRPr="00816657" w:rsidRDefault="00F8214A" w:rsidP="00DF1E42">
            <w:pPr>
              <w:jc w:val="right"/>
              <w:cnfStyle w:val="000000000000"/>
              <w:rPr>
                <w:sz w:val="16"/>
                <w:szCs w:val="16"/>
              </w:rPr>
            </w:pPr>
            <w:r w:rsidRPr="00816657">
              <w:rPr>
                <w:sz w:val="16"/>
                <w:szCs w:val="16"/>
              </w:rPr>
              <w:t>8,300</w:t>
            </w:r>
          </w:p>
        </w:tc>
      </w:tr>
      <w:tr w:rsidR="00F8214A" w:rsidRPr="00816657" w:rsidTr="00F8214A">
        <w:tc>
          <w:tcPr>
            <w:cnfStyle w:val="001000000000"/>
            <w:tcW w:w="710" w:type="dxa"/>
          </w:tcPr>
          <w:p w:rsidR="00F8214A" w:rsidRPr="00816657" w:rsidRDefault="00F8214A" w:rsidP="00F8214A">
            <w:r w:rsidRPr="00816657">
              <w:t>Best</w:t>
            </w:r>
          </w:p>
        </w:tc>
        <w:tc>
          <w:tcPr>
            <w:tcW w:w="567" w:type="dxa"/>
          </w:tcPr>
          <w:p w:rsidR="00F8214A" w:rsidRPr="00816657" w:rsidRDefault="00F8214A" w:rsidP="00F8214A">
            <w:pPr>
              <w:cnfStyle w:val="000000000000"/>
            </w:pPr>
            <w:r w:rsidRPr="00816657">
              <w:t>Tas</w:t>
            </w:r>
          </w:p>
        </w:tc>
        <w:tc>
          <w:tcPr>
            <w:tcW w:w="675" w:type="dxa"/>
          </w:tcPr>
          <w:p w:rsidR="00F8214A" w:rsidRPr="00816657" w:rsidRDefault="00F8214A" w:rsidP="00DF1E42">
            <w:pPr>
              <w:jc w:val="right"/>
              <w:cnfStyle w:val="000000000000"/>
              <w:rPr>
                <w:sz w:val="16"/>
                <w:szCs w:val="16"/>
              </w:rPr>
            </w:pPr>
            <w:r w:rsidRPr="00816657">
              <w:rPr>
                <w:sz w:val="16"/>
                <w:szCs w:val="16"/>
              </w:rPr>
              <w:t>1,898</w:t>
            </w:r>
          </w:p>
        </w:tc>
        <w:tc>
          <w:tcPr>
            <w:tcW w:w="675" w:type="dxa"/>
          </w:tcPr>
          <w:p w:rsidR="00F8214A" w:rsidRPr="00816657" w:rsidRDefault="00F8214A" w:rsidP="00DF1E42">
            <w:pPr>
              <w:jc w:val="right"/>
              <w:cnfStyle w:val="000000000000"/>
              <w:rPr>
                <w:sz w:val="16"/>
                <w:szCs w:val="16"/>
              </w:rPr>
            </w:pPr>
            <w:r w:rsidRPr="00816657">
              <w:rPr>
                <w:sz w:val="16"/>
                <w:szCs w:val="16"/>
              </w:rPr>
              <w:t>1,917</w:t>
            </w:r>
          </w:p>
        </w:tc>
        <w:tc>
          <w:tcPr>
            <w:tcW w:w="675" w:type="dxa"/>
          </w:tcPr>
          <w:p w:rsidR="00F8214A" w:rsidRPr="00816657" w:rsidRDefault="00F8214A" w:rsidP="00DF1E42">
            <w:pPr>
              <w:jc w:val="right"/>
              <w:cnfStyle w:val="000000000000"/>
              <w:rPr>
                <w:sz w:val="16"/>
                <w:szCs w:val="16"/>
              </w:rPr>
            </w:pPr>
            <w:r w:rsidRPr="00816657">
              <w:rPr>
                <w:sz w:val="16"/>
                <w:szCs w:val="16"/>
              </w:rPr>
              <w:t>1,936</w:t>
            </w:r>
          </w:p>
        </w:tc>
        <w:tc>
          <w:tcPr>
            <w:tcW w:w="675" w:type="dxa"/>
          </w:tcPr>
          <w:p w:rsidR="00F8214A" w:rsidRPr="00816657" w:rsidRDefault="00F8214A" w:rsidP="00DF1E42">
            <w:pPr>
              <w:jc w:val="right"/>
              <w:cnfStyle w:val="000000000000"/>
              <w:rPr>
                <w:sz w:val="16"/>
                <w:szCs w:val="16"/>
              </w:rPr>
            </w:pPr>
            <w:r w:rsidRPr="00816657">
              <w:rPr>
                <w:sz w:val="16"/>
                <w:szCs w:val="16"/>
              </w:rPr>
              <w:t>1,956</w:t>
            </w:r>
          </w:p>
        </w:tc>
        <w:tc>
          <w:tcPr>
            <w:tcW w:w="675" w:type="dxa"/>
          </w:tcPr>
          <w:p w:rsidR="00F8214A" w:rsidRPr="00816657" w:rsidRDefault="00F8214A" w:rsidP="00DF1E42">
            <w:pPr>
              <w:jc w:val="right"/>
              <w:cnfStyle w:val="000000000000"/>
              <w:rPr>
                <w:sz w:val="16"/>
                <w:szCs w:val="16"/>
              </w:rPr>
            </w:pPr>
            <w:r w:rsidRPr="00816657">
              <w:rPr>
                <w:sz w:val="16"/>
                <w:szCs w:val="16"/>
              </w:rPr>
              <w:t>1,975</w:t>
            </w:r>
          </w:p>
        </w:tc>
        <w:tc>
          <w:tcPr>
            <w:tcW w:w="675" w:type="dxa"/>
          </w:tcPr>
          <w:p w:rsidR="00F8214A" w:rsidRPr="00816657" w:rsidRDefault="00F8214A" w:rsidP="00DF1E42">
            <w:pPr>
              <w:jc w:val="right"/>
              <w:cnfStyle w:val="000000000000"/>
              <w:rPr>
                <w:sz w:val="16"/>
                <w:szCs w:val="16"/>
              </w:rPr>
            </w:pPr>
            <w:r w:rsidRPr="00816657">
              <w:rPr>
                <w:sz w:val="16"/>
                <w:szCs w:val="16"/>
              </w:rPr>
              <w:t>1,995</w:t>
            </w:r>
          </w:p>
        </w:tc>
        <w:tc>
          <w:tcPr>
            <w:tcW w:w="675" w:type="dxa"/>
          </w:tcPr>
          <w:p w:rsidR="00F8214A" w:rsidRPr="00816657" w:rsidRDefault="00F8214A" w:rsidP="00DF1E42">
            <w:pPr>
              <w:jc w:val="right"/>
              <w:cnfStyle w:val="000000000000"/>
              <w:rPr>
                <w:sz w:val="16"/>
                <w:szCs w:val="16"/>
              </w:rPr>
            </w:pPr>
            <w:r w:rsidRPr="00816657">
              <w:rPr>
                <w:sz w:val="16"/>
                <w:szCs w:val="16"/>
              </w:rPr>
              <w:t>2,015</w:t>
            </w:r>
          </w:p>
        </w:tc>
        <w:tc>
          <w:tcPr>
            <w:tcW w:w="675" w:type="dxa"/>
          </w:tcPr>
          <w:p w:rsidR="00F8214A" w:rsidRPr="00816657" w:rsidRDefault="00F8214A" w:rsidP="00DF1E42">
            <w:pPr>
              <w:jc w:val="right"/>
              <w:cnfStyle w:val="000000000000"/>
              <w:rPr>
                <w:sz w:val="16"/>
                <w:szCs w:val="16"/>
              </w:rPr>
            </w:pPr>
            <w:r w:rsidRPr="00816657">
              <w:rPr>
                <w:sz w:val="16"/>
                <w:szCs w:val="16"/>
              </w:rPr>
              <w:t>2,035</w:t>
            </w:r>
          </w:p>
        </w:tc>
        <w:tc>
          <w:tcPr>
            <w:tcW w:w="675" w:type="dxa"/>
          </w:tcPr>
          <w:p w:rsidR="00F8214A" w:rsidRPr="00816657" w:rsidRDefault="00F8214A" w:rsidP="00DF1E42">
            <w:pPr>
              <w:jc w:val="right"/>
              <w:cnfStyle w:val="000000000000"/>
              <w:rPr>
                <w:sz w:val="16"/>
                <w:szCs w:val="16"/>
              </w:rPr>
            </w:pPr>
            <w:r w:rsidRPr="00816657">
              <w:rPr>
                <w:sz w:val="16"/>
                <w:szCs w:val="16"/>
              </w:rPr>
              <w:t>2,055</w:t>
            </w:r>
          </w:p>
        </w:tc>
        <w:tc>
          <w:tcPr>
            <w:tcW w:w="675" w:type="dxa"/>
          </w:tcPr>
          <w:p w:rsidR="00F8214A" w:rsidRPr="00816657" w:rsidRDefault="00F8214A" w:rsidP="00DF1E42">
            <w:pPr>
              <w:jc w:val="right"/>
              <w:cnfStyle w:val="000000000000"/>
              <w:rPr>
                <w:sz w:val="16"/>
                <w:szCs w:val="16"/>
              </w:rPr>
            </w:pPr>
            <w:r w:rsidRPr="00816657">
              <w:rPr>
                <w:sz w:val="16"/>
                <w:szCs w:val="16"/>
              </w:rPr>
              <w:t>2,076</w:t>
            </w:r>
          </w:p>
        </w:tc>
        <w:tc>
          <w:tcPr>
            <w:tcW w:w="675" w:type="dxa"/>
          </w:tcPr>
          <w:p w:rsidR="00F8214A" w:rsidRPr="00816657" w:rsidRDefault="00F8214A" w:rsidP="00DF1E42">
            <w:pPr>
              <w:jc w:val="right"/>
              <w:cnfStyle w:val="000000000000"/>
              <w:rPr>
                <w:sz w:val="16"/>
                <w:szCs w:val="16"/>
              </w:rPr>
            </w:pPr>
            <w:r w:rsidRPr="00816657">
              <w:rPr>
                <w:sz w:val="16"/>
                <w:szCs w:val="16"/>
              </w:rPr>
              <w:t>2,055</w:t>
            </w:r>
          </w:p>
        </w:tc>
        <w:tc>
          <w:tcPr>
            <w:tcW w:w="675" w:type="dxa"/>
          </w:tcPr>
          <w:p w:rsidR="00F8214A" w:rsidRPr="00816657" w:rsidRDefault="00F8214A" w:rsidP="00DF1E42">
            <w:pPr>
              <w:jc w:val="right"/>
              <w:cnfStyle w:val="000000000000"/>
              <w:rPr>
                <w:sz w:val="16"/>
                <w:szCs w:val="16"/>
              </w:rPr>
            </w:pPr>
            <w:r w:rsidRPr="00816657">
              <w:rPr>
                <w:sz w:val="16"/>
                <w:szCs w:val="16"/>
              </w:rPr>
              <w:t>2,035</w:t>
            </w:r>
          </w:p>
        </w:tc>
        <w:tc>
          <w:tcPr>
            <w:tcW w:w="675" w:type="dxa"/>
          </w:tcPr>
          <w:p w:rsidR="00F8214A" w:rsidRPr="00816657" w:rsidRDefault="00F8214A" w:rsidP="00DF1E42">
            <w:pPr>
              <w:jc w:val="right"/>
              <w:cnfStyle w:val="000000000000"/>
              <w:rPr>
                <w:sz w:val="16"/>
                <w:szCs w:val="16"/>
              </w:rPr>
            </w:pPr>
            <w:r w:rsidRPr="00816657">
              <w:rPr>
                <w:sz w:val="16"/>
                <w:szCs w:val="16"/>
              </w:rPr>
              <w:t>2,014</w:t>
            </w:r>
          </w:p>
        </w:tc>
        <w:tc>
          <w:tcPr>
            <w:tcW w:w="675" w:type="dxa"/>
          </w:tcPr>
          <w:p w:rsidR="00F8214A" w:rsidRPr="00816657" w:rsidRDefault="00F8214A" w:rsidP="00DF1E42">
            <w:pPr>
              <w:jc w:val="right"/>
              <w:cnfStyle w:val="000000000000"/>
              <w:rPr>
                <w:sz w:val="16"/>
                <w:szCs w:val="16"/>
              </w:rPr>
            </w:pPr>
            <w:r w:rsidRPr="00816657">
              <w:rPr>
                <w:sz w:val="16"/>
                <w:szCs w:val="16"/>
              </w:rPr>
              <w:t>1,994</w:t>
            </w:r>
          </w:p>
        </w:tc>
        <w:tc>
          <w:tcPr>
            <w:tcW w:w="675" w:type="dxa"/>
          </w:tcPr>
          <w:p w:rsidR="00F8214A" w:rsidRPr="00816657" w:rsidRDefault="00F8214A" w:rsidP="00DF1E42">
            <w:pPr>
              <w:jc w:val="right"/>
              <w:cnfStyle w:val="000000000000"/>
              <w:rPr>
                <w:sz w:val="16"/>
                <w:szCs w:val="16"/>
              </w:rPr>
            </w:pPr>
            <w:r w:rsidRPr="00816657">
              <w:rPr>
                <w:sz w:val="16"/>
                <w:szCs w:val="16"/>
              </w:rPr>
              <w:t>1,974</w:t>
            </w:r>
          </w:p>
        </w:tc>
        <w:tc>
          <w:tcPr>
            <w:tcW w:w="675" w:type="dxa"/>
          </w:tcPr>
          <w:p w:rsidR="00F8214A" w:rsidRPr="00816657" w:rsidRDefault="00F8214A" w:rsidP="00DF1E42">
            <w:pPr>
              <w:jc w:val="right"/>
              <w:cnfStyle w:val="000000000000"/>
              <w:rPr>
                <w:sz w:val="16"/>
                <w:szCs w:val="16"/>
              </w:rPr>
            </w:pPr>
            <w:r w:rsidRPr="00816657">
              <w:rPr>
                <w:sz w:val="16"/>
                <w:szCs w:val="16"/>
              </w:rPr>
              <w:t>1,955</w:t>
            </w:r>
          </w:p>
        </w:tc>
        <w:tc>
          <w:tcPr>
            <w:tcW w:w="675" w:type="dxa"/>
          </w:tcPr>
          <w:p w:rsidR="00F8214A" w:rsidRPr="00816657" w:rsidRDefault="00F8214A" w:rsidP="00DF1E42">
            <w:pPr>
              <w:jc w:val="right"/>
              <w:cnfStyle w:val="000000000000"/>
              <w:rPr>
                <w:sz w:val="16"/>
                <w:szCs w:val="16"/>
              </w:rPr>
            </w:pPr>
            <w:r w:rsidRPr="00816657">
              <w:rPr>
                <w:sz w:val="16"/>
                <w:szCs w:val="16"/>
              </w:rPr>
              <w:t>1,935</w:t>
            </w:r>
          </w:p>
        </w:tc>
        <w:tc>
          <w:tcPr>
            <w:tcW w:w="675" w:type="dxa"/>
          </w:tcPr>
          <w:p w:rsidR="00F8214A" w:rsidRPr="00816657" w:rsidRDefault="00F8214A" w:rsidP="00DF1E42">
            <w:pPr>
              <w:jc w:val="right"/>
              <w:cnfStyle w:val="000000000000"/>
              <w:rPr>
                <w:sz w:val="16"/>
                <w:szCs w:val="16"/>
              </w:rPr>
            </w:pPr>
            <w:r w:rsidRPr="00816657">
              <w:rPr>
                <w:sz w:val="16"/>
                <w:szCs w:val="16"/>
              </w:rPr>
              <w:t>1,916</w:t>
            </w:r>
          </w:p>
        </w:tc>
        <w:tc>
          <w:tcPr>
            <w:tcW w:w="675" w:type="dxa"/>
          </w:tcPr>
          <w:p w:rsidR="00F8214A" w:rsidRPr="00816657" w:rsidRDefault="00F8214A" w:rsidP="00DF1E42">
            <w:pPr>
              <w:jc w:val="right"/>
              <w:cnfStyle w:val="000000000000"/>
              <w:rPr>
                <w:sz w:val="16"/>
                <w:szCs w:val="16"/>
              </w:rPr>
            </w:pPr>
            <w:r w:rsidRPr="00816657">
              <w:rPr>
                <w:sz w:val="16"/>
                <w:szCs w:val="16"/>
              </w:rPr>
              <w:t>1,896</w:t>
            </w:r>
          </w:p>
        </w:tc>
        <w:tc>
          <w:tcPr>
            <w:tcW w:w="675" w:type="dxa"/>
          </w:tcPr>
          <w:p w:rsidR="00F8214A" w:rsidRPr="00816657" w:rsidRDefault="00F8214A" w:rsidP="00DF1E42">
            <w:pPr>
              <w:jc w:val="right"/>
              <w:cnfStyle w:val="000000000000"/>
              <w:rPr>
                <w:sz w:val="16"/>
                <w:szCs w:val="16"/>
              </w:rPr>
            </w:pPr>
            <w:r w:rsidRPr="00816657">
              <w:rPr>
                <w:sz w:val="16"/>
                <w:szCs w:val="16"/>
              </w:rPr>
              <w:t>1,877</w:t>
            </w:r>
          </w:p>
        </w:tc>
        <w:tc>
          <w:tcPr>
            <w:tcW w:w="675" w:type="dxa"/>
          </w:tcPr>
          <w:p w:rsidR="00F8214A" w:rsidRPr="00816657" w:rsidRDefault="00F8214A" w:rsidP="00DF1E42">
            <w:pPr>
              <w:jc w:val="right"/>
              <w:cnfStyle w:val="000000000000"/>
              <w:rPr>
                <w:sz w:val="16"/>
                <w:szCs w:val="16"/>
              </w:rPr>
            </w:pPr>
            <w:r w:rsidRPr="00816657">
              <w:rPr>
                <w:sz w:val="16"/>
                <w:szCs w:val="16"/>
              </w:rPr>
              <w:t>1,859</w:t>
            </w:r>
          </w:p>
        </w:tc>
      </w:tr>
      <w:tr w:rsidR="00F8214A" w:rsidRPr="00816657" w:rsidTr="00F8214A">
        <w:tc>
          <w:tcPr>
            <w:cnfStyle w:val="001000000000"/>
            <w:tcW w:w="710" w:type="dxa"/>
          </w:tcPr>
          <w:p w:rsidR="00F8214A" w:rsidRPr="00816657" w:rsidRDefault="00F8214A" w:rsidP="00F8214A">
            <w:r w:rsidRPr="00816657">
              <w:t>Best</w:t>
            </w:r>
          </w:p>
        </w:tc>
        <w:tc>
          <w:tcPr>
            <w:tcW w:w="567" w:type="dxa"/>
          </w:tcPr>
          <w:p w:rsidR="00F8214A" w:rsidRPr="00816657" w:rsidRDefault="00F8214A" w:rsidP="00F8214A">
            <w:pPr>
              <w:cnfStyle w:val="000000000000"/>
            </w:pPr>
            <w:r w:rsidRPr="00816657">
              <w:t>Vic</w:t>
            </w:r>
          </w:p>
        </w:tc>
        <w:tc>
          <w:tcPr>
            <w:tcW w:w="675" w:type="dxa"/>
          </w:tcPr>
          <w:p w:rsidR="00F8214A" w:rsidRPr="00816657" w:rsidRDefault="00F8214A" w:rsidP="00DF1E42">
            <w:pPr>
              <w:jc w:val="right"/>
              <w:cnfStyle w:val="000000000000"/>
              <w:rPr>
                <w:sz w:val="16"/>
                <w:szCs w:val="16"/>
              </w:rPr>
            </w:pPr>
            <w:r w:rsidRPr="00816657">
              <w:rPr>
                <w:sz w:val="16"/>
                <w:szCs w:val="16"/>
              </w:rPr>
              <w:t>107,506</w:t>
            </w:r>
          </w:p>
        </w:tc>
        <w:tc>
          <w:tcPr>
            <w:tcW w:w="675" w:type="dxa"/>
          </w:tcPr>
          <w:p w:rsidR="00F8214A" w:rsidRPr="00816657" w:rsidRDefault="00F8214A" w:rsidP="00DF1E42">
            <w:pPr>
              <w:jc w:val="right"/>
              <w:cnfStyle w:val="000000000000"/>
              <w:rPr>
                <w:sz w:val="16"/>
                <w:szCs w:val="16"/>
              </w:rPr>
            </w:pPr>
            <w:r w:rsidRPr="00816657">
              <w:rPr>
                <w:sz w:val="16"/>
                <w:szCs w:val="16"/>
              </w:rPr>
              <w:t>108,581</w:t>
            </w:r>
          </w:p>
        </w:tc>
        <w:tc>
          <w:tcPr>
            <w:tcW w:w="675" w:type="dxa"/>
          </w:tcPr>
          <w:p w:rsidR="00F8214A" w:rsidRPr="00816657" w:rsidRDefault="00F8214A" w:rsidP="00DF1E42">
            <w:pPr>
              <w:jc w:val="right"/>
              <w:cnfStyle w:val="000000000000"/>
              <w:rPr>
                <w:sz w:val="16"/>
                <w:szCs w:val="16"/>
              </w:rPr>
            </w:pPr>
            <w:r w:rsidRPr="00816657">
              <w:rPr>
                <w:sz w:val="16"/>
                <w:szCs w:val="16"/>
              </w:rPr>
              <w:t>109,667</w:t>
            </w:r>
          </w:p>
        </w:tc>
        <w:tc>
          <w:tcPr>
            <w:tcW w:w="675" w:type="dxa"/>
          </w:tcPr>
          <w:p w:rsidR="00F8214A" w:rsidRPr="00816657" w:rsidRDefault="00F8214A" w:rsidP="00DF1E42">
            <w:pPr>
              <w:jc w:val="right"/>
              <w:cnfStyle w:val="000000000000"/>
              <w:rPr>
                <w:sz w:val="16"/>
                <w:szCs w:val="16"/>
              </w:rPr>
            </w:pPr>
            <w:r w:rsidRPr="00816657">
              <w:rPr>
                <w:sz w:val="16"/>
                <w:szCs w:val="16"/>
              </w:rPr>
              <w:t>110,764</w:t>
            </w:r>
          </w:p>
        </w:tc>
        <w:tc>
          <w:tcPr>
            <w:tcW w:w="675" w:type="dxa"/>
          </w:tcPr>
          <w:p w:rsidR="00F8214A" w:rsidRPr="00816657" w:rsidRDefault="00F8214A" w:rsidP="00DF1E42">
            <w:pPr>
              <w:jc w:val="right"/>
              <w:cnfStyle w:val="000000000000"/>
              <w:rPr>
                <w:sz w:val="16"/>
                <w:szCs w:val="16"/>
              </w:rPr>
            </w:pPr>
            <w:r w:rsidRPr="00816657">
              <w:rPr>
                <w:sz w:val="16"/>
                <w:szCs w:val="16"/>
              </w:rPr>
              <w:t>111,871</w:t>
            </w:r>
          </w:p>
        </w:tc>
        <w:tc>
          <w:tcPr>
            <w:tcW w:w="675" w:type="dxa"/>
          </w:tcPr>
          <w:p w:rsidR="00F8214A" w:rsidRPr="00816657" w:rsidRDefault="00F8214A" w:rsidP="00DF1E42">
            <w:pPr>
              <w:jc w:val="right"/>
              <w:cnfStyle w:val="000000000000"/>
              <w:rPr>
                <w:sz w:val="16"/>
                <w:szCs w:val="16"/>
              </w:rPr>
            </w:pPr>
            <w:r w:rsidRPr="00816657">
              <w:rPr>
                <w:sz w:val="16"/>
                <w:szCs w:val="16"/>
              </w:rPr>
              <w:t>112,990</w:t>
            </w:r>
          </w:p>
        </w:tc>
        <w:tc>
          <w:tcPr>
            <w:tcW w:w="675" w:type="dxa"/>
          </w:tcPr>
          <w:p w:rsidR="00F8214A" w:rsidRPr="00816657" w:rsidRDefault="00F8214A" w:rsidP="00DF1E42">
            <w:pPr>
              <w:jc w:val="right"/>
              <w:cnfStyle w:val="000000000000"/>
              <w:rPr>
                <w:sz w:val="16"/>
                <w:szCs w:val="16"/>
              </w:rPr>
            </w:pPr>
            <w:r w:rsidRPr="00816657">
              <w:rPr>
                <w:sz w:val="16"/>
                <w:szCs w:val="16"/>
              </w:rPr>
              <w:t>114,120</w:t>
            </w:r>
          </w:p>
        </w:tc>
        <w:tc>
          <w:tcPr>
            <w:tcW w:w="675" w:type="dxa"/>
          </w:tcPr>
          <w:p w:rsidR="00F8214A" w:rsidRPr="00816657" w:rsidRDefault="00F8214A" w:rsidP="00DF1E42">
            <w:pPr>
              <w:jc w:val="right"/>
              <w:cnfStyle w:val="000000000000"/>
              <w:rPr>
                <w:sz w:val="16"/>
                <w:szCs w:val="16"/>
              </w:rPr>
            </w:pPr>
            <w:r w:rsidRPr="00816657">
              <w:rPr>
                <w:sz w:val="16"/>
                <w:szCs w:val="16"/>
              </w:rPr>
              <w:t>115,261</w:t>
            </w:r>
          </w:p>
        </w:tc>
        <w:tc>
          <w:tcPr>
            <w:tcW w:w="675" w:type="dxa"/>
          </w:tcPr>
          <w:p w:rsidR="00F8214A" w:rsidRPr="00816657" w:rsidRDefault="00F8214A" w:rsidP="00DF1E42">
            <w:pPr>
              <w:jc w:val="right"/>
              <w:cnfStyle w:val="000000000000"/>
              <w:rPr>
                <w:sz w:val="16"/>
                <w:szCs w:val="16"/>
              </w:rPr>
            </w:pPr>
            <w:r w:rsidRPr="00816657">
              <w:rPr>
                <w:sz w:val="16"/>
                <w:szCs w:val="16"/>
              </w:rPr>
              <w:t>116,414</w:t>
            </w:r>
          </w:p>
        </w:tc>
        <w:tc>
          <w:tcPr>
            <w:tcW w:w="675" w:type="dxa"/>
          </w:tcPr>
          <w:p w:rsidR="00F8214A" w:rsidRPr="00816657" w:rsidRDefault="00F8214A" w:rsidP="00DF1E42">
            <w:pPr>
              <w:jc w:val="right"/>
              <w:cnfStyle w:val="000000000000"/>
              <w:rPr>
                <w:sz w:val="16"/>
                <w:szCs w:val="16"/>
              </w:rPr>
            </w:pPr>
            <w:r w:rsidRPr="00816657">
              <w:rPr>
                <w:sz w:val="16"/>
                <w:szCs w:val="16"/>
              </w:rPr>
              <w:t>117,578</w:t>
            </w:r>
          </w:p>
        </w:tc>
        <w:tc>
          <w:tcPr>
            <w:tcW w:w="675" w:type="dxa"/>
          </w:tcPr>
          <w:p w:rsidR="00F8214A" w:rsidRPr="00816657" w:rsidRDefault="00F8214A" w:rsidP="00DF1E42">
            <w:pPr>
              <w:jc w:val="right"/>
              <w:cnfStyle w:val="000000000000"/>
              <w:rPr>
                <w:sz w:val="16"/>
                <w:szCs w:val="16"/>
              </w:rPr>
            </w:pPr>
            <w:r w:rsidRPr="00816657">
              <w:rPr>
                <w:sz w:val="16"/>
                <w:szCs w:val="16"/>
              </w:rPr>
              <w:t>116,402</w:t>
            </w:r>
          </w:p>
        </w:tc>
        <w:tc>
          <w:tcPr>
            <w:tcW w:w="675" w:type="dxa"/>
          </w:tcPr>
          <w:p w:rsidR="00F8214A" w:rsidRPr="00816657" w:rsidRDefault="00F8214A" w:rsidP="00DF1E42">
            <w:pPr>
              <w:jc w:val="right"/>
              <w:cnfStyle w:val="000000000000"/>
              <w:rPr>
                <w:sz w:val="16"/>
                <w:szCs w:val="16"/>
              </w:rPr>
            </w:pPr>
            <w:r w:rsidRPr="00816657">
              <w:rPr>
                <w:sz w:val="16"/>
                <w:szCs w:val="16"/>
              </w:rPr>
              <w:t>115,238</w:t>
            </w:r>
          </w:p>
        </w:tc>
        <w:tc>
          <w:tcPr>
            <w:tcW w:w="675" w:type="dxa"/>
          </w:tcPr>
          <w:p w:rsidR="00F8214A" w:rsidRPr="00816657" w:rsidRDefault="00F8214A" w:rsidP="00DF1E42">
            <w:pPr>
              <w:jc w:val="right"/>
              <w:cnfStyle w:val="000000000000"/>
              <w:rPr>
                <w:sz w:val="16"/>
                <w:szCs w:val="16"/>
              </w:rPr>
            </w:pPr>
            <w:r w:rsidRPr="00816657">
              <w:rPr>
                <w:sz w:val="16"/>
                <w:szCs w:val="16"/>
              </w:rPr>
              <w:t>114,086</w:t>
            </w:r>
          </w:p>
        </w:tc>
        <w:tc>
          <w:tcPr>
            <w:tcW w:w="675" w:type="dxa"/>
          </w:tcPr>
          <w:p w:rsidR="00F8214A" w:rsidRPr="00816657" w:rsidRDefault="00F8214A" w:rsidP="00DF1E42">
            <w:pPr>
              <w:jc w:val="right"/>
              <w:cnfStyle w:val="000000000000"/>
              <w:rPr>
                <w:sz w:val="16"/>
                <w:szCs w:val="16"/>
              </w:rPr>
            </w:pPr>
            <w:r w:rsidRPr="00816657">
              <w:rPr>
                <w:sz w:val="16"/>
                <w:szCs w:val="16"/>
              </w:rPr>
              <w:t>112,945</w:t>
            </w:r>
          </w:p>
        </w:tc>
        <w:tc>
          <w:tcPr>
            <w:tcW w:w="675" w:type="dxa"/>
          </w:tcPr>
          <w:p w:rsidR="00F8214A" w:rsidRPr="00816657" w:rsidRDefault="00F8214A" w:rsidP="00DF1E42">
            <w:pPr>
              <w:jc w:val="right"/>
              <w:cnfStyle w:val="000000000000"/>
              <w:rPr>
                <w:sz w:val="16"/>
                <w:szCs w:val="16"/>
              </w:rPr>
            </w:pPr>
            <w:r w:rsidRPr="00816657">
              <w:rPr>
                <w:sz w:val="16"/>
                <w:szCs w:val="16"/>
              </w:rPr>
              <w:t>111,815</w:t>
            </w:r>
          </w:p>
        </w:tc>
        <w:tc>
          <w:tcPr>
            <w:tcW w:w="675" w:type="dxa"/>
          </w:tcPr>
          <w:p w:rsidR="00F8214A" w:rsidRPr="00816657" w:rsidRDefault="00F8214A" w:rsidP="00DF1E42">
            <w:pPr>
              <w:jc w:val="right"/>
              <w:cnfStyle w:val="000000000000"/>
              <w:rPr>
                <w:sz w:val="16"/>
                <w:szCs w:val="16"/>
              </w:rPr>
            </w:pPr>
            <w:r w:rsidRPr="00816657">
              <w:rPr>
                <w:sz w:val="16"/>
                <w:szCs w:val="16"/>
              </w:rPr>
              <w:t>110,697</w:t>
            </w:r>
          </w:p>
        </w:tc>
        <w:tc>
          <w:tcPr>
            <w:tcW w:w="675" w:type="dxa"/>
          </w:tcPr>
          <w:p w:rsidR="00F8214A" w:rsidRPr="00816657" w:rsidRDefault="00F8214A" w:rsidP="00DF1E42">
            <w:pPr>
              <w:jc w:val="right"/>
              <w:cnfStyle w:val="000000000000"/>
              <w:rPr>
                <w:sz w:val="16"/>
                <w:szCs w:val="16"/>
              </w:rPr>
            </w:pPr>
            <w:r w:rsidRPr="00816657">
              <w:rPr>
                <w:sz w:val="16"/>
                <w:szCs w:val="16"/>
              </w:rPr>
              <w:t>109,590</w:t>
            </w:r>
          </w:p>
        </w:tc>
        <w:tc>
          <w:tcPr>
            <w:tcW w:w="675" w:type="dxa"/>
          </w:tcPr>
          <w:p w:rsidR="00F8214A" w:rsidRPr="00816657" w:rsidRDefault="00F8214A" w:rsidP="00DF1E42">
            <w:pPr>
              <w:jc w:val="right"/>
              <w:cnfStyle w:val="000000000000"/>
              <w:rPr>
                <w:sz w:val="16"/>
                <w:szCs w:val="16"/>
              </w:rPr>
            </w:pPr>
            <w:r w:rsidRPr="00816657">
              <w:rPr>
                <w:sz w:val="16"/>
                <w:szCs w:val="16"/>
              </w:rPr>
              <w:t>108,494</w:t>
            </w:r>
          </w:p>
        </w:tc>
        <w:tc>
          <w:tcPr>
            <w:tcW w:w="675" w:type="dxa"/>
          </w:tcPr>
          <w:p w:rsidR="00F8214A" w:rsidRPr="00816657" w:rsidRDefault="00F8214A" w:rsidP="00DF1E42">
            <w:pPr>
              <w:jc w:val="right"/>
              <w:cnfStyle w:val="000000000000"/>
              <w:rPr>
                <w:sz w:val="16"/>
                <w:szCs w:val="16"/>
              </w:rPr>
            </w:pPr>
            <w:r w:rsidRPr="00816657">
              <w:rPr>
                <w:sz w:val="16"/>
                <w:szCs w:val="16"/>
              </w:rPr>
              <w:t>107,409</w:t>
            </w:r>
          </w:p>
        </w:tc>
        <w:tc>
          <w:tcPr>
            <w:tcW w:w="675" w:type="dxa"/>
          </w:tcPr>
          <w:p w:rsidR="00F8214A" w:rsidRPr="00816657" w:rsidRDefault="00F8214A" w:rsidP="00DF1E42">
            <w:pPr>
              <w:jc w:val="right"/>
              <w:cnfStyle w:val="000000000000"/>
              <w:rPr>
                <w:sz w:val="16"/>
                <w:szCs w:val="16"/>
              </w:rPr>
            </w:pPr>
            <w:r w:rsidRPr="00816657">
              <w:rPr>
                <w:sz w:val="16"/>
                <w:szCs w:val="16"/>
              </w:rPr>
              <w:t>106,335</w:t>
            </w:r>
          </w:p>
        </w:tc>
        <w:tc>
          <w:tcPr>
            <w:tcW w:w="675" w:type="dxa"/>
          </w:tcPr>
          <w:p w:rsidR="00F8214A" w:rsidRPr="00816657" w:rsidRDefault="00F8214A" w:rsidP="00DF1E42">
            <w:pPr>
              <w:jc w:val="right"/>
              <w:cnfStyle w:val="000000000000"/>
              <w:rPr>
                <w:sz w:val="16"/>
                <w:szCs w:val="16"/>
              </w:rPr>
            </w:pPr>
            <w:r w:rsidRPr="00816657">
              <w:rPr>
                <w:sz w:val="16"/>
                <w:szCs w:val="16"/>
              </w:rPr>
              <w:t>105,272</w:t>
            </w:r>
          </w:p>
        </w:tc>
      </w:tr>
      <w:tr w:rsidR="00F8214A" w:rsidRPr="00816657" w:rsidTr="00F8214A">
        <w:tc>
          <w:tcPr>
            <w:cnfStyle w:val="001000000000"/>
            <w:tcW w:w="710" w:type="dxa"/>
            <w:tcBorders>
              <w:bottom w:val="single" w:sz="12" w:space="0" w:color="auto"/>
            </w:tcBorders>
          </w:tcPr>
          <w:p w:rsidR="00F8214A" w:rsidRPr="00816657" w:rsidRDefault="00F8214A" w:rsidP="00F8214A">
            <w:r w:rsidRPr="00816657">
              <w:t>Best</w:t>
            </w:r>
          </w:p>
        </w:tc>
        <w:tc>
          <w:tcPr>
            <w:tcW w:w="567" w:type="dxa"/>
            <w:tcBorders>
              <w:bottom w:val="single" w:sz="12" w:space="0" w:color="auto"/>
            </w:tcBorders>
          </w:tcPr>
          <w:p w:rsidR="00F8214A" w:rsidRPr="00816657" w:rsidRDefault="00F8214A" w:rsidP="00F8214A">
            <w:pPr>
              <w:cnfStyle w:val="000000000000"/>
            </w:pPr>
            <w:r w:rsidRPr="00816657">
              <w:t>WA</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12,640</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12,766</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12,894</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13,023</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13,153</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13,284</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13,417</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13,551</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13,687</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13,824</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13,685</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13,549</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13,413</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13,279</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13,146</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13,015</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12,885</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12,756</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12,628</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12,502</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12,377</w:t>
            </w:r>
          </w:p>
        </w:tc>
      </w:tr>
      <w:tr w:rsidR="00F8214A" w:rsidRPr="00816657" w:rsidTr="00F8214A">
        <w:tc>
          <w:tcPr>
            <w:cnfStyle w:val="001000000000"/>
            <w:tcW w:w="710" w:type="dxa"/>
            <w:tcBorders>
              <w:top w:val="single" w:sz="12" w:space="0" w:color="auto"/>
            </w:tcBorders>
          </w:tcPr>
          <w:p w:rsidR="00F8214A" w:rsidRPr="00816657" w:rsidRDefault="00F8214A" w:rsidP="00F8214A">
            <w:r w:rsidRPr="00816657">
              <w:t>High</w:t>
            </w:r>
          </w:p>
        </w:tc>
        <w:tc>
          <w:tcPr>
            <w:tcW w:w="567" w:type="dxa"/>
            <w:tcBorders>
              <w:top w:val="single" w:sz="12" w:space="0" w:color="auto"/>
            </w:tcBorders>
          </w:tcPr>
          <w:p w:rsidR="00F8214A" w:rsidRPr="00816657" w:rsidRDefault="00F8214A" w:rsidP="00F8214A">
            <w:pPr>
              <w:cnfStyle w:val="000000000000"/>
            </w:pPr>
            <w:r w:rsidRPr="00816657">
              <w:t>ACT</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13,224</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13,422</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13,624</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13,828</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14,035</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14,246</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14,460</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14,677</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14,897</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15,120</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15,347</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15,577</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15,811</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16,048</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16,289</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16,533</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16,781</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17,033</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17,288</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17,548</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17,811</w:t>
            </w:r>
          </w:p>
        </w:tc>
      </w:tr>
      <w:tr w:rsidR="00F8214A" w:rsidRPr="00816657" w:rsidTr="00F8214A">
        <w:tc>
          <w:tcPr>
            <w:cnfStyle w:val="001000000000"/>
            <w:tcW w:w="710" w:type="dxa"/>
          </w:tcPr>
          <w:p w:rsidR="00F8214A" w:rsidRPr="00816657" w:rsidRDefault="00F8214A" w:rsidP="00F8214A">
            <w:r w:rsidRPr="00816657">
              <w:t>High</w:t>
            </w:r>
          </w:p>
        </w:tc>
        <w:tc>
          <w:tcPr>
            <w:tcW w:w="567" w:type="dxa"/>
          </w:tcPr>
          <w:p w:rsidR="00F8214A" w:rsidRPr="00816657" w:rsidRDefault="00F8214A" w:rsidP="00F8214A">
            <w:pPr>
              <w:cnfStyle w:val="000000000000"/>
            </w:pPr>
            <w:r w:rsidRPr="00816657">
              <w:t>NSW</w:t>
            </w:r>
          </w:p>
        </w:tc>
        <w:tc>
          <w:tcPr>
            <w:tcW w:w="675" w:type="dxa"/>
          </w:tcPr>
          <w:p w:rsidR="00F8214A" w:rsidRPr="00816657" w:rsidRDefault="00F8214A" w:rsidP="00DF1E42">
            <w:pPr>
              <w:jc w:val="right"/>
              <w:cnfStyle w:val="000000000000"/>
              <w:rPr>
                <w:sz w:val="16"/>
                <w:szCs w:val="16"/>
              </w:rPr>
            </w:pPr>
            <w:r w:rsidRPr="00816657">
              <w:rPr>
                <w:sz w:val="16"/>
                <w:szCs w:val="16"/>
              </w:rPr>
              <w:t>98,186</w:t>
            </w:r>
          </w:p>
        </w:tc>
        <w:tc>
          <w:tcPr>
            <w:tcW w:w="675" w:type="dxa"/>
          </w:tcPr>
          <w:p w:rsidR="00F8214A" w:rsidRPr="00816657" w:rsidRDefault="00F8214A" w:rsidP="00DF1E42">
            <w:pPr>
              <w:jc w:val="right"/>
              <w:cnfStyle w:val="000000000000"/>
              <w:rPr>
                <w:sz w:val="16"/>
                <w:szCs w:val="16"/>
              </w:rPr>
            </w:pPr>
            <w:r w:rsidRPr="00816657">
              <w:rPr>
                <w:sz w:val="16"/>
                <w:szCs w:val="16"/>
              </w:rPr>
              <w:t>99,658</w:t>
            </w:r>
          </w:p>
        </w:tc>
        <w:tc>
          <w:tcPr>
            <w:tcW w:w="675" w:type="dxa"/>
          </w:tcPr>
          <w:p w:rsidR="00F8214A" w:rsidRPr="00816657" w:rsidRDefault="00F8214A" w:rsidP="00DF1E42">
            <w:pPr>
              <w:jc w:val="right"/>
              <w:cnfStyle w:val="000000000000"/>
              <w:rPr>
                <w:sz w:val="16"/>
                <w:szCs w:val="16"/>
              </w:rPr>
            </w:pPr>
            <w:r w:rsidRPr="00816657">
              <w:rPr>
                <w:sz w:val="16"/>
                <w:szCs w:val="16"/>
              </w:rPr>
              <w:t>101,153</w:t>
            </w:r>
          </w:p>
        </w:tc>
        <w:tc>
          <w:tcPr>
            <w:tcW w:w="675" w:type="dxa"/>
          </w:tcPr>
          <w:p w:rsidR="00F8214A" w:rsidRPr="00816657" w:rsidRDefault="00F8214A" w:rsidP="00DF1E42">
            <w:pPr>
              <w:jc w:val="right"/>
              <w:cnfStyle w:val="000000000000"/>
              <w:rPr>
                <w:sz w:val="16"/>
                <w:szCs w:val="16"/>
              </w:rPr>
            </w:pPr>
            <w:r w:rsidRPr="00816657">
              <w:rPr>
                <w:sz w:val="16"/>
                <w:szCs w:val="16"/>
              </w:rPr>
              <w:t>102,671</w:t>
            </w:r>
          </w:p>
        </w:tc>
        <w:tc>
          <w:tcPr>
            <w:tcW w:w="675" w:type="dxa"/>
          </w:tcPr>
          <w:p w:rsidR="00F8214A" w:rsidRPr="00816657" w:rsidRDefault="00F8214A" w:rsidP="00DF1E42">
            <w:pPr>
              <w:jc w:val="right"/>
              <w:cnfStyle w:val="000000000000"/>
              <w:rPr>
                <w:sz w:val="16"/>
                <w:szCs w:val="16"/>
              </w:rPr>
            </w:pPr>
            <w:r w:rsidRPr="00816657">
              <w:rPr>
                <w:sz w:val="16"/>
                <w:szCs w:val="16"/>
              </w:rPr>
              <w:t>104,211</w:t>
            </w:r>
          </w:p>
        </w:tc>
        <w:tc>
          <w:tcPr>
            <w:tcW w:w="675" w:type="dxa"/>
          </w:tcPr>
          <w:p w:rsidR="00F8214A" w:rsidRPr="00816657" w:rsidRDefault="00F8214A" w:rsidP="00DF1E42">
            <w:pPr>
              <w:jc w:val="right"/>
              <w:cnfStyle w:val="000000000000"/>
              <w:rPr>
                <w:sz w:val="16"/>
                <w:szCs w:val="16"/>
              </w:rPr>
            </w:pPr>
            <w:r w:rsidRPr="00816657">
              <w:rPr>
                <w:sz w:val="16"/>
                <w:szCs w:val="16"/>
              </w:rPr>
              <w:t>105,774</w:t>
            </w:r>
          </w:p>
        </w:tc>
        <w:tc>
          <w:tcPr>
            <w:tcW w:w="675" w:type="dxa"/>
          </w:tcPr>
          <w:p w:rsidR="00F8214A" w:rsidRPr="00816657" w:rsidRDefault="00F8214A" w:rsidP="00DF1E42">
            <w:pPr>
              <w:jc w:val="right"/>
              <w:cnfStyle w:val="000000000000"/>
              <w:rPr>
                <w:sz w:val="16"/>
                <w:szCs w:val="16"/>
              </w:rPr>
            </w:pPr>
            <w:r w:rsidRPr="00816657">
              <w:rPr>
                <w:sz w:val="16"/>
                <w:szCs w:val="16"/>
              </w:rPr>
              <w:t>107,360</w:t>
            </w:r>
          </w:p>
        </w:tc>
        <w:tc>
          <w:tcPr>
            <w:tcW w:w="675" w:type="dxa"/>
          </w:tcPr>
          <w:p w:rsidR="00F8214A" w:rsidRPr="00816657" w:rsidRDefault="00F8214A" w:rsidP="00DF1E42">
            <w:pPr>
              <w:jc w:val="right"/>
              <w:cnfStyle w:val="000000000000"/>
              <w:rPr>
                <w:sz w:val="16"/>
                <w:szCs w:val="16"/>
              </w:rPr>
            </w:pPr>
            <w:r w:rsidRPr="00816657">
              <w:rPr>
                <w:sz w:val="16"/>
                <w:szCs w:val="16"/>
              </w:rPr>
              <w:t>108,971</w:t>
            </w:r>
          </w:p>
        </w:tc>
        <w:tc>
          <w:tcPr>
            <w:tcW w:w="675" w:type="dxa"/>
          </w:tcPr>
          <w:p w:rsidR="00F8214A" w:rsidRPr="00816657" w:rsidRDefault="00F8214A" w:rsidP="00DF1E42">
            <w:pPr>
              <w:jc w:val="right"/>
              <w:cnfStyle w:val="000000000000"/>
              <w:rPr>
                <w:sz w:val="16"/>
                <w:szCs w:val="16"/>
              </w:rPr>
            </w:pPr>
            <w:r w:rsidRPr="00816657">
              <w:rPr>
                <w:sz w:val="16"/>
                <w:szCs w:val="16"/>
              </w:rPr>
              <w:t>110,605</w:t>
            </w:r>
          </w:p>
        </w:tc>
        <w:tc>
          <w:tcPr>
            <w:tcW w:w="675" w:type="dxa"/>
          </w:tcPr>
          <w:p w:rsidR="00F8214A" w:rsidRPr="00816657" w:rsidRDefault="00F8214A" w:rsidP="00DF1E42">
            <w:pPr>
              <w:jc w:val="right"/>
              <w:cnfStyle w:val="000000000000"/>
              <w:rPr>
                <w:sz w:val="16"/>
                <w:szCs w:val="16"/>
              </w:rPr>
            </w:pPr>
            <w:r w:rsidRPr="00816657">
              <w:rPr>
                <w:sz w:val="16"/>
                <w:szCs w:val="16"/>
              </w:rPr>
              <w:t>112,265</w:t>
            </w:r>
          </w:p>
        </w:tc>
        <w:tc>
          <w:tcPr>
            <w:tcW w:w="675" w:type="dxa"/>
          </w:tcPr>
          <w:p w:rsidR="00F8214A" w:rsidRPr="00816657" w:rsidRDefault="00F8214A" w:rsidP="00DF1E42">
            <w:pPr>
              <w:jc w:val="right"/>
              <w:cnfStyle w:val="000000000000"/>
              <w:rPr>
                <w:sz w:val="16"/>
                <w:szCs w:val="16"/>
              </w:rPr>
            </w:pPr>
            <w:r w:rsidRPr="00816657">
              <w:rPr>
                <w:sz w:val="16"/>
                <w:szCs w:val="16"/>
              </w:rPr>
              <w:t>113,949</w:t>
            </w:r>
          </w:p>
        </w:tc>
        <w:tc>
          <w:tcPr>
            <w:tcW w:w="675" w:type="dxa"/>
          </w:tcPr>
          <w:p w:rsidR="00F8214A" w:rsidRPr="00816657" w:rsidRDefault="00F8214A" w:rsidP="00DF1E42">
            <w:pPr>
              <w:jc w:val="right"/>
              <w:cnfStyle w:val="000000000000"/>
              <w:rPr>
                <w:sz w:val="16"/>
                <w:szCs w:val="16"/>
              </w:rPr>
            </w:pPr>
            <w:r w:rsidRPr="00816657">
              <w:rPr>
                <w:sz w:val="16"/>
                <w:szCs w:val="16"/>
              </w:rPr>
              <w:t>115,658</w:t>
            </w:r>
          </w:p>
        </w:tc>
        <w:tc>
          <w:tcPr>
            <w:tcW w:w="675" w:type="dxa"/>
          </w:tcPr>
          <w:p w:rsidR="00F8214A" w:rsidRPr="00816657" w:rsidRDefault="00F8214A" w:rsidP="00DF1E42">
            <w:pPr>
              <w:jc w:val="right"/>
              <w:cnfStyle w:val="000000000000"/>
              <w:rPr>
                <w:sz w:val="16"/>
                <w:szCs w:val="16"/>
              </w:rPr>
            </w:pPr>
            <w:r w:rsidRPr="00816657">
              <w:rPr>
                <w:sz w:val="16"/>
                <w:szCs w:val="16"/>
              </w:rPr>
              <w:t>117,393</w:t>
            </w:r>
          </w:p>
        </w:tc>
        <w:tc>
          <w:tcPr>
            <w:tcW w:w="675" w:type="dxa"/>
          </w:tcPr>
          <w:p w:rsidR="00F8214A" w:rsidRPr="00816657" w:rsidRDefault="00F8214A" w:rsidP="00DF1E42">
            <w:pPr>
              <w:jc w:val="right"/>
              <w:cnfStyle w:val="000000000000"/>
              <w:rPr>
                <w:sz w:val="16"/>
                <w:szCs w:val="16"/>
              </w:rPr>
            </w:pPr>
            <w:r w:rsidRPr="00816657">
              <w:rPr>
                <w:sz w:val="16"/>
                <w:szCs w:val="16"/>
              </w:rPr>
              <w:t>119,153</w:t>
            </w:r>
          </w:p>
        </w:tc>
        <w:tc>
          <w:tcPr>
            <w:tcW w:w="675" w:type="dxa"/>
          </w:tcPr>
          <w:p w:rsidR="00F8214A" w:rsidRPr="00816657" w:rsidRDefault="00F8214A" w:rsidP="00DF1E42">
            <w:pPr>
              <w:jc w:val="right"/>
              <w:cnfStyle w:val="000000000000"/>
              <w:rPr>
                <w:sz w:val="16"/>
                <w:szCs w:val="16"/>
              </w:rPr>
            </w:pPr>
            <w:r w:rsidRPr="00816657">
              <w:rPr>
                <w:sz w:val="16"/>
                <w:szCs w:val="16"/>
              </w:rPr>
              <w:t>120,941</w:t>
            </w:r>
          </w:p>
        </w:tc>
        <w:tc>
          <w:tcPr>
            <w:tcW w:w="675" w:type="dxa"/>
          </w:tcPr>
          <w:p w:rsidR="00F8214A" w:rsidRPr="00816657" w:rsidRDefault="00F8214A" w:rsidP="00DF1E42">
            <w:pPr>
              <w:jc w:val="right"/>
              <w:cnfStyle w:val="000000000000"/>
              <w:rPr>
                <w:sz w:val="16"/>
                <w:szCs w:val="16"/>
              </w:rPr>
            </w:pPr>
            <w:r w:rsidRPr="00816657">
              <w:rPr>
                <w:sz w:val="16"/>
                <w:szCs w:val="16"/>
              </w:rPr>
              <w:t>122,755</w:t>
            </w:r>
          </w:p>
        </w:tc>
        <w:tc>
          <w:tcPr>
            <w:tcW w:w="675" w:type="dxa"/>
          </w:tcPr>
          <w:p w:rsidR="00F8214A" w:rsidRPr="00816657" w:rsidRDefault="00F8214A" w:rsidP="00DF1E42">
            <w:pPr>
              <w:jc w:val="right"/>
              <w:cnfStyle w:val="000000000000"/>
              <w:rPr>
                <w:sz w:val="16"/>
                <w:szCs w:val="16"/>
              </w:rPr>
            </w:pPr>
            <w:r w:rsidRPr="00816657">
              <w:rPr>
                <w:sz w:val="16"/>
                <w:szCs w:val="16"/>
              </w:rPr>
              <w:t>124,596</w:t>
            </w:r>
          </w:p>
        </w:tc>
        <w:tc>
          <w:tcPr>
            <w:tcW w:w="675" w:type="dxa"/>
          </w:tcPr>
          <w:p w:rsidR="00F8214A" w:rsidRPr="00816657" w:rsidRDefault="00F8214A" w:rsidP="00DF1E42">
            <w:pPr>
              <w:jc w:val="right"/>
              <w:cnfStyle w:val="000000000000"/>
              <w:rPr>
                <w:sz w:val="16"/>
                <w:szCs w:val="16"/>
              </w:rPr>
            </w:pPr>
            <w:r w:rsidRPr="00816657">
              <w:rPr>
                <w:sz w:val="16"/>
                <w:szCs w:val="16"/>
              </w:rPr>
              <w:t>126,465</w:t>
            </w:r>
          </w:p>
        </w:tc>
        <w:tc>
          <w:tcPr>
            <w:tcW w:w="675" w:type="dxa"/>
          </w:tcPr>
          <w:p w:rsidR="00F8214A" w:rsidRPr="00816657" w:rsidRDefault="00F8214A" w:rsidP="00DF1E42">
            <w:pPr>
              <w:jc w:val="right"/>
              <w:cnfStyle w:val="000000000000"/>
              <w:rPr>
                <w:sz w:val="16"/>
                <w:szCs w:val="16"/>
              </w:rPr>
            </w:pPr>
            <w:r w:rsidRPr="00816657">
              <w:rPr>
                <w:sz w:val="16"/>
                <w:szCs w:val="16"/>
              </w:rPr>
              <w:t>128,362</w:t>
            </w:r>
          </w:p>
        </w:tc>
        <w:tc>
          <w:tcPr>
            <w:tcW w:w="675" w:type="dxa"/>
          </w:tcPr>
          <w:p w:rsidR="00F8214A" w:rsidRPr="00816657" w:rsidRDefault="00F8214A" w:rsidP="00DF1E42">
            <w:pPr>
              <w:jc w:val="right"/>
              <w:cnfStyle w:val="000000000000"/>
              <w:rPr>
                <w:sz w:val="16"/>
                <w:szCs w:val="16"/>
              </w:rPr>
            </w:pPr>
            <w:r w:rsidRPr="00816657">
              <w:rPr>
                <w:sz w:val="16"/>
                <w:szCs w:val="16"/>
              </w:rPr>
              <w:t>130,288</w:t>
            </w:r>
          </w:p>
        </w:tc>
        <w:tc>
          <w:tcPr>
            <w:tcW w:w="675" w:type="dxa"/>
          </w:tcPr>
          <w:p w:rsidR="00F8214A" w:rsidRPr="00816657" w:rsidRDefault="00F8214A" w:rsidP="00DF1E42">
            <w:pPr>
              <w:jc w:val="right"/>
              <w:cnfStyle w:val="000000000000"/>
              <w:rPr>
                <w:sz w:val="16"/>
                <w:szCs w:val="16"/>
              </w:rPr>
            </w:pPr>
            <w:r w:rsidRPr="00816657">
              <w:rPr>
                <w:sz w:val="16"/>
                <w:szCs w:val="16"/>
              </w:rPr>
              <w:t>132,242</w:t>
            </w:r>
          </w:p>
        </w:tc>
      </w:tr>
      <w:tr w:rsidR="00F8214A" w:rsidRPr="00816657" w:rsidTr="00F8214A">
        <w:tc>
          <w:tcPr>
            <w:cnfStyle w:val="001000000000"/>
            <w:tcW w:w="710" w:type="dxa"/>
          </w:tcPr>
          <w:p w:rsidR="00F8214A" w:rsidRPr="00816657" w:rsidRDefault="00F8214A" w:rsidP="00F8214A">
            <w:r w:rsidRPr="00816657">
              <w:t>High</w:t>
            </w:r>
          </w:p>
        </w:tc>
        <w:tc>
          <w:tcPr>
            <w:tcW w:w="567" w:type="dxa"/>
          </w:tcPr>
          <w:p w:rsidR="00F8214A" w:rsidRPr="00816657" w:rsidRDefault="00F8214A" w:rsidP="00F8214A">
            <w:pPr>
              <w:cnfStyle w:val="000000000000"/>
            </w:pPr>
            <w:r w:rsidRPr="00816657">
              <w:t>NT</w:t>
            </w:r>
          </w:p>
        </w:tc>
        <w:tc>
          <w:tcPr>
            <w:tcW w:w="675" w:type="dxa"/>
          </w:tcPr>
          <w:p w:rsidR="00F8214A" w:rsidRPr="00816657" w:rsidRDefault="00F8214A" w:rsidP="00DF1E42">
            <w:pPr>
              <w:jc w:val="right"/>
              <w:cnfStyle w:val="000000000000"/>
              <w:rPr>
                <w:sz w:val="16"/>
                <w:szCs w:val="16"/>
              </w:rPr>
            </w:pPr>
            <w:r w:rsidRPr="00816657">
              <w:rPr>
                <w:sz w:val="16"/>
                <w:szCs w:val="16"/>
              </w:rPr>
              <w:t>1,064</w:t>
            </w:r>
          </w:p>
        </w:tc>
        <w:tc>
          <w:tcPr>
            <w:tcW w:w="675" w:type="dxa"/>
          </w:tcPr>
          <w:p w:rsidR="00F8214A" w:rsidRPr="00816657" w:rsidRDefault="00F8214A" w:rsidP="00DF1E42">
            <w:pPr>
              <w:jc w:val="right"/>
              <w:cnfStyle w:val="000000000000"/>
              <w:rPr>
                <w:sz w:val="16"/>
                <w:szCs w:val="16"/>
              </w:rPr>
            </w:pPr>
            <w:r w:rsidRPr="00816657">
              <w:rPr>
                <w:sz w:val="16"/>
                <w:szCs w:val="16"/>
              </w:rPr>
              <w:t>1,080</w:t>
            </w:r>
          </w:p>
        </w:tc>
        <w:tc>
          <w:tcPr>
            <w:tcW w:w="675" w:type="dxa"/>
          </w:tcPr>
          <w:p w:rsidR="00F8214A" w:rsidRPr="00816657" w:rsidRDefault="00F8214A" w:rsidP="00DF1E42">
            <w:pPr>
              <w:jc w:val="right"/>
              <w:cnfStyle w:val="000000000000"/>
              <w:rPr>
                <w:sz w:val="16"/>
                <w:szCs w:val="16"/>
              </w:rPr>
            </w:pPr>
            <w:r w:rsidRPr="00816657">
              <w:rPr>
                <w:sz w:val="16"/>
                <w:szCs w:val="16"/>
              </w:rPr>
              <w:t>1,097</w:t>
            </w:r>
          </w:p>
        </w:tc>
        <w:tc>
          <w:tcPr>
            <w:tcW w:w="675" w:type="dxa"/>
          </w:tcPr>
          <w:p w:rsidR="00F8214A" w:rsidRPr="00816657" w:rsidRDefault="00F8214A" w:rsidP="00DF1E42">
            <w:pPr>
              <w:jc w:val="right"/>
              <w:cnfStyle w:val="000000000000"/>
              <w:rPr>
                <w:sz w:val="16"/>
                <w:szCs w:val="16"/>
              </w:rPr>
            </w:pPr>
            <w:r w:rsidRPr="00816657">
              <w:rPr>
                <w:sz w:val="16"/>
                <w:szCs w:val="16"/>
              </w:rPr>
              <w:t>1,113</w:t>
            </w:r>
          </w:p>
        </w:tc>
        <w:tc>
          <w:tcPr>
            <w:tcW w:w="675" w:type="dxa"/>
          </w:tcPr>
          <w:p w:rsidR="00F8214A" w:rsidRPr="00816657" w:rsidRDefault="00F8214A" w:rsidP="00DF1E42">
            <w:pPr>
              <w:jc w:val="right"/>
              <w:cnfStyle w:val="000000000000"/>
              <w:rPr>
                <w:sz w:val="16"/>
                <w:szCs w:val="16"/>
              </w:rPr>
            </w:pPr>
            <w:r w:rsidRPr="00816657">
              <w:rPr>
                <w:sz w:val="16"/>
                <w:szCs w:val="16"/>
              </w:rPr>
              <w:t>1,130</w:t>
            </w:r>
          </w:p>
        </w:tc>
        <w:tc>
          <w:tcPr>
            <w:tcW w:w="675" w:type="dxa"/>
          </w:tcPr>
          <w:p w:rsidR="00F8214A" w:rsidRPr="00816657" w:rsidRDefault="00F8214A" w:rsidP="00DF1E42">
            <w:pPr>
              <w:jc w:val="right"/>
              <w:cnfStyle w:val="000000000000"/>
              <w:rPr>
                <w:sz w:val="16"/>
                <w:szCs w:val="16"/>
              </w:rPr>
            </w:pPr>
            <w:r w:rsidRPr="00816657">
              <w:rPr>
                <w:sz w:val="16"/>
                <w:szCs w:val="16"/>
              </w:rPr>
              <w:t>1,147</w:t>
            </w:r>
          </w:p>
        </w:tc>
        <w:tc>
          <w:tcPr>
            <w:tcW w:w="675" w:type="dxa"/>
          </w:tcPr>
          <w:p w:rsidR="00F8214A" w:rsidRPr="00816657" w:rsidRDefault="00F8214A" w:rsidP="00DF1E42">
            <w:pPr>
              <w:jc w:val="right"/>
              <w:cnfStyle w:val="000000000000"/>
              <w:rPr>
                <w:sz w:val="16"/>
                <w:szCs w:val="16"/>
              </w:rPr>
            </w:pPr>
            <w:r w:rsidRPr="00816657">
              <w:rPr>
                <w:sz w:val="16"/>
                <w:szCs w:val="16"/>
              </w:rPr>
              <w:t>1,164</w:t>
            </w:r>
          </w:p>
        </w:tc>
        <w:tc>
          <w:tcPr>
            <w:tcW w:w="675" w:type="dxa"/>
          </w:tcPr>
          <w:p w:rsidR="00F8214A" w:rsidRPr="00816657" w:rsidRDefault="00F8214A" w:rsidP="00DF1E42">
            <w:pPr>
              <w:jc w:val="right"/>
              <w:cnfStyle w:val="000000000000"/>
              <w:rPr>
                <w:sz w:val="16"/>
                <w:szCs w:val="16"/>
              </w:rPr>
            </w:pPr>
            <w:r w:rsidRPr="00816657">
              <w:rPr>
                <w:sz w:val="16"/>
                <w:szCs w:val="16"/>
              </w:rPr>
              <w:t>1,181</w:t>
            </w:r>
          </w:p>
        </w:tc>
        <w:tc>
          <w:tcPr>
            <w:tcW w:w="675" w:type="dxa"/>
          </w:tcPr>
          <w:p w:rsidR="00F8214A" w:rsidRPr="00816657" w:rsidRDefault="00F8214A" w:rsidP="00DF1E42">
            <w:pPr>
              <w:jc w:val="right"/>
              <w:cnfStyle w:val="000000000000"/>
              <w:rPr>
                <w:sz w:val="16"/>
                <w:szCs w:val="16"/>
              </w:rPr>
            </w:pPr>
            <w:r w:rsidRPr="00816657">
              <w:rPr>
                <w:sz w:val="16"/>
                <w:szCs w:val="16"/>
              </w:rPr>
              <w:t>1,199</w:t>
            </w:r>
          </w:p>
        </w:tc>
        <w:tc>
          <w:tcPr>
            <w:tcW w:w="675" w:type="dxa"/>
          </w:tcPr>
          <w:p w:rsidR="00F8214A" w:rsidRPr="00816657" w:rsidRDefault="00F8214A" w:rsidP="00DF1E42">
            <w:pPr>
              <w:jc w:val="right"/>
              <w:cnfStyle w:val="000000000000"/>
              <w:rPr>
                <w:sz w:val="16"/>
                <w:szCs w:val="16"/>
              </w:rPr>
            </w:pPr>
            <w:r w:rsidRPr="00816657">
              <w:rPr>
                <w:sz w:val="16"/>
                <w:szCs w:val="16"/>
              </w:rPr>
              <w:t>1,217</w:t>
            </w:r>
          </w:p>
        </w:tc>
        <w:tc>
          <w:tcPr>
            <w:tcW w:w="675" w:type="dxa"/>
          </w:tcPr>
          <w:p w:rsidR="00F8214A" w:rsidRPr="00816657" w:rsidRDefault="00F8214A" w:rsidP="00DF1E42">
            <w:pPr>
              <w:jc w:val="right"/>
              <w:cnfStyle w:val="000000000000"/>
              <w:rPr>
                <w:sz w:val="16"/>
                <w:szCs w:val="16"/>
              </w:rPr>
            </w:pPr>
            <w:r w:rsidRPr="00816657">
              <w:rPr>
                <w:sz w:val="16"/>
                <w:szCs w:val="16"/>
              </w:rPr>
              <w:t>1,235</w:t>
            </w:r>
          </w:p>
        </w:tc>
        <w:tc>
          <w:tcPr>
            <w:tcW w:w="675" w:type="dxa"/>
          </w:tcPr>
          <w:p w:rsidR="00F8214A" w:rsidRPr="00816657" w:rsidRDefault="00F8214A" w:rsidP="00DF1E42">
            <w:pPr>
              <w:jc w:val="right"/>
              <w:cnfStyle w:val="000000000000"/>
              <w:rPr>
                <w:sz w:val="16"/>
                <w:szCs w:val="16"/>
              </w:rPr>
            </w:pPr>
            <w:r w:rsidRPr="00816657">
              <w:rPr>
                <w:sz w:val="16"/>
                <w:szCs w:val="16"/>
              </w:rPr>
              <w:t>1,254</w:t>
            </w:r>
          </w:p>
        </w:tc>
        <w:tc>
          <w:tcPr>
            <w:tcW w:w="675" w:type="dxa"/>
          </w:tcPr>
          <w:p w:rsidR="00F8214A" w:rsidRPr="00816657" w:rsidRDefault="00F8214A" w:rsidP="00DF1E42">
            <w:pPr>
              <w:jc w:val="right"/>
              <w:cnfStyle w:val="000000000000"/>
              <w:rPr>
                <w:sz w:val="16"/>
                <w:szCs w:val="16"/>
              </w:rPr>
            </w:pPr>
            <w:r w:rsidRPr="00816657">
              <w:rPr>
                <w:sz w:val="16"/>
                <w:szCs w:val="16"/>
              </w:rPr>
              <w:t>1,273</w:t>
            </w:r>
          </w:p>
        </w:tc>
        <w:tc>
          <w:tcPr>
            <w:tcW w:w="675" w:type="dxa"/>
          </w:tcPr>
          <w:p w:rsidR="00F8214A" w:rsidRPr="00816657" w:rsidRDefault="00F8214A" w:rsidP="00DF1E42">
            <w:pPr>
              <w:jc w:val="right"/>
              <w:cnfStyle w:val="000000000000"/>
              <w:rPr>
                <w:sz w:val="16"/>
                <w:szCs w:val="16"/>
              </w:rPr>
            </w:pPr>
            <w:r w:rsidRPr="00816657">
              <w:rPr>
                <w:sz w:val="16"/>
                <w:szCs w:val="16"/>
              </w:rPr>
              <w:t>1,292</w:t>
            </w:r>
          </w:p>
        </w:tc>
        <w:tc>
          <w:tcPr>
            <w:tcW w:w="675" w:type="dxa"/>
          </w:tcPr>
          <w:p w:rsidR="00F8214A" w:rsidRPr="00816657" w:rsidRDefault="00F8214A" w:rsidP="00DF1E42">
            <w:pPr>
              <w:jc w:val="right"/>
              <w:cnfStyle w:val="000000000000"/>
              <w:rPr>
                <w:sz w:val="16"/>
                <w:szCs w:val="16"/>
              </w:rPr>
            </w:pPr>
            <w:r w:rsidRPr="00816657">
              <w:rPr>
                <w:sz w:val="16"/>
                <w:szCs w:val="16"/>
              </w:rPr>
              <w:t>1,311</w:t>
            </w:r>
          </w:p>
        </w:tc>
        <w:tc>
          <w:tcPr>
            <w:tcW w:w="675" w:type="dxa"/>
          </w:tcPr>
          <w:p w:rsidR="00F8214A" w:rsidRPr="00816657" w:rsidRDefault="00F8214A" w:rsidP="00DF1E42">
            <w:pPr>
              <w:jc w:val="right"/>
              <w:cnfStyle w:val="000000000000"/>
              <w:rPr>
                <w:sz w:val="16"/>
                <w:szCs w:val="16"/>
              </w:rPr>
            </w:pPr>
            <w:r w:rsidRPr="00816657">
              <w:rPr>
                <w:sz w:val="16"/>
                <w:szCs w:val="16"/>
              </w:rPr>
              <w:t>1,331</w:t>
            </w:r>
          </w:p>
        </w:tc>
        <w:tc>
          <w:tcPr>
            <w:tcW w:w="675" w:type="dxa"/>
          </w:tcPr>
          <w:p w:rsidR="00F8214A" w:rsidRPr="00816657" w:rsidRDefault="00F8214A" w:rsidP="00DF1E42">
            <w:pPr>
              <w:jc w:val="right"/>
              <w:cnfStyle w:val="000000000000"/>
              <w:rPr>
                <w:sz w:val="16"/>
                <w:szCs w:val="16"/>
              </w:rPr>
            </w:pPr>
            <w:r w:rsidRPr="00816657">
              <w:rPr>
                <w:sz w:val="16"/>
                <w:szCs w:val="16"/>
              </w:rPr>
              <w:t>1,351</w:t>
            </w:r>
          </w:p>
        </w:tc>
        <w:tc>
          <w:tcPr>
            <w:tcW w:w="675" w:type="dxa"/>
          </w:tcPr>
          <w:p w:rsidR="00F8214A" w:rsidRPr="00816657" w:rsidRDefault="00F8214A" w:rsidP="00DF1E42">
            <w:pPr>
              <w:jc w:val="right"/>
              <w:cnfStyle w:val="000000000000"/>
              <w:rPr>
                <w:sz w:val="16"/>
                <w:szCs w:val="16"/>
              </w:rPr>
            </w:pPr>
            <w:r w:rsidRPr="00816657">
              <w:rPr>
                <w:sz w:val="16"/>
                <w:szCs w:val="16"/>
              </w:rPr>
              <w:t>1,371</w:t>
            </w:r>
          </w:p>
        </w:tc>
        <w:tc>
          <w:tcPr>
            <w:tcW w:w="675" w:type="dxa"/>
          </w:tcPr>
          <w:p w:rsidR="00F8214A" w:rsidRPr="00816657" w:rsidRDefault="00F8214A" w:rsidP="00DF1E42">
            <w:pPr>
              <w:jc w:val="right"/>
              <w:cnfStyle w:val="000000000000"/>
              <w:rPr>
                <w:sz w:val="16"/>
                <w:szCs w:val="16"/>
              </w:rPr>
            </w:pPr>
            <w:r w:rsidRPr="00816657">
              <w:rPr>
                <w:sz w:val="16"/>
                <w:szCs w:val="16"/>
              </w:rPr>
              <w:t>1,391</w:t>
            </w:r>
          </w:p>
        </w:tc>
        <w:tc>
          <w:tcPr>
            <w:tcW w:w="675" w:type="dxa"/>
          </w:tcPr>
          <w:p w:rsidR="00F8214A" w:rsidRPr="00816657" w:rsidRDefault="00F8214A" w:rsidP="00DF1E42">
            <w:pPr>
              <w:jc w:val="right"/>
              <w:cnfStyle w:val="000000000000"/>
              <w:rPr>
                <w:sz w:val="16"/>
                <w:szCs w:val="16"/>
              </w:rPr>
            </w:pPr>
            <w:r w:rsidRPr="00816657">
              <w:rPr>
                <w:sz w:val="16"/>
                <w:szCs w:val="16"/>
              </w:rPr>
              <w:t>1,412</w:t>
            </w:r>
          </w:p>
        </w:tc>
        <w:tc>
          <w:tcPr>
            <w:tcW w:w="675" w:type="dxa"/>
          </w:tcPr>
          <w:p w:rsidR="00F8214A" w:rsidRPr="00816657" w:rsidRDefault="00F8214A" w:rsidP="00DF1E42">
            <w:pPr>
              <w:jc w:val="right"/>
              <w:cnfStyle w:val="000000000000"/>
              <w:rPr>
                <w:sz w:val="16"/>
                <w:szCs w:val="16"/>
              </w:rPr>
            </w:pPr>
            <w:r w:rsidRPr="00816657">
              <w:rPr>
                <w:sz w:val="16"/>
                <w:szCs w:val="16"/>
              </w:rPr>
              <w:t>1,434</w:t>
            </w:r>
          </w:p>
        </w:tc>
      </w:tr>
      <w:tr w:rsidR="00F8214A" w:rsidRPr="00816657" w:rsidTr="00F8214A">
        <w:tc>
          <w:tcPr>
            <w:cnfStyle w:val="001000000000"/>
            <w:tcW w:w="710" w:type="dxa"/>
          </w:tcPr>
          <w:p w:rsidR="00F8214A" w:rsidRPr="00816657" w:rsidRDefault="00F8214A" w:rsidP="00F8214A">
            <w:r w:rsidRPr="00816657">
              <w:t>High</w:t>
            </w:r>
          </w:p>
        </w:tc>
        <w:tc>
          <w:tcPr>
            <w:tcW w:w="567" w:type="dxa"/>
          </w:tcPr>
          <w:p w:rsidR="00F8214A" w:rsidRPr="00816657" w:rsidRDefault="00F8214A" w:rsidP="00F8214A">
            <w:pPr>
              <w:cnfStyle w:val="000000000000"/>
            </w:pPr>
            <w:r w:rsidRPr="00816657">
              <w:t>Qld</w:t>
            </w:r>
          </w:p>
        </w:tc>
        <w:tc>
          <w:tcPr>
            <w:tcW w:w="675" w:type="dxa"/>
          </w:tcPr>
          <w:p w:rsidR="00F8214A" w:rsidRPr="00816657" w:rsidRDefault="00F8214A" w:rsidP="00DF1E42">
            <w:pPr>
              <w:jc w:val="right"/>
              <w:cnfStyle w:val="000000000000"/>
              <w:rPr>
                <w:sz w:val="16"/>
                <w:szCs w:val="16"/>
              </w:rPr>
            </w:pPr>
            <w:r w:rsidRPr="00816657">
              <w:rPr>
                <w:sz w:val="16"/>
                <w:szCs w:val="16"/>
              </w:rPr>
              <w:t>39,225</w:t>
            </w:r>
          </w:p>
        </w:tc>
        <w:tc>
          <w:tcPr>
            <w:tcW w:w="675" w:type="dxa"/>
          </w:tcPr>
          <w:p w:rsidR="00F8214A" w:rsidRPr="00816657" w:rsidRDefault="00F8214A" w:rsidP="00DF1E42">
            <w:pPr>
              <w:jc w:val="right"/>
              <w:cnfStyle w:val="000000000000"/>
              <w:rPr>
                <w:sz w:val="16"/>
                <w:szCs w:val="16"/>
              </w:rPr>
            </w:pPr>
            <w:r w:rsidRPr="00816657">
              <w:rPr>
                <w:sz w:val="16"/>
                <w:szCs w:val="16"/>
              </w:rPr>
              <w:t>39,813</w:t>
            </w:r>
          </w:p>
        </w:tc>
        <w:tc>
          <w:tcPr>
            <w:tcW w:w="675" w:type="dxa"/>
          </w:tcPr>
          <w:p w:rsidR="00F8214A" w:rsidRPr="00816657" w:rsidRDefault="00F8214A" w:rsidP="00DF1E42">
            <w:pPr>
              <w:jc w:val="right"/>
              <w:cnfStyle w:val="000000000000"/>
              <w:rPr>
                <w:sz w:val="16"/>
                <w:szCs w:val="16"/>
              </w:rPr>
            </w:pPr>
            <w:r w:rsidRPr="00816657">
              <w:rPr>
                <w:sz w:val="16"/>
                <w:szCs w:val="16"/>
              </w:rPr>
              <w:t>40,411</w:t>
            </w:r>
          </w:p>
        </w:tc>
        <w:tc>
          <w:tcPr>
            <w:tcW w:w="675" w:type="dxa"/>
          </w:tcPr>
          <w:p w:rsidR="00F8214A" w:rsidRPr="00816657" w:rsidRDefault="00F8214A" w:rsidP="00DF1E42">
            <w:pPr>
              <w:jc w:val="right"/>
              <w:cnfStyle w:val="000000000000"/>
              <w:rPr>
                <w:sz w:val="16"/>
                <w:szCs w:val="16"/>
              </w:rPr>
            </w:pPr>
            <w:r w:rsidRPr="00816657">
              <w:rPr>
                <w:sz w:val="16"/>
                <w:szCs w:val="16"/>
              </w:rPr>
              <w:t>41,017</w:t>
            </w:r>
          </w:p>
        </w:tc>
        <w:tc>
          <w:tcPr>
            <w:tcW w:w="675" w:type="dxa"/>
          </w:tcPr>
          <w:p w:rsidR="00F8214A" w:rsidRPr="00816657" w:rsidRDefault="00F8214A" w:rsidP="00DF1E42">
            <w:pPr>
              <w:jc w:val="right"/>
              <w:cnfStyle w:val="000000000000"/>
              <w:rPr>
                <w:sz w:val="16"/>
                <w:szCs w:val="16"/>
              </w:rPr>
            </w:pPr>
            <w:r w:rsidRPr="00816657">
              <w:rPr>
                <w:sz w:val="16"/>
                <w:szCs w:val="16"/>
              </w:rPr>
              <w:t>41,632</w:t>
            </w:r>
          </w:p>
        </w:tc>
        <w:tc>
          <w:tcPr>
            <w:tcW w:w="675" w:type="dxa"/>
          </w:tcPr>
          <w:p w:rsidR="00F8214A" w:rsidRPr="00816657" w:rsidRDefault="00F8214A" w:rsidP="00DF1E42">
            <w:pPr>
              <w:jc w:val="right"/>
              <w:cnfStyle w:val="000000000000"/>
              <w:rPr>
                <w:sz w:val="16"/>
                <w:szCs w:val="16"/>
              </w:rPr>
            </w:pPr>
            <w:r w:rsidRPr="00816657">
              <w:rPr>
                <w:sz w:val="16"/>
                <w:szCs w:val="16"/>
              </w:rPr>
              <w:t>42,256</w:t>
            </w:r>
          </w:p>
        </w:tc>
        <w:tc>
          <w:tcPr>
            <w:tcW w:w="675" w:type="dxa"/>
          </w:tcPr>
          <w:p w:rsidR="00F8214A" w:rsidRPr="00816657" w:rsidRDefault="00F8214A" w:rsidP="00DF1E42">
            <w:pPr>
              <w:jc w:val="right"/>
              <w:cnfStyle w:val="000000000000"/>
              <w:rPr>
                <w:sz w:val="16"/>
                <w:szCs w:val="16"/>
              </w:rPr>
            </w:pPr>
            <w:r w:rsidRPr="00816657">
              <w:rPr>
                <w:sz w:val="16"/>
                <w:szCs w:val="16"/>
              </w:rPr>
              <w:t>42,890</w:t>
            </w:r>
          </w:p>
        </w:tc>
        <w:tc>
          <w:tcPr>
            <w:tcW w:w="675" w:type="dxa"/>
          </w:tcPr>
          <w:p w:rsidR="00F8214A" w:rsidRPr="00816657" w:rsidRDefault="00F8214A" w:rsidP="00DF1E42">
            <w:pPr>
              <w:jc w:val="right"/>
              <w:cnfStyle w:val="000000000000"/>
              <w:rPr>
                <w:sz w:val="16"/>
                <w:szCs w:val="16"/>
              </w:rPr>
            </w:pPr>
            <w:r w:rsidRPr="00816657">
              <w:rPr>
                <w:sz w:val="16"/>
                <w:szCs w:val="16"/>
              </w:rPr>
              <w:t>43,534</w:t>
            </w:r>
          </w:p>
        </w:tc>
        <w:tc>
          <w:tcPr>
            <w:tcW w:w="675" w:type="dxa"/>
          </w:tcPr>
          <w:p w:rsidR="00F8214A" w:rsidRPr="00816657" w:rsidRDefault="00F8214A" w:rsidP="00DF1E42">
            <w:pPr>
              <w:jc w:val="right"/>
              <w:cnfStyle w:val="000000000000"/>
              <w:rPr>
                <w:sz w:val="16"/>
                <w:szCs w:val="16"/>
              </w:rPr>
            </w:pPr>
            <w:r w:rsidRPr="00816657">
              <w:rPr>
                <w:sz w:val="16"/>
                <w:szCs w:val="16"/>
              </w:rPr>
              <w:t>44,187</w:t>
            </w:r>
          </w:p>
        </w:tc>
        <w:tc>
          <w:tcPr>
            <w:tcW w:w="675" w:type="dxa"/>
          </w:tcPr>
          <w:p w:rsidR="00F8214A" w:rsidRPr="00816657" w:rsidRDefault="00F8214A" w:rsidP="00DF1E42">
            <w:pPr>
              <w:jc w:val="right"/>
              <w:cnfStyle w:val="000000000000"/>
              <w:rPr>
                <w:sz w:val="16"/>
                <w:szCs w:val="16"/>
              </w:rPr>
            </w:pPr>
            <w:r w:rsidRPr="00816657">
              <w:rPr>
                <w:sz w:val="16"/>
                <w:szCs w:val="16"/>
              </w:rPr>
              <w:t>44,849</w:t>
            </w:r>
          </w:p>
        </w:tc>
        <w:tc>
          <w:tcPr>
            <w:tcW w:w="675" w:type="dxa"/>
          </w:tcPr>
          <w:p w:rsidR="00F8214A" w:rsidRPr="00816657" w:rsidRDefault="00F8214A" w:rsidP="00DF1E42">
            <w:pPr>
              <w:jc w:val="right"/>
              <w:cnfStyle w:val="000000000000"/>
              <w:rPr>
                <w:sz w:val="16"/>
                <w:szCs w:val="16"/>
              </w:rPr>
            </w:pPr>
            <w:r w:rsidRPr="00816657">
              <w:rPr>
                <w:sz w:val="16"/>
                <w:szCs w:val="16"/>
              </w:rPr>
              <w:t>45,522</w:t>
            </w:r>
          </w:p>
        </w:tc>
        <w:tc>
          <w:tcPr>
            <w:tcW w:w="675" w:type="dxa"/>
          </w:tcPr>
          <w:p w:rsidR="00F8214A" w:rsidRPr="00816657" w:rsidRDefault="00F8214A" w:rsidP="00DF1E42">
            <w:pPr>
              <w:jc w:val="right"/>
              <w:cnfStyle w:val="000000000000"/>
              <w:rPr>
                <w:sz w:val="16"/>
                <w:szCs w:val="16"/>
              </w:rPr>
            </w:pPr>
            <w:r w:rsidRPr="00816657">
              <w:rPr>
                <w:sz w:val="16"/>
                <w:szCs w:val="16"/>
              </w:rPr>
              <w:t>46,205</w:t>
            </w:r>
          </w:p>
        </w:tc>
        <w:tc>
          <w:tcPr>
            <w:tcW w:w="675" w:type="dxa"/>
          </w:tcPr>
          <w:p w:rsidR="00F8214A" w:rsidRPr="00816657" w:rsidRDefault="00F8214A" w:rsidP="00DF1E42">
            <w:pPr>
              <w:jc w:val="right"/>
              <w:cnfStyle w:val="000000000000"/>
              <w:rPr>
                <w:sz w:val="16"/>
                <w:szCs w:val="16"/>
              </w:rPr>
            </w:pPr>
            <w:r w:rsidRPr="00816657">
              <w:rPr>
                <w:sz w:val="16"/>
                <w:szCs w:val="16"/>
              </w:rPr>
              <w:t>46,898</w:t>
            </w:r>
          </w:p>
        </w:tc>
        <w:tc>
          <w:tcPr>
            <w:tcW w:w="675" w:type="dxa"/>
          </w:tcPr>
          <w:p w:rsidR="00F8214A" w:rsidRPr="00816657" w:rsidRDefault="00F8214A" w:rsidP="00DF1E42">
            <w:pPr>
              <w:jc w:val="right"/>
              <w:cnfStyle w:val="000000000000"/>
              <w:rPr>
                <w:sz w:val="16"/>
                <w:szCs w:val="16"/>
              </w:rPr>
            </w:pPr>
            <w:r w:rsidRPr="00816657">
              <w:rPr>
                <w:sz w:val="16"/>
                <w:szCs w:val="16"/>
              </w:rPr>
              <w:t>47,602</w:t>
            </w:r>
          </w:p>
        </w:tc>
        <w:tc>
          <w:tcPr>
            <w:tcW w:w="675" w:type="dxa"/>
          </w:tcPr>
          <w:p w:rsidR="00F8214A" w:rsidRPr="00816657" w:rsidRDefault="00F8214A" w:rsidP="00DF1E42">
            <w:pPr>
              <w:jc w:val="right"/>
              <w:cnfStyle w:val="000000000000"/>
              <w:rPr>
                <w:sz w:val="16"/>
                <w:szCs w:val="16"/>
              </w:rPr>
            </w:pPr>
            <w:r w:rsidRPr="00816657">
              <w:rPr>
                <w:sz w:val="16"/>
                <w:szCs w:val="16"/>
              </w:rPr>
              <w:t>48,316</w:t>
            </w:r>
          </w:p>
        </w:tc>
        <w:tc>
          <w:tcPr>
            <w:tcW w:w="675" w:type="dxa"/>
          </w:tcPr>
          <w:p w:rsidR="00F8214A" w:rsidRPr="00816657" w:rsidRDefault="00F8214A" w:rsidP="00DF1E42">
            <w:pPr>
              <w:jc w:val="right"/>
              <w:cnfStyle w:val="000000000000"/>
              <w:rPr>
                <w:sz w:val="16"/>
                <w:szCs w:val="16"/>
              </w:rPr>
            </w:pPr>
            <w:r w:rsidRPr="00816657">
              <w:rPr>
                <w:sz w:val="16"/>
                <w:szCs w:val="16"/>
              </w:rPr>
              <w:t>49,040</w:t>
            </w:r>
          </w:p>
        </w:tc>
        <w:tc>
          <w:tcPr>
            <w:tcW w:w="675" w:type="dxa"/>
          </w:tcPr>
          <w:p w:rsidR="00F8214A" w:rsidRPr="00816657" w:rsidRDefault="00F8214A" w:rsidP="00DF1E42">
            <w:pPr>
              <w:jc w:val="right"/>
              <w:cnfStyle w:val="000000000000"/>
              <w:rPr>
                <w:sz w:val="16"/>
                <w:szCs w:val="16"/>
              </w:rPr>
            </w:pPr>
            <w:r w:rsidRPr="00816657">
              <w:rPr>
                <w:sz w:val="16"/>
                <w:szCs w:val="16"/>
              </w:rPr>
              <w:t>49,776</w:t>
            </w:r>
          </w:p>
        </w:tc>
        <w:tc>
          <w:tcPr>
            <w:tcW w:w="675" w:type="dxa"/>
          </w:tcPr>
          <w:p w:rsidR="00F8214A" w:rsidRPr="00816657" w:rsidRDefault="00F8214A" w:rsidP="00DF1E42">
            <w:pPr>
              <w:jc w:val="right"/>
              <w:cnfStyle w:val="000000000000"/>
              <w:rPr>
                <w:sz w:val="16"/>
                <w:szCs w:val="16"/>
              </w:rPr>
            </w:pPr>
            <w:r w:rsidRPr="00816657">
              <w:rPr>
                <w:sz w:val="16"/>
                <w:szCs w:val="16"/>
              </w:rPr>
              <w:t>50,523</w:t>
            </w:r>
          </w:p>
        </w:tc>
        <w:tc>
          <w:tcPr>
            <w:tcW w:w="675" w:type="dxa"/>
          </w:tcPr>
          <w:p w:rsidR="00F8214A" w:rsidRPr="00816657" w:rsidRDefault="00F8214A" w:rsidP="00DF1E42">
            <w:pPr>
              <w:jc w:val="right"/>
              <w:cnfStyle w:val="000000000000"/>
              <w:rPr>
                <w:sz w:val="16"/>
                <w:szCs w:val="16"/>
              </w:rPr>
            </w:pPr>
            <w:r w:rsidRPr="00816657">
              <w:rPr>
                <w:sz w:val="16"/>
                <w:szCs w:val="16"/>
              </w:rPr>
              <w:t>51,280</w:t>
            </w:r>
          </w:p>
        </w:tc>
        <w:tc>
          <w:tcPr>
            <w:tcW w:w="675" w:type="dxa"/>
          </w:tcPr>
          <w:p w:rsidR="00F8214A" w:rsidRPr="00816657" w:rsidRDefault="00F8214A" w:rsidP="00DF1E42">
            <w:pPr>
              <w:jc w:val="right"/>
              <w:cnfStyle w:val="000000000000"/>
              <w:rPr>
                <w:sz w:val="16"/>
                <w:szCs w:val="16"/>
              </w:rPr>
            </w:pPr>
            <w:r w:rsidRPr="00816657">
              <w:rPr>
                <w:sz w:val="16"/>
                <w:szCs w:val="16"/>
              </w:rPr>
              <w:t>52,050</w:t>
            </w:r>
          </w:p>
        </w:tc>
        <w:tc>
          <w:tcPr>
            <w:tcW w:w="675" w:type="dxa"/>
          </w:tcPr>
          <w:p w:rsidR="00F8214A" w:rsidRPr="00816657" w:rsidRDefault="00F8214A" w:rsidP="00DF1E42">
            <w:pPr>
              <w:jc w:val="right"/>
              <w:cnfStyle w:val="000000000000"/>
              <w:rPr>
                <w:sz w:val="16"/>
                <w:szCs w:val="16"/>
              </w:rPr>
            </w:pPr>
            <w:r w:rsidRPr="00816657">
              <w:rPr>
                <w:sz w:val="16"/>
                <w:szCs w:val="16"/>
              </w:rPr>
              <w:t>52,830</w:t>
            </w:r>
          </w:p>
        </w:tc>
      </w:tr>
      <w:tr w:rsidR="00F8214A" w:rsidRPr="00816657" w:rsidTr="00F8214A">
        <w:tc>
          <w:tcPr>
            <w:cnfStyle w:val="001000000000"/>
            <w:tcW w:w="710" w:type="dxa"/>
          </w:tcPr>
          <w:p w:rsidR="00F8214A" w:rsidRPr="00816657" w:rsidRDefault="00F8214A" w:rsidP="00F8214A">
            <w:r w:rsidRPr="00816657">
              <w:t>High</w:t>
            </w:r>
          </w:p>
        </w:tc>
        <w:tc>
          <w:tcPr>
            <w:tcW w:w="567" w:type="dxa"/>
          </w:tcPr>
          <w:p w:rsidR="00F8214A" w:rsidRPr="00816657" w:rsidRDefault="00F8214A" w:rsidP="00F8214A">
            <w:pPr>
              <w:cnfStyle w:val="000000000000"/>
            </w:pPr>
            <w:r w:rsidRPr="00816657">
              <w:t>SA</w:t>
            </w:r>
          </w:p>
        </w:tc>
        <w:tc>
          <w:tcPr>
            <w:tcW w:w="675" w:type="dxa"/>
          </w:tcPr>
          <w:p w:rsidR="00F8214A" w:rsidRPr="00816657" w:rsidRDefault="00F8214A" w:rsidP="00DF1E42">
            <w:pPr>
              <w:jc w:val="right"/>
              <w:cnfStyle w:val="000000000000"/>
              <w:rPr>
                <w:sz w:val="16"/>
                <w:szCs w:val="16"/>
              </w:rPr>
            </w:pPr>
            <w:r w:rsidRPr="00816657">
              <w:rPr>
                <w:sz w:val="16"/>
                <w:szCs w:val="16"/>
              </w:rPr>
              <w:t>8,518</w:t>
            </w:r>
          </w:p>
        </w:tc>
        <w:tc>
          <w:tcPr>
            <w:tcW w:w="675" w:type="dxa"/>
          </w:tcPr>
          <w:p w:rsidR="00F8214A" w:rsidRPr="00816657" w:rsidRDefault="00F8214A" w:rsidP="00DF1E42">
            <w:pPr>
              <w:jc w:val="right"/>
              <w:cnfStyle w:val="000000000000"/>
              <w:rPr>
                <w:sz w:val="16"/>
                <w:szCs w:val="16"/>
              </w:rPr>
            </w:pPr>
            <w:r w:rsidRPr="00816657">
              <w:rPr>
                <w:sz w:val="16"/>
                <w:szCs w:val="16"/>
              </w:rPr>
              <w:t>8,646</w:t>
            </w:r>
          </w:p>
        </w:tc>
        <w:tc>
          <w:tcPr>
            <w:tcW w:w="675" w:type="dxa"/>
          </w:tcPr>
          <w:p w:rsidR="00F8214A" w:rsidRPr="00816657" w:rsidRDefault="00F8214A" w:rsidP="00DF1E42">
            <w:pPr>
              <w:jc w:val="right"/>
              <w:cnfStyle w:val="000000000000"/>
              <w:rPr>
                <w:sz w:val="16"/>
                <w:szCs w:val="16"/>
              </w:rPr>
            </w:pPr>
            <w:r w:rsidRPr="00816657">
              <w:rPr>
                <w:sz w:val="16"/>
                <w:szCs w:val="16"/>
              </w:rPr>
              <w:t>8,776</w:t>
            </w:r>
          </w:p>
        </w:tc>
        <w:tc>
          <w:tcPr>
            <w:tcW w:w="675" w:type="dxa"/>
          </w:tcPr>
          <w:p w:rsidR="00F8214A" w:rsidRPr="00816657" w:rsidRDefault="00F8214A" w:rsidP="00DF1E42">
            <w:pPr>
              <w:jc w:val="right"/>
              <w:cnfStyle w:val="000000000000"/>
              <w:rPr>
                <w:sz w:val="16"/>
                <w:szCs w:val="16"/>
              </w:rPr>
            </w:pPr>
            <w:r w:rsidRPr="00816657">
              <w:rPr>
                <w:sz w:val="16"/>
                <w:szCs w:val="16"/>
              </w:rPr>
              <w:t>8,907</w:t>
            </w:r>
          </w:p>
        </w:tc>
        <w:tc>
          <w:tcPr>
            <w:tcW w:w="675" w:type="dxa"/>
          </w:tcPr>
          <w:p w:rsidR="00F8214A" w:rsidRPr="00816657" w:rsidRDefault="00F8214A" w:rsidP="00DF1E42">
            <w:pPr>
              <w:jc w:val="right"/>
              <w:cnfStyle w:val="000000000000"/>
              <w:rPr>
                <w:sz w:val="16"/>
                <w:szCs w:val="16"/>
              </w:rPr>
            </w:pPr>
            <w:r w:rsidRPr="00816657">
              <w:rPr>
                <w:sz w:val="16"/>
                <w:szCs w:val="16"/>
              </w:rPr>
              <w:t>9,041</w:t>
            </w:r>
          </w:p>
        </w:tc>
        <w:tc>
          <w:tcPr>
            <w:tcW w:w="675" w:type="dxa"/>
          </w:tcPr>
          <w:p w:rsidR="00F8214A" w:rsidRPr="00816657" w:rsidRDefault="00F8214A" w:rsidP="00DF1E42">
            <w:pPr>
              <w:jc w:val="right"/>
              <w:cnfStyle w:val="000000000000"/>
              <w:rPr>
                <w:sz w:val="16"/>
                <w:szCs w:val="16"/>
              </w:rPr>
            </w:pPr>
            <w:r w:rsidRPr="00816657">
              <w:rPr>
                <w:sz w:val="16"/>
                <w:szCs w:val="16"/>
              </w:rPr>
              <w:t>9,177</w:t>
            </w:r>
          </w:p>
        </w:tc>
        <w:tc>
          <w:tcPr>
            <w:tcW w:w="675" w:type="dxa"/>
          </w:tcPr>
          <w:p w:rsidR="00F8214A" w:rsidRPr="00816657" w:rsidRDefault="00F8214A" w:rsidP="00DF1E42">
            <w:pPr>
              <w:jc w:val="right"/>
              <w:cnfStyle w:val="000000000000"/>
              <w:rPr>
                <w:sz w:val="16"/>
                <w:szCs w:val="16"/>
              </w:rPr>
            </w:pPr>
            <w:r w:rsidRPr="00816657">
              <w:rPr>
                <w:sz w:val="16"/>
                <w:szCs w:val="16"/>
              </w:rPr>
              <w:t>9,314</w:t>
            </w:r>
          </w:p>
        </w:tc>
        <w:tc>
          <w:tcPr>
            <w:tcW w:w="675" w:type="dxa"/>
          </w:tcPr>
          <w:p w:rsidR="00F8214A" w:rsidRPr="00816657" w:rsidRDefault="00F8214A" w:rsidP="00DF1E42">
            <w:pPr>
              <w:jc w:val="right"/>
              <w:cnfStyle w:val="000000000000"/>
              <w:rPr>
                <w:sz w:val="16"/>
                <w:szCs w:val="16"/>
              </w:rPr>
            </w:pPr>
            <w:r w:rsidRPr="00816657">
              <w:rPr>
                <w:sz w:val="16"/>
                <w:szCs w:val="16"/>
              </w:rPr>
              <w:t>9,454</w:t>
            </w:r>
          </w:p>
        </w:tc>
        <w:tc>
          <w:tcPr>
            <w:tcW w:w="675" w:type="dxa"/>
          </w:tcPr>
          <w:p w:rsidR="00F8214A" w:rsidRPr="00816657" w:rsidRDefault="00F8214A" w:rsidP="00DF1E42">
            <w:pPr>
              <w:jc w:val="right"/>
              <w:cnfStyle w:val="000000000000"/>
              <w:rPr>
                <w:sz w:val="16"/>
                <w:szCs w:val="16"/>
              </w:rPr>
            </w:pPr>
            <w:r w:rsidRPr="00816657">
              <w:rPr>
                <w:sz w:val="16"/>
                <w:szCs w:val="16"/>
              </w:rPr>
              <w:t>9,596</w:t>
            </w:r>
          </w:p>
        </w:tc>
        <w:tc>
          <w:tcPr>
            <w:tcW w:w="675" w:type="dxa"/>
          </w:tcPr>
          <w:p w:rsidR="00F8214A" w:rsidRPr="00816657" w:rsidRDefault="00F8214A" w:rsidP="00DF1E42">
            <w:pPr>
              <w:jc w:val="right"/>
              <w:cnfStyle w:val="000000000000"/>
              <w:rPr>
                <w:sz w:val="16"/>
                <w:szCs w:val="16"/>
              </w:rPr>
            </w:pPr>
            <w:r w:rsidRPr="00816657">
              <w:rPr>
                <w:sz w:val="16"/>
                <w:szCs w:val="16"/>
              </w:rPr>
              <w:t>9,740</w:t>
            </w:r>
          </w:p>
        </w:tc>
        <w:tc>
          <w:tcPr>
            <w:tcW w:w="675" w:type="dxa"/>
          </w:tcPr>
          <w:p w:rsidR="00F8214A" w:rsidRPr="00816657" w:rsidRDefault="00F8214A" w:rsidP="00DF1E42">
            <w:pPr>
              <w:jc w:val="right"/>
              <w:cnfStyle w:val="000000000000"/>
              <w:rPr>
                <w:sz w:val="16"/>
                <w:szCs w:val="16"/>
              </w:rPr>
            </w:pPr>
            <w:r w:rsidRPr="00816657">
              <w:rPr>
                <w:sz w:val="16"/>
                <w:szCs w:val="16"/>
              </w:rPr>
              <w:t>9,886</w:t>
            </w:r>
          </w:p>
        </w:tc>
        <w:tc>
          <w:tcPr>
            <w:tcW w:w="675" w:type="dxa"/>
          </w:tcPr>
          <w:p w:rsidR="00F8214A" w:rsidRPr="00816657" w:rsidRDefault="00F8214A" w:rsidP="00DF1E42">
            <w:pPr>
              <w:jc w:val="right"/>
              <w:cnfStyle w:val="000000000000"/>
              <w:rPr>
                <w:sz w:val="16"/>
                <w:szCs w:val="16"/>
              </w:rPr>
            </w:pPr>
            <w:r w:rsidRPr="00816657">
              <w:rPr>
                <w:sz w:val="16"/>
                <w:szCs w:val="16"/>
              </w:rPr>
              <w:t>10,034</w:t>
            </w:r>
          </w:p>
        </w:tc>
        <w:tc>
          <w:tcPr>
            <w:tcW w:w="675" w:type="dxa"/>
          </w:tcPr>
          <w:p w:rsidR="00F8214A" w:rsidRPr="00816657" w:rsidRDefault="00F8214A" w:rsidP="00DF1E42">
            <w:pPr>
              <w:jc w:val="right"/>
              <w:cnfStyle w:val="000000000000"/>
              <w:rPr>
                <w:sz w:val="16"/>
                <w:szCs w:val="16"/>
              </w:rPr>
            </w:pPr>
            <w:r w:rsidRPr="00816657">
              <w:rPr>
                <w:sz w:val="16"/>
                <w:szCs w:val="16"/>
              </w:rPr>
              <w:t>10,185</w:t>
            </w:r>
          </w:p>
        </w:tc>
        <w:tc>
          <w:tcPr>
            <w:tcW w:w="675" w:type="dxa"/>
          </w:tcPr>
          <w:p w:rsidR="00F8214A" w:rsidRPr="00816657" w:rsidRDefault="00F8214A" w:rsidP="00DF1E42">
            <w:pPr>
              <w:jc w:val="right"/>
              <w:cnfStyle w:val="000000000000"/>
              <w:rPr>
                <w:sz w:val="16"/>
                <w:szCs w:val="16"/>
              </w:rPr>
            </w:pPr>
            <w:r w:rsidRPr="00816657">
              <w:rPr>
                <w:sz w:val="16"/>
                <w:szCs w:val="16"/>
              </w:rPr>
              <w:t>10,337</w:t>
            </w:r>
          </w:p>
        </w:tc>
        <w:tc>
          <w:tcPr>
            <w:tcW w:w="675" w:type="dxa"/>
          </w:tcPr>
          <w:p w:rsidR="00F8214A" w:rsidRPr="00816657" w:rsidRDefault="00F8214A" w:rsidP="00DF1E42">
            <w:pPr>
              <w:jc w:val="right"/>
              <w:cnfStyle w:val="000000000000"/>
              <w:rPr>
                <w:sz w:val="16"/>
                <w:szCs w:val="16"/>
              </w:rPr>
            </w:pPr>
            <w:r w:rsidRPr="00816657">
              <w:rPr>
                <w:sz w:val="16"/>
                <w:szCs w:val="16"/>
              </w:rPr>
              <w:t>10,492</w:t>
            </w:r>
          </w:p>
        </w:tc>
        <w:tc>
          <w:tcPr>
            <w:tcW w:w="675" w:type="dxa"/>
          </w:tcPr>
          <w:p w:rsidR="00F8214A" w:rsidRPr="00816657" w:rsidRDefault="00F8214A" w:rsidP="00DF1E42">
            <w:pPr>
              <w:jc w:val="right"/>
              <w:cnfStyle w:val="000000000000"/>
              <w:rPr>
                <w:sz w:val="16"/>
                <w:szCs w:val="16"/>
              </w:rPr>
            </w:pPr>
            <w:r w:rsidRPr="00816657">
              <w:rPr>
                <w:sz w:val="16"/>
                <w:szCs w:val="16"/>
              </w:rPr>
              <w:t>10,650</w:t>
            </w:r>
          </w:p>
        </w:tc>
        <w:tc>
          <w:tcPr>
            <w:tcW w:w="675" w:type="dxa"/>
          </w:tcPr>
          <w:p w:rsidR="00F8214A" w:rsidRPr="00816657" w:rsidRDefault="00F8214A" w:rsidP="00DF1E42">
            <w:pPr>
              <w:jc w:val="right"/>
              <w:cnfStyle w:val="000000000000"/>
              <w:rPr>
                <w:sz w:val="16"/>
                <w:szCs w:val="16"/>
              </w:rPr>
            </w:pPr>
            <w:r w:rsidRPr="00816657">
              <w:rPr>
                <w:sz w:val="16"/>
                <w:szCs w:val="16"/>
              </w:rPr>
              <w:t>10,809</w:t>
            </w:r>
          </w:p>
        </w:tc>
        <w:tc>
          <w:tcPr>
            <w:tcW w:w="675" w:type="dxa"/>
          </w:tcPr>
          <w:p w:rsidR="00F8214A" w:rsidRPr="00816657" w:rsidRDefault="00F8214A" w:rsidP="00DF1E42">
            <w:pPr>
              <w:jc w:val="right"/>
              <w:cnfStyle w:val="000000000000"/>
              <w:rPr>
                <w:sz w:val="16"/>
                <w:szCs w:val="16"/>
              </w:rPr>
            </w:pPr>
            <w:r w:rsidRPr="00816657">
              <w:rPr>
                <w:sz w:val="16"/>
                <w:szCs w:val="16"/>
              </w:rPr>
              <w:t>10,972</w:t>
            </w:r>
          </w:p>
        </w:tc>
        <w:tc>
          <w:tcPr>
            <w:tcW w:w="675" w:type="dxa"/>
          </w:tcPr>
          <w:p w:rsidR="00F8214A" w:rsidRPr="00816657" w:rsidRDefault="00F8214A" w:rsidP="00DF1E42">
            <w:pPr>
              <w:jc w:val="right"/>
              <w:cnfStyle w:val="000000000000"/>
              <w:rPr>
                <w:sz w:val="16"/>
                <w:szCs w:val="16"/>
              </w:rPr>
            </w:pPr>
            <w:r w:rsidRPr="00816657">
              <w:rPr>
                <w:sz w:val="16"/>
                <w:szCs w:val="16"/>
              </w:rPr>
              <w:t>11,136</w:t>
            </w:r>
          </w:p>
        </w:tc>
        <w:tc>
          <w:tcPr>
            <w:tcW w:w="675" w:type="dxa"/>
          </w:tcPr>
          <w:p w:rsidR="00F8214A" w:rsidRPr="00816657" w:rsidRDefault="00F8214A" w:rsidP="00DF1E42">
            <w:pPr>
              <w:jc w:val="right"/>
              <w:cnfStyle w:val="000000000000"/>
              <w:rPr>
                <w:sz w:val="16"/>
                <w:szCs w:val="16"/>
              </w:rPr>
            </w:pPr>
            <w:r w:rsidRPr="00816657">
              <w:rPr>
                <w:sz w:val="16"/>
                <w:szCs w:val="16"/>
              </w:rPr>
              <w:t>11,303</w:t>
            </w:r>
          </w:p>
        </w:tc>
        <w:tc>
          <w:tcPr>
            <w:tcW w:w="675" w:type="dxa"/>
          </w:tcPr>
          <w:p w:rsidR="00F8214A" w:rsidRPr="00816657" w:rsidRDefault="00F8214A" w:rsidP="00DF1E42">
            <w:pPr>
              <w:jc w:val="right"/>
              <w:cnfStyle w:val="000000000000"/>
              <w:rPr>
                <w:sz w:val="16"/>
                <w:szCs w:val="16"/>
              </w:rPr>
            </w:pPr>
            <w:r w:rsidRPr="00816657">
              <w:rPr>
                <w:sz w:val="16"/>
                <w:szCs w:val="16"/>
              </w:rPr>
              <w:t>11,473</w:t>
            </w:r>
          </w:p>
        </w:tc>
      </w:tr>
      <w:tr w:rsidR="00F8214A" w:rsidRPr="00816657" w:rsidTr="00F8214A">
        <w:tc>
          <w:tcPr>
            <w:cnfStyle w:val="001000000000"/>
            <w:tcW w:w="710" w:type="dxa"/>
          </w:tcPr>
          <w:p w:rsidR="00F8214A" w:rsidRPr="00816657" w:rsidRDefault="00F8214A" w:rsidP="00F8214A">
            <w:r w:rsidRPr="00816657">
              <w:t>High</w:t>
            </w:r>
          </w:p>
        </w:tc>
        <w:tc>
          <w:tcPr>
            <w:tcW w:w="567" w:type="dxa"/>
          </w:tcPr>
          <w:p w:rsidR="00F8214A" w:rsidRPr="00816657" w:rsidRDefault="00F8214A" w:rsidP="00F8214A">
            <w:pPr>
              <w:cnfStyle w:val="000000000000"/>
            </w:pPr>
            <w:r w:rsidRPr="00816657">
              <w:t>Tas</w:t>
            </w:r>
          </w:p>
        </w:tc>
        <w:tc>
          <w:tcPr>
            <w:tcW w:w="675" w:type="dxa"/>
          </w:tcPr>
          <w:p w:rsidR="00F8214A" w:rsidRPr="00816657" w:rsidRDefault="00F8214A" w:rsidP="00DF1E42">
            <w:pPr>
              <w:jc w:val="right"/>
              <w:cnfStyle w:val="000000000000"/>
              <w:rPr>
                <w:sz w:val="16"/>
                <w:szCs w:val="16"/>
              </w:rPr>
            </w:pPr>
            <w:r w:rsidRPr="00816657">
              <w:rPr>
                <w:sz w:val="16"/>
                <w:szCs w:val="16"/>
              </w:rPr>
              <w:t>15,153</w:t>
            </w:r>
          </w:p>
        </w:tc>
        <w:tc>
          <w:tcPr>
            <w:tcW w:w="675" w:type="dxa"/>
          </w:tcPr>
          <w:p w:rsidR="00F8214A" w:rsidRPr="00816657" w:rsidRDefault="00F8214A" w:rsidP="00DF1E42">
            <w:pPr>
              <w:jc w:val="right"/>
              <w:cnfStyle w:val="000000000000"/>
              <w:rPr>
                <w:sz w:val="16"/>
                <w:szCs w:val="16"/>
              </w:rPr>
            </w:pPr>
            <w:r w:rsidRPr="00816657">
              <w:rPr>
                <w:sz w:val="16"/>
                <w:szCs w:val="16"/>
              </w:rPr>
              <w:t>15,381</w:t>
            </w:r>
          </w:p>
        </w:tc>
        <w:tc>
          <w:tcPr>
            <w:tcW w:w="675" w:type="dxa"/>
          </w:tcPr>
          <w:p w:rsidR="00F8214A" w:rsidRPr="00816657" w:rsidRDefault="00F8214A" w:rsidP="00DF1E42">
            <w:pPr>
              <w:jc w:val="right"/>
              <w:cnfStyle w:val="000000000000"/>
              <w:rPr>
                <w:sz w:val="16"/>
                <w:szCs w:val="16"/>
              </w:rPr>
            </w:pPr>
            <w:r w:rsidRPr="00816657">
              <w:rPr>
                <w:sz w:val="16"/>
                <w:szCs w:val="16"/>
              </w:rPr>
              <w:t>15,611</w:t>
            </w:r>
          </w:p>
        </w:tc>
        <w:tc>
          <w:tcPr>
            <w:tcW w:w="675" w:type="dxa"/>
          </w:tcPr>
          <w:p w:rsidR="00F8214A" w:rsidRPr="00816657" w:rsidRDefault="00F8214A" w:rsidP="00DF1E42">
            <w:pPr>
              <w:jc w:val="right"/>
              <w:cnfStyle w:val="000000000000"/>
              <w:rPr>
                <w:sz w:val="16"/>
                <w:szCs w:val="16"/>
              </w:rPr>
            </w:pPr>
            <w:r w:rsidRPr="00816657">
              <w:rPr>
                <w:sz w:val="16"/>
                <w:szCs w:val="16"/>
              </w:rPr>
              <w:t>15,845</w:t>
            </w:r>
          </w:p>
        </w:tc>
        <w:tc>
          <w:tcPr>
            <w:tcW w:w="675" w:type="dxa"/>
          </w:tcPr>
          <w:p w:rsidR="00F8214A" w:rsidRPr="00816657" w:rsidRDefault="00F8214A" w:rsidP="00DF1E42">
            <w:pPr>
              <w:jc w:val="right"/>
              <w:cnfStyle w:val="000000000000"/>
              <w:rPr>
                <w:sz w:val="16"/>
                <w:szCs w:val="16"/>
              </w:rPr>
            </w:pPr>
            <w:r w:rsidRPr="00816657">
              <w:rPr>
                <w:sz w:val="16"/>
                <w:szCs w:val="16"/>
              </w:rPr>
              <w:t>16,083</w:t>
            </w:r>
          </w:p>
        </w:tc>
        <w:tc>
          <w:tcPr>
            <w:tcW w:w="675" w:type="dxa"/>
          </w:tcPr>
          <w:p w:rsidR="00F8214A" w:rsidRPr="00816657" w:rsidRDefault="00F8214A" w:rsidP="00DF1E42">
            <w:pPr>
              <w:jc w:val="right"/>
              <w:cnfStyle w:val="000000000000"/>
              <w:rPr>
                <w:sz w:val="16"/>
                <w:szCs w:val="16"/>
              </w:rPr>
            </w:pPr>
            <w:r w:rsidRPr="00816657">
              <w:rPr>
                <w:sz w:val="16"/>
                <w:szCs w:val="16"/>
              </w:rPr>
              <w:t>16,324</w:t>
            </w:r>
          </w:p>
        </w:tc>
        <w:tc>
          <w:tcPr>
            <w:tcW w:w="675" w:type="dxa"/>
          </w:tcPr>
          <w:p w:rsidR="00F8214A" w:rsidRPr="00816657" w:rsidRDefault="00F8214A" w:rsidP="00DF1E42">
            <w:pPr>
              <w:jc w:val="right"/>
              <w:cnfStyle w:val="000000000000"/>
              <w:rPr>
                <w:sz w:val="16"/>
                <w:szCs w:val="16"/>
              </w:rPr>
            </w:pPr>
            <w:r w:rsidRPr="00816657">
              <w:rPr>
                <w:sz w:val="16"/>
                <w:szCs w:val="16"/>
              </w:rPr>
              <w:t>16,569</w:t>
            </w:r>
          </w:p>
        </w:tc>
        <w:tc>
          <w:tcPr>
            <w:tcW w:w="675" w:type="dxa"/>
          </w:tcPr>
          <w:p w:rsidR="00F8214A" w:rsidRPr="00816657" w:rsidRDefault="00F8214A" w:rsidP="00DF1E42">
            <w:pPr>
              <w:jc w:val="right"/>
              <w:cnfStyle w:val="000000000000"/>
              <w:rPr>
                <w:sz w:val="16"/>
                <w:szCs w:val="16"/>
              </w:rPr>
            </w:pPr>
            <w:r w:rsidRPr="00816657">
              <w:rPr>
                <w:sz w:val="16"/>
                <w:szCs w:val="16"/>
              </w:rPr>
              <w:t>16,818</w:t>
            </w:r>
          </w:p>
        </w:tc>
        <w:tc>
          <w:tcPr>
            <w:tcW w:w="675" w:type="dxa"/>
          </w:tcPr>
          <w:p w:rsidR="00F8214A" w:rsidRPr="00816657" w:rsidRDefault="00F8214A" w:rsidP="00DF1E42">
            <w:pPr>
              <w:jc w:val="right"/>
              <w:cnfStyle w:val="000000000000"/>
              <w:rPr>
                <w:sz w:val="16"/>
                <w:szCs w:val="16"/>
              </w:rPr>
            </w:pPr>
            <w:r w:rsidRPr="00816657">
              <w:rPr>
                <w:sz w:val="16"/>
                <w:szCs w:val="16"/>
              </w:rPr>
              <w:t>17,070</w:t>
            </w:r>
          </w:p>
        </w:tc>
        <w:tc>
          <w:tcPr>
            <w:tcW w:w="675" w:type="dxa"/>
          </w:tcPr>
          <w:p w:rsidR="00F8214A" w:rsidRPr="00816657" w:rsidRDefault="00F8214A" w:rsidP="00DF1E42">
            <w:pPr>
              <w:jc w:val="right"/>
              <w:cnfStyle w:val="000000000000"/>
              <w:rPr>
                <w:sz w:val="16"/>
                <w:szCs w:val="16"/>
              </w:rPr>
            </w:pPr>
            <w:r w:rsidRPr="00816657">
              <w:rPr>
                <w:sz w:val="16"/>
                <w:szCs w:val="16"/>
              </w:rPr>
              <w:t>17,326</w:t>
            </w:r>
          </w:p>
        </w:tc>
        <w:tc>
          <w:tcPr>
            <w:tcW w:w="675" w:type="dxa"/>
          </w:tcPr>
          <w:p w:rsidR="00F8214A" w:rsidRPr="00816657" w:rsidRDefault="00F8214A" w:rsidP="00DF1E42">
            <w:pPr>
              <w:jc w:val="right"/>
              <w:cnfStyle w:val="000000000000"/>
              <w:rPr>
                <w:sz w:val="16"/>
                <w:szCs w:val="16"/>
              </w:rPr>
            </w:pPr>
            <w:r w:rsidRPr="00816657">
              <w:rPr>
                <w:sz w:val="16"/>
                <w:szCs w:val="16"/>
              </w:rPr>
              <w:t>17,586</w:t>
            </w:r>
          </w:p>
        </w:tc>
        <w:tc>
          <w:tcPr>
            <w:tcW w:w="675" w:type="dxa"/>
          </w:tcPr>
          <w:p w:rsidR="00F8214A" w:rsidRPr="00816657" w:rsidRDefault="00F8214A" w:rsidP="00DF1E42">
            <w:pPr>
              <w:jc w:val="right"/>
              <w:cnfStyle w:val="000000000000"/>
              <w:rPr>
                <w:sz w:val="16"/>
                <w:szCs w:val="16"/>
              </w:rPr>
            </w:pPr>
            <w:r w:rsidRPr="00816657">
              <w:rPr>
                <w:sz w:val="16"/>
                <w:szCs w:val="16"/>
              </w:rPr>
              <w:t>17,850</w:t>
            </w:r>
          </w:p>
        </w:tc>
        <w:tc>
          <w:tcPr>
            <w:tcW w:w="675" w:type="dxa"/>
          </w:tcPr>
          <w:p w:rsidR="00F8214A" w:rsidRPr="00816657" w:rsidRDefault="00F8214A" w:rsidP="00DF1E42">
            <w:pPr>
              <w:jc w:val="right"/>
              <w:cnfStyle w:val="000000000000"/>
              <w:rPr>
                <w:sz w:val="16"/>
                <w:szCs w:val="16"/>
              </w:rPr>
            </w:pPr>
            <w:r w:rsidRPr="00816657">
              <w:rPr>
                <w:sz w:val="16"/>
                <w:szCs w:val="16"/>
              </w:rPr>
              <w:t>18,117</w:t>
            </w:r>
          </w:p>
        </w:tc>
        <w:tc>
          <w:tcPr>
            <w:tcW w:w="675" w:type="dxa"/>
          </w:tcPr>
          <w:p w:rsidR="00F8214A" w:rsidRPr="00816657" w:rsidRDefault="00F8214A" w:rsidP="00DF1E42">
            <w:pPr>
              <w:jc w:val="right"/>
              <w:cnfStyle w:val="000000000000"/>
              <w:rPr>
                <w:sz w:val="16"/>
                <w:szCs w:val="16"/>
              </w:rPr>
            </w:pPr>
            <w:r w:rsidRPr="00816657">
              <w:rPr>
                <w:sz w:val="16"/>
                <w:szCs w:val="16"/>
              </w:rPr>
              <w:t>18,389</w:t>
            </w:r>
          </w:p>
        </w:tc>
        <w:tc>
          <w:tcPr>
            <w:tcW w:w="675" w:type="dxa"/>
          </w:tcPr>
          <w:p w:rsidR="00F8214A" w:rsidRPr="00816657" w:rsidRDefault="00F8214A" w:rsidP="00DF1E42">
            <w:pPr>
              <w:jc w:val="right"/>
              <w:cnfStyle w:val="000000000000"/>
              <w:rPr>
                <w:sz w:val="16"/>
                <w:szCs w:val="16"/>
              </w:rPr>
            </w:pPr>
            <w:r w:rsidRPr="00816657">
              <w:rPr>
                <w:sz w:val="16"/>
                <w:szCs w:val="16"/>
              </w:rPr>
              <w:t>18,665</w:t>
            </w:r>
          </w:p>
        </w:tc>
        <w:tc>
          <w:tcPr>
            <w:tcW w:w="675" w:type="dxa"/>
          </w:tcPr>
          <w:p w:rsidR="00F8214A" w:rsidRPr="00816657" w:rsidRDefault="00F8214A" w:rsidP="00DF1E42">
            <w:pPr>
              <w:jc w:val="right"/>
              <w:cnfStyle w:val="000000000000"/>
              <w:rPr>
                <w:sz w:val="16"/>
                <w:szCs w:val="16"/>
              </w:rPr>
            </w:pPr>
            <w:r w:rsidRPr="00816657">
              <w:rPr>
                <w:sz w:val="16"/>
                <w:szCs w:val="16"/>
              </w:rPr>
              <w:t>18,945</w:t>
            </w:r>
          </w:p>
        </w:tc>
        <w:tc>
          <w:tcPr>
            <w:tcW w:w="675" w:type="dxa"/>
          </w:tcPr>
          <w:p w:rsidR="00F8214A" w:rsidRPr="00816657" w:rsidRDefault="00F8214A" w:rsidP="00DF1E42">
            <w:pPr>
              <w:jc w:val="right"/>
              <w:cnfStyle w:val="000000000000"/>
              <w:rPr>
                <w:sz w:val="16"/>
                <w:szCs w:val="16"/>
              </w:rPr>
            </w:pPr>
            <w:r w:rsidRPr="00816657">
              <w:rPr>
                <w:sz w:val="16"/>
                <w:szCs w:val="16"/>
              </w:rPr>
              <w:t>19,229</w:t>
            </w:r>
          </w:p>
        </w:tc>
        <w:tc>
          <w:tcPr>
            <w:tcW w:w="675" w:type="dxa"/>
          </w:tcPr>
          <w:p w:rsidR="00F8214A" w:rsidRPr="00816657" w:rsidRDefault="00F8214A" w:rsidP="00DF1E42">
            <w:pPr>
              <w:jc w:val="right"/>
              <w:cnfStyle w:val="000000000000"/>
              <w:rPr>
                <w:sz w:val="16"/>
                <w:szCs w:val="16"/>
              </w:rPr>
            </w:pPr>
            <w:r w:rsidRPr="00816657">
              <w:rPr>
                <w:sz w:val="16"/>
                <w:szCs w:val="16"/>
              </w:rPr>
              <w:t>19,518</w:t>
            </w:r>
          </w:p>
        </w:tc>
        <w:tc>
          <w:tcPr>
            <w:tcW w:w="675" w:type="dxa"/>
          </w:tcPr>
          <w:p w:rsidR="00F8214A" w:rsidRPr="00816657" w:rsidRDefault="00F8214A" w:rsidP="00DF1E42">
            <w:pPr>
              <w:jc w:val="right"/>
              <w:cnfStyle w:val="000000000000"/>
              <w:rPr>
                <w:sz w:val="16"/>
                <w:szCs w:val="16"/>
              </w:rPr>
            </w:pPr>
            <w:r w:rsidRPr="00816657">
              <w:rPr>
                <w:sz w:val="16"/>
                <w:szCs w:val="16"/>
              </w:rPr>
              <w:t>19,810</w:t>
            </w:r>
          </w:p>
        </w:tc>
        <w:tc>
          <w:tcPr>
            <w:tcW w:w="675" w:type="dxa"/>
          </w:tcPr>
          <w:p w:rsidR="00F8214A" w:rsidRPr="00816657" w:rsidRDefault="00F8214A" w:rsidP="00DF1E42">
            <w:pPr>
              <w:jc w:val="right"/>
              <w:cnfStyle w:val="000000000000"/>
              <w:rPr>
                <w:sz w:val="16"/>
                <w:szCs w:val="16"/>
              </w:rPr>
            </w:pPr>
            <w:r w:rsidRPr="00816657">
              <w:rPr>
                <w:sz w:val="16"/>
                <w:szCs w:val="16"/>
              </w:rPr>
              <w:t>20,108</w:t>
            </w:r>
          </w:p>
        </w:tc>
        <w:tc>
          <w:tcPr>
            <w:tcW w:w="675" w:type="dxa"/>
          </w:tcPr>
          <w:p w:rsidR="00F8214A" w:rsidRPr="00816657" w:rsidRDefault="00F8214A" w:rsidP="00DF1E42">
            <w:pPr>
              <w:jc w:val="right"/>
              <w:cnfStyle w:val="000000000000"/>
              <w:rPr>
                <w:sz w:val="16"/>
                <w:szCs w:val="16"/>
              </w:rPr>
            </w:pPr>
            <w:r w:rsidRPr="00816657">
              <w:rPr>
                <w:sz w:val="16"/>
                <w:szCs w:val="16"/>
              </w:rPr>
              <w:t>20,409</w:t>
            </w:r>
          </w:p>
        </w:tc>
      </w:tr>
      <w:tr w:rsidR="00F8214A" w:rsidRPr="00816657" w:rsidTr="00F8214A">
        <w:tc>
          <w:tcPr>
            <w:cnfStyle w:val="001000000000"/>
            <w:tcW w:w="710" w:type="dxa"/>
          </w:tcPr>
          <w:p w:rsidR="00F8214A" w:rsidRPr="00816657" w:rsidRDefault="00F8214A" w:rsidP="00F8214A">
            <w:r w:rsidRPr="00816657">
              <w:t>High</w:t>
            </w:r>
          </w:p>
        </w:tc>
        <w:tc>
          <w:tcPr>
            <w:tcW w:w="567" w:type="dxa"/>
          </w:tcPr>
          <w:p w:rsidR="00F8214A" w:rsidRPr="00816657" w:rsidRDefault="00F8214A" w:rsidP="00F8214A">
            <w:pPr>
              <w:cnfStyle w:val="000000000000"/>
            </w:pPr>
            <w:r w:rsidRPr="00816657">
              <w:t>Vic</w:t>
            </w:r>
          </w:p>
        </w:tc>
        <w:tc>
          <w:tcPr>
            <w:tcW w:w="675" w:type="dxa"/>
          </w:tcPr>
          <w:p w:rsidR="00F8214A" w:rsidRPr="00816657" w:rsidRDefault="00F8214A" w:rsidP="00DF1E42">
            <w:pPr>
              <w:jc w:val="right"/>
              <w:cnfStyle w:val="000000000000"/>
              <w:rPr>
                <w:sz w:val="16"/>
                <w:szCs w:val="16"/>
              </w:rPr>
            </w:pPr>
            <w:r w:rsidRPr="00816657">
              <w:rPr>
                <w:sz w:val="16"/>
                <w:szCs w:val="16"/>
              </w:rPr>
              <w:t>285,865</w:t>
            </w:r>
          </w:p>
        </w:tc>
        <w:tc>
          <w:tcPr>
            <w:tcW w:w="675" w:type="dxa"/>
          </w:tcPr>
          <w:p w:rsidR="00F8214A" w:rsidRPr="00816657" w:rsidRDefault="00F8214A" w:rsidP="00DF1E42">
            <w:pPr>
              <w:jc w:val="right"/>
              <w:cnfStyle w:val="000000000000"/>
              <w:rPr>
                <w:sz w:val="16"/>
                <w:szCs w:val="16"/>
              </w:rPr>
            </w:pPr>
            <w:r w:rsidRPr="00816657">
              <w:rPr>
                <w:sz w:val="16"/>
                <w:szCs w:val="16"/>
              </w:rPr>
              <w:t>290,153</w:t>
            </w:r>
          </w:p>
        </w:tc>
        <w:tc>
          <w:tcPr>
            <w:tcW w:w="675" w:type="dxa"/>
          </w:tcPr>
          <w:p w:rsidR="00F8214A" w:rsidRPr="00816657" w:rsidRDefault="00F8214A" w:rsidP="00DF1E42">
            <w:pPr>
              <w:jc w:val="right"/>
              <w:cnfStyle w:val="000000000000"/>
              <w:rPr>
                <w:sz w:val="16"/>
                <w:szCs w:val="16"/>
              </w:rPr>
            </w:pPr>
            <w:r w:rsidRPr="00816657">
              <w:rPr>
                <w:sz w:val="16"/>
                <w:szCs w:val="16"/>
              </w:rPr>
              <w:t>294,506</w:t>
            </w:r>
          </w:p>
        </w:tc>
        <w:tc>
          <w:tcPr>
            <w:tcW w:w="675" w:type="dxa"/>
          </w:tcPr>
          <w:p w:rsidR="00F8214A" w:rsidRPr="00816657" w:rsidRDefault="00F8214A" w:rsidP="00DF1E42">
            <w:pPr>
              <w:jc w:val="right"/>
              <w:cnfStyle w:val="000000000000"/>
              <w:rPr>
                <w:sz w:val="16"/>
                <w:szCs w:val="16"/>
              </w:rPr>
            </w:pPr>
            <w:r w:rsidRPr="00816657">
              <w:rPr>
                <w:sz w:val="16"/>
                <w:szCs w:val="16"/>
              </w:rPr>
              <w:t>298,923</w:t>
            </w:r>
          </w:p>
        </w:tc>
        <w:tc>
          <w:tcPr>
            <w:tcW w:w="675" w:type="dxa"/>
          </w:tcPr>
          <w:p w:rsidR="00F8214A" w:rsidRPr="00816657" w:rsidRDefault="00F8214A" w:rsidP="00DF1E42">
            <w:pPr>
              <w:jc w:val="right"/>
              <w:cnfStyle w:val="000000000000"/>
              <w:rPr>
                <w:sz w:val="16"/>
                <w:szCs w:val="16"/>
              </w:rPr>
            </w:pPr>
            <w:r w:rsidRPr="00816657">
              <w:rPr>
                <w:sz w:val="16"/>
                <w:szCs w:val="16"/>
              </w:rPr>
              <w:t>303,407</w:t>
            </w:r>
          </w:p>
        </w:tc>
        <w:tc>
          <w:tcPr>
            <w:tcW w:w="675" w:type="dxa"/>
          </w:tcPr>
          <w:p w:rsidR="00F8214A" w:rsidRPr="00816657" w:rsidRDefault="00F8214A" w:rsidP="00DF1E42">
            <w:pPr>
              <w:jc w:val="right"/>
              <w:cnfStyle w:val="000000000000"/>
              <w:rPr>
                <w:sz w:val="16"/>
                <w:szCs w:val="16"/>
              </w:rPr>
            </w:pPr>
            <w:r w:rsidRPr="00816657">
              <w:rPr>
                <w:sz w:val="16"/>
                <w:szCs w:val="16"/>
              </w:rPr>
              <w:t>307,958</w:t>
            </w:r>
          </w:p>
        </w:tc>
        <w:tc>
          <w:tcPr>
            <w:tcW w:w="675" w:type="dxa"/>
          </w:tcPr>
          <w:p w:rsidR="00F8214A" w:rsidRPr="00816657" w:rsidRDefault="00F8214A" w:rsidP="00DF1E42">
            <w:pPr>
              <w:jc w:val="right"/>
              <w:cnfStyle w:val="000000000000"/>
              <w:rPr>
                <w:sz w:val="16"/>
                <w:szCs w:val="16"/>
              </w:rPr>
            </w:pPr>
            <w:r w:rsidRPr="00816657">
              <w:rPr>
                <w:sz w:val="16"/>
                <w:szCs w:val="16"/>
              </w:rPr>
              <w:t>312,577</w:t>
            </w:r>
          </w:p>
        </w:tc>
        <w:tc>
          <w:tcPr>
            <w:tcW w:w="675" w:type="dxa"/>
          </w:tcPr>
          <w:p w:rsidR="00F8214A" w:rsidRPr="00816657" w:rsidRDefault="00F8214A" w:rsidP="00DF1E42">
            <w:pPr>
              <w:jc w:val="right"/>
              <w:cnfStyle w:val="000000000000"/>
              <w:rPr>
                <w:sz w:val="16"/>
                <w:szCs w:val="16"/>
              </w:rPr>
            </w:pPr>
            <w:r w:rsidRPr="00816657">
              <w:rPr>
                <w:sz w:val="16"/>
                <w:szCs w:val="16"/>
              </w:rPr>
              <w:t>317,266</w:t>
            </w:r>
          </w:p>
        </w:tc>
        <w:tc>
          <w:tcPr>
            <w:tcW w:w="675" w:type="dxa"/>
          </w:tcPr>
          <w:p w:rsidR="00F8214A" w:rsidRPr="00816657" w:rsidRDefault="00F8214A" w:rsidP="00DF1E42">
            <w:pPr>
              <w:jc w:val="right"/>
              <w:cnfStyle w:val="000000000000"/>
              <w:rPr>
                <w:sz w:val="16"/>
                <w:szCs w:val="16"/>
              </w:rPr>
            </w:pPr>
            <w:r w:rsidRPr="00816657">
              <w:rPr>
                <w:sz w:val="16"/>
                <w:szCs w:val="16"/>
              </w:rPr>
              <w:t>322,025</w:t>
            </w:r>
          </w:p>
        </w:tc>
        <w:tc>
          <w:tcPr>
            <w:tcW w:w="675" w:type="dxa"/>
          </w:tcPr>
          <w:p w:rsidR="00F8214A" w:rsidRPr="00816657" w:rsidRDefault="00F8214A" w:rsidP="00DF1E42">
            <w:pPr>
              <w:jc w:val="right"/>
              <w:cnfStyle w:val="000000000000"/>
              <w:rPr>
                <w:sz w:val="16"/>
                <w:szCs w:val="16"/>
              </w:rPr>
            </w:pPr>
            <w:r w:rsidRPr="00816657">
              <w:rPr>
                <w:sz w:val="16"/>
                <w:szCs w:val="16"/>
              </w:rPr>
              <w:t>326,855</w:t>
            </w:r>
          </w:p>
        </w:tc>
        <w:tc>
          <w:tcPr>
            <w:tcW w:w="675" w:type="dxa"/>
          </w:tcPr>
          <w:p w:rsidR="00F8214A" w:rsidRPr="00816657" w:rsidRDefault="00F8214A" w:rsidP="00DF1E42">
            <w:pPr>
              <w:jc w:val="right"/>
              <w:cnfStyle w:val="000000000000"/>
              <w:rPr>
                <w:sz w:val="16"/>
                <w:szCs w:val="16"/>
              </w:rPr>
            </w:pPr>
            <w:r w:rsidRPr="00816657">
              <w:rPr>
                <w:sz w:val="16"/>
                <w:szCs w:val="16"/>
              </w:rPr>
              <w:t>331,758</w:t>
            </w:r>
          </w:p>
        </w:tc>
        <w:tc>
          <w:tcPr>
            <w:tcW w:w="675" w:type="dxa"/>
          </w:tcPr>
          <w:p w:rsidR="00F8214A" w:rsidRPr="00816657" w:rsidRDefault="00F8214A" w:rsidP="00DF1E42">
            <w:pPr>
              <w:jc w:val="right"/>
              <w:cnfStyle w:val="000000000000"/>
              <w:rPr>
                <w:sz w:val="16"/>
                <w:szCs w:val="16"/>
              </w:rPr>
            </w:pPr>
            <w:r w:rsidRPr="00816657">
              <w:rPr>
                <w:sz w:val="16"/>
                <w:szCs w:val="16"/>
              </w:rPr>
              <w:t>336,735</w:t>
            </w:r>
          </w:p>
        </w:tc>
        <w:tc>
          <w:tcPr>
            <w:tcW w:w="675" w:type="dxa"/>
          </w:tcPr>
          <w:p w:rsidR="00F8214A" w:rsidRPr="00816657" w:rsidRDefault="00F8214A" w:rsidP="00DF1E42">
            <w:pPr>
              <w:jc w:val="right"/>
              <w:cnfStyle w:val="000000000000"/>
              <w:rPr>
                <w:sz w:val="16"/>
                <w:szCs w:val="16"/>
              </w:rPr>
            </w:pPr>
            <w:r w:rsidRPr="00816657">
              <w:rPr>
                <w:sz w:val="16"/>
                <w:szCs w:val="16"/>
              </w:rPr>
              <w:t>341,786</w:t>
            </w:r>
          </w:p>
        </w:tc>
        <w:tc>
          <w:tcPr>
            <w:tcW w:w="675" w:type="dxa"/>
          </w:tcPr>
          <w:p w:rsidR="00F8214A" w:rsidRPr="00816657" w:rsidRDefault="00F8214A" w:rsidP="00DF1E42">
            <w:pPr>
              <w:jc w:val="right"/>
              <w:cnfStyle w:val="000000000000"/>
              <w:rPr>
                <w:sz w:val="16"/>
                <w:szCs w:val="16"/>
              </w:rPr>
            </w:pPr>
            <w:r w:rsidRPr="00816657">
              <w:rPr>
                <w:sz w:val="16"/>
                <w:szCs w:val="16"/>
              </w:rPr>
              <w:t>346,912</w:t>
            </w:r>
          </w:p>
        </w:tc>
        <w:tc>
          <w:tcPr>
            <w:tcW w:w="675" w:type="dxa"/>
          </w:tcPr>
          <w:p w:rsidR="00F8214A" w:rsidRPr="00816657" w:rsidRDefault="00F8214A" w:rsidP="00DF1E42">
            <w:pPr>
              <w:jc w:val="right"/>
              <w:cnfStyle w:val="000000000000"/>
              <w:rPr>
                <w:sz w:val="16"/>
                <w:szCs w:val="16"/>
              </w:rPr>
            </w:pPr>
            <w:r w:rsidRPr="00816657">
              <w:rPr>
                <w:sz w:val="16"/>
                <w:szCs w:val="16"/>
              </w:rPr>
              <w:t>352,116</w:t>
            </w:r>
          </w:p>
        </w:tc>
        <w:tc>
          <w:tcPr>
            <w:tcW w:w="675" w:type="dxa"/>
          </w:tcPr>
          <w:p w:rsidR="00F8214A" w:rsidRPr="00816657" w:rsidRDefault="00F8214A" w:rsidP="00DF1E42">
            <w:pPr>
              <w:jc w:val="right"/>
              <w:cnfStyle w:val="000000000000"/>
              <w:rPr>
                <w:sz w:val="16"/>
                <w:szCs w:val="16"/>
              </w:rPr>
            </w:pPr>
            <w:r w:rsidRPr="00816657">
              <w:rPr>
                <w:sz w:val="16"/>
                <w:szCs w:val="16"/>
              </w:rPr>
              <w:t>357,398</w:t>
            </w:r>
          </w:p>
        </w:tc>
        <w:tc>
          <w:tcPr>
            <w:tcW w:w="675" w:type="dxa"/>
          </w:tcPr>
          <w:p w:rsidR="00F8214A" w:rsidRPr="00816657" w:rsidRDefault="00F8214A" w:rsidP="00DF1E42">
            <w:pPr>
              <w:jc w:val="right"/>
              <w:cnfStyle w:val="000000000000"/>
              <w:rPr>
                <w:sz w:val="16"/>
                <w:szCs w:val="16"/>
              </w:rPr>
            </w:pPr>
            <w:r w:rsidRPr="00816657">
              <w:rPr>
                <w:sz w:val="16"/>
                <w:szCs w:val="16"/>
              </w:rPr>
              <w:t>362,759</w:t>
            </w:r>
          </w:p>
        </w:tc>
        <w:tc>
          <w:tcPr>
            <w:tcW w:w="675" w:type="dxa"/>
          </w:tcPr>
          <w:p w:rsidR="00F8214A" w:rsidRPr="00816657" w:rsidRDefault="00F8214A" w:rsidP="00DF1E42">
            <w:pPr>
              <w:jc w:val="right"/>
              <w:cnfStyle w:val="000000000000"/>
              <w:rPr>
                <w:sz w:val="16"/>
                <w:szCs w:val="16"/>
              </w:rPr>
            </w:pPr>
            <w:r w:rsidRPr="00816657">
              <w:rPr>
                <w:sz w:val="16"/>
                <w:szCs w:val="16"/>
              </w:rPr>
              <w:t>368,200</w:t>
            </w:r>
          </w:p>
        </w:tc>
        <w:tc>
          <w:tcPr>
            <w:tcW w:w="675" w:type="dxa"/>
          </w:tcPr>
          <w:p w:rsidR="00F8214A" w:rsidRPr="00816657" w:rsidRDefault="00F8214A" w:rsidP="00DF1E42">
            <w:pPr>
              <w:jc w:val="right"/>
              <w:cnfStyle w:val="000000000000"/>
              <w:rPr>
                <w:sz w:val="16"/>
                <w:szCs w:val="16"/>
              </w:rPr>
            </w:pPr>
            <w:r w:rsidRPr="00816657">
              <w:rPr>
                <w:sz w:val="16"/>
                <w:szCs w:val="16"/>
              </w:rPr>
              <w:t>373,723</w:t>
            </w:r>
          </w:p>
        </w:tc>
        <w:tc>
          <w:tcPr>
            <w:tcW w:w="675" w:type="dxa"/>
          </w:tcPr>
          <w:p w:rsidR="00F8214A" w:rsidRPr="00816657" w:rsidRDefault="00F8214A" w:rsidP="00DF1E42">
            <w:pPr>
              <w:jc w:val="right"/>
              <w:cnfStyle w:val="000000000000"/>
              <w:rPr>
                <w:sz w:val="16"/>
                <w:szCs w:val="16"/>
              </w:rPr>
            </w:pPr>
            <w:r w:rsidRPr="00816657">
              <w:rPr>
                <w:sz w:val="16"/>
                <w:szCs w:val="16"/>
              </w:rPr>
              <w:t>379,329</w:t>
            </w:r>
          </w:p>
        </w:tc>
        <w:tc>
          <w:tcPr>
            <w:tcW w:w="675" w:type="dxa"/>
          </w:tcPr>
          <w:p w:rsidR="00F8214A" w:rsidRPr="00816657" w:rsidRDefault="00F8214A" w:rsidP="00DF1E42">
            <w:pPr>
              <w:jc w:val="right"/>
              <w:cnfStyle w:val="000000000000"/>
              <w:rPr>
                <w:sz w:val="16"/>
                <w:szCs w:val="16"/>
              </w:rPr>
            </w:pPr>
            <w:r w:rsidRPr="00816657">
              <w:rPr>
                <w:sz w:val="16"/>
                <w:szCs w:val="16"/>
              </w:rPr>
              <w:t>385,019</w:t>
            </w:r>
          </w:p>
        </w:tc>
      </w:tr>
      <w:tr w:rsidR="00F8214A" w:rsidRPr="00816657" w:rsidTr="00EA7F18">
        <w:tc>
          <w:tcPr>
            <w:cnfStyle w:val="001000000000"/>
            <w:tcW w:w="710" w:type="dxa"/>
            <w:tcBorders>
              <w:bottom w:val="single" w:sz="12" w:space="0" w:color="auto"/>
            </w:tcBorders>
          </w:tcPr>
          <w:p w:rsidR="00F8214A" w:rsidRPr="00816657" w:rsidRDefault="00F8214A" w:rsidP="00F8214A">
            <w:r w:rsidRPr="00816657">
              <w:t>High</w:t>
            </w:r>
          </w:p>
        </w:tc>
        <w:tc>
          <w:tcPr>
            <w:tcW w:w="567" w:type="dxa"/>
            <w:tcBorders>
              <w:bottom w:val="single" w:sz="12" w:space="0" w:color="auto"/>
            </w:tcBorders>
          </w:tcPr>
          <w:p w:rsidR="00F8214A" w:rsidRPr="00816657" w:rsidRDefault="00F8214A" w:rsidP="00F8214A">
            <w:pPr>
              <w:cnfStyle w:val="000000000000"/>
            </w:pPr>
            <w:r w:rsidRPr="00816657">
              <w:t>WA</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25,139</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25,516</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25,899</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26,287</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26,682</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27,082</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27,488</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27,900</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28,319</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28,744</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29,175</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29,612</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30,057</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30,508</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30,965</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31,430</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31,901</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32,380</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32,865</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33,358</w:t>
            </w:r>
          </w:p>
        </w:tc>
        <w:tc>
          <w:tcPr>
            <w:tcW w:w="675" w:type="dxa"/>
            <w:tcBorders>
              <w:bottom w:val="single" w:sz="12" w:space="0" w:color="auto"/>
            </w:tcBorders>
          </w:tcPr>
          <w:p w:rsidR="00F8214A" w:rsidRPr="00816657" w:rsidRDefault="00F8214A" w:rsidP="00DF1E42">
            <w:pPr>
              <w:jc w:val="right"/>
              <w:cnfStyle w:val="000000000000"/>
              <w:rPr>
                <w:sz w:val="16"/>
                <w:szCs w:val="16"/>
              </w:rPr>
            </w:pPr>
            <w:r w:rsidRPr="00816657">
              <w:rPr>
                <w:sz w:val="16"/>
                <w:szCs w:val="16"/>
              </w:rPr>
              <w:t>33,859</w:t>
            </w:r>
          </w:p>
        </w:tc>
      </w:tr>
      <w:tr w:rsidR="00F8214A" w:rsidRPr="00816657" w:rsidTr="00EA7F18">
        <w:tc>
          <w:tcPr>
            <w:cnfStyle w:val="001000000000"/>
            <w:tcW w:w="710" w:type="dxa"/>
            <w:tcBorders>
              <w:top w:val="single" w:sz="12" w:space="0" w:color="auto"/>
            </w:tcBorders>
          </w:tcPr>
          <w:p w:rsidR="00F8214A" w:rsidRPr="00816657" w:rsidRDefault="00F8214A" w:rsidP="00F8214A">
            <w:r w:rsidRPr="00816657">
              <w:t>Low</w:t>
            </w:r>
          </w:p>
        </w:tc>
        <w:tc>
          <w:tcPr>
            <w:tcW w:w="567" w:type="dxa"/>
            <w:tcBorders>
              <w:top w:val="single" w:sz="12" w:space="0" w:color="auto"/>
            </w:tcBorders>
          </w:tcPr>
          <w:p w:rsidR="00F8214A" w:rsidRPr="00816657" w:rsidRDefault="00F8214A" w:rsidP="00F8214A">
            <w:pPr>
              <w:cnfStyle w:val="000000000000"/>
            </w:pPr>
            <w:r w:rsidRPr="00816657">
              <w:t>ACT</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1,572</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1,540</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1,509</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1,479</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1,450</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1,421</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1,392</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1,364</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1,337</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1,310</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1,284</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1,258</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1,233</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1,209</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1,184</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1,161</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1,138</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1,115</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1,092</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1,071</w:t>
            </w:r>
          </w:p>
        </w:tc>
        <w:tc>
          <w:tcPr>
            <w:tcW w:w="675" w:type="dxa"/>
            <w:tcBorders>
              <w:top w:val="single" w:sz="12" w:space="0" w:color="auto"/>
            </w:tcBorders>
          </w:tcPr>
          <w:p w:rsidR="00F8214A" w:rsidRPr="00816657" w:rsidRDefault="00F8214A" w:rsidP="00DF1E42">
            <w:pPr>
              <w:jc w:val="right"/>
              <w:cnfStyle w:val="000000000000"/>
              <w:rPr>
                <w:sz w:val="16"/>
                <w:szCs w:val="16"/>
              </w:rPr>
            </w:pPr>
            <w:r w:rsidRPr="00816657">
              <w:rPr>
                <w:sz w:val="16"/>
                <w:szCs w:val="16"/>
              </w:rPr>
              <w:t>1,049</w:t>
            </w:r>
          </w:p>
        </w:tc>
      </w:tr>
      <w:tr w:rsidR="00F8214A" w:rsidRPr="00816657" w:rsidTr="00F8214A">
        <w:tc>
          <w:tcPr>
            <w:cnfStyle w:val="001000000000"/>
            <w:tcW w:w="710" w:type="dxa"/>
          </w:tcPr>
          <w:p w:rsidR="00F8214A" w:rsidRPr="00816657" w:rsidRDefault="00F8214A" w:rsidP="00F8214A">
            <w:r w:rsidRPr="00816657">
              <w:t>Low</w:t>
            </w:r>
          </w:p>
        </w:tc>
        <w:tc>
          <w:tcPr>
            <w:tcW w:w="567" w:type="dxa"/>
          </w:tcPr>
          <w:p w:rsidR="00F8214A" w:rsidRPr="00816657" w:rsidRDefault="00F8214A" w:rsidP="00F8214A">
            <w:pPr>
              <w:cnfStyle w:val="000000000000"/>
            </w:pPr>
            <w:r w:rsidRPr="00816657">
              <w:t>NSW</w:t>
            </w:r>
          </w:p>
        </w:tc>
        <w:tc>
          <w:tcPr>
            <w:tcW w:w="675" w:type="dxa"/>
          </w:tcPr>
          <w:p w:rsidR="00F8214A" w:rsidRPr="00816657" w:rsidRDefault="00F8214A" w:rsidP="00DF1E42">
            <w:pPr>
              <w:jc w:val="right"/>
              <w:cnfStyle w:val="000000000000"/>
              <w:rPr>
                <w:sz w:val="16"/>
                <w:szCs w:val="16"/>
              </w:rPr>
            </w:pPr>
            <w:r w:rsidRPr="00816657">
              <w:rPr>
                <w:sz w:val="16"/>
                <w:szCs w:val="16"/>
              </w:rPr>
              <w:t>46,676</w:t>
            </w:r>
          </w:p>
        </w:tc>
        <w:tc>
          <w:tcPr>
            <w:tcW w:w="675" w:type="dxa"/>
          </w:tcPr>
          <w:p w:rsidR="00F8214A" w:rsidRPr="00816657" w:rsidRDefault="00F8214A" w:rsidP="00DF1E42">
            <w:pPr>
              <w:jc w:val="right"/>
              <w:cnfStyle w:val="000000000000"/>
              <w:rPr>
                <w:sz w:val="16"/>
                <w:szCs w:val="16"/>
              </w:rPr>
            </w:pPr>
            <w:r w:rsidRPr="00816657">
              <w:rPr>
                <w:sz w:val="16"/>
                <w:szCs w:val="16"/>
              </w:rPr>
              <w:t>45,742</w:t>
            </w:r>
          </w:p>
        </w:tc>
        <w:tc>
          <w:tcPr>
            <w:tcW w:w="675" w:type="dxa"/>
          </w:tcPr>
          <w:p w:rsidR="00F8214A" w:rsidRPr="00816657" w:rsidRDefault="00F8214A" w:rsidP="00DF1E42">
            <w:pPr>
              <w:jc w:val="right"/>
              <w:cnfStyle w:val="000000000000"/>
              <w:rPr>
                <w:sz w:val="16"/>
                <w:szCs w:val="16"/>
              </w:rPr>
            </w:pPr>
            <w:r w:rsidRPr="00816657">
              <w:rPr>
                <w:sz w:val="16"/>
                <w:szCs w:val="16"/>
              </w:rPr>
              <w:t>44,827</w:t>
            </w:r>
          </w:p>
        </w:tc>
        <w:tc>
          <w:tcPr>
            <w:tcW w:w="675" w:type="dxa"/>
          </w:tcPr>
          <w:p w:rsidR="00F8214A" w:rsidRPr="00816657" w:rsidRDefault="00F8214A" w:rsidP="00DF1E42">
            <w:pPr>
              <w:jc w:val="right"/>
              <w:cnfStyle w:val="000000000000"/>
              <w:rPr>
                <w:sz w:val="16"/>
                <w:szCs w:val="16"/>
              </w:rPr>
            </w:pPr>
            <w:r w:rsidRPr="00816657">
              <w:rPr>
                <w:sz w:val="16"/>
                <w:szCs w:val="16"/>
              </w:rPr>
              <w:t>43,931</w:t>
            </w:r>
          </w:p>
        </w:tc>
        <w:tc>
          <w:tcPr>
            <w:tcW w:w="675" w:type="dxa"/>
          </w:tcPr>
          <w:p w:rsidR="00F8214A" w:rsidRPr="00816657" w:rsidRDefault="00F8214A" w:rsidP="00DF1E42">
            <w:pPr>
              <w:jc w:val="right"/>
              <w:cnfStyle w:val="000000000000"/>
              <w:rPr>
                <w:sz w:val="16"/>
                <w:szCs w:val="16"/>
              </w:rPr>
            </w:pPr>
            <w:r w:rsidRPr="00816657">
              <w:rPr>
                <w:sz w:val="16"/>
                <w:szCs w:val="16"/>
              </w:rPr>
              <w:t>43,052</w:t>
            </w:r>
          </w:p>
        </w:tc>
        <w:tc>
          <w:tcPr>
            <w:tcW w:w="675" w:type="dxa"/>
          </w:tcPr>
          <w:p w:rsidR="00F8214A" w:rsidRPr="00816657" w:rsidRDefault="00F8214A" w:rsidP="00DF1E42">
            <w:pPr>
              <w:jc w:val="right"/>
              <w:cnfStyle w:val="000000000000"/>
              <w:rPr>
                <w:sz w:val="16"/>
                <w:szCs w:val="16"/>
              </w:rPr>
            </w:pPr>
            <w:r w:rsidRPr="00816657">
              <w:rPr>
                <w:sz w:val="16"/>
                <w:szCs w:val="16"/>
              </w:rPr>
              <w:t>42,191</w:t>
            </w:r>
          </w:p>
        </w:tc>
        <w:tc>
          <w:tcPr>
            <w:tcW w:w="675" w:type="dxa"/>
          </w:tcPr>
          <w:p w:rsidR="00F8214A" w:rsidRPr="00816657" w:rsidRDefault="00F8214A" w:rsidP="00DF1E42">
            <w:pPr>
              <w:jc w:val="right"/>
              <w:cnfStyle w:val="000000000000"/>
              <w:rPr>
                <w:sz w:val="16"/>
                <w:szCs w:val="16"/>
              </w:rPr>
            </w:pPr>
            <w:r w:rsidRPr="00816657">
              <w:rPr>
                <w:sz w:val="16"/>
                <w:szCs w:val="16"/>
              </w:rPr>
              <w:t>41,347</w:t>
            </w:r>
          </w:p>
        </w:tc>
        <w:tc>
          <w:tcPr>
            <w:tcW w:w="675" w:type="dxa"/>
          </w:tcPr>
          <w:p w:rsidR="00F8214A" w:rsidRPr="00816657" w:rsidRDefault="00F8214A" w:rsidP="00DF1E42">
            <w:pPr>
              <w:jc w:val="right"/>
              <w:cnfStyle w:val="000000000000"/>
              <w:rPr>
                <w:sz w:val="16"/>
                <w:szCs w:val="16"/>
              </w:rPr>
            </w:pPr>
            <w:r w:rsidRPr="00816657">
              <w:rPr>
                <w:sz w:val="16"/>
                <w:szCs w:val="16"/>
              </w:rPr>
              <w:t>40,520</w:t>
            </w:r>
          </w:p>
        </w:tc>
        <w:tc>
          <w:tcPr>
            <w:tcW w:w="675" w:type="dxa"/>
          </w:tcPr>
          <w:p w:rsidR="00F8214A" w:rsidRPr="00816657" w:rsidRDefault="00F8214A" w:rsidP="00DF1E42">
            <w:pPr>
              <w:jc w:val="right"/>
              <w:cnfStyle w:val="000000000000"/>
              <w:rPr>
                <w:sz w:val="16"/>
                <w:szCs w:val="16"/>
              </w:rPr>
            </w:pPr>
            <w:r w:rsidRPr="00816657">
              <w:rPr>
                <w:sz w:val="16"/>
                <w:szCs w:val="16"/>
              </w:rPr>
              <w:t>39,710</w:t>
            </w:r>
          </w:p>
        </w:tc>
        <w:tc>
          <w:tcPr>
            <w:tcW w:w="675" w:type="dxa"/>
          </w:tcPr>
          <w:p w:rsidR="00F8214A" w:rsidRPr="00816657" w:rsidRDefault="00F8214A" w:rsidP="00DF1E42">
            <w:pPr>
              <w:jc w:val="right"/>
              <w:cnfStyle w:val="000000000000"/>
              <w:rPr>
                <w:sz w:val="16"/>
                <w:szCs w:val="16"/>
              </w:rPr>
            </w:pPr>
            <w:r w:rsidRPr="00816657">
              <w:rPr>
                <w:sz w:val="16"/>
                <w:szCs w:val="16"/>
              </w:rPr>
              <w:t>38,916</w:t>
            </w:r>
          </w:p>
        </w:tc>
        <w:tc>
          <w:tcPr>
            <w:tcW w:w="675" w:type="dxa"/>
          </w:tcPr>
          <w:p w:rsidR="00F8214A" w:rsidRPr="00816657" w:rsidRDefault="00F8214A" w:rsidP="00DF1E42">
            <w:pPr>
              <w:jc w:val="right"/>
              <w:cnfStyle w:val="000000000000"/>
              <w:rPr>
                <w:sz w:val="16"/>
                <w:szCs w:val="16"/>
              </w:rPr>
            </w:pPr>
            <w:r w:rsidRPr="00816657">
              <w:rPr>
                <w:sz w:val="16"/>
                <w:szCs w:val="16"/>
              </w:rPr>
              <w:t>38,137</w:t>
            </w:r>
          </w:p>
        </w:tc>
        <w:tc>
          <w:tcPr>
            <w:tcW w:w="675" w:type="dxa"/>
          </w:tcPr>
          <w:p w:rsidR="00F8214A" w:rsidRPr="00816657" w:rsidRDefault="00F8214A" w:rsidP="00DF1E42">
            <w:pPr>
              <w:jc w:val="right"/>
              <w:cnfStyle w:val="000000000000"/>
              <w:rPr>
                <w:sz w:val="16"/>
                <w:szCs w:val="16"/>
              </w:rPr>
            </w:pPr>
            <w:r w:rsidRPr="00816657">
              <w:rPr>
                <w:sz w:val="16"/>
                <w:szCs w:val="16"/>
              </w:rPr>
              <w:t>37,375</w:t>
            </w:r>
          </w:p>
        </w:tc>
        <w:tc>
          <w:tcPr>
            <w:tcW w:w="675" w:type="dxa"/>
          </w:tcPr>
          <w:p w:rsidR="00F8214A" w:rsidRPr="00816657" w:rsidRDefault="00F8214A" w:rsidP="00DF1E42">
            <w:pPr>
              <w:jc w:val="right"/>
              <w:cnfStyle w:val="000000000000"/>
              <w:rPr>
                <w:sz w:val="16"/>
                <w:szCs w:val="16"/>
              </w:rPr>
            </w:pPr>
            <w:r w:rsidRPr="00816657">
              <w:rPr>
                <w:sz w:val="16"/>
                <w:szCs w:val="16"/>
              </w:rPr>
              <w:t>36,627</w:t>
            </w:r>
          </w:p>
        </w:tc>
        <w:tc>
          <w:tcPr>
            <w:tcW w:w="675" w:type="dxa"/>
          </w:tcPr>
          <w:p w:rsidR="00F8214A" w:rsidRPr="00816657" w:rsidRDefault="00F8214A" w:rsidP="00DF1E42">
            <w:pPr>
              <w:jc w:val="right"/>
              <w:cnfStyle w:val="000000000000"/>
              <w:rPr>
                <w:sz w:val="16"/>
                <w:szCs w:val="16"/>
              </w:rPr>
            </w:pPr>
            <w:r w:rsidRPr="00816657">
              <w:rPr>
                <w:sz w:val="16"/>
                <w:szCs w:val="16"/>
              </w:rPr>
              <w:t>35,895</w:t>
            </w:r>
          </w:p>
        </w:tc>
        <w:tc>
          <w:tcPr>
            <w:tcW w:w="675" w:type="dxa"/>
          </w:tcPr>
          <w:p w:rsidR="00F8214A" w:rsidRPr="00816657" w:rsidRDefault="00F8214A" w:rsidP="00DF1E42">
            <w:pPr>
              <w:jc w:val="right"/>
              <w:cnfStyle w:val="000000000000"/>
              <w:rPr>
                <w:sz w:val="16"/>
                <w:szCs w:val="16"/>
              </w:rPr>
            </w:pPr>
            <w:r w:rsidRPr="00816657">
              <w:rPr>
                <w:sz w:val="16"/>
                <w:szCs w:val="16"/>
              </w:rPr>
              <w:t>35,177</w:t>
            </w:r>
          </w:p>
        </w:tc>
        <w:tc>
          <w:tcPr>
            <w:tcW w:w="675" w:type="dxa"/>
          </w:tcPr>
          <w:p w:rsidR="00F8214A" w:rsidRPr="00816657" w:rsidRDefault="00F8214A" w:rsidP="00DF1E42">
            <w:pPr>
              <w:jc w:val="right"/>
              <w:cnfStyle w:val="000000000000"/>
              <w:rPr>
                <w:sz w:val="16"/>
                <w:szCs w:val="16"/>
              </w:rPr>
            </w:pPr>
            <w:r w:rsidRPr="00816657">
              <w:rPr>
                <w:sz w:val="16"/>
                <w:szCs w:val="16"/>
              </w:rPr>
              <w:t>34,473</w:t>
            </w:r>
          </w:p>
        </w:tc>
        <w:tc>
          <w:tcPr>
            <w:tcW w:w="675" w:type="dxa"/>
          </w:tcPr>
          <w:p w:rsidR="00F8214A" w:rsidRPr="00816657" w:rsidRDefault="00F8214A" w:rsidP="00DF1E42">
            <w:pPr>
              <w:jc w:val="right"/>
              <w:cnfStyle w:val="000000000000"/>
              <w:rPr>
                <w:sz w:val="16"/>
                <w:szCs w:val="16"/>
              </w:rPr>
            </w:pPr>
            <w:r w:rsidRPr="00816657">
              <w:rPr>
                <w:sz w:val="16"/>
                <w:szCs w:val="16"/>
              </w:rPr>
              <w:t>33,784</w:t>
            </w:r>
          </w:p>
        </w:tc>
        <w:tc>
          <w:tcPr>
            <w:tcW w:w="675" w:type="dxa"/>
          </w:tcPr>
          <w:p w:rsidR="00F8214A" w:rsidRPr="00816657" w:rsidRDefault="00F8214A" w:rsidP="00DF1E42">
            <w:pPr>
              <w:jc w:val="right"/>
              <w:cnfStyle w:val="000000000000"/>
              <w:rPr>
                <w:sz w:val="16"/>
                <w:szCs w:val="16"/>
              </w:rPr>
            </w:pPr>
            <w:r w:rsidRPr="00816657">
              <w:rPr>
                <w:sz w:val="16"/>
                <w:szCs w:val="16"/>
              </w:rPr>
              <w:t>33,108</w:t>
            </w:r>
          </w:p>
        </w:tc>
        <w:tc>
          <w:tcPr>
            <w:tcW w:w="675" w:type="dxa"/>
          </w:tcPr>
          <w:p w:rsidR="00F8214A" w:rsidRPr="00816657" w:rsidRDefault="00F8214A" w:rsidP="00DF1E42">
            <w:pPr>
              <w:jc w:val="right"/>
              <w:cnfStyle w:val="000000000000"/>
              <w:rPr>
                <w:sz w:val="16"/>
                <w:szCs w:val="16"/>
              </w:rPr>
            </w:pPr>
            <w:r w:rsidRPr="00816657">
              <w:rPr>
                <w:sz w:val="16"/>
                <w:szCs w:val="16"/>
              </w:rPr>
              <w:t>32,446</w:t>
            </w:r>
          </w:p>
        </w:tc>
        <w:tc>
          <w:tcPr>
            <w:tcW w:w="675" w:type="dxa"/>
          </w:tcPr>
          <w:p w:rsidR="00F8214A" w:rsidRPr="00816657" w:rsidRDefault="00F8214A" w:rsidP="00DF1E42">
            <w:pPr>
              <w:jc w:val="right"/>
              <w:cnfStyle w:val="000000000000"/>
              <w:rPr>
                <w:sz w:val="16"/>
                <w:szCs w:val="16"/>
              </w:rPr>
            </w:pPr>
            <w:r w:rsidRPr="00816657">
              <w:rPr>
                <w:sz w:val="16"/>
                <w:szCs w:val="16"/>
              </w:rPr>
              <w:t>31,797</w:t>
            </w:r>
          </w:p>
        </w:tc>
        <w:tc>
          <w:tcPr>
            <w:tcW w:w="675" w:type="dxa"/>
          </w:tcPr>
          <w:p w:rsidR="00F8214A" w:rsidRPr="00816657" w:rsidRDefault="00F8214A" w:rsidP="00DF1E42">
            <w:pPr>
              <w:jc w:val="right"/>
              <w:cnfStyle w:val="000000000000"/>
              <w:rPr>
                <w:sz w:val="16"/>
                <w:szCs w:val="16"/>
              </w:rPr>
            </w:pPr>
            <w:r w:rsidRPr="00816657">
              <w:rPr>
                <w:sz w:val="16"/>
                <w:szCs w:val="16"/>
              </w:rPr>
              <w:t>31,161</w:t>
            </w:r>
          </w:p>
        </w:tc>
      </w:tr>
      <w:tr w:rsidR="00F8214A" w:rsidRPr="00816657" w:rsidTr="00F8214A">
        <w:tc>
          <w:tcPr>
            <w:cnfStyle w:val="001000000000"/>
            <w:tcW w:w="710" w:type="dxa"/>
          </w:tcPr>
          <w:p w:rsidR="00F8214A" w:rsidRPr="00816657" w:rsidRDefault="00F8214A" w:rsidP="00F8214A">
            <w:r w:rsidRPr="00816657">
              <w:t>Low</w:t>
            </w:r>
          </w:p>
        </w:tc>
        <w:tc>
          <w:tcPr>
            <w:tcW w:w="567" w:type="dxa"/>
          </w:tcPr>
          <w:p w:rsidR="00F8214A" w:rsidRPr="00816657" w:rsidRDefault="00F8214A" w:rsidP="00F8214A">
            <w:pPr>
              <w:cnfStyle w:val="000000000000"/>
            </w:pPr>
            <w:r w:rsidRPr="00816657">
              <w:t>NT</w:t>
            </w:r>
          </w:p>
        </w:tc>
        <w:tc>
          <w:tcPr>
            <w:tcW w:w="675" w:type="dxa"/>
          </w:tcPr>
          <w:p w:rsidR="00F8214A" w:rsidRPr="00816657" w:rsidRDefault="00F8214A" w:rsidP="00DF1E42">
            <w:pPr>
              <w:jc w:val="right"/>
              <w:cnfStyle w:val="000000000000"/>
              <w:rPr>
                <w:sz w:val="16"/>
                <w:szCs w:val="16"/>
              </w:rPr>
            </w:pPr>
            <w:r w:rsidRPr="00816657">
              <w:rPr>
                <w:sz w:val="16"/>
                <w:szCs w:val="16"/>
              </w:rPr>
              <w:t>155</w:t>
            </w:r>
          </w:p>
        </w:tc>
        <w:tc>
          <w:tcPr>
            <w:tcW w:w="675" w:type="dxa"/>
          </w:tcPr>
          <w:p w:rsidR="00F8214A" w:rsidRPr="00816657" w:rsidRDefault="00F8214A" w:rsidP="00DF1E42">
            <w:pPr>
              <w:jc w:val="right"/>
              <w:cnfStyle w:val="000000000000"/>
              <w:rPr>
                <w:sz w:val="16"/>
                <w:szCs w:val="16"/>
              </w:rPr>
            </w:pPr>
            <w:r w:rsidRPr="00816657">
              <w:rPr>
                <w:sz w:val="16"/>
                <w:szCs w:val="16"/>
              </w:rPr>
              <w:t>152</w:t>
            </w:r>
          </w:p>
        </w:tc>
        <w:tc>
          <w:tcPr>
            <w:tcW w:w="675" w:type="dxa"/>
          </w:tcPr>
          <w:p w:rsidR="00F8214A" w:rsidRPr="00816657" w:rsidRDefault="00F8214A" w:rsidP="00DF1E42">
            <w:pPr>
              <w:jc w:val="right"/>
              <w:cnfStyle w:val="000000000000"/>
              <w:rPr>
                <w:sz w:val="16"/>
                <w:szCs w:val="16"/>
              </w:rPr>
            </w:pPr>
            <w:r w:rsidRPr="00816657">
              <w:rPr>
                <w:sz w:val="16"/>
                <w:szCs w:val="16"/>
              </w:rPr>
              <w:t>149</w:t>
            </w:r>
          </w:p>
        </w:tc>
        <w:tc>
          <w:tcPr>
            <w:tcW w:w="675" w:type="dxa"/>
          </w:tcPr>
          <w:p w:rsidR="00F8214A" w:rsidRPr="00816657" w:rsidRDefault="00F8214A" w:rsidP="00DF1E42">
            <w:pPr>
              <w:jc w:val="right"/>
              <w:cnfStyle w:val="000000000000"/>
              <w:rPr>
                <w:sz w:val="16"/>
                <w:szCs w:val="16"/>
              </w:rPr>
            </w:pPr>
            <w:r w:rsidRPr="00816657">
              <w:rPr>
                <w:sz w:val="16"/>
                <w:szCs w:val="16"/>
              </w:rPr>
              <w:t>146</w:t>
            </w:r>
          </w:p>
        </w:tc>
        <w:tc>
          <w:tcPr>
            <w:tcW w:w="675" w:type="dxa"/>
          </w:tcPr>
          <w:p w:rsidR="00F8214A" w:rsidRPr="00816657" w:rsidRDefault="00F8214A" w:rsidP="00DF1E42">
            <w:pPr>
              <w:jc w:val="right"/>
              <w:cnfStyle w:val="000000000000"/>
              <w:rPr>
                <w:sz w:val="16"/>
                <w:szCs w:val="16"/>
              </w:rPr>
            </w:pPr>
            <w:r w:rsidRPr="00816657">
              <w:rPr>
                <w:sz w:val="16"/>
                <w:szCs w:val="16"/>
              </w:rPr>
              <w:t>143</w:t>
            </w:r>
          </w:p>
        </w:tc>
        <w:tc>
          <w:tcPr>
            <w:tcW w:w="675" w:type="dxa"/>
          </w:tcPr>
          <w:p w:rsidR="00F8214A" w:rsidRPr="00816657" w:rsidRDefault="00F8214A" w:rsidP="00DF1E42">
            <w:pPr>
              <w:jc w:val="right"/>
              <w:cnfStyle w:val="000000000000"/>
              <w:rPr>
                <w:sz w:val="16"/>
                <w:szCs w:val="16"/>
              </w:rPr>
            </w:pPr>
            <w:r w:rsidRPr="00816657">
              <w:rPr>
                <w:sz w:val="16"/>
                <w:szCs w:val="16"/>
              </w:rPr>
              <w:t>140</w:t>
            </w:r>
          </w:p>
        </w:tc>
        <w:tc>
          <w:tcPr>
            <w:tcW w:w="675" w:type="dxa"/>
          </w:tcPr>
          <w:p w:rsidR="00F8214A" w:rsidRPr="00816657" w:rsidRDefault="00F8214A" w:rsidP="00DF1E42">
            <w:pPr>
              <w:jc w:val="right"/>
              <w:cnfStyle w:val="000000000000"/>
              <w:rPr>
                <w:sz w:val="16"/>
                <w:szCs w:val="16"/>
              </w:rPr>
            </w:pPr>
            <w:r w:rsidRPr="00816657">
              <w:rPr>
                <w:sz w:val="16"/>
                <w:szCs w:val="16"/>
              </w:rPr>
              <w:t>137</w:t>
            </w:r>
          </w:p>
        </w:tc>
        <w:tc>
          <w:tcPr>
            <w:tcW w:w="675" w:type="dxa"/>
          </w:tcPr>
          <w:p w:rsidR="00F8214A" w:rsidRPr="00816657" w:rsidRDefault="00F8214A" w:rsidP="00DF1E42">
            <w:pPr>
              <w:jc w:val="right"/>
              <w:cnfStyle w:val="000000000000"/>
              <w:rPr>
                <w:sz w:val="16"/>
                <w:szCs w:val="16"/>
              </w:rPr>
            </w:pPr>
            <w:r w:rsidRPr="00816657">
              <w:rPr>
                <w:sz w:val="16"/>
                <w:szCs w:val="16"/>
              </w:rPr>
              <w:t>134</w:t>
            </w:r>
          </w:p>
        </w:tc>
        <w:tc>
          <w:tcPr>
            <w:tcW w:w="675" w:type="dxa"/>
          </w:tcPr>
          <w:p w:rsidR="00F8214A" w:rsidRPr="00816657" w:rsidRDefault="00F8214A" w:rsidP="00DF1E42">
            <w:pPr>
              <w:jc w:val="right"/>
              <w:cnfStyle w:val="000000000000"/>
              <w:rPr>
                <w:sz w:val="16"/>
                <w:szCs w:val="16"/>
              </w:rPr>
            </w:pPr>
            <w:r w:rsidRPr="00816657">
              <w:rPr>
                <w:sz w:val="16"/>
                <w:szCs w:val="16"/>
              </w:rPr>
              <w:t>132</w:t>
            </w:r>
          </w:p>
        </w:tc>
        <w:tc>
          <w:tcPr>
            <w:tcW w:w="675" w:type="dxa"/>
          </w:tcPr>
          <w:p w:rsidR="00F8214A" w:rsidRPr="00816657" w:rsidRDefault="00F8214A" w:rsidP="00DF1E42">
            <w:pPr>
              <w:jc w:val="right"/>
              <w:cnfStyle w:val="000000000000"/>
              <w:rPr>
                <w:sz w:val="16"/>
                <w:szCs w:val="16"/>
              </w:rPr>
            </w:pPr>
            <w:r w:rsidRPr="00816657">
              <w:rPr>
                <w:sz w:val="16"/>
                <w:szCs w:val="16"/>
              </w:rPr>
              <w:t>129</w:t>
            </w:r>
          </w:p>
        </w:tc>
        <w:tc>
          <w:tcPr>
            <w:tcW w:w="675" w:type="dxa"/>
          </w:tcPr>
          <w:p w:rsidR="00F8214A" w:rsidRPr="00816657" w:rsidRDefault="00F8214A" w:rsidP="00DF1E42">
            <w:pPr>
              <w:jc w:val="right"/>
              <w:cnfStyle w:val="000000000000"/>
              <w:rPr>
                <w:sz w:val="16"/>
                <w:szCs w:val="16"/>
              </w:rPr>
            </w:pPr>
            <w:r w:rsidRPr="00816657">
              <w:rPr>
                <w:sz w:val="16"/>
                <w:szCs w:val="16"/>
              </w:rPr>
              <w:t>127</w:t>
            </w:r>
          </w:p>
        </w:tc>
        <w:tc>
          <w:tcPr>
            <w:tcW w:w="675" w:type="dxa"/>
          </w:tcPr>
          <w:p w:rsidR="00F8214A" w:rsidRPr="00816657" w:rsidRDefault="00F8214A" w:rsidP="00DF1E42">
            <w:pPr>
              <w:jc w:val="right"/>
              <w:cnfStyle w:val="000000000000"/>
              <w:rPr>
                <w:sz w:val="16"/>
                <w:szCs w:val="16"/>
              </w:rPr>
            </w:pPr>
            <w:r w:rsidRPr="00816657">
              <w:rPr>
                <w:sz w:val="16"/>
                <w:szCs w:val="16"/>
              </w:rPr>
              <w:t>124</w:t>
            </w:r>
          </w:p>
        </w:tc>
        <w:tc>
          <w:tcPr>
            <w:tcW w:w="675" w:type="dxa"/>
          </w:tcPr>
          <w:p w:rsidR="00F8214A" w:rsidRPr="00816657" w:rsidRDefault="00F8214A" w:rsidP="00DF1E42">
            <w:pPr>
              <w:jc w:val="right"/>
              <w:cnfStyle w:val="000000000000"/>
              <w:rPr>
                <w:sz w:val="16"/>
                <w:szCs w:val="16"/>
              </w:rPr>
            </w:pPr>
            <w:r w:rsidRPr="00816657">
              <w:rPr>
                <w:sz w:val="16"/>
                <w:szCs w:val="16"/>
              </w:rPr>
              <w:t>122</w:t>
            </w:r>
          </w:p>
        </w:tc>
        <w:tc>
          <w:tcPr>
            <w:tcW w:w="675" w:type="dxa"/>
          </w:tcPr>
          <w:p w:rsidR="00F8214A" w:rsidRPr="00816657" w:rsidRDefault="00F8214A" w:rsidP="00DF1E42">
            <w:pPr>
              <w:jc w:val="right"/>
              <w:cnfStyle w:val="000000000000"/>
              <w:rPr>
                <w:sz w:val="16"/>
                <w:szCs w:val="16"/>
              </w:rPr>
            </w:pPr>
            <w:r w:rsidRPr="00816657">
              <w:rPr>
                <w:sz w:val="16"/>
                <w:szCs w:val="16"/>
              </w:rPr>
              <w:t>119</w:t>
            </w:r>
          </w:p>
        </w:tc>
        <w:tc>
          <w:tcPr>
            <w:tcW w:w="675" w:type="dxa"/>
          </w:tcPr>
          <w:p w:rsidR="00F8214A" w:rsidRPr="00816657" w:rsidRDefault="00F8214A" w:rsidP="00DF1E42">
            <w:pPr>
              <w:jc w:val="right"/>
              <w:cnfStyle w:val="000000000000"/>
              <w:rPr>
                <w:sz w:val="16"/>
                <w:szCs w:val="16"/>
              </w:rPr>
            </w:pPr>
            <w:r w:rsidRPr="00816657">
              <w:rPr>
                <w:sz w:val="16"/>
                <w:szCs w:val="16"/>
              </w:rPr>
              <w:t>117</w:t>
            </w:r>
          </w:p>
        </w:tc>
        <w:tc>
          <w:tcPr>
            <w:tcW w:w="675" w:type="dxa"/>
          </w:tcPr>
          <w:p w:rsidR="00F8214A" w:rsidRPr="00816657" w:rsidRDefault="00F8214A" w:rsidP="00DF1E42">
            <w:pPr>
              <w:jc w:val="right"/>
              <w:cnfStyle w:val="000000000000"/>
              <w:rPr>
                <w:sz w:val="16"/>
                <w:szCs w:val="16"/>
              </w:rPr>
            </w:pPr>
            <w:r w:rsidRPr="00816657">
              <w:rPr>
                <w:sz w:val="16"/>
                <w:szCs w:val="16"/>
              </w:rPr>
              <w:t>114</w:t>
            </w:r>
          </w:p>
        </w:tc>
        <w:tc>
          <w:tcPr>
            <w:tcW w:w="675" w:type="dxa"/>
          </w:tcPr>
          <w:p w:rsidR="00F8214A" w:rsidRPr="00816657" w:rsidRDefault="00F8214A" w:rsidP="00DF1E42">
            <w:pPr>
              <w:jc w:val="right"/>
              <w:cnfStyle w:val="000000000000"/>
              <w:rPr>
                <w:sz w:val="16"/>
                <w:szCs w:val="16"/>
              </w:rPr>
            </w:pPr>
            <w:r w:rsidRPr="00816657">
              <w:rPr>
                <w:sz w:val="16"/>
                <w:szCs w:val="16"/>
              </w:rPr>
              <w:t>112</w:t>
            </w:r>
          </w:p>
        </w:tc>
        <w:tc>
          <w:tcPr>
            <w:tcW w:w="675" w:type="dxa"/>
          </w:tcPr>
          <w:p w:rsidR="00F8214A" w:rsidRPr="00816657" w:rsidRDefault="00F8214A" w:rsidP="00DF1E42">
            <w:pPr>
              <w:jc w:val="right"/>
              <w:cnfStyle w:val="000000000000"/>
              <w:rPr>
                <w:sz w:val="16"/>
                <w:szCs w:val="16"/>
              </w:rPr>
            </w:pPr>
            <w:r w:rsidRPr="00816657">
              <w:rPr>
                <w:sz w:val="16"/>
                <w:szCs w:val="16"/>
              </w:rPr>
              <w:t>110</w:t>
            </w:r>
          </w:p>
        </w:tc>
        <w:tc>
          <w:tcPr>
            <w:tcW w:w="675" w:type="dxa"/>
          </w:tcPr>
          <w:p w:rsidR="00F8214A" w:rsidRPr="00816657" w:rsidRDefault="00F8214A" w:rsidP="00DF1E42">
            <w:pPr>
              <w:jc w:val="right"/>
              <w:cnfStyle w:val="000000000000"/>
              <w:rPr>
                <w:sz w:val="16"/>
                <w:szCs w:val="16"/>
              </w:rPr>
            </w:pPr>
            <w:r w:rsidRPr="00816657">
              <w:rPr>
                <w:sz w:val="16"/>
                <w:szCs w:val="16"/>
              </w:rPr>
              <w:t>108</w:t>
            </w:r>
          </w:p>
        </w:tc>
        <w:tc>
          <w:tcPr>
            <w:tcW w:w="675" w:type="dxa"/>
          </w:tcPr>
          <w:p w:rsidR="00F8214A" w:rsidRPr="00816657" w:rsidRDefault="00F8214A" w:rsidP="00DF1E42">
            <w:pPr>
              <w:jc w:val="right"/>
              <w:cnfStyle w:val="000000000000"/>
              <w:rPr>
                <w:sz w:val="16"/>
                <w:szCs w:val="16"/>
              </w:rPr>
            </w:pPr>
            <w:r w:rsidRPr="00816657">
              <w:rPr>
                <w:sz w:val="16"/>
                <w:szCs w:val="16"/>
              </w:rPr>
              <w:t>105</w:t>
            </w:r>
          </w:p>
        </w:tc>
        <w:tc>
          <w:tcPr>
            <w:tcW w:w="675" w:type="dxa"/>
          </w:tcPr>
          <w:p w:rsidR="00F8214A" w:rsidRPr="00816657" w:rsidRDefault="00F8214A" w:rsidP="00DF1E42">
            <w:pPr>
              <w:jc w:val="right"/>
              <w:cnfStyle w:val="000000000000"/>
              <w:rPr>
                <w:sz w:val="16"/>
                <w:szCs w:val="16"/>
              </w:rPr>
            </w:pPr>
            <w:r w:rsidRPr="00816657">
              <w:rPr>
                <w:sz w:val="16"/>
                <w:szCs w:val="16"/>
              </w:rPr>
              <w:t>103</w:t>
            </w:r>
          </w:p>
        </w:tc>
      </w:tr>
      <w:tr w:rsidR="00F8214A" w:rsidRPr="00816657" w:rsidTr="00F8214A">
        <w:tc>
          <w:tcPr>
            <w:cnfStyle w:val="001000000000"/>
            <w:tcW w:w="710" w:type="dxa"/>
          </w:tcPr>
          <w:p w:rsidR="00F8214A" w:rsidRPr="00816657" w:rsidRDefault="00F8214A" w:rsidP="00F8214A">
            <w:r w:rsidRPr="00816657">
              <w:t>Low</w:t>
            </w:r>
          </w:p>
        </w:tc>
        <w:tc>
          <w:tcPr>
            <w:tcW w:w="567" w:type="dxa"/>
          </w:tcPr>
          <w:p w:rsidR="00F8214A" w:rsidRPr="00816657" w:rsidRDefault="00F8214A" w:rsidP="00F8214A">
            <w:pPr>
              <w:cnfStyle w:val="000000000000"/>
            </w:pPr>
            <w:r w:rsidRPr="00816657">
              <w:t>Qld</w:t>
            </w:r>
          </w:p>
        </w:tc>
        <w:tc>
          <w:tcPr>
            <w:tcW w:w="675" w:type="dxa"/>
          </w:tcPr>
          <w:p w:rsidR="00F8214A" w:rsidRPr="00816657" w:rsidRDefault="00F8214A" w:rsidP="00DF1E42">
            <w:pPr>
              <w:jc w:val="right"/>
              <w:cnfStyle w:val="000000000000"/>
              <w:rPr>
                <w:sz w:val="16"/>
                <w:szCs w:val="16"/>
              </w:rPr>
            </w:pPr>
            <w:r w:rsidRPr="00816657">
              <w:rPr>
                <w:sz w:val="16"/>
                <w:szCs w:val="16"/>
              </w:rPr>
              <w:t>18,936</w:t>
            </w:r>
          </w:p>
        </w:tc>
        <w:tc>
          <w:tcPr>
            <w:tcW w:w="675" w:type="dxa"/>
          </w:tcPr>
          <w:p w:rsidR="00F8214A" w:rsidRPr="00816657" w:rsidRDefault="00F8214A" w:rsidP="00DF1E42">
            <w:pPr>
              <w:jc w:val="right"/>
              <w:cnfStyle w:val="000000000000"/>
              <w:rPr>
                <w:sz w:val="16"/>
                <w:szCs w:val="16"/>
              </w:rPr>
            </w:pPr>
            <w:r w:rsidRPr="00816657">
              <w:rPr>
                <w:sz w:val="16"/>
                <w:szCs w:val="16"/>
              </w:rPr>
              <w:t>18,557</w:t>
            </w:r>
          </w:p>
        </w:tc>
        <w:tc>
          <w:tcPr>
            <w:tcW w:w="675" w:type="dxa"/>
          </w:tcPr>
          <w:p w:rsidR="00F8214A" w:rsidRPr="00816657" w:rsidRDefault="00F8214A" w:rsidP="00DF1E42">
            <w:pPr>
              <w:jc w:val="right"/>
              <w:cnfStyle w:val="000000000000"/>
              <w:rPr>
                <w:sz w:val="16"/>
                <w:szCs w:val="16"/>
              </w:rPr>
            </w:pPr>
            <w:r w:rsidRPr="00816657">
              <w:rPr>
                <w:sz w:val="16"/>
                <w:szCs w:val="16"/>
              </w:rPr>
              <w:t>18,186</w:t>
            </w:r>
          </w:p>
        </w:tc>
        <w:tc>
          <w:tcPr>
            <w:tcW w:w="675" w:type="dxa"/>
          </w:tcPr>
          <w:p w:rsidR="00F8214A" w:rsidRPr="00816657" w:rsidRDefault="00F8214A" w:rsidP="00DF1E42">
            <w:pPr>
              <w:jc w:val="right"/>
              <w:cnfStyle w:val="000000000000"/>
              <w:rPr>
                <w:sz w:val="16"/>
                <w:szCs w:val="16"/>
              </w:rPr>
            </w:pPr>
            <w:r w:rsidRPr="00816657">
              <w:rPr>
                <w:sz w:val="16"/>
                <w:szCs w:val="16"/>
              </w:rPr>
              <w:t>17,823</w:t>
            </w:r>
          </w:p>
        </w:tc>
        <w:tc>
          <w:tcPr>
            <w:tcW w:w="675" w:type="dxa"/>
          </w:tcPr>
          <w:p w:rsidR="00F8214A" w:rsidRPr="00816657" w:rsidRDefault="00F8214A" w:rsidP="00DF1E42">
            <w:pPr>
              <w:jc w:val="right"/>
              <w:cnfStyle w:val="000000000000"/>
              <w:rPr>
                <w:sz w:val="16"/>
                <w:szCs w:val="16"/>
              </w:rPr>
            </w:pPr>
            <w:r w:rsidRPr="00816657">
              <w:rPr>
                <w:sz w:val="16"/>
                <w:szCs w:val="16"/>
              </w:rPr>
              <w:t>17,466</w:t>
            </w:r>
          </w:p>
        </w:tc>
        <w:tc>
          <w:tcPr>
            <w:tcW w:w="675" w:type="dxa"/>
          </w:tcPr>
          <w:p w:rsidR="00F8214A" w:rsidRPr="00816657" w:rsidRDefault="00F8214A" w:rsidP="00DF1E42">
            <w:pPr>
              <w:jc w:val="right"/>
              <w:cnfStyle w:val="000000000000"/>
              <w:rPr>
                <w:sz w:val="16"/>
                <w:szCs w:val="16"/>
              </w:rPr>
            </w:pPr>
            <w:r w:rsidRPr="00816657">
              <w:rPr>
                <w:sz w:val="16"/>
                <w:szCs w:val="16"/>
              </w:rPr>
              <w:t>17,117</w:t>
            </w:r>
          </w:p>
        </w:tc>
        <w:tc>
          <w:tcPr>
            <w:tcW w:w="675" w:type="dxa"/>
          </w:tcPr>
          <w:p w:rsidR="00F8214A" w:rsidRPr="00816657" w:rsidRDefault="00F8214A" w:rsidP="00DF1E42">
            <w:pPr>
              <w:jc w:val="right"/>
              <w:cnfStyle w:val="000000000000"/>
              <w:rPr>
                <w:sz w:val="16"/>
                <w:szCs w:val="16"/>
              </w:rPr>
            </w:pPr>
            <w:r w:rsidRPr="00816657">
              <w:rPr>
                <w:sz w:val="16"/>
                <w:szCs w:val="16"/>
              </w:rPr>
              <w:t>16,774</w:t>
            </w:r>
          </w:p>
        </w:tc>
        <w:tc>
          <w:tcPr>
            <w:tcW w:w="675" w:type="dxa"/>
          </w:tcPr>
          <w:p w:rsidR="00F8214A" w:rsidRPr="00816657" w:rsidRDefault="00F8214A" w:rsidP="00DF1E42">
            <w:pPr>
              <w:jc w:val="right"/>
              <w:cnfStyle w:val="000000000000"/>
              <w:rPr>
                <w:sz w:val="16"/>
                <w:szCs w:val="16"/>
              </w:rPr>
            </w:pPr>
            <w:r w:rsidRPr="00816657">
              <w:rPr>
                <w:sz w:val="16"/>
                <w:szCs w:val="16"/>
              </w:rPr>
              <w:t>16,439</w:t>
            </w:r>
          </w:p>
        </w:tc>
        <w:tc>
          <w:tcPr>
            <w:tcW w:w="675" w:type="dxa"/>
          </w:tcPr>
          <w:p w:rsidR="00F8214A" w:rsidRPr="00816657" w:rsidRDefault="00F8214A" w:rsidP="00DF1E42">
            <w:pPr>
              <w:jc w:val="right"/>
              <w:cnfStyle w:val="000000000000"/>
              <w:rPr>
                <w:sz w:val="16"/>
                <w:szCs w:val="16"/>
              </w:rPr>
            </w:pPr>
            <w:r w:rsidRPr="00816657">
              <w:rPr>
                <w:sz w:val="16"/>
                <w:szCs w:val="16"/>
              </w:rPr>
              <w:t>16,110</w:t>
            </w:r>
          </w:p>
        </w:tc>
        <w:tc>
          <w:tcPr>
            <w:tcW w:w="675" w:type="dxa"/>
          </w:tcPr>
          <w:p w:rsidR="00F8214A" w:rsidRPr="00816657" w:rsidRDefault="00F8214A" w:rsidP="00DF1E42">
            <w:pPr>
              <w:jc w:val="right"/>
              <w:cnfStyle w:val="000000000000"/>
              <w:rPr>
                <w:sz w:val="16"/>
                <w:szCs w:val="16"/>
              </w:rPr>
            </w:pPr>
            <w:r w:rsidRPr="00816657">
              <w:rPr>
                <w:sz w:val="16"/>
                <w:szCs w:val="16"/>
              </w:rPr>
              <w:t>15,788</w:t>
            </w:r>
          </w:p>
        </w:tc>
        <w:tc>
          <w:tcPr>
            <w:tcW w:w="675" w:type="dxa"/>
          </w:tcPr>
          <w:p w:rsidR="00F8214A" w:rsidRPr="00816657" w:rsidRDefault="00F8214A" w:rsidP="00DF1E42">
            <w:pPr>
              <w:jc w:val="right"/>
              <w:cnfStyle w:val="000000000000"/>
              <w:rPr>
                <w:sz w:val="16"/>
                <w:szCs w:val="16"/>
              </w:rPr>
            </w:pPr>
            <w:r w:rsidRPr="00816657">
              <w:rPr>
                <w:sz w:val="16"/>
                <w:szCs w:val="16"/>
              </w:rPr>
              <w:t>15,472</w:t>
            </w:r>
          </w:p>
        </w:tc>
        <w:tc>
          <w:tcPr>
            <w:tcW w:w="675" w:type="dxa"/>
          </w:tcPr>
          <w:p w:rsidR="00F8214A" w:rsidRPr="00816657" w:rsidRDefault="00F8214A" w:rsidP="00DF1E42">
            <w:pPr>
              <w:jc w:val="right"/>
              <w:cnfStyle w:val="000000000000"/>
              <w:rPr>
                <w:sz w:val="16"/>
                <w:szCs w:val="16"/>
              </w:rPr>
            </w:pPr>
            <w:r w:rsidRPr="00816657">
              <w:rPr>
                <w:sz w:val="16"/>
                <w:szCs w:val="16"/>
              </w:rPr>
              <w:t>15,163</w:t>
            </w:r>
          </w:p>
        </w:tc>
        <w:tc>
          <w:tcPr>
            <w:tcW w:w="675" w:type="dxa"/>
          </w:tcPr>
          <w:p w:rsidR="00F8214A" w:rsidRPr="00816657" w:rsidRDefault="00F8214A" w:rsidP="00DF1E42">
            <w:pPr>
              <w:jc w:val="right"/>
              <w:cnfStyle w:val="000000000000"/>
              <w:rPr>
                <w:sz w:val="16"/>
                <w:szCs w:val="16"/>
              </w:rPr>
            </w:pPr>
            <w:r w:rsidRPr="00816657">
              <w:rPr>
                <w:sz w:val="16"/>
                <w:szCs w:val="16"/>
              </w:rPr>
              <w:t>14,860</w:t>
            </w:r>
          </w:p>
        </w:tc>
        <w:tc>
          <w:tcPr>
            <w:tcW w:w="675" w:type="dxa"/>
          </w:tcPr>
          <w:p w:rsidR="00F8214A" w:rsidRPr="00816657" w:rsidRDefault="00F8214A" w:rsidP="00DF1E42">
            <w:pPr>
              <w:jc w:val="right"/>
              <w:cnfStyle w:val="000000000000"/>
              <w:rPr>
                <w:sz w:val="16"/>
                <w:szCs w:val="16"/>
              </w:rPr>
            </w:pPr>
            <w:r w:rsidRPr="00816657">
              <w:rPr>
                <w:sz w:val="16"/>
                <w:szCs w:val="16"/>
              </w:rPr>
              <w:t>14,562</w:t>
            </w:r>
          </w:p>
        </w:tc>
        <w:tc>
          <w:tcPr>
            <w:tcW w:w="675" w:type="dxa"/>
          </w:tcPr>
          <w:p w:rsidR="00F8214A" w:rsidRPr="00816657" w:rsidRDefault="00F8214A" w:rsidP="00DF1E42">
            <w:pPr>
              <w:jc w:val="right"/>
              <w:cnfStyle w:val="000000000000"/>
              <w:rPr>
                <w:sz w:val="16"/>
                <w:szCs w:val="16"/>
              </w:rPr>
            </w:pPr>
            <w:r w:rsidRPr="00816657">
              <w:rPr>
                <w:sz w:val="16"/>
                <w:szCs w:val="16"/>
              </w:rPr>
              <w:t>14,271</w:t>
            </w:r>
          </w:p>
        </w:tc>
        <w:tc>
          <w:tcPr>
            <w:tcW w:w="675" w:type="dxa"/>
          </w:tcPr>
          <w:p w:rsidR="00F8214A" w:rsidRPr="00816657" w:rsidRDefault="00F8214A" w:rsidP="00DF1E42">
            <w:pPr>
              <w:jc w:val="right"/>
              <w:cnfStyle w:val="000000000000"/>
              <w:rPr>
                <w:sz w:val="16"/>
                <w:szCs w:val="16"/>
              </w:rPr>
            </w:pPr>
            <w:r w:rsidRPr="00816657">
              <w:rPr>
                <w:sz w:val="16"/>
                <w:szCs w:val="16"/>
              </w:rPr>
              <w:t>13,986</w:t>
            </w:r>
          </w:p>
        </w:tc>
        <w:tc>
          <w:tcPr>
            <w:tcW w:w="675" w:type="dxa"/>
          </w:tcPr>
          <w:p w:rsidR="00F8214A" w:rsidRPr="00816657" w:rsidRDefault="00F8214A" w:rsidP="00DF1E42">
            <w:pPr>
              <w:jc w:val="right"/>
              <w:cnfStyle w:val="000000000000"/>
              <w:rPr>
                <w:sz w:val="16"/>
                <w:szCs w:val="16"/>
              </w:rPr>
            </w:pPr>
            <w:r w:rsidRPr="00816657">
              <w:rPr>
                <w:sz w:val="16"/>
                <w:szCs w:val="16"/>
              </w:rPr>
              <w:t>13,706</w:t>
            </w:r>
          </w:p>
        </w:tc>
        <w:tc>
          <w:tcPr>
            <w:tcW w:w="675" w:type="dxa"/>
          </w:tcPr>
          <w:p w:rsidR="00F8214A" w:rsidRPr="00816657" w:rsidRDefault="00F8214A" w:rsidP="00DF1E42">
            <w:pPr>
              <w:jc w:val="right"/>
              <w:cnfStyle w:val="000000000000"/>
              <w:rPr>
                <w:sz w:val="16"/>
                <w:szCs w:val="16"/>
              </w:rPr>
            </w:pPr>
            <w:r w:rsidRPr="00816657">
              <w:rPr>
                <w:sz w:val="16"/>
                <w:szCs w:val="16"/>
              </w:rPr>
              <w:t>13,432</w:t>
            </w:r>
          </w:p>
        </w:tc>
        <w:tc>
          <w:tcPr>
            <w:tcW w:w="675" w:type="dxa"/>
          </w:tcPr>
          <w:p w:rsidR="00F8214A" w:rsidRPr="00816657" w:rsidRDefault="00F8214A" w:rsidP="00DF1E42">
            <w:pPr>
              <w:jc w:val="right"/>
              <w:cnfStyle w:val="000000000000"/>
              <w:rPr>
                <w:sz w:val="16"/>
                <w:szCs w:val="16"/>
              </w:rPr>
            </w:pPr>
            <w:r w:rsidRPr="00816657">
              <w:rPr>
                <w:sz w:val="16"/>
                <w:szCs w:val="16"/>
              </w:rPr>
              <w:t>13,163</w:t>
            </w:r>
          </w:p>
        </w:tc>
        <w:tc>
          <w:tcPr>
            <w:tcW w:w="675" w:type="dxa"/>
          </w:tcPr>
          <w:p w:rsidR="00F8214A" w:rsidRPr="00816657" w:rsidRDefault="00F8214A" w:rsidP="00DF1E42">
            <w:pPr>
              <w:jc w:val="right"/>
              <w:cnfStyle w:val="000000000000"/>
              <w:rPr>
                <w:sz w:val="16"/>
                <w:szCs w:val="16"/>
              </w:rPr>
            </w:pPr>
            <w:r w:rsidRPr="00816657">
              <w:rPr>
                <w:sz w:val="16"/>
                <w:szCs w:val="16"/>
              </w:rPr>
              <w:t>12,900</w:t>
            </w:r>
          </w:p>
        </w:tc>
        <w:tc>
          <w:tcPr>
            <w:tcW w:w="675" w:type="dxa"/>
          </w:tcPr>
          <w:p w:rsidR="00F8214A" w:rsidRPr="00816657" w:rsidRDefault="00F8214A" w:rsidP="00DF1E42">
            <w:pPr>
              <w:jc w:val="right"/>
              <w:cnfStyle w:val="000000000000"/>
              <w:rPr>
                <w:sz w:val="16"/>
                <w:szCs w:val="16"/>
              </w:rPr>
            </w:pPr>
            <w:r w:rsidRPr="00816657">
              <w:rPr>
                <w:sz w:val="16"/>
                <w:szCs w:val="16"/>
              </w:rPr>
              <w:t>12,642</w:t>
            </w:r>
          </w:p>
        </w:tc>
      </w:tr>
      <w:tr w:rsidR="00F8214A" w:rsidRPr="00816657" w:rsidTr="00F8214A">
        <w:tc>
          <w:tcPr>
            <w:cnfStyle w:val="001000000000"/>
            <w:tcW w:w="710" w:type="dxa"/>
          </w:tcPr>
          <w:p w:rsidR="00F8214A" w:rsidRPr="00816657" w:rsidRDefault="00F8214A" w:rsidP="00F8214A">
            <w:r w:rsidRPr="00816657">
              <w:t>Low</w:t>
            </w:r>
          </w:p>
        </w:tc>
        <w:tc>
          <w:tcPr>
            <w:tcW w:w="567" w:type="dxa"/>
          </w:tcPr>
          <w:p w:rsidR="00F8214A" w:rsidRPr="00816657" w:rsidRDefault="00F8214A" w:rsidP="00F8214A">
            <w:pPr>
              <w:cnfStyle w:val="000000000000"/>
            </w:pPr>
            <w:r w:rsidRPr="00816657">
              <w:t>SA</w:t>
            </w:r>
          </w:p>
        </w:tc>
        <w:tc>
          <w:tcPr>
            <w:tcW w:w="675" w:type="dxa"/>
          </w:tcPr>
          <w:p w:rsidR="00F8214A" w:rsidRPr="00816657" w:rsidRDefault="00F8214A" w:rsidP="00DF1E42">
            <w:pPr>
              <w:jc w:val="right"/>
              <w:cnfStyle w:val="000000000000"/>
              <w:rPr>
                <w:sz w:val="16"/>
                <w:szCs w:val="16"/>
              </w:rPr>
            </w:pPr>
            <w:r w:rsidRPr="00816657">
              <w:rPr>
                <w:sz w:val="16"/>
                <w:szCs w:val="16"/>
              </w:rPr>
              <w:t>4,112</w:t>
            </w:r>
          </w:p>
        </w:tc>
        <w:tc>
          <w:tcPr>
            <w:tcW w:w="675" w:type="dxa"/>
          </w:tcPr>
          <w:p w:rsidR="00F8214A" w:rsidRPr="00816657" w:rsidRDefault="00F8214A" w:rsidP="00DF1E42">
            <w:pPr>
              <w:jc w:val="right"/>
              <w:cnfStyle w:val="000000000000"/>
              <w:rPr>
                <w:sz w:val="16"/>
                <w:szCs w:val="16"/>
              </w:rPr>
            </w:pPr>
            <w:r w:rsidRPr="00816657">
              <w:rPr>
                <w:sz w:val="16"/>
                <w:szCs w:val="16"/>
              </w:rPr>
              <w:t>4,030</w:t>
            </w:r>
          </w:p>
        </w:tc>
        <w:tc>
          <w:tcPr>
            <w:tcW w:w="675" w:type="dxa"/>
          </w:tcPr>
          <w:p w:rsidR="00F8214A" w:rsidRPr="00816657" w:rsidRDefault="00F8214A" w:rsidP="00DF1E42">
            <w:pPr>
              <w:jc w:val="right"/>
              <w:cnfStyle w:val="000000000000"/>
              <w:rPr>
                <w:sz w:val="16"/>
                <w:szCs w:val="16"/>
              </w:rPr>
            </w:pPr>
            <w:r w:rsidRPr="00816657">
              <w:rPr>
                <w:sz w:val="16"/>
                <w:szCs w:val="16"/>
              </w:rPr>
              <w:t>3,949</w:t>
            </w:r>
          </w:p>
        </w:tc>
        <w:tc>
          <w:tcPr>
            <w:tcW w:w="675" w:type="dxa"/>
          </w:tcPr>
          <w:p w:rsidR="00F8214A" w:rsidRPr="00816657" w:rsidRDefault="00F8214A" w:rsidP="00DF1E42">
            <w:pPr>
              <w:jc w:val="right"/>
              <w:cnfStyle w:val="000000000000"/>
              <w:rPr>
                <w:sz w:val="16"/>
                <w:szCs w:val="16"/>
              </w:rPr>
            </w:pPr>
            <w:r w:rsidRPr="00816657">
              <w:rPr>
                <w:sz w:val="16"/>
                <w:szCs w:val="16"/>
              </w:rPr>
              <w:t>3,870</w:t>
            </w:r>
          </w:p>
        </w:tc>
        <w:tc>
          <w:tcPr>
            <w:tcW w:w="675" w:type="dxa"/>
          </w:tcPr>
          <w:p w:rsidR="00F8214A" w:rsidRPr="00816657" w:rsidRDefault="00F8214A" w:rsidP="00DF1E42">
            <w:pPr>
              <w:jc w:val="right"/>
              <w:cnfStyle w:val="000000000000"/>
              <w:rPr>
                <w:sz w:val="16"/>
                <w:szCs w:val="16"/>
              </w:rPr>
            </w:pPr>
            <w:r w:rsidRPr="00816657">
              <w:rPr>
                <w:sz w:val="16"/>
                <w:szCs w:val="16"/>
              </w:rPr>
              <w:t>3,793</w:t>
            </w:r>
          </w:p>
        </w:tc>
        <w:tc>
          <w:tcPr>
            <w:tcW w:w="675" w:type="dxa"/>
          </w:tcPr>
          <w:p w:rsidR="00F8214A" w:rsidRPr="00816657" w:rsidRDefault="00F8214A" w:rsidP="00DF1E42">
            <w:pPr>
              <w:jc w:val="right"/>
              <w:cnfStyle w:val="000000000000"/>
              <w:rPr>
                <w:sz w:val="16"/>
                <w:szCs w:val="16"/>
              </w:rPr>
            </w:pPr>
            <w:r w:rsidRPr="00816657">
              <w:rPr>
                <w:sz w:val="16"/>
                <w:szCs w:val="16"/>
              </w:rPr>
              <w:t>3,717</w:t>
            </w:r>
          </w:p>
        </w:tc>
        <w:tc>
          <w:tcPr>
            <w:tcW w:w="675" w:type="dxa"/>
          </w:tcPr>
          <w:p w:rsidR="00F8214A" w:rsidRPr="00816657" w:rsidRDefault="00F8214A" w:rsidP="00DF1E42">
            <w:pPr>
              <w:jc w:val="right"/>
              <w:cnfStyle w:val="000000000000"/>
              <w:rPr>
                <w:sz w:val="16"/>
                <w:szCs w:val="16"/>
              </w:rPr>
            </w:pPr>
            <w:r w:rsidRPr="00816657">
              <w:rPr>
                <w:sz w:val="16"/>
                <w:szCs w:val="16"/>
              </w:rPr>
              <w:t>3,643</w:t>
            </w:r>
          </w:p>
        </w:tc>
        <w:tc>
          <w:tcPr>
            <w:tcW w:w="675" w:type="dxa"/>
          </w:tcPr>
          <w:p w:rsidR="00F8214A" w:rsidRPr="00816657" w:rsidRDefault="00F8214A" w:rsidP="00DF1E42">
            <w:pPr>
              <w:jc w:val="right"/>
              <w:cnfStyle w:val="000000000000"/>
              <w:rPr>
                <w:sz w:val="16"/>
                <w:szCs w:val="16"/>
              </w:rPr>
            </w:pPr>
            <w:r w:rsidRPr="00816657">
              <w:rPr>
                <w:sz w:val="16"/>
                <w:szCs w:val="16"/>
              </w:rPr>
              <w:t>3,570</w:t>
            </w:r>
          </w:p>
        </w:tc>
        <w:tc>
          <w:tcPr>
            <w:tcW w:w="675" w:type="dxa"/>
          </w:tcPr>
          <w:p w:rsidR="00F8214A" w:rsidRPr="00816657" w:rsidRDefault="00F8214A" w:rsidP="00DF1E42">
            <w:pPr>
              <w:jc w:val="right"/>
              <w:cnfStyle w:val="000000000000"/>
              <w:rPr>
                <w:sz w:val="16"/>
                <w:szCs w:val="16"/>
              </w:rPr>
            </w:pPr>
            <w:r w:rsidRPr="00816657">
              <w:rPr>
                <w:sz w:val="16"/>
                <w:szCs w:val="16"/>
              </w:rPr>
              <w:t>3,499</w:t>
            </w:r>
          </w:p>
        </w:tc>
        <w:tc>
          <w:tcPr>
            <w:tcW w:w="675" w:type="dxa"/>
          </w:tcPr>
          <w:p w:rsidR="00F8214A" w:rsidRPr="00816657" w:rsidRDefault="00F8214A" w:rsidP="00DF1E42">
            <w:pPr>
              <w:jc w:val="right"/>
              <w:cnfStyle w:val="000000000000"/>
              <w:rPr>
                <w:sz w:val="16"/>
                <w:szCs w:val="16"/>
              </w:rPr>
            </w:pPr>
            <w:r w:rsidRPr="00816657">
              <w:rPr>
                <w:sz w:val="16"/>
                <w:szCs w:val="16"/>
              </w:rPr>
              <w:t>3,429</w:t>
            </w:r>
          </w:p>
        </w:tc>
        <w:tc>
          <w:tcPr>
            <w:tcW w:w="675" w:type="dxa"/>
          </w:tcPr>
          <w:p w:rsidR="00F8214A" w:rsidRPr="00816657" w:rsidRDefault="00F8214A" w:rsidP="00DF1E42">
            <w:pPr>
              <w:jc w:val="right"/>
              <w:cnfStyle w:val="000000000000"/>
              <w:rPr>
                <w:sz w:val="16"/>
                <w:szCs w:val="16"/>
              </w:rPr>
            </w:pPr>
            <w:r w:rsidRPr="00816657">
              <w:rPr>
                <w:sz w:val="16"/>
                <w:szCs w:val="16"/>
              </w:rPr>
              <w:t>3,360</w:t>
            </w:r>
          </w:p>
        </w:tc>
        <w:tc>
          <w:tcPr>
            <w:tcW w:w="675" w:type="dxa"/>
          </w:tcPr>
          <w:p w:rsidR="00F8214A" w:rsidRPr="00816657" w:rsidRDefault="00F8214A" w:rsidP="00DF1E42">
            <w:pPr>
              <w:jc w:val="right"/>
              <w:cnfStyle w:val="000000000000"/>
              <w:rPr>
                <w:sz w:val="16"/>
                <w:szCs w:val="16"/>
              </w:rPr>
            </w:pPr>
            <w:r w:rsidRPr="00816657">
              <w:rPr>
                <w:sz w:val="16"/>
                <w:szCs w:val="16"/>
              </w:rPr>
              <w:t>3,293</w:t>
            </w:r>
          </w:p>
        </w:tc>
        <w:tc>
          <w:tcPr>
            <w:tcW w:w="675" w:type="dxa"/>
          </w:tcPr>
          <w:p w:rsidR="00F8214A" w:rsidRPr="00816657" w:rsidRDefault="00F8214A" w:rsidP="00DF1E42">
            <w:pPr>
              <w:jc w:val="right"/>
              <w:cnfStyle w:val="000000000000"/>
              <w:rPr>
                <w:sz w:val="16"/>
                <w:szCs w:val="16"/>
              </w:rPr>
            </w:pPr>
            <w:r w:rsidRPr="00816657">
              <w:rPr>
                <w:sz w:val="16"/>
                <w:szCs w:val="16"/>
              </w:rPr>
              <w:t>3,227</w:t>
            </w:r>
          </w:p>
        </w:tc>
        <w:tc>
          <w:tcPr>
            <w:tcW w:w="675" w:type="dxa"/>
          </w:tcPr>
          <w:p w:rsidR="00F8214A" w:rsidRPr="00816657" w:rsidRDefault="00F8214A" w:rsidP="00DF1E42">
            <w:pPr>
              <w:jc w:val="right"/>
              <w:cnfStyle w:val="000000000000"/>
              <w:rPr>
                <w:sz w:val="16"/>
                <w:szCs w:val="16"/>
              </w:rPr>
            </w:pPr>
            <w:r w:rsidRPr="00816657">
              <w:rPr>
                <w:sz w:val="16"/>
                <w:szCs w:val="16"/>
              </w:rPr>
              <w:t>3,162</w:t>
            </w:r>
          </w:p>
        </w:tc>
        <w:tc>
          <w:tcPr>
            <w:tcW w:w="675" w:type="dxa"/>
          </w:tcPr>
          <w:p w:rsidR="00F8214A" w:rsidRPr="00816657" w:rsidRDefault="00F8214A" w:rsidP="00DF1E42">
            <w:pPr>
              <w:jc w:val="right"/>
              <w:cnfStyle w:val="000000000000"/>
              <w:rPr>
                <w:sz w:val="16"/>
                <w:szCs w:val="16"/>
              </w:rPr>
            </w:pPr>
            <w:r w:rsidRPr="00816657">
              <w:rPr>
                <w:sz w:val="16"/>
                <w:szCs w:val="16"/>
              </w:rPr>
              <w:t>3,099</w:t>
            </w:r>
          </w:p>
        </w:tc>
        <w:tc>
          <w:tcPr>
            <w:tcW w:w="675" w:type="dxa"/>
          </w:tcPr>
          <w:p w:rsidR="00F8214A" w:rsidRPr="00816657" w:rsidRDefault="00F8214A" w:rsidP="00DF1E42">
            <w:pPr>
              <w:jc w:val="right"/>
              <w:cnfStyle w:val="000000000000"/>
              <w:rPr>
                <w:sz w:val="16"/>
                <w:szCs w:val="16"/>
              </w:rPr>
            </w:pPr>
            <w:r w:rsidRPr="00816657">
              <w:rPr>
                <w:sz w:val="16"/>
                <w:szCs w:val="16"/>
              </w:rPr>
              <w:t>3,037</w:t>
            </w:r>
          </w:p>
        </w:tc>
        <w:tc>
          <w:tcPr>
            <w:tcW w:w="675" w:type="dxa"/>
          </w:tcPr>
          <w:p w:rsidR="00F8214A" w:rsidRPr="00816657" w:rsidRDefault="00F8214A" w:rsidP="00DF1E42">
            <w:pPr>
              <w:jc w:val="right"/>
              <w:cnfStyle w:val="000000000000"/>
              <w:rPr>
                <w:sz w:val="16"/>
                <w:szCs w:val="16"/>
              </w:rPr>
            </w:pPr>
            <w:r w:rsidRPr="00816657">
              <w:rPr>
                <w:sz w:val="16"/>
                <w:szCs w:val="16"/>
              </w:rPr>
              <w:t>2,976</w:t>
            </w:r>
          </w:p>
        </w:tc>
        <w:tc>
          <w:tcPr>
            <w:tcW w:w="675" w:type="dxa"/>
          </w:tcPr>
          <w:p w:rsidR="00F8214A" w:rsidRPr="00816657" w:rsidRDefault="00F8214A" w:rsidP="00DF1E42">
            <w:pPr>
              <w:jc w:val="right"/>
              <w:cnfStyle w:val="000000000000"/>
              <w:rPr>
                <w:sz w:val="16"/>
                <w:szCs w:val="16"/>
              </w:rPr>
            </w:pPr>
            <w:r w:rsidRPr="00816657">
              <w:rPr>
                <w:sz w:val="16"/>
                <w:szCs w:val="16"/>
              </w:rPr>
              <w:t>2,917</w:t>
            </w:r>
          </w:p>
        </w:tc>
        <w:tc>
          <w:tcPr>
            <w:tcW w:w="675" w:type="dxa"/>
          </w:tcPr>
          <w:p w:rsidR="00F8214A" w:rsidRPr="00816657" w:rsidRDefault="00F8214A" w:rsidP="00DF1E42">
            <w:pPr>
              <w:jc w:val="right"/>
              <w:cnfStyle w:val="000000000000"/>
              <w:rPr>
                <w:sz w:val="16"/>
                <w:szCs w:val="16"/>
              </w:rPr>
            </w:pPr>
            <w:r w:rsidRPr="00816657">
              <w:rPr>
                <w:sz w:val="16"/>
                <w:szCs w:val="16"/>
              </w:rPr>
              <w:t>2,859</w:t>
            </w:r>
          </w:p>
        </w:tc>
        <w:tc>
          <w:tcPr>
            <w:tcW w:w="675" w:type="dxa"/>
          </w:tcPr>
          <w:p w:rsidR="00F8214A" w:rsidRPr="00816657" w:rsidRDefault="00F8214A" w:rsidP="00DF1E42">
            <w:pPr>
              <w:jc w:val="right"/>
              <w:cnfStyle w:val="000000000000"/>
              <w:rPr>
                <w:sz w:val="16"/>
                <w:szCs w:val="16"/>
              </w:rPr>
            </w:pPr>
            <w:r w:rsidRPr="00816657">
              <w:rPr>
                <w:sz w:val="16"/>
                <w:szCs w:val="16"/>
              </w:rPr>
              <w:t>2,801</w:t>
            </w:r>
          </w:p>
        </w:tc>
        <w:tc>
          <w:tcPr>
            <w:tcW w:w="675" w:type="dxa"/>
          </w:tcPr>
          <w:p w:rsidR="00F8214A" w:rsidRPr="00816657" w:rsidRDefault="00F8214A" w:rsidP="00DF1E42">
            <w:pPr>
              <w:jc w:val="right"/>
              <w:cnfStyle w:val="000000000000"/>
              <w:rPr>
                <w:sz w:val="16"/>
                <w:szCs w:val="16"/>
              </w:rPr>
            </w:pPr>
            <w:r w:rsidRPr="00816657">
              <w:rPr>
                <w:sz w:val="16"/>
                <w:szCs w:val="16"/>
              </w:rPr>
              <w:t>2,745</w:t>
            </w:r>
          </w:p>
        </w:tc>
      </w:tr>
      <w:tr w:rsidR="00F8214A" w:rsidRPr="00816657" w:rsidTr="00F8214A">
        <w:tc>
          <w:tcPr>
            <w:cnfStyle w:val="001000000000"/>
            <w:tcW w:w="710" w:type="dxa"/>
          </w:tcPr>
          <w:p w:rsidR="00F8214A" w:rsidRPr="00816657" w:rsidRDefault="00F8214A" w:rsidP="00F8214A">
            <w:r w:rsidRPr="00816657">
              <w:t>Low</w:t>
            </w:r>
          </w:p>
        </w:tc>
        <w:tc>
          <w:tcPr>
            <w:tcW w:w="567" w:type="dxa"/>
          </w:tcPr>
          <w:p w:rsidR="00F8214A" w:rsidRPr="00816657" w:rsidRDefault="00F8214A" w:rsidP="00F8214A">
            <w:pPr>
              <w:cnfStyle w:val="000000000000"/>
            </w:pPr>
            <w:r w:rsidRPr="00816657">
              <w:t>Tas</w:t>
            </w:r>
          </w:p>
        </w:tc>
        <w:tc>
          <w:tcPr>
            <w:tcW w:w="675" w:type="dxa"/>
          </w:tcPr>
          <w:p w:rsidR="00F8214A" w:rsidRPr="00816657" w:rsidRDefault="00F8214A" w:rsidP="00DF1E42">
            <w:pPr>
              <w:jc w:val="right"/>
              <w:cnfStyle w:val="000000000000"/>
              <w:rPr>
                <w:sz w:val="16"/>
                <w:szCs w:val="16"/>
              </w:rPr>
            </w:pPr>
            <w:r w:rsidRPr="00816657">
              <w:rPr>
                <w:sz w:val="16"/>
                <w:szCs w:val="16"/>
              </w:rPr>
              <w:t>921</w:t>
            </w:r>
          </w:p>
        </w:tc>
        <w:tc>
          <w:tcPr>
            <w:tcW w:w="675" w:type="dxa"/>
          </w:tcPr>
          <w:p w:rsidR="00F8214A" w:rsidRPr="00816657" w:rsidRDefault="00F8214A" w:rsidP="00DF1E42">
            <w:pPr>
              <w:jc w:val="right"/>
              <w:cnfStyle w:val="000000000000"/>
              <w:rPr>
                <w:sz w:val="16"/>
                <w:szCs w:val="16"/>
              </w:rPr>
            </w:pPr>
            <w:r w:rsidRPr="00816657">
              <w:rPr>
                <w:sz w:val="16"/>
                <w:szCs w:val="16"/>
              </w:rPr>
              <w:t>902</w:t>
            </w:r>
          </w:p>
        </w:tc>
        <w:tc>
          <w:tcPr>
            <w:tcW w:w="675" w:type="dxa"/>
          </w:tcPr>
          <w:p w:rsidR="00F8214A" w:rsidRPr="00816657" w:rsidRDefault="00F8214A" w:rsidP="00DF1E42">
            <w:pPr>
              <w:jc w:val="right"/>
              <w:cnfStyle w:val="000000000000"/>
              <w:rPr>
                <w:sz w:val="16"/>
                <w:szCs w:val="16"/>
              </w:rPr>
            </w:pPr>
            <w:r w:rsidRPr="00816657">
              <w:rPr>
                <w:sz w:val="16"/>
                <w:szCs w:val="16"/>
              </w:rPr>
              <w:t>884</w:t>
            </w:r>
          </w:p>
        </w:tc>
        <w:tc>
          <w:tcPr>
            <w:tcW w:w="675" w:type="dxa"/>
          </w:tcPr>
          <w:p w:rsidR="00F8214A" w:rsidRPr="00816657" w:rsidRDefault="00F8214A" w:rsidP="00DF1E42">
            <w:pPr>
              <w:jc w:val="right"/>
              <w:cnfStyle w:val="000000000000"/>
              <w:rPr>
                <w:sz w:val="16"/>
                <w:szCs w:val="16"/>
              </w:rPr>
            </w:pPr>
            <w:r w:rsidRPr="00816657">
              <w:rPr>
                <w:sz w:val="16"/>
                <w:szCs w:val="16"/>
              </w:rPr>
              <w:t>867</w:t>
            </w:r>
          </w:p>
        </w:tc>
        <w:tc>
          <w:tcPr>
            <w:tcW w:w="675" w:type="dxa"/>
          </w:tcPr>
          <w:p w:rsidR="00F8214A" w:rsidRPr="00816657" w:rsidRDefault="00F8214A" w:rsidP="00DF1E42">
            <w:pPr>
              <w:jc w:val="right"/>
              <w:cnfStyle w:val="000000000000"/>
              <w:rPr>
                <w:sz w:val="16"/>
                <w:szCs w:val="16"/>
              </w:rPr>
            </w:pPr>
            <w:r w:rsidRPr="00816657">
              <w:rPr>
                <w:sz w:val="16"/>
                <w:szCs w:val="16"/>
              </w:rPr>
              <w:t>849</w:t>
            </w:r>
          </w:p>
        </w:tc>
        <w:tc>
          <w:tcPr>
            <w:tcW w:w="675" w:type="dxa"/>
          </w:tcPr>
          <w:p w:rsidR="00F8214A" w:rsidRPr="00816657" w:rsidRDefault="00F8214A" w:rsidP="00DF1E42">
            <w:pPr>
              <w:jc w:val="right"/>
              <w:cnfStyle w:val="000000000000"/>
              <w:rPr>
                <w:sz w:val="16"/>
                <w:szCs w:val="16"/>
              </w:rPr>
            </w:pPr>
            <w:r w:rsidRPr="00816657">
              <w:rPr>
                <w:sz w:val="16"/>
                <w:szCs w:val="16"/>
              </w:rPr>
              <w:t>832</w:t>
            </w:r>
          </w:p>
        </w:tc>
        <w:tc>
          <w:tcPr>
            <w:tcW w:w="675" w:type="dxa"/>
          </w:tcPr>
          <w:p w:rsidR="00F8214A" w:rsidRPr="00816657" w:rsidRDefault="00F8214A" w:rsidP="00DF1E42">
            <w:pPr>
              <w:jc w:val="right"/>
              <w:cnfStyle w:val="000000000000"/>
              <w:rPr>
                <w:sz w:val="16"/>
                <w:szCs w:val="16"/>
              </w:rPr>
            </w:pPr>
            <w:r w:rsidRPr="00816657">
              <w:rPr>
                <w:sz w:val="16"/>
                <w:szCs w:val="16"/>
              </w:rPr>
              <w:t>816</w:t>
            </w:r>
          </w:p>
        </w:tc>
        <w:tc>
          <w:tcPr>
            <w:tcW w:w="675" w:type="dxa"/>
          </w:tcPr>
          <w:p w:rsidR="00F8214A" w:rsidRPr="00816657" w:rsidRDefault="00F8214A" w:rsidP="00DF1E42">
            <w:pPr>
              <w:jc w:val="right"/>
              <w:cnfStyle w:val="000000000000"/>
              <w:rPr>
                <w:sz w:val="16"/>
                <w:szCs w:val="16"/>
              </w:rPr>
            </w:pPr>
            <w:r w:rsidRPr="00816657">
              <w:rPr>
                <w:sz w:val="16"/>
                <w:szCs w:val="16"/>
              </w:rPr>
              <w:t>799</w:t>
            </w:r>
          </w:p>
        </w:tc>
        <w:tc>
          <w:tcPr>
            <w:tcW w:w="675" w:type="dxa"/>
          </w:tcPr>
          <w:p w:rsidR="00F8214A" w:rsidRPr="00816657" w:rsidRDefault="00F8214A" w:rsidP="00DF1E42">
            <w:pPr>
              <w:jc w:val="right"/>
              <w:cnfStyle w:val="000000000000"/>
              <w:rPr>
                <w:sz w:val="16"/>
                <w:szCs w:val="16"/>
              </w:rPr>
            </w:pPr>
            <w:r w:rsidRPr="00816657">
              <w:rPr>
                <w:sz w:val="16"/>
                <w:szCs w:val="16"/>
              </w:rPr>
              <w:t>783</w:t>
            </w:r>
          </w:p>
        </w:tc>
        <w:tc>
          <w:tcPr>
            <w:tcW w:w="675" w:type="dxa"/>
          </w:tcPr>
          <w:p w:rsidR="00F8214A" w:rsidRPr="00816657" w:rsidRDefault="00F8214A" w:rsidP="00DF1E42">
            <w:pPr>
              <w:jc w:val="right"/>
              <w:cnfStyle w:val="000000000000"/>
              <w:rPr>
                <w:sz w:val="16"/>
                <w:szCs w:val="16"/>
              </w:rPr>
            </w:pPr>
            <w:r w:rsidRPr="00816657">
              <w:rPr>
                <w:sz w:val="16"/>
                <w:szCs w:val="16"/>
              </w:rPr>
              <w:t>768</w:t>
            </w:r>
          </w:p>
        </w:tc>
        <w:tc>
          <w:tcPr>
            <w:tcW w:w="675" w:type="dxa"/>
          </w:tcPr>
          <w:p w:rsidR="00F8214A" w:rsidRPr="00816657" w:rsidRDefault="00F8214A" w:rsidP="00DF1E42">
            <w:pPr>
              <w:jc w:val="right"/>
              <w:cnfStyle w:val="000000000000"/>
              <w:rPr>
                <w:sz w:val="16"/>
                <w:szCs w:val="16"/>
              </w:rPr>
            </w:pPr>
            <w:r w:rsidRPr="00816657">
              <w:rPr>
                <w:sz w:val="16"/>
                <w:szCs w:val="16"/>
              </w:rPr>
              <w:t>752</w:t>
            </w:r>
          </w:p>
        </w:tc>
        <w:tc>
          <w:tcPr>
            <w:tcW w:w="675" w:type="dxa"/>
          </w:tcPr>
          <w:p w:rsidR="00F8214A" w:rsidRPr="00816657" w:rsidRDefault="00F8214A" w:rsidP="00DF1E42">
            <w:pPr>
              <w:jc w:val="right"/>
              <w:cnfStyle w:val="000000000000"/>
              <w:rPr>
                <w:sz w:val="16"/>
                <w:szCs w:val="16"/>
              </w:rPr>
            </w:pPr>
            <w:r w:rsidRPr="00816657">
              <w:rPr>
                <w:sz w:val="16"/>
                <w:szCs w:val="16"/>
              </w:rPr>
              <w:t>737</w:t>
            </w:r>
          </w:p>
        </w:tc>
        <w:tc>
          <w:tcPr>
            <w:tcW w:w="675" w:type="dxa"/>
          </w:tcPr>
          <w:p w:rsidR="00F8214A" w:rsidRPr="00816657" w:rsidRDefault="00F8214A" w:rsidP="00DF1E42">
            <w:pPr>
              <w:jc w:val="right"/>
              <w:cnfStyle w:val="000000000000"/>
              <w:rPr>
                <w:sz w:val="16"/>
                <w:szCs w:val="16"/>
              </w:rPr>
            </w:pPr>
            <w:r w:rsidRPr="00816657">
              <w:rPr>
                <w:sz w:val="16"/>
                <w:szCs w:val="16"/>
              </w:rPr>
              <w:t>723</w:t>
            </w:r>
          </w:p>
        </w:tc>
        <w:tc>
          <w:tcPr>
            <w:tcW w:w="675" w:type="dxa"/>
          </w:tcPr>
          <w:p w:rsidR="00F8214A" w:rsidRPr="00816657" w:rsidRDefault="00F8214A" w:rsidP="00DF1E42">
            <w:pPr>
              <w:jc w:val="right"/>
              <w:cnfStyle w:val="000000000000"/>
              <w:rPr>
                <w:sz w:val="16"/>
                <w:szCs w:val="16"/>
              </w:rPr>
            </w:pPr>
            <w:r w:rsidRPr="00816657">
              <w:rPr>
                <w:sz w:val="16"/>
                <w:szCs w:val="16"/>
              </w:rPr>
              <w:t>708</w:t>
            </w:r>
          </w:p>
        </w:tc>
        <w:tc>
          <w:tcPr>
            <w:tcW w:w="675" w:type="dxa"/>
          </w:tcPr>
          <w:p w:rsidR="00F8214A" w:rsidRPr="00816657" w:rsidRDefault="00F8214A" w:rsidP="00DF1E42">
            <w:pPr>
              <w:jc w:val="right"/>
              <w:cnfStyle w:val="000000000000"/>
              <w:rPr>
                <w:sz w:val="16"/>
                <w:szCs w:val="16"/>
              </w:rPr>
            </w:pPr>
            <w:r w:rsidRPr="00816657">
              <w:rPr>
                <w:sz w:val="16"/>
                <w:szCs w:val="16"/>
              </w:rPr>
              <w:t>694</w:t>
            </w:r>
          </w:p>
        </w:tc>
        <w:tc>
          <w:tcPr>
            <w:tcW w:w="675" w:type="dxa"/>
          </w:tcPr>
          <w:p w:rsidR="00F8214A" w:rsidRPr="00816657" w:rsidRDefault="00F8214A" w:rsidP="00DF1E42">
            <w:pPr>
              <w:jc w:val="right"/>
              <w:cnfStyle w:val="000000000000"/>
              <w:rPr>
                <w:sz w:val="16"/>
                <w:szCs w:val="16"/>
              </w:rPr>
            </w:pPr>
            <w:r w:rsidRPr="00816657">
              <w:rPr>
                <w:sz w:val="16"/>
                <w:szCs w:val="16"/>
              </w:rPr>
              <w:t>680</w:t>
            </w:r>
          </w:p>
        </w:tc>
        <w:tc>
          <w:tcPr>
            <w:tcW w:w="675" w:type="dxa"/>
          </w:tcPr>
          <w:p w:rsidR="00F8214A" w:rsidRPr="00816657" w:rsidRDefault="00F8214A" w:rsidP="00DF1E42">
            <w:pPr>
              <w:jc w:val="right"/>
              <w:cnfStyle w:val="000000000000"/>
              <w:rPr>
                <w:sz w:val="16"/>
                <w:szCs w:val="16"/>
              </w:rPr>
            </w:pPr>
            <w:r w:rsidRPr="00816657">
              <w:rPr>
                <w:sz w:val="16"/>
                <w:szCs w:val="16"/>
              </w:rPr>
              <w:t>667</w:t>
            </w:r>
          </w:p>
        </w:tc>
        <w:tc>
          <w:tcPr>
            <w:tcW w:w="675" w:type="dxa"/>
          </w:tcPr>
          <w:p w:rsidR="00F8214A" w:rsidRPr="00816657" w:rsidRDefault="00F8214A" w:rsidP="00DF1E42">
            <w:pPr>
              <w:jc w:val="right"/>
              <w:cnfStyle w:val="000000000000"/>
              <w:rPr>
                <w:sz w:val="16"/>
                <w:szCs w:val="16"/>
              </w:rPr>
            </w:pPr>
            <w:r w:rsidRPr="00816657">
              <w:rPr>
                <w:sz w:val="16"/>
                <w:szCs w:val="16"/>
              </w:rPr>
              <w:t>653</w:t>
            </w:r>
          </w:p>
        </w:tc>
        <w:tc>
          <w:tcPr>
            <w:tcW w:w="675" w:type="dxa"/>
          </w:tcPr>
          <w:p w:rsidR="00F8214A" w:rsidRPr="00816657" w:rsidRDefault="00F8214A" w:rsidP="00DF1E42">
            <w:pPr>
              <w:jc w:val="right"/>
              <w:cnfStyle w:val="000000000000"/>
              <w:rPr>
                <w:sz w:val="16"/>
                <w:szCs w:val="16"/>
              </w:rPr>
            </w:pPr>
            <w:r w:rsidRPr="00816657">
              <w:rPr>
                <w:sz w:val="16"/>
                <w:szCs w:val="16"/>
              </w:rPr>
              <w:t>640</w:t>
            </w:r>
          </w:p>
        </w:tc>
        <w:tc>
          <w:tcPr>
            <w:tcW w:w="675" w:type="dxa"/>
          </w:tcPr>
          <w:p w:rsidR="00F8214A" w:rsidRPr="00816657" w:rsidRDefault="00F8214A" w:rsidP="00DF1E42">
            <w:pPr>
              <w:jc w:val="right"/>
              <w:cnfStyle w:val="000000000000"/>
              <w:rPr>
                <w:sz w:val="16"/>
                <w:szCs w:val="16"/>
              </w:rPr>
            </w:pPr>
            <w:r w:rsidRPr="00816657">
              <w:rPr>
                <w:sz w:val="16"/>
                <w:szCs w:val="16"/>
              </w:rPr>
              <w:t>627</w:t>
            </w:r>
          </w:p>
        </w:tc>
        <w:tc>
          <w:tcPr>
            <w:tcW w:w="675" w:type="dxa"/>
          </w:tcPr>
          <w:p w:rsidR="00F8214A" w:rsidRPr="00816657" w:rsidRDefault="00F8214A" w:rsidP="00DF1E42">
            <w:pPr>
              <w:jc w:val="right"/>
              <w:cnfStyle w:val="000000000000"/>
              <w:rPr>
                <w:sz w:val="16"/>
                <w:szCs w:val="16"/>
              </w:rPr>
            </w:pPr>
            <w:r w:rsidRPr="00816657">
              <w:rPr>
                <w:sz w:val="16"/>
                <w:szCs w:val="16"/>
              </w:rPr>
              <w:t>615</w:t>
            </w:r>
          </w:p>
        </w:tc>
      </w:tr>
      <w:tr w:rsidR="00F8214A" w:rsidRPr="00816657" w:rsidTr="00F8214A">
        <w:tc>
          <w:tcPr>
            <w:cnfStyle w:val="001000000000"/>
            <w:tcW w:w="710" w:type="dxa"/>
          </w:tcPr>
          <w:p w:rsidR="00F8214A" w:rsidRPr="00816657" w:rsidRDefault="00F8214A" w:rsidP="00F8214A">
            <w:r w:rsidRPr="00816657">
              <w:t>Low</w:t>
            </w:r>
          </w:p>
        </w:tc>
        <w:tc>
          <w:tcPr>
            <w:tcW w:w="567" w:type="dxa"/>
          </w:tcPr>
          <w:p w:rsidR="00F8214A" w:rsidRPr="00816657" w:rsidRDefault="00F8214A" w:rsidP="00F8214A">
            <w:pPr>
              <w:cnfStyle w:val="000000000000"/>
            </w:pPr>
            <w:r w:rsidRPr="00816657">
              <w:t>Vic</w:t>
            </w:r>
          </w:p>
        </w:tc>
        <w:tc>
          <w:tcPr>
            <w:tcW w:w="675" w:type="dxa"/>
          </w:tcPr>
          <w:p w:rsidR="00F8214A" w:rsidRPr="00816657" w:rsidRDefault="00F8214A" w:rsidP="00DF1E42">
            <w:pPr>
              <w:jc w:val="right"/>
              <w:cnfStyle w:val="000000000000"/>
              <w:rPr>
                <w:sz w:val="16"/>
                <w:szCs w:val="16"/>
              </w:rPr>
            </w:pPr>
            <w:r w:rsidRPr="00816657">
              <w:rPr>
                <w:sz w:val="16"/>
                <w:szCs w:val="16"/>
              </w:rPr>
              <w:t>52,156</w:t>
            </w:r>
          </w:p>
        </w:tc>
        <w:tc>
          <w:tcPr>
            <w:tcW w:w="675" w:type="dxa"/>
          </w:tcPr>
          <w:p w:rsidR="00F8214A" w:rsidRPr="00816657" w:rsidRDefault="00F8214A" w:rsidP="00DF1E42">
            <w:pPr>
              <w:jc w:val="right"/>
              <w:cnfStyle w:val="000000000000"/>
              <w:rPr>
                <w:sz w:val="16"/>
                <w:szCs w:val="16"/>
              </w:rPr>
            </w:pPr>
            <w:r w:rsidRPr="00816657">
              <w:rPr>
                <w:sz w:val="16"/>
                <w:szCs w:val="16"/>
              </w:rPr>
              <w:t>51,113</w:t>
            </w:r>
          </w:p>
        </w:tc>
        <w:tc>
          <w:tcPr>
            <w:tcW w:w="675" w:type="dxa"/>
          </w:tcPr>
          <w:p w:rsidR="00F8214A" w:rsidRPr="00816657" w:rsidRDefault="00F8214A" w:rsidP="00DF1E42">
            <w:pPr>
              <w:jc w:val="right"/>
              <w:cnfStyle w:val="000000000000"/>
              <w:rPr>
                <w:sz w:val="16"/>
                <w:szCs w:val="16"/>
              </w:rPr>
            </w:pPr>
            <w:r w:rsidRPr="00816657">
              <w:rPr>
                <w:sz w:val="16"/>
                <w:szCs w:val="16"/>
              </w:rPr>
              <w:t>50,091</w:t>
            </w:r>
          </w:p>
        </w:tc>
        <w:tc>
          <w:tcPr>
            <w:tcW w:w="675" w:type="dxa"/>
          </w:tcPr>
          <w:p w:rsidR="00F8214A" w:rsidRPr="00816657" w:rsidRDefault="00F8214A" w:rsidP="00DF1E42">
            <w:pPr>
              <w:jc w:val="right"/>
              <w:cnfStyle w:val="000000000000"/>
              <w:rPr>
                <w:sz w:val="16"/>
                <w:szCs w:val="16"/>
              </w:rPr>
            </w:pPr>
            <w:r w:rsidRPr="00816657">
              <w:rPr>
                <w:sz w:val="16"/>
                <w:szCs w:val="16"/>
              </w:rPr>
              <w:t>49,089</w:t>
            </w:r>
          </w:p>
        </w:tc>
        <w:tc>
          <w:tcPr>
            <w:tcW w:w="675" w:type="dxa"/>
          </w:tcPr>
          <w:p w:rsidR="00F8214A" w:rsidRPr="00816657" w:rsidRDefault="00F8214A" w:rsidP="00DF1E42">
            <w:pPr>
              <w:jc w:val="right"/>
              <w:cnfStyle w:val="000000000000"/>
              <w:rPr>
                <w:sz w:val="16"/>
                <w:szCs w:val="16"/>
              </w:rPr>
            </w:pPr>
            <w:r w:rsidRPr="00816657">
              <w:rPr>
                <w:sz w:val="16"/>
                <w:szCs w:val="16"/>
              </w:rPr>
              <w:t>48,107</w:t>
            </w:r>
          </w:p>
        </w:tc>
        <w:tc>
          <w:tcPr>
            <w:tcW w:w="675" w:type="dxa"/>
          </w:tcPr>
          <w:p w:rsidR="00F8214A" w:rsidRPr="00816657" w:rsidRDefault="00F8214A" w:rsidP="00DF1E42">
            <w:pPr>
              <w:jc w:val="right"/>
              <w:cnfStyle w:val="000000000000"/>
              <w:rPr>
                <w:sz w:val="16"/>
                <w:szCs w:val="16"/>
              </w:rPr>
            </w:pPr>
            <w:r w:rsidRPr="00816657">
              <w:rPr>
                <w:sz w:val="16"/>
                <w:szCs w:val="16"/>
              </w:rPr>
              <w:t>47,145</w:t>
            </w:r>
          </w:p>
        </w:tc>
        <w:tc>
          <w:tcPr>
            <w:tcW w:w="675" w:type="dxa"/>
          </w:tcPr>
          <w:p w:rsidR="00F8214A" w:rsidRPr="00816657" w:rsidRDefault="00F8214A" w:rsidP="00DF1E42">
            <w:pPr>
              <w:jc w:val="right"/>
              <w:cnfStyle w:val="000000000000"/>
              <w:rPr>
                <w:sz w:val="16"/>
                <w:szCs w:val="16"/>
              </w:rPr>
            </w:pPr>
            <w:r w:rsidRPr="00816657">
              <w:rPr>
                <w:sz w:val="16"/>
                <w:szCs w:val="16"/>
              </w:rPr>
              <w:t>46,202</w:t>
            </w:r>
          </w:p>
        </w:tc>
        <w:tc>
          <w:tcPr>
            <w:tcW w:w="675" w:type="dxa"/>
          </w:tcPr>
          <w:p w:rsidR="00F8214A" w:rsidRPr="00816657" w:rsidRDefault="00F8214A" w:rsidP="00DF1E42">
            <w:pPr>
              <w:jc w:val="right"/>
              <w:cnfStyle w:val="000000000000"/>
              <w:rPr>
                <w:sz w:val="16"/>
                <w:szCs w:val="16"/>
              </w:rPr>
            </w:pPr>
            <w:r w:rsidRPr="00816657">
              <w:rPr>
                <w:sz w:val="16"/>
                <w:szCs w:val="16"/>
              </w:rPr>
              <w:t>45,278</w:t>
            </w:r>
          </w:p>
        </w:tc>
        <w:tc>
          <w:tcPr>
            <w:tcW w:w="675" w:type="dxa"/>
          </w:tcPr>
          <w:p w:rsidR="00F8214A" w:rsidRPr="00816657" w:rsidRDefault="00F8214A" w:rsidP="00DF1E42">
            <w:pPr>
              <w:jc w:val="right"/>
              <w:cnfStyle w:val="000000000000"/>
              <w:rPr>
                <w:sz w:val="16"/>
                <w:szCs w:val="16"/>
              </w:rPr>
            </w:pPr>
            <w:r w:rsidRPr="00816657">
              <w:rPr>
                <w:sz w:val="16"/>
                <w:szCs w:val="16"/>
              </w:rPr>
              <w:t>44,373</w:t>
            </w:r>
          </w:p>
        </w:tc>
        <w:tc>
          <w:tcPr>
            <w:tcW w:w="675" w:type="dxa"/>
          </w:tcPr>
          <w:p w:rsidR="00F8214A" w:rsidRPr="00816657" w:rsidRDefault="00F8214A" w:rsidP="00DF1E42">
            <w:pPr>
              <w:jc w:val="right"/>
              <w:cnfStyle w:val="000000000000"/>
              <w:rPr>
                <w:sz w:val="16"/>
                <w:szCs w:val="16"/>
              </w:rPr>
            </w:pPr>
            <w:r w:rsidRPr="00816657">
              <w:rPr>
                <w:sz w:val="16"/>
                <w:szCs w:val="16"/>
              </w:rPr>
              <w:t>43,485</w:t>
            </w:r>
          </w:p>
        </w:tc>
        <w:tc>
          <w:tcPr>
            <w:tcW w:w="675" w:type="dxa"/>
          </w:tcPr>
          <w:p w:rsidR="00F8214A" w:rsidRPr="00816657" w:rsidRDefault="00F8214A" w:rsidP="00DF1E42">
            <w:pPr>
              <w:jc w:val="right"/>
              <w:cnfStyle w:val="000000000000"/>
              <w:rPr>
                <w:sz w:val="16"/>
                <w:szCs w:val="16"/>
              </w:rPr>
            </w:pPr>
            <w:r w:rsidRPr="00816657">
              <w:rPr>
                <w:sz w:val="16"/>
                <w:szCs w:val="16"/>
              </w:rPr>
              <w:t>42,616</w:t>
            </w:r>
          </w:p>
        </w:tc>
        <w:tc>
          <w:tcPr>
            <w:tcW w:w="675" w:type="dxa"/>
          </w:tcPr>
          <w:p w:rsidR="00F8214A" w:rsidRPr="00816657" w:rsidRDefault="00F8214A" w:rsidP="00DF1E42">
            <w:pPr>
              <w:jc w:val="right"/>
              <w:cnfStyle w:val="000000000000"/>
              <w:rPr>
                <w:sz w:val="16"/>
                <w:szCs w:val="16"/>
              </w:rPr>
            </w:pPr>
            <w:r w:rsidRPr="00816657">
              <w:rPr>
                <w:sz w:val="16"/>
                <w:szCs w:val="16"/>
              </w:rPr>
              <w:t>41,763</w:t>
            </w:r>
          </w:p>
        </w:tc>
        <w:tc>
          <w:tcPr>
            <w:tcW w:w="675" w:type="dxa"/>
          </w:tcPr>
          <w:p w:rsidR="00F8214A" w:rsidRPr="00816657" w:rsidRDefault="00F8214A" w:rsidP="00DF1E42">
            <w:pPr>
              <w:jc w:val="right"/>
              <w:cnfStyle w:val="000000000000"/>
              <w:rPr>
                <w:sz w:val="16"/>
                <w:szCs w:val="16"/>
              </w:rPr>
            </w:pPr>
            <w:r w:rsidRPr="00816657">
              <w:rPr>
                <w:sz w:val="16"/>
                <w:szCs w:val="16"/>
              </w:rPr>
              <w:t>40,928</w:t>
            </w:r>
          </w:p>
        </w:tc>
        <w:tc>
          <w:tcPr>
            <w:tcW w:w="675" w:type="dxa"/>
          </w:tcPr>
          <w:p w:rsidR="00F8214A" w:rsidRPr="00816657" w:rsidRDefault="00F8214A" w:rsidP="00DF1E42">
            <w:pPr>
              <w:jc w:val="right"/>
              <w:cnfStyle w:val="000000000000"/>
              <w:rPr>
                <w:sz w:val="16"/>
                <w:szCs w:val="16"/>
              </w:rPr>
            </w:pPr>
            <w:r w:rsidRPr="00816657">
              <w:rPr>
                <w:sz w:val="16"/>
                <w:szCs w:val="16"/>
              </w:rPr>
              <w:t>40,110</w:t>
            </w:r>
          </w:p>
        </w:tc>
        <w:tc>
          <w:tcPr>
            <w:tcW w:w="675" w:type="dxa"/>
          </w:tcPr>
          <w:p w:rsidR="00F8214A" w:rsidRPr="00816657" w:rsidRDefault="00F8214A" w:rsidP="00DF1E42">
            <w:pPr>
              <w:jc w:val="right"/>
              <w:cnfStyle w:val="000000000000"/>
              <w:rPr>
                <w:sz w:val="16"/>
                <w:szCs w:val="16"/>
              </w:rPr>
            </w:pPr>
            <w:r w:rsidRPr="00816657">
              <w:rPr>
                <w:sz w:val="16"/>
                <w:szCs w:val="16"/>
              </w:rPr>
              <w:t>39,307</w:t>
            </w:r>
          </w:p>
        </w:tc>
        <w:tc>
          <w:tcPr>
            <w:tcW w:w="675" w:type="dxa"/>
          </w:tcPr>
          <w:p w:rsidR="00F8214A" w:rsidRPr="00816657" w:rsidRDefault="00F8214A" w:rsidP="00DF1E42">
            <w:pPr>
              <w:jc w:val="right"/>
              <w:cnfStyle w:val="000000000000"/>
              <w:rPr>
                <w:sz w:val="16"/>
                <w:szCs w:val="16"/>
              </w:rPr>
            </w:pPr>
            <w:r w:rsidRPr="00816657">
              <w:rPr>
                <w:sz w:val="16"/>
                <w:szCs w:val="16"/>
              </w:rPr>
              <w:t>38,521</w:t>
            </w:r>
          </w:p>
        </w:tc>
        <w:tc>
          <w:tcPr>
            <w:tcW w:w="675" w:type="dxa"/>
          </w:tcPr>
          <w:p w:rsidR="00F8214A" w:rsidRPr="00816657" w:rsidRDefault="00F8214A" w:rsidP="00DF1E42">
            <w:pPr>
              <w:jc w:val="right"/>
              <w:cnfStyle w:val="000000000000"/>
              <w:rPr>
                <w:sz w:val="16"/>
                <w:szCs w:val="16"/>
              </w:rPr>
            </w:pPr>
            <w:r w:rsidRPr="00816657">
              <w:rPr>
                <w:sz w:val="16"/>
                <w:szCs w:val="16"/>
              </w:rPr>
              <w:t>37,751</w:t>
            </w:r>
          </w:p>
        </w:tc>
        <w:tc>
          <w:tcPr>
            <w:tcW w:w="675" w:type="dxa"/>
          </w:tcPr>
          <w:p w:rsidR="00F8214A" w:rsidRPr="00816657" w:rsidRDefault="00F8214A" w:rsidP="00DF1E42">
            <w:pPr>
              <w:jc w:val="right"/>
              <w:cnfStyle w:val="000000000000"/>
              <w:rPr>
                <w:sz w:val="16"/>
                <w:szCs w:val="16"/>
              </w:rPr>
            </w:pPr>
            <w:r w:rsidRPr="00816657">
              <w:rPr>
                <w:sz w:val="16"/>
                <w:szCs w:val="16"/>
              </w:rPr>
              <w:t>36,996</w:t>
            </w:r>
          </w:p>
        </w:tc>
        <w:tc>
          <w:tcPr>
            <w:tcW w:w="675" w:type="dxa"/>
          </w:tcPr>
          <w:p w:rsidR="00F8214A" w:rsidRPr="00816657" w:rsidRDefault="00F8214A" w:rsidP="00DF1E42">
            <w:pPr>
              <w:jc w:val="right"/>
              <w:cnfStyle w:val="000000000000"/>
              <w:rPr>
                <w:sz w:val="16"/>
                <w:szCs w:val="16"/>
              </w:rPr>
            </w:pPr>
            <w:r w:rsidRPr="00816657">
              <w:rPr>
                <w:sz w:val="16"/>
                <w:szCs w:val="16"/>
              </w:rPr>
              <w:t>36,256</w:t>
            </w:r>
          </w:p>
        </w:tc>
        <w:tc>
          <w:tcPr>
            <w:tcW w:w="675" w:type="dxa"/>
          </w:tcPr>
          <w:p w:rsidR="00F8214A" w:rsidRPr="00816657" w:rsidRDefault="00F8214A" w:rsidP="00DF1E42">
            <w:pPr>
              <w:jc w:val="right"/>
              <w:cnfStyle w:val="000000000000"/>
              <w:rPr>
                <w:sz w:val="16"/>
                <w:szCs w:val="16"/>
              </w:rPr>
            </w:pPr>
            <w:r w:rsidRPr="00816657">
              <w:rPr>
                <w:sz w:val="16"/>
                <w:szCs w:val="16"/>
              </w:rPr>
              <w:t>35,531</w:t>
            </w:r>
          </w:p>
        </w:tc>
        <w:tc>
          <w:tcPr>
            <w:tcW w:w="675" w:type="dxa"/>
          </w:tcPr>
          <w:p w:rsidR="00F8214A" w:rsidRPr="00816657" w:rsidRDefault="00F8214A" w:rsidP="00DF1E42">
            <w:pPr>
              <w:jc w:val="right"/>
              <w:cnfStyle w:val="000000000000"/>
              <w:rPr>
                <w:sz w:val="16"/>
                <w:szCs w:val="16"/>
              </w:rPr>
            </w:pPr>
            <w:r w:rsidRPr="00816657">
              <w:rPr>
                <w:sz w:val="16"/>
                <w:szCs w:val="16"/>
              </w:rPr>
              <w:t>34,820</w:t>
            </w:r>
          </w:p>
        </w:tc>
      </w:tr>
      <w:tr w:rsidR="00F8214A" w:rsidRPr="00816657" w:rsidTr="00F8214A">
        <w:tc>
          <w:tcPr>
            <w:cnfStyle w:val="001000000000"/>
            <w:tcW w:w="710" w:type="dxa"/>
          </w:tcPr>
          <w:p w:rsidR="00F8214A" w:rsidRPr="00816657" w:rsidRDefault="00F8214A" w:rsidP="00F8214A">
            <w:r w:rsidRPr="00816657">
              <w:t>Low</w:t>
            </w:r>
          </w:p>
        </w:tc>
        <w:tc>
          <w:tcPr>
            <w:tcW w:w="567" w:type="dxa"/>
          </w:tcPr>
          <w:p w:rsidR="00F8214A" w:rsidRPr="00816657" w:rsidRDefault="00F8214A" w:rsidP="00F8214A">
            <w:pPr>
              <w:cnfStyle w:val="000000000000"/>
            </w:pPr>
            <w:r w:rsidRPr="00816657">
              <w:t>WA</w:t>
            </w:r>
          </w:p>
        </w:tc>
        <w:tc>
          <w:tcPr>
            <w:tcW w:w="675" w:type="dxa"/>
          </w:tcPr>
          <w:p w:rsidR="00F8214A" w:rsidRPr="00816657" w:rsidRDefault="00F8214A" w:rsidP="00DF1E42">
            <w:pPr>
              <w:jc w:val="right"/>
              <w:cnfStyle w:val="000000000000"/>
              <w:rPr>
                <w:sz w:val="16"/>
                <w:szCs w:val="16"/>
              </w:rPr>
            </w:pPr>
            <w:r w:rsidRPr="00816657">
              <w:rPr>
                <w:sz w:val="16"/>
                <w:szCs w:val="16"/>
              </w:rPr>
              <w:t>6,132</w:t>
            </w:r>
          </w:p>
        </w:tc>
        <w:tc>
          <w:tcPr>
            <w:tcW w:w="675" w:type="dxa"/>
          </w:tcPr>
          <w:p w:rsidR="00F8214A" w:rsidRPr="00816657" w:rsidRDefault="00F8214A" w:rsidP="00DF1E42">
            <w:pPr>
              <w:jc w:val="right"/>
              <w:cnfStyle w:val="000000000000"/>
              <w:rPr>
                <w:sz w:val="16"/>
                <w:szCs w:val="16"/>
              </w:rPr>
            </w:pPr>
            <w:r w:rsidRPr="00816657">
              <w:rPr>
                <w:sz w:val="16"/>
                <w:szCs w:val="16"/>
              </w:rPr>
              <w:t>6,009</w:t>
            </w:r>
          </w:p>
        </w:tc>
        <w:tc>
          <w:tcPr>
            <w:tcW w:w="675" w:type="dxa"/>
          </w:tcPr>
          <w:p w:rsidR="00F8214A" w:rsidRPr="00816657" w:rsidRDefault="00F8214A" w:rsidP="00DF1E42">
            <w:pPr>
              <w:jc w:val="right"/>
              <w:cnfStyle w:val="000000000000"/>
              <w:rPr>
                <w:sz w:val="16"/>
                <w:szCs w:val="16"/>
              </w:rPr>
            </w:pPr>
            <w:r w:rsidRPr="00816657">
              <w:rPr>
                <w:sz w:val="16"/>
                <w:szCs w:val="16"/>
              </w:rPr>
              <w:t>5,889</w:t>
            </w:r>
          </w:p>
        </w:tc>
        <w:tc>
          <w:tcPr>
            <w:tcW w:w="675" w:type="dxa"/>
          </w:tcPr>
          <w:p w:rsidR="00F8214A" w:rsidRPr="00816657" w:rsidRDefault="00F8214A" w:rsidP="00DF1E42">
            <w:pPr>
              <w:jc w:val="right"/>
              <w:cnfStyle w:val="000000000000"/>
              <w:rPr>
                <w:sz w:val="16"/>
                <w:szCs w:val="16"/>
              </w:rPr>
            </w:pPr>
            <w:r w:rsidRPr="00816657">
              <w:rPr>
                <w:sz w:val="16"/>
                <w:szCs w:val="16"/>
              </w:rPr>
              <w:t>5,771</w:t>
            </w:r>
          </w:p>
        </w:tc>
        <w:tc>
          <w:tcPr>
            <w:tcW w:w="675" w:type="dxa"/>
          </w:tcPr>
          <w:p w:rsidR="00F8214A" w:rsidRPr="00816657" w:rsidRDefault="00F8214A" w:rsidP="00DF1E42">
            <w:pPr>
              <w:jc w:val="right"/>
              <w:cnfStyle w:val="000000000000"/>
              <w:rPr>
                <w:sz w:val="16"/>
                <w:szCs w:val="16"/>
              </w:rPr>
            </w:pPr>
            <w:r w:rsidRPr="00816657">
              <w:rPr>
                <w:sz w:val="16"/>
                <w:szCs w:val="16"/>
              </w:rPr>
              <w:t>5,656</w:t>
            </w:r>
          </w:p>
        </w:tc>
        <w:tc>
          <w:tcPr>
            <w:tcW w:w="675" w:type="dxa"/>
          </w:tcPr>
          <w:p w:rsidR="00F8214A" w:rsidRPr="00816657" w:rsidRDefault="00F8214A" w:rsidP="00DF1E42">
            <w:pPr>
              <w:jc w:val="right"/>
              <w:cnfStyle w:val="000000000000"/>
              <w:rPr>
                <w:sz w:val="16"/>
                <w:szCs w:val="16"/>
              </w:rPr>
            </w:pPr>
            <w:r w:rsidRPr="00816657">
              <w:rPr>
                <w:sz w:val="16"/>
                <w:szCs w:val="16"/>
              </w:rPr>
              <w:t>5,543</w:t>
            </w:r>
          </w:p>
        </w:tc>
        <w:tc>
          <w:tcPr>
            <w:tcW w:w="675" w:type="dxa"/>
          </w:tcPr>
          <w:p w:rsidR="00F8214A" w:rsidRPr="00816657" w:rsidRDefault="00F8214A" w:rsidP="00DF1E42">
            <w:pPr>
              <w:jc w:val="right"/>
              <w:cnfStyle w:val="000000000000"/>
              <w:rPr>
                <w:sz w:val="16"/>
                <w:szCs w:val="16"/>
              </w:rPr>
            </w:pPr>
            <w:r w:rsidRPr="00816657">
              <w:rPr>
                <w:sz w:val="16"/>
                <w:szCs w:val="16"/>
              </w:rPr>
              <w:t>5,432</w:t>
            </w:r>
          </w:p>
        </w:tc>
        <w:tc>
          <w:tcPr>
            <w:tcW w:w="675" w:type="dxa"/>
          </w:tcPr>
          <w:p w:rsidR="00F8214A" w:rsidRPr="00816657" w:rsidRDefault="00F8214A" w:rsidP="00DF1E42">
            <w:pPr>
              <w:jc w:val="right"/>
              <w:cnfStyle w:val="000000000000"/>
              <w:rPr>
                <w:sz w:val="16"/>
                <w:szCs w:val="16"/>
              </w:rPr>
            </w:pPr>
            <w:r w:rsidRPr="00816657">
              <w:rPr>
                <w:sz w:val="16"/>
                <w:szCs w:val="16"/>
              </w:rPr>
              <w:t>5,323</w:t>
            </w:r>
          </w:p>
        </w:tc>
        <w:tc>
          <w:tcPr>
            <w:tcW w:w="675" w:type="dxa"/>
          </w:tcPr>
          <w:p w:rsidR="00F8214A" w:rsidRPr="00816657" w:rsidRDefault="00F8214A" w:rsidP="00DF1E42">
            <w:pPr>
              <w:jc w:val="right"/>
              <w:cnfStyle w:val="000000000000"/>
              <w:rPr>
                <w:sz w:val="16"/>
                <w:szCs w:val="16"/>
              </w:rPr>
            </w:pPr>
            <w:r w:rsidRPr="00816657">
              <w:rPr>
                <w:sz w:val="16"/>
                <w:szCs w:val="16"/>
              </w:rPr>
              <w:t>5,217</w:t>
            </w:r>
          </w:p>
        </w:tc>
        <w:tc>
          <w:tcPr>
            <w:tcW w:w="675" w:type="dxa"/>
          </w:tcPr>
          <w:p w:rsidR="00F8214A" w:rsidRPr="00816657" w:rsidRDefault="00F8214A" w:rsidP="00DF1E42">
            <w:pPr>
              <w:jc w:val="right"/>
              <w:cnfStyle w:val="000000000000"/>
              <w:rPr>
                <w:sz w:val="16"/>
                <w:szCs w:val="16"/>
              </w:rPr>
            </w:pPr>
            <w:r w:rsidRPr="00816657">
              <w:rPr>
                <w:sz w:val="16"/>
                <w:szCs w:val="16"/>
              </w:rPr>
              <w:t>5,113</w:t>
            </w:r>
          </w:p>
        </w:tc>
        <w:tc>
          <w:tcPr>
            <w:tcW w:w="675" w:type="dxa"/>
          </w:tcPr>
          <w:p w:rsidR="00F8214A" w:rsidRPr="00816657" w:rsidRDefault="00F8214A" w:rsidP="00DF1E42">
            <w:pPr>
              <w:jc w:val="right"/>
              <w:cnfStyle w:val="000000000000"/>
              <w:rPr>
                <w:sz w:val="16"/>
                <w:szCs w:val="16"/>
              </w:rPr>
            </w:pPr>
            <w:r w:rsidRPr="00816657">
              <w:rPr>
                <w:sz w:val="16"/>
                <w:szCs w:val="16"/>
              </w:rPr>
              <w:t>5,010</w:t>
            </w:r>
          </w:p>
        </w:tc>
        <w:tc>
          <w:tcPr>
            <w:tcW w:w="675" w:type="dxa"/>
          </w:tcPr>
          <w:p w:rsidR="00F8214A" w:rsidRPr="00816657" w:rsidRDefault="00F8214A" w:rsidP="00DF1E42">
            <w:pPr>
              <w:jc w:val="right"/>
              <w:cnfStyle w:val="000000000000"/>
              <w:rPr>
                <w:sz w:val="16"/>
                <w:szCs w:val="16"/>
              </w:rPr>
            </w:pPr>
            <w:r w:rsidRPr="00816657">
              <w:rPr>
                <w:sz w:val="16"/>
                <w:szCs w:val="16"/>
              </w:rPr>
              <w:t>4,910</w:t>
            </w:r>
          </w:p>
        </w:tc>
        <w:tc>
          <w:tcPr>
            <w:tcW w:w="675" w:type="dxa"/>
          </w:tcPr>
          <w:p w:rsidR="00F8214A" w:rsidRPr="00816657" w:rsidRDefault="00F8214A" w:rsidP="00DF1E42">
            <w:pPr>
              <w:jc w:val="right"/>
              <w:cnfStyle w:val="000000000000"/>
              <w:rPr>
                <w:sz w:val="16"/>
                <w:szCs w:val="16"/>
              </w:rPr>
            </w:pPr>
            <w:r w:rsidRPr="00816657">
              <w:rPr>
                <w:sz w:val="16"/>
                <w:szCs w:val="16"/>
              </w:rPr>
              <w:t>4,812</w:t>
            </w:r>
          </w:p>
        </w:tc>
        <w:tc>
          <w:tcPr>
            <w:tcW w:w="675" w:type="dxa"/>
          </w:tcPr>
          <w:p w:rsidR="00F8214A" w:rsidRPr="00816657" w:rsidRDefault="00F8214A" w:rsidP="00DF1E42">
            <w:pPr>
              <w:jc w:val="right"/>
              <w:cnfStyle w:val="000000000000"/>
              <w:rPr>
                <w:sz w:val="16"/>
                <w:szCs w:val="16"/>
              </w:rPr>
            </w:pPr>
            <w:r w:rsidRPr="00816657">
              <w:rPr>
                <w:sz w:val="16"/>
                <w:szCs w:val="16"/>
              </w:rPr>
              <w:t>4,716</w:t>
            </w:r>
          </w:p>
        </w:tc>
        <w:tc>
          <w:tcPr>
            <w:tcW w:w="675" w:type="dxa"/>
          </w:tcPr>
          <w:p w:rsidR="00F8214A" w:rsidRPr="00816657" w:rsidRDefault="00F8214A" w:rsidP="00DF1E42">
            <w:pPr>
              <w:jc w:val="right"/>
              <w:cnfStyle w:val="000000000000"/>
              <w:rPr>
                <w:sz w:val="16"/>
                <w:szCs w:val="16"/>
              </w:rPr>
            </w:pPr>
            <w:r w:rsidRPr="00816657">
              <w:rPr>
                <w:sz w:val="16"/>
                <w:szCs w:val="16"/>
              </w:rPr>
              <w:t>4,621</w:t>
            </w:r>
          </w:p>
        </w:tc>
        <w:tc>
          <w:tcPr>
            <w:tcW w:w="675" w:type="dxa"/>
          </w:tcPr>
          <w:p w:rsidR="00F8214A" w:rsidRPr="00816657" w:rsidRDefault="00F8214A" w:rsidP="00DF1E42">
            <w:pPr>
              <w:jc w:val="right"/>
              <w:cnfStyle w:val="000000000000"/>
              <w:rPr>
                <w:sz w:val="16"/>
                <w:szCs w:val="16"/>
              </w:rPr>
            </w:pPr>
            <w:r w:rsidRPr="00816657">
              <w:rPr>
                <w:sz w:val="16"/>
                <w:szCs w:val="16"/>
              </w:rPr>
              <w:t>4,529</w:t>
            </w:r>
          </w:p>
        </w:tc>
        <w:tc>
          <w:tcPr>
            <w:tcW w:w="675" w:type="dxa"/>
          </w:tcPr>
          <w:p w:rsidR="00F8214A" w:rsidRPr="00816657" w:rsidRDefault="00F8214A" w:rsidP="00DF1E42">
            <w:pPr>
              <w:jc w:val="right"/>
              <w:cnfStyle w:val="000000000000"/>
              <w:rPr>
                <w:sz w:val="16"/>
                <w:szCs w:val="16"/>
              </w:rPr>
            </w:pPr>
            <w:r w:rsidRPr="00816657">
              <w:rPr>
                <w:sz w:val="16"/>
                <w:szCs w:val="16"/>
              </w:rPr>
              <w:t>4,438</w:t>
            </w:r>
          </w:p>
        </w:tc>
        <w:tc>
          <w:tcPr>
            <w:tcW w:w="675" w:type="dxa"/>
          </w:tcPr>
          <w:p w:rsidR="00F8214A" w:rsidRPr="00816657" w:rsidRDefault="00F8214A" w:rsidP="00DF1E42">
            <w:pPr>
              <w:jc w:val="right"/>
              <w:cnfStyle w:val="000000000000"/>
              <w:rPr>
                <w:sz w:val="16"/>
                <w:szCs w:val="16"/>
              </w:rPr>
            </w:pPr>
            <w:r w:rsidRPr="00816657">
              <w:rPr>
                <w:sz w:val="16"/>
                <w:szCs w:val="16"/>
              </w:rPr>
              <w:t>4,350</w:t>
            </w:r>
          </w:p>
        </w:tc>
        <w:tc>
          <w:tcPr>
            <w:tcW w:w="675" w:type="dxa"/>
          </w:tcPr>
          <w:p w:rsidR="00F8214A" w:rsidRPr="00816657" w:rsidRDefault="00F8214A" w:rsidP="00DF1E42">
            <w:pPr>
              <w:jc w:val="right"/>
              <w:cnfStyle w:val="000000000000"/>
              <w:rPr>
                <w:sz w:val="16"/>
                <w:szCs w:val="16"/>
              </w:rPr>
            </w:pPr>
            <w:r w:rsidRPr="00816657">
              <w:rPr>
                <w:sz w:val="16"/>
                <w:szCs w:val="16"/>
              </w:rPr>
              <w:t>4,263</w:t>
            </w:r>
          </w:p>
        </w:tc>
        <w:tc>
          <w:tcPr>
            <w:tcW w:w="675" w:type="dxa"/>
          </w:tcPr>
          <w:p w:rsidR="00F8214A" w:rsidRPr="00816657" w:rsidRDefault="00F8214A" w:rsidP="00DF1E42">
            <w:pPr>
              <w:jc w:val="right"/>
              <w:cnfStyle w:val="000000000000"/>
              <w:rPr>
                <w:sz w:val="16"/>
                <w:szCs w:val="16"/>
              </w:rPr>
            </w:pPr>
            <w:r w:rsidRPr="00816657">
              <w:rPr>
                <w:sz w:val="16"/>
                <w:szCs w:val="16"/>
              </w:rPr>
              <w:t>4,177</w:t>
            </w:r>
          </w:p>
        </w:tc>
        <w:tc>
          <w:tcPr>
            <w:tcW w:w="675" w:type="dxa"/>
          </w:tcPr>
          <w:p w:rsidR="00F8214A" w:rsidRPr="00816657" w:rsidRDefault="00F8214A" w:rsidP="00DF1E42">
            <w:pPr>
              <w:jc w:val="right"/>
              <w:cnfStyle w:val="000000000000"/>
              <w:rPr>
                <w:sz w:val="16"/>
                <w:szCs w:val="16"/>
              </w:rPr>
            </w:pPr>
            <w:r w:rsidRPr="00816657">
              <w:rPr>
                <w:sz w:val="16"/>
                <w:szCs w:val="16"/>
              </w:rPr>
              <w:t>4,094</w:t>
            </w:r>
          </w:p>
        </w:tc>
      </w:tr>
    </w:tbl>
    <w:p w:rsidR="00EA7F18" w:rsidRPr="00816657" w:rsidRDefault="00EA7F18">
      <w:pPr>
        <w:spacing w:line="240" w:lineRule="auto"/>
        <w:sectPr w:rsidR="00EA7F18" w:rsidRPr="00816657" w:rsidSect="003F1105">
          <w:headerReference w:type="even" r:id="rId94"/>
          <w:headerReference w:type="default" r:id="rId95"/>
          <w:footerReference w:type="even" r:id="rId96"/>
          <w:footerReference w:type="default" r:id="rId97"/>
          <w:headerReference w:type="first" r:id="rId98"/>
          <w:footerReference w:type="first" r:id="rId99"/>
          <w:pgSz w:w="16840" w:h="11907" w:orient="landscape" w:code="9"/>
          <w:pgMar w:top="1417" w:right="1134" w:bottom="1276" w:left="1134" w:header="709" w:footer="567" w:gutter="0"/>
          <w:cols w:space="708"/>
          <w:docGrid w:linePitch="360"/>
        </w:sectPr>
      </w:pPr>
    </w:p>
    <w:p w:rsidR="00EA7F18" w:rsidRPr="00816657" w:rsidRDefault="00EA7F18" w:rsidP="00655F62">
      <w:pPr>
        <w:pStyle w:val="Figures"/>
      </w:pPr>
      <w:bookmarkStart w:id="170" w:name="_Toc425849244"/>
      <w:r w:rsidRPr="00816657">
        <w:lastRenderedPageBreak/>
        <w:t xml:space="preserve">Figure </w:t>
      </w:r>
      <w:fldSimple w:instr=" SEQ Figure \* ARABIC ">
        <w:r w:rsidR="002F3000">
          <w:rPr>
            <w:noProof/>
          </w:rPr>
          <w:t>26</w:t>
        </w:r>
      </w:fldSimple>
      <w:r w:rsidRPr="00816657">
        <w:t xml:space="preserve">: </w:t>
      </w:r>
      <w:r w:rsidRPr="00816657">
        <w:tab/>
        <w:t>Best, high</w:t>
      </w:r>
      <w:r w:rsidR="005D12E7" w:rsidRPr="00816657">
        <w:rPr>
          <w:rStyle w:val="FootnoteReference"/>
        </w:rPr>
        <w:footnoteReference w:id="14"/>
      </w:r>
      <w:r w:rsidRPr="00816657">
        <w:t xml:space="preserve"> and low national projection estimates of contaminated biosolids waste to 2034</w:t>
      </w:r>
      <w:bookmarkEnd w:id="170"/>
    </w:p>
    <w:p w:rsidR="00EA7F18" w:rsidRDefault="00C05ED6">
      <w:pPr>
        <w:spacing w:line="240" w:lineRule="auto"/>
      </w:pPr>
      <w:r w:rsidRPr="00C05ED6">
        <w:rPr>
          <w:noProof/>
          <w:lang w:eastAsia="en-AU"/>
        </w:rPr>
        <w:drawing>
          <wp:inline distT="0" distB="0" distL="0" distR="0">
            <wp:extent cx="5057143" cy="3047619"/>
            <wp:effectExtent l="0" t="0" r="0" b="63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057143" cy="3047619"/>
                    </a:xfrm>
                    <a:prstGeom prst="rect">
                      <a:avLst/>
                    </a:prstGeom>
                  </pic:spPr>
                </pic:pic>
              </a:graphicData>
            </a:graphic>
          </wp:inline>
        </w:drawing>
      </w:r>
    </w:p>
    <w:p w:rsidR="00750B8A" w:rsidRPr="00816657" w:rsidRDefault="00750B8A" w:rsidP="00750B8A">
      <w:pPr>
        <w:pStyle w:val="FigureTableinfo"/>
      </w:pPr>
      <w:r>
        <w:t>The peculiar shape of the high estimate is associated with releases from the large Victorian stockpile of contaminated biosolids</w:t>
      </w:r>
    </w:p>
    <w:p w:rsidR="00EA7F18" w:rsidRPr="00816657" w:rsidRDefault="00EA7F18">
      <w:pPr>
        <w:spacing w:line="240" w:lineRule="auto"/>
      </w:pPr>
    </w:p>
    <w:p w:rsidR="00EA7F18" w:rsidRPr="00816657" w:rsidRDefault="00EA7F18">
      <w:pPr>
        <w:spacing w:line="240" w:lineRule="auto"/>
      </w:pPr>
    </w:p>
    <w:p w:rsidR="00EA7F18" w:rsidRPr="00816657" w:rsidRDefault="00EA7F18">
      <w:pPr>
        <w:spacing w:line="240" w:lineRule="auto"/>
      </w:pPr>
    </w:p>
    <w:p w:rsidR="00EA7F18" w:rsidRPr="00816657" w:rsidRDefault="00EA7F18">
      <w:pPr>
        <w:spacing w:line="240" w:lineRule="auto"/>
      </w:pPr>
    </w:p>
    <w:p w:rsidR="00EA7F18" w:rsidRPr="00816657" w:rsidRDefault="00EA7F18">
      <w:pPr>
        <w:spacing w:line="240" w:lineRule="auto"/>
      </w:pPr>
    </w:p>
    <w:p w:rsidR="00EA7F18" w:rsidRPr="00816657" w:rsidRDefault="00EA7F18">
      <w:pPr>
        <w:spacing w:line="240" w:lineRule="auto"/>
        <w:sectPr w:rsidR="00EA7F18" w:rsidRPr="00816657" w:rsidSect="00EA7F18">
          <w:headerReference w:type="even" r:id="rId101"/>
          <w:headerReference w:type="default" r:id="rId102"/>
          <w:footerReference w:type="even" r:id="rId103"/>
          <w:footerReference w:type="default" r:id="rId104"/>
          <w:headerReference w:type="first" r:id="rId105"/>
          <w:footerReference w:type="first" r:id="rId106"/>
          <w:pgSz w:w="11907" w:h="16840" w:code="9"/>
          <w:pgMar w:top="1531" w:right="1077" w:bottom="1417" w:left="1304" w:header="709" w:footer="709" w:gutter="0"/>
          <w:cols w:space="708"/>
          <w:docGrid w:linePitch="360"/>
        </w:sectPr>
      </w:pPr>
    </w:p>
    <w:p w:rsidR="00D92260" w:rsidRPr="00816657" w:rsidRDefault="00D92260" w:rsidP="0093164B">
      <w:pPr>
        <w:pStyle w:val="Heading3"/>
      </w:pPr>
      <w:r w:rsidRPr="00816657">
        <w:lastRenderedPageBreak/>
        <w:t>N205b. Other industrial treatment residues</w:t>
      </w:r>
    </w:p>
    <w:p w:rsidR="005F1AA7" w:rsidRPr="005F1AA7" w:rsidRDefault="005F1AA7" w:rsidP="00690D9F">
      <w:pPr>
        <w:pStyle w:val="BodyText"/>
      </w:pPr>
      <w:r w:rsidRPr="005F1AA7">
        <w:t xml:space="preserve">This category covers the single NEPM code </w:t>
      </w:r>
      <w:r w:rsidRPr="005F1AA7">
        <w:rPr>
          <w:i/>
        </w:rPr>
        <w:t>N205 Residues from industrial waste treatment/disposal operations</w:t>
      </w:r>
      <w:r w:rsidRPr="005F1AA7">
        <w:t xml:space="preserve">. For this project we rebadge this material as </w:t>
      </w:r>
      <w:r w:rsidRPr="005F1AA7">
        <w:rPr>
          <w:i/>
        </w:rPr>
        <w:t xml:space="preserve">N205b. </w:t>
      </w:r>
      <w:proofErr w:type="gramStart"/>
      <w:r w:rsidRPr="005F1AA7">
        <w:rPr>
          <w:i/>
        </w:rPr>
        <w:t>Other industrial treatment residues</w:t>
      </w:r>
      <w:r w:rsidRPr="005F1AA7">
        <w:t xml:space="preserve"> to distinguish it from </w:t>
      </w:r>
      <w:r>
        <w:t xml:space="preserve">contaminated </w:t>
      </w:r>
      <w:r w:rsidRPr="005F1AA7">
        <w:t>biosolids, which are not typically reported in jurisdictional tracking systems, and which we characterise as N205a.</w:t>
      </w:r>
      <w:proofErr w:type="gramEnd"/>
      <w:r w:rsidRPr="005F1AA7">
        <w:t xml:space="preserve"> This NEPM group considers N205b, industrial treatment residues, not including any biosolids</w:t>
      </w:r>
      <w:r w:rsidR="00B9737F">
        <w:t xml:space="preserve"> (contaminated or not contaminated)</w:t>
      </w:r>
      <w:r w:rsidRPr="005F1AA7">
        <w:t>.</w:t>
      </w:r>
    </w:p>
    <w:p w:rsidR="005F1AA7" w:rsidRDefault="005F1AA7" w:rsidP="00690D9F">
      <w:pPr>
        <w:pStyle w:val="BodyText"/>
        <w:rPr>
          <w:b/>
        </w:rPr>
      </w:pPr>
    </w:p>
    <w:p w:rsidR="00EA7F18" w:rsidRPr="00816657" w:rsidRDefault="00EA7F18" w:rsidP="00EA7F18">
      <w:pPr>
        <w:pStyle w:val="BodyText"/>
        <w:rPr>
          <w:b/>
        </w:rPr>
      </w:pPr>
      <w:r w:rsidRPr="00FA10FC">
        <w:rPr>
          <w:b/>
          <w:color w:val="0000FF" w:themeColor="text2"/>
        </w:rPr>
        <w:t>Summary analysis</w:t>
      </w:r>
    </w:p>
    <w:tbl>
      <w:tblPr>
        <w:tblStyle w:val="BETable11"/>
        <w:tblW w:w="4956" w:type="pct"/>
        <w:tblInd w:w="0" w:type="dxa"/>
        <w:tblBorders>
          <w:insideH w:val="none" w:sz="0" w:space="0" w:color="auto"/>
          <w:insideV w:val="single" w:sz="4" w:space="0" w:color="7F7F7F" w:themeColor="background2"/>
        </w:tblBorders>
        <w:tblLook w:val="04A0"/>
      </w:tblPr>
      <w:tblGrid>
        <w:gridCol w:w="3185"/>
        <w:gridCol w:w="3186"/>
        <w:gridCol w:w="3184"/>
      </w:tblGrid>
      <w:tr w:rsidR="005D12E7" w:rsidRPr="00816657" w:rsidTr="005D12E7">
        <w:trPr>
          <w:cnfStyle w:val="100000000000"/>
        </w:trPr>
        <w:tc>
          <w:tcPr>
            <w:cnfStyle w:val="001000000000"/>
            <w:tcW w:w="1667" w:type="pct"/>
            <w:tcBorders>
              <w:bottom w:val="single" w:sz="4" w:space="0" w:color="7F7F7F" w:themeColor="background2"/>
            </w:tcBorders>
          </w:tcPr>
          <w:p w:rsidR="005D12E7" w:rsidRPr="00816657" w:rsidRDefault="005D12E7" w:rsidP="00BC3BD0">
            <w:pPr>
              <w:pStyle w:val="BodyText"/>
              <w:rPr>
                <w:sz w:val="20"/>
                <w:szCs w:val="20"/>
              </w:rPr>
            </w:pPr>
            <w:r w:rsidRPr="00816657">
              <w:rPr>
                <w:sz w:val="20"/>
                <w:szCs w:val="20"/>
              </w:rPr>
              <w:t>Industry sources</w:t>
            </w:r>
          </w:p>
        </w:tc>
        <w:tc>
          <w:tcPr>
            <w:tcW w:w="1667" w:type="pct"/>
            <w:tcBorders>
              <w:bottom w:val="single" w:sz="4" w:space="0" w:color="7F7F7F" w:themeColor="background2"/>
            </w:tcBorders>
          </w:tcPr>
          <w:p w:rsidR="005D12E7" w:rsidRPr="00816657" w:rsidRDefault="005D12E7" w:rsidP="00EA7F18">
            <w:pPr>
              <w:pStyle w:val="BodyText"/>
              <w:cnfStyle w:val="100000000000"/>
              <w:rPr>
                <w:sz w:val="20"/>
                <w:szCs w:val="20"/>
              </w:rPr>
            </w:pPr>
            <w:r w:rsidRPr="00816657">
              <w:rPr>
                <w:sz w:val="20"/>
                <w:szCs w:val="20"/>
              </w:rPr>
              <w:t>Considerations</w:t>
            </w:r>
          </w:p>
        </w:tc>
        <w:tc>
          <w:tcPr>
            <w:tcW w:w="1667" w:type="pct"/>
            <w:tcBorders>
              <w:bottom w:val="single" w:sz="4" w:space="0" w:color="7F7F7F" w:themeColor="background2"/>
            </w:tcBorders>
          </w:tcPr>
          <w:p w:rsidR="005D12E7" w:rsidRPr="00816657" w:rsidRDefault="005D12E7" w:rsidP="00EA7F18">
            <w:pPr>
              <w:pStyle w:val="BodyText"/>
              <w:cnfStyle w:val="100000000000"/>
              <w:rPr>
                <w:sz w:val="20"/>
                <w:szCs w:val="20"/>
              </w:rPr>
            </w:pPr>
            <w:r w:rsidRPr="00816657">
              <w:rPr>
                <w:sz w:val="20"/>
                <w:szCs w:val="20"/>
              </w:rPr>
              <w:t>Approach</w:t>
            </w:r>
          </w:p>
        </w:tc>
      </w:tr>
      <w:tr w:rsidR="005D12E7" w:rsidRPr="00816657" w:rsidTr="005D12E7">
        <w:tc>
          <w:tcPr>
            <w:cnfStyle w:val="001000000000"/>
            <w:tcW w:w="1667" w:type="pct"/>
            <w:vMerge w:val="restart"/>
            <w:tcBorders>
              <w:top w:val="single" w:sz="4" w:space="0" w:color="7F7F7F" w:themeColor="background2"/>
            </w:tcBorders>
          </w:tcPr>
          <w:p w:rsidR="00B9737F" w:rsidRPr="00B9737F" w:rsidRDefault="00B9737F" w:rsidP="00B9737F">
            <w:pPr>
              <w:pStyle w:val="BodyText"/>
              <w:rPr>
                <w:sz w:val="20"/>
                <w:szCs w:val="20"/>
              </w:rPr>
            </w:pPr>
            <w:r w:rsidRPr="00B9737F">
              <w:rPr>
                <w:sz w:val="20"/>
                <w:szCs w:val="20"/>
              </w:rPr>
              <w:t>•</w:t>
            </w:r>
            <w:r>
              <w:rPr>
                <w:sz w:val="20"/>
                <w:szCs w:val="20"/>
              </w:rPr>
              <w:t xml:space="preserve"> </w:t>
            </w:r>
            <w:r w:rsidRPr="00B9737F">
              <w:rPr>
                <w:sz w:val="20"/>
                <w:szCs w:val="20"/>
              </w:rPr>
              <w:t>Waste treatment and disposal services</w:t>
            </w:r>
          </w:p>
          <w:p w:rsidR="00B9737F" w:rsidRPr="00B9737F" w:rsidRDefault="00B9737F" w:rsidP="00B9737F">
            <w:pPr>
              <w:pStyle w:val="BodyText"/>
              <w:rPr>
                <w:sz w:val="20"/>
                <w:szCs w:val="20"/>
              </w:rPr>
            </w:pPr>
            <w:r w:rsidRPr="00B9737F">
              <w:rPr>
                <w:sz w:val="20"/>
                <w:szCs w:val="20"/>
              </w:rPr>
              <w:t>•</w:t>
            </w:r>
            <w:r>
              <w:rPr>
                <w:sz w:val="20"/>
                <w:szCs w:val="20"/>
              </w:rPr>
              <w:t xml:space="preserve"> </w:t>
            </w:r>
            <w:r w:rsidRPr="00B9737F">
              <w:rPr>
                <w:sz w:val="20"/>
                <w:szCs w:val="20"/>
              </w:rPr>
              <w:t>Electricity supply</w:t>
            </w:r>
          </w:p>
          <w:p w:rsidR="00B9737F" w:rsidRPr="00B9737F" w:rsidRDefault="00B9737F" w:rsidP="00B9737F">
            <w:pPr>
              <w:pStyle w:val="BodyText"/>
              <w:rPr>
                <w:sz w:val="20"/>
                <w:szCs w:val="20"/>
              </w:rPr>
            </w:pPr>
            <w:r w:rsidRPr="00B9737F">
              <w:rPr>
                <w:sz w:val="20"/>
                <w:szCs w:val="20"/>
              </w:rPr>
              <w:t>•</w:t>
            </w:r>
            <w:r>
              <w:rPr>
                <w:sz w:val="20"/>
                <w:szCs w:val="20"/>
              </w:rPr>
              <w:t xml:space="preserve"> W</w:t>
            </w:r>
            <w:r w:rsidRPr="00B9737F">
              <w:rPr>
                <w:sz w:val="20"/>
                <w:szCs w:val="20"/>
              </w:rPr>
              <w:t>astewater treatment plants</w:t>
            </w:r>
          </w:p>
          <w:p w:rsidR="005D12E7" w:rsidRPr="00816657" w:rsidRDefault="00B9737F">
            <w:pPr>
              <w:pStyle w:val="BodyText"/>
              <w:rPr>
                <w:rFonts w:cs="Times New Roman"/>
                <w:color w:val="000000"/>
                <w:szCs w:val="20"/>
                <w:lang w:eastAsia="en-AU"/>
              </w:rPr>
            </w:pPr>
            <w:r w:rsidRPr="00B9737F">
              <w:rPr>
                <w:sz w:val="20"/>
                <w:szCs w:val="20"/>
              </w:rPr>
              <w:t>•</w:t>
            </w:r>
            <w:r>
              <w:rPr>
                <w:sz w:val="20"/>
                <w:szCs w:val="20"/>
              </w:rPr>
              <w:t xml:space="preserve"> </w:t>
            </w:r>
            <w:r w:rsidRPr="00B9737F">
              <w:rPr>
                <w:sz w:val="20"/>
                <w:szCs w:val="20"/>
              </w:rPr>
              <w:t>Oil and gas extraction (CSG)</w:t>
            </w:r>
          </w:p>
        </w:tc>
        <w:tc>
          <w:tcPr>
            <w:tcW w:w="1667" w:type="pct"/>
            <w:tcBorders>
              <w:top w:val="single" w:sz="4" w:space="0" w:color="7F7F7F" w:themeColor="background2"/>
            </w:tcBorders>
          </w:tcPr>
          <w:p w:rsidR="005D12E7" w:rsidRPr="00816657" w:rsidRDefault="005D12E7" w:rsidP="00BC3BD0">
            <w:pPr>
              <w:pStyle w:val="BodyText"/>
              <w:cnfStyle w:val="000000000000"/>
              <w:rPr>
                <w:sz w:val="20"/>
                <w:szCs w:val="20"/>
              </w:rPr>
            </w:pPr>
            <w:r w:rsidRPr="00816657">
              <w:rPr>
                <w:sz w:val="20"/>
                <w:szCs w:val="20"/>
              </w:rPr>
              <w:t>No sufficiently credible pre-existing projections were identified</w:t>
            </w:r>
          </w:p>
        </w:tc>
        <w:tc>
          <w:tcPr>
            <w:tcW w:w="1667" w:type="pct"/>
            <w:tcBorders>
              <w:top w:val="single" w:sz="4" w:space="0" w:color="7F7F7F" w:themeColor="background2"/>
            </w:tcBorders>
          </w:tcPr>
          <w:p w:rsidR="005D12E7" w:rsidRPr="00816657" w:rsidRDefault="005D12E7" w:rsidP="00EA7F18">
            <w:pPr>
              <w:pStyle w:val="BodyText"/>
              <w:cnfStyle w:val="000000000000"/>
              <w:rPr>
                <w:sz w:val="20"/>
                <w:szCs w:val="20"/>
              </w:rPr>
            </w:pPr>
            <w:r w:rsidRPr="00816657">
              <w:rPr>
                <w:sz w:val="20"/>
                <w:szCs w:val="20"/>
              </w:rPr>
              <w:t>Use causal analysis</w:t>
            </w:r>
          </w:p>
        </w:tc>
      </w:tr>
      <w:tr w:rsidR="005D12E7" w:rsidRPr="00816657" w:rsidTr="005D12E7">
        <w:tc>
          <w:tcPr>
            <w:cnfStyle w:val="001000000000"/>
            <w:tcW w:w="1667" w:type="pct"/>
            <w:vMerge/>
          </w:tcPr>
          <w:p w:rsidR="005D12E7" w:rsidRPr="00816657" w:rsidRDefault="005D12E7" w:rsidP="00EA7F18">
            <w:pPr>
              <w:pStyle w:val="BodyText"/>
              <w:rPr>
                <w:sz w:val="20"/>
                <w:szCs w:val="20"/>
              </w:rPr>
            </w:pPr>
          </w:p>
        </w:tc>
        <w:tc>
          <w:tcPr>
            <w:tcW w:w="1667" w:type="pct"/>
          </w:tcPr>
          <w:p w:rsidR="005D12E7" w:rsidRPr="00816657" w:rsidRDefault="005D12E7" w:rsidP="00EA7F18">
            <w:pPr>
              <w:pStyle w:val="BodyText"/>
              <w:cnfStyle w:val="000000000000"/>
              <w:rPr>
                <w:sz w:val="20"/>
                <w:szCs w:val="20"/>
              </w:rPr>
            </w:pPr>
            <w:r w:rsidRPr="00816657">
              <w:rPr>
                <w:sz w:val="20"/>
                <w:szCs w:val="20"/>
              </w:rPr>
              <w:t>No historical data set exists that is adequate for discerning trends</w:t>
            </w:r>
          </w:p>
        </w:tc>
        <w:tc>
          <w:tcPr>
            <w:tcW w:w="1667" w:type="pct"/>
          </w:tcPr>
          <w:p w:rsidR="005D12E7" w:rsidRPr="00816657" w:rsidRDefault="005D12E7" w:rsidP="00EA7F18">
            <w:pPr>
              <w:spacing w:line="240" w:lineRule="auto"/>
              <w:cnfStyle w:val="000000000000"/>
              <w:rPr>
                <w:color w:val="080808"/>
                <w:szCs w:val="20"/>
              </w:rPr>
            </w:pPr>
          </w:p>
        </w:tc>
      </w:tr>
    </w:tbl>
    <w:p w:rsidR="00EA7F18" w:rsidRPr="00816657" w:rsidRDefault="00EA7F18" w:rsidP="00EA7F18">
      <w:pPr>
        <w:pStyle w:val="BodyText"/>
        <w:rPr>
          <w:b/>
        </w:rPr>
      </w:pPr>
    </w:p>
    <w:p w:rsidR="00376588" w:rsidRPr="00816657" w:rsidRDefault="00376588" w:rsidP="00655F62">
      <w:pPr>
        <w:pStyle w:val="Figures"/>
      </w:pPr>
      <w:bookmarkStart w:id="171" w:name="_Toc425849319"/>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34</w:t>
      </w:r>
      <w:r w:rsidR="006D07F5" w:rsidRPr="00816657">
        <w:rPr>
          <w:noProof/>
        </w:rPr>
        <w:fldChar w:fldCharType="end"/>
      </w:r>
      <w:r w:rsidRPr="00816657">
        <w:t xml:space="preserve">: </w:t>
      </w:r>
      <w:r w:rsidRPr="00816657">
        <w:tab/>
        <w:t>Best, high and low projected rates of change for other industrial treatment residue waste to 2034</w:t>
      </w:r>
      <w:bookmarkEnd w:id="171"/>
    </w:p>
    <w:tbl>
      <w:tblPr>
        <w:tblStyle w:val="BETable1"/>
        <w:tblW w:w="8222" w:type="dxa"/>
        <w:tblLayout w:type="fixed"/>
        <w:tblLook w:val="04A0"/>
      </w:tblPr>
      <w:tblGrid>
        <w:gridCol w:w="1134"/>
        <w:gridCol w:w="1134"/>
        <w:gridCol w:w="3828"/>
        <w:gridCol w:w="708"/>
        <w:gridCol w:w="567"/>
        <w:gridCol w:w="851"/>
      </w:tblGrid>
      <w:tr w:rsidR="00F13C82" w:rsidRPr="00816657" w:rsidTr="00EA7F18">
        <w:trPr>
          <w:cnfStyle w:val="100000000000"/>
        </w:trPr>
        <w:tc>
          <w:tcPr>
            <w:cnfStyle w:val="001000000000"/>
            <w:tcW w:w="1134" w:type="dxa"/>
          </w:tcPr>
          <w:p w:rsidR="00F13C82" w:rsidRPr="00816657" w:rsidRDefault="00F13C82" w:rsidP="002D3055"/>
        </w:tc>
        <w:tc>
          <w:tcPr>
            <w:tcW w:w="1134" w:type="dxa"/>
          </w:tcPr>
          <w:p w:rsidR="00F13C82" w:rsidRPr="00816657" w:rsidRDefault="00F13C82" w:rsidP="002D3055">
            <w:pPr>
              <w:cnfStyle w:val="100000000000"/>
            </w:pPr>
            <w:r w:rsidRPr="00816657">
              <w:t>Applies to</w:t>
            </w:r>
          </w:p>
        </w:tc>
        <w:tc>
          <w:tcPr>
            <w:tcW w:w="3828" w:type="dxa"/>
          </w:tcPr>
          <w:p w:rsidR="00F13C82" w:rsidRPr="00816657" w:rsidRDefault="00F13C82" w:rsidP="002D3055">
            <w:pPr>
              <w:cnfStyle w:val="100000000000"/>
            </w:pPr>
            <w:r w:rsidRPr="00816657">
              <w:t>Approach</w:t>
            </w:r>
          </w:p>
        </w:tc>
        <w:tc>
          <w:tcPr>
            <w:tcW w:w="708" w:type="dxa"/>
          </w:tcPr>
          <w:p w:rsidR="00F13C82" w:rsidRPr="00816657" w:rsidRDefault="00F13C82" w:rsidP="00DF1E42">
            <w:pPr>
              <w:jc w:val="right"/>
              <w:cnfStyle w:val="100000000000"/>
            </w:pPr>
            <w:r w:rsidRPr="00816657">
              <w:t>2014</w:t>
            </w:r>
          </w:p>
        </w:tc>
        <w:tc>
          <w:tcPr>
            <w:tcW w:w="567" w:type="dxa"/>
          </w:tcPr>
          <w:p w:rsidR="00F13C82" w:rsidRPr="00816657" w:rsidRDefault="00F13C82" w:rsidP="00DF1E42">
            <w:pPr>
              <w:jc w:val="right"/>
              <w:cnfStyle w:val="100000000000"/>
            </w:pPr>
            <w:r w:rsidRPr="00816657">
              <w:t>...</w:t>
            </w:r>
          </w:p>
        </w:tc>
        <w:tc>
          <w:tcPr>
            <w:tcW w:w="851" w:type="dxa"/>
          </w:tcPr>
          <w:p w:rsidR="00F13C82" w:rsidRPr="00816657" w:rsidRDefault="00F13C82" w:rsidP="00DF1E42">
            <w:pPr>
              <w:jc w:val="right"/>
              <w:cnfStyle w:val="100000000000"/>
            </w:pPr>
            <w:r w:rsidRPr="00816657">
              <w:t>2034</w:t>
            </w:r>
          </w:p>
        </w:tc>
      </w:tr>
      <w:tr w:rsidR="00F13C82" w:rsidRPr="00816657" w:rsidTr="00EA7F18">
        <w:tc>
          <w:tcPr>
            <w:cnfStyle w:val="001000000000"/>
            <w:tcW w:w="1134" w:type="dxa"/>
          </w:tcPr>
          <w:p w:rsidR="00F13C82" w:rsidRPr="00816657" w:rsidRDefault="00F13C82" w:rsidP="002D3055">
            <w:r w:rsidRPr="00816657">
              <w:t>Best</w:t>
            </w:r>
          </w:p>
        </w:tc>
        <w:tc>
          <w:tcPr>
            <w:tcW w:w="1134" w:type="dxa"/>
            <w:vMerge w:val="restart"/>
            <w:vAlign w:val="center"/>
          </w:tcPr>
          <w:p w:rsidR="00F13C82" w:rsidRPr="00816657" w:rsidRDefault="00F13C82" w:rsidP="002D3055">
            <w:pPr>
              <w:cnfStyle w:val="000000000000"/>
            </w:pPr>
            <w:r w:rsidRPr="00816657">
              <w:t>ACT, NSW, NT, Qld, SA, Tas, Vic, WA</w:t>
            </w:r>
          </w:p>
        </w:tc>
        <w:tc>
          <w:tcPr>
            <w:tcW w:w="3828" w:type="dxa"/>
          </w:tcPr>
          <w:p w:rsidR="00F13C82" w:rsidRPr="00816657" w:rsidRDefault="00F13C82" w:rsidP="002D3055">
            <w:pPr>
              <w:cnfStyle w:val="000000000000"/>
            </w:pPr>
            <w:r w:rsidRPr="00816657">
              <w:t>Economic growth</w:t>
            </w:r>
          </w:p>
        </w:tc>
        <w:tc>
          <w:tcPr>
            <w:tcW w:w="708" w:type="dxa"/>
          </w:tcPr>
          <w:p w:rsidR="00F13C82" w:rsidRPr="00816657" w:rsidRDefault="00F13C82" w:rsidP="00DF1E42">
            <w:pPr>
              <w:jc w:val="right"/>
              <w:cnfStyle w:val="000000000000"/>
            </w:pPr>
            <w:r w:rsidRPr="00816657">
              <w:t>2.8%</w:t>
            </w:r>
          </w:p>
        </w:tc>
        <w:tc>
          <w:tcPr>
            <w:tcW w:w="567" w:type="dxa"/>
          </w:tcPr>
          <w:p w:rsidR="00F13C82" w:rsidRPr="00816657" w:rsidRDefault="00F13C82" w:rsidP="00DF1E42">
            <w:pPr>
              <w:jc w:val="right"/>
              <w:cnfStyle w:val="000000000000"/>
            </w:pPr>
            <w:r w:rsidRPr="00816657">
              <w:t>...</w:t>
            </w:r>
          </w:p>
        </w:tc>
        <w:tc>
          <w:tcPr>
            <w:tcW w:w="851" w:type="dxa"/>
          </w:tcPr>
          <w:p w:rsidR="00F13C82" w:rsidRPr="00816657" w:rsidRDefault="00F13C82" w:rsidP="00DF1E42">
            <w:pPr>
              <w:jc w:val="right"/>
              <w:cnfStyle w:val="000000000000"/>
            </w:pPr>
            <w:r w:rsidRPr="00816657">
              <w:t>2.8%</w:t>
            </w:r>
          </w:p>
        </w:tc>
      </w:tr>
      <w:tr w:rsidR="00F13C82" w:rsidRPr="00816657" w:rsidTr="00EA7F18">
        <w:tc>
          <w:tcPr>
            <w:cnfStyle w:val="001000000000"/>
            <w:tcW w:w="1134" w:type="dxa"/>
          </w:tcPr>
          <w:p w:rsidR="00F13C82" w:rsidRPr="00816657" w:rsidRDefault="00F13C82" w:rsidP="002D3055">
            <w:r w:rsidRPr="00816657">
              <w:t>High</w:t>
            </w:r>
          </w:p>
        </w:tc>
        <w:tc>
          <w:tcPr>
            <w:tcW w:w="1134" w:type="dxa"/>
            <w:vMerge/>
            <w:vAlign w:val="center"/>
          </w:tcPr>
          <w:p w:rsidR="00F13C82" w:rsidRPr="00816657" w:rsidRDefault="00F13C82" w:rsidP="002D3055">
            <w:pPr>
              <w:cnfStyle w:val="000000000000"/>
            </w:pPr>
          </w:p>
        </w:tc>
        <w:tc>
          <w:tcPr>
            <w:tcW w:w="3828" w:type="dxa"/>
          </w:tcPr>
          <w:p w:rsidR="00F13C82" w:rsidRPr="00816657" w:rsidRDefault="00F13C82" w:rsidP="002D3055">
            <w:pPr>
              <w:cnfStyle w:val="000000000000"/>
            </w:pPr>
            <w:r w:rsidRPr="00816657">
              <w:t>Best estimate of annual rate of change + 3%</w:t>
            </w:r>
          </w:p>
        </w:tc>
        <w:tc>
          <w:tcPr>
            <w:tcW w:w="708" w:type="dxa"/>
          </w:tcPr>
          <w:p w:rsidR="00F13C82" w:rsidRPr="00816657" w:rsidRDefault="00F13C82" w:rsidP="00DF1E42">
            <w:pPr>
              <w:jc w:val="right"/>
              <w:cnfStyle w:val="000000000000"/>
            </w:pPr>
            <w:r w:rsidRPr="00816657">
              <w:t>5.8%</w:t>
            </w:r>
          </w:p>
        </w:tc>
        <w:tc>
          <w:tcPr>
            <w:tcW w:w="567" w:type="dxa"/>
          </w:tcPr>
          <w:p w:rsidR="00F13C82" w:rsidRPr="00816657" w:rsidRDefault="00F13C82" w:rsidP="00DF1E42">
            <w:pPr>
              <w:jc w:val="right"/>
              <w:cnfStyle w:val="000000000000"/>
            </w:pPr>
            <w:r w:rsidRPr="00816657">
              <w:t>...</w:t>
            </w:r>
          </w:p>
        </w:tc>
        <w:tc>
          <w:tcPr>
            <w:tcW w:w="851" w:type="dxa"/>
          </w:tcPr>
          <w:p w:rsidR="00F13C82" w:rsidRPr="00816657" w:rsidRDefault="00F13C82" w:rsidP="00DF1E42">
            <w:pPr>
              <w:jc w:val="right"/>
              <w:cnfStyle w:val="000000000000"/>
            </w:pPr>
            <w:r w:rsidRPr="00816657">
              <w:t>5.8%</w:t>
            </w:r>
          </w:p>
        </w:tc>
      </w:tr>
      <w:tr w:rsidR="00F13C82" w:rsidRPr="00816657" w:rsidTr="00EA7F18">
        <w:tc>
          <w:tcPr>
            <w:cnfStyle w:val="001000000000"/>
            <w:tcW w:w="1134" w:type="dxa"/>
          </w:tcPr>
          <w:p w:rsidR="00F13C82" w:rsidRPr="00816657" w:rsidRDefault="00F13C82" w:rsidP="002D3055">
            <w:r w:rsidRPr="00816657">
              <w:t>Low</w:t>
            </w:r>
          </w:p>
        </w:tc>
        <w:tc>
          <w:tcPr>
            <w:tcW w:w="1134" w:type="dxa"/>
            <w:vMerge/>
            <w:vAlign w:val="center"/>
          </w:tcPr>
          <w:p w:rsidR="00F13C82" w:rsidRPr="00816657" w:rsidRDefault="00F13C82" w:rsidP="002D3055">
            <w:pPr>
              <w:cnfStyle w:val="000000000000"/>
            </w:pPr>
          </w:p>
        </w:tc>
        <w:tc>
          <w:tcPr>
            <w:tcW w:w="3828" w:type="dxa"/>
          </w:tcPr>
          <w:p w:rsidR="00F13C82" w:rsidRPr="00816657" w:rsidRDefault="00F13C82" w:rsidP="002D3055">
            <w:pPr>
              <w:cnfStyle w:val="000000000000"/>
            </w:pPr>
            <w:r w:rsidRPr="00816657">
              <w:t>Best estimate of annual rate of change - 3%</w:t>
            </w:r>
          </w:p>
        </w:tc>
        <w:tc>
          <w:tcPr>
            <w:tcW w:w="708" w:type="dxa"/>
          </w:tcPr>
          <w:p w:rsidR="00F13C82" w:rsidRPr="00816657" w:rsidRDefault="00F13C82" w:rsidP="00DF1E42">
            <w:pPr>
              <w:jc w:val="right"/>
              <w:cnfStyle w:val="000000000000"/>
            </w:pPr>
            <w:r w:rsidRPr="00816657">
              <w:t>-0.2%</w:t>
            </w:r>
          </w:p>
        </w:tc>
        <w:tc>
          <w:tcPr>
            <w:tcW w:w="567" w:type="dxa"/>
          </w:tcPr>
          <w:p w:rsidR="00F13C82" w:rsidRPr="00816657" w:rsidRDefault="00F13C82" w:rsidP="00DF1E42">
            <w:pPr>
              <w:jc w:val="right"/>
              <w:cnfStyle w:val="000000000000"/>
            </w:pPr>
            <w:r w:rsidRPr="00816657">
              <w:t>...</w:t>
            </w:r>
          </w:p>
        </w:tc>
        <w:tc>
          <w:tcPr>
            <w:tcW w:w="851" w:type="dxa"/>
          </w:tcPr>
          <w:p w:rsidR="00F13C82" w:rsidRPr="00816657" w:rsidRDefault="00F13C82" w:rsidP="00DF1E42">
            <w:pPr>
              <w:jc w:val="right"/>
              <w:cnfStyle w:val="000000000000"/>
            </w:pPr>
            <w:r w:rsidRPr="00816657">
              <w:t>-0.2%</w:t>
            </w:r>
          </w:p>
        </w:tc>
      </w:tr>
    </w:tbl>
    <w:p w:rsidR="00F13C82" w:rsidRPr="00816657" w:rsidRDefault="00F13C82" w:rsidP="00376588">
      <w:pPr>
        <w:pStyle w:val="BodyText"/>
      </w:pPr>
    </w:p>
    <w:p w:rsidR="00D92260" w:rsidRPr="00816657" w:rsidRDefault="00D92260" w:rsidP="00655F62">
      <w:pPr>
        <w:pStyle w:val="Figures"/>
      </w:pPr>
      <w:bookmarkStart w:id="172" w:name="_Toc425849245"/>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27</w:t>
      </w:r>
      <w:r w:rsidR="006D07F5" w:rsidRPr="00816657">
        <w:rPr>
          <w:noProof/>
        </w:rPr>
        <w:fldChar w:fldCharType="end"/>
      </w:r>
      <w:r w:rsidRPr="00816657">
        <w:t xml:space="preserve">: </w:t>
      </w:r>
      <w:r w:rsidRPr="00816657">
        <w:tab/>
        <w:t>Best, high and low national projection estimates of other industrial treatment residue waste to 2034</w:t>
      </w:r>
      <w:bookmarkEnd w:id="172"/>
    </w:p>
    <w:p w:rsidR="00D92260" w:rsidRPr="00816657" w:rsidRDefault="00C05ED6" w:rsidP="00D92260">
      <w:pPr>
        <w:spacing w:line="240" w:lineRule="auto"/>
      </w:pPr>
      <w:r w:rsidRPr="00C05ED6">
        <w:rPr>
          <w:noProof/>
          <w:lang w:eastAsia="en-AU"/>
        </w:rPr>
        <w:drawing>
          <wp:inline distT="0" distB="0" distL="0" distR="0">
            <wp:extent cx="5476191" cy="2228572"/>
            <wp:effectExtent l="0" t="0" r="0" b="63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476191" cy="2228572"/>
                    </a:xfrm>
                    <a:prstGeom prst="rect">
                      <a:avLst/>
                    </a:prstGeom>
                  </pic:spPr>
                </pic:pic>
              </a:graphicData>
            </a:graphic>
          </wp:inline>
        </w:drawing>
      </w:r>
    </w:p>
    <w:p w:rsidR="00D92260" w:rsidRPr="00816657" w:rsidRDefault="00D92260" w:rsidP="00D92260">
      <w:pPr>
        <w:spacing w:line="240" w:lineRule="auto"/>
      </w:pPr>
    </w:p>
    <w:p w:rsidR="00D92260" w:rsidRPr="00816657" w:rsidRDefault="00D92260" w:rsidP="00D92260">
      <w:pPr>
        <w:spacing w:line="240" w:lineRule="auto"/>
      </w:pPr>
    </w:p>
    <w:p w:rsidR="00EA7F18" w:rsidRPr="00816657" w:rsidRDefault="00F13C82">
      <w:pPr>
        <w:spacing w:line="240" w:lineRule="auto"/>
        <w:sectPr w:rsidR="00EA7F18" w:rsidRPr="00816657" w:rsidSect="00EA7F18">
          <w:headerReference w:type="even" r:id="rId108"/>
          <w:headerReference w:type="default" r:id="rId109"/>
          <w:footerReference w:type="even" r:id="rId110"/>
          <w:footerReference w:type="default" r:id="rId111"/>
          <w:headerReference w:type="first" r:id="rId112"/>
          <w:footerReference w:type="first" r:id="rId113"/>
          <w:pgSz w:w="11907" w:h="16840" w:code="9"/>
          <w:pgMar w:top="1531" w:right="1077" w:bottom="1417" w:left="1304" w:header="709" w:footer="709" w:gutter="0"/>
          <w:cols w:space="708"/>
          <w:docGrid w:linePitch="360"/>
        </w:sectPr>
      </w:pPr>
      <w:r w:rsidRPr="00816657">
        <w:br w:type="page"/>
      </w:r>
    </w:p>
    <w:p w:rsidR="00607B3E" w:rsidRDefault="00607B3E" w:rsidP="0093164B">
      <w:pPr>
        <w:pStyle w:val="Heading3"/>
      </w:pPr>
      <w:r w:rsidRPr="00816657">
        <w:lastRenderedPageBreak/>
        <w:t>N220. Asbestos</w:t>
      </w:r>
    </w:p>
    <w:p w:rsidR="00B9737F" w:rsidRPr="00B9737F" w:rsidRDefault="00B9737F" w:rsidP="00B9737F">
      <w:pPr>
        <w:spacing w:line="240" w:lineRule="auto"/>
        <w:rPr>
          <w:color w:val="080808"/>
          <w:sz w:val="22"/>
        </w:rPr>
      </w:pPr>
      <w:r w:rsidRPr="00B9737F">
        <w:rPr>
          <w:color w:val="080808"/>
          <w:sz w:val="22"/>
        </w:rPr>
        <w:t>This waste group captures the single NEPM code</w:t>
      </w:r>
      <w:r w:rsidR="009D299D">
        <w:rPr>
          <w:color w:val="080808"/>
          <w:sz w:val="22"/>
        </w:rPr>
        <w:t xml:space="preserve"> 75</w:t>
      </w:r>
      <w:r w:rsidRPr="00B9737F">
        <w:rPr>
          <w:color w:val="080808"/>
          <w:sz w:val="22"/>
        </w:rPr>
        <w:t xml:space="preserve"> of </w:t>
      </w:r>
      <w:r w:rsidRPr="00B9737F">
        <w:rPr>
          <w:i/>
          <w:color w:val="080808"/>
          <w:sz w:val="22"/>
        </w:rPr>
        <w:t>N220 Asbestos</w:t>
      </w:r>
      <w:r w:rsidRPr="00B9737F">
        <w:rPr>
          <w:color w:val="080808"/>
          <w:sz w:val="22"/>
        </w:rPr>
        <w:t>. Asbestos is the name given to a group of naturally occurring minerals found in rock formations. Asbestos-containing building products are classified as either ‘friable’ (soft, crumbly) or ‘bonded’ (solid, rigid, non-friable). Friable asbestos products may be as much as 100% asbestos fibres and can become airborne and inhalable very easily. Bonded products such as asbestos cement sheet (otherwise known as ‘fibro’) contain approximately 15% asbestos fibres, bonded with cement and do not normally release fibres into the air when in good condition.</w:t>
      </w:r>
    </w:p>
    <w:p w:rsidR="00B9737F" w:rsidRPr="00B9737F" w:rsidRDefault="00B9737F" w:rsidP="00B9737F">
      <w:pPr>
        <w:spacing w:line="240" w:lineRule="auto"/>
        <w:rPr>
          <w:color w:val="080808"/>
          <w:sz w:val="22"/>
        </w:rPr>
      </w:pPr>
    </w:p>
    <w:p w:rsidR="00B9737F" w:rsidRPr="00B9737F" w:rsidRDefault="00B9737F" w:rsidP="00B9737F">
      <w:pPr>
        <w:spacing w:line="240" w:lineRule="auto"/>
        <w:rPr>
          <w:color w:val="080808"/>
          <w:sz w:val="22"/>
        </w:rPr>
      </w:pPr>
      <w:r w:rsidRPr="00B9737F">
        <w:rPr>
          <w:color w:val="080808"/>
          <w:sz w:val="22"/>
        </w:rPr>
        <w:t>Houses built before the mid-1980s are highly likely to have asbestos- containing products, between mid-1980s and 1990 likely, and after 1990 unlikely.</w:t>
      </w:r>
    </w:p>
    <w:p w:rsidR="00B9737F" w:rsidRPr="00B9737F" w:rsidRDefault="00B9737F" w:rsidP="00B9737F">
      <w:pPr>
        <w:spacing w:line="240" w:lineRule="auto"/>
        <w:rPr>
          <w:color w:val="080808"/>
          <w:sz w:val="22"/>
        </w:rPr>
      </w:pPr>
    </w:p>
    <w:p w:rsidR="00B76D48" w:rsidRPr="00B76D48" w:rsidRDefault="00B9737F" w:rsidP="00B76D48">
      <w:pPr>
        <w:pStyle w:val="BodyText"/>
      </w:pPr>
      <w:r w:rsidRPr="00B9737F">
        <w:t xml:space="preserve">Asbestos is one of the largest flows of hazardous waste in Australia and poses significant health risks. Asbestos waste includes both end-of-life asbestos-containing building materials as well as soil that </w:t>
      </w:r>
      <w:proofErr w:type="gramStart"/>
      <w:r w:rsidRPr="00B9737F">
        <w:t>has</w:t>
      </w:r>
      <w:proofErr w:type="gramEnd"/>
      <w:r w:rsidRPr="00B9737F">
        <w:t xml:space="preserve"> been tested to demonstrate asbestos contamination. Since the latter may involve very low asbestos fibre concentrations and very high soil volumes, this</w:t>
      </w:r>
      <w:r w:rsidR="00B76D48">
        <w:t xml:space="preserve"> can</w:t>
      </w:r>
      <w:r w:rsidRPr="00B9737F">
        <w:t xml:space="preserve"> greatly contribute to reported asbestos waste volumes.</w:t>
      </w:r>
      <w:r w:rsidR="00B76D48" w:rsidRPr="00B76D48">
        <w:t xml:space="preserve"> Jurisdictional tracking systems do not currently differentiate between asbestos-containing building materials asbestos-contaminated soils. Sources of asbestos are construction/ demolition related as well as any residential, commercial or industrial buildings that are involved in removal of asbestos containing material.</w:t>
      </w:r>
    </w:p>
    <w:p w:rsidR="00B9737F" w:rsidRDefault="00B9737F" w:rsidP="00B9737F">
      <w:pPr>
        <w:spacing w:line="240" w:lineRule="auto"/>
        <w:rPr>
          <w:color w:val="080808"/>
          <w:sz w:val="22"/>
        </w:rPr>
      </w:pPr>
    </w:p>
    <w:p w:rsidR="00EA7F18" w:rsidRPr="00816657" w:rsidRDefault="00EA7F18" w:rsidP="00EA7F18">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1943"/>
        <w:gridCol w:w="1938"/>
        <w:gridCol w:w="3243"/>
        <w:gridCol w:w="2516"/>
      </w:tblGrid>
      <w:tr w:rsidR="00E42D11" w:rsidRPr="00816657" w:rsidTr="00B9737F">
        <w:trPr>
          <w:cnfStyle w:val="100000000000"/>
        </w:trPr>
        <w:tc>
          <w:tcPr>
            <w:cnfStyle w:val="001000000000"/>
            <w:tcW w:w="1008"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005"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1682"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1305"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5D12E7" w:rsidRPr="00816657" w:rsidTr="00B9737F">
        <w:tc>
          <w:tcPr>
            <w:cnfStyle w:val="001000000000"/>
            <w:tcW w:w="1008" w:type="pct"/>
            <w:tcBorders>
              <w:top w:val="single" w:sz="4" w:space="0" w:color="7F7F7F" w:themeColor="background2"/>
            </w:tcBorders>
          </w:tcPr>
          <w:p w:rsidR="00B9737F" w:rsidRPr="00B9737F" w:rsidRDefault="00B9737F" w:rsidP="00B9737F">
            <w:pPr>
              <w:pStyle w:val="BodyText"/>
              <w:rPr>
                <w:sz w:val="20"/>
                <w:szCs w:val="20"/>
              </w:rPr>
            </w:pPr>
            <w:r w:rsidRPr="00B9737F">
              <w:rPr>
                <w:sz w:val="20"/>
                <w:szCs w:val="20"/>
              </w:rPr>
              <w:t>•</w:t>
            </w:r>
            <w:r>
              <w:rPr>
                <w:sz w:val="20"/>
                <w:szCs w:val="20"/>
              </w:rPr>
              <w:t xml:space="preserve"> </w:t>
            </w:r>
            <w:r w:rsidRPr="00B9737F">
              <w:rPr>
                <w:sz w:val="20"/>
                <w:szCs w:val="20"/>
              </w:rPr>
              <w:t>Construction and demolition (including asbestos removal services)</w:t>
            </w:r>
          </w:p>
          <w:p w:rsidR="00B9737F" w:rsidRPr="00B9737F" w:rsidRDefault="00B9737F" w:rsidP="00B9737F">
            <w:pPr>
              <w:pStyle w:val="BodyText"/>
              <w:rPr>
                <w:sz w:val="20"/>
                <w:szCs w:val="20"/>
              </w:rPr>
            </w:pPr>
            <w:r w:rsidRPr="00B9737F">
              <w:rPr>
                <w:sz w:val="20"/>
                <w:szCs w:val="20"/>
              </w:rPr>
              <w:t>•</w:t>
            </w:r>
            <w:r>
              <w:rPr>
                <w:sz w:val="20"/>
                <w:szCs w:val="20"/>
              </w:rPr>
              <w:t xml:space="preserve"> </w:t>
            </w:r>
            <w:r w:rsidRPr="00B9737F">
              <w:rPr>
                <w:sz w:val="20"/>
                <w:szCs w:val="20"/>
              </w:rPr>
              <w:t>Property development</w:t>
            </w:r>
          </w:p>
          <w:p w:rsidR="00B9737F" w:rsidRPr="00B9737F" w:rsidRDefault="00B9737F" w:rsidP="00B9737F">
            <w:pPr>
              <w:pStyle w:val="BodyText"/>
              <w:rPr>
                <w:sz w:val="20"/>
                <w:szCs w:val="20"/>
              </w:rPr>
            </w:pPr>
            <w:r w:rsidRPr="00B9737F">
              <w:rPr>
                <w:sz w:val="20"/>
                <w:szCs w:val="20"/>
              </w:rPr>
              <w:t>•</w:t>
            </w:r>
            <w:r>
              <w:rPr>
                <w:sz w:val="20"/>
                <w:szCs w:val="20"/>
              </w:rPr>
              <w:t xml:space="preserve"> </w:t>
            </w:r>
            <w:r w:rsidRPr="00B9737F">
              <w:rPr>
                <w:sz w:val="20"/>
                <w:szCs w:val="20"/>
              </w:rPr>
              <w:t>Hospitals</w:t>
            </w:r>
          </w:p>
          <w:p w:rsidR="00B9737F" w:rsidRPr="00B9737F" w:rsidRDefault="00B9737F" w:rsidP="00B9737F">
            <w:pPr>
              <w:pStyle w:val="BodyText"/>
              <w:rPr>
                <w:sz w:val="20"/>
                <w:szCs w:val="20"/>
              </w:rPr>
            </w:pPr>
            <w:r w:rsidRPr="00B9737F">
              <w:rPr>
                <w:sz w:val="20"/>
                <w:szCs w:val="20"/>
              </w:rPr>
              <w:t>•</w:t>
            </w:r>
            <w:r>
              <w:rPr>
                <w:sz w:val="20"/>
                <w:szCs w:val="20"/>
              </w:rPr>
              <w:t xml:space="preserve"> </w:t>
            </w:r>
            <w:r w:rsidRPr="00B9737F">
              <w:rPr>
                <w:sz w:val="20"/>
                <w:szCs w:val="20"/>
              </w:rPr>
              <w:t>Schools</w:t>
            </w:r>
          </w:p>
          <w:p w:rsidR="00B9737F" w:rsidRPr="00B9737F" w:rsidRDefault="00B9737F" w:rsidP="00B9737F">
            <w:pPr>
              <w:pStyle w:val="BodyText"/>
              <w:rPr>
                <w:sz w:val="20"/>
                <w:szCs w:val="20"/>
              </w:rPr>
            </w:pPr>
            <w:r w:rsidRPr="00B9737F">
              <w:rPr>
                <w:sz w:val="20"/>
                <w:szCs w:val="20"/>
              </w:rPr>
              <w:t>•</w:t>
            </w:r>
            <w:r>
              <w:rPr>
                <w:sz w:val="20"/>
                <w:szCs w:val="20"/>
              </w:rPr>
              <w:t xml:space="preserve"> </w:t>
            </w:r>
            <w:r w:rsidRPr="00B9737F">
              <w:rPr>
                <w:sz w:val="20"/>
                <w:szCs w:val="20"/>
              </w:rPr>
              <w:t>Defence</w:t>
            </w:r>
          </w:p>
          <w:p w:rsidR="005D12E7" w:rsidRPr="00816657" w:rsidRDefault="00B9737F">
            <w:pPr>
              <w:pStyle w:val="BodyText"/>
              <w:rPr>
                <w:rFonts w:cs="Times New Roman"/>
                <w:color w:val="000000"/>
                <w:szCs w:val="20"/>
                <w:lang w:eastAsia="en-AU"/>
              </w:rPr>
            </w:pPr>
            <w:r w:rsidRPr="00B9737F">
              <w:rPr>
                <w:sz w:val="20"/>
                <w:szCs w:val="20"/>
              </w:rPr>
              <w:t>•</w:t>
            </w:r>
            <w:r>
              <w:rPr>
                <w:sz w:val="20"/>
                <w:szCs w:val="20"/>
              </w:rPr>
              <w:t xml:space="preserve"> </w:t>
            </w:r>
            <w:r w:rsidRPr="00B9737F">
              <w:rPr>
                <w:sz w:val="20"/>
                <w:szCs w:val="20"/>
              </w:rPr>
              <w:t>Numerous sectors involved in asbestos removal from their buildings</w:t>
            </w:r>
          </w:p>
        </w:tc>
        <w:tc>
          <w:tcPr>
            <w:tcW w:w="1005" w:type="pct"/>
            <w:tcBorders>
              <w:top w:val="single" w:sz="4" w:space="0" w:color="7F7F7F" w:themeColor="background2"/>
            </w:tcBorders>
          </w:tcPr>
          <w:p w:rsidR="005D12E7" w:rsidRDefault="005D12E7" w:rsidP="00BC3BD0">
            <w:pPr>
              <w:pStyle w:val="BodyText"/>
              <w:cnfStyle w:val="000000000000"/>
              <w:rPr>
                <w:sz w:val="20"/>
                <w:szCs w:val="20"/>
              </w:rPr>
            </w:pPr>
            <w:r w:rsidRPr="00816657">
              <w:rPr>
                <w:sz w:val="20"/>
                <w:szCs w:val="20"/>
              </w:rPr>
              <w:t>No sufficiently credible pre-existing projections were identified</w:t>
            </w:r>
          </w:p>
          <w:p w:rsidR="00B9737F" w:rsidRPr="00816657" w:rsidRDefault="00B9737F" w:rsidP="00BC3BD0">
            <w:pPr>
              <w:pStyle w:val="BodyText"/>
              <w:cnfStyle w:val="000000000000"/>
              <w:rPr>
                <w:sz w:val="20"/>
                <w:szCs w:val="20"/>
              </w:rPr>
            </w:pPr>
            <w:r w:rsidRPr="00816657">
              <w:rPr>
                <w:sz w:val="20"/>
                <w:szCs w:val="20"/>
              </w:rPr>
              <w:t>There may be historical data set which are adequate for discerning trends</w:t>
            </w:r>
          </w:p>
        </w:tc>
        <w:tc>
          <w:tcPr>
            <w:tcW w:w="1682" w:type="pct"/>
            <w:tcBorders>
              <w:top w:val="single" w:sz="4" w:space="0" w:color="7F7F7F" w:themeColor="background2"/>
            </w:tcBorders>
          </w:tcPr>
          <w:p w:rsidR="00B9737F" w:rsidRDefault="005D12E7" w:rsidP="00EA7F18">
            <w:pPr>
              <w:pStyle w:val="BodyText"/>
              <w:cnfStyle w:val="000000000000"/>
              <w:rPr>
                <w:sz w:val="20"/>
                <w:szCs w:val="20"/>
              </w:rPr>
            </w:pPr>
            <w:r w:rsidRPr="00816657">
              <w:rPr>
                <w:sz w:val="20"/>
                <w:szCs w:val="20"/>
              </w:rPr>
              <w:t>No evidence to suggest the supply of waste asbestos peaking or slowing</w:t>
            </w:r>
            <w:r w:rsidR="00B9737F">
              <w:rPr>
                <w:sz w:val="20"/>
                <w:szCs w:val="20"/>
              </w:rPr>
              <w:t xml:space="preserve"> </w:t>
            </w:r>
            <w:r w:rsidR="00B9737F" w:rsidRPr="00816657">
              <w:rPr>
                <w:sz w:val="20"/>
                <w:szCs w:val="20"/>
              </w:rPr>
              <w:t xml:space="preserve">Average 60-year lifespan of buildings suggests increasing quantities in the coming years </w:t>
            </w:r>
          </w:p>
          <w:p w:rsidR="00B9737F" w:rsidRDefault="00B9737F" w:rsidP="00EA7F18">
            <w:pPr>
              <w:pStyle w:val="BodyText"/>
              <w:cnfStyle w:val="000000000000"/>
              <w:rPr>
                <w:sz w:val="20"/>
                <w:szCs w:val="20"/>
              </w:rPr>
            </w:pPr>
            <w:r w:rsidRPr="00816657">
              <w:rPr>
                <w:sz w:val="20"/>
                <w:szCs w:val="20"/>
              </w:rPr>
              <w:t>NSW does not generally track asbestos</w:t>
            </w:r>
          </w:p>
          <w:p w:rsidR="005D12E7" w:rsidRDefault="00B9737F" w:rsidP="00EA7F18">
            <w:pPr>
              <w:pStyle w:val="BodyText"/>
              <w:cnfStyle w:val="000000000000"/>
              <w:rPr>
                <w:sz w:val="20"/>
                <w:szCs w:val="20"/>
              </w:rPr>
            </w:pPr>
            <w:r w:rsidRPr="00816657">
              <w:rPr>
                <w:sz w:val="20"/>
                <w:szCs w:val="20"/>
              </w:rPr>
              <w:t>Combined Vic, SA, Qld data between 05-06 and 12-13 is consistent with average 17% annual increase</w:t>
            </w:r>
          </w:p>
          <w:p w:rsidR="00B9737F" w:rsidRPr="00816657" w:rsidRDefault="00B9737F" w:rsidP="00EA7F18">
            <w:pPr>
              <w:pStyle w:val="BodyText"/>
              <w:cnfStyle w:val="000000000000"/>
              <w:rPr>
                <w:sz w:val="20"/>
                <w:szCs w:val="20"/>
              </w:rPr>
            </w:pPr>
            <w:r w:rsidRPr="00816657">
              <w:rPr>
                <w:sz w:val="20"/>
                <w:szCs w:val="20"/>
              </w:rPr>
              <w:t>Estimates of &gt;1,000 Mr Fluffy homes in ACT and NSW may need demolition (~30-60kt</w:t>
            </w:r>
          </w:p>
        </w:tc>
        <w:tc>
          <w:tcPr>
            <w:tcW w:w="1305" w:type="pct"/>
            <w:tcBorders>
              <w:top w:val="single" w:sz="4" w:space="0" w:color="7F7F7F" w:themeColor="background2"/>
            </w:tcBorders>
          </w:tcPr>
          <w:p w:rsidR="005D12E7" w:rsidRDefault="005D12E7" w:rsidP="00EA7F18">
            <w:pPr>
              <w:pStyle w:val="BodyText"/>
              <w:cnfStyle w:val="000000000000"/>
              <w:rPr>
                <w:sz w:val="20"/>
                <w:szCs w:val="20"/>
              </w:rPr>
            </w:pPr>
            <w:r w:rsidRPr="00816657">
              <w:rPr>
                <w:sz w:val="20"/>
                <w:szCs w:val="20"/>
              </w:rPr>
              <w:t>Use judgement - trend and causal analysis</w:t>
            </w:r>
          </w:p>
          <w:p w:rsidR="00B9737F" w:rsidRPr="00816657" w:rsidRDefault="00B9737F" w:rsidP="00EA7F18">
            <w:pPr>
              <w:pStyle w:val="BodyText"/>
              <w:cnfStyle w:val="000000000000"/>
              <w:rPr>
                <w:sz w:val="20"/>
                <w:szCs w:val="20"/>
              </w:rPr>
            </w:pPr>
            <w:r w:rsidRPr="00816657">
              <w:rPr>
                <w:sz w:val="20"/>
                <w:szCs w:val="20"/>
              </w:rPr>
              <w:t>Assume additional Mr Fluffy waste in the ACT over 5 years. See range estimates in Belot 2014</w:t>
            </w:r>
          </w:p>
        </w:tc>
      </w:tr>
    </w:tbl>
    <w:p w:rsidR="00B76D48" w:rsidRDefault="00B76D48" w:rsidP="00227F36">
      <w:pPr>
        <w:pStyle w:val="BodyText"/>
      </w:pPr>
    </w:p>
    <w:p w:rsidR="00B76D48" w:rsidRDefault="00B76D48" w:rsidP="007F5BD4">
      <w:pPr>
        <w:rPr>
          <w:color w:val="080808"/>
          <w:sz w:val="22"/>
        </w:rPr>
      </w:pPr>
      <w:r>
        <w:br w:type="page"/>
      </w:r>
    </w:p>
    <w:p w:rsidR="00B9737F" w:rsidRPr="00690D9F" w:rsidRDefault="00B9737F" w:rsidP="00227F36">
      <w:pPr>
        <w:pStyle w:val="BodyText"/>
        <w:rPr>
          <w:sz w:val="2"/>
          <w:szCs w:val="2"/>
        </w:rPr>
      </w:pPr>
    </w:p>
    <w:p w:rsidR="00376588" w:rsidRPr="00816657" w:rsidRDefault="00376588" w:rsidP="00655F62">
      <w:pPr>
        <w:pStyle w:val="Figures"/>
      </w:pPr>
      <w:bookmarkStart w:id="173" w:name="_Toc425849320"/>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35</w:t>
      </w:r>
      <w:r w:rsidR="006D07F5" w:rsidRPr="00816657">
        <w:rPr>
          <w:noProof/>
        </w:rPr>
        <w:fldChar w:fldCharType="end"/>
      </w:r>
      <w:r w:rsidRPr="00816657">
        <w:t xml:space="preserve">: </w:t>
      </w:r>
      <w:r w:rsidRPr="00816657">
        <w:tab/>
        <w:t>Best, high and low projected rates of change for asbestos waste to 2034</w:t>
      </w:r>
      <w:bookmarkEnd w:id="173"/>
    </w:p>
    <w:tbl>
      <w:tblPr>
        <w:tblStyle w:val="BETable1"/>
        <w:tblW w:w="10205" w:type="dxa"/>
        <w:tblInd w:w="-227" w:type="dxa"/>
        <w:tblLayout w:type="fixed"/>
        <w:tblLook w:val="04A0"/>
      </w:tblPr>
      <w:tblGrid>
        <w:gridCol w:w="567"/>
        <w:gridCol w:w="993"/>
        <w:gridCol w:w="4817"/>
        <w:gridCol w:w="671"/>
        <w:gridCol w:w="868"/>
        <w:gridCol w:w="450"/>
        <w:gridCol w:w="671"/>
        <w:gridCol w:w="450"/>
        <w:gridCol w:w="718"/>
      </w:tblGrid>
      <w:tr w:rsidR="00DC1C41" w:rsidRPr="00816657" w:rsidTr="007F5BD4">
        <w:trPr>
          <w:cnfStyle w:val="100000000000"/>
        </w:trPr>
        <w:tc>
          <w:tcPr>
            <w:cnfStyle w:val="001000000000"/>
            <w:tcW w:w="567" w:type="dxa"/>
          </w:tcPr>
          <w:p w:rsidR="00DC1C41" w:rsidRPr="00816657" w:rsidRDefault="00DC1C41" w:rsidP="002D3055">
            <w:pPr>
              <w:rPr>
                <w:rFonts w:asciiTheme="minorHAnsi" w:hAnsiTheme="minorHAnsi"/>
                <w:sz w:val="18"/>
                <w:szCs w:val="18"/>
              </w:rPr>
            </w:pPr>
          </w:p>
        </w:tc>
        <w:tc>
          <w:tcPr>
            <w:tcW w:w="993" w:type="dxa"/>
          </w:tcPr>
          <w:p w:rsidR="00DC1C41" w:rsidRPr="00816657" w:rsidRDefault="00DC1C41" w:rsidP="002D3055">
            <w:pPr>
              <w:cnfStyle w:val="100000000000"/>
              <w:rPr>
                <w:rFonts w:asciiTheme="minorHAnsi" w:hAnsiTheme="minorHAnsi"/>
                <w:sz w:val="18"/>
                <w:szCs w:val="18"/>
              </w:rPr>
            </w:pPr>
            <w:r w:rsidRPr="00816657">
              <w:rPr>
                <w:rFonts w:asciiTheme="minorHAnsi" w:hAnsiTheme="minorHAnsi"/>
                <w:sz w:val="18"/>
                <w:szCs w:val="18"/>
              </w:rPr>
              <w:t>Applies to</w:t>
            </w:r>
          </w:p>
        </w:tc>
        <w:tc>
          <w:tcPr>
            <w:tcW w:w="4817" w:type="dxa"/>
          </w:tcPr>
          <w:p w:rsidR="00DC1C41" w:rsidRPr="00816657" w:rsidRDefault="00DC1C41" w:rsidP="002D3055">
            <w:pPr>
              <w:cnfStyle w:val="100000000000"/>
              <w:rPr>
                <w:rFonts w:asciiTheme="minorHAnsi" w:hAnsiTheme="minorHAnsi"/>
                <w:sz w:val="18"/>
                <w:szCs w:val="18"/>
              </w:rPr>
            </w:pPr>
            <w:r w:rsidRPr="00816657">
              <w:rPr>
                <w:rFonts w:asciiTheme="minorHAnsi" w:hAnsiTheme="minorHAnsi"/>
                <w:sz w:val="18"/>
                <w:szCs w:val="18"/>
              </w:rPr>
              <w:t>Approach</w:t>
            </w:r>
          </w:p>
        </w:tc>
        <w:tc>
          <w:tcPr>
            <w:tcW w:w="671" w:type="dxa"/>
          </w:tcPr>
          <w:p w:rsidR="00DC1C41" w:rsidRPr="00816657" w:rsidRDefault="00DC1C41" w:rsidP="00DF1E42">
            <w:pPr>
              <w:jc w:val="right"/>
              <w:cnfStyle w:val="100000000000"/>
              <w:rPr>
                <w:rFonts w:asciiTheme="minorHAnsi" w:hAnsiTheme="minorHAnsi"/>
                <w:sz w:val="18"/>
                <w:szCs w:val="18"/>
              </w:rPr>
            </w:pPr>
            <w:r w:rsidRPr="00816657">
              <w:rPr>
                <w:rFonts w:asciiTheme="minorHAnsi" w:hAnsiTheme="minorHAnsi"/>
                <w:sz w:val="18"/>
                <w:szCs w:val="18"/>
              </w:rPr>
              <w:t>2014</w:t>
            </w:r>
          </w:p>
        </w:tc>
        <w:tc>
          <w:tcPr>
            <w:tcW w:w="868" w:type="dxa"/>
          </w:tcPr>
          <w:p w:rsidR="00DC1C41" w:rsidRPr="00816657" w:rsidRDefault="00DC1C41" w:rsidP="00DF1E42">
            <w:pPr>
              <w:jc w:val="right"/>
              <w:cnfStyle w:val="100000000000"/>
              <w:rPr>
                <w:rFonts w:asciiTheme="minorHAnsi" w:hAnsiTheme="minorHAnsi"/>
                <w:sz w:val="18"/>
                <w:szCs w:val="18"/>
              </w:rPr>
            </w:pPr>
            <w:r w:rsidRPr="00816657">
              <w:rPr>
                <w:rFonts w:asciiTheme="minorHAnsi" w:hAnsiTheme="minorHAnsi"/>
                <w:sz w:val="18"/>
                <w:szCs w:val="18"/>
              </w:rPr>
              <w:t>2015</w:t>
            </w:r>
          </w:p>
        </w:tc>
        <w:tc>
          <w:tcPr>
            <w:tcW w:w="450" w:type="dxa"/>
          </w:tcPr>
          <w:p w:rsidR="00DC1C41" w:rsidRPr="00816657" w:rsidRDefault="00DC1C41" w:rsidP="00DF1E42">
            <w:pPr>
              <w:jc w:val="right"/>
              <w:cnfStyle w:val="100000000000"/>
              <w:rPr>
                <w:rFonts w:asciiTheme="minorHAnsi" w:hAnsiTheme="minorHAnsi"/>
                <w:sz w:val="18"/>
                <w:szCs w:val="18"/>
              </w:rPr>
            </w:pPr>
            <w:r w:rsidRPr="00816657">
              <w:rPr>
                <w:rFonts w:asciiTheme="minorHAnsi" w:hAnsiTheme="minorHAnsi"/>
                <w:sz w:val="18"/>
                <w:szCs w:val="18"/>
              </w:rPr>
              <w:t>...</w:t>
            </w:r>
          </w:p>
        </w:tc>
        <w:tc>
          <w:tcPr>
            <w:tcW w:w="671" w:type="dxa"/>
          </w:tcPr>
          <w:p w:rsidR="00DC1C41" w:rsidRPr="00816657" w:rsidRDefault="00DC1C41" w:rsidP="00DF1E42">
            <w:pPr>
              <w:jc w:val="right"/>
              <w:cnfStyle w:val="100000000000"/>
              <w:rPr>
                <w:rFonts w:asciiTheme="minorHAnsi" w:hAnsiTheme="minorHAnsi"/>
                <w:sz w:val="18"/>
                <w:szCs w:val="18"/>
              </w:rPr>
            </w:pPr>
            <w:r w:rsidRPr="00816657">
              <w:rPr>
                <w:rFonts w:asciiTheme="minorHAnsi" w:hAnsiTheme="minorHAnsi"/>
                <w:sz w:val="18"/>
                <w:szCs w:val="18"/>
              </w:rPr>
              <w:t>2020</w:t>
            </w:r>
          </w:p>
        </w:tc>
        <w:tc>
          <w:tcPr>
            <w:tcW w:w="450" w:type="dxa"/>
          </w:tcPr>
          <w:p w:rsidR="00DC1C41" w:rsidRPr="00816657" w:rsidRDefault="00DC1C41" w:rsidP="00DF1E42">
            <w:pPr>
              <w:jc w:val="right"/>
              <w:cnfStyle w:val="100000000000"/>
              <w:rPr>
                <w:rFonts w:asciiTheme="minorHAnsi" w:hAnsiTheme="minorHAnsi"/>
                <w:sz w:val="18"/>
                <w:szCs w:val="18"/>
              </w:rPr>
            </w:pPr>
            <w:r w:rsidRPr="00816657">
              <w:rPr>
                <w:rFonts w:asciiTheme="minorHAnsi" w:hAnsiTheme="minorHAnsi"/>
                <w:sz w:val="18"/>
                <w:szCs w:val="18"/>
              </w:rPr>
              <w:t>...</w:t>
            </w:r>
          </w:p>
        </w:tc>
        <w:tc>
          <w:tcPr>
            <w:tcW w:w="718" w:type="dxa"/>
          </w:tcPr>
          <w:p w:rsidR="00DC1C41" w:rsidRPr="00816657" w:rsidRDefault="00DC1C41" w:rsidP="00DF1E42">
            <w:pPr>
              <w:jc w:val="right"/>
              <w:cnfStyle w:val="100000000000"/>
              <w:rPr>
                <w:rFonts w:asciiTheme="minorHAnsi" w:hAnsiTheme="minorHAnsi"/>
                <w:sz w:val="18"/>
                <w:szCs w:val="18"/>
              </w:rPr>
            </w:pPr>
            <w:r w:rsidRPr="00816657">
              <w:rPr>
                <w:rFonts w:asciiTheme="minorHAnsi" w:hAnsiTheme="minorHAnsi"/>
                <w:sz w:val="18"/>
                <w:szCs w:val="18"/>
              </w:rPr>
              <w:t>2034</w:t>
            </w:r>
          </w:p>
        </w:tc>
      </w:tr>
      <w:tr w:rsidR="00DC1C41" w:rsidRPr="00816657" w:rsidTr="007F5BD4">
        <w:tc>
          <w:tcPr>
            <w:cnfStyle w:val="001000000000"/>
            <w:tcW w:w="567" w:type="dxa"/>
          </w:tcPr>
          <w:p w:rsidR="00DC1C41" w:rsidRPr="00816657" w:rsidRDefault="00DC1C41" w:rsidP="002D3055">
            <w:pPr>
              <w:rPr>
                <w:rFonts w:asciiTheme="minorHAnsi" w:hAnsiTheme="minorHAnsi"/>
                <w:sz w:val="18"/>
                <w:szCs w:val="18"/>
              </w:rPr>
            </w:pPr>
            <w:r w:rsidRPr="00816657">
              <w:rPr>
                <w:rFonts w:asciiTheme="minorHAnsi" w:hAnsiTheme="minorHAnsi"/>
                <w:sz w:val="18"/>
                <w:szCs w:val="18"/>
              </w:rPr>
              <w:t>Best</w:t>
            </w:r>
          </w:p>
        </w:tc>
        <w:tc>
          <w:tcPr>
            <w:tcW w:w="993" w:type="dxa"/>
            <w:vMerge w:val="restart"/>
            <w:vAlign w:val="center"/>
          </w:tcPr>
          <w:p w:rsidR="00DC1C41" w:rsidRPr="00816657" w:rsidRDefault="00DC1C41" w:rsidP="002D3055">
            <w:pPr>
              <w:cnfStyle w:val="000000000000"/>
              <w:rPr>
                <w:rFonts w:asciiTheme="minorHAnsi" w:hAnsiTheme="minorHAnsi"/>
                <w:sz w:val="18"/>
                <w:szCs w:val="18"/>
              </w:rPr>
            </w:pPr>
            <w:r w:rsidRPr="00816657">
              <w:rPr>
                <w:rFonts w:asciiTheme="minorHAnsi" w:hAnsiTheme="minorHAnsi"/>
                <w:sz w:val="18"/>
                <w:szCs w:val="18"/>
              </w:rPr>
              <w:t>ACT, NSW, NT, Qld, SA, Tas, Vic, WA</w:t>
            </w:r>
          </w:p>
        </w:tc>
        <w:tc>
          <w:tcPr>
            <w:tcW w:w="4817" w:type="dxa"/>
          </w:tcPr>
          <w:p w:rsidR="00DC1C41" w:rsidRPr="00816657" w:rsidRDefault="00DC1C41" w:rsidP="002D3055">
            <w:pPr>
              <w:cnfStyle w:val="000000000000"/>
              <w:rPr>
                <w:rFonts w:asciiTheme="minorHAnsi" w:hAnsiTheme="minorHAnsi"/>
                <w:sz w:val="18"/>
                <w:szCs w:val="18"/>
              </w:rPr>
            </w:pPr>
            <w:r w:rsidRPr="00816657">
              <w:rPr>
                <w:rFonts w:asciiTheme="minorHAnsi" w:hAnsiTheme="minorHAnsi"/>
                <w:sz w:val="18"/>
                <w:szCs w:val="18"/>
              </w:rPr>
              <w:t>Economic growth</w:t>
            </w:r>
          </w:p>
        </w:tc>
        <w:tc>
          <w:tcPr>
            <w:tcW w:w="671"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2.8%</w:t>
            </w:r>
          </w:p>
        </w:tc>
        <w:tc>
          <w:tcPr>
            <w:tcW w:w="868"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450"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671"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450"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718"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2.8%</w:t>
            </w:r>
          </w:p>
        </w:tc>
      </w:tr>
      <w:tr w:rsidR="00DC1C41" w:rsidRPr="00816657" w:rsidTr="007F5BD4">
        <w:tc>
          <w:tcPr>
            <w:cnfStyle w:val="001000000000"/>
            <w:tcW w:w="567" w:type="dxa"/>
          </w:tcPr>
          <w:p w:rsidR="00DC1C41" w:rsidRPr="00816657" w:rsidRDefault="00DC1C41" w:rsidP="002D3055">
            <w:pPr>
              <w:rPr>
                <w:rFonts w:asciiTheme="minorHAnsi" w:hAnsiTheme="minorHAnsi"/>
                <w:sz w:val="18"/>
                <w:szCs w:val="18"/>
              </w:rPr>
            </w:pPr>
            <w:r w:rsidRPr="00816657">
              <w:rPr>
                <w:rFonts w:asciiTheme="minorHAnsi" w:hAnsiTheme="minorHAnsi"/>
                <w:sz w:val="18"/>
                <w:szCs w:val="18"/>
              </w:rPr>
              <w:t>High</w:t>
            </w:r>
          </w:p>
        </w:tc>
        <w:tc>
          <w:tcPr>
            <w:tcW w:w="993" w:type="dxa"/>
            <w:vMerge/>
            <w:vAlign w:val="center"/>
          </w:tcPr>
          <w:p w:rsidR="00DC1C41" w:rsidRPr="00816657" w:rsidRDefault="00DC1C41" w:rsidP="002D3055">
            <w:pPr>
              <w:cnfStyle w:val="000000000000"/>
              <w:rPr>
                <w:rFonts w:asciiTheme="minorHAnsi" w:hAnsiTheme="minorHAnsi"/>
                <w:sz w:val="18"/>
                <w:szCs w:val="18"/>
              </w:rPr>
            </w:pPr>
          </w:p>
        </w:tc>
        <w:tc>
          <w:tcPr>
            <w:tcW w:w="4817" w:type="dxa"/>
          </w:tcPr>
          <w:p w:rsidR="00DC1C41" w:rsidRPr="00816657" w:rsidRDefault="00DC1C41" w:rsidP="002D3055">
            <w:pPr>
              <w:cnfStyle w:val="000000000000"/>
              <w:rPr>
                <w:rFonts w:asciiTheme="minorHAnsi" w:hAnsiTheme="minorHAnsi"/>
                <w:sz w:val="18"/>
                <w:szCs w:val="18"/>
              </w:rPr>
            </w:pPr>
            <w:r w:rsidRPr="00816657">
              <w:rPr>
                <w:rFonts w:asciiTheme="minorHAnsi" w:hAnsiTheme="minorHAnsi"/>
                <w:sz w:val="18"/>
                <w:szCs w:val="18"/>
              </w:rPr>
              <w:t>As per best estimate, with adjustment below</w:t>
            </w:r>
          </w:p>
        </w:tc>
        <w:tc>
          <w:tcPr>
            <w:tcW w:w="671"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2.8%</w:t>
            </w:r>
          </w:p>
        </w:tc>
        <w:tc>
          <w:tcPr>
            <w:tcW w:w="868"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450"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671"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450"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718"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5.8%</w:t>
            </w:r>
          </w:p>
        </w:tc>
      </w:tr>
      <w:tr w:rsidR="00DC1C41" w:rsidRPr="00816657" w:rsidTr="007F5BD4">
        <w:tc>
          <w:tcPr>
            <w:cnfStyle w:val="001000000000"/>
            <w:tcW w:w="567" w:type="dxa"/>
            <w:tcBorders>
              <w:bottom w:val="single" w:sz="12" w:space="0" w:color="auto"/>
            </w:tcBorders>
          </w:tcPr>
          <w:p w:rsidR="00DC1C41" w:rsidRPr="00816657" w:rsidRDefault="00DC1C41" w:rsidP="002D3055">
            <w:pPr>
              <w:rPr>
                <w:rFonts w:asciiTheme="minorHAnsi" w:hAnsiTheme="minorHAnsi"/>
                <w:sz w:val="18"/>
                <w:szCs w:val="18"/>
              </w:rPr>
            </w:pPr>
            <w:r w:rsidRPr="00816657">
              <w:rPr>
                <w:rFonts w:asciiTheme="minorHAnsi" w:hAnsiTheme="minorHAnsi"/>
                <w:sz w:val="18"/>
                <w:szCs w:val="18"/>
              </w:rPr>
              <w:t>Low</w:t>
            </w:r>
          </w:p>
        </w:tc>
        <w:tc>
          <w:tcPr>
            <w:tcW w:w="993" w:type="dxa"/>
            <w:vMerge/>
            <w:tcBorders>
              <w:bottom w:val="single" w:sz="12" w:space="0" w:color="auto"/>
            </w:tcBorders>
            <w:vAlign w:val="center"/>
          </w:tcPr>
          <w:p w:rsidR="00DC1C41" w:rsidRPr="00816657" w:rsidRDefault="00DC1C41" w:rsidP="002D3055">
            <w:pPr>
              <w:cnfStyle w:val="000000000000"/>
              <w:rPr>
                <w:rFonts w:asciiTheme="minorHAnsi" w:hAnsiTheme="minorHAnsi"/>
                <w:sz w:val="18"/>
                <w:szCs w:val="18"/>
              </w:rPr>
            </w:pPr>
          </w:p>
        </w:tc>
        <w:tc>
          <w:tcPr>
            <w:tcW w:w="4817" w:type="dxa"/>
            <w:tcBorders>
              <w:bottom w:val="single" w:sz="12" w:space="0" w:color="auto"/>
            </w:tcBorders>
          </w:tcPr>
          <w:p w:rsidR="00DC1C41" w:rsidRPr="00816657" w:rsidRDefault="00DC1C41" w:rsidP="002D3055">
            <w:pPr>
              <w:cnfStyle w:val="000000000000"/>
              <w:rPr>
                <w:rFonts w:asciiTheme="minorHAnsi" w:hAnsiTheme="minorHAnsi"/>
                <w:sz w:val="18"/>
                <w:szCs w:val="18"/>
              </w:rPr>
            </w:pPr>
            <w:r w:rsidRPr="00816657">
              <w:rPr>
                <w:rFonts w:asciiTheme="minorHAnsi" w:hAnsiTheme="minorHAnsi"/>
                <w:sz w:val="18"/>
                <w:szCs w:val="18"/>
              </w:rPr>
              <w:t>As per best estimate, with adjustment below</w:t>
            </w:r>
          </w:p>
        </w:tc>
        <w:tc>
          <w:tcPr>
            <w:tcW w:w="671" w:type="dxa"/>
            <w:tcBorders>
              <w:bottom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2.8%</w:t>
            </w:r>
          </w:p>
        </w:tc>
        <w:tc>
          <w:tcPr>
            <w:tcW w:w="868" w:type="dxa"/>
            <w:tcBorders>
              <w:bottom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450" w:type="dxa"/>
            <w:tcBorders>
              <w:bottom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671" w:type="dxa"/>
            <w:tcBorders>
              <w:bottom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450" w:type="dxa"/>
            <w:tcBorders>
              <w:bottom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718" w:type="dxa"/>
            <w:tcBorders>
              <w:bottom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-0.2%</w:t>
            </w:r>
          </w:p>
        </w:tc>
      </w:tr>
      <w:tr w:rsidR="00DC1C41" w:rsidRPr="00816657" w:rsidTr="007F5BD4">
        <w:tc>
          <w:tcPr>
            <w:cnfStyle w:val="001000000000"/>
            <w:tcW w:w="567" w:type="dxa"/>
            <w:tcBorders>
              <w:top w:val="single" w:sz="12" w:space="0" w:color="auto"/>
            </w:tcBorders>
          </w:tcPr>
          <w:p w:rsidR="00DC1C41" w:rsidRPr="00816657" w:rsidRDefault="00DC1C41" w:rsidP="002D3055">
            <w:pPr>
              <w:rPr>
                <w:rFonts w:asciiTheme="minorHAnsi" w:hAnsiTheme="minorHAnsi"/>
                <w:sz w:val="18"/>
                <w:szCs w:val="18"/>
              </w:rPr>
            </w:pPr>
            <w:r w:rsidRPr="00816657">
              <w:rPr>
                <w:rFonts w:asciiTheme="minorHAnsi" w:hAnsiTheme="minorHAnsi"/>
                <w:sz w:val="18"/>
                <w:szCs w:val="18"/>
              </w:rPr>
              <w:t>Best</w:t>
            </w:r>
          </w:p>
        </w:tc>
        <w:tc>
          <w:tcPr>
            <w:tcW w:w="993" w:type="dxa"/>
            <w:vMerge w:val="restart"/>
            <w:tcBorders>
              <w:top w:val="single" w:sz="12" w:space="0" w:color="auto"/>
            </w:tcBorders>
          </w:tcPr>
          <w:p w:rsidR="00DC1C41" w:rsidRPr="00816657" w:rsidRDefault="00DC1C41" w:rsidP="00DC1C41">
            <w:pPr>
              <w:cnfStyle w:val="000000000000"/>
              <w:rPr>
                <w:rFonts w:asciiTheme="minorHAnsi" w:hAnsiTheme="minorHAnsi"/>
                <w:sz w:val="18"/>
                <w:szCs w:val="18"/>
              </w:rPr>
            </w:pPr>
            <w:r w:rsidRPr="00816657">
              <w:rPr>
                <w:rFonts w:asciiTheme="minorHAnsi" w:hAnsiTheme="minorHAnsi"/>
                <w:sz w:val="18"/>
                <w:szCs w:val="18"/>
              </w:rPr>
              <w:t>ACT</w:t>
            </w:r>
          </w:p>
        </w:tc>
        <w:tc>
          <w:tcPr>
            <w:tcW w:w="4817" w:type="dxa"/>
            <w:tcBorders>
              <w:top w:val="single" w:sz="12" w:space="0" w:color="auto"/>
            </w:tcBorders>
          </w:tcPr>
          <w:p w:rsidR="00DC1C41" w:rsidRPr="00816657" w:rsidRDefault="00DC1C41" w:rsidP="002D3055">
            <w:pPr>
              <w:cnfStyle w:val="000000000000"/>
              <w:rPr>
                <w:rFonts w:asciiTheme="minorHAnsi" w:hAnsiTheme="minorHAnsi"/>
                <w:sz w:val="18"/>
                <w:szCs w:val="18"/>
              </w:rPr>
            </w:pPr>
            <w:r w:rsidRPr="00816657">
              <w:rPr>
                <w:rFonts w:asciiTheme="minorHAnsi" w:hAnsiTheme="minorHAnsi"/>
                <w:sz w:val="18"/>
                <w:szCs w:val="18"/>
              </w:rPr>
              <w:t>Mr Fluffy rehabilitation - assume 100kt over 5 yrs starting in 1</w:t>
            </w:r>
          </w:p>
        </w:tc>
        <w:tc>
          <w:tcPr>
            <w:tcW w:w="671" w:type="dxa"/>
            <w:tcBorders>
              <w:top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0t</w:t>
            </w:r>
          </w:p>
        </w:tc>
        <w:tc>
          <w:tcPr>
            <w:tcW w:w="868" w:type="dxa"/>
            <w:tcBorders>
              <w:top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20,000t</w:t>
            </w:r>
          </w:p>
        </w:tc>
        <w:tc>
          <w:tcPr>
            <w:tcW w:w="450" w:type="dxa"/>
            <w:tcBorders>
              <w:top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671" w:type="dxa"/>
            <w:tcBorders>
              <w:top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0t</w:t>
            </w:r>
          </w:p>
        </w:tc>
        <w:tc>
          <w:tcPr>
            <w:tcW w:w="450" w:type="dxa"/>
            <w:tcBorders>
              <w:top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718" w:type="dxa"/>
            <w:tcBorders>
              <w:top w:val="single" w:sz="12"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0t</w:t>
            </w:r>
          </w:p>
        </w:tc>
      </w:tr>
      <w:tr w:rsidR="00DC1C41" w:rsidRPr="00816657" w:rsidTr="007F5BD4">
        <w:trPr>
          <w:trHeight w:val="99"/>
        </w:trPr>
        <w:tc>
          <w:tcPr>
            <w:cnfStyle w:val="001000000000"/>
            <w:tcW w:w="567" w:type="dxa"/>
          </w:tcPr>
          <w:p w:rsidR="00DC1C41" w:rsidRPr="00816657" w:rsidRDefault="00DC1C41" w:rsidP="002D3055">
            <w:pPr>
              <w:rPr>
                <w:rFonts w:asciiTheme="minorHAnsi" w:hAnsiTheme="minorHAnsi"/>
                <w:sz w:val="18"/>
                <w:szCs w:val="18"/>
              </w:rPr>
            </w:pPr>
            <w:r w:rsidRPr="00816657">
              <w:rPr>
                <w:rFonts w:asciiTheme="minorHAnsi" w:hAnsiTheme="minorHAnsi"/>
                <w:sz w:val="18"/>
                <w:szCs w:val="18"/>
              </w:rPr>
              <w:t>High</w:t>
            </w:r>
          </w:p>
        </w:tc>
        <w:tc>
          <w:tcPr>
            <w:tcW w:w="993" w:type="dxa"/>
            <w:vMerge/>
          </w:tcPr>
          <w:p w:rsidR="00DC1C41" w:rsidRPr="00816657" w:rsidRDefault="00DC1C41" w:rsidP="002D3055">
            <w:pPr>
              <w:cnfStyle w:val="000000000000"/>
              <w:rPr>
                <w:rFonts w:asciiTheme="minorHAnsi" w:hAnsiTheme="minorHAnsi"/>
                <w:sz w:val="18"/>
                <w:szCs w:val="18"/>
              </w:rPr>
            </w:pPr>
          </w:p>
        </w:tc>
        <w:tc>
          <w:tcPr>
            <w:tcW w:w="4817" w:type="dxa"/>
          </w:tcPr>
          <w:p w:rsidR="00DC1C41" w:rsidRPr="00816657" w:rsidRDefault="00DC1C41" w:rsidP="002D3055">
            <w:pPr>
              <w:cnfStyle w:val="000000000000"/>
              <w:rPr>
                <w:rFonts w:asciiTheme="minorHAnsi" w:hAnsiTheme="minorHAnsi"/>
                <w:sz w:val="18"/>
                <w:szCs w:val="18"/>
              </w:rPr>
            </w:pPr>
            <w:r w:rsidRPr="00816657">
              <w:rPr>
                <w:rFonts w:asciiTheme="minorHAnsi" w:hAnsiTheme="minorHAnsi"/>
                <w:sz w:val="18"/>
                <w:szCs w:val="18"/>
              </w:rPr>
              <w:t>Mr Fluffy rehabilitation - assume 150kt over 5 yrs starting in 1</w:t>
            </w:r>
          </w:p>
        </w:tc>
        <w:tc>
          <w:tcPr>
            <w:tcW w:w="671"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0t</w:t>
            </w:r>
          </w:p>
        </w:tc>
        <w:tc>
          <w:tcPr>
            <w:tcW w:w="868"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30,000t</w:t>
            </w:r>
          </w:p>
        </w:tc>
        <w:tc>
          <w:tcPr>
            <w:tcW w:w="450"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671"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0t</w:t>
            </w:r>
          </w:p>
        </w:tc>
        <w:tc>
          <w:tcPr>
            <w:tcW w:w="450"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718" w:type="dxa"/>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0t</w:t>
            </w:r>
          </w:p>
        </w:tc>
      </w:tr>
      <w:tr w:rsidR="00DC1C41" w:rsidRPr="00816657" w:rsidTr="007F5BD4">
        <w:tc>
          <w:tcPr>
            <w:cnfStyle w:val="001000000000"/>
            <w:tcW w:w="567" w:type="dxa"/>
            <w:tcBorders>
              <w:bottom w:val="single" w:sz="4" w:space="0" w:color="auto"/>
            </w:tcBorders>
          </w:tcPr>
          <w:p w:rsidR="00DC1C41" w:rsidRPr="00816657" w:rsidRDefault="00DC1C41" w:rsidP="002D3055">
            <w:pPr>
              <w:rPr>
                <w:rFonts w:asciiTheme="minorHAnsi" w:hAnsiTheme="minorHAnsi"/>
                <w:sz w:val="18"/>
                <w:szCs w:val="18"/>
              </w:rPr>
            </w:pPr>
            <w:r w:rsidRPr="00816657">
              <w:rPr>
                <w:rFonts w:asciiTheme="minorHAnsi" w:hAnsiTheme="minorHAnsi"/>
                <w:sz w:val="18"/>
                <w:szCs w:val="18"/>
              </w:rPr>
              <w:t>Low</w:t>
            </w:r>
          </w:p>
        </w:tc>
        <w:tc>
          <w:tcPr>
            <w:tcW w:w="993" w:type="dxa"/>
            <w:vMerge/>
            <w:tcBorders>
              <w:bottom w:val="single" w:sz="4" w:space="0" w:color="auto"/>
            </w:tcBorders>
          </w:tcPr>
          <w:p w:rsidR="00DC1C41" w:rsidRPr="00816657" w:rsidRDefault="00DC1C41" w:rsidP="002D3055">
            <w:pPr>
              <w:cnfStyle w:val="000000000000"/>
              <w:rPr>
                <w:rFonts w:asciiTheme="minorHAnsi" w:hAnsiTheme="minorHAnsi"/>
                <w:sz w:val="18"/>
                <w:szCs w:val="18"/>
              </w:rPr>
            </w:pPr>
          </w:p>
        </w:tc>
        <w:tc>
          <w:tcPr>
            <w:tcW w:w="4817" w:type="dxa"/>
            <w:tcBorders>
              <w:bottom w:val="single" w:sz="4" w:space="0" w:color="auto"/>
            </w:tcBorders>
          </w:tcPr>
          <w:p w:rsidR="00DC1C41" w:rsidRPr="00816657" w:rsidRDefault="00DC1C41" w:rsidP="002D3055">
            <w:pPr>
              <w:cnfStyle w:val="000000000000"/>
              <w:rPr>
                <w:rFonts w:asciiTheme="minorHAnsi" w:hAnsiTheme="minorHAnsi"/>
                <w:sz w:val="18"/>
                <w:szCs w:val="18"/>
              </w:rPr>
            </w:pPr>
            <w:r w:rsidRPr="00816657">
              <w:rPr>
                <w:rFonts w:asciiTheme="minorHAnsi" w:hAnsiTheme="minorHAnsi"/>
                <w:sz w:val="18"/>
                <w:szCs w:val="18"/>
              </w:rPr>
              <w:t>Mr Fluffy rehabilitation - assume 50kt over 5 yrs starting in 1</w:t>
            </w:r>
          </w:p>
        </w:tc>
        <w:tc>
          <w:tcPr>
            <w:tcW w:w="671" w:type="dxa"/>
            <w:tcBorders>
              <w:bottom w:val="single" w:sz="4"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0t</w:t>
            </w:r>
          </w:p>
        </w:tc>
        <w:tc>
          <w:tcPr>
            <w:tcW w:w="868" w:type="dxa"/>
            <w:tcBorders>
              <w:bottom w:val="single" w:sz="4"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10,000t</w:t>
            </w:r>
          </w:p>
        </w:tc>
        <w:tc>
          <w:tcPr>
            <w:tcW w:w="450" w:type="dxa"/>
            <w:tcBorders>
              <w:bottom w:val="single" w:sz="4"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671" w:type="dxa"/>
            <w:tcBorders>
              <w:bottom w:val="single" w:sz="4"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0t</w:t>
            </w:r>
          </w:p>
        </w:tc>
        <w:tc>
          <w:tcPr>
            <w:tcW w:w="450" w:type="dxa"/>
            <w:tcBorders>
              <w:bottom w:val="single" w:sz="4"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718" w:type="dxa"/>
            <w:tcBorders>
              <w:bottom w:val="single" w:sz="4" w:space="0" w:color="auto"/>
            </w:tcBorders>
          </w:tcPr>
          <w:p w:rsidR="00DC1C41" w:rsidRPr="00816657" w:rsidRDefault="00DC1C41" w:rsidP="00DF1E42">
            <w:pPr>
              <w:jc w:val="right"/>
              <w:cnfStyle w:val="000000000000"/>
              <w:rPr>
                <w:rFonts w:asciiTheme="minorHAnsi" w:hAnsiTheme="minorHAnsi"/>
                <w:sz w:val="18"/>
                <w:szCs w:val="18"/>
              </w:rPr>
            </w:pPr>
            <w:r w:rsidRPr="00816657">
              <w:rPr>
                <w:rFonts w:asciiTheme="minorHAnsi" w:hAnsiTheme="minorHAnsi"/>
                <w:sz w:val="18"/>
                <w:szCs w:val="18"/>
              </w:rPr>
              <w:t>0t</w:t>
            </w:r>
          </w:p>
        </w:tc>
      </w:tr>
      <w:tr w:rsidR="000C620D" w:rsidRPr="00816657" w:rsidTr="007F5BD4">
        <w:tc>
          <w:tcPr>
            <w:cnfStyle w:val="001000000000"/>
            <w:tcW w:w="10205" w:type="dxa"/>
            <w:gridSpan w:val="9"/>
            <w:tcBorders>
              <w:top w:val="single" w:sz="4" w:space="0" w:color="auto"/>
              <w:bottom w:val="single" w:sz="4" w:space="0" w:color="auto"/>
            </w:tcBorders>
          </w:tcPr>
          <w:p w:rsidR="000C620D" w:rsidRPr="00816657" w:rsidRDefault="000C620D" w:rsidP="00DF1E42">
            <w:pPr>
              <w:rPr>
                <w:rFonts w:asciiTheme="minorHAnsi" w:hAnsiTheme="minorHAnsi"/>
                <w:b/>
                <w:sz w:val="18"/>
                <w:szCs w:val="18"/>
              </w:rPr>
            </w:pPr>
            <w:r w:rsidRPr="00816657">
              <w:rPr>
                <w:rFonts w:asciiTheme="minorHAnsi" w:hAnsiTheme="minorHAnsi"/>
                <w:b/>
                <w:sz w:val="18"/>
                <w:szCs w:val="18"/>
              </w:rPr>
              <w:t>Additional estimate for high and low scenarios using current data as baseline</w:t>
            </w:r>
          </w:p>
        </w:tc>
      </w:tr>
      <w:tr w:rsidR="00DC1C41" w:rsidRPr="00816657" w:rsidTr="007F5BD4">
        <w:tc>
          <w:tcPr>
            <w:cnfStyle w:val="001000000000"/>
            <w:tcW w:w="567" w:type="dxa"/>
            <w:tcBorders>
              <w:top w:val="single" w:sz="4" w:space="0" w:color="auto"/>
            </w:tcBorders>
          </w:tcPr>
          <w:p w:rsidR="00DC1C41" w:rsidRPr="00816657" w:rsidRDefault="00DC1C41" w:rsidP="002D3055">
            <w:pPr>
              <w:rPr>
                <w:rFonts w:asciiTheme="minorHAnsi" w:hAnsiTheme="minorHAnsi"/>
                <w:sz w:val="18"/>
                <w:szCs w:val="18"/>
              </w:rPr>
            </w:pPr>
            <w:r w:rsidRPr="00816657">
              <w:rPr>
                <w:rFonts w:asciiTheme="minorHAnsi" w:hAnsiTheme="minorHAnsi"/>
                <w:sz w:val="18"/>
                <w:szCs w:val="18"/>
              </w:rPr>
              <w:t>High</w:t>
            </w:r>
          </w:p>
        </w:tc>
        <w:tc>
          <w:tcPr>
            <w:tcW w:w="993" w:type="dxa"/>
            <w:tcBorders>
              <w:top w:val="single" w:sz="4" w:space="0" w:color="auto"/>
            </w:tcBorders>
          </w:tcPr>
          <w:p w:rsidR="00DC1C41" w:rsidRPr="00816657" w:rsidRDefault="00DC1C41" w:rsidP="002D3055">
            <w:pPr>
              <w:cnfStyle w:val="000000000000"/>
              <w:rPr>
                <w:rFonts w:asciiTheme="minorHAnsi" w:hAnsiTheme="minorHAnsi"/>
                <w:sz w:val="18"/>
                <w:szCs w:val="18"/>
              </w:rPr>
            </w:pPr>
          </w:p>
        </w:tc>
        <w:tc>
          <w:tcPr>
            <w:tcW w:w="4817" w:type="dxa"/>
            <w:tcBorders>
              <w:top w:val="single" w:sz="4" w:space="0" w:color="auto"/>
            </w:tcBorders>
            <w:vAlign w:val="center"/>
          </w:tcPr>
          <w:p w:rsidR="00DC1C41" w:rsidRPr="00816657" w:rsidRDefault="00DC1C41" w:rsidP="00DC1C41">
            <w:pPr>
              <w:cnfStyle w:val="000000000000"/>
              <w:rPr>
                <w:rFonts w:asciiTheme="minorHAnsi" w:hAnsiTheme="minorHAnsi"/>
                <w:sz w:val="18"/>
                <w:szCs w:val="18"/>
              </w:rPr>
            </w:pPr>
            <w:r w:rsidRPr="00816657">
              <w:rPr>
                <w:rFonts w:asciiTheme="minorHAnsi" w:hAnsiTheme="minorHAnsi"/>
                <w:sz w:val="18"/>
                <w:szCs w:val="18"/>
              </w:rPr>
              <w:t>Best estimate (absolute) + 50%</w:t>
            </w:r>
          </w:p>
        </w:tc>
        <w:tc>
          <w:tcPr>
            <w:tcW w:w="671" w:type="dxa"/>
            <w:tcBorders>
              <w:top w:val="single" w:sz="4" w:space="0" w:color="auto"/>
            </w:tcBorders>
          </w:tcPr>
          <w:p w:rsidR="00DC1C41" w:rsidRPr="00816657" w:rsidRDefault="00DC1C41" w:rsidP="00DF1E42">
            <w:pPr>
              <w:jc w:val="right"/>
              <w:cnfStyle w:val="000000000000"/>
              <w:rPr>
                <w:rFonts w:asciiTheme="minorHAnsi" w:hAnsiTheme="minorHAnsi"/>
                <w:sz w:val="18"/>
                <w:szCs w:val="18"/>
              </w:rPr>
            </w:pPr>
          </w:p>
        </w:tc>
        <w:tc>
          <w:tcPr>
            <w:tcW w:w="868" w:type="dxa"/>
            <w:tcBorders>
              <w:top w:val="single" w:sz="4" w:space="0" w:color="auto"/>
            </w:tcBorders>
          </w:tcPr>
          <w:p w:rsidR="00DC1C41" w:rsidRPr="00816657" w:rsidRDefault="00DC1C41" w:rsidP="00DF1E42">
            <w:pPr>
              <w:jc w:val="right"/>
              <w:cnfStyle w:val="000000000000"/>
              <w:rPr>
                <w:rFonts w:asciiTheme="minorHAnsi" w:hAnsiTheme="minorHAnsi"/>
                <w:sz w:val="18"/>
                <w:szCs w:val="18"/>
              </w:rPr>
            </w:pPr>
          </w:p>
        </w:tc>
        <w:tc>
          <w:tcPr>
            <w:tcW w:w="450" w:type="dxa"/>
            <w:tcBorders>
              <w:top w:val="single" w:sz="4" w:space="0" w:color="auto"/>
            </w:tcBorders>
          </w:tcPr>
          <w:p w:rsidR="00DC1C41" w:rsidRPr="00816657" w:rsidRDefault="00DC1C41" w:rsidP="00DF1E42">
            <w:pPr>
              <w:jc w:val="right"/>
              <w:cnfStyle w:val="000000000000"/>
              <w:rPr>
                <w:rFonts w:asciiTheme="minorHAnsi" w:hAnsiTheme="minorHAnsi"/>
                <w:sz w:val="18"/>
                <w:szCs w:val="18"/>
              </w:rPr>
            </w:pPr>
          </w:p>
        </w:tc>
        <w:tc>
          <w:tcPr>
            <w:tcW w:w="671" w:type="dxa"/>
            <w:tcBorders>
              <w:top w:val="single" w:sz="4" w:space="0" w:color="auto"/>
            </w:tcBorders>
          </w:tcPr>
          <w:p w:rsidR="00DC1C41" w:rsidRPr="00816657" w:rsidRDefault="00DC1C41" w:rsidP="00DF1E42">
            <w:pPr>
              <w:jc w:val="right"/>
              <w:cnfStyle w:val="000000000000"/>
              <w:rPr>
                <w:rFonts w:asciiTheme="minorHAnsi" w:hAnsiTheme="minorHAnsi"/>
                <w:sz w:val="18"/>
                <w:szCs w:val="18"/>
              </w:rPr>
            </w:pPr>
          </w:p>
        </w:tc>
        <w:tc>
          <w:tcPr>
            <w:tcW w:w="450" w:type="dxa"/>
            <w:tcBorders>
              <w:top w:val="single" w:sz="4" w:space="0" w:color="auto"/>
            </w:tcBorders>
          </w:tcPr>
          <w:p w:rsidR="00DC1C41" w:rsidRPr="00816657" w:rsidRDefault="00DC1C41" w:rsidP="00DF1E42">
            <w:pPr>
              <w:jc w:val="right"/>
              <w:cnfStyle w:val="000000000000"/>
              <w:rPr>
                <w:rFonts w:asciiTheme="minorHAnsi" w:hAnsiTheme="minorHAnsi"/>
                <w:sz w:val="18"/>
                <w:szCs w:val="18"/>
              </w:rPr>
            </w:pPr>
          </w:p>
        </w:tc>
        <w:tc>
          <w:tcPr>
            <w:tcW w:w="718" w:type="dxa"/>
            <w:tcBorders>
              <w:top w:val="single" w:sz="4" w:space="0" w:color="auto"/>
            </w:tcBorders>
          </w:tcPr>
          <w:p w:rsidR="00DC1C41" w:rsidRPr="00816657" w:rsidRDefault="00DC1C41" w:rsidP="00DF1E42">
            <w:pPr>
              <w:jc w:val="right"/>
              <w:cnfStyle w:val="000000000000"/>
              <w:rPr>
                <w:rFonts w:asciiTheme="minorHAnsi" w:hAnsiTheme="minorHAnsi"/>
                <w:sz w:val="18"/>
                <w:szCs w:val="18"/>
              </w:rPr>
            </w:pPr>
          </w:p>
        </w:tc>
      </w:tr>
      <w:tr w:rsidR="00F8483E" w:rsidRPr="00816657" w:rsidTr="007F5BD4">
        <w:tc>
          <w:tcPr>
            <w:cnfStyle w:val="001000000000"/>
            <w:tcW w:w="567" w:type="dxa"/>
            <w:tcBorders>
              <w:top w:val="single" w:sz="12" w:space="0" w:color="auto"/>
            </w:tcBorders>
          </w:tcPr>
          <w:p w:rsidR="00F8483E" w:rsidRPr="00816657" w:rsidRDefault="00F8483E" w:rsidP="002D3055">
            <w:pPr>
              <w:rPr>
                <w:rFonts w:asciiTheme="minorHAnsi" w:hAnsiTheme="minorHAnsi"/>
                <w:sz w:val="18"/>
                <w:szCs w:val="18"/>
              </w:rPr>
            </w:pPr>
            <w:r w:rsidRPr="00816657">
              <w:rPr>
                <w:rFonts w:asciiTheme="minorHAnsi" w:hAnsiTheme="minorHAnsi"/>
                <w:sz w:val="18"/>
                <w:szCs w:val="18"/>
              </w:rPr>
              <w:t>Low</w:t>
            </w:r>
          </w:p>
        </w:tc>
        <w:tc>
          <w:tcPr>
            <w:tcW w:w="993" w:type="dxa"/>
            <w:tcBorders>
              <w:top w:val="single" w:sz="12" w:space="0" w:color="auto"/>
            </w:tcBorders>
          </w:tcPr>
          <w:p w:rsidR="00F8483E" w:rsidRPr="00816657" w:rsidRDefault="00F8483E" w:rsidP="002D3055">
            <w:pPr>
              <w:cnfStyle w:val="000000000000"/>
              <w:rPr>
                <w:rFonts w:asciiTheme="minorHAnsi" w:hAnsiTheme="minorHAnsi"/>
                <w:sz w:val="18"/>
                <w:szCs w:val="18"/>
              </w:rPr>
            </w:pPr>
          </w:p>
        </w:tc>
        <w:tc>
          <w:tcPr>
            <w:tcW w:w="4817" w:type="dxa"/>
            <w:tcBorders>
              <w:top w:val="single" w:sz="12" w:space="0" w:color="auto"/>
            </w:tcBorders>
            <w:vAlign w:val="center"/>
          </w:tcPr>
          <w:p w:rsidR="00F8483E" w:rsidRPr="00816657" w:rsidRDefault="00F8483E" w:rsidP="00DC1C41">
            <w:pPr>
              <w:cnfStyle w:val="000000000000"/>
              <w:rPr>
                <w:rFonts w:asciiTheme="minorHAnsi" w:hAnsiTheme="minorHAnsi"/>
                <w:sz w:val="18"/>
                <w:szCs w:val="18"/>
              </w:rPr>
            </w:pPr>
            <w:r w:rsidRPr="00816657">
              <w:rPr>
                <w:rFonts w:asciiTheme="minorHAnsi" w:hAnsiTheme="minorHAnsi"/>
                <w:sz w:val="18"/>
                <w:szCs w:val="18"/>
              </w:rPr>
              <w:t>Best estimate (absolute) - 50%</w:t>
            </w:r>
          </w:p>
        </w:tc>
        <w:tc>
          <w:tcPr>
            <w:tcW w:w="671" w:type="dxa"/>
            <w:tcBorders>
              <w:top w:val="single" w:sz="12" w:space="0" w:color="auto"/>
            </w:tcBorders>
          </w:tcPr>
          <w:p w:rsidR="00F8483E" w:rsidRPr="00816657" w:rsidRDefault="00F8483E" w:rsidP="00DF1E42">
            <w:pPr>
              <w:jc w:val="right"/>
              <w:cnfStyle w:val="000000000000"/>
              <w:rPr>
                <w:rFonts w:asciiTheme="minorHAnsi" w:hAnsiTheme="minorHAnsi"/>
                <w:sz w:val="18"/>
                <w:szCs w:val="18"/>
              </w:rPr>
            </w:pPr>
          </w:p>
        </w:tc>
        <w:tc>
          <w:tcPr>
            <w:tcW w:w="868" w:type="dxa"/>
            <w:tcBorders>
              <w:top w:val="single" w:sz="12" w:space="0" w:color="auto"/>
            </w:tcBorders>
          </w:tcPr>
          <w:p w:rsidR="00F8483E" w:rsidRPr="00816657" w:rsidRDefault="00F8483E" w:rsidP="00DF1E42">
            <w:pPr>
              <w:jc w:val="right"/>
              <w:cnfStyle w:val="000000000000"/>
              <w:rPr>
                <w:rFonts w:asciiTheme="minorHAnsi" w:hAnsiTheme="minorHAnsi"/>
                <w:sz w:val="18"/>
                <w:szCs w:val="18"/>
              </w:rPr>
            </w:pPr>
          </w:p>
        </w:tc>
        <w:tc>
          <w:tcPr>
            <w:tcW w:w="450" w:type="dxa"/>
            <w:tcBorders>
              <w:top w:val="single" w:sz="12" w:space="0" w:color="auto"/>
            </w:tcBorders>
          </w:tcPr>
          <w:p w:rsidR="00F8483E" w:rsidRPr="00816657" w:rsidRDefault="00F8483E" w:rsidP="00DF1E42">
            <w:pPr>
              <w:jc w:val="right"/>
              <w:cnfStyle w:val="000000000000"/>
              <w:rPr>
                <w:rFonts w:asciiTheme="minorHAnsi" w:hAnsiTheme="minorHAnsi"/>
                <w:sz w:val="18"/>
                <w:szCs w:val="18"/>
              </w:rPr>
            </w:pPr>
          </w:p>
        </w:tc>
        <w:tc>
          <w:tcPr>
            <w:tcW w:w="671" w:type="dxa"/>
            <w:tcBorders>
              <w:top w:val="single" w:sz="12" w:space="0" w:color="auto"/>
            </w:tcBorders>
          </w:tcPr>
          <w:p w:rsidR="00F8483E" w:rsidRPr="00816657" w:rsidRDefault="00F8483E" w:rsidP="00DF1E42">
            <w:pPr>
              <w:jc w:val="right"/>
              <w:cnfStyle w:val="000000000000"/>
              <w:rPr>
                <w:rFonts w:asciiTheme="minorHAnsi" w:hAnsiTheme="minorHAnsi"/>
                <w:sz w:val="18"/>
                <w:szCs w:val="18"/>
              </w:rPr>
            </w:pPr>
          </w:p>
        </w:tc>
        <w:tc>
          <w:tcPr>
            <w:tcW w:w="450" w:type="dxa"/>
            <w:tcBorders>
              <w:top w:val="single" w:sz="12" w:space="0" w:color="auto"/>
            </w:tcBorders>
          </w:tcPr>
          <w:p w:rsidR="00F8483E" w:rsidRPr="00816657" w:rsidRDefault="00F8483E" w:rsidP="00DF1E42">
            <w:pPr>
              <w:jc w:val="right"/>
              <w:cnfStyle w:val="000000000000"/>
              <w:rPr>
                <w:rFonts w:asciiTheme="minorHAnsi" w:hAnsiTheme="minorHAnsi"/>
                <w:sz w:val="18"/>
                <w:szCs w:val="18"/>
              </w:rPr>
            </w:pPr>
          </w:p>
        </w:tc>
        <w:tc>
          <w:tcPr>
            <w:tcW w:w="718" w:type="dxa"/>
            <w:tcBorders>
              <w:top w:val="single" w:sz="12" w:space="0" w:color="auto"/>
            </w:tcBorders>
          </w:tcPr>
          <w:p w:rsidR="00F8483E" w:rsidRPr="00816657" w:rsidRDefault="00F8483E" w:rsidP="00DF1E42">
            <w:pPr>
              <w:jc w:val="right"/>
              <w:cnfStyle w:val="000000000000"/>
              <w:rPr>
                <w:rFonts w:asciiTheme="minorHAnsi" w:hAnsiTheme="minorHAnsi"/>
                <w:sz w:val="18"/>
                <w:szCs w:val="18"/>
              </w:rPr>
            </w:pPr>
          </w:p>
        </w:tc>
      </w:tr>
    </w:tbl>
    <w:p w:rsidR="00B9737F" w:rsidRDefault="00B9737F" w:rsidP="00655F62">
      <w:pPr>
        <w:pStyle w:val="Figures"/>
      </w:pPr>
    </w:p>
    <w:p w:rsidR="00607B3E" w:rsidRPr="00816657" w:rsidRDefault="00607B3E" w:rsidP="00655F62">
      <w:pPr>
        <w:pStyle w:val="Figures"/>
      </w:pPr>
      <w:bookmarkStart w:id="174" w:name="_Toc425849246"/>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28</w:t>
      </w:r>
      <w:r w:rsidR="006D07F5" w:rsidRPr="00816657">
        <w:rPr>
          <w:noProof/>
        </w:rPr>
        <w:fldChar w:fldCharType="end"/>
      </w:r>
      <w:r w:rsidRPr="00816657">
        <w:t xml:space="preserve">: </w:t>
      </w:r>
      <w:r w:rsidRPr="00816657">
        <w:tab/>
        <w:t>Best, high and low national projection estimates of asbestos waste to 2034</w:t>
      </w:r>
      <w:bookmarkEnd w:id="174"/>
    </w:p>
    <w:p w:rsidR="00EA7F18" w:rsidRPr="00816657" w:rsidRDefault="00C05ED6" w:rsidP="00607B3E">
      <w:pPr>
        <w:spacing w:line="240" w:lineRule="auto"/>
        <w:sectPr w:rsidR="00EA7F18" w:rsidRPr="00816657" w:rsidSect="009A605A">
          <w:headerReference w:type="even" r:id="rId114"/>
          <w:footerReference w:type="even" r:id="rId115"/>
          <w:headerReference w:type="first" r:id="rId116"/>
          <w:footerReference w:type="first" r:id="rId117"/>
          <w:pgSz w:w="11907" w:h="16840" w:code="9"/>
          <w:pgMar w:top="1531" w:right="1077" w:bottom="1418" w:left="1304" w:header="709" w:footer="567" w:gutter="0"/>
          <w:cols w:space="708"/>
          <w:docGrid w:linePitch="360"/>
        </w:sectPr>
      </w:pPr>
      <w:r w:rsidRPr="00C05ED6">
        <w:rPr>
          <w:noProof/>
          <w:lang w:eastAsia="en-AU"/>
        </w:rPr>
        <w:drawing>
          <wp:inline distT="0" distB="0" distL="0" distR="0">
            <wp:extent cx="5400000" cy="2247619"/>
            <wp:effectExtent l="0" t="0" r="0" b="63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5400000" cy="2247619"/>
                    </a:xfrm>
                    <a:prstGeom prst="rect">
                      <a:avLst/>
                    </a:prstGeom>
                  </pic:spPr>
                </pic:pic>
              </a:graphicData>
            </a:graphic>
          </wp:inline>
        </w:drawing>
      </w:r>
    </w:p>
    <w:p w:rsidR="00607B3E" w:rsidRPr="00816657" w:rsidRDefault="00607B3E" w:rsidP="0093164B">
      <w:pPr>
        <w:pStyle w:val="Heading3"/>
      </w:pPr>
      <w:proofErr w:type="gramStart"/>
      <w:r w:rsidRPr="00816657">
        <w:lastRenderedPageBreak/>
        <w:t>Other N.</w:t>
      </w:r>
      <w:proofErr w:type="gramEnd"/>
      <w:r w:rsidRPr="00816657">
        <w:t xml:space="preserve"> Other soil/sludges</w:t>
      </w:r>
    </w:p>
    <w:p w:rsidR="00831656" w:rsidRPr="00831656" w:rsidRDefault="00831656" w:rsidP="00831656">
      <w:pPr>
        <w:spacing w:after="60" w:line="240" w:lineRule="auto"/>
        <w:rPr>
          <w:color w:val="080808"/>
          <w:sz w:val="22"/>
        </w:rPr>
      </w:pPr>
      <w:r w:rsidRPr="00831656">
        <w:rPr>
          <w:color w:val="080808"/>
          <w:sz w:val="22"/>
        </w:rPr>
        <w:t xml:space="preserve">This waste group collects those remaining N group </w:t>
      </w:r>
      <w:r w:rsidR="00506340">
        <w:rPr>
          <w:color w:val="080808"/>
          <w:sz w:val="22"/>
        </w:rPr>
        <w:t xml:space="preserve">NEPM 75 </w:t>
      </w:r>
      <w:r w:rsidRPr="00831656">
        <w:rPr>
          <w:color w:val="080808"/>
          <w:sz w:val="22"/>
        </w:rPr>
        <w:t xml:space="preserve">codes including: </w:t>
      </w:r>
    </w:p>
    <w:p w:rsidR="00831656" w:rsidRPr="007F5BD4" w:rsidRDefault="00831656" w:rsidP="007F5BD4">
      <w:pPr>
        <w:pStyle w:val="ListParagraph"/>
        <w:numPr>
          <w:ilvl w:val="0"/>
          <w:numId w:val="67"/>
        </w:numPr>
        <w:spacing w:before="80" w:line="240" w:lineRule="auto"/>
        <w:rPr>
          <w:i/>
          <w:sz w:val="22"/>
        </w:rPr>
      </w:pPr>
      <w:r w:rsidRPr="007F5BD4">
        <w:rPr>
          <w:i/>
          <w:sz w:val="22"/>
        </w:rPr>
        <w:t>N100 containers &amp; drums contaminated with residues of substances referred to in the NEPM 15 list</w:t>
      </w:r>
    </w:p>
    <w:p w:rsidR="00831656" w:rsidRPr="007F5BD4" w:rsidRDefault="00831656" w:rsidP="007F5BD4">
      <w:pPr>
        <w:pStyle w:val="ListParagraph"/>
        <w:numPr>
          <w:ilvl w:val="0"/>
          <w:numId w:val="67"/>
        </w:numPr>
        <w:spacing w:before="80" w:line="240" w:lineRule="auto"/>
        <w:rPr>
          <w:i/>
          <w:sz w:val="22"/>
        </w:rPr>
      </w:pPr>
      <w:r w:rsidRPr="007F5BD4">
        <w:rPr>
          <w:i/>
          <w:sz w:val="22"/>
        </w:rPr>
        <w:t>N140 fire debris and fire wash waters</w:t>
      </w:r>
    </w:p>
    <w:p w:rsidR="00831656" w:rsidRPr="007F5BD4" w:rsidRDefault="00831656" w:rsidP="007F5BD4">
      <w:pPr>
        <w:pStyle w:val="ListParagraph"/>
        <w:numPr>
          <w:ilvl w:val="0"/>
          <w:numId w:val="67"/>
        </w:numPr>
        <w:spacing w:before="80" w:line="240" w:lineRule="auto"/>
        <w:rPr>
          <w:i/>
          <w:sz w:val="22"/>
        </w:rPr>
      </w:pPr>
      <w:r w:rsidRPr="007F5BD4">
        <w:rPr>
          <w:i/>
          <w:sz w:val="22"/>
        </w:rPr>
        <w:t>N150 fly ash, excluding fly ash generated from Australian coal fired power stations</w:t>
      </w:r>
    </w:p>
    <w:p w:rsidR="00831656" w:rsidRPr="007F5BD4" w:rsidRDefault="00831656" w:rsidP="007F5BD4">
      <w:pPr>
        <w:pStyle w:val="ListParagraph"/>
        <w:numPr>
          <w:ilvl w:val="0"/>
          <w:numId w:val="67"/>
        </w:numPr>
        <w:spacing w:before="80" w:line="240" w:lineRule="auto"/>
        <w:rPr>
          <w:i/>
          <w:sz w:val="22"/>
        </w:rPr>
      </w:pPr>
      <w:r w:rsidRPr="007F5BD4">
        <w:rPr>
          <w:i/>
          <w:sz w:val="22"/>
        </w:rPr>
        <w:t>N160 encapsulated, chemically-fixed, solidified or polymerised wastes referred to in the NEPM 15 list</w:t>
      </w:r>
    </w:p>
    <w:p w:rsidR="00831656" w:rsidRPr="007F5BD4" w:rsidRDefault="00831656" w:rsidP="007F5BD4">
      <w:pPr>
        <w:pStyle w:val="ListParagraph"/>
        <w:numPr>
          <w:ilvl w:val="0"/>
          <w:numId w:val="67"/>
        </w:numPr>
        <w:spacing w:before="80" w:line="240" w:lineRule="auto"/>
        <w:rPr>
          <w:i/>
          <w:sz w:val="22"/>
        </w:rPr>
      </w:pPr>
      <w:r w:rsidRPr="007F5BD4">
        <w:rPr>
          <w:i/>
          <w:sz w:val="22"/>
        </w:rPr>
        <w:t>N190 filter cake contaminated with residues of substances referred to in the NEPM 15 list</w:t>
      </w:r>
    </w:p>
    <w:p w:rsidR="00831656" w:rsidRPr="007F5BD4" w:rsidRDefault="00831656" w:rsidP="007F5BD4">
      <w:pPr>
        <w:pStyle w:val="ListParagraph"/>
        <w:numPr>
          <w:ilvl w:val="0"/>
          <w:numId w:val="67"/>
        </w:numPr>
        <w:spacing w:before="80" w:line="240" w:lineRule="auto"/>
        <w:rPr>
          <w:i/>
          <w:sz w:val="22"/>
        </w:rPr>
      </w:pPr>
      <w:r w:rsidRPr="007F5BD4">
        <w:rPr>
          <w:i/>
          <w:sz w:val="22"/>
        </w:rPr>
        <w:t>N230 ceramic-based fibres with physico-chemical characteristics similar to those of asbestos.</w:t>
      </w:r>
    </w:p>
    <w:p w:rsidR="00A33020" w:rsidRDefault="00A33020" w:rsidP="00227F36">
      <w:pPr>
        <w:pStyle w:val="BodyText"/>
      </w:pPr>
    </w:p>
    <w:p w:rsidR="00DC7DBD" w:rsidRDefault="00A33020" w:rsidP="00227F36">
      <w:pPr>
        <w:pStyle w:val="BodyText"/>
      </w:pPr>
      <w:r>
        <w:t>This waste group is problematic due to the variable waste types included and in hindsight it would have been more practical to disaggregate this projection group further. For example projecting hazardous waste packing arisings and fly ash arisings in the same group causes a lack of clarity in the projection of both waste types.</w:t>
      </w:r>
      <w:r w:rsidR="00D06841">
        <w:t xml:space="preserve"> </w:t>
      </w:r>
      <w:r w:rsidR="00DC7DBD">
        <w:t xml:space="preserve">This waste group contains a waste of particular interest – </w:t>
      </w:r>
      <w:r w:rsidR="00C85994">
        <w:t xml:space="preserve">fly ash, </w:t>
      </w:r>
      <w:r w:rsidR="00DC7DBD">
        <w:t xml:space="preserve">which is discussed in the breakout box </w:t>
      </w:r>
      <w:r w:rsidR="00C85994">
        <w:t>overleaf</w:t>
      </w:r>
      <w:r w:rsidR="00DC7DBD">
        <w:t>.</w:t>
      </w:r>
    </w:p>
    <w:p w:rsidR="00227F36" w:rsidRPr="00816657" w:rsidRDefault="00227F36" w:rsidP="00227F36">
      <w:pPr>
        <w:pStyle w:val="BodyText"/>
      </w:pPr>
    </w:p>
    <w:p w:rsidR="00EA7F18" w:rsidRPr="00FA10FC" w:rsidRDefault="00EA7F18" w:rsidP="00EA7F18">
      <w:pPr>
        <w:pStyle w:val="BodyText"/>
        <w:rPr>
          <w:b/>
          <w:color w:val="0000FF" w:themeColor="text2"/>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1900"/>
        <w:gridCol w:w="2410"/>
        <w:gridCol w:w="4112"/>
        <w:gridCol w:w="1218"/>
      </w:tblGrid>
      <w:tr w:rsidR="00E42D11" w:rsidRPr="00816657" w:rsidTr="00227F36">
        <w:trPr>
          <w:cnfStyle w:val="100000000000"/>
        </w:trPr>
        <w:tc>
          <w:tcPr>
            <w:cnfStyle w:val="001000000000"/>
            <w:tcW w:w="985"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Considerations</w:t>
            </w:r>
          </w:p>
        </w:tc>
        <w:tc>
          <w:tcPr>
            <w:tcW w:w="2133"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Comments</w:t>
            </w:r>
          </w:p>
        </w:tc>
        <w:tc>
          <w:tcPr>
            <w:tcW w:w="632" w:type="pct"/>
            <w:tcBorders>
              <w:bottom w:val="single" w:sz="4" w:space="0" w:color="7F7F7F" w:themeColor="background2"/>
            </w:tcBorders>
          </w:tcPr>
          <w:p w:rsidR="00E42D11" w:rsidRPr="00816657" w:rsidRDefault="00E42D11" w:rsidP="00EA7F18">
            <w:pPr>
              <w:pStyle w:val="BodyText"/>
              <w:cnfStyle w:val="100000000000"/>
              <w:rPr>
                <w:sz w:val="20"/>
                <w:szCs w:val="20"/>
              </w:rPr>
            </w:pPr>
            <w:r w:rsidRPr="00816657">
              <w:rPr>
                <w:sz w:val="20"/>
                <w:szCs w:val="20"/>
              </w:rPr>
              <w:t>Approach</w:t>
            </w:r>
          </w:p>
        </w:tc>
      </w:tr>
      <w:tr w:rsidR="00227F36" w:rsidRPr="00816657" w:rsidTr="00227F36">
        <w:tc>
          <w:tcPr>
            <w:cnfStyle w:val="001000000000"/>
            <w:tcW w:w="985" w:type="pct"/>
            <w:vMerge w:val="restart"/>
            <w:tcBorders>
              <w:top w:val="single" w:sz="4" w:space="0" w:color="7F7F7F" w:themeColor="background2"/>
            </w:tcBorders>
          </w:tcPr>
          <w:p w:rsidR="00506340" w:rsidRPr="00506340" w:rsidRDefault="00506340" w:rsidP="00506340">
            <w:pPr>
              <w:pStyle w:val="BodyText"/>
              <w:rPr>
                <w:sz w:val="20"/>
                <w:szCs w:val="20"/>
              </w:rPr>
            </w:pPr>
            <w:r w:rsidRPr="00506340">
              <w:rPr>
                <w:sz w:val="20"/>
                <w:szCs w:val="20"/>
              </w:rPr>
              <w:t>•</w:t>
            </w:r>
            <w:r>
              <w:rPr>
                <w:sz w:val="20"/>
                <w:szCs w:val="20"/>
              </w:rPr>
              <w:t xml:space="preserve"> </w:t>
            </w:r>
            <w:r w:rsidRPr="00506340">
              <w:rPr>
                <w:sz w:val="20"/>
                <w:szCs w:val="20"/>
              </w:rPr>
              <w:t>Waste industry</w:t>
            </w:r>
          </w:p>
          <w:p w:rsidR="00506340" w:rsidRPr="00506340" w:rsidRDefault="00506340" w:rsidP="00506340">
            <w:pPr>
              <w:pStyle w:val="BodyText"/>
              <w:rPr>
                <w:sz w:val="20"/>
                <w:szCs w:val="20"/>
              </w:rPr>
            </w:pPr>
            <w:r w:rsidRPr="00506340">
              <w:rPr>
                <w:sz w:val="20"/>
                <w:szCs w:val="20"/>
              </w:rPr>
              <w:t>•</w:t>
            </w:r>
            <w:r>
              <w:rPr>
                <w:sz w:val="20"/>
                <w:szCs w:val="20"/>
              </w:rPr>
              <w:t xml:space="preserve"> </w:t>
            </w:r>
            <w:r w:rsidRPr="00506340">
              <w:rPr>
                <w:sz w:val="20"/>
                <w:szCs w:val="20"/>
              </w:rPr>
              <w:t>Chemical product manufacturing</w:t>
            </w:r>
          </w:p>
          <w:p w:rsidR="00506340" w:rsidRPr="00506340" w:rsidRDefault="00506340" w:rsidP="00506340">
            <w:pPr>
              <w:pStyle w:val="BodyText"/>
              <w:rPr>
                <w:sz w:val="20"/>
                <w:szCs w:val="20"/>
              </w:rPr>
            </w:pPr>
            <w:r w:rsidRPr="00506340">
              <w:rPr>
                <w:sz w:val="20"/>
                <w:szCs w:val="20"/>
              </w:rPr>
              <w:t>•</w:t>
            </w:r>
            <w:r>
              <w:rPr>
                <w:sz w:val="20"/>
                <w:szCs w:val="20"/>
              </w:rPr>
              <w:t xml:space="preserve"> </w:t>
            </w:r>
            <w:r w:rsidRPr="00506340">
              <w:rPr>
                <w:sz w:val="20"/>
                <w:szCs w:val="20"/>
              </w:rPr>
              <w:t>Metals manufacturing</w:t>
            </w:r>
          </w:p>
          <w:p w:rsidR="00506340" w:rsidRPr="00506340" w:rsidRDefault="00506340" w:rsidP="00506340">
            <w:pPr>
              <w:pStyle w:val="BodyText"/>
              <w:rPr>
                <w:sz w:val="20"/>
                <w:szCs w:val="20"/>
              </w:rPr>
            </w:pPr>
            <w:r w:rsidRPr="00506340">
              <w:rPr>
                <w:sz w:val="20"/>
                <w:szCs w:val="20"/>
              </w:rPr>
              <w:t>•</w:t>
            </w:r>
            <w:r>
              <w:rPr>
                <w:sz w:val="20"/>
                <w:szCs w:val="20"/>
              </w:rPr>
              <w:t xml:space="preserve"> </w:t>
            </w:r>
            <w:r w:rsidRPr="00506340">
              <w:rPr>
                <w:sz w:val="20"/>
                <w:szCs w:val="20"/>
              </w:rPr>
              <w:t>Petroleum refining</w:t>
            </w:r>
          </w:p>
          <w:p w:rsidR="00227F36" w:rsidRPr="00816657" w:rsidRDefault="00506340">
            <w:pPr>
              <w:pStyle w:val="BodyText"/>
              <w:rPr>
                <w:rFonts w:cs="Times New Roman"/>
                <w:color w:val="000000"/>
                <w:szCs w:val="20"/>
                <w:lang w:eastAsia="en-AU"/>
              </w:rPr>
            </w:pPr>
            <w:r w:rsidRPr="00506340">
              <w:rPr>
                <w:sz w:val="20"/>
                <w:szCs w:val="20"/>
              </w:rPr>
              <w:t>•</w:t>
            </w:r>
            <w:r>
              <w:rPr>
                <w:sz w:val="20"/>
                <w:szCs w:val="20"/>
              </w:rPr>
              <w:t xml:space="preserve"> </w:t>
            </w:r>
            <w:r w:rsidRPr="00506340">
              <w:rPr>
                <w:sz w:val="20"/>
                <w:szCs w:val="20"/>
              </w:rPr>
              <w:t>Paper &amp; paper product manufacturing</w:t>
            </w:r>
          </w:p>
        </w:tc>
        <w:tc>
          <w:tcPr>
            <w:tcW w:w="1250" w:type="pct"/>
            <w:tcBorders>
              <w:top w:val="single" w:sz="4" w:space="0" w:color="7F7F7F" w:themeColor="background2"/>
            </w:tcBorders>
          </w:tcPr>
          <w:p w:rsidR="00227F36" w:rsidRPr="00816657" w:rsidRDefault="00227F36" w:rsidP="00BC3BD0">
            <w:pPr>
              <w:pStyle w:val="BodyText"/>
              <w:cnfStyle w:val="000000000000"/>
              <w:rPr>
                <w:sz w:val="20"/>
                <w:szCs w:val="20"/>
              </w:rPr>
            </w:pPr>
            <w:r w:rsidRPr="00816657">
              <w:rPr>
                <w:sz w:val="20"/>
                <w:szCs w:val="20"/>
              </w:rPr>
              <w:t>No sufficiently credible pre-existing projections were identified</w:t>
            </w:r>
          </w:p>
        </w:tc>
        <w:tc>
          <w:tcPr>
            <w:tcW w:w="2133" w:type="pct"/>
            <w:tcBorders>
              <w:top w:val="single" w:sz="4" w:space="0" w:color="7F7F7F" w:themeColor="background2"/>
            </w:tcBorders>
          </w:tcPr>
          <w:p w:rsidR="00227F36" w:rsidRPr="00816657" w:rsidRDefault="00227F36" w:rsidP="00EA7F18">
            <w:pPr>
              <w:pStyle w:val="BodyText"/>
              <w:cnfStyle w:val="000000000000"/>
              <w:rPr>
                <w:sz w:val="20"/>
                <w:szCs w:val="20"/>
              </w:rPr>
            </w:pPr>
            <w:r w:rsidRPr="00816657">
              <w:rPr>
                <w:sz w:val="20"/>
                <w:szCs w:val="20"/>
              </w:rPr>
              <w:t>''Other soil/sludges' is not the ideal name but is consistent with the NEPM</w:t>
            </w:r>
          </w:p>
        </w:tc>
        <w:tc>
          <w:tcPr>
            <w:tcW w:w="632" w:type="pct"/>
            <w:vMerge w:val="restart"/>
            <w:tcBorders>
              <w:top w:val="single" w:sz="4" w:space="0" w:color="7F7F7F" w:themeColor="background2"/>
            </w:tcBorders>
          </w:tcPr>
          <w:p w:rsidR="00227F36" w:rsidRPr="00816657" w:rsidRDefault="00227F36" w:rsidP="00EA7F18">
            <w:pPr>
              <w:pStyle w:val="BodyText"/>
              <w:cnfStyle w:val="000000000000"/>
              <w:rPr>
                <w:sz w:val="20"/>
                <w:szCs w:val="20"/>
              </w:rPr>
            </w:pPr>
            <w:r w:rsidRPr="00816657">
              <w:rPr>
                <w:sz w:val="20"/>
                <w:szCs w:val="20"/>
              </w:rPr>
              <w:t>Use judgement - trend and causal analysis</w:t>
            </w:r>
          </w:p>
        </w:tc>
      </w:tr>
      <w:tr w:rsidR="00227F36" w:rsidRPr="00816657" w:rsidTr="00227F36">
        <w:tc>
          <w:tcPr>
            <w:cnfStyle w:val="001000000000"/>
            <w:tcW w:w="985" w:type="pct"/>
            <w:vMerge/>
          </w:tcPr>
          <w:p w:rsidR="00227F36" w:rsidRPr="00816657" w:rsidRDefault="00227F36" w:rsidP="00EA7F18">
            <w:pPr>
              <w:pStyle w:val="BodyText"/>
              <w:rPr>
                <w:sz w:val="20"/>
                <w:szCs w:val="20"/>
              </w:rPr>
            </w:pPr>
          </w:p>
        </w:tc>
        <w:tc>
          <w:tcPr>
            <w:tcW w:w="1250" w:type="pct"/>
            <w:vMerge w:val="restart"/>
          </w:tcPr>
          <w:p w:rsidR="00227F36" w:rsidRPr="00816657" w:rsidRDefault="00227F36" w:rsidP="00EA7F18">
            <w:pPr>
              <w:pStyle w:val="BodyText"/>
              <w:cnfStyle w:val="000000000000"/>
              <w:rPr>
                <w:sz w:val="20"/>
                <w:szCs w:val="20"/>
              </w:rPr>
            </w:pPr>
            <w:r w:rsidRPr="00816657">
              <w:rPr>
                <w:sz w:val="20"/>
                <w:szCs w:val="20"/>
              </w:rPr>
              <w:t>A declining trend is apparent in historical data</w:t>
            </w:r>
          </w:p>
        </w:tc>
        <w:tc>
          <w:tcPr>
            <w:tcW w:w="2133" w:type="pct"/>
          </w:tcPr>
          <w:p w:rsidR="00227F36" w:rsidRPr="00816657" w:rsidRDefault="00227F36" w:rsidP="00E826CF">
            <w:pPr>
              <w:pStyle w:val="BodyText"/>
              <w:cnfStyle w:val="000000000000"/>
              <w:rPr>
                <w:sz w:val="20"/>
                <w:szCs w:val="20"/>
              </w:rPr>
            </w:pPr>
            <w:r w:rsidRPr="00816657">
              <w:rPr>
                <w:sz w:val="20"/>
                <w:szCs w:val="20"/>
              </w:rPr>
              <w:t>High variability over time</w:t>
            </w:r>
          </w:p>
        </w:tc>
        <w:tc>
          <w:tcPr>
            <w:tcW w:w="632" w:type="pct"/>
            <w:vMerge/>
          </w:tcPr>
          <w:p w:rsidR="00227F36" w:rsidRPr="00816657" w:rsidRDefault="00227F36" w:rsidP="00EA7F18">
            <w:pPr>
              <w:spacing w:line="240" w:lineRule="auto"/>
              <w:cnfStyle w:val="000000000000"/>
              <w:rPr>
                <w:color w:val="080808"/>
                <w:szCs w:val="20"/>
              </w:rPr>
            </w:pPr>
          </w:p>
        </w:tc>
      </w:tr>
      <w:tr w:rsidR="00227F36" w:rsidRPr="00816657" w:rsidTr="00227F36">
        <w:tc>
          <w:tcPr>
            <w:cnfStyle w:val="001000000000"/>
            <w:tcW w:w="985" w:type="pct"/>
            <w:vMerge/>
          </w:tcPr>
          <w:p w:rsidR="00227F36" w:rsidRPr="00816657" w:rsidRDefault="00227F36" w:rsidP="00EA7F18">
            <w:pPr>
              <w:pStyle w:val="BodyText"/>
              <w:rPr>
                <w:sz w:val="20"/>
                <w:szCs w:val="20"/>
              </w:rPr>
            </w:pPr>
          </w:p>
        </w:tc>
        <w:tc>
          <w:tcPr>
            <w:tcW w:w="1250" w:type="pct"/>
            <w:vMerge/>
          </w:tcPr>
          <w:p w:rsidR="00227F36" w:rsidRPr="00816657" w:rsidRDefault="00227F36" w:rsidP="00EA7F18">
            <w:pPr>
              <w:pStyle w:val="BodyText"/>
              <w:cnfStyle w:val="000000000000"/>
              <w:rPr>
                <w:sz w:val="20"/>
                <w:szCs w:val="20"/>
              </w:rPr>
            </w:pPr>
          </w:p>
        </w:tc>
        <w:tc>
          <w:tcPr>
            <w:tcW w:w="2133" w:type="pct"/>
          </w:tcPr>
          <w:p w:rsidR="00227F36" w:rsidRPr="00816657" w:rsidRDefault="00227F36" w:rsidP="00EA7F18">
            <w:pPr>
              <w:pStyle w:val="BodyText"/>
              <w:cnfStyle w:val="000000000000"/>
              <w:rPr>
                <w:sz w:val="20"/>
                <w:szCs w:val="20"/>
              </w:rPr>
            </w:pPr>
            <w:r w:rsidRPr="00816657">
              <w:rPr>
                <w:sz w:val="20"/>
                <w:szCs w:val="20"/>
              </w:rPr>
              <w:t>Energy-from-waste facilities likely in NSW &amp; WA (</w:t>
            </w:r>
            <w:r w:rsidRPr="00816657">
              <w:rPr>
                <w:i/>
                <w:sz w:val="20"/>
                <w:szCs w:val="20"/>
              </w:rPr>
              <w:t>Inside Waste</w:t>
            </w:r>
            <w:r w:rsidRPr="00816657">
              <w:rPr>
                <w:sz w:val="20"/>
                <w:szCs w:val="20"/>
              </w:rPr>
              <w:t xml:space="preserve"> Oct 14 p.19), producing 3% fly ash (Kalogirou et al. 2010)</w:t>
            </w:r>
          </w:p>
        </w:tc>
        <w:tc>
          <w:tcPr>
            <w:tcW w:w="632" w:type="pct"/>
            <w:vMerge/>
          </w:tcPr>
          <w:p w:rsidR="00227F36" w:rsidRPr="00816657" w:rsidRDefault="00227F36" w:rsidP="00EA7F18">
            <w:pPr>
              <w:spacing w:line="240" w:lineRule="auto"/>
              <w:cnfStyle w:val="000000000000"/>
              <w:rPr>
                <w:color w:val="080808"/>
                <w:szCs w:val="20"/>
              </w:rPr>
            </w:pPr>
          </w:p>
        </w:tc>
      </w:tr>
    </w:tbl>
    <w:p w:rsidR="006B0FC6" w:rsidRPr="00816657" w:rsidRDefault="006B0FC6" w:rsidP="00655F62">
      <w:pPr>
        <w:pStyle w:val="Figures"/>
      </w:pPr>
    </w:p>
    <w:p w:rsidR="00376588" w:rsidRPr="00816657" w:rsidRDefault="00376588" w:rsidP="00655F62">
      <w:pPr>
        <w:pStyle w:val="Figures"/>
      </w:pPr>
      <w:bookmarkStart w:id="175" w:name="_Toc425849321"/>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36</w:t>
      </w:r>
      <w:r w:rsidR="006D07F5" w:rsidRPr="00816657">
        <w:rPr>
          <w:noProof/>
        </w:rPr>
        <w:fldChar w:fldCharType="end"/>
      </w:r>
      <w:r w:rsidRPr="00816657">
        <w:t xml:space="preserve">: </w:t>
      </w:r>
      <w:r w:rsidRPr="00816657">
        <w:tab/>
        <w:t>Best, high and low projected rates of change for other soil/sludge waste to 2034</w:t>
      </w:r>
      <w:bookmarkEnd w:id="175"/>
    </w:p>
    <w:tbl>
      <w:tblPr>
        <w:tblStyle w:val="BETable1"/>
        <w:tblW w:w="9923" w:type="dxa"/>
        <w:tblLayout w:type="fixed"/>
        <w:tblCellMar>
          <w:top w:w="0" w:type="dxa"/>
          <w:bottom w:w="0" w:type="dxa"/>
        </w:tblCellMar>
        <w:tblLook w:val="04A0"/>
      </w:tblPr>
      <w:tblGrid>
        <w:gridCol w:w="709"/>
        <w:gridCol w:w="1134"/>
        <w:gridCol w:w="3827"/>
        <w:gridCol w:w="709"/>
        <w:gridCol w:w="425"/>
        <w:gridCol w:w="851"/>
        <w:gridCol w:w="283"/>
        <w:gridCol w:w="851"/>
        <w:gridCol w:w="283"/>
        <w:gridCol w:w="851"/>
      </w:tblGrid>
      <w:tr w:rsidR="00C913AD" w:rsidRPr="00816657" w:rsidTr="00227F36">
        <w:trPr>
          <w:cnfStyle w:val="100000000000"/>
        </w:trPr>
        <w:tc>
          <w:tcPr>
            <w:cnfStyle w:val="001000000000"/>
            <w:tcW w:w="709" w:type="dxa"/>
          </w:tcPr>
          <w:p w:rsidR="00C913AD" w:rsidRPr="00816657" w:rsidRDefault="00C913AD" w:rsidP="002D3055">
            <w:pPr>
              <w:rPr>
                <w:rFonts w:asciiTheme="minorHAnsi" w:hAnsiTheme="minorHAnsi"/>
                <w:sz w:val="18"/>
                <w:szCs w:val="18"/>
              </w:rPr>
            </w:pPr>
          </w:p>
        </w:tc>
        <w:tc>
          <w:tcPr>
            <w:tcW w:w="1134" w:type="dxa"/>
          </w:tcPr>
          <w:p w:rsidR="00C913AD" w:rsidRPr="00816657" w:rsidRDefault="00C913AD" w:rsidP="002D3055">
            <w:pPr>
              <w:cnfStyle w:val="100000000000"/>
              <w:rPr>
                <w:rFonts w:asciiTheme="minorHAnsi" w:hAnsiTheme="minorHAnsi"/>
                <w:sz w:val="18"/>
                <w:szCs w:val="18"/>
              </w:rPr>
            </w:pPr>
            <w:r w:rsidRPr="00816657">
              <w:rPr>
                <w:rFonts w:asciiTheme="minorHAnsi" w:hAnsiTheme="minorHAnsi"/>
                <w:sz w:val="18"/>
                <w:szCs w:val="18"/>
              </w:rPr>
              <w:t>Applies to</w:t>
            </w:r>
          </w:p>
        </w:tc>
        <w:tc>
          <w:tcPr>
            <w:tcW w:w="3827" w:type="dxa"/>
          </w:tcPr>
          <w:p w:rsidR="00C913AD" w:rsidRPr="00816657" w:rsidRDefault="00C913AD" w:rsidP="002D3055">
            <w:pPr>
              <w:cnfStyle w:val="100000000000"/>
              <w:rPr>
                <w:rFonts w:asciiTheme="minorHAnsi" w:hAnsiTheme="minorHAnsi"/>
                <w:sz w:val="18"/>
                <w:szCs w:val="18"/>
              </w:rPr>
            </w:pPr>
            <w:r w:rsidRPr="00816657">
              <w:rPr>
                <w:rFonts w:asciiTheme="minorHAnsi" w:hAnsiTheme="minorHAnsi"/>
                <w:sz w:val="18"/>
                <w:szCs w:val="18"/>
              </w:rPr>
              <w:t>Approach</w:t>
            </w:r>
          </w:p>
        </w:tc>
        <w:tc>
          <w:tcPr>
            <w:tcW w:w="709" w:type="dxa"/>
          </w:tcPr>
          <w:p w:rsidR="00C913AD" w:rsidRPr="00816657" w:rsidRDefault="00C913AD" w:rsidP="00DF1E42">
            <w:pPr>
              <w:jc w:val="right"/>
              <w:cnfStyle w:val="100000000000"/>
              <w:rPr>
                <w:rFonts w:asciiTheme="minorHAnsi" w:hAnsiTheme="minorHAnsi"/>
                <w:sz w:val="18"/>
                <w:szCs w:val="18"/>
              </w:rPr>
            </w:pPr>
            <w:r w:rsidRPr="00816657">
              <w:rPr>
                <w:rFonts w:asciiTheme="minorHAnsi" w:hAnsiTheme="minorHAnsi"/>
                <w:sz w:val="18"/>
                <w:szCs w:val="18"/>
              </w:rPr>
              <w:t>2014</w:t>
            </w:r>
          </w:p>
        </w:tc>
        <w:tc>
          <w:tcPr>
            <w:tcW w:w="425" w:type="dxa"/>
          </w:tcPr>
          <w:p w:rsidR="00C913AD" w:rsidRPr="00816657" w:rsidRDefault="00C913AD" w:rsidP="00DF1E42">
            <w:pPr>
              <w:jc w:val="right"/>
              <w:cnfStyle w:val="1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100000000000"/>
              <w:rPr>
                <w:rFonts w:asciiTheme="minorHAnsi" w:hAnsiTheme="minorHAnsi"/>
                <w:sz w:val="18"/>
                <w:szCs w:val="18"/>
              </w:rPr>
            </w:pPr>
            <w:r w:rsidRPr="00816657">
              <w:rPr>
                <w:rFonts w:asciiTheme="minorHAnsi" w:hAnsiTheme="minorHAnsi"/>
                <w:sz w:val="18"/>
                <w:szCs w:val="18"/>
              </w:rPr>
              <w:t>2017</w:t>
            </w:r>
          </w:p>
        </w:tc>
        <w:tc>
          <w:tcPr>
            <w:tcW w:w="283" w:type="dxa"/>
          </w:tcPr>
          <w:p w:rsidR="00C913AD" w:rsidRPr="00816657" w:rsidRDefault="00C913AD" w:rsidP="00DF1E42">
            <w:pPr>
              <w:jc w:val="right"/>
              <w:cnfStyle w:val="1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100000000000"/>
              <w:rPr>
                <w:rFonts w:asciiTheme="minorHAnsi" w:hAnsiTheme="minorHAnsi"/>
                <w:sz w:val="18"/>
                <w:szCs w:val="18"/>
              </w:rPr>
            </w:pPr>
            <w:r w:rsidRPr="00816657">
              <w:rPr>
                <w:rFonts w:asciiTheme="minorHAnsi" w:hAnsiTheme="minorHAnsi"/>
                <w:sz w:val="18"/>
                <w:szCs w:val="18"/>
              </w:rPr>
              <w:t>2019</w:t>
            </w:r>
          </w:p>
        </w:tc>
        <w:tc>
          <w:tcPr>
            <w:tcW w:w="283" w:type="dxa"/>
          </w:tcPr>
          <w:p w:rsidR="00C913AD" w:rsidRPr="00816657" w:rsidRDefault="00C913AD" w:rsidP="00DF1E42">
            <w:pPr>
              <w:jc w:val="right"/>
              <w:cnfStyle w:val="1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100000000000"/>
              <w:rPr>
                <w:rFonts w:asciiTheme="minorHAnsi" w:hAnsiTheme="minorHAnsi"/>
                <w:sz w:val="18"/>
                <w:szCs w:val="18"/>
              </w:rPr>
            </w:pPr>
            <w:r w:rsidRPr="00816657">
              <w:rPr>
                <w:rFonts w:asciiTheme="minorHAnsi" w:hAnsiTheme="minorHAnsi"/>
                <w:sz w:val="18"/>
                <w:szCs w:val="18"/>
              </w:rPr>
              <w:t>2034</w:t>
            </w:r>
          </w:p>
        </w:tc>
      </w:tr>
      <w:tr w:rsidR="00C913AD" w:rsidRPr="00816657" w:rsidTr="00227F36">
        <w:tc>
          <w:tcPr>
            <w:cnfStyle w:val="001000000000"/>
            <w:tcW w:w="9072" w:type="dxa"/>
            <w:gridSpan w:val="9"/>
          </w:tcPr>
          <w:p w:rsidR="00C913AD" w:rsidRPr="00816657" w:rsidRDefault="00C913AD" w:rsidP="00DF1E42">
            <w:pPr>
              <w:rPr>
                <w:rFonts w:asciiTheme="minorHAnsi" w:hAnsiTheme="minorHAnsi"/>
                <w:b/>
                <w:sz w:val="18"/>
                <w:szCs w:val="18"/>
              </w:rPr>
            </w:pPr>
            <w:r w:rsidRPr="00816657">
              <w:rPr>
                <w:rFonts w:asciiTheme="minorHAnsi" w:hAnsiTheme="minorHAnsi"/>
                <w:b/>
                <w:sz w:val="18"/>
                <w:szCs w:val="18"/>
              </w:rPr>
              <w:t>Approach excl. fly ash from new energy-from-waste facilities</w:t>
            </w:r>
          </w:p>
        </w:tc>
        <w:tc>
          <w:tcPr>
            <w:tcW w:w="851" w:type="dxa"/>
          </w:tcPr>
          <w:p w:rsidR="00C913AD" w:rsidRPr="00816657" w:rsidRDefault="00C913AD" w:rsidP="00DF1E42">
            <w:pPr>
              <w:cnfStyle w:val="000000000000"/>
              <w:rPr>
                <w:rFonts w:asciiTheme="minorHAnsi" w:hAnsiTheme="minorHAnsi"/>
                <w:sz w:val="18"/>
                <w:szCs w:val="18"/>
              </w:rPr>
            </w:pPr>
          </w:p>
        </w:tc>
      </w:tr>
      <w:tr w:rsidR="00C913AD" w:rsidRPr="00816657" w:rsidTr="00227F36">
        <w:tc>
          <w:tcPr>
            <w:cnfStyle w:val="001000000000"/>
            <w:tcW w:w="709" w:type="dxa"/>
          </w:tcPr>
          <w:p w:rsidR="00C913AD" w:rsidRPr="00816657" w:rsidRDefault="00C913AD" w:rsidP="00C913AD">
            <w:pPr>
              <w:tabs>
                <w:tab w:val="left" w:pos="954"/>
              </w:tabs>
              <w:rPr>
                <w:rFonts w:asciiTheme="minorHAnsi" w:hAnsiTheme="minorHAnsi"/>
                <w:sz w:val="18"/>
                <w:szCs w:val="18"/>
              </w:rPr>
            </w:pPr>
            <w:r w:rsidRPr="00816657">
              <w:rPr>
                <w:rFonts w:asciiTheme="minorHAnsi" w:hAnsiTheme="minorHAnsi"/>
                <w:sz w:val="18"/>
                <w:szCs w:val="18"/>
              </w:rPr>
              <w:t>Best</w:t>
            </w:r>
            <w:r w:rsidRPr="00816657">
              <w:rPr>
                <w:rFonts w:asciiTheme="minorHAnsi" w:hAnsiTheme="minorHAnsi"/>
                <w:sz w:val="18"/>
                <w:szCs w:val="18"/>
              </w:rPr>
              <w:tab/>
            </w:r>
          </w:p>
        </w:tc>
        <w:tc>
          <w:tcPr>
            <w:tcW w:w="1134" w:type="dxa"/>
            <w:vMerge w:val="restart"/>
            <w:vAlign w:val="center"/>
          </w:tcPr>
          <w:p w:rsidR="00C913AD" w:rsidRPr="00816657" w:rsidRDefault="00C913AD" w:rsidP="002D3055">
            <w:pPr>
              <w:cnfStyle w:val="000000000000"/>
              <w:rPr>
                <w:rFonts w:asciiTheme="minorHAnsi" w:hAnsiTheme="minorHAnsi"/>
                <w:sz w:val="18"/>
                <w:szCs w:val="18"/>
              </w:rPr>
            </w:pPr>
            <w:r w:rsidRPr="00816657">
              <w:rPr>
                <w:rFonts w:asciiTheme="minorHAnsi" w:hAnsiTheme="minorHAnsi"/>
                <w:sz w:val="18"/>
                <w:szCs w:val="18"/>
              </w:rPr>
              <w:t>ACT, NSW, NT, Qld, SA, Tas, Vic, WA</w:t>
            </w:r>
          </w:p>
        </w:tc>
        <w:tc>
          <w:tcPr>
            <w:tcW w:w="3827" w:type="dxa"/>
          </w:tcPr>
          <w:p w:rsidR="00C913AD" w:rsidRPr="00816657" w:rsidRDefault="00C913AD" w:rsidP="002D3055">
            <w:pPr>
              <w:cnfStyle w:val="000000000000"/>
              <w:rPr>
                <w:rFonts w:asciiTheme="minorHAnsi" w:hAnsiTheme="minorHAnsi"/>
                <w:sz w:val="18"/>
                <w:szCs w:val="18"/>
              </w:rPr>
            </w:pPr>
            <w:r w:rsidRPr="00816657">
              <w:rPr>
                <w:rFonts w:asciiTheme="minorHAnsi" w:hAnsiTheme="minorHAnsi"/>
                <w:sz w:val="18"/>
                <w:szCs w:val="18"/>
              </w:rPr>
              <w:t>Slight decline apparent</w:t>
            </w:r>
          </w:p>
        </w:tc>
        <w:tc>
          <w:tcPr>
            <w:tcW w:w="709"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-1.0%</w:t>
            </w:r>
          </w:p>
        </w:tc>
        <w:tc>
          <w:tcPr>
            <w:tcW w:w="425"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283"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283"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-1.0%</w:t>
            </w:r>
          </w:p>
        </w:tc>
      </w:tr>
      <w:tr w:rsidR="00C913AD" w:rsidRPr="00816657" w:rsidTr="00227F36">
        <w:tc>
          <w:tcPr>
            <w:cnfStyle w:val="001000000000"/>
            <w:tcW w:w="709" w:type="dxa"/>
          </w:tcPr>
          <w:p w:rsidR="00C913AD" w:rsidRPr="00816657" w:rsidRDefault="00C913AD" w:rsidP="002D3055">
            <w:pPr>
              <w:rPr>
                <w:rFonts w:asciiTheme="minorHAnsi" w:hAnsiTheme="minorHAnsi"/>
                <w:sz w:val="18"/>
                <w:szCs w:val="18"/>
              </w:rPr>
            </w:pPr>
            <w:r w:rsidRPr="00816657">
              <w:rPr>
                <w:rFonts w:asciiTheme="minorHAnsi" w:hAnsiTheme="minorHAnsi"/>
                <w:sz w:val="18"/>
                <w:szCs w:val="18"/>
              </w:rPr>
              <w:t>High</w:t>
            </w:r>
          </w:p>
        </w:tc>
        <w:tc>
          <w:tcPr>
            <w:tcW w:w="1134" w:type="dxa"/>
            <w:vMerge/>
            <w:vAlign w:val="center"/>
          </w:tcPr>
          <w:p w:rsidR="00C913AD" w:rsidRPr="00816657" w:rsidRDefault="00C913AD" w:rsidP="002D3055">
            <w:pPr>
              <w:cnfStyle w:val="000000000000"/>
              <w:rPr>
                <w:rFonts w:asciiTheme="minorHAnsi" w:hAnsiTheme="minorHAnsi"/>
                <w:sz w:val="18"/>
                <w:szCs w:val="18"/>
              </w:rPr>
            </w:pPr>
          </w:p>
        </w:tc>
        <w:tc>
          <w:tcPr>
            <w:tcW w:w="3827" w:type="dxa"/>
          </w:tcPr>
          <w:p w:rsidR="00C913AD" w:rsidRPr="00816657" w:rsidRDefault="00C913AD" w:rsidP="002D3055">
            <w:pPr>
              <w:cnfStyle w:val="000000000000"/>
              <w:rPr>
                <w:rFonts w:asciiTheme="minorHAnsi" w:hAnsiTheme="minorHAnsi"/>
                <w:sz w:val="18"/>
                <w:szCs w:val="18"/>
              </w:rPr>
            </w:pPr>
            <w:r w:rsidRPr="00816657">
              <w:rPr>
                <w:rFonts w:asciiTheme="minorHAnsi" w:hAnsiTheme="minorHAnsi"/>
                <w:sz w:val="18"/>
                <w:szCs w:val="18"/>
              </w:rPr>
              <w:t>Best estimate of annual rate of change + 2%</w:t>
            </w:r>
          </w:p>
        </w:tc>
        <w:tc>
          <w:tcPr>
            <w:tcW w:w="709"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1.0%</w:t>
            </w:r>
          </w:p>
        </w:tc>
        <w:tc>
          <w:tcPr>
            <w:tcW w:w="425"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283"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283"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1.0%</w:t>
            </w:r>
          </w:p>
        </w:tc>
      </w:tr>
      <w:tr w:rsidR="00C913AD" w:rsidRPr="00816657" w:rsidTr="00227F36">
        <w:tc>
          <w:tcPr>
            <w:cnfStyle w:val="001000000000"/>
            <w:tcW w:w="709" w:type="dxa"/>
            <w:tcBorders>
              <w:bottom w:val="single" w:sz="4" w:space="0" w:color="auto"/>
            </w:tcBorders>
          </w:tcPr>
          <w:p w:rsidR="00C913AD" w:rsidRPr="00816657" w:rsidRDefault="00C913AD" w:rsidP="002D3055">
            <w:pPr>
              <w:rPr>
                <w:rFonts w:asciiTheme="minorHAnsi" w:hAnsiTheme="minorHAnsi"/>
                <w:sz w:val="18"/>
                <w:szCs w:val="18"/>
              </w:rPr>
            </w:pPr>
            <w:r w:rsidRPr="00816657">
              <w:rPr>
                <w:rFonts w:asciiTheme="minorHAnsi" w:hAnsiTheme="minorHAnsi"/>
                <w:sz w:val="18"/>
                <w:szCs w:val="18"/>
              </w:rPr>
              <w:t>Low</w:t>
            </w:r>
          </w:p>
        </w:tc>
        <w:tc>
          <w:tcPr>
            <w:tcW w:w="1134" w:type="dxa"/>
            <w:vMerge/>
            <w:tcBorders>
              <w:bottom w:val="single" w:sz="4" w:space="0" w:color="auto"/>
            </w:tcBorders>
            <w:vAlign w:val="center"/>
          </w:tcPr>
          <w:p w:rsidR="00C913AD" w:rsidRPr="00816657" w:rsidRDefault="00C913AD" w:rsidP="002D3055">
            <w:pPr>
              <w:cnfStyle w:val="000000000000"/>
              <w:rPr>
                <w:rFonts w:asciiTheme="minorHAnsi" w:hAnsiTheme="minorHAnsi"/>
                <w:sz w:val="18"/>
                <w:szCs w:val="18"/>
              </w:rPr>
            </w:pPr>
          </w:p>
        </w:tc>
        <w:tc>
          <w:tcPr>
            <w:tcW w:w="3827" w:type="dxa"/>
            <w:tcBorders>
              <w:bottom w:val="single" w:sz="4" w:space="0" w:color="auto"/>
            </w:tcBorders>
          </w:tcPr>
          <w:p w:rsidR="00C913AD" w:rsidRPr="00816657" w:rsidRDefault="00C913AD" w:rsidP="002D3055">
            <w:pPr>
              <w:cnfStyle w:val="000000000000"/>
              <w:rPr>
                <w:rFonts w:asciiTheme="minorHAnsi" w:hAnsiTheme="minorHAnsi"/>
                <w:sz w:val="18"/>
                <w:szCs w:val="18"/>
              </w:rPr>
            </w:pPr>
            <w:r w:rsidRPr="00816657">
              <w:rPr>
                <w:rFonts w:asciiTheme="minorHAnsi" w:hAnsiTheme="minorHAnsi"/>
                <w:sz w:val="18"/>
                <w:szCs w:val="18"/>
              </w:rPr>
              <w:t>Best estimate of annual rate of change - 2%</w:t>
            </w:r>
          </w:p>
        </w:tc>
        <w:tc>
          <w:tcPr>
            <w:tcW w:w="709" w:type="dxa"/>
            <w:tcBorders>
              <w:bottom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-3.0%</w:t>
            </w:r>
          </w:p>
        </w:tc>
        <w:tc>
          <w:tcPr>
            <w:tcW w:w="425" w:type="dxa"/>
            <w:tcBorders>
              <w:bottom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Borders>
              <w:bottom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283" w:type="dxa"/>
            <w:tcBorders>
              <w:bottom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Borders>
              <w:bottom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283" w:type="dxa"/>
            <w:tcBorders>
              <w:bottom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Borders>
              <w:bottom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-3.0%</w:t>
            </w:r>
          </w:p>
        </w:tc>
      </w:tr>
      <w:tr w:rsidR="00C913AD" w:rsidRPr="00816657" w:rsidTr="00227F36">
        <w:tc>
          <w:tcPr>
            <w:cnfStyle w:val="001000000000"/>
            <w:tcW w:w="9072" w:type="dxa"/>
            <w:gridSpan w:val="9"/>
            <w:tcBorders>
              <w:top w:val="single" w:sz="4" w:space="0" w:color="auto"/>
              <w:bottom w:val="single" w:sz="4" w:space="0" w:color="auto"/>
            </w:tcBorders>
          </w:tcPr>
          <w:p w:rsidR="00C913AD" w:rsidRPr="00816657" w:rsidRDefault="00C913AD" w:rsidP="00DF1E42">
            <w:pPr>
              <w:rPr>
                <w:rFonts w:asciiTheme="minorHAnsi" w:hAnsiTheme="minorHAnsi"/>
                <w:b/>
                <w:sz w:val="18"/>
                <w:szCs w:val="18"/>
              </w:rPr>
            </w:pPr>
            <w:r w:rsidRPr="00816657">
              <w:rPr>
                <w:rFonts w:asciiTheme="minorHAnsi" w:hAnsiTheme="minorHAnsi"/>
                <w:b/>
                <w:sz w:val="18"/>
                <w:szCs w:val="18"/>
              </w:rPr>
              <w:t>Approach re. fly ash from new energy-from-waste facilities</w:t>
            </w:r>
          </w:p>
        </w:tc>
        <w:tc>
          <w:tcPr>
            <w:tcW w:w="851" w:type="dxa"/>
            <w:tcBorders>
              <w:top w:val="single" w:sz="4" w:space="0" w:color="auto"/>
              <w:bottom w:val="single" w:sz="4" w:space="0" w:color="auto"/>
            </w:tcBorders>
          </w:tcPr>
          <w:p w:rsidR="00C913AD" w:rsidRPr="00816657" w:rsidRDefault="00C913AD" w:rsidP="00DF1E42">
            <w:pPr>
              <w:cnfStyle w:val="000000000000"/>
              <w:rPr>
                <w:rFonts w:asciiTheme="minorHAnsi" w:hAnsiTheme="minorHAnsi"/>
                <w:sz w:val="18"/>
                <w:szCs w:val="18"/>
              </w:rPr>
            </w:pPr>
          </w:p>
        </w:tc>
      </w:tr>
      <w:tr w:rsidR="00C913AD" w:rsidRPr="00816657" w:rsidTr="00227F36">
        <w:tc>
          <w:tcPr>
            <w:cnfStyle w:val="001000000000"/>
            <w:tcW w:w="709" w:type="dxa"/>
            <w:tcBorders>
              <w:top w:val="single" w:sz="4" w:space="0" w:color="auto"/>
            </w:tcBorders>
          </w:tcPr>
          <w:p w:rsidR="00C913AD" w:rsidRPr="00816657" w:rsidRDefault="00C913AD" w:rsidP="002D3055">
            <w:pPr>
              <w:rPr>
                <w:rFonts w:asciiTheme="minorHAnsi" w:hAnsiTheme="minorHAnsi"/>
                <w:sz w:val="18"/>
                <w:szCs w:val="18"/>
              </w:rPr>
            </w:pPr>
            <w:r w:rsidRPr="00816657">
              <w:rPr>
                <w:rFonts w:asciiTheme="minorHAnsi" w:hAnsiTheme="minorHAnsi"/>
                <w:sz w:val="18"/>
                <w:szCs w:val="18"/>
              </w:rPr>
              <w:t>Best</w:t>
            </w:r>
          </w:p>
        </w:tc>
        <w:tc>
          <w:tcPr>
            <w:tcW w:w="1134" w:type="dxa"/>
            <w:tcBorders>
              <w:top w:val="single" w:sz="4" w:space="0" w:color="auto"/>
            </w:tcBorders>
          </w:tcPr>
          <w:p w:rsidR="00C913AD" w:rsidRPr="00816657" w:rsidRDefault="00C913AD" w:rsidP="002D3055">
            <w:pPr>
              <w:cnfStyle w:val="000000000000"/>
              <w:rPr>
                <w:rFonts w:asciiTheme="minorHAnsi" w:hAnsiTheme="minorHAnsi"/>
                <w:sz w:val="18"/>
                <w:szCs w:val="18"/>
              </w:rPr>
            </w:pPr>
            <w:r w:rsidRPr="00816657">
              <w:rPr>
                <w:rFonts w:asciiTheme="minorHAnsi" w:hAnsiTheme="minorHAnsi"/>
                <w:sz w:val="18"/>
                <w:szCs w:val="18"/>
              </w:rPr>
              <w:t>WA</w:t>
            </w:r>
          </w:p>
        </w:tc>
        <w:tc>
          <w:tcPr>
            <w:tcW w:w="3827" w:type="dxa"/>
            <w:tcBorders>
              <w:top w:val="single" w:sz="4" w:space="0" w:color="auto"/>
            </w:tcBorders>
          </w:tcPr>
          <w:p w:rsidR="00C913AD" w:rsidRPr="00816657" w:rsidRDefault="00C913AD" w:rsidP="002D3055">
            <w:pPr>
              <w:cnfStyle w:val="000000000000"/>
              <w:rPr>
                <w:rFonts w:asciiTheme="minorHAnsi" w:hAnsiTheme="minorHAnsi"/>
                <w:sz w:val="18"/>
                <w:szCs w:val="18"/>
              </w:rPr>
            </w:pPr>
            <w:r w:rsidRPr="00816657">
              <w:rPr>
                <w:rFonts w:asciiTheme="minorHAnsi" w:hAnsiTheme="minorHAnsi"/>
                <w:sz w:val="18"/>
                <w:szCs w:val="18"/>
              </w:rPr>
              <w:t>Port Hedland &amp; Kwinana facilities open in 3 yrs, processing 500kt/yr</w:t>
            </w:r>
          </w:p>
        </w:tc>
        <w:tc>
          <w:tcPr>
            <w:tcW w:w="709" w:type="dxa"/>
            <w:tcBorders>
              <w:top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0t</w:t>
            </w:r>
          </w:p>
        </w:tc>
        <w:tc>
          <w:tcPr>
            <w:tcW w:w="425" w:type="dxa"/>
            <w:tcBorders>
              <w:top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Borders>
              <w:top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15,000t</w:t>
            </w:r>
          </w:p>
        </w:tc>
        <w:tc>
          <w:tcPr>
            <w:tcW w:w="283" w:type="dxa"/>
            <w:tcBorders>
              <w:top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Borders>
              <w:top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283" w:type="dxa"/>
            <w:tcBorders>
              <w:top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Borders>
              <w:top w:val="single" w:sz="4"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15,000t</w:t>
            </w:r>
          </w:p>
        </w:tc>
      </w:tr>
      <w:tr w:rsidR="00C913AD" w:rsidRPr="00816657" w:rsidTr="00227F36">
        <w:trPr>
          <w:trHeight w:val="99"/>
        </w:trPr>
        <w:tc>
          <w:tcPr>
            <w:cnfStyle w:val="001000000000"/>
            <w:tcW w:w="709" w:type="dxa"/>
          </w:tcPr>
          <w:p w:rsidR="00C913AD" w:rsidRPr="00816657" w:rsidRDefault="00C913AD" w:rsidP="002D3055">
            <w:pPr>
              <w:rPr>
                <w:rFonts w:asciiTheme="minorHAnsi" w:hAnsiTheme="minorHAnsi"/>
                <w:sz w:val="18"/>
                <w:szCs w:val="18"/>
              </w:rPr>
            </w:pPr>
            <w:r w:rsidRPr="00816657">
              <w:rPr>
                <w:rFonts w:asciiTheme="minorHAnsi" w:hAnsiTheme="minorHAnsi"/>
                <w:sz w:val="18"/>
                <w:szCs w:val="18"/>
              </w:rPr>
              <w:t>High</w:t>
            </w:r>
          </w:p>
        </w:tc>
        <w:tc>
          <w:tcPr>
            <w:tcW w:w="1134" w:type="dxa"/>
          </w:tcPr>
          <w:p w:rsidR="00C913AD" w:rsidRPr="00816657" w:rsidRDefault="00C913AD" w:rsidP="002D3055">
            <w:pPr>
              <w:cnfStyle w:val="000000000000"/>
              <w:rPr>
                <w:rFonts w:asciiTheme="minorHAnsi" w:hAnsiTheme="minorHAnsi"/>
                <w:sz w:val="18"/>
                <w:szCs w:val="18"/>
              </w:rPr>
            </w:pPr>
            <w:r w:rsidRPr="00816657">
              <w:rPr>
                <w:rFonts w:asciiTheme="minorHAnsi" w:hAnsiTheme="minorHAnsi"/>
                <w:sz w:val="18"/>
                <w:szCs w:val="18"/>
              </w:rPr>
              <w:t>WA</w:t>
            </w:r>
          </w:p>
        </w:tc>
        <w:tc>
          <w:tcPr>
            <w:tcW w:w="3827" w:type="dxa"/>
          </w:tcPr>
          <w:p w:rsidR="00C913AD" w:rsidRPr="00816657" w:rsidRDefault="00C913AD" w:rsidP="002D3055">
            <w:pPr>
              <w:cnfStyle w:val="000000000000"/>
              <w:rPr>
                <w:rFonts w:asciiTheme="minorHAnsi" w:hAnsiTheme="minorHAnsi"/>
                <w:sz w:val="18"/>
                <w:szCs w:val="18"/>
              </w:rPr>
            </w:pPr>
            <w:r w:rsidRPr="00816657">
              <w:rPr>
                <w:rFonts w:asciiTheme="minorHAnsi" w:hAnsiTheme="minorHAnsi"/>
                <w:sz w:val="18"/>
                <w:szCs w:val="18"/>
              </w:rPr>
              <w:t>Best estimate + E Rockingham facility opens in 5 yrs, processing 225 kt/yr</w:t>
            </w:r>
          </w:p>
        </w:tc>
        <w:tc>
          <w:tcPr>
            <w:tcW w:w="709"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0t</w:t>
            </w:r>
          </w:p>
        </w:tc>
        <w:tc>
          <w:tcPr>
            <w:tcW w:w="425"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15,000t</w:t>
            </w:r>
          </w:p>
        </w:tc>
        <w:tc>
          <w:tcPr>
            <w:tcW w:w="283"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21,750t</w:t>
            </w:r>
          </w:p>
        </w:tc>
        <w:tc>
          <w:tcPr>
            <w:tcW w:w="283"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21,750t</w:t>
            </w:r>
          </w:p>
        </w:tc>
      </w:tr>
      <w:tr w:rsidR="00C913AD" w:rsidRPr="00816657" w:rsidTr="007F5BD4">
        <w:trPr>
          <w:trHeight w:val="558"/>
        </w:trPr>
        <w:tc>
          <w:tcPr>
            <w:cnfStyle w:val="001000000000"/>
            <w:tcW w:w="709" w:type="dxa"/>
            <w:tcBorders>
              <w:bottom w:val="single" w:sz="12" w:space="0" w:color="auto"/>
            </w:tcBorders>
          </w:tcPr>
          <w:p w:rsidR="00C913AD" w:rsidRPr="00816657" w:rsidRDefault="00C913AD" w:rsidP="002D3055">
            <w:pPr>
              <w:rPr>
                <w:rFonts w:asciiTheme="minorHAnsi" w:hAnsiTheme="minorHAnsi"/>
                <w:sz w:val="18"/>
                <w:szCs w:val="18"/>
              </w:rPr>
            </w:pPr>
            <w:r w:rsidRPr="00816657">
              <w:rPr>
                <w:rFonts w:asciiTheme="minorHAnsi" w:hAnsiTheme="minorHAnsi"/>
                <w:sz w:val="18"/>
                <w:szCs w:val="18"/>
              </w:rPr>
              <w:t>High</w:t>
            </w:r>
          </w:p>
        </w:tc>
        <w:tc>
          <w:tcPr>
            <w:tcW w:w="1134" w:type="dxa"/>
            <w:tcBorders>
              <w:bottom w:val="single" w:sz="12" w:space="0" w:color="auto"/>
            </w:tcBorders>
          </w:tcPr>
          <w:p w:rsidR="00C913AD" w:rsidRPr="00816657" w:rsidRDefault="00C913AD" w:rsidP="002D3055">
            <w:pPr>
              <w:cnfStyle w:val="000000000000"/>
              <w:rPr>
                <w:rFonts w:asciiTheme="minorHAnsi" w:hAnsiTheme="minorHAnsi"/>
                <w:sz w:val="18"/>
                <w:szCs w:val="18"/>
              </w:rPr>
            </w:pPr>
            <w:r w:rsidRPr="00816657">
              <w:rPr>
                <w:rFonts w:asciiTheme="minorHAnsi" w:hAnsiTheme="minorHAnsi"/>
                <w:sz w:val="18"/>
                <w:szCs w:val="18"/>
              </w:rPr>
              <w:t>NSW</w:t>
            </w:r>
          </w:p>
        </w:tc>
        <w:tc>
          <w:tcPr>
            <w:tcW w:w="3827" w:type="dxa"/>
            <w:tcBorders>
              <w:bottom w:val="single" w:sz="12" w:space="0" w:color="auto"/>
            </w:tcBorders>
          </w:tcPr>
          <w:p w:rsidR="00C913AD" w:rsidRPr="00816657" w:rsidRDefault="00C913AD" w:rsidP="002D3055">
            <w:pPr>
              <w:cnfStyle w:val="000000000000"/>
              <w:rPr>
                <w:rFonts w:asciiTheme="minorHAnsi" w:hAnsiTheme="minorHAnsi"/>
                <w:sz w:val="18"/>
                <w:szCs w:val="18"/>
              </w:rPr>
            </w:pPr>
            <w:r w:rsidRPr="00816657">
              <w:rPr>
                <w:rFonts w:asciiTheme="minorHAnsi" w:hAnsiTheme="minorHAnsi"/>
                <w:sz w:val="18"/>
                <w:szCs w:val="18"/>
              </w:rPr>
              <w:t>E Creek facility opens in 5 yrs, processing 1200 kt/yr</w:t>
            </w:r>
          </w:p>
        </w:tc>
        <w:tc>
          <w:tcPr>
            <w:tcW w:w="709" w:type="dxa"/>
            <w:tcBorders>
              <w:bottom w:val="single" w:sz="12"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0t</w:t>
            </w:r>
          </w:p>
        </w:tc>
        <w:tc>
          <w:tcPr>
            <w:tcW w:w="425" w:type="dxa"/>
            <w:tcBorders>
              <w:bottom w:val="single" w:sz="12"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Borders>
              <w:bottom w:val="single" w:sz="12"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283" w:type="dxa"/>
            <w:tcBorders>
              <w:bottom w:val="single" w:sz="12"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Borders>
              <w:bottom w:val="single" w:sz="12"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36,000t</w:t>
            </w:r>
          </w:p>
        </w:tc>
        <w:tc>
          <w:tcPr>
            <w:tcW w:w="283" w:type="dxa"/>
            <w:tcBorders>
              <w:bottom w:val="single" w:sz="12"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w:t>
            </w:r>
          </w:p>
        </w:tc>
        <w:tc>
          <w:tcPr>
            <w:tcW w:w="851" w:type="dxa"/>
            <w:tcBorders>
              <w:bottom w:val="single" w:sz="12" w:space="0" w:color="auto"/>
            </w:tcBorders>
          </w:tcPr>
          <w:p w:rsidR="00C913AD" w:rsidRPr="00816657" w:rsidRDefault="00C913AD" w:rsidP="00DF1E42">
            <w:pPr>
              <w:jc w:val="right"/>
              <w:cnfStyle w:val="000000000000"/>
              <w:rPr>
                <w:rFonts w:asciiTheme="minorHAnsi" w:hAnsiTheme="minorHAnsi"/>
                <w:sz w:val="18"/>
                <w:szCs w:val="18"/>
              </w:rPr>
            </w:pPr>
            <w:r w:rsidRPr="00816657">
              <w:rPr>
                <w:rFonts w:asciiTheme="minorHAnsi" w:hAnsiTheme="minorHAnsi"/>
                <w:sz w:val="18"/>
                <w:szCs w:val="18"/>
              </w:rPr>
              <w:t>36,000t</w:t>
            </w:r>
          </w:p>
        </w:tc>
      </w:tr>
    </w:tbl>
    <w:p w:rsidR="006B0FC6" w:rsidRDefault="006B0FC6" w:rsidP="00376588">
      <w:pPr>
        <w:pStyle w:val="BodyText"/>
      </w:pPr>
    </w:p>
    <w:p w:rsidR="00C85994" w:rsidRDefault="00C85994">
      <w:pPr>
        <w:spacing w:line="240" w:lineRule="auto"/>
        <w:rPr>
          <w:color w:val="080808"/>
          <w:sz w:val="22"/>
        </w:rPr>
      </w:pPr>
      <w:r>
        <w:br w:type="page"/>
      </w:r>
    </w:p>
    <w:p w:rsidR="00C85994" w:rsidRPr="00506340" w:rsidRDefault="00C85994" w:rsidP="00C85994">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outlineLvl w:val="2"/>
        <w:rPr>
          <w:rFonts w:ascii="Arial Rounded MT Bold" w:hAnsi="Arial Rounded MT Bold" w:cs="Arial"/>
          <w:color w:val="0000FF"/>
          <w:sz w:val="22"/>
        </w:rPr>
      </w:pPr>
      <w:r w:rsidRPr="00506340">
        <w:rPr>
          <w:rFonts w:ascii="Arial Rounded MT Bold" w:hAnsi="Arial Rounded MT Bold" w:cs="Arial"/>
          <w:color w:val="0000FF"/>
          <w:sz w:val="22"/>
        </w:rPr>
        <w:lastRenderedPageBreak/>
        <w:t>Fly ash</w:t>
      </w:r>
    </w:p>
    <w:p w:rsidR="00C85994" w:rsidRPr="00C85994" w:rsidRDefault="00C85994" w:rsidP="00C85994">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C85994">
        <w:rPr>
          <w:color w:val="080808"/>
          <w:szCs w:val="20"/>
        </w:rPr>
        <w:t>Fly ash is a residue generated from combustion comprising fine particles that mix and rise with combustion flue gases in chimneys and post-combustion chambers of thermal plant, and are captured by particle filtration equipment such as electrostatic precipitators. Fly ash usually refers to ash produced during combustion of coal, the bulk of which is arises in power stations. However, this is specifically excluded from the relevant NEPM hazardous waste classification N150 fly ash, excluding fly ash generated from Australian coal fired power stations.</w:t>
      </w:r>
    </w:p>
    <w:p w:rsidR="00C85994" w:rsidRPr="00C85994" w:rsidRDefault="00C85994" w:rsidP="00C85994">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C85994">
        <w:rPr>
          <w:color w:val="080808"/>
          <w:szCs w:val="20"/>
        </w:rPr>
        <w:t>Fly ash often contains hazardous materials such as heavy metals at low concentrations, but still typically at levels sufficient to classify it as a hazardous waste, derived from their composition in input fuel – either as constituent of fine combustion particles or as gaseous combustion products themselves. The major constituents are crystalline silica and oxides of iron and calcium.</w:t>
      </w:r>
    </w:p>
    <w:p w:rsidR="00C85994" w:rsidRPr="00C85994" w:rsidRDefault="00C85994" w:rsidP="00C85994">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C85994">
        <w:rPr>
          <w:color w:val="080808"/>
          <w:szCs w:val="20"/>
        </w:rPr>
        <w:t>Fly ash is identified through tracking data as having been produced quite consistently at a rate of 5,000 – 6,000 tonnes per year nationally over the last few years. Incineration, meat processing, cement kilns, coal-fired power stations (despite the waste classification name), asphalt plants, iron and steel manufacturing and petroleum refining are identified by this data as the main generating sources. In the context of this report and the broader hazardous waste infrastructure and data projects, N150 is aggregated into Other N - Other soil/sludges waste group, because its quantity based on tracking data alone is only 0.07% of national hazardous waste arisings.</w:t>
      </w:r>
    </w:p>
    <w:p w:rsidR="00C85994" w:rsidRPr="00C85994" w:rsidRDefault="00C85994" w:rsidP="00C85994">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C85994">
        <w:rPr>
          <w:color w:val="080808"/>
          <w:szCs w:val="20"/>
        </w:rPr>
        <w:t xml:space="preserve">However, the quantities of fly ash generated from coal-fired electricity generation in Australia are likely to dwarf this figure by more than three orders of magnitude. Industry estimates of fly ash generation from coal fired power stations in Australia is almost 11 million </w:t>
      </w:r>
      <w:proofErr w:type="gramStart"/>
      <w:r w:rsidRPr="00C85994">
        <w:rPr>
          <w:color w:val="080808"/>
          <w:szCs w:val="20"/>
        </w:rPr>
        <w:t>tonnes .</w:t>
      </w:r>
      <w:proofErr w:type="gramEnd"/>
      <w:r w:rsidRPr="00C85994">
        <w:rPr>
          <w:color w:val="080808"/>
          <w:szCs w:val="20"/>
        </w:rPr>
        <w:t xml:space="preserve"> This exceeds the total amount of all other hazardous waste arisings that make up the national total in this report (7.19 million tonnes), and is almost 10 times the quantity of contaminated soil. </w:t>
      </w:r>
    </w:p>
    <w:p w:rsidR="00C85994" w:rsidRPr="00C85994" w:rsidRDefault="00C85994" w:rsidP="00C85994">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C85994">
        <w:rPr>
          <w:color w:val="080808"/>
          <w:szCs w:val="20"/>
        </w:rPr>
        <w:t>The fate of fly ash is either storage in onsite storage ponds or landfills, offsite hazardous waste landfill, or reuse in concrete, structural fill or road base. The latter has high potential, since fly ash can be used as a partial replacement for the sand, limestone and cement content in concrete. By reducing the need for cement production (a highly energy-intensive process), the reuse of fly ash reduces greenhouse gas emissions. Fly ash also enhances the performance of concrete in regard to workability, shrinkage and durability. In 2013, more than half of Australian generated fly ash was used for a beneficial purpose24.</w:t>
      </w:r>
    </w:p>
    <w:p w:rsidR="00C85994" w:rsidRPr="000B3246" w:rsidRDefault="00C85994" w:rsidP="00C85994">
      <w:pPr>
        <w:pBdr>
          <w:top w:val="single" w:sz="4" w:space="1" w:color="808080"/>
          <w:left w:val="single" w:sz="4" w:space="4" w:color="808080"/>
          <w:bottom w:val="single" w:sz="4" w:space="1" w:color="808080"/>
          <w:right w:val="single" w:sz="4" w:space="4" w:color="808080"/>
        </w:pBdr>
        <w:shd w:val="clear" w:color="auto" w:fill="F2F2F2" w:themeFill="background1" w:themeFillShade="F2"/>
        <w:spacing w:after="120" w:line="240" w:lineRule="auto"/>
        <w:rPr>
          <w:color w:val="080808"/>
          <w:szCs w:val="20"/>
        </w:rPr>
      </w:pPr>
      <w:r w:rsidRPr="00C85994">
        <w:rPr>
          <w:color w:val="080808"/>
          <w:szCs w:val="20"/>
        </w:rPr>
        <w:t>Clearly, this is a very large quantity to be definitionally ‘missing’ from national estimates of hazardous waste. Also clearly, this material has both hazardous characteristics and resource-recovery benefits.</w:t>
      </w:r>
    </w:p>
    <w:p w:rsidR="00B4629E" w:rsidRDefault="00B4629E" w:rsidP="00376588">
      <w:pPr>
        <w:pStyle w:val="BodyText"/>
      </w:pPr>
    </w:p>
    <w:p w:rsidR="00607B3E" w:rsidRPr="00816657" w:rsidRDefault="00607B3E" w:rsidP="00655F62">
      <w:pPr>
        <w:pStyle w:val="Figures"/>
      </w:pPr>
      <w:bookmarkStart w:id="176" w:name="_Toc425849247"/>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29</w:t>
      </w:r>
      <w:r w:rsidR="006D07F5" w:rsidRPr="00816657">
        <w:rPr>
          <w:noProof/>
        </w:rPr>
        <w:fldChar w:fldCharType="end"/>
      </w:r>
      <w:r w:rsidRPr="00816657">
        <w:t xml:space="preserve">: </w:t>
      </w:r>
      <w:r w:rsidRPr="00816657">
        <w:tab/>
        <w:t>Best, high and low national projection estimates of other soil/sludge waste to 2034</w:t>
      </w:r>
      <w:bookmarkEnd w:id="176"/>
    </w:p>
    <w:p w:rsidR="00C913AD" w:rsidRPr="00816657" w:rsidRDefault="00C05ED6">
      <w:pPr>
        <w:spacing w:line="240" w:lineRule="auto"/>
        <w:rPr>
          <w:rFonts w:ascii="Arial Rounded MT Bold" w:hAnsi="Arial Rounded MT Bold" w:cs="Arial"/>
          <w:color w:val="0000FF"/>
          <w:sz w:val="36"/>
          <w:szCs w:val="36"/>
        </w:rPr>
      </w:pPr>
      <w:r w:rsidRPr="00C05ED6">
        <w:rPr>
          <w:noProof/>
          <w:lang w:eastAsia="en-AU"/>
        </w:rPr>
        <w:drawing>
          <wp:inline distT="0" distB="0" distL="0" distR="0">
            <wp:extent cx="5571429" cy="223809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571429" cy="2238095"/>
                    </a:xfrm>
                    <a:prstGeom prst="rect">
                      <a:avLst/>
                    </a:prstGeom>
                  </pic:spPr>
                </pic:pic>
              </a:graphicData>
            </a:graphic>
          </wp:inline>
        </w:drawing>
      </w:r>
      <w:r w:rsidR="00C913AD" w:rsidRPr="00816657">
        <w:br w:type="page"/>
      </w:r>
    </w:p>
    <w:p w:rsidR="00607B3E" w:rsidRPr="00816657" w:rsidRDefault="00607B3E" w:rsidP="0093164B">
      <w:pPr>
        <w:pStyle w:val="Heading3"/>
      </w:pPr>
      <w:r w:rsidRPr="00816657">
        <w:lastRenderedPageBreak/>
        <w:t>R. Clinical and pharmaceutical</w:t>
      </w:r>
    </w:p>
    <w:p w:rsidR="00CC78E1" w:rsidRPr="00CC78E1" w:rsidRDefault="00CC78E1" w:rsidP="00CC78E1">
      <w:pPr>
        <w:spacing w:after="60" w:line="240" w:lineRule="auto"/>
        <w:rPr>
          <w:color w:val="080808"/>
          <w:sz w:val="22"/>
        </w:rPr>
      </w:pPr>
      <w:r w:rsidRPr="00CC78E1">
        <w:rPr>
          <w:color w:val="080808"/>
          <w:sz w:val="22"/>
        </w:rPr>
        <w:t>This waste group is made up of:</w:t>
      </w:r>
    </w:p>
    <w:p w:rsidR="00CC78E1" w:rsidRPr="00CC78E1" w:rsidRDefault="00CC78E1" w:rsidP="00CC78E1">
      <w:pPr>
        <w:spacing w:before="80" w:line="240" w:lineRule="auto"/>
        <w:ind w:left="454" w:hanging="454"/>
        <w:rPr>
          <w:i/>
          <w:sz w:val="22"/>
        </w:rPr>
      </w:pPr>
      <w:r w:rsidRPr="00CC78E1">
        <w:rPr>
          <w:i/>
          <w:sz w:val="22"/>
        </w:rPr>
        <w:t>R100 Clinical and related wastes</w:t>
      </w:r>
    </w:p>
    <w:p w:rsidR="00CC78E1" w:rsidRPr="00CC78E1" w:rsidRDefault="00CC78E1" w:rsidP="00CC78E1">
      <w:pPr>
        <w:spacing w:before="80" w:line="240" w:lineRule="auto"/>
        <w:ind w:left="454" w:hanging="454"/>
        <w:rPr>
          <w:i/>
          <w:sz w:val="22"/>
        </w:rPr>
      </w:pPr>
      <w:r w:rsidRPr="00CC78E1">
        <w:rPr>
          <w:i/>
          <w:sz w:val="22"/>
        </w:rPr>
        <w:t>R120 Waste pharmaceuticals, drugs and medicines</w:t>
      </w:r>
    </w:p>
    <w:p w:rsidR="00CC78E1" w:rsidRPr="00CC78E1" w:rsidRDefault="00CC78E1" w:rsidP="00CC78E1">
      <w:pPr>
        <w:spacing w:before="80" w:line="240" w:lineRule="auto"/>
        <w:ind w:left="454" w:hanging="454"/>
        <w:rPr>
          <w:i/>
          <w:sz w:val="22"/>
        </w:rPr>
      </w:pPr>
      <w:r w:rsidRPr="00CC78E1">
        <w:rPr>
          <w:i/>
          <w:sz w:val="22"/>
        </w:rPr>
        <w:t>R140 Waste from the production and preparation of pharmaceutical products.</w:t>
      </w:r>
    </w:p>
    <w:p w:rsidR="00CC78E1" w:rsidRPr="00CC78E1" w:rsidRDefault="00CC78E1" w:rsidP="00CC78E1">
      <w:pPr>
        <w:spacing w:line="240" w:lineRule="auto"/>
        <w:rPr>
          <w:color w:val="080808"/>
          <w:sz w:val="22"/>
        </w:rPr>
      </w:pPr>
    </w:p>
    <w:p w:rsidR="00CC78E1" w:rsidRPr="00CC78E1" w:rsidRDefault="00CC78E1" w:rsidP="00CC78E1">
      <w:pPr>
        <w:spacing w:line="240" w:lineRule="auto"/>
        <w:rPr>
          <w:color w:val="080808"/>
          <w:sz w:val="22"/>
        </w:rPr>
      </w:pPr>
      <w:r w:rsidRPr="00CC78E1">
        <w:rPr>
          <w:color w:val="080808"/>
          <w:sz w:val="22"/>
        </w:rPr>
        <w:t>Clinical and related wastes are wastes arising from medical, nursing, dental, veterinary, laboratory, pharmaceutical, podiatry, tattooing, body piercing, brothels, emergency services, blood banks, mortuary practices and other similar practices, and wastes generated in healthcare facilities or other facilities during the investigation or treatment of patients or research projects, which have the potential to cause disease, injury, or public offence, and includes: sharps and non-sharps clinical waste.</w:t>
      </w:r>
    </w:p>
    <w:p w:rsidR="00CC78E1" w:rsidRPr="00CC78E1" w:rsidRDefault="00CC78E1" w:rsidP="00CC78E1">
      <w:pPr>
        <w:spacing w:line="240" w:lineRule="auto"/>
        <w:rPr>
          <w:color w:val="080808"/>
          <w:sz w:val="22"/>
        </w:rPr>
      </w:pPr>
    </w:p>
    <w:p w:rsidR="00CC78E1" w:rsidRPr="00CC78E1" w:rsidRDefault="00CC78E1" w:rsidP="00CC78E1">
      <w:pPr>
        <w:spacing w:line="240" w:lineRule="auto"/>
        <w:rPr>
          <w:color w:val="080808"/>
          <w:sz w:val="22"/>
        </w:rPr>
      </w:pPr>
      <w:r w:rsidRPr="00CC78E1">
        <w:rPr>
          <w:color w:val="080808"/>
          <w:sz w:val="22"/>
        </w:rPr>
        <w:t>Other wastes are also generated within health care settings. Waste pharmaceuticals, drugs and medicines are waste pharmaceutical products that have: passed their recommended shelf life; been discarded as off-specification batches; been returned by patients or discarded. These wastes are often generated directly from pharmacies, hospitals, medical centres and hospital dispensaries.</w:t>
      </w:r>
    </w:p>
    <w:p w:rsidR="00CC78E1" w:rsidRDefault="00CC78E1" w:rsidP="00480ECE">
      <w:pPr>
        <w:pStyle w:val="BodyText"/>
        <w:rPr>
          <w:b/>
        </w:rPr>
      </w:pPr>
    </w:p>
    <w:p w:rsidR="00480ECE" w:rsidRPr="00816657" w:rsidRDefault="00480ECE" w:rsidP="00480ECE">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1620"/>
        <w:gridCol w:w="1986"/>
        <w:gridCol w:w="3682"/>
        <w:gridCol w:w="2352"/>
      </w:tblGrid>
      <w:tr w:rsidR="00E42D11" w:rsidRPr="00816657" w:rsidTr="00227F36">
        <w:trPr>
          <w:cnfStyle w:val="100000000000"/>
        </w:trPr>
        <w:tc>
          <w:tcPr>
            <w:cnfStyle w:val="001000000000"/>
            <w:tcW w:w="84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030" w:type="pct"/>
            <w:tcBorders>
              <w:bottom w:val="single" w:sz="4" w:space="0" w:color="7F7F7F" w:themeColor="background2"/>
            </w:tcBorders>
          </w:tcPr>
          <w:p w:rsidR="00E42D11" w:rsidRPr="00816657" w:rsidRDefault="00E42D11" w:rsidP="0020737E">
            <w:pPr>
              <w:pStyle w:val="BodyText"/>
              <w:cnfStyle w:val="100000000000"/>
              <w:rPr>
                <w:sz w:val="20"/>
                <w:szCs w:val="20"/>
              </w:rPr>
            </w:pPr>
            <w:r w:rsidRPr="00816657">
              <w:rPr>
                <w:sz w:val="20"/>
                <w:szCs w:val="20"/>
              </w:rPr>
              <w:t>Considerations</w:t>
            </w:r>
          </w:p>
        </w:tc>
        <w:tc>
          <w:tcPr>
            <w:tcW w:w="1910" w:type="pct"/>
            <w:tcBorders>
              <w:bottom w:val="single" w:sz="4" w:space="0" w:color="7F7F7F" w:themeColor="background2"/>
            </w:tcBorders>
          </w:tcPr>
          <w:p w:rsidR="00E42D11" w:rsidRPr="00816657" w:rsidRDefault="00E42D11" w:rsidP="0020737E">
            <w:pPr>
              <w:pStyle w:val="BodyText"/>
              <w:cnfStyle w:val="100000000000"/>
              <w:rPr>
                <w:sz w:val="20"/>
                <w:szCs w:val="20"/>
              </w:rPr>
            </w:pPr>
            <w:r w:rsidRPr="00816657">
              <w:rPr>
                <w:sz w:val="20"/>
                <w:szCs w:val="20"/>
              </w:rPr>
              <w:t>Comments</w:t>
            </w:r>
          </w:p>
        </w:tc>
        <w:tc>
          <w:tcPr>
            <w:tcW w:w="1220" w:type="pct"/>
            <w:tcBorders>
              <w:bottom w:val="single" w:sz="4" w:space="0" w:color="7F7F7F" w:themeColor="background2"/>
            </w:tcBorders>
          </w:tcPr>
          <w:p w:rsidR="00E42D11" w:rsidRPr="00816657" w:rsidRDefault="00E42D11" w:rsidP="0020737E">
            <w:pPr>
              <w:pStyle w:val="BodyText"/>
              <w:cnfStyle w:val="100000000000"/>
              <w:rPr>
                <w:sz w:val="20"/>
                <w:szCs w:val="20"/>
              </w:rPr>
            </w:pPr>
            <w:r w:rsidRPr="00816657">
              <w:rPr>
                <w:sz w:val="20"/>
                <w:szCs w:val="20"/>
              </w:rPr>
              <w:t>Approach</w:t>
            </w:r>
          </w:p>
        </w:tc>
      </w:tr>
      <w:tr w:rsidR="00227F36" w:rsidRPr="00816657" w:rsidTr="00227F36">
        <w:tc>
          <w:tcPr>
            <w:cnfStyle w:val="001000000000"/>
            <w:tcW w:w="840" w:type="pct"/>
            <w:vMerge w:val="restart"/>
            <w:tcBorders>
              <w:top w:val="single" w:sz="4" w:space="0" w:color="7F7F7F" w:themeColor="background2"/>
            </w:tcBorders>
          </w:tcPr>
          <w:p w:rsidR="00CC78E1" w:rsidRPr="00CC78E1" w:rsidRDefault="00CC78E1" w:rsidP="00CC78E1">
            <w:pPr>
              <w:pStyle w:val="BodyText"/>
              <w:rPr>
                <w:sz w:val="20"/>
                <w:szCs w:val="20"/>
              </w:rPr>
            </w:pPr>
            <w:r w:rsidRPr="00CC78E1">
              <w:rPr>
                <w:sz w:val="20"/>
                <w:szCs w:val="20"/>
              </w:rPr>
              <w:t>•</w:t>
            </w:r>
            <w:r>
              <w:rPr>
                <w:sz w:val="20"/>
                <w:szCs w:val="20"/>
              </w:rPr>
              <w:t xml:space="preserve"> </w:t>
            </w:r>
            <w:r w:rsidRPr="00CC78E1">
              <w:rPr>
                <w:sz w:val="20"/>
                <w:szCs w:val="20"/>
              </w:rPr>
              <w:t>Hospitals, health care centres and clinics</w:t>
            </w:r>
          </w:p>
          <w:p w:rsidR="00CC78E1" w:rsidRPr="00CC78E1" w:rsidRDefault="00CC78E1" w:rsidP="00CC78E1">
            <w:pPr>
              <w:pStyle w:val="BodyText"/>
              <w:rPr>
                <w:sz w:val="20"/>
                <w:szCs w:val="20"/>
              </w:rPr>
            </w:pPr>
            <w:r w:rsidRPr="00CC78E1">
              <w:rPr>
                <w:sz w:val="20"/>
                <w:szCs w:val="20"/>
              </w:rPr>
              <w:t>•</w:t>
            </w:r>
            <w:r>
              <w:rPr>
                <w:sz w:val="20"/>
                <w:szCs w:val="20"/>
              </w:rPr>
              <w:t xml:space="preserve"> </w:t>
            </w:r>
            <w:r w:rsidRPr="00CC78E1">
              <w:rPr>
                <w:sz w:val="20"/>
                <w:szCs w:val="20"/>
              </w:rPr>
              <w:t>Nursing homes and aged care facilities</w:t>
            </w:r>
          </w:p>
          <w:p w:rsidR="00CC78E1" w:rsidRPr="00CC78E1" w:rsidRDefault="00CC78E1" w:rsidP="00CC78E1">
            <w:pPr>
              <w:pStyle w:val="BodyText"/>
              <w:rPr>
                <w:sz w:val="20"/>
                <w:szCs w:val="20"/>
              </w:rPr>
            </w:pPr>
            <w:r w:rsidRPr="00CC78E1">
              <w:rPr>
                <w:sz w:val="20"/>
                <w:szCs w:val="20"/>
              </w:rPr>
              <w:t>•</w:t>
            </w:r>
            <w:r>
              <w:rPr>
                <w:sz w:val="20"/>
                <w:szCs w:val="20"/>
              </w:rPr>
              <w:t xml:space="preserve"> </w:t>
            </w:r>
            <w:r w:rsidRPr="00CC78E1">
              <w:rPr>
                <w:sz w:val="20"/>
                <w:szCs w:val="20"/>
              </w:rPr>
              <w:t>Dentists</w:t>
            </w:r>
          </w:p>
          <w:p w:rsidR="00227F36" w:rsidRPr="00816657" w:rsidRDefault="00CC78E1">
            <w:pPr>
              <w:pStyle w:val="BodyText"/>
              <w:rPr>
                <w:rFonts w:cs="Times New Roman"/>
                <w:color w:val="000000"/>
                <w:szCs w:val="20"/>
                <w:lang w:eastAsia="en-AU"/>
              </w:rPr>
            </w:pPr>
            <w:r w:rsidRPr="00CC78E1">
              <w:rPr>
                <w:sz w:val="20"/>
                <w:szCs w:val="20"/>
              </w:rPr>
              <w:t>•</w:t>
            </w:r>
            <w:r>
              <w:rPr>
                <w:sz w:val="20"/>
                <w:szCs w:val="20"/>
              </w:rPr>
              <w:t xml:space="preserve"> </w:t>
            </w:r>
            <w:r w:rsidRPr="00CC78E1">
              <w:rPr>
                <w:sz w:val="20"/>
                <w:szCs w:val="20"/>
              </w:rPr>
              <w:t>Pharmacies</w:t>
            </w:r>
          </w:p>
        </w:tc>
        <w:tc>
          <w:tcPr>
            <w:tcW w:w="1030" w:type="pct"/>
            <w:vMerge w:val="restart"/>
            <w:tcBorders>
              <w:top w:val="single" w:sz="4" w:space="0" w:color="7F7F7F" w:themeColor="background2"/>
            </w:tcBorders>
          </w:tcPr>
          <w:p w:rsidR="00227F36" w:rsidRPr="00816657" w:rsidRDefault="00227F36" w:rsidP="0020737E">
            <w:pPr>
              <w:pStyle w:val="BodyText"/>
              <w:cnfStyle w:val="000000000000"/>
              <w:rPr>
                <w:sz w:val="20"/>
                <w:szCs w:val="20"/>
              </w:rPr>
            </w:pPr>
            <w:r w:rsidRPr="00816657">
              <w:rPr>
                <w:sz w:val="20"/>
                <w:szCs w:val="20"/>
              </w:rPr>
              <w:t>Credible projection exists (Thornton 2014)</w:t>
            </w:r>
          </w:p>
        </w:tc>
        <w:tc>
          <w:tcPr>
            <w:tcW w:w="1910" w:type="pct"/>
            <w:tcBorders>
              <w:top w:val="single" w:sz="4" w:space="0" w:color="7F7F7F" w:themeColor="background2"/>
            </w:tcBorders>
          </w:tcPr>
          <w:p w:rsidR="00227F36" w:rsidRPr="00816657" w:rsidRDefault="00227F36" w:rsidP="0020737E">
            <w:pPr>
              <w:pStyle w:val="BodyText"/>
              <w:cnfStyle w:val="000000000000"/>
              <w:rPr>
                <w:sz w:val="20"/>
                <w:szCs w:val="20"/>
              </w:rPr>
            </w:pPr>
            <w:r w:rsidRPr="00816657">
              <w:rPr>
                <w:sz w:val="20"/>
                <w:szCs w:val="20"/>
              </w:rPr>
              <w:t>NSW does not track most of this waste</w:t>
            </w:r>
          </w:p>
        </w:tc>
        <w:tc>
          <w:tcPr>
            <w:tcW w:w="1220" w:type="pct"/>
            <w:vMerge w:val="restart"/>
            <w:tcBorders>
              <w:top w:val="single" w:sz="4" w:space="0" w:color="7F7F7F" w:themeColor="background2"/>
            </w:tcBorders>
          </w:tcPr>
          <w:p w:rsidR="00227F36" w:rsidRPr="00816657" w:rsidRDefault="00227F36" w:rsidP="00227F36">
            <w:pPr>
              <w:pStyle w:val="BodyText"/>
              <w:cnfStyle w:val="000000000000"/>
              <w:rPr>
                <w:sz w:val="20"/>
                <w:szCs w:val="20"/>
              </w:rPr>
            </w:pPr>
            <w:r w:rsidRPr="00816657">
              <w:rPr>
                <w:sz w:val="20"/>
                <w:szCs w:val="20"/>
              </w:rPr>
              <w:t xml:space="preserve">Use Thornton 2014 growth rates for best estimate. </w:t>
            </w:r>
          </w:p>
        </w:tc>
      </w:tr>
      <w:tr w:rsidR="00227F36" w:rsidRPr="00816657" w:rsidTr="00227F36">
        <w:tc>
          <w:tcPr>
            <w:cnfStyle w:val="001000000000"/>
            <w:tcW w:w="840" w:type="pct"/>
            <w:vMerge/>
          </w:tcPr>
          <w:p w:rsidR="00227F36" w:rsidRPr="00816657" w:rsidRDefault="00227F36" w:rsidP="00227F36">
            <w:pPr>
              <w:pStyle w:val="BodyText"/>
              <w:rPr>
                <w:sz w:val="20"/>
                <w:szCs w:val="20"/>
              </w:rPr>
            </w:pPr>
          </w:p>
        </w:tc>
        <w:tc>
          <w:tcPr>
            <w:tcW w:w="1030" w:type="pct"/>
            <w:vMerge/>
          </w:tcPr>
          <w:p w:rsidR="00227F36" w:rsidRPr="00816657" w:rsidRDefault="00227F36" w:rsidP="0020737E">
            <w:pPr>
              <w:pStyle w:val="BodyText"/>
              <w:cnfStyle w:val="000000000000"/>
              <w:rPr>
                <w:sz w:val="20"/>
                <w:szCs w:val="20"/>
              </w:rPr>
            </w:pPr>
          </w:p>
        </w:tc>
        <w:tc>
          <w:tcPr>
            <w:tcW w:w="1910" w:type="pct"/>
          </w:tcPr>
          <w:p w:rsidR="00227F36" w:rsidRPr="00816657" w:rsidRDefault="00227F36" w:rsidP="0020737E">
            <w:pPr>
              <w:pStyle w:val="BodyText"/>
              <w:cnfStyle w:val="000000000000"/>
              <w:rPr>
                <w:sz w:val="20"/>
                <w:szCs w:val="20"/>
              </w:rPr>
            </w:pPr>
            <w:r w:rsidRPr="00816657">
              <w:rPr>
                <w:sz w:val="20"/>
                <w:szCs w:val="20"/>
              </w:rPr>
              <w:t>There is potential to reduce hazardous waste by better separation in hospitals etc.</w:t>
            </w:r>
          </w:p>
        </w:tc>
        <w:tc>
          <w:tcPr>
            <w:tcW w:w="1220" w:type="pct"/>
            <w:vMerge/>
          </w:tcPr>
          <w:p w:rsidR="00227F36" w:rsidRPr="00816657" w:rsidRDefault="00227F36" w:rsidP="0020737E">
            <w:pPr>
              <w:spacing w:line="240" w:lineRule="auto"/>
              <w:cnfStyle w:val="000000000000"/>
              <w:rPr>
                <w:color w:val="080808"/>
                <w:szCs w:val="20"/>
              </w:rPr>
            </w:pPr>
          </w:p>
        </w:tc>
      </w:tr>
    </w:tbl>
    <w:p w:rsidR="00480ECE" w:rsidRPr="00816657" w:rsidRDefault="00480ECE" w:rsidP="00376588">
      <w:pPr>
        <w:pStyle w:val="BodyText"/>
        <w:rPr>
          <w:b/>
        </w:rPr>
      </w:pPr>
    </w:p>
    <w:p w:rsidR="00376588" w:rsidRPr="00816657" w:rsidRDefault="00376588" w:rsidP="00655F62">
      <w:pPr>
        <w:pStyle w:val="Figures"/>
      </w:pPr>
      <w:bookmarkStart w:id="177" w:name="_Toc425849322"/>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37</w:t>
      </w:r>
      <w:r w:rsidR="006D07F5" w:rsidRPr="00816657">
        <w:rPr>
          <w:noProof/>
        </w:rPr>
        <w:fldChar w:fldCharType="end"/>
      </w:r>
      <w:r w:rsidRPr="00816657">
        <w:t xml:space="preserve">: </w:t>
      </w:r>
      <w:r w:rsidRPr="00816657">
        <w:tab/>
        <w:t>Best, high and low projected rates of change for clinical and pharmaceutical waste to 2034</w:t>
      </w:r>
      <w:bookmarkEnd w:id="177"/>
    </w:p>
    <w:tbl>
      <w:tblPr>
        <w:tblStyle w:val="BETable1"/>
        <w:tblW w:w="9639" w:type="dxa"/>
        <w:tblLayout w:type="fixed"/>
        <w:tblLook w:val="04A0"/>
      </w:tblPr>
      <w:tblGrid>
        <w:gridCol w:w="567"/>
        <w:gridCol w:w="1134"/>
        <w:gridCol w:w="3828"/>
        <w:gridCol w:w="708"/>
        <w:gridCol w:w="426"/>
        <w:gridCol w:w="708"/>
        <w:gridCol w:w="426"/>
        <w:gridCol w:w="708"/>
        <w:gridCol w:w="426"/>
        <w:gridCol w:w="708"/>
      </w:tblGrid>
      <w:tr w:rsidR="00480ECE" w:rsidRPr="00816657" w:rsidTr="00480ECE">
        <w:trPr>
          <w:cnfStyle w:val="100000000000"/>
        </w:trPr>
        <w:tc>
          <w:tcPr>
            <w:cnfStyle w:val="001000000000"/>
            <w:tcW w:w="567" w:type="dxa"/>
          </w:tcPr>
          <w:p w:rsidR="00480ECE" w:rsidRPr="00816657" w:rsidRDefault="00480ECE" w:rsidP="0020737E"/>
        </w:tc>
        <w:tc>
          <w:tcPr>
            <w:tcW w:w="1134" w:type="dxa"/>
          </w:tcPr>
          <w:p w:rsidR="00480ECE" w:rsidRPr="00816657" w:rsidRDefault="00480ECE" w:rsidP="0020737E">
            <w:pPr>
              <w:cnfStyle w:val="100000000000"/>
            </w:pPr>
            <w:r w:rsidRPr="00816657">
              <w:t>Applies to</w:t>
            </w:r>
          </w:p>
        </w:tc>
        <w:tc>
          <w:tcPr>
            <w:tcW w:w="3828" w:type="dxa"/>
          </w:tcPr>
          <w:p w:rsidR="00480ECE" w:rsidRPr="00816657" w:rsidRDefault="00480ECE" w:rsidP="0020737E">
            <w:pPr>
              <w:cnfStyle w:val="100000000000"/>
            </w:pPr>
            <w:r w:rsidRPr="00816657">
              <w:t>Approach</w:t>
            </w:r>
          </w:p>
        </w:tc>
        <w:tc>
          <w:tcPr>
            <w:tcW w:w="708" w:type="dxa"/>
          </w:tcPr>
          <w:p w:rsidR="00480ECE" w:rsidRPr="00816657" w:rsidRDefault="00480ECE" w:rsidP="00DF1E42">
            <w:pPr>
              <w:jc w:val="right"/>
              <w:cnfStyle w:val="100000000000"/>
            </w:pPr>
            <w:r w:rsidRPr="00816657">
              <w:t>2014</w:t>
            </w:r>
          </w:p>
        </w:tc>
        <w:tc>
          <w:tcPr>
            <w:tcW w:w="426" w:type="dxa"/>
          </w:tcPr>
          <w:p w:rsidR="00480ECE" w:rsidRPr="00816657" w:rsidRDefault="00480ECE" w:rsidP="00DF1E42">
            <w:pPr>
              <w:jc w:val="right"/>
              <w:cnfStyle w:val="100000000000"/>
            </w:pPr>
            <w:r w:rsidRPr="00816657">
              <w:t>...</w:t>
            </w:r>
          </w:p>
        </w:tc>
        <w:tc>
          <w:tcPr>
            <w:tcW w:w="708" w:type="dxa"/>
          </w:tcPr>
          <w:p w:rsidR="00480ECE" w:rsidRPr="00816657" w:rsidRDefault="00480ECE" w:rsidP="00DF1E42">
            <w:pPr>
              <w:jc w:val="right"/>
              <w:cnfStyle w:val="100000000000"/>
            </w:pPr>
            <w:r w:rsidRPr="00816657">
              <w:t>2017</w:t>
            </w:r>
          </w:p>
        </w:tc>
        <w:tc>
          <w:tcPr>
            <w:tcW w:w="426" w:type="dxa"/>
          </w:tcPr>
          <w:p w:rsidR="00480ECE" w:rsidRPr="00816657" w:rsidRDefault="00480ECE" w:rsidP="00DF1E42">
            <w:pPr>
              <w:jc w:val="right"/>
              <w:cnfStyle w:val="100000000000"/>
            </w:pPr>
            <w:r w:rsidRPr="00816657">
              <w:t>...</w:t>
            </w:r>
          </w:p>
        </w:tc>
        <w:tc>
          <w:tcPr>
            <w:tcW w:w="708" w:type="dxa"/>
          </w:tcPr>
          <w:p w:rsidR="00480ECE" w:rsidRPr="00816657" w:rsidRDefault="00480ECE" w:rsidP="00DF1E42">
            <w:pPr>
              <w:jc w:val="right"/>
              <w:cnfStyle w:val="100000000000"/>
            </w:pPr>
            <w:r w:rsidRPr="00816657">
              <w:t>2023</w:t>
            </w:r>
          </w:p>
        </w:tc>
        <w:tc>
          <w:tcPr>
            <w:tcW w:w="426" w:type="dxa"/>
          </w:tcPr>
          <w:p w:rsidR="00480ECE" w:rsidRPr="00816657" w:rsidRDefault="00480ECE" w:rsidP="00DF1E42">
            <w:pPr>
              <w:jc w:val="right"/>
              <w:cnfStyle w:val="100000000000"/>
            </w:pPr>
            <w:r w:rsidRPr="00816657">
              <w:t>...</w:t>
            </w:r>
          </w:p>
        </w:tc>
        <w:tc>
          <w:tcPr>
            <w:tcW w:w="708" w:type="dxa"/>
          </w:tcPr>
          <w:p w:rsidR="00480ECE" w:rsidRPr="00816657" w:rsidRDefault="00480ECE" w:rsidP="00DF1E42">
            <w:pPr>
              <w:jc w:val="right"/>
              <w:cnfStyle w:val="100000000000"/>
            </w:pPr>
            <w:r w:rsidRPr="00816657">
              <w:t>2034</w:t>
            </w:r>
          </w:p>
        </w:tc>
      </w:tr>
      <w:tr w:rsidR="00480ECE" w:rsidRPr="00816657" w:rsidTr="00480ECE">
        <w:tc>
          <w:tcPr>
            <w:cnfStyle w:val="001000000000"/>
            <w:tcW w:w="567" w:type="dxa"/>
          </w:tcPr>
          <w:p w:rsidR="00480ECE" w:rsidRPr="00816657" w:rsidRDefault="00480ECE" w:rsidP="0020737E">
            <w:r w:rsidRPr="00816657">
              <w:t>Best</w:t>
            </w:r>
          </w:p>
        </w:tc>
        <w:tc>
          <w:tcPr>
            <w:tcW w:w="1134" w:type="dxa"/>
            <w:vMerge w:val="restart"/>
            <w:vAlign w:val="center"/>
          </w:tcPr>
          <w:p w:rsidR="00480ECE" w:rsidRPr="00816657" w:rsidRDefault="00480ECE" w:rsidP="0020737E">
            <w:pPr>
              <w:cnfStyle w:val="000000000000"/>
            </w:pPr>
            <w:r w:rsidRPr="00816657">
              <w:t>ACT, NSW, NT, Qld, SA, Tas, Vic, WA</w:t>
            </w:r>
          </w:p>
        </w:tc>
        <w:tc>
          <w:tcPr>
            <w:tcW w:w="3828" w:type="dxa"/>
            <w:vAlign w:val="center"/>
          </w:tcPr>
          <w:p w:rsidR="00480ECE" w:rsidRPr="00816657" w:rsidRDefault="00480ECE" w:rsidP="0020737E">
            <w:pPr>
              <w:cnfStyle w:val="000000000000"/>
            </w:pPr>
            <w:r w:rsidRPr="00816657">
              <w:t>Industry expert projections</w:t>
            </w:r>
          </w:p>
        </w:tc>
        <w:tc>
          <w:tcPr>
            <w:tcW w:w="708" w:type="dxa"/>
          </w:tcPr>
          <w:p w:rsidR="00480ECE" w:rsidRPr="00816657" w:rsidRDefault="00480ECE" w:rsidP="00DF1E42">
            <w:pPr>
              <w:jc w:val="right"/>
              <w:cnfStyle w:val="000000000000"/>
            </w:pPr>
            <w:r w:rsidRPr="00816657">
              <w:t>1.9%</w:t>
            </w:r>
          </w:p>
        </w:tc>
        <w:tc>
          <w:tcPr>
            <w:tcW w:w="426" w:type="dxa"/>
          </w:tcPr>
          <w:p w:rsidR="00480ECE" w:rsidRPr="00816657" w:rsidRDefault="00480ECE" w:rsidP="00DF1E42">
            <w:pPr>
              <w:jc w:val="right"/>
              <w:cnfStyle w:val="000000000000"/>
            </w:pPr>
            <w:r w:rsidRPr="00816657">
              <w:t>...</w:t>
            </w:r>
          </w:p>
        </w:tc>
        <w:tc>
          <w:tcPr>
            <w:tcW w:w="708" w:type="dxa"/>
          </w:tcPr>
          <w:p w:rsidR="00480ECE" w:rsidRPr="00816657" w:rsidRDefault="00480ECE" w:rsidP="00DF1E42">
            <w:pPr>
              <w:jc w:val="right"/>
              <w:cnfStyle w:val="000000000000"/>
            </w:pPr>
            <w:r w:rsidRPr="00816657">
              <w:t>2.0%</w:t>
            </w:r>
          </w:p>
        </w:tc>
        <w:tc>
          <w:tcPr>
            <w:tcW w:w="426" w:type="dxa"/>
          </w:tcPr>
          <w:p w:rsidR="00480ECE" w:rsidRPr="00816657" w:rsidRDefault="00480ECE" w:rsidP="00DF1E42">
            <w:pPr>
              <w:jc w:val="right"/>
              <w:cnfStyle w:val="000000000000"/>
            </w:pPr>
            <w:r w:rsidRPr="00816657">
              <w:t>...</w:t>
            </w:r>
          </w:p>
        </w:tc>
        <w:tc>
          <w:tcPr>
            <w:tcW w:w="708" w:type="dxa"/>
          </w:tcPr>
          <w:p w:rsidR="00480ECE" w:rsidRPr="00816657" w:rsidRDefault="00480ECE" w:rsidP="00DF1E42">
            <w:pPr>
              <w:jc w:val="right"/>
              <w:cnfStyle w:val="000000000000"/>
            </w:pPr>
            <w:r w:rsidRPr="00816657">
              <w:t>2.1%</w:t>
            </w:r>
          </w:p>
        </w:tc>
        <w:tc>
          <w:tcPr>
            <w:tcW w:w="426" w:type="dxa"/>
          </w:tcPr>
          <w:p w:rsidR="00480ECE" w:rsidRPr="00816657" w:rsidRDefault="00480ECE" w:rsidP="00DF1E42">
            <w:pPr>
              <w:jc w:val="right"/>
              <w:cnfStyle w:val="000000000000"/>
            </w:pPr>
            <w:r w:rsidRPr="00816657">
              <w:t>...</w:t>
            </w:r>
          </w:p>
        </w:tc>
        <w:tc>
          <w:tcPr>
            <w:tcW w:w="708" w:type="dxa"/>
          </w:tcPr>
          <w:p w:rsidR="00480ECE" w:rsidRPr="00816657" w:rsidRDefault="00480ECE" w:rsidP="00DF1E42">
            <w:pPr>
              <w:jc w:val="right"/>
              <w:cnfStyle w:val="000000000000"/>
            </w:pPr>
            <w:r w:rsidRPr="00816657">
              <w:t>2.1%</w:t>
            </w:r>
          </w:p>
        </w:tc>
      </w:tr>
      <w:tr w:rsidR="00480ECE" w:rsidRPr="00816657" w:rsidTr="00480ECE">
        <w:tc>
          <w:tcPr>
            <w:cnfStyle w:val="001000000000"/>
            <w:tcW w:w="567" w:type="dxa"/>
          </w:tcPr>
          <w:p w:rsidR="00480ECE" w:rsidRPr="00816657" w:rsidRDefault="00480ECE" w:rsidP="0020737E">
            <w:r w:rsidRPr="00816657">
              <w:t>High</w:t>
            </w:r>
          </w:p>
        </w:tc>
        <w:tc>
          <w:tcPr>
            <w:tcW w:w="1134" w:type="dxa"/>
            <w:vMerge/>
            <w:vAlign w:val="center"/>
          </w:tcPr>
          <w:p w:rsidR="00480ECE" w:rsidRPr="00816657" w:rsidRDefault="00480ECE" w:rsidP="0020737E">
            <w:pPr>
              <w:cnfStyle w:val="000000000000"/>
            </w:pPr>
          </w:p>
        </w:tc>
        <w:tc>
          <w:tcPr>
            <w:tcW w:w="3828" w:type="dxa"/>
          </w:tcPr>
          <w:p w:rsidR="00480ECE" w:rsidRPr="00816657" w:rsidRDefault="00480ECE" w:rsidP="0020737E">
            <w:pPr>
              <w:cnfStyle w:val="000000000000"/>
            </w:pPr>
            <w:r w:rsidRPr="00816657">
              <w:t>Best estimate of annual rate of change + 2%</w:t>
            </w:r>
          </w:p>
        </w:tc>
        <w:tc>
          <w:tcPr>
            <w:tcW w:w="708" w:type="dxa"/>
          </w:tcPr>
          <w:p w:rsidR="00480ECE" w:rsidRPr="00816657" w:rsidRDefault="00480ECE" w:rsidP="00DF1E42">
            <w:pPr>
              <w:jc w:val="right"/>
              <w:cnfStyle w:val="000000000000"/>
            </w:pPr>
            <w:r w:rsidRPr="00816657">
              <w:t>3.9%</w:t>
            </w:r>
          </w:p>
        </w:tc>
        <w:tc>
          <w:tcPr>
            <w:tcW w:w="426" w:type="dxa"/>
          </w:tcPr>
          <w:p w:rsidR="00480ECE" w:rsidRPr="00816657" w:rsidRDefault="00480ECE" w:rsidP="00DF1E42">
            <w:pPr>
              <w:jc w:val="right"/>
              <w:cnfStyle w:val="000000000000"/>
            </w:pPr>
            <w:r w:rsidRPr="00816657">
              <w:t>...</w:t>
            </w:r>
          </w:p>
        </w:tc>
        <w:tc>
          <w:tcPr>
            <w:tcW w:w="708" w:type="dxa"/>
          </w:tcPr>
          <w:p w:rsidR="00480ECE" w:rsidRPr="00816657" w:rsidRDefault="00480ECE" w:rsidP="00DF1E42">
            <w:pPr>
              <w:jc w:val="right"/>
              <w:cnfStyle w:val="000000000000"/>
            </w:pPr>
            <w:r w:rsidRPr="00816657">
              <w:t>4.0%</w:t>
            </w:r>
          </w:p>
        </w:tc>
        <w:tc>
          <w:tcPr>
            <w:tcW w:w="426" w:type="dxa"/>
          </w:tcPr>
          <w:p w:rsidR="00480ECE" w:rsidRPr="00816657" w:rsidRDefault="00480ECE" w:rsidP="00DF1E42">
            <w:pPr>
              <w:jc w:val="right"/>
              <w:cnfStyle w:val="000000000000"/>
            </w:pPr>
            <w:r w:rsidRPr="00816657">
              <w:t>...</w:t>
            </w:r>
          </w:p>
        </w:tc>
        <w:tc>
          <w:tcPr>
            <w:tcW w:w="708" w:type="dxa"/>
          </w:tcPr>
          <w:p w:rsidR="00480ECE" w:rsidRPr="00816657" w:rsidRDefault="00480ECE" w:rsidP="00DF1E42">
            <w:pPr>
              <w:jc w:val="right"/>
              <w:cnfStyle w:val="000000000000"/>
            </w:pPr>
            <w:r w:rsidRPr="00816657">
              <w:t>4.1%</w:t>
            </w:r>
          </w:p>
        </w:tc>
        <w:tc>
          <w:tcPr>
            <w:tcW w:w="426" w:type="dxa"/>
          </w:tcPr>
          <w:p w:rsidR="00480ECE" w:rsidRPr="00816657" w:rsidRDefault="00480ECE" w:rsidP="00DF1E42">
            <w:pPr>
              <w:jc w:val="right"/>
              <w:cnfStyle w:val="000000000000"/>
            </w:pPr>
            <w:r w:rsidRPr="00816657">
              <w:t>...</w:t>
            </w:r>
          </w:p>
        </w:tc>
        <w:tc>
          <w:tcPr>
            <w:tcW w:w="708" w:type="dxa"/>
          </w:tcPr>
          <w:p w:rsidR="00480ECE" w:rsidRPr="00816657" w:rsidRDefault="00480ECE" w:rsidP="00DF1E42">
            <w:pPr>
              <w:jc w:val="right"/>
              <w:cnfStyle w:val="000000000000"/>
            </w:pPr>
            <w:r w:rsidRPr="00816657">
              <w:t>4.1%</w:t>
            </w:r>
          </w:p>
        </w:tc>
      </w:tr>
      <w:tr w:rsidR="00480ECE" w:rsidRPr="00816657" w:rsidTr="00B97E44">
        <w:tc>
          <w:tcPr>
            <w:cnfStyle w:val="001000000000"/>
            <w:tcW w:w="567" w:type="dxa"/>
            <w:tcBorders>
              <w:bottom w:val="single" w:sz="4" w:space="0" w:color="auto"/>
            </w:tcBorders>
          </w:tcPr>
          <w:p w:rsidR="00480ECE" w:rsidRPr="00816657" w:rsidRDefault="00480ECE" w:rsidP="0020737E">
            <w:r w:rsidRPr="00816657">
              <w:t>Low</w:t>
            </w:r>
          </w:p>
        </w:tc>
        <w:tc>
          <w:tcPr>
            <w:tcW w:w="1134" w:type="dxa"/>
            <w:vMerge/>
            <w:tcBorders>
              <w:bottom w:val="single" w:sz="4" w:space="0" w:color="auto"/>
            </w:tcBorders>
            <w:vAlign w:val="center"/>
          </w:tcPr>
          <w:p w:rsidR="00480ECE" w:rsidRPr="00816657" w:rsidRDefault="00480ECE" w:rsidP="0020737E">
            <w:pPr>
              <w:cnfStyle w:val="000000000000"/>
            </w:pPr>
          </w:p>
        </w:tc>
        <w:tc>
          <w:tcPr>
            <w:tcW w:w="3828" w:type="dxa"/>
            <w:tcBorders>
              <w:bottom w:val="single" w:sz="4" w:space="0" w:color="auto"/>
            </w:tcBorders>
          </w:tcPr>
          <w:p w:rsidR="00480ECE" w:rsidRPr="00816657" w:rsidRDefault="00480ECE" w:rsidP="0020737E">
            <w:pPr>
              <w:cnfStyle w:val="000000000000"/>
            </w:pPr>
            <w:r w:rsidRPr="00816657">
              <w:t>Best estimate of annual rate of change - 2%</w:t>
            </w:r>
          </w:p>
        </w:tc>
        <w:tc>
          <w:tcPr>
            <w:tcW w:w="708" w:type="dxa"/>
            <w:tcBorders>
              <w:bottom w:val="single" w:sz="4" w:space="0" w:color="auto"/>
            </w:tcBorders>
          </w:tcPr>
          <w:p w:rsidR="00480ECE" w:rsidRPr="00816657" w:rsidRDefault="00480ECE" w:rsidP="00DF1E42">
            <w:pPr>
              <w:jc w:val="right"/>
              <w:cnfStyle w:val="000000000000"/>
            </w:pPr>
            <w:r w:rsidRPr="00816657">
              <w:t>-0.1%</w:t>
            </w:r>
          </w:p>
        </w:tc>
        <w:tc>
          <w:tcPr>
            <w:tcW w:w="426" w:type="dxa"/>
            <w:tcBorders>
              <w:bottom w:val="single" w:sz="4" w:space="0" w:color="auto"/>
            </w:tcBorders>
          </w:tcPr>
          <w:p w:rsidR="00480ECE" w:rsidRPr="00816657" w:rsidRDefault="00480ECE" w:rsidP="00DF1E42">
            <w:pPr>
              <w:jc w:val="right"/>
              <w:cnfStyle w:val="000000000000"/>
            </w:pPr>
            <w:r w:rsidRPr="00816657">
              <w:t>...</w:t>
            </w:r>
          </w:p>
        </w:tc>
        <w:tc>
          <w:tcPr>
            <w:tcW w:w="708" w:type="dxa"/>
            <w:tcBorders>
              <w:bottom w:val="single" w:sz="4" w:space="0" w:color="auto"/>
            </w:tcBorders>
          </w:tcPr>
          <w:p w:rsidR="00480ECE" w:rsidRPr="00816657" w:rsidRDefault="00480ECE" w:rsidP="00DF1E42">
            <w:pPr>
              <w:jc w:val="right"/>
              <w:cnfStyle w:val="000000000000"/>
            </w:pPr>
            <w:r w:rsidRPr="00816657">
              <w:t>0.0%</w:t>
            </w:r>
          </w:p>
        </w:tc>
        <w:tc>
          <w:tcPr>
            <w:tcW w:w="426" w:type="dxa"/>
            <w:tcBorders>
              <w:bottom w:val="single" w:sz="4" w:space="0" w:color="auto"/>
            </w:tcBorders>
          </w:tcPr>
          <w:p w:rsidR="00480ECE" w:rsidRPr="00816657" w:rsidRDefault="00480ECE" w:rsidP="00DF1E42">
            <w:pPr>
              <w:jc w:val="right"/>
              <w:cnfStyle w:val="000000000000"/>
            </w:pPr>
            <w:r w:rsidRPr="00816657">
              <w:t>...</w:t>
            </w:r>
          </w:p>
        </w:tc>
        <w:tc>
          <w:tcPr>
            <w:tcW w:w="708" w:type="dxa"/>
            <w:tcBorders>
              <w:bottom w:val="single" w:sz="4" w:space="0" w:color="auto"/>
            </w:tcBorders>
          </w:tcPr>
          <w:p w:rsidR="00480ECE" w:rsidRPr="00816657" w:rsidRDefault="00480ECE" w:rsidP="00DF1E42">
            <w:pPr>
              <w:jc w:val="right"/>
              <w:cnfStyle w:val="000000000000"/>
            </w:pPr>
            <w:r w:rsidRPr="00816657">
              <w:t>0.1%</w:t>
            </w:r>
          </w:p>
        </w:tc>
        <w:tc>
          <w:tcPr>
            <w:tcW w:w="426" w:type="dxa"/>
            <w:tcBorders>
              <w:bottom w:val="single" w:sz="4" w:space="0" w:color="auto"/>
            </w:tcBorders>
          </w:tcPr>
          <w:p w:rsidR="00480ECE" w:rsidRPr="00816657" w:rsidRDefault="00480ECE" w:rsidP="00DF1E42">
            <w:pPr>
              <w:jc w:val="right"/>
              <w:cnfStyle w:val="000000000000"/>
            </w:pPr>
            <w:r w:rsidRPr="00816657">
              <w:t>...</w:t>
            </w:r>
          </w:p>
        </w:tc>
        <w:tc>
          <w:tcPr>
            <w:tcW w:w="708" w:type="dxa"/>
            <w:tcBorders>
              <w:bottom w:val="single" w:sz="4" w:space="0" w:color="auto"/>
            </w:tcBorders>
          </w:tcPr>
          <w:p w:rsidR="00480ECE" w:rsidRPr="00816657" w:rsidRDefault="00480ECE" w:rsidP="00DF1E42">
            <w:pPr>
              <w:jc w:val="right"/>
              <w:cnfStyle w:val="000000000000"/>
            </w:pPr>
            <w:r w:rsidRPr="00816657">
              <w:t>0.1%</w:t>
            </w:r>
          </w:p>
        </w:tc>
      </w:tr>
    </w:tbl>
    <w:p w:rsidR="00376588" w:rsidRPr="00816657" w:rsidRDefault="00376588" w:rsidP="00376588">
      <w:pPr>
        <w:pStyle w:val="BodyText"/>
      </w:pPr>
    </w:p>
    <w:p w:rsidR="00607B3E" w:rsidRPr="00816657" w:rsidRDefault="00607B3E" w:rsidP="00655F62">
      <w:pPr>
        <w:pStyle w:val="Figures"/>
      </w:pPr>
      <w:bookmarkStart w:id="178" w:name="_Toc425849248"/>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30</w:t>
      </w:r>
      <w:r w:rsidR="006D07F5" w:rsidRPr="00816657">
        <w:rPr>
          <w:noProof/>
        </w:rPr>
        <w:fldChar w:fldCharType="end"/>
      </w:r>
      <w:r w:rsidRPr="00816657">
        <w:t xml:space="preserve">: </w:t>
      </w:r>
      <w:r w:rsidRPr="00816657">
        <w:tab/>
        <w:t>Best, high and low national projection estimates of clinical and pharmaceutical waste to 2034</w:t>
      </w:r>
      <w:bookmarkEnd w:id="178"/>
    </w:p>
    <w:p w:rsidR="0093164B" w:rsidRPr="00816657" w:rsidRDefault="00C05ED6">
      <w:pPr>
        <w:spacing w:line="240" w:lineRule="auto"/>
      </w:pPr>
      <w:r w:rsidRPr="00C05ED6">
        <w:rPr>
          <w:noProof/>
          <w:lang w:eastAsia="en-AU"/>
        </w:rPr>
        <w:drawing>
          <wp:inline distT="0" distB="0" distL="0" distR="0">
            <wp:extent cx="5400000" cy="2247619"/>
            <wp:effectExtent l="0" t="0" r="0" b="63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5400000" cy="2247619"/>
                    </a:xfrm>
                    <a:prstGeom prst="rect">
                      <a:avLst/>
                    </a:prstGeom>
                  </pic:spPr>
                </pic:pic>
              </a:graphicData>
            </a:graphic>
          </wp:inline>
        </w:drawing>
      </w:r>
      <w:r w:rsidR="0093164B" w:rsidRPr="00816657">
        <w:br w:type="page"/>
      </w:r>
    </w:p>
    <w:p w:rsidR="00607B3E" w:rsidRPr="00816657" w:rsidRDefault="00607B3E" w:rsidP="0093164B">
      <w:pPr>
        <w:pStyle w:val="Heading3"/>
      </w:pPr>
      <w:r w:rsidRPr="00816657">
        <w:lastRenderedPageBreak/>
        <w:t>T140. Tyres</w:t>
      </w:r>
    </w:p>
    <w:p w:rsidR="00CC78E1" w:rsidRPr="00CC78E1" w:rsidRDefault="00CC78E1" w:rsidP="00CC78E1">
      <w:pPr>
        <w:spacing w:line="240" w:lineRule="auto"/>
        <w:rPr>
          <w:color w:val="080808"/>
          <w:sz w:val="22"/>
        </w:rPr>
      </w:pPr>
      <w:r w:rsidRPr="00CC78E1">
        <w:rPr>
          <w:color w:val="080808"/>
          <w:sz w:val="22"/>
        </w:rPr>
        <w:t xml:space="preserve">This group is the sole NEPM category </w:t>
      </w:r>
      <w:r w:rsidRPr="00CC78E1">
        <w:rPr>
          <w:i/>
          <w:color w:val="080808"/>
          <w:sz w:val="22"/>
        </w:rPr>
        <w:t>T140 Tyres</w:t>
      </w:r>
      <w:r w:rsidRPr="00CC78E1">
        <w:rPr>
          <w:color w:val="080808"/>
          <w:sz w:val="22"/>
        </w:rPr>
        <w:t xml:space="preserve">. Tyres or ‘waste tyres’ are used, discarded or rejected tyres that have reached the end of their useful life, i.e., when they can no longer be used for their original purpose, and are subsequently removed from a vehicle. </w:t>
      </w:r>
    </w:p>
    <w:p w:rsidR="00CC78E1" w:rsidRPr="00CC78E1" w:rsidRDefault="00CC78E1" w:rsidP="00CC78E1">
      <w:pPr>
        <w:spacing w:line="240" w:lineRule="auto"/>
        <w:rPr>
          <w:color w:val="080808"/>
          <w:sz w:val="22"/>
        </w:rPr>
      </w:pPr>
    </w:p>
    <w:p w:rsidR="00CC78E1" w:rsidRPr="00CC78E1" w:rsidRDefault="00CC78E1" w:rsidP="00CC78E1">
      <w:pPr>
        <w:spacing w:line="240" w:lineRule="auto"/>
        <w:rPr>
          <w:color w:val="080808"/>
          <w:sz w:val="22"/>
        </w:rPr>
      </w:pPr>
      <w:r w:rsidRPr="00CC78E1">
        <w:rPr>
          <w:color w:val="080808"/>
          <w:sz w:val="22"/>
        </w:rPr>
        <w:t>Tyres are only tracked in Queensland and Western Australia and the recorded arisings indicate that they are significantly under-reported in tracking data, when compared with credible recent estimates of arisings produced by Hyder Consulting (2012)</w:t>
      </w:r>
      <w:r w:rsidRPr="00CC78E1">
        <w:rPr>
          <w:color w:val="080808"/>
          <w:sz w:val="22"/>
          <w:vertAlign w:val="superscript"/>
        </w:rPr>
        <w:footnoteReference w:id="15"/>
      </w:r>
      <w:r w:rsidRPr="00CC78E1">
        <w:rPr>
          <w:color w:val="080808"/>
          <w:sz w:val="22"/>
        </w:rPr>
        <w:t>. Consequently, in reporting to Basel and the 2012-13 dataset for this report, data from the Hyder report was used to estimate arisings.</w:t>
      </w:r>
    </w:p>
    <w:p w:rsidR="00CC78E1" w:rsidRDefault="00CC78E1" w:rsidP="00480ECE">
      <w:pPr>
        <w:pStyle w:val="BodyText"/>
        <w:rPr>
          <w:b/>
        </w:rPr>
      </w:pPr>
    </w:p>
    <w:p w:rsidR="00480ECE" w:rsidRPr="00816657" w:rsidRDefault="00480ECE" w:rsidP="00480ECE">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10"/>
        <w:gridCol w:w="2410"/>
        <w:gridCol w:w="2410"/>
        <w:gridCol w:w="2410"/>
      </w:tblGrid>
      <w:tr w:rsidR="00E42D11" w:rsidRPr="00816657" w:rsidTr="0020737E">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20737E">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20737E">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20737E">
            <w:pPr>
              <w:pStyle w:val="BodyText"/>
              <w:cnfStyle w:val="100000000000"/>
              <w:rPr>
                <w:sz w:val="20"/>
                <w:szCs w:val="20"/>
              </w:rPr>
            </w:pPr>
            <w:r w:rsidRPr="00816657">
              <w:rPr>
                <w:sz w:val="20"/>
                <w:szCs w:val="20"/>
              </w:rPr>
              <w:t>Approach</w:t>
            </w:r>
          </w:p>
        </w:tc>
      </w:tr>
      <w:tr w:rsidR="00E42D11" w:rsidRPr="00816657" w:rsidTr="0020737E">
        <w:tc>
          <w:tcPr>
            <w:cnfStyle w:val="001000000000"/>
            <w:tcW w:w="1250" w:type="pct"/>
            <w:tcBorders>
              <w:top w:val="single" w:sz="4" w:space="0" w:color="7F7F7F" w:themeColor="background2"/>
            </w:tcBorders>
          </w:tcPr>
          <w:p w:rsidR="00E42D11" w:rsidRPr="00816657" w:rsidRDefault="00C8798B" w:rsidP="00BC3BD0">
            <w:pPr>
              <w:spacing w:line="240" w:lineRule="auto"/>
              <w:rPr>
                <w:rFonts w:cs="Times New Roman"/>
                <w:color w:val="000000"/>
                <w:szCs w:val="20"/>
                <w:lang w:eastAsia="en-AU"/>
              </w:rPr>
            </w:pPr>
            <w:r w:rsidRPr="00816657">
              <w:rPr>
                <w:szCs w:val="20"/>
              </w:rPr>
              <w:t>Motor vehicle servicing industry</w:t>
            </w:r>
          </w:p>
        </w:tc>
        <w:tc>
          <w:tcPr>
            <w:tcW w:w="1250" w:type="pct"/>
            <w:tcBorders>
              <w:top w:val="single" w:sz="4" w:space="0" w:color="7F7F7F" w:themeColor="background2"/>
            </w:tcBorders>
          </w:tcPr>
          <w:p w:rsidR="00E42D11" w:rsidRPr="00816657" w:rsidRDefault="00E42D11"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E42D11" w:rsidRPr="00816657" w:rsidRDefault="00E42D11" w:rsidP="0020737E">
            <w:pPr>
              <w:pStyle w:val="BodyText"/>
              <w:cnfStyle w:val="000000000000"/>
              <w:rPr>
                <w:sz w:val="20"/>
                <w:szCs w:val="20"/>
              </w:rPr>
            </w:pPr>
            <w:r w:rsidRPr="00816657">
              <w:rPr>
                <w:sz w:val="20"/>
                <w:szCs w:val="20"/>
              </w:rPr>
              <w:t>Only historical Qld and WA data available. Variability likely to be associated with stockpiles</w:t>
            </w:r>
          </w:p>
        </w:tc>
        <w:tc>
          <w:tcPr>
            <w:tcW w:w="1250" w:type="pct"/>
            <w:tcBorders>
              <w:top w:val="single" w:sz="4" w:space="0" w:color="7F7F7F" w:themeColor="background2"/>
            </w:tcBorders>
          </w:tcPr>
          <w:p w:rsidR="00E42D11" w:rsidRPr="00816657" w:rsidRDefault="00E42D11" w:rsidP="0020737E">
            <w:pPr>
              <w:pStyle w:val="BodyText"/>
              <w:cnfStyle w:val="000000000000"/>
              <w:rPr>
                <w:sz w:val="20"/>
                <w:szCs w:val="20"/>
              </w:rPr>
            </w:pPr>
            <w:r w:rsidRPr="00816657">
              <w:rPr>
                <w:sz w:val="20"/>
                <w:szCs w:val="20"/>
              </w:rPr>
              <w:t>Use causal analysis</w:t>
            </w:r>
          </w:p>
        </w:tc>
      </w:tr>
      <w:tr w:rsidR="00480ECE" w:rsidRPr="00816657" w:rsidTr="0020737E">
        <w:tc>
          <w:tcPr>
            <w:cnfStyle w:val="001000000000"/>
            <w:tcW w:w="1250" w:type="pct"/>
          </w:tcPr>
          <w:p w:rsidR="00480ECE" w:rsidRPr="00816657" w:rsidRDefault="00480ECE" w:rsidP="00C8798B">
            <w:pPr>
              <w:pStyle w:val="BodyText"/>
              <w:rPr>
                <w:sz w:val="20"/>
                <w:szCs w:val="20"/>
              </w:rPr>
            </w:pPr>
          </w:p>
        </w:tc>
        <w:tc>
          <w:tcPr>
            <w:tcW w:w="1250" w:type="pct"/>
          </w:tcPr>
          <w:p w:rsidR="00480ECE" w:rsidRPr="00816657" w:rsidRDefault="00480ECE" w:rsidP="0020737E">
            <w:pPr>
              <w:pStyle w:val="BodyText"/>
              <w:cnfStyle w:val="000000000000"/>
              <w:rPr>
                <w:sz w:val="20"/>
                <w:szCs w:val="20"/>
              </w:rPr>
            </w:pPr>
            <w:r w:rsidRPr="00816657">
              <w:rPr>
                <w:sz w:val="20"/>
                <w:szCs w:val="20"/>
              </w:rPr>
              <w:t>No historical data set exists that is adequate for discerning trends</w:t>
            </w:r>
          </w:p>
        </w:tc>
        <w:tc>
          <w:tcPr>
            <w:tcW w:w="1250" w:type="pct"/>
          </w:tcPr>
          <w:p w:rsidR="00480ECE" w:rsidRPr="00816657" w:rsidRDefault="00480ECE" w:rsidP="0020737E">
            <w:pPr>
              <w:pStyle w:val="BodyText"/>
              <w:cnfStyle w:val="000000000000"/>
              <w:rPr>
                <w:sz w:val="20"/>
                <w:szCs w:val="20"/>
              </w:rPr>
            </w:pPr>
            <w:r w:rsidRPr="00816657">
              <w:rPr>
                <w:sz w:val="20"/>
                <w:szCs w:val="20"/>
              </w:rPr>
              <w:t>Assumption that growth in km/person/yr has peaked</w:t>
            </w:r>
          </w:p>
        </w:tc>
        <w:tc>
          <w:tcPr>
            <w:tcW w:w="1250" w:type="pct"/>
          </w:tcPr>
          <w:p w:rsidR="00480ECE" w:rsidRPr="00816657" w:rsidRDefault="00480ECE" w:rsidP="0020737E">
            <w:pPr>
              <w:spacing w:line="240" w:lineRule="auto"/>
              <w:cnfStyle w:val="000000000000"/>
              <w:rPr>
                <w:color w:val="080808"/>
                <w:szCs w:val="20"/>
              </w:rPr>
            </w:pPr>
          </w:p>
        </w:tc>
      </w:tr>
    </w:tbl>
    <w:p w:rsidR="00480ECE" w:rsidRPr="00816657" w:rsidRDefault="00480ECE" w:rsidP="00376588">
      <w:pPr>
        <w:pStyle w:val="BodyText"/>
        <w:rPr>
          <w:b/>
        </w:rPr>
      </w:pPr>
    </w:p>
    <w:p w:rsidR="00376588" w:rsidRPr="00816657" w:rsidRDefault="00376588" w:rsidP="00655F62">
      <w:pPr>
        <w:pStyle w:val="Figures"/>
      </w:pPr>
      <w:bookmarkStart w:id="179" w:name="_Toc425849323"/>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38</w:t>
      </w:r>
      <w:r w:rsidR="006D07F5" w:rsidRPr="00816657">
        <w:rPr>
          <w:noProof/>
        </w:rPr>
        <w:fldChar w:fldCharType="end"/>
      </w:r>
      <w:r w:rsidRPr="00816657">
        <w:t xml:space="preserve">: </w:t>
      </w:r>
      <w:r w:rsidRPr="00816657">
        <w:tab/>
        <w:t>Best, high and low projected rates of change for tyre waste to 2034</w:t>
      </w:r>
      <w:bookmarkEnd w:id="179"/>
    </w:p>
    <w:tbl>
      <w:tblPr>
        <w:tblStyle w:val="BETable1"/>
        <w:tblW w:w="8364" w:type="dxa"/>
        <w:tblLayout w:type="fixed"/>
        <w:tblLook w:val="04A0"/>
      </w:tblPr>
      <w:tblGrid>
        <w:gridCol w:w="709"/>
        <w:gridCol w:w="1134"/>
        <w:gridCol w:w="3969"/>
        <w:gridCol w:w="851"/>
        <w:gridCol w:w="850"/>
        <w:gridCol w:w="851"/>
      </w:tblGrid>
      <w:tr w:rsidR="0032741C" w:rsidRPr="00816657" w:rsidTr="00480ECE">
        <w:trPr>
          <w:cnfStyle w:val="100000000000"/>
        </w:trPr>
        <w:tc>
          <w:tcPr>
            <w:cnfStyle w:val="001000000000"/>
            <w:tcW w:w="709" w:type="dxa"/>
          </w:tcPr>
          <w:p w:rsidR="0032741C" w:rsidRPr="00816657" w:rsidRDefault="0032741C" w:rsidP="002D3055"/>
        </w:tc>
        <w:tc>
          <w:tcPr>
            <w:tcW w:w="1134" w:type="dxa"/>
          </w:tcPr>
          <w:p w:rsidR="0032741C" w:rsidRPr="00816657" w:rsidRDefault="0032741C" w:rsidP="002D3055">
            <w:pPr>
              <w:cnfStyle w:val="100000000000"/>
            </w:pPr>
            <w:r w:rsidRPr="00816657">
              <w:t>Applies to</w:t>
            </w:r>
          </w:p>
        </w:tc>
        <w:tc>
          <w:tcPr>
            <w:tcW w:w="3969" w:type="dxa"/>
          </w:tcPr>
          <w:p w:rsidR="0032741C" w:rsidRPr="00816657" w:rsidRDefault="0032741C" w:rsidP="002D3055">
            <w:pPr>
              <w:cnfStyle w:val="100000000000"/>
            </w:pPr>
            <w:r w:rsidRPr="00816657">
              <w:t>Approach</w:t>
            </w:r>
          </w:p>
        </w:tc>
        <w:tc>
          <w:tcPr>
            <w:tcW w:w="851" w:type="dxa"/>
          </w:tcPr>
          <w:p w:rsidR="0032741C" w:rsidRPr="00816657" w:rsidRDefault="0032741C" w:rsidP="00DF1E42">
            <w:pPr>
              <w:jc w:val="right"/>
              <w:cnfStyle w:val="100000000000"/>
            </w:pPr>
            <w:r w:rsidRPr="00816657">
              <w:t>2014</w:t>
            </w:r>
          </w:p>
        </w:tc>
        <w:tc>
          <w:tcPr>
            <w:tcW w:w="850" w:type="dxa"/>
          </w:tcPr>
          <w:p w:rsidR="0032741C" w:rsidRPr="00816657" w:rsidRDefault="0032741C" w:rsidP="00DF1E42">
            <w:pPr>
              <w:jc w:val="right"/>
              <w:cnfStyle w:val="100000000000"/>
            </w:pPr>
            <w:r w:rsidRPr="00816657">
              <w:t>...</w:t>
            </w:r>
          </w:p>
        </w:tc>
        <w:tc>
          <w:tcPr>
            <w:tcW w:w="851" w:type="dxa"/>
          </w:tcPr>
          <w:p w:rsidR="0032741C" w:rsidRPr="00816657" w:rsidRDefault="0032741C" w:rsidP="00DF1E42">
            <w:pPr>
              <w:jc w:val="right"/>
              <w:cnfStyle w:val="100000000000"/>
            </w:pPr>
            <w:r w:rsidRPr="00816657">
              <w:t>2034</w:t>
            </w:r>
          </w:p>
        </w:tc>
      </w:tr>
      <w:tr w:rsidR="0032741C" w:rsidRPr="00816657" w:rsidTr="00480ECE">
        <w:tc>
          <w:tcPr>
            <w:cnfStyle w:val="001000000000"/>
            <w:tcW w:w="709" w:type="dxa"/>
          </w:tcPr>
          <w:p w:rsidR="0032741C" w:rsidRPr="00816657" w:rsidRDefault="0032741C" w:rsidP="002D3055">
            <w:r w:rsidRPr="00816657">
              <w:t>Best</w:t>
            </w:r>
          </w:p>
        </w:tc>
        <w:tc>
          <w:tcPr>
            <w:tcW w:w="1134" w:type="dxa"/>
            <w:vMerge w:val="restart"/>
            <w:vAlign w:val="center"/>
          </w:tcPr>
          <w:p w:rsidR="0032741C" w:rsidRPr="00816657" w:rsidRDefault="0032741C" w:rsidP="002D3055">
            <w:pPr>
              <w:cnfStyle w:val="000000000000"/>
            </w:pPr>
            <w:r w:rsidRPr="00816657">
              <w:t>ACT, NSW, NT, Qld, SA, Tas, Vic, WA</w:t>
            </w:r>
          </w:p>
        </w:tc>
        <w:tc>
          <w:tcPr>
            <w:tcW w:w="3969" w:type="dxa"/>
          </w:tcPr>
          <w:p w:rsidR="0032741C" w:rsidRPr="00816657" w:rsidRDefault="0032741C" w:rsidP="002D3055">
            <w:pPr>
              <w:cnfStyle w:val="000000000000"/>
            </w:pPr>
            <w:r w:rsidRPr="00816657">
              <w:t>Population growth</w:t>
            </w:r>
          </w:p>
        </w:tc>
        <w:tc>
          <w:tcPr>
            <w:tcW w:w="851" w:type="dxa"/>
          </w:tcPr>
          <w:p w:rsidR="0032741C" w:rsidRPr="00816657" w:rsidRDefault="0032741C" w:rsidP="00DF1E42">
            <w:pPr>
              <w:jc w:val="right"/>
              <w:cnfStyle w:val="000000000000"/>
            </w:pPr>
            <w:r w:rsidRPr="00816657">
              <w:t>1.5%</w:t>
            </w:r>
          </w:p>
        </w:tc>
        <w:tc>
          <w:tcPr>
            <w:tcW w:w="850" w:type="dxa"/>
          </w:tcPr>
          <w:p w:rsidR="0032741C" w:rsidRPr="00816657" w:rsidRDefault="0032741C" w:rsidP="00DF1E42">
            <w:pPr>
              <w:jc w:val="right"/>
              <w:cnfStyle w:val="000000000000"/>
            </w:pPr>
            <w:r w:rsidRPr="00816657">
              <w:t>...</w:t>
            </w:r>
          </w:p>
        </w:tc>
        <w:tc>
          <w:tcPr>
            <w:tcW w:w="851" w:type="dxa"/>
          </w:tcPr>
          <w:p w:rsidR="0032741C" w:rsidRPr="00816657" w:rsidRDefault="0032741C" w:rsidP="00DF1E42">
            <w:pPr>
              <w:jc w:val="right"/>
              <w:cnfStyle w:val="000000000000"/>
            </w:pPr>
            <w:r w:rsidRPr="00816657">
              <w:t>1.5%</w:t>
            </w:r>
          </w:p>
        </w:tc>
      </w:tr>
      <w:tr w:rsidR="0032741C" w:rsidRPr="00816657" w:rsidTr="00480ECE">
        <w:tc>
          <w:tcPr>
            <w:cnfStyle w:val="001000000000"/>
            <w:tcW w:w="709" w:type="dxa"/>
          </w:tcPr>
          <w:p w:rsidR="0032741C" w:rsidRPr="00816657" w:rsidRDefault="0032741C" w:rsidP="002D3055">
            <w:r w:rsidRPr="00816657">
              <w:t>High</w:t>
            </w:r>
          </w:p>
        </w:tc>
        <w:tc>
          <w:tcPr>
            <w:tcW w:w="1134" w:type="dxa"/>
            <w:vMerge/>
            <w:vAlign w:val="center"/>
          </w:tcPr>
          <w:p w:rsidR="0032741C" w:rsidRPr="00816657" w:rsidRDefault="0032741C" w:rsidP="002D3055">
            <w:pPr>
              <w:cnfStyle w:val="000000000000"/>
            </w:pPr>
          </w:p>
        </w:tc>
        <w:tc>
          <w:tcPr>
            <w:tcW w:w="3969" w:type="dxa"/>
          </w:tcPr>
          <w:p w:rsidR="0032741C" w:rsidRPr="00816657" w:rsidRDefault="0032741C" w:rsidP="0032741C">
            <w:pPr>
              <w:cnfStyle w:val="000000000000"/>
            </w:pPr>
            <w:r w:rsidRPr="00816657">
              <w:t>Best estimate of annual rate of change + 2%</w:t>
            </w:r>
          </w:p>
        </w:tc>
        <w:tc>
          <w:tcPr>
            <w:tcW w:w="851" w:type="dxa"/>
          </w:tcPr>
          <w:p w:rsidR="0032741C" w:rsidRPr="00816657" w:rsidRDefault="0032741C" w:rsidP="00DF1E42">
            <w:pPr>
              <w:jc w:val="right"/>
              <w:cnfStyle w:val="000000000000"/>
            </w:pPr>
            <w:r w:rsidRPr="00816657">
              <w:t>3.5%</w:t>
            </w:r>
          </w:p>
        </w:tc>
        <w:tc>
          <w:tcPr>
            <w:tcW w:w="850" w:type="dxa"/>
          </w:tcPr>
          <w:p w:rsidR="0032741C" w:rsidRPr="00816657" w:rsidRDefault="0032741C" w:rsidP="00DF1E42">
            <w:pPr>
              <w:jc w:val="right"/>
              <w:cnfStyle w:val="000000000000"/>
            </w:pPr>
            <w:r w:rsidRPr="00816657">
              <w:t>...</w:t>
            </w:r>
          </w:p>
        </w:tc>
        <w:tc>
          <w:tcPr>
            <w:tcW w:w="851" w:type="dxa"/>
          </w:tcPr>
          <w:p w:rsidR="0032741C" w:rsidRPr="00816657" w:rsidRDefault="0032741C" w:rsidP="00DF1E42">
            <w:pPr>
              <w:jc w:val="right"/>
              <w:cnfStyle w:val="000000000000"/>
            </w:pPr>
            <w:r w:rsidRPr="00816657">
              <w:t>3.5%</w:t>
            </w:r>
          </w:p>
        </w:tc>
      </w:tr>
      <w:tr w:rsidR="0032741C" w:rsidRPr="00816657" w:rsidTr="00480ECE">
        <w:tc>
          <w:tcPr>
            <w:cnfStyle w:val="001000000000"/>
            <w:tcW w:w="709" w:type="dxa"/>
          </w:tcPr>
          <w:p w:rsidR="0032741C" w:rsidRPr="00816657" w:rsidRDefault="0032741C" w:rsidP="002D3055">
            <w:r w:rsidRPr="00816657">
              <w:t>Low</w:t>
            </w:r>
          </w:p>
        </w:tc>
        <w:tc>
          <w:tcPr>
            <w:tcW w:w="1134" w:type="dxa"/>
            <w:vMerge/>
            <w:vAlign w:val="center"/>
          </w:tcPr>
          <w:p w:rsidR="0032741C" w:rsidRPr="00816657" w:rsidRDefault="0032741C" w:rsidP="002D3055">
            <w:pPr>
              <w:cnfStyle w:val="000000000000"/>
            </w:pPr>
          </w:p>
        </w:tc>
        <w:tc>
          <w:tcPr>
            <w:tcW w:w="3969" w:type="dxa"/>
          </w:tcPr>
          <w:p w:rsidR="0032741C" w:rsidRPr="00816657" w:rsidRDefault="0032741C" w:rsidP="002D3055">
            <w:pPr>
              <w:cnfStyle w:val="000000000000"/>
            </w:pPr>
            <w:r w:rsidRPr="00816657">
              <w:t>Best estimate of annual rate of change - 2%</w:t>
            </w:r>
          </w:p>
        </w:tc>
        <w:tc>
          <w:tcPr>
            <w:tcW w:w="851" w:type="dxa"/>
          </w:tcPr>
          <w:p w:rsidR="0032741C" w:rsidRPr="00816657" w:rsidRDefault="0032741C" w:rsidP="00DF1E42">
            <w:pPr>
              <w:jc w:val="right"/>
              <w:cnfStyle w:val="000000000000"/>
            </w:pPr>
            <w:r w:rsidRPr="00816657">
              <w:t>-0.5%</w:t>
            </w:r>
          </w:p>
        </w:tc>
        <w:tc>
          <w:tcPr>
            <w:tcW w:w="850" w:type="dxa"/>
          </w:tcPr>
          <w:p w:rsidR="0032741C" w:rsidRPr="00816657" w:rsidRDefault="0032741C" w:rsidP="00DF1E42">
            <w:pPr>
              <w:jc w:val="right"/>
              <w:cnfStyle w:val="000000000000"/>
            </w:pPr>
            <w:r w:rsidRPr="00816657">
              <w:t>...</w:t>
            </w:r>
          </w:p>
        </w:tc>
        <w:tc>
          <w:tcPr>
            <w:tcW w:w="851" w:type="dxa"/>
          </w:tcPr>
          <w:p w:rsidR="0032741C" w:rsidRPr="00816657" w:rsidRDefault="0032741C" w:rsidP="00DF1E42">
            <w:pPr>
              <w:jc w:val="right"/>
              <w:cnfStyle w:val="000000000000"/>
            </w:pPr>
            <w:r w:rsidRPr="00816657">
              <w:t>-0.5%</w:t>
            </w:r>
          </w:p>
        </w:tc>
      </w:tr>
    </w:tbl>
    <w:p w:rsidR="0032741C" w:rsidRPr="00816657" w:rsidRDefault="0032741C" w:rsidP="00376588">
      <w:pPr>
        <w:pStyle w:val="BodyText"/>
      </w:pPr>
    </w:p>
    <w:p w:rsidR="00607B3E" w:rsidRPr="00816657" w:rsidRDefault="00607B3E" w:rsidP="00655F62">
      <w:pPr>
        <w:pStyle w:val="Figures"/>
      </w:pPr>
      <w:bookmarkStart w:id="180" w:name="_Toc425849249"/>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31</w:t>
      </w:r>
      <w:r w:rsidR="006D07F5" w:rsidRPr="00816657">
        <w:rPr>
          <w:noProof/>
        </w:rPr>
        <w:fldChar w:fldCharType="end"/>
      </w:r>
      <w:r w:rsidRPr="00816657">
        <w:t xml:space="preserve">: </w:t>
      </w:r>
      <w:r w:rsidRPr="00816657">
        <w:tab/>
        <w:t>Best, high and low national projection estimates of tyre waste to 2034</w:t>
      </w:r>
      <w:bookmarkEnd w:id="180"/>
    </w:p>
    <w:p w:rsidR="00607B3E" w:rsidRPr="00816657" w:rsidRDefault="00C05ED6" w:rsidP="00607B3E">
      <w:pPr>
        <w:spacing w:line="240" w:lineRule="auto"/>
      </w:pPr>
      <w:r w:rsidRPr="00C05ED6">
        <w:rPr>
          <w:noProof/>
          <w:lang w:eastAsia="en-AU"/>
        </w:rPr>
        <w:drawing>
          <wp:inline distT="0" distB="0" distL="0" distR="0">
            <wp:extent cx="5285715" cy="2295238"/>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285715" cy="2295238"/>
                    </a:xfrm>
                    <a:prstGeom prst="rect">
                      <a:avLst/>
                    </a:prstGeom>
                  </pic:spPr>
                </pic:pic>
              </a:graphicData>
            </a:graphic>
          </wp:inline>
        </w:drawing>
      </w:r>
    </w:p>
    <w:p w:rsidR="00607B3E" w:rsidRPr="00816657" w:rsidRDefault="00607B3E" w:rsidP="00607B3E">
      <w:pPr>
        <w:spacing w:line="240" w:lineRule="auto"/>
      </w:pPr>
    </w:p>
    <w:p w:rsidR="00607B3E" w:rsidRPr="00816657" w:rsidRDefault="00607B3E" w:rsidP="00607B3E">
      <w:pPr>
        <w:spacing w:line="240" w:lineRule="auto"/>
      </w:pPr>
    </w:p>
    <w:p w:rsidR="002D3055" w:rsidRPr="00816657" w:rsidRDefault="002D3055">
      <w:pPr>
        <w:spacing w:line="240" w:lineRule="auto"/>
        <w:rPr>
          <w:rFonts w:ascii="Arial Rounded MT Bold" w:hAnsi="Arial Rounded MT Bold" w:cs="Arial"/>
          <w:color w:val="0000FF"/>
          <w:sz w:val="36"/>
          <w:szCs w:val="36"/>
        </w:rPr>
      </w:pPr>
      <w:r w:rsidRPr="00816657">
        <w:br w:type="page"/>
      </w:r>
    </w:p>
    <w:p w:rsidR="00607B3E" w:rsidRPr="00816657" w:rsidRDefault="00607B3E" w:rsidP="0093164B">
      <w:pPr>
        <w:pStyle w:val="Heading3"/>
      </w:pPr>
      <w:proofErr w:type="gramStart"/>
      <w:r w:rsidRPr="00816657">
        <w:lastRenderedPageBreak/>
        <w:t>Other T.</w:t>
      </w:r>
      <w:proofErr w:type="gramEnd"/>
      <w:r w:rsidRPr="00816657">
        <w:t xml:space="preserve"> Other miscellaneous</w:t>
      </w:r>
    </w:p>
    <w:p w:rsidR="00CC78E1" w:rsidRPr="00CC78E1" w:rsidRDefault="00CC78E1" w:rsidP="00CC78E1">
      <w:pPr>
        <w:spacing w:after="60" w:line="240" w:lineRule="auto"/>
        <w:rPr>
          <w:color w:val="080808"/>
          <w:sz w:val="22"/>
        </w:rPr>
      </w:pPr>
      <w:r w:rsidRPr="00CC78E1">
        <w:rPr>
          <w:color w:val="080808"/>
          <w:sz w:val="22"/>
        </w:rPr>
        <w:t xml:space="preserve">This waste group includes: </w:t>
      </w:r>
    </w:p>
    <w:p w:rsidR="00CC78E1" w:rsidRPr="007F5BD4" w:rsidRDefault="00CC78E1" w:rsidP="007F5BD4">
      <w:pPr>
        <w:pStyle w:val="ListParagraph"/>
        <w:numPr>
          <w:ilvl w:val="0"/>
          <w:numId w:val="68"/>
        </w:numPr>
        <w:spacing w:before="80" w:line="240" w:lineRule="auto"/>
        <w:rPr>
          <w:i/>
          <w:sz w:val="22"/>
        </w:rPr>
      </w:pPr>
      <w:r w:rsidRPr="007F5BD4">
        <w:rPr>
          <w:i/>
          <w:sz w:val="22"/>
        </w:rPr>
        <w:t>T100 waste chemicals from research and development or teaching activities</w:t>
      </w:r>
    </w:p>
    <w:p w:rsidR="00CC78E1" w:rsidRPr="007F5BD4" w:rsidRDefault="00CC78E1" w:rsidP="007F5BD4">
      <w:pPr>
        <w:pStyle w:val="ListParagraph"/>
        <w:numPr>
          <w:ilvl w:val="0"/>
          <w:numId w:val="68"/>
        </w:numPr>
        <w:spacing w:before="80" w:line="240" w:lineRule="auto"/>
        <w:rPr>
          <w:i/>
          <w:sz w:val="22"/>
        </w:rPr>
      </w:pPr>
      <w:r w:rsidRPr="007F5BD4">
        <w:rPr>
          <w:i/>
          <w:sz w:val="22"/>
        </w:rPr>
        <w:t>T120 waste from the production &amp; use of photographic chemicals and processing materials</w:t>
      </w:r>
    </w:p>
    <w:p w:rsidR="00CC78E1" w:rsidRPr="007F5BD4" w:rsidRDefault="00CC78E1" w:rsidP="007F5BD4">
      <w:pPr>
        <w:pStyle w:val="ListParagraph"/>
        <w:numPr>
          <w:ilvl w:val="0"/>
          <w:numId w:val="68"/>
        </w:numPr>
        <w:spacing w:before="80" w:line="240" w:lineRule="auto"/>
        <w:rPr>
          <w:i/>
          <w:sz w:val="22"/>
        </w:rPr>
      </w:pPr>
      <w:r w:rsidRPr="007F5BD4">
        <w:rPr>
          <w:i/>
          <w:sz w:val="22"/>
        </w:rPr>
        <w:t>T200 waste of an explosive nature not subject to other legislation.</w:t>
      </w:r>
    </w:p>
    <w:p w:rsidR="00CC78E1" w:rsidRPr="00CC78E1" w:rsidRDefault="00CC78E1" w:rsidP="00CC78E1">
      <w:pPr>
        <w:spacing w:line="240" w:lineRule="auto"/>
        <w:rPr>
          <w:color w:val="080808"/>
          <w:sz w:val="22"/>
        </w:rPr>
      </w:pPr>
    </w:p>
    <w:p w:rsidR="00CC78E1" w:rsidRPr="00CC78E1" w:rsidRDefault="00CC78E1" w:rsidP="00CC78E1">
      <w:pPr>
        <w:spacing w:line="240" w:lineRule="auto"/>
        <w:rPr>
          <w:color w:val="080808"/>
          <w:sz w:val="22"/>
        </w:rPr>
      </w:pPr>
      <w:r w:rsidRPr="00CC78E1">
        <w:rPr>
          <w:color w:val="080808"/>
          <w:sz w:val="22"/>
        </w:rPr>
        <w:t>This waste group is a collection of relatively unrelated wastes that are produced in small quantities and are made up of mostly T100, with smaller quantities of T200 and T120.</w:t>
      </w:r>
    </w:p>
    <w:p w:rsidR="00A22992" w:rsidRPr="00816657" w:rsidRDefault="00A22992" w:rsidP="00A22992">
      <w:pPr>
        <w:pStyle w:val="BodyText"/>
      </w:pPr>
    </w:p>
    <w:p w:rsidR="00480ECE" w:rsidRPr="00816657" w:rsidRDefault="00480ECE" w:rsidP="00480ECE">
      <w:pPr>
        <w:pStyle w:val="BodyText"/>
        <w:rPr>
          <w:b/>
        </w:rPr>
      </w:pPr>
      <w:r w:rsidRPr="00FA10FC">
        <w:rPr>
          <w:b/>
          <w:color w:val="0000FF" w:themeColor="text2"/>
        </w:rPr>
        <w:t>Summary analysis</w:t>
      </w:r>
    </w:p>
    <w:tbl>
      <w:tblPr>
        <w:tblStyle w:val="BETable11"/>
        <w:tblW w:w="5000" w:type="pct"/>
        <w:tblInd w:w="0" w:type="dxa"/>
        <w:tblBorders>
          <w:insideH w:val="none" w:sz="0" w:space="0" w:color="auto"/>
          <w:insideV w:val="single" w:sz="4" w:space="0" w:color="7F7F7F" w:themeColor="background2"/>
        </w:tblBorders>
        <w:tblLook w:val="04A0"/>
      </w:tblPr>
      <w:tblGrid>
        <w:gridCol w:w="2410"/>
        <w:gridCol w:w="2410"/>
        <w:gridCol w:w="2410"/>
        <w:gridCol w:w="2410"/>
      </w:tblGrid>
      <w:tr w:rsidR="00E42D11" w:rsidRPr="00816657" w:rsidTr="0020737E">
        <w:trPr>
          <w:cnfStyle w:val="100000000000"/>
        </w:trPr>
        <w:tc>
          <w:tcPr>
            <w:cnfStyle w:val="001000000000"/>
            <w:tcW w:w="1250" w:type="pct"/>
            <w:tcBorders>
              <w:bottom w:val="single" w:sz="4" w:space="0" w:color="7F7F7F" w:themeColor="background2"/>
            </w:tcBorders>
          </w:tcPr>
          <w:p w:rsidR="00E42D11" w:rsidRPr="00816657" w:rsidRDefault="00E42D11" w:rsidP="00BC3BD0">
            <w:pPr>
              <w:pStyle w:val="BodyText"/>
              <w:rPr>
                <w:sz w:val="20"/>
                <w:szCs w:val="20"/>
              </w:rPr>
            </w:pPr>
            <w:r w:rsidRPr="00816657">
              <w:rPr>
                <w:sz w:val="20"/>
                <w:szCs w:val="20"/>
              </w:rPr>
              <w:t>Industry sources</w:t>
            </w:r>
          </w:p>
        </w:tc>
        <w:tc>
          <w:tcPr>
            <w:tcW w:w="1250" w:type="pct"/>
            <w:tcBorders>
              <w:bottom w:val="single" w:sz="4" w:space="0" w:color="7F7F7F" w:themeColor="background2"/>
            </w:tcBorders>
          </w:tcPr>
          <w:p w:rsidR="00E42D11" w:rsidRPr="00816657" w:rsidRDefault="00E42D11" w:rsidP="0020737E">
            <w:pPr>
              <w:pStyle w:val="BodyText"/>
              <w:cnfStyle w:val="100000000000"/>
              <w:rPr>
                <w:sz w:val="20"/>
                <w:szCs w:val="20"/>
              </w:rPr>
            </w:pPr>
            <w:r w:rsidRPr="00816657">
              <w:rPr>
                <w:sz w:val="20"/>
                <w:szCs w:val="20"/>
              </w:rPr>
              <w:t>Considerations</w:t>
            </w:r>
          </w:p>
        </w:tc>
        <w:tc>
          <w:tcPr>
            <w:tcW w:w="1250" w:type="pct"/>
            <w:tcBorders>
              <w:bottom w:val="single" w:sz="4" w:space="0" w:color="7F7F7F" w:themeColor="background2"/>
            </w:tcBorders>
          </w:tcPr>
          <w:p w:rsidR="00E42D11" w:rsidRPr="00816657" w:rsidRDefault="00E42D11" w:rsidP="0020737E">
            <w:pPr>
              <w:pStyle w:val="BodyText"/>
              <w:cnfStyle w:val="100000000000"/>
              <w:rPr>
                <w:sz w:val="20"/>
                <w:szCs w:val="20"/>
              </w:rPr>
            </w:pPr>
            <w:r w:rsidRPr="00816657">
              <w:rPr>
                <w:sz w:val="20"/>
                <w:szCs w:val="20"/>
              </w:rPr>
              <w:t>Comments</w:t>
            </w:r>
          </w:p>
        </w:tc>
        <w:tc>
          <w:tcPr>
            <w:tcW w:w="1250" w:type="pct"/>
            <w:tcBorders>
              <w:bottom w:val="single" w:sz="4" w:space="0" w:color="7F7F7F" w:themeColor="background2"/>
            </w:tcBorders>
          </w:tcPr>
          <w:p w:rsidR="00E42D11" w:rsidRPr="00816657" w:rsidRDefault="00E42D11" w:rsidP="0020737E">
            <w:pPr>
              <w:pStyle w:val="BodyText"/>
              <w:cnfStyle w:val="100000000000"/>
              <w:rPr>
                <w:sz w:val="20"/>
                <w:szCs w:val="20"/>
              </w:rPr>
            </w:pPr>
            <w:r w:rsidRPr="00816657">
              <w:rPr>
                <w:sz w:val="20"/>
                <w:szCs w:val="20"/>
              </w:rPr>
              <w:t>Approach</w:t>
            </w:r>
          </w:p>
        </w:tc>
      </w:tr>
      <w:tr w:rsidR="00C8798B" w:rsidRPr="00816657" w:rsidTr="0020737E">
        <w:tc>
          <w:tcPr>
            <w:cnfStyle w:val="001000000000"/>
            <w:tcW w:w="1250" w:type="pct"/>
            <w:vMerge w:val="restart"/>
            <w:tcBorders>
              <w:top w:val="single" w:sz="4" w:space="0" w:color="7F7F7F" w:themeColor="background2"/>
            </w:tcBorders>
          </w:tcPr>
          <w:p w:rsidR="00CC78E1" w:rsidRPr="00CC78E1" w:rsidRDefault="00CC78E1" w:rsidP="00CC78E1">
            <w:pPr>
              <w:pStyle w:val="BodyText"/>
              <w:rPr>
                <w:sz w:val="20"/>
                <w:szCs w:val="20"/>
              </w:rPr>
            </w:pPr>
            <w:r w:rsidRPr="00CC78E1">
              <w:rPr>
                <w:sz w:val="20"/>
                <w:szCs w:val="20"/>
              </w:rPr>
              <w:t>•</w:t>
            </w:r>
            <w:r>
              <w:rPr>
                <w:sz w:val="20"/>
                <w:szCs w:val="20"/>
              </w:rPr>
              <w:t xml:space="preserve"> </w:t>
            </w:r>
            <w:r w:rsidRPr="00CC78E1">
              <w:rPr>
                <w:sz w:val="20"/>
                <w:szCs w:val="20"/>
              </w:rPr>
              <w:t>Waste sector</w:t>
            </w:r>
          </w:p>
          <w:p w:rsidR="00CC78E1" w:rsidRPr="00CC78E1" w:rsidRDefault="00CC78E1" w:rsidP="00CC78E1">
            <w:pPr>
              <w:pStyle w:val="BodyText"/>
              <w:rPr>
                <w:sz w:val="20"/>
                <w:szCs w:val="20"/>
              </w:rPr>
            </w:pPr>
            <w:r w:rsidRPr="00CC78E1">
              <w:rPr>
                <w:sz w:val="20"/>
                <w:szCs w:val="20"/>
              </w:rPr>
              <w:t>•</w:t>
            </w:r>
            <w:r>
              <w:rPr>
                <w:sz w:val="20"/>
                <w:szCs w:val="20"/>
              </w:rPr>
              <w:t xml:space="preserve"> </w:t>
            </w:r>
            <w:r w:rsidRPr="00CC78E1">
              <w:rPr>
                <w:sz w:val="20"/>
                <w:szCs w:val="20"/>
              </w:rPr>
              <w:t>Public administration &amp; other education</w:t>
            </w:r>
          </w:p>
          <w:p w:rsidR="00CC78E1" w:rsidRPr="00CC78E1" w:rsidRDefault="00CC78E1" w:rsidP="00CC78E1">
            <w:pPr>
              <w:pStyle w:val="BodyText"/>
              <w:rPr>
                <w:sz w:val="20"/>
                <w:szCs w:val="20"/>
              </w:rPr>
            </w:pPr>
            <w:r w:rsidRPr="00CC78E1">
              <w:rPr>
                <w:sz w:val="20"/>
                <w:szCs w:val="20"/>
              </w:rPr>
              <w:t>•</w:t>
            </w:r>
            <w:r>
              <w:rPr>
                <w:sz w:val="20"/>
                <w:szCs w:val="20"/>
              </w:rPr>
              <w:t xml:space="preserve"> </w:t>
            </w:r>
            <w:r w:rsidRPr="00CC78E1">
              <w:rPr>
                <w:sz w:val="20"/>
                <w:szCs w:val="20"/>
              </w:rPr>
              <w:t>Mining</w:t>
            </w:r>
          </w:p>
          <w:p w:rsidR="00CC78E1" w:rsidRPr="00CC78E1" w:rsidRDefault="00CC78E1" w:rsidP="00CC78E1">
            <w:pPr>
              <w:pStyle w:val="BodyText"/>
              <w:rPr>
                <w:sz w:val="20"/>
                <w:szCs w:val="20"/>
              </w:rPr>
            </w:pPr>
            <w:r w:rsidRPr="00CC78E1">
              <w:rPr>
                <w:sz w:val="20"/>
                <w:szCs w:val="20"/>
              </w:rPr>
              <w:t>•</w:t>
            </w:r>
            <w:r>
              <w:rPr>
                <w:sz w:val="20"/>
                <w:szCs w:val="20"/>
              </w:rPr>
              <w:t xml:space="preserve"> </w:t>
            </w:r>
            <w:r w:rsidRPr="00CC78E1">
              <w:rPr>
                <w:sz w:val="20"/>
                <w:szCs w:val="20"/>
              </w:rPr>
              <w:t>Explosives manufacturing</w:t>
            </w:r>
          </w:p>
          <w:p w:rsidR="00CC78E1" w:rsidRPr="00CC78E1" w:rsidRDefault="00CC78E1" w:rsidP="00CC78E1">
            <w:pPr>
              <w:pStyle w:val="BodyText"/>
              <w:rPr>
                <w:sz w:val="20"/>
                <w:szCs w:val="20"/>
              </w:rPr>
            </w:pPr>
            <w:r w:rsidRPr="00CC78E1">
              <w:rPr>
                <w:sz w:val="20"/>
                <w:szCs w:val="20"/>
              </w:rPr>
              <w:t>•</w:t>
            </w:r>
            <w:r>
              <w:rPr>
                <w:sz w:val="20"/>
                <w:szCs w:val="20"/>
              </w:rPr>
              <w:t xml:space="preserve"> </w:t>
            </w:r>
            <w:r w:rsidRPr="00CC78E1">
              <w:rPr>
                <w:sz w:val="20"/>
                <w:szCs w:val="20"/>
              </w:rPr>
              <w:t>Printing</w:t>
            </w:r>
          </w:p>
          <w:p w:rsidR="00C8798B" w:rsidRPr="00816657" w:rsidRDefault="00CC78E1">
            <w:pPr>
              <w:pStyle w:val="BodyText"/>
              <w:rPr>
                <w:rFonts w:cs="Times New Roman"/>
                <w:color w:val="000000"/>
                <w:szCs w:val="20"/>
                <w:lang w:eastAsia="en-AU"/>
              </w:rPr>
            </w:pPr>
            <w:r w:rsidRPr="00CC78E1">
              <w:rPr>
                <w:sz w:val="20"/>
                <w:szCs w:val="20"/>
              </w:rPr>
              <w:t>•</w:t>
            </w:r>
            <w:r>
              <w:rPr>
                <w:sz w:val="20"/>
                <w:szCs w:val="20"/>
              </w:rPr>
              <w:t xml:space="preserve"> </w:t>
            </w:r>
            <w:r w:rsidRPr="00CC78E1">
              <w:rPr>
                <w:sz w:val="20"/>
                <w:szCs w:val="20"/>
              </w:rPr>
              <w:t>Water supply, sewerage &amp; drainage services</w:t>
            </w:r>
          </w:p>
        </w:tc>
        <w:tc>
          <w:tcPr>
            <w:tcW w:w="1250" w:type="pct"/>
            <w:tcBorders>
              <w:top w:val="single" w:sz="4" w:space="0" w:color="7F7F7F" w:themeColor="background2"/>
            </w:tcBorders>
          </w:tcPr>
          <w:p w:rsidR="00C8798B" w:rsidRPr="00816657" w:rsidRDefault="00C8798B" w:rsidP="00BC3BD0">
            <w:pPr>
              <w:pStyle w:val="BodyText"/>
              <w:cnfStyle w:val="000000000000"/>
              <w:rPr>
                <w:sz w:val="20"/>
                <w:szCs w:val="20"/>
              </w:rPr>
            </w:pPr>
            <w:r w:rsidRPr="00816657">
              <w:rPr>
                <w:sz w:val="20"/>
                <w:szCs w:val="20"/>
              </w:rPr>
              <w:t>No sufficiently credible pre-existing projections were identified</w:t>
            </w:r>
          </w:p>
        </w:tc>
        <w:tc>
          <w:tcPr>
            <w:tcW w:w="1250" w:type="pct"/>
            <w:tcBorders>
              <w:top w:val="single" w:sz="4" w:space="0" w:color="7F7F7F" w:themeColor="background2"/>
            </w:tcBorders>
          </w:tcPr>
          <w:p w:rsidR="00C8798B" w:rsidRPr="00816657" w:rsidRDefault="00C8798B" w:rsidP="0020737E">
            <w:pPr>
              <w:pStyle w:val="BodyText"/>
              <w:cnfStyle w:val="000000000000"/>
              <w:rPr>
                <w:sz w:val="20"/>
                <w:szCs w:val="20"/>
              </w:rPr>
            </w:pPr>
            <w:r w:rsidRPr="00816657">
              <w:rPr>
                <w:sz w:val="20"/>
                <w:szCs w:val="20"/>
              </w:rPr>
              <w:t>Declining trend in Victoria; stable elsewhere</w:t>
            </w:r>
          </w:p>
        </w:tc>
        <w:tc>
          <w:tcPr>
            <w:tcW w:w="1250" w:type="pct"/>
            <w:tcBorders>
              <w:top w:val="single" w:sz="4" w:space="0" w:color="7F7F7F" w:themeColor="background2"/>
            </w:tcBorders>
          </w:tcPr>
          <w:p w:rsidR="00C8798B" w:rsidRPr="00816657" w:rsidRDefault="00C8798B" w:rsidP="0020737E">
            <w:pPr>
              <w:pStyle w:val="BodyText"/>
              <w:cnfStyle w:val="000000000000"/>
              <w:rPr>
                <w:sz w:val="20"/>
                <w:szCs w:val="20"/>
              </w:rPr>
            </w:pPr>
            <w:r w:rsidRPr="00816657">
              <w:rPr>
                <w:sz w:val="20"/>
                <w:szCs w:val="20"/>
              </w:rPr>
              <w:t>Use causal analysis</w:t>
            </w:r>
          </w:p>
        </w:tc>
      </w:tr>
      <w:tr w:rsidR="00C8798B" w:rsidRPr="00816657" w:rsidTr="0020737E">
        <w:tc>
          <w:tcPr>
            <w:cnfStyle w:val="001000000000"/>
            <w:tcW w:w="1250" w:type="pct"/>
            <w:vMerge/>
          </w:tcPr>
          <w:p w:rsidR="00C8798B" w:rsidRPr="00816657" w:rsidRDefault="00C8798B" w:rsidP="0020737E">
            <w:pPr>
              <w:pStyle w:val="BodyText"/>
              <w:rPr>
                <w:sz w:val="20"/>
                <w:szCs w:val="20"/>
              </w:rPr>
            </w:pPr>
          </w:p>
        </w:tc>
        <w:tc>
          <w:tcPr>
            <w:tcW w:w="1250" w:type="pct"/>
          </w:tcPr>
          <w:p w:rsidR="00C8798B" w:rsidRPr="00816657" w:rsidRDefault="00C8798B" w:rsidP="0020737E">
            <w:pPr>
              <w:pStyle w:val="BodyText"/>
              <w:cnfStyle w:val="000000000000"/>
              <w:rPr>
                <w:sz w:val="20"/>
                <w:szCs w:val="20"/>
              </w:rPr>
            </w:pPr>
            <w:r w:rsidRPr="00816657">
              <w:rPr>
                <w:sz w:val="20"/>
                <w:szCs w:val="20"/>
              </w:rPr>
              <w:t>No historical data set exists that is adequate for discerning trends</w:t>
            </w:r>
          </w:p>
        </w:tc>
        <w:tc>
          <w:tcPr>
            <w:tcW w:w="1250" w:type="pct"/>
          </w:tcPr>
          <w:p w:rsidR="00C8798B" w:rsidRPr="00816657" w:rsidRDefault="00C8798B" w:rsidP="00C8798B">
            <w:pPr>
              <w:pStyle w:val="BodyText"/>
              <w:cnfStyle w:val="000000000000"/>
              <w:rPr>
                <w:sz w:val="20"/>
                <w:szCs w:val="20"/>
              </w:rPr>
            </w:pPr>
          </w:p>
          <w:p w:rsidR="00C8798B" w:rsidRPr="00816657" w:rsidRDefault="00C8798B" w:rsidP="0020737E">
            <w:pPr>
              <w:pStyle w:val="BodyText"/>
              <w:cnfStyle w:val="000000000000"/>
              <w:rPr>
                <w:sz w:val="20"/>
                <w:szCs w:val="20"/>
              </w:rPr>
            </w:pPr>
          </w:p>
        </w:tc>
        <w:tc>
          <w:tcPr>
            <w:tcW w:w="1250" w:type="pct"/>
          </w:tcPr>
          <w:p w:rsidR="00C8798B" w:rsidRPr="00816657" w:rsidRDefault="00C8798B" w:rsidP="0020737E">
            <w:pPr>
              <w:spacing w:line="240" w:lineRule="auto"/>
              <w:cnfStyle w:val="000000000000"/>
              <w:rPr>
                <w:color w:val="080808"/>
                <w:szCs w:val="20"/>
              </w:rPr>
            </w:pPr>
          </w:p>
        </w:tc>
      </w:tr>
    </w:tbl>
    <w:p w:rsidR="00480ECE" w:rsidRPr="00816657" w:rsidRDefault="00480ECE" w:rsidP="00655F62">
      <w:pPr>
        <w:pStyle w:val="Figures"/>
      </w:pPr>
    </w:p>
    <w:p w:rsidR="00376588" w:rsidRPr="00816657" w:rsidRDefault="00376588" w:rsidP="00655F62">
      <w:pPr>
        <w:pStyle w:val="Figures"/>
      </w:pPr>
      <w:bookmarkStart w:id="181" w:name="_Toc425849324"/>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39</w:t>
      </w:r>
      <w:r w:rsidR="006D07F5" w:rsidRPr="00816657">
        <w:rPr>
          <w:noProof/>
        </w:rPr>
        <w:fldChar w:fldCharType="end"/>
      </w:r>
      <w:r w:rsidRPr="00816657">
        <w:t xml:space="preserve">: </w:t>
      </w:r>
      <w:r w:rsidRPr="00816657">
        <w:tab/>
        <w:t>Best, high and low projected rates of change for other miscellaneous waste to 2034</w:t>
      </w:r>
      <w:bookmarkEnd w:id="181"/>
    </w:p>
    <w:tbl>
      <w:tblPr>
        <w:tblStyle w:val="BETable1"/>
        <w:tblW w:w="8647" w:type="dxa"/>
        <w:tblLayout w:type="fixed"/>
        <w:tblLook w:val="04A0"/>
      </w:tblPr>
      <w:tblGrid>
        <w:gridCol w:w="709"/>
        <w:gridCol w:w="1134"/>
        <w:gridCol w:w="4253"/>
        <w:gridCol w:w="850"/>
        <w:gridCol w:w="709"/>
        <w:gridCol w:w="992"/>
      </w:tblGrid>
      <w:tr w:rsidR="002D3055" w:rsidRPr="00816657" w:rsidTr="00480ECE">
        <w:trPr>
          <w:cnfStyle w:val="100000000000"/>
        </w:trPr>
        <w:tc>
          <w:tcPr>
            <w:cnfStyle w:val="001000000000"/>
            <w:tcW w:w="709" w:type="dxa"/>
          </w:tcPr>
          <w:p w:rsidR="002D3055" w:rsidRPr="00816657" w:rsidRDefault="002D3055" w:rsidP="002D3055"/>
        </w:tc>
        <w:tc>
          <w:tcPr>
            <w:tcW w:w="1134" w:type="dxa"/>
          </w:tcPr>
          <w:p w:rsidR="002D3055" w:rsidRPr="00816657" w:rsidRDefault="002D3055" w:rsidP="002D3055">
            <w:pPr>
              <w:cnfStyle w:val="100000000000"/>
            </w:pPr>
            <w:r w:rsidRPr="00816657">
              <w:t>Applies to</w:t>
            </w:r>
          </w:p>
        </w:tc>
        <w:tc>
          <w:tcPr>
            <w:tcW w:w="4253" w:type="dxa"/>
          </w:tcPr>
          <w:p w:rsidR="002D3055" w:rsidRPr="00816657" w:rsidRDefault="002D3055" w:rsidP="002D3055">
            <w:pPr>
              <w:cnfStyle w:val="100000000000"/>
            </w:pPr>
            <w:r w:rsidRPr="00816657">
              <w:t>Approach</w:t>
            </w:r>
          </w:p>
        </w:tc>
        <w:tc>
          <w:tcPr>
            <w:tcW w:w="850" w:type="dxa"/>
          </w:tcPr>
          <w:p w:rsidR="002D3055" w:rsidRPr="00816657" w:rsidRDefault="002D3055" w:rsidP="00DF1E42">
            <w:pPr>
              <w:jc w:val="right"/>
              <w:cnfStyle w:val="100000000000"/>
            </w:pPr>
            <w:r w:rsidRPr="00816657">
              <w:t>2014</w:t>
            </w:r>
          </w:p>
        </w:tc>
        <w:tc>
          <w:tcPr>
            <w:tcW w:w="709" w:type="dxa"/>
          </w:tcPr>
          <w:p w:rsidR="002D3055" w:rsidRPr="00816657" w:rsidRDefault="002D3055" w:rsidP="00DF1E42">
            <w:pPr>
              <w:jc w:val="right"/>
              <w:cnfStyle w:val="100000000000"/>
            </w:pPr>
            <w:r w:rsidRPr="00816657">
              <w:t>...</w:t>
            </w:r>
          </w:p>
        </w:tc>
        <w:tc>
          <w:tcPr>
            <w:tcW w:w="992" w:type="dxa"/>
          </w:tcPr>
          <w:p w:rsidR="002D3055" w:rsidRPr="00816657" w:rsidRDefault="002D3055" w:rsidP="00DF1E42">
            <w:pPr>
              <w:jc w:val="right"/>
              <w:cnfStyle w:val="100000000000"/>
            </w:pPr>
            <w:r w:rsidRPr="00816657">
              <w:t>2034</w:t>
            </w:r>
          </w:p>
        </w:tc>
      </w:tr>
      <w:tr w:rsidR="00C97294" w:rsidRPr="00816657" w:rsidTr="00480ECE">
        <w:tc>
          <w:tcPr>
            <w:cnfStyle w:val="001000000000"/>
            <w:tcW w:w="709" w:type="dxa"/>
          </w:tcPr>
          <w:p w:rsidR="00C97294" w:rsidRPr="00816657" w:rsidRDefault="00C97294" w:rsidP="002D3055">
            <w:r w:rsidRPr="00816657">
              <w:t>Best</w:t>
            </w:r>
          </w:p>
        </w:tc>
        <w:tc>
          <w:tcPr>
            <w:tcW w:w="1134" w:type="dxa"/>
            <w:vMerge w:val="restart"/>
            <w:vAlign w:val="center"/>
          </w:tcPr>
          <w:p w:rsidR="00C97294" w:rsidRPr="00816657" w:rsidRDefault="00C97294" w:rsidP="002D3055">
            <w:pPr>
              <w:cnfStyle w:val="000000000000"/>
            </w:pPr>
            <w:r w:rsidRPr="00816657">
              <w:t>Vic</w:t>
            </w:r>
          </w:p>
        </w:tc>
        <w:tc>
          <w:tcPr>
            <w:tcW w:w="4253" w:type="dxa"/>
          </w:tcPr>
          <w:p w:rsidR="00C97294" w:rsidRPr="00816657" w:rsidRDefault="00C97294" w:rsidP="002D3055">
            <w:pPr>
              <w:cnfStyle w:val="000000000000"/>
            </w:pPr>
            <w:r w:rsidRPr="00816657">
              <w:t>Exponential decay trend</w:t>
            </w:r>
          </w:p>
        </w:tc>
        <w:tc>
          <w:tcPr>
            <w:tcW w:w="850" w:type="dxa"/>
          </w:tcPr>
          <w:p w:rsidR="00C97294" w:rsidRPr="00816657" w:rsidRDefault="00C97294" w:rsidP="00DF1E42">
            <w:pPr>
              <w:jc w:val="right"/>
              <w:cnfStyle w:val="000000000000"/>
            </w:pPr>
            <w:r w:rsidRPr="00816657">
              <w:t>-15.0%</w:t>
            </w:r>
          </w:p>
        </w:tc>
        <w:tc>
          <w:tcPr>
            <w:tcW w:w="709" w:type="dxa"/>
          </w:tcPr>
          <w:p w:rsidR="00C97294" w:rsidRPr="00816657" w:rsidRDefault="00C97294" w:rsidP="00DF1E42">
            <w:pPr>
              <w:jc w:val="right"/>
              <w:cnfStyle w:val="000000000000"/>
            </w:pPr>
            <w:r w:rsidRPr="00816657">
              <w:t>...</w:t>
            </w:r>
          </w:p>
        </w:tc>
        <w:tc>
          <w:tcPr>
            <w:tcW w:w="992" w:type="dxa"/>
          </w:tcPr>
          <w:p w:rsidR="00C97294" w:rsidRPr="00816657" w:rsidRDefault="00C97294" w:rsidP="00DF1E42">
            <w:pPr>
              <w:jc w:val="right"/>
              <w:cnfStyle w:val="000000000000"/>
            </w:pPr>
            <w:r w:rsidRPr="00816657">
              <w:t>-15.0%</w:t>
            </w:r>
          </w:p>
        </w:tc>
      </w:tr>
      <w:tr w:rsidR="00C97294" w:rsidRPr="00816657" w:rsidTr="00480ECE">
        <w:tc>
          <w:tcPr>
            <w:cnfStyle w:val="001000000000"/>
            <w:tcW w:w="709" w:type="dxa"/>
          </w:tcPr>
          <w:p w:rsidR="00C97294" w:rsidRPr="00816657" w:rsidRDefault="00C97294" w:rsidP="002D3055">
            <w:r w:rsidRPr="00816657">
              <w:t>High</w:t>
            </w:r>
          </w:p>
        </w:tc>
        <w:tc>
          <w:tcPr>
            <w:tcW w:w="1134" w:type="dxa"/>
            <w:vMerge/>
            <w:vAlign w:val="center"/>
          </w:tcPr>
          <w:p w:rsidR="00C97294" w:rsidRPr="00816657" w:rsidRDefault="00C97294" w:rsidP="002D3055">
            <w:pPr>
              <w:cnfStyle w:val="000000000000"/>
            </w:pPr>
          </w:p>
        </w:tc>
        <w:tc>
          <w:tcPr>
            <w:tcW w:w="4253" w:type="dxa"/>
          </w:tcPr>
          <w:p w:rsidR="00C97294" w:rsidRPr="00816657" w:rsidRDefault="00C97294" w:rsidP="002D3055">
            <w:pPr>
              <w:cnfStyle w:val="000000000000"/>
            </w:pPr>
            <w:r w:rsidRPr="00816657">
              <w:t>Best estimate of annual rate of change + 10%</w:t>
            </w:r>
          </w:p>
        </w:tc>
        <w:tc>
          <w:tcPr>
            <w:tcW w:w="850" w:type="dxa"/>
          </w:tcPr>
          <w:p w:rsidR="00C97294" w:rsidRPr="00816657" w:rsidRDefault="00C97294" w:rsidP="00DF1E42">
            <w:pPr>
              <w:jc w:val="right"/>
              <w:cnfStyle w:val="000000000000"/>
            </w:pPr>
            <w:r w:rsidRPr="00816657">
              <w:t>-5.0%</w:t>
            </w:r>
          </w:p>
        </w:tc>
        <w:tc>
          <w:tcPr>
            <w:tcW w:w="709" w:type="dxa"/>
          </w:tcPr>
          <w:p w:rsidR="00C97294" w:rsidRPr="00816657" w:rsidRDefault="00C97294" w:rsidP="00DF1E42">
            <w:pPr>
              <w:jc w:val="right"/>
              <w:cnfStyle w:val="000000000000"/>
            </w:pPr>
            <w:r w:rsidRPr="00816657">
              <w:t>...</w:t>
            </w:r>
          </w:p>
        </w:tc>
        <w:tc>
          <w:tcPr>
            <w:tcW w:w="992" w:type="dxa"/>
          </w:tcPr>
          <w:p w:rsidR="00C97294" w:rsidRPr="00816657" w:rsidRDefault="00C97294" w:rsidP="00DF1E42">
            <w:pPr>
              <w:jc w:val="right"/>
              <w:cnfStyle w:val="000000000000"/>
            </w:pPr>
            <w:r w:rsidRPr="00816657">
              <w:t>-5.0%</w:t>
            </w:r>
          </w:p>
        </w:tc>
      </w:tr>
      <w:tr w:rsidR="00C97294" w:rsidRPr="00816657" w:rsidTr="00480ECE">
        <w:tc>
          <w:tcPr>
            <w:cnfStyle w:val="001000000000"/>
            <w:tcW w:w="709" w:type="dxa"/>
            <w:tcBorders>
              <w:bottom w:val="single" w:sz="12" w:space="0" w:color="auto"/>
            </w:tcBorders>
          </w:tcPr>
          <w:p w:rsidR="00C97294" w:rsidRPr="00816657" w:rsidRDefault="00C97294" w:rsidP="002D3055">
            <w:r w:rsidRPr="00816657">
              <w:t>Low</w:t>
            </w:r>
          </w:p>
        </w:tc>
        <w:tc>
          <w:tcPr>
            <w:tcW w:w="1134" w:type="dxa"/>
            <w:vMerge/>
            <w:tcBorders>
              <w:bottom w:val="single" w:sz="12" w:space="0" w:color="auto"/>
            </w:tcBorders>
            <w:vAlign w:val="center"/>
          </w:tcPr>
          <w:p w:rsidR="00C97294" w:rsidRPr="00816657" w:rsidRDefault="00C97294" w:rsidP="002D3055">
            <w:pPr>
              <w:cnfStyle w:val="000000000000"/>
            </w:pPr>
          </w:p>
        </w:tc>
        <w:tc>
          <w:tcPr>
            <w:tcW w:w="4253" w:type="dxa"/>
            <w:tcBorders>
              <w:bottom w:val="single" w:sz="12" w:space="0" w:color="auto"/>
            </w:tcBorders>
          </w:tcPr>
          <w:p w:rsidR="00C97294" w:rsidRPr="00816657" w:rsidRDefault="00C97294" w:rsidP="002D3055">
            <w:pPr>
              <w:cnfStyle w:val="000000000000"/>
            </w:pPr>
            <w:r w:rsidRPr="00816657">
              <w:t>Best estimate of annual rate of change - 5%</w:t>
            </w:r>
          </w:p>
        </w:tc>
        <w:tc>
          <w:tcPr>
            <w:tcW w:w="850" w:type="dxa"/>
            <w:tcBorders>
              <w:bottom w:val="single" w:sz="12" w:space="0" w:color="auto"/>
            </w:tcBorders>
          </w:tcPr>
          <w:p w:rsidR="00C97294" w:rsidRPr="00816657" w:rsidRDefault="00C97294" w:rsidP="00DF1E42">
            <w:pPr>
              <w:jc w:val="right"/>
              <w:cnfStyle w:val="000000000000"/>
            </w:pPr>
            <w:r w:rsidRPr="00816657">
              <w:t>-20.0%</w:t>
            </w:r>
          </w:p>
        </w:tc>
        <w:tc>
          <w:tcPr>
            <w:tcW w:w="709" w:type="dxa"/>
            <w:tcBorders>
              <w:bottom w:val="single" w:sz="12" w:space="0" w:color="auto"/>
            </w:tcBorders>
          </w:tcPr>
          <w:p w:rsidR="00C97294" w:rsidRPr="00816657" w:rsidRDefault="00C97294" w:rsidP="00DF1E42">
            <w:pPr>
              <w:jc w:val="right"/>
              <w:cnfStyle w:val="000000000000"/>
            </w:pPr>
            <w:r w:rsidRPr="00816657">
              <w:t>...</w:t>
            </w:r>
          </w:p>
        </w:tc>
        <w:tc>
          <w:tcPr>
            <w:tcW w:w="992" w:type="dxa"/>
            <w:tcBorders>
              <w:bottom w:val="single" w:sz="12" w:space="0" w:color="auto"/>
            </w:tcBorders>
          </w:tcPr>
          <w:p w:rsidR="00C97294" w:rsidRPr="00816657" w:rsidRDefault="00C97294" w:rsidP="00DF1E42">
            <w:pPr>
              <w:jc w:val="right"/>
              <w:cnfStyle w:val="000000000000"/>
            </w:pPr>
            <w:r w:rsidRPr="00816657">
              <w:t>-20.0%</w:t>
            </w:r>
          </w:p>
        </w:tc>
      </w:tr>
      <w:tr w:rsidR="00C97294" w:rsidRPr="00816657" w:rsidTr="00480ECE">
        <w:tc>
          <w:tcPr>
            <w:cnfStyle w:val="001000000000"/>
            <w:tcW w:w="709" w:type="dxa"/>
            <w:tcBorders>
              <w:top w:val="single" w:sz="12" w:space="0" w:color="auto"/>
            </w:tcBorders>
          </w:tcPr>
          <w:p w:rsidR="00C97294" w:rsidRPr="00816657" w:rsidRDefault="00C97294" w:rsidP="002D3055">
            <w:r w:rsidRPr="00816657">
              <w:t>Best</w:t>
            </w:r>
          </w:p>
        </w:tc>
        <w:tc>
          <w:tcPr>
            <w:tcW w:w="1134" w:type="dxa"/>
            <w:vMerge w:val="restart"/>
            <w:tcBorders>
              <w:top w:val="single" w:sz="12" w:space="0" w:color="auto"/>
            </w:tcBorders>
            <w:vAlign w:val="center"/>
          </w:tcPr>
          <w:p w:rsidR="00C97294" w:rsidRPr="00816657" w:rsidRDefault="00C97294" w:rsidP="002D3055">
            <w:pPr>
              <w:cnfStyle w:val="000000000000"/>
            </w:pPr>
            <w:r w:rsidRPr="00816657">
              <w:t>ACT, NSW, NT, Qld, SA, Tas, WA</w:t>
            </w:r>
          </w:p>
        </w:tc>
        <w:tc>
          <w:tcPr>
            <w:tcW w:w="4253" w:type="dxa"/>
            <w:tcBorders>
              <w:top w:val="single" w:sz="12" w:space="0" w:color="auto"/>
            </w:tcBorders>
          </w:tcPr>
          <w:p w:rsidR="00C97294" w:rsidRPr="00816657" w:rsidRDefault="00C97294" w:rsidP="002D3055">
            <w:pPr>
              <w:cnfStyle w:val="000000000000"/>
            </w:pPr>
            <w:r w:rsidRPr="00816657">
              <w:t>Population growth</w:t>
            </w:r>
          </w:p>
        </w:tc>
        <w:tc>
          <w:tcPr>
            <w:tcW w:w="850" w:type="dxa"/>
            <w:tcBorders>
              <w:top w:val="single" w:sz="12" w:space="0" w:color="auto"/>
            </w:tcBorders>
          </w:tcPr>
          <w:p w:rsidR="00C97294" w:rsidRPr="00816657" w:rsidRDefault="00C97294" w:rsidP="00DF1E42">
            <w:pPr>
              <w:jc w:val="right"/>
              <w:cnfStyle w:val="000000000000"/>
            </w:pPr>
            <w:r w:rsidRPr="00816657">
              <w:t>1.5%</w:t>
            </w:r>
          </w:p>
        </w:tc>
        <w:tc>
          <w:tcPr>
            <w:tcW w:w="709" w:type="dxa"/>
            <w:tcBorders>
              <w:top w:val="single" w:sz="12" w:space="0" w:color="auto"/>
            </w:tcBorders>
          </w:tcPr>
          <w:p w:rsidR="00C97294" w:rsidRPr="00816657" w:rsidRDefault="00C97294" w:rsidP="00DF1E42">
            <w:pPr>
              <w:jc w:val="right"/>
              <w:cnfStyle w:val="000000000000"/>
            </w:pPr>
            <w:r w:rsidRPr="00816657">
              <w:t>...</w:t>
            </w:r>
          </w:p>
        </w:tc>
        <w:tc>
          <w:tcPr>
            <w:tcW w:w="992" w:type="dxa"/>
            <w:tcBorders>
              <w:top w:val="single" w:sz="12" w:space="0" w:color="auto"/>
            </w:tcBorders>
          </w:tcPr>
          <w:p w:rsidR="00C97294" w:rsidRPr="00816657" w:rsidRDefault="00C97294" w:rsidP="00DF1E42">
            <w:pPr>
              <w:jc w:val="right"/>
              <w:cnfStyle w:val="000000000000"/>
            </w:pPr>
            <w:r w:rsidRPr="00816657">
              <w:t>1.5%</w:t>
            </w:r>
          </w:p>
        </w:tc>
      </w:tr>
      <w:tr w:rsidR="00C97294" w:rsidRPr="00816657" w:rsidTr="00480ECE">
        <w:tc>
          <w:tcPr>
            <w:cnfStyle w:val="001000000000"/>
            <w:tcW w:w="709" w:type="dxa"/>
          </w:tcPr>
          <w:p w:rsidR="00C97294" w:rsidRPr="00816657" w:rsidRDefault="00C97294" w:rsidP="002D3055">
            <w:r w:rsidRPr="00816657">
              <w:t>High</w:t>
            </w:r>
          </w:p>
        </w:tc>
        <w:tc>
          <w:tcPr>
            <w:tcW w:w="1134" w:type="dxa"/>
            <w:vMerge/>
          </w:tcPr>
          <w:p w:rsidR="00C97294" w:rsidRPr="00816657" w:rsidRDefault="00C97294" w:rsidP="002D3055">
            <w:pPr>
              <w:cnfStyle w:val="000000000000"/>
            </w:pPr>
          </w:p>
        </w:tc>
        <w:tc>
          <w:tcPr>
            <w:tcW w:w="4253" w:type="dxa"/>
          </w:tcPr>
          <w:p w:rsidR="00C97294" w:rsidRPr="00816657" w:rsidRDefault="00C97294" w:rsidP="002D3055">
            <w:pPr>
              <w:cnfStyle w:val="000000000000"/>
            </w:pPr>
            <w:r w:rsidRPr="00816657">
              <w:t>Best estimate of annual rate of change + 2%</w:t>
            </w:r>
          </w:p>
        </w:tc>
        <w:tc>
          <w:tcPr>
            <w:tcW w:w="850" w:type="dxa"/>
          </w:tcPr>
          <w:p w:rsidR="00C97294" w:rsidRPr="00816657" w:rsidRDefault="00C97294" w:rsidP="00DF1E42">
            <w:pPr>
              <w:jc w:val="right"/>
              <w:cnfStyle w:val="000000000000"/>
            </w:pPr>
            <w:r w:rsidRPr="00816657">
              <w:t>3.5%</w:t>
            </w:r>
          </w:p>
        </w:tc>
        <w:tc>
          <w:tcPr>
            <w:tcW w:w="709" w:type="dxa"/>
          </w:tcPr>
          <w:p w:rsidR="00C97294" w:rsidRPr="00816657" w:rsidRDefault="00C97294" w:rsidP="00DF1E42">
            <w:pPr>
              <w:jc w:val="right"/>
              <w:cnfStyle w:val="000000000000"/>
            </w:pPr>
            <w:r w:rsidRPr="00816657">
              <w:t>...</w:t>
            </w:r>
          </w:p>
        </w:tc>
        <w:tc>
          <w:tcPr>
            <w:tcW w:w="992" w:type="dxa"/>
          </w:tcPr>
          <w:p w:rsidR="00C97294" w:rsidRPr="00816657" w:rsidRDefault="00C97294" w:rsidP="00DF1E42">
            <w:pPr>
              <w:jc w:val="right"/>
              <w:cnfStyle w:val="000000000000"/>
            </w:pPr>
            <w:r w:rsidRPr="00816657">
              <w:t>3.5%</w:t>
            </w:r>
          </w:p>
        </w:tc>
      </w:tr>
      <w:tr w:rsidR="00C97294" w:rsidRPr="00816657" w:rsidTr="00480ECE">
        <w:tc>
          <w:tcPr>
            <w:cnfStyle w:val="001000000000"/>
            <w:tcW w:w="709" w:type="dxa"/>
          </w:tcPr>
          <w:p w:rsidR="00C97294" w:rsidRPr="00816657" w:rsidRDefault="00C97294" w:rsidP="002D3055">
            <w:r w:rsidRPr="00816657">
              <w:t>Low</w:t>
            </w:r>
          </w:p>
        </w:tc>
        <w:tc>
          <w:tcPr>
            <w:tcW w:w="1134" w:type="dxa"/>
            <w:vMerge/>
          </w:tcPr>
          <w:p w:rsidR="00C97294" w:rsidRPr="00816657" w:rsidRDefault="00C97294" w:rsidP="002D3055">
            <w:pPr>
              <w:cnfStyle w:val="000000000000"/>
            </w:pPr>
          </w:p>
        </w:tc>
        <w:tc>
          <w:tcPr>
            <w:tcW w:w="4253" w:type="dxa"/>
          </w:tcPr>
          <w:p w:rsidR="00C97294" w:rsidRPr="00816657" w:rsidRDefault="00C97294" w:rsidP="002D3055">
            <w:pPr>
              <w:cnfStyle w:val="000000000000"/>
            </w:pPr>
            <w:r w:rsidRPr="00816657">
              <w:t>Best estimate of annual rate of change - 2%</w:t>
            </w:r>
          </w:p>
        </w:tc>
        <w:tc>
          <w:tcPr>
            <w:tcW w:w="850" w:type="dxa"/>
          </w:tcPr>
          <w:p w:rsidR="00C97294" w:rsidRPr="00816657" w:rsidRDefault="00C97294" w:rsidP="00DF1E42">
            <w:pPr>
              <w:jc w:val="right"/>
              <w:cnfStyle w:val="000000000000"/>
            </w:pPr>
            <w:r w:rsidRPr="00816657">
              <w:t>-0.5%</w:t>
            </w:r>
          </w:p>
        </w:tc>
        <w:tc>
          <w:tcPr>
            <w:tcW w:w="709" w:type="dxa"/>
          </w:tcPr>
          <w:p w:rsidR="00C97294" w:rsidRPr="00816657" w:rsidRDefault="00C97294" w:rsidP="00DF1E42">
            <w:pPr>
              <w:jc w:val="right"/>
              <w:cnfStyle w:val="000000000000"/>
            </w:pPr>
            <w:r w:rsidRPr="00816657">
              <w:t>...</w:t>
            </w:r>
          </w:p>
        </w:tc>
        <w:tc>
          <w:tcPr>
            <w:tcW w:w="992" w:type="dxa"/>
          </w:tcPr>
          <w:p w:rsidR="00C97294" w:rsidRPr="00816657" w:rsidRDefault="00C97294" w:rsidP="00DF1E42">
            <w:pPr>
              <w:jc w:val="right"/>
              <w:cnfStyle w:val="000000000000"/>
            </w:pPr>
            <w:r w:rsidRPr="00816657">
              <w:t>-0.5%</w:t>
            </w:r>
          </w:p>
        </w:tc>
      </w:tr>
    </w:tbl>
    <w:p w:rsidR="002D3055" w:rsidRPr="00816657" w:rsidRDefault="002D3055" w:rsidP="00376588">
      <w:pPr>
        <w:pStyle w:val="BodyText"/>
      </w:pPr>
    </w:p>
    <w:p w:rsidR="00607B3E" w:rsidRPr="00816657" w:rsidRDefault="00607B3E" w:rsidP="00655F62">
      <w:pPr>
        <w:pStyle w:val="Figures"/>
      </w:pPr>
      <w:bookmarkStart w:id="182" w:name="_Toc425849250"/>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32</w:t>
      </w:r>
      <w:r w:rsidR="006D07F5" w:rsidRPr="00816657">
        <w:rPr>
          <w:noProof/>
        </w:rPr>
        <w:fldChar w:fldCharType="end"/>
      </w:r>
      <w:r w:rsidRPr="00816657">
        <w:t xml:space="preserve">: </w:t>
      </w:r>
      <w:r w:rsidRPr="00816657">
        <w:tab/>
        <w:t>Best, high and low national projection estimates of other miscellaneous waste to 2034</w:t>
      </w:r>
      <w:bookmarkEnd w:id="182"/>
    </w:p>
    <w:p w:rsidR="00C97294" w:rsidRPr="00816657" w:rsidRDefault="00C05ED6">
      <w:pPr>
        <w:spacing w:line="240" w:lineRule="auto"/>
      </w:pPr>
      <w:r w:rsidRPr="00C05ED6">
        <w:rPr>
          <w:noProof/>
          <w:lang w:eastAsia="en-AU"/>
        </w:rPr>
        <w:drawing>
          <wp:inline distT="0" distB="0" distL="0" distR="0">
            <wp:extent cx="5314286" cy="2200000"/>
            <wp:effectExtent l="0" t="0" r="127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5314286" cy="2200000"/>
                    </a:xfrm>
                    <a:prstGeom prst="rect">
                      <a:avLst/>
                    </a:prstGeom>
                  </pic:spPr>
                </pic:pic>
              </a:graphicData>
            </a:graphic>
          </wp:inline>
        </w:drawing>
      </w:r>
    </w:p>
    <w:p w:rsidR="00C97294" w:rsidRPr="00816657" w:rsidRDefault="00C97294">
      <w:pPr>
        <w:spacing w:line="240" w:lineRule="auto"/>
      </w:pPr>
    </w:p>
    <w:p w:rsidR="00C97294" w:rsidRPr="00816657" w:rsidRDefault="00C97294">
      <w:pPr>
        <w:spacing w:line="240" w:lineRule="auto"/>
      </w:pPr>
    </w:p>
    <w:p w:rsidR="00C97294" w:rsidRPr="00816657" w:rsidRDefault="00C97294">
      <w:pPr>
        <w:spacing w:line="240" w:lineRule="auto"/>
      </w:pPr>
    </w:p>
    <w:p w:rsidR="00C97294" w:rsidRPr="00816657" w:rsidRDefault="00C97294">
      <w:pPr>
        <w:spacing w:line="240" w:lineRule="auto"/>
      </w:pPr>
    </w:p>
    <w:p w:rsidR="00C97294" w:rsidRPr="00816657" w:rsidRDefault="002D3055">
      <w:pPr>
        <w:spacing w:line="240" w:lineRule="auto"/>
        <w:sectPr w:rsidR="00C97294" w:rsidRPr="00816657" w:rsidSect="005E3D0E">
          <w:headerReference w:type="even" r:id="rId123"/>
          <w:headerReference w:type="default" r:id="rId124"/>
          <w:footerReference w:type="even" r:id="rId125"/>
          <w:footerReference w:type="default" r:id="rId126"/>
          <w:headerReference w:type="first" r:id="rId127"/>
          <w:footerReference w:type="first" r:id="rId128"/>
          <w:pgSz w:w="11907" w:h="16840" w:code="9"/>
          <w:pgMar w:top="1418" w:right="1077" w:bottom="1417" w:left="1304" w:header="709" w:footer="709" w:gutter="0"/>
          <w:cols w:space="708"/>
          <w:docGrid w:linePitch="360"/>
        </w:sectPr>
      </w:pPr>
      <w:r w:rsidRPr="00816657">
        <w:br w:type="page"/>
      </w:r>
    </w:p>
    <w:p w:rsidR="00607B3E" w:rsidRPr="00816657" w:rsidRDefault="00607B3E" w:rsidP="0093164B">
      <w:pPr>
        <w:pStyle w:val="Heading3"/>
      </w:pPr>
      <w:r w:rsidRPr="00816657">
        <w:lastRenderedPageBreak/>
        <w:t>Lithium</w:t>
      </w:r>
      <w:r w:rsidR="00A22992" w:rsidRPr="00816657">
        <w:t>-</w:t>
      </w:r>
      <w:r w:rsidRPr="00816657">
        <w:t>ion batteries</w:t>
      </w:r>
      <w:r w:rsidR="00FE57FF" w:rsidRPr="00816657">
        <w:t xml:space="preserve"> (not regulated as hazardous waste)</w:t>
      </w:r>
    </w:p>
    <w:p w:rsidR="00FE57FF" w:rsidRPr="00816657" w:rsidRDefault="00A22992" w:rsidP="00FE57FF">
      <w:pPr>
        <w:pStyle w:val="BodyText"/>
      </w:pPr>
      <w:r w:rsidRPr="00816657">
        <w:t>Although</w:t>
      </w:r>
      <w:r w:rsidR="00FE57FF" w:rsidRPr="00816657">
        <w:t xml:space="preserve"> lithium</w:t>
      </w:r>
      <w:r w:rsidRPr="00816657">
        <w:t>-</w:t>
      </w:r>
      <w:r w:rsidR="00FE57FF" w:rsidRPr="00816657">
        <w:t>ion batteries are not regulated as hazardous waste</w:t>
      </w:r>
      <w:r w:rsidRPr="00816657">
        <w:t xml:space="preserve">, they are </w:t>
      </w:r>
      <w:r w:rsidR="00FE57FF" w:rsidRPr="00816657">
        <w:t>assessed in this report because of the</w:t>
      </w:r>
      <w:r w:rsidRPr="00816657">
        <w:t>ir</w:t>
      </w:r>
      <w:r w:rsidR="00FE57FF" w:rsidRPr="00816657">
        <w:t xml:space="preserve"> potential to have a significant impact on hazardous waste infrastructure.</w:t>
      </w:r>
      <w:r w:rsidR="00803950">
        <w:t xml:space="preserve"> Lithium-ion battery </w:t>
      </w:r>
      <w:proofErr w:type="gramStart"/>
      <w:r w:rsidR="00803950">
        <w:t>use has been increasing strongly and</w:t>
      </w:r>
      <w:r w:rsidR="00A6715A">
        <w:t>,</w:t>
      </w:r>
      <w:r w:rsidR="00803950">
        <w:t xml:space="preserve"> if not appropriately managed</w:t>
      </w:r>
      <w:r w:rsidR="00A6715A">
        <w:t>, represent</w:t>
      </w:r>
      <w:proofErr w:type="gramEnd"/>
      <w:r w:rsidR="00803950">
        <w:t xml:space="preserve"> a safety hazard due to risks of causing explosions and or fire</w:t>
      </w:r>
      <w:r w:rsidR="00FE57FF" w:rsidRPr="00816657">
        <w:t xml:space="preserve"> </w:t>
      </w:r>
      <w:r w:rsidR="00803950">
        <w:t>(</w:t>
      </w:r>
      <w:r w:rsidR="00803950">
        <w:rPr>
          <w:rFonts w:asciiTheme="minorHAnsi" w:hAnsiTheme="minorHAnsi" w:cs="Times New Roman"/>
          <w:color w:val="auto"/>
          <w:lang w:eastAsia="en-AU"/>
        </w:rPr>
        <w:t xml:space="preserve">ABRI </w:t>
      </w:r>
      <w:r w:rsidR="00803950" w:rsidRPr="00816657">
        <w:rPr>
          <w:rFonts w:asciiTheme="minorHAnsi" w:hAnsiTheme="minorHAnsi" w:cs="Times New Roman"/>
          <w:color w:val="auto"/>
          <w:lang w:eastAsia="en-AU"/>
        </w:rPr>
        <w:t>2014</w:t>
      </w:r>
      <w:r w:rsidR="00803950">
        <w:rPr>
          <w:rFonts w:asciiTheme="minorHAnsi" w:hAnsiTheme="minorHAnsi" w:cs="Times New Roman"/>
          <w:color w:val="auto"/>
          <w:lang w:eastAsia="en-AU"/>
        </w:rPr>
        <w:t>).</w:t>
      </w:r>
      <w:r w:rsidR="00B205F8">
        <w:rPr>
          <w:rFonts w:asciiTheme="minorHAnsi" w:hAnsiTheme="minorHAnsi" w:cs="Times New Roman"/>
          <w:color w:val="auto"/>
          <w:lang w:eastAsia="en-AU"/>
        </w:rPr>
        <w:t xml:space="preserve"> </w:t>
      </w:r>
      <w:r w:rsidR="006719D9" w:rsidRPr="007F5BD4">
        <w:rPr>
          <w:rFonts w:asciiTheme="minorHAnsi" w:hAnsiTheme="minorHAnsi" w:cs="Times New Roman"/>
          <w:b/>
          <w:color w:val="auto"/>
          <w:lang w:eastAsia="en-AU"/>
        </w:rPr>
        <w:t>Review</w:t>
      </w:r>
      <w:r w:rsidR="006719D9">
        <w:rPr>
          <w:rFonts w:asciiTheme="minorHAnsi" w:hAnsiTheme="minorHAnsi" w:cs="Times New Roman"/>
          <w:b/>
          <w:color w:val="auto"/>
          <w:lang w:eastAsia="en-AU"/>
        </w:rPr>
        <w:t xml:space="preserve"> Appendix</w:t>
      </w:r>
      <w:r w:rsidR="006719D9" w:rsidRPr="007F5BD4">
        <w:rPr>
          <w:rFonts w:asciiTheme="minorHAnsi" w:hAnsiTheme="minorHAnsi" w:cs="Times New Roman"/>
          <w:b/>
          <w:color w:val="auto"/>
          <w:lang w:eastAsia="en-AU"/>
        </w:rPr>
        <w:t xml:space="preserve"> </w:t>
      </w:r>
      <w:fldSimple w:instr=" REF _Ref408390300 \r \h  \* MERGEFORMAT ">
        <w:r w:rsidR="002F3000">
          <w:rPr>
            <w:rFonts w:asciiTheme="minorHAnsi" w:hAnsiTheme="minorHAnsi" w:cs="Times New Roman"/>
            <w:b/>
            <w:color w:val="auto"/>
            <w:lang w:eastAsia="en-AU"/>
          </w:rPr>
          <w:t>A.7</w:t>
        </w:r>
      </w:fldSimple>
      <w:r w:rsidR="00B205F8">
        <w:rPr>
          <w:rFonts w:asciiTheme="minorHAnsi" w:hAnsiTheme="minorHAnsi" w:cs="Times New Roman"/>
          <w:color w:val="auto"/>
          <w:lang w:eastAsia="en-AU"/>
        </w:rPr>
        <w:t xml:space="preserve"> for more discussion of </w:t>
      </w:r>
      <w:r w:rsidR="00A6715A">
        <w:rPr>
          <w:rFonts w:asciiTheme="minorHAnsi" w:hAnsiTheme="minorHAnsi" w:cs="Times New Roman"/>
          <w:color w:val="auto"/>
          <w:lang w:eastAsia="en-AU"/>
        </w:rPr>
        <w:t>lithium</w:t>
      </w:r>
      <w:r w:rsidR="00B205F8">
        <w:rPr>
          <w:rFonts w:asciiTheme="minorHAnsi" w:hAnsiTheme="minorHAnsi" w:cs="Times New Roman"/>
          <w:color w:val="auto"/>
          <w:lang w:eastAsia="en-AU"/>
        </w:rPr>
        <w:t>-ion projection assumptions.</w:t>
      </w:r>
    </w:p>
    <w:p w:rsidR="00FE57FF" w:rsidRPr="00816657" w:rsidRDefault="00FE57FF" w:rsidP="00FE57FF">
      <w:pPr>
        <w:pStyle w:val="BodyText"/>
      </w:pPr>
    </w:p>
    <w:p w:rsidR="00C97294" w:rsidRPr="00816657" w:rsidRDefault="00C97294" w:rsidP="00C97294">
      <w:pPr>
        <w:pStyle w:val="BodyText"/>
        <w:rPr>
          <w:b/>
        </w:rPr>
      </w:pPr>
      <w:r w:rsidRPr="00FA10FC">
        <w:rPr>
          <w:b/>
          <w:color w:val="0000FF" w:themeColor="text2"/>
        </w:rPr>
        <w:t>Summary analysis</w:t>
      </w:r>
    </w:p>
    <w:tbl>
      <w:tblPr>
        <w:tblStyle w:val="BETable11"/>
        <w:tblW w:w="4990" w:type="pct"/>
        <w:tblInd w:w="0" w:type="dxa"/>
        <w:tblBorders>
          <w:insideH w:val="none" w:sz="0" w:space="0" w:color="auto"/>
          <w:insideV w:val="single" w:sz="4" w:space="0" w:color="7F7F7F" w:themeColor="background2"/>
        </w:tblBorders>
        <w:tblLook w:val="04A0"/>
      </w:tblPr>
      <w:tblGrid>
        <w:gridCol w:w="9838"/>
        <w:gridCol w:w="3119"/>
        <w:gridCol w:w="1700"/>
      </w:tblGrid>
      <w:tr w:rsidR="00A22992" w:rsidRPr="00816657" w:rsidTr="00A22992">
        <w:trPr>
          <w:cnfStyle w:val="100000000000"/>
        </w:trPr>
        <w:tc>
          <w:tcPr>
            <w:cnfStyle w:val="001000000000"/>
            <w:tcW w:w="3356" w:type="pct"/>
            <w:tcBorders>
              <w:bottom w:val="single" w:sz="4" w:space="0" w:color="7F7F7F" w:themeColor="background2"/>
            </w:tcBorders>
          </w:tcPr>
          <w:p w:rsidR="00A22992" w:rsidRPr="00816657" w:rsidRDefault="00A22992" w:rsidP="0020737E">
            <w:pPr>
              <w:pStyle w:val="BodyText"/>
              <w:rPr>
                <w:sz w:val="20"/>
                <w:szCs w:val="20"/>
              </w:rPr>
            </w:pPr>
            <w:r w:rsidRPr="00816657">
              <w:rPr>
                <w:sz w:val="20"/>
                <w:szCs w:val="20"/>
              </w:rPr>
              <w:t>Considerations</w:t>
            </w:r>
          </w:p>
        </w:tc>
        <w:tc>
          <w:tcPr>
            <w:tcW w:w="1064" w:type="pct"/>
            <w:tcBorders>
              <w:bottom w:val="single" w:sz="4" w:space="0" w:color="7F7F7F" w:themeColor="background2"/>
            </w:tcBorders>
          </w:tcPr>
          <w:p w:rsidR="00A22992" w:rsidRPr="00816657" w:rsidRDefault="00A22992" w:rsidP="0020737E">
            <w:pPr>
              <w:pStyle w:val="BodyText"/>
              <w:cnfStyle w:val="100000000000"/>
              <w:rPr>
                <w:sz w:val="20"/>
                <w:szCs w:val="20"/>
              </w:rPr>
            </w:pPr>
            <w:r w:rsidRPr="00816657">
              <w:rPr>
                <w:sz w:val="20"/>
                <w:szCs w:val="20"/>
              </w:rPr>
              <w:t>Comments</w:t>
            </w:r>
          </w:p>
        </w:tc>
        <w:tc>
          <w:tcPr>
            <w:tcW w:w="580" w:type="pct"/>
            <w:tcBorders>
              <w:bottom w:val="single" w:sz="4" w:space="0" w:color="7F7F7F" w:themeColor="background2"/>
            </w:tcBorders>
          </w:tcPr>
          <w:p w:rsidR="00A22992" w:rsidRPr="00816657" w:rsidRDefault="00A22992" w:rsidP="0020737E">
            <w:pPr>
              <w:pStyle w:val="BodyText"/>
              <w:cnfStyle w:val="100000000000"/>
              <w:rPr>
                <w:sz w:val="20"/>
                <w:szCs w:val="20"/>
              </w:rPr>
            </w:pPr>
            <w:r w:rsidRPr="00816657">
              <w:rPr>
                <w:sz w:val="20"/>
                <w:szCs w:val="20"/>
              </w:rPr>
              <w:t>Approach</w:t>
            </w:r>
          </w:p>
        </w:tc>
      </w:tr>
      <w:tr w:rsidR="00A22992" w:rsidRPr="00816657" w:rsidTr="00A22992">
        <w:tc>
          <w:tcPr>
            <w:cnfStyle w:val="001000000000"/>
            <w:tcW w:w="3356" w:type="pct"/>
            <w:tcBorders>
              <w:top w:val="single" w:sz="4" w:space="0" w:color="7F7F7F" w:themeColor="background2"/>
            </w:tcBorders>
          </w:tcPr>
          <w:p w:rsidR="00A22992" w:rsidRPr="00B205F8" w:rsidRDefault="00A22992" w:rsidP="00A22992">
            <w:pPr>
              <w:pStyle w:val="BodyText"/>
              <w:rPr>
                <w:sz w:val="20"/>
                <w:szCs w:val="20"/>
              </w:rPr>
            </w:pPr>
            <w:r w:rsidRPr="00B205F8">
              <w:rPr>
                <w:sz w:val="20"/>
                <w:szCs w:val="20"/>
              </w:rPr>
              <w:t xml:space="preserve">Projections for lithium-ion batteries are considered for three differing sizes: </w:t>
            </w:r>
          </w:p>
          <w:p w:rsidR="00A22992" w:rsidRPr="007F5BD4" w:rsidRDefault="00A22992" w:rsidP="00A22992">
            <w:pPr>
              <w:pStyle w:val="BodyText"/>
              <w:numPr>
                <w:ilvl w:val="0"/>
                <w:numId w:val="31"/>
              </w:numPr>
              <w:rPr>
                <w:rFonts w:cs="Times New Roman"/>
                <w:color w:val="000000"/>
                <w:sz w:val="20"/>
                <w:szCs w:val="20"/>
                <w:lang w:eastAsia="en-AU"/>
              </w:rPr>
            </w:pPr>
            <w:r w:rsidRPr="00B205F8">
              <w:rPr>
                <w:sz w:val="20"/>
                <w:szCs w:val="20"/>
              </w:rPr>
              <w:t>h</w:t>
            </w:r>
            <w:r w:rsidRPr="007F5BD4">
              <w:rPr>
                <w:rFonts w:cs="Times New Roman"/>
                <w:color w:val="000000"/>
                <w:sz w:val="20"/>
                <w:szCs w:val="20"/>
                <w:lang w:eastAsia="en-AU"/>
              </w:rPr>
              <w:t>andheld batteries</w:t>
            </w:r>
          </w:p>
          <w:p w:rsidR="00A22992" w:rsidRPr="007F5BD4" w:rsidRDefault="00A22992" w:rsidP="00A22992">
            <w:pPr>
              <w:pStyle w:val="BodyText"/>
              <w:numPr>
                <w:ilvl w:val="0"/>
                <w:numId w:val="31"/>
              </w:numPr>
              <w:rPr>
                <w:rFonts w:cs="Times New Roman"/>
                <w:color w:val="000000"/>
                <w:sz w:val="20"/>
                <w:szCs w:val="20"/>
                <w:lang w:eastAsia="en-AU"/>
              </w:rPr>
            </w:pPr>
            <w:r w:rsidRPr="007F5BD4">
              <w:rPr>
                <w:rFonts w:cs="Times New Roman"/>
                <w:color w:val="000000"/>
                <w:sz w:val="20"/>
                <w:szCs w:val="20"/>
                <w:lang w:eastAsia="en-AU"/>
              </w:rPr>
              <w:t>automotive batteries</w:t>
            </w:r>
          </w:p>
          <w:p w:rsidR="00A22992" w:rsidRPr="00B205F8" w:rsidRDefault="00A22992" w:rsidP="00A22992">
            <w:pPr>
              <w:pStyle w:val="BodyText"/>
              <w:numPr>
                <w:ilvl w:val="0"/>
                <w:numId w:val="31"/>
              </w:numPr>
              <w:rPr>
                <w:sz w:val="20"/>
                <w:szCs w:val="20"/>
              </w:rPr>
            </w:pPr>
            <w:proofErr w:type="gramStart"/>
            <w:r w:rsidRPr="007F5BD4">
              <w:rPr>
                <w:rFonts w:cs="Times New Roman"/>
                <w:color w:val="000000"/>
                <w:sz w:val="20"/>
                <w:szCs w:val="20"/>
                <w:lang w:eastAsia="en-AU"/>
              </w:rPr>
              <w:t>large</w:t>
            </w:r>
            <w:proofErr w:type="gramEnd"/>
            <w:r w:rsidRPr="007F5BD4">
              <w:rPr>
                <w:rFonts w:cs="Times New Roman"/>
                <w:color w:val="000000"/>
                <w:sz w:val="20"/>
                <w:szCs w:val="20"/>
                <w:lang w:eastAsia="en-AU"/>
              </w:rPr>
              <w:t xml:space="preserve"> and industrial batteries.</w:t>
            </w:r>
          </w:p>
        </w:tc>
        <w:tc>
          <w:tcPr>
            <w:tcW w:w="1064" w:type="pct"/>
            <w:vMerge w:val="restart"/>
            <w:tcBorders>
              <w:top w:val="single" w:sz="4" w:space="0" w:color="7F7F7F" w:themeColor="background2"/>
            </w:tcBorders>
          </w:tcPr>
          <w:p w:rsidR="00A22992" w:rsidRPr="00816657" w:rsidRDefault="00A22992" w:rsidP="00E826CF">
            <w:pPr>
              <w:pStyle w:val="BodyText"/>
              <w:cnfStyle w:val="000000000000"/>
              <w:rPr>
                <w:sz w:val="20"/>
                <w:szCs w:val="20"/>
              </w:rPr>
            </w:pPr>
            <w:r w:rsidRPr="00816657">
              <w:rPr>
                <w:sz w:val="20"/>
                <w:szCs w:val="20"/>
              </w:rPr>
              <w:t>Sales of rechargeable lithium-ion batteries account for about 24% of all batteries by weight and 7% by unit. They have grown strongly since 2003–04, and are forecast to continue to do so as they enable new applications and replace other chemistries in existing applications (NC &amp; SRU 2014).</w:t>
            </w:r>
          </w:p>
        </w:tc>
        <w:tc>
          <w:tcPr>
            <w:tcW w:w="580" w:type="pct"/>
            <w:vMerge w:val="restart"/>
            <w:tcBorders>
              <w:top w:val="single" w:sz="4" w:space="0" w:color="7F7F7F" w:themeColor="background2"/>
            </w:tcBorders>
          </w:tcPr>
          <w:p w:rsidR="00A22992" w:rsidRPr="00803950" w:rsidRDefault="00A22992" w:rsidP="0020737E">
            <w:pPr>
              <w:pStyle w:val="BodyText"/>
              <w:cnfStyle w:val="000000000000"/>
              <w:rPr>
                <w:sz w:val="20"/>
                <w:szCs w:val="20"/>
              </w:rPr>
            </w:pPr>
            <w:r w:rsidRPr="00803950">
              <w:rPr>
                <w:rFonts w:cs="Times New Roman"/>
                <w:color w:val="000000"/>
                <w:sz w:val="20"/>
                <w:szCs w:val="20"/>
                <w:lang w:eastAsia="en-AU"/>
              </w:rPr>
              <w:t xml:space="preserve">Use judgement - trend and causal analysis. </w:t>
            </w:r>
            <w:r w:rsidRPr="007F5BD4">
              <w:rPr>
                <w:sz w:val="20"/>
                <w:szCs w:val="20"/>
              </w:rPr>
              <w:t>Apply different approach to each battery categories as applicable</w:t>
            </w:r>
          </w:p>
        </w:tc>
      </w:tr>
      <w:tr w:rsidR="00A22992" w:rsidRPr="00816657" w:rsidTr="00A22992">
        <w:tc>
          <w:tcPr>
            <w:cnfStyle w:val="001000000000"/>
            <w:tcW w:w="3356" w:type="pct"/>
          </w:tcPr>
          <w:p w:rsidR="00A22992" w:rsidRPr="00B205F8" w:rsidRDefault="00A22992" w:rsidP="00A22992">
            <w:pPr>
              <w:pStyle w:val="BodyText"/>
              <w:numPr>
                <w:ilvl w:val="0"/>
                <w:numId w:val="31"/>
              </w:numPr>
              <w:rPr>
                <w:sz w:val="20"/>
                <w:szCs w:val="20"/>
              </w:rPr>
            </w:pPr>
            <w:r w:rsidRPr="00B205F8">
              <w:rPr>
                <w:sz w:val="20"/>
                <w:szCs w:val="20"/>
              </w:rPr>
              <w:t xml:space="preserve">NC &amp; SRU (2014) recently completed a report that focused on stocks and flows of handheld batteries of 5 kilograms or less. </w:t>
            </w:r>
          </w:p>
          <w:p w:rsidR="00A22992" w:rsidRPr="00B205F8" w:rsidRDefault="00A22992" w:rsidP="00A22992">
            <w:pPr>
              <w:pStyle w:val="BodyText"/>
              <w:numPr>
                <w:ilvl w:val="0"/>
                <w:numId w:val="31"/>
              </w:numPr>
              <w:rPr>
                <w:sz w:val="20"/>
                <w:szCs w:val="20"/>
              </w:rPr>
            </w:pPr>
            <w:r w:rsidRPr="00B205F8">
              <w:rPr>
                <w:sz w:val="20"/>
                <w:szCs w:val="20"/>
              </w:rPr>
              <w:t>Automotive batteries - Baylis (2012) provides analysis of global lithium consumption and also provides global projections of the number of electric vehicles that will be sold.</w:t>
            </w:r>
          </w:p>
          <w:p w:rsidR="00A22992" w:rsidRPr="00B205F8" w:rsidRDefault="00A22992" w:rsidP="00A22992">
            <w:pPr>
              <w:pStyle w:val="BodyText"/>
              <w:numPr>
                <w:ilvl w:val="0"/>
                <w:numId w:val="31"/>
              </w:numPr>
              <w:rPr>
                <w:sz w:val="20"/>
                <w:szCs w:val="20"/>
              </w:rPr>
            </w:pPr>
            <w:r w:rsidRPr="00B205F8">
              <w:rPr>
                <w:sz w:val="20"/>
                <w:szCs w:val="20"/>
              </w:rPr>
              <w:t>Large and industrial batteries - Baylis 2012 provides analysis of global lithium consumption and also provides estimates of global projections of the amounts of grid storage from lithium-ion batteries. MHC (2012) provides the content and charts that support the Baylis 2012 analysis of increasing lithium-ion grid battery storage.</w:t>
            </w:r>
          </w:p>
        </w:tc>
        <w:tc>
          <w:tcPr>
            <w:tcW w:w="1064" w:type="pct"/>
            <w:vMerge/>
          </w:tcPr>
          <w:p w:rsidR="00A22992" w:rsidRPr="00816657" w:rsidRDefault="00A22992" w:rsidP="0020737E">
            <w:pPr>
              <w:pStyle w:val="BodyText"/>
              <w:cnfStyle w:val="000000000000"/>
              <w:rPr>
                <w:sz w:val="20"/>
                <w:szCs w:val="20"/>
              </w:rPr>
            </w:pPr>
          </w:p>
        </w:tc>
        <w:tc>
          <w:tcPr>
            <w:tcW w:w="580" w:type="pct"/>
            <w:vMerge/>
          </w:tcPr>
          <w:p w:rsidR="00A22992" w:rsidRPr="00816657" w:rsidRDefault="00A22992" w:rsidP="0020737E">
            <w:pPr>
              <w:spacing w:line="240" w:lineRule="auto"/>
              <w:cnfStyle w:val="000000000000"/>
              <w:rPr>
                <w:color w:val="080808"/>
                <w:szCs w:val="20"/>
              </w:rPr>
            </w:pPr>
          </w:p>
        </w:tc>
      </w:tr>
    </w:tbl>
    <w:p w:rsidR="00A22992" w:rsidRPr="00816657" w:rsidRDefault="00A22992" w:rsidP="00A22992">
      <w:pPr>
        <w:pStyle w:val="BodyText"/>
      </w:pPr>
    </w:p>
    <w:p w:rsidR="00376588" w:rsidRPr="00816657" w:rsidRDefault="00A042CA" w:rsidP="00655F62">
      <w:pPr>
        <w:pStyle w:val="Figures"/>
      </w:pPr>
      <w:bookmarkStart w:id="183" w:name="_Toc425849325"/>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40</w:t>
      </w:r>
      <w:r w:rsidR="006D07F5" w:rsidRPr="00816657">
        <w:rPr>
          <w:noProof/>
        </w:rPr>
        <w:fldChar w:fldCharType="end"/>
      </w:r>
      <w:r w:rsidRPr="00816657">
        <w:t xml:space="preserve">: </w:t>
      </w:r>
      <w:r w:rsidRPr="00816657">
        <w:tab/>
        <w:t xml:space="preserve">Approaches used to project </w:t>
      </w:r>
      <w:r w:rsidR="00A22992" w:rsidRPr="00816657">
        <w:t>lithium-ion</w:t>
      </w:r>
      <w:r w:rsidRPr="00816657">
        <w:t xml:space="preserve"> battery waste for different battery types</w:t>
      </w:r>
      <w:bookmarkEnd w:id="183"/>
    </w:p>
    <w:tbl>
      <w:tblPr>
        <w:tblStyle w:val="BETable1"/>
        <w:tblW w:w="15451" w:type="dxa"/>
        <w:tblInd w:w="-429" w:type="dxa"/>
        <w:tblLayout w:type="fixed"/>
        <w:tblCellMar>
          <w:top w:w="0" w:type="dxa"/>
          <w:bottom w:w="0" w:type="dxa"/>
        </w:tblCellMar>
        <w:tblLook w:val="04A0"/>
      </w:tblPr>
      <w:tblGrid>
        <w:gridCol w:w="851"/>
        <w:gridCol w:w="14600"/>
      </w:tblGrid>
      <w:tr w:rsidR="000E3F9D" w:rsidRPr="00816657" w:rsidTr="00A22992">
        <w:trPr>
          <w:cnfStyle w:val="100000000000"/>
        </w:trPr>
        <w:tc>
          <w:tcPr>
            <w:cnfStyle w:val="001000000000"/>
            <w:tcW w:w="851" w:type="dxa"/>
          </w:tcPr>
          <w:p w:rsidR="000E3F9D" w:rsidRPr="00816657" w:rsidRDefault="000E3F9D" w:rsidP="00520EDF"/>
        </w:tc>
        <w:tc>
          <w:tcPr>
            <w:tcW w:w="14600" w:type="dxa"/>
          </w:tcPr>
          <w:p w:rsidR="000E3F9D" w:rsidRPr="00816657" w:rsidRDefault="000E3F9D" w:rsidP="00520EDF">
            <w:pPr>
              <w:cnfStyle w:val="100000000000"/>
            </w:pPr>
            <w:r w:rsidRPr="00816657">
              <w:t>Approach used</w:t>
            </w:r>
          </w:p>
        </w:tc>
      </w:tr>
      <w:tr w:rsidR="000E3F9D" w:rsidRPr="00816657" w:rsidTr="00A22992">
        <w:tc>
          <w:tcPr>
            <w:cnfStyle w:val="001000000000"/>
            <w:tcW w:w="15451" w:type="dxa"/>
            <w:gridSpan w:val="2"/>
          </w:tcPr>
          <w:p w:rsidR="000E3F9D" w:rsidRPr="00816657" w:rsidRDefault="000E3F9D" w:rsidP="00520EDF">
            <w:r w:rsidRPr="00816657">
              <w:rPr>
                <w:b/>
              </w:rPr>
              <w:t>Handheld batteries</w:t>
            </w:r>
          </w:p>
        </w:tc>
      </w:tr>
      <w:tr w:rsidR="000E3F9D" w:rsidRPr="00816657" w:rsidTr="00A22992">
        <w:tc>
          <w:tcPr>
            <w:cnfStyle w:val="001000000000"/>
            <w:tcW w:w="851" w:type="dxa"/>
          </w:tcPr>
          <w:p w:rsidR="000E3F9D" w:rsidRPr="00816657" w:rsidRDefault="000E3F9D" w:rsidP="00520EDF">
            <w:r w:rsidRPr="00816657">
              <w:t>Best</w:t>
            </w:r>
          </w:p>
        </w:tc>
        <w:tc>
          <w:tcPr>
            <w:tcW w:w="14600" w:type="dxa"/>
          </w:tcPr>
          <w:p w:rsidR="000E3F9D" w:rsidRPr="00816657" w:rsidRDefault="00A042CA" w:rsidP="00520EDF">
            <w:pPr>
              <w:cnfStyle w:val="000000000000"/>
            </w:pPr>
            <w:r w:rsidRPr="00816657">
              <w:t>Projections follow NC &amp; SRU (2014) projections of CAGR until 2020; growth continues thereafter but an alternative technology takes this proportion of the market share: 50%</w:t>
            </w:r>
          </w:p>
        </w:tc>
      </w:tr>
      <w:tr w:rsidR="000E3F9D" w:rsidRPr="00816657" w:rsidTr="00A22992">
        <w:tc>
          <w:tcPr>
            <w:cnfStyle w:val="001000000000"/>
            <w:tcW w:w="851" w:type="dxa"/>
          </w:tcPr>
          <w:p w:rsidR="000E3F9D" w:rsidRPr="00816657" w:rsidRDefault="000E3F9D" w:rsidP="00520EDF">
            <w:r w:rsidRPr="00816657">
              <w:t>High</w:t>
            </w:r>
          </w:p>
        </w:tc>
        <w:tc>
          <w:tcPr>
            <w:tcW w:w="14600" w:type="dxa"/>
          </w:tcPr>
          <w:p w:rsidR="000E3F9D" w:rsidRPr="00816657" w:rsidRDefault="00A042CA" w:rsidP="00520EDF">
            <w:pPr>
              <w:cnfStyle w:val="000000000000"/>
            </w:pPr>
            <w:r w:rsidRPr="00816657">
              <w:t>Projections follow NC &amp; SRU (2014) projections of CAGR until 2034</w:t>
            </w:r>
          </w:p>
        </w:tc>
      </w:tr>
      <w:tr w:rsidR="000E3F9D" w:rsidRPr="00816657" w:rsidTr="00A22992">
        <w:tc>
          <w:tcPr>
            <w:cnfStyle w:val="001000000000"/>
            <w:tcW w:w="851" w:type="dxa"/>
          </w:tcPr>
          <w:p w:rsidR="000E3F9D" w:rsidRPr="00816657" w:rsidRDefault="000E3F9D" w:rsidP="00520EDF">
            <w:r w:rsidRPr="00816657">
              <w:t>Low</w:t>
            </w:r>
          </w:p>
        </w:tc>
        <w:tc>
          <w:tcPr>
            <w:tcW w:w="14600" w:type="dxa"/>
          </w:tcPr>
          <w:p w:rsidR="000E3F9D" w:rsidRPr="00816657" w:rsidRDefault="00A042CA" w:rsidP="00520EDF">
            <w:pPr>
              <w:cnfStyle w:val="000000000000"/>
            </w:pPr>
            <w:r w:rsidRPr="00816657">
              <w:t>Projections follow NC &amp; SRU (2014) projections of CAGR until 2020; uses for Li-ion batteries then cease to expand but existing uses remain so growth is proportion to population</w:t>
            </w:r>
          </w:p>
        </w:tc>
      </w:tr>
      <w:tr w:rsidR="000E3F9D" w:rsidRPr="00816657" w:rsidTr="00A22992">
        <w:tc>
          <w:tcPr>
            <w:cnfStyle w:val="001000000000"/>
            <w:tcW w:w="15451" w:type="dxa"/>
            <w:gridSpan w:val="2"/>
          </w:tcPr>
          <w:p w:rsidR="000E3F9D" w:rsidRPr="00816657" w:rsidRDefault="000E3F9D" w:rsidP="00520EDF">
            <w:pPr>
              <w:rPr>
                <w:b/>
              </w:rPr>
            </w:pPr>
            <w:r w:rsidRPr="00816657">
              <w:rPr>
                <w:b/>
              </w:rPr>
              <w:t>Automotive batteries</w:t>
            </w:r>
          </w:p>
        </w:tc>
      </w:tr>
      <w:tr w:rsidR="00A042CA" w:rsidRPr="00816657" w:rsidTr="00A22992">
        <w:tc>
          <w:tcPr>
            <w:cnfStyle w:val="001000000000"/>
            <w:tcW w:w="851" w:type="dxa"/>
          </w:tcPr>
          <w:p w:rsidR="00A042CA" w:rsidRPr="00816657" w:rsidRDefault="00A042CA" w:rsidP="00520EDF">
            <w:r w:rsidRPr="00816657">
              <w:t>Best</w:t>
            </w:r>
          </w:p>
        </w:tc>
        <w:tc>
          <w:tcPr>
            <w:tcW w:w="14600" w:type="dxa"/>
          </w:tcPr>
          <w:p w:rsidR="00A042CA" w:rsidRPr="00816657" w:rsidRDefault="00A042CA" w:rsidP="00520EDF">
            <w:pPr>
              <w:cnfStyle w:val="000000000000"/>
            </w:pPr>
            <w:r w:rsidRPr="00816657">
              <w:t>Follow Baylis 2012 best projections until 2020; thereafter growth continues at the same rate but assume the proportion of market share by alternative technologies is: 50%</w:t>
            </w:r>
          </w:p>
        </w:tc>
      </w:tr>
      <w:tr w:rsidR="00A042CA" w:rsidRPr="00816657" w:rsidTr="00A22992">
        <w:tc>
          <w:tcPr>
            <w:cnfStyle w:val="001000000000"/>
            <w:tcW w:w="851" w:type="dxa"/>
          </w:tcPr>
          <w:p w:rsidR="00A042CA" w:rsidRPr="00816657" w:rsidRDefault="00A042CA" w:rsidP="00520EDF">
            <w:r w:rsidRPr="00816657">
              <w:t>High</w:t>
            </w:r>
          </w:p>
        </w:tc>
        <w:tc>
          <w:tcPr>
            <w:tcW w:w="14600" w:type="dxa"/>
          </w:tcPr>
          <w:p w:rsidR="00A042CA" w:rsidRPr="00816657" w:rsidRDefault="00A042CA" w:rsidP="00520EDF">
            <w:pPr>
              <w:cnfStyle w:val="000000000000"/>
            </w:pPr>
            <w:r w:rsidRPr="00816657">
              <w:t>Follow Baylis 2012 high projections until 2020; thereafter growth continues at the same rate but assume the proportion of market share by alternative technologies is: 50%</w:t>
            </w:r>
          </w:p>
        </w:tc>
      </w:tr>
      <w:tr w:rsidR="00A042CA" w:rsidRPr="00816657" w:rsidTr="00A22992">
        <w:tc>
          <w:tcPr>
            <w:cnfStyle w:val="001000000000"/>
            <w:tcW w:w="851" w:type="dxa"/>
          </w:tcPr>
          <w:p w:rsidR="00A042CA" w:rsidRPr="00816657" w:rsidRDefault="00A042CA" w:rsidP="00520EDF">
            <w:r w:rsidRPr="00816657">
              <w:t>Low</w:t>
            </w:r>
          </w:p>
        </w:tc>
        <w:tc>
          <w:tcPr>
            <w:tcW w:w="14600" w:type="dxa"/>
          </w:tcPr>
          <w:p w:rsidR="00A042CA" w:rsidRPr="00816657" w:rsidRDefault="00A042CA" w:rsidP="00520EDF">
            <w:pPr>
              <w:cnfStyle w:val="000000000000"/>
            </w:pPr>
            <w:r w:rsidRPr="00816657">
              <w:t>Follow Baylis 2012 low projections until 2020; thereafter growth continues at the same rate but assume the proportion of market share by alternative technologies is: 50%</w:t>
            </w:r>
          </w:p>
        </w:tc>
      </w:tr>
      <w:tr w:rsidR="000E3F9D" w:rsidRPr="00816657" w:rsidTr="00A22992">
        <w:tc>
          <w:tcPr>
            <w:cnfStyle w:val="001000000000"/>
            <w:tcW w:w="15451" w:type="dxa"/>
            <w:gridSpan w:val="2"/>
          </w:tcPr>
          <w:p w:rsidR="000E3F9D" w:rsidRPr="00816657" w:rsidRDefault="000E3F9D" w:rsidP="00520EDF">
            <w:pPr>
              <w:rPr>
                <w:b/>
              </w:rPr>
            </w:pPr>
            <w:r w:rsidRPr="00816657">
              <w:rPr>
                <w:b/>
              </w:rPr>
              <w:t>Large and industrial batteries</w:t>
            </w:r>
          </w:p>
        </w:tc>
      </w:tr>
      <w:tr w:rsidR="00A042CA" w:rsidRPr="00816657" w:rsidTr="00A22992">
        <w:tc>
          <w:tcPr>
            <w:cnfStyle w:val="001000000000"/>
            <w:tcW w:w="851" w:type="dxa"/>
          </w:tcPr>
          <w:p w:rsidR="00A042CA" w:rsidRPr="00816657" w:rsidRDefault="00A042CA" w:rsidP="00520EDF">
            <w:r w:rsidRPr="00816657">
              <w:t>Best</w:t>
            </w:r>
          </w:p>
        </w:tc>
        <w:tc>
          <w:tcPr>
            <w:tcW w:w="14600" w:type="dxa"/>
          </w:tcPr>
          <w:p w:rsidR="00A042CA" w:rsidRPr="00816657" w:rsidRDefault="00A042CA" w:rsidP="00520EDF">
            <w:pPr>
              <w:cnfStyle w:val="000000000000"/>
            </w:pPr>
            <w:r w:rsidRPr="00816657">
              <w:t>Projections follow MHC 2012 best projections until 2034</w:t>
            </w:r>
          </w:p>
        </w:tc>
      </w:tr>
      <w:tr w:rsidR="00A042CA" w:rsidRPr="00816657" w:rsidTr="00A22992">
        <w:tc>
          <w:tcPr>
            <w:cnfStyle w:val="001000000000"/>
            <w:tcW w:w="851" w:type="dxa"/>
          </w:tcPr>
          <w:p w:rsidR="00A042CA" w:rsidRPr="00816657" w:rsidRDefault="00A042CA" w:rsidP="00520EDF">
            <w:r w:rsidRPr="00816657">
              <w:t>High</w:t>
            </w:r>
          </w:p>
        </w:tc>
        <w:tc>
          <w:tcPr>
            <w:tcW w:w="14600" w:type="dxa"/>
          </w:tcPr>
          <w:p w:rsidR="00A042CA" w:rsidRPr="00816657" w:rsidRDefault="00A042CA" w:rsidP="00520EDF">
            <w:pPr>
              <w:cnfStyle w:val="000000000000"/>
            </w:pPr>
            <w:r w:rsidRPr="00816657">
              <w:t>Projections follow MHC 2012 best projections until 2034</w:t>
            </w:r>
          </w:p>
        </w:tc>
      </w:tr>
      <w:tr w:rsidR="00A042CA" w:rsidRPr="00816657" w:rsidTr="00A22992">
        <w:tc>
          <w:tcPr>
            <w:cnfStyle w:val="001000000000"/>
            <w:tcW w:w="851" w:type="dxa"/>
          </w:tcPr>
          <w:p w:rsidR="00A042CA" w:rsidRPr="00816657" w:rsidRDefault="00A042CA" w:rsidP="00520EDF">
            <w:r w:rsidRPr="00816657">
              <w:t>Low</w:t>
            </w:r>
          </w:p>
        </w:tc>
        <w:tc>
          <w:tcPr>
            <w:tcW w:w="14600" w:type="dxa"/>
          </w:tcPr>
          <w:p w:rsidR="00A042CA" w:rsidRPr="00816657" w:rsidRDefault="00A042CA" w:rsidP="00520EDF">
            <w:pPr>
              <w:cnfStyle w:val="000000000000"/>
            </w:pPr>
            <w:r w:rsidRPr="00816657">
              <w:t>Projections follow MHC 2012 best projections until 2034</w:t>
            </w:r>
          </w:p>
        </w:tc>
      </w:tr>
    </w:tbl>
    <w:p w:rsidR="00376588" w:rsidRPr="00816657" w:rsidRDefault="00376588" w:rsidP="00655F62">
      <w:pPr>
        <w:pStyle w:val="Figures"/>
      </w:pPr>
      <w:bookmarkStart w:id="184" w:name="_Toc425849326"/>
      <w:r w:rsidRPr="00816657">
        <w:lastRenderedPageBreak/>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41</w:t>
      </w:r>
      <w:r w:rsidR="006D07F5" w:rsidRPr="00816657">
        <w:rPr>
          <w:noProof/>
        </w:rPr>
        <w:fldChar w:fldCharType="end"/>
      </w:r>
      <w:r w:rsidRPr="00816657">
        <w:t xml:space="preserve">: </w:t>
      </w:r>
      <w:r w:rsidRPr="00816657">
        <w:tab/>
        <w:t xml:space="preserve">Best, high and low projected rates of change for </w:t>
      </w:r>
      <w:r w:rsidR="00A22992" w:rsidRPr="00816657">
        <w:t>lithium-ion</w:t>
      </w:r>
      <w:r w:rsidRPr="00816657">
        <w:t xml:space="preserve"> battery waste to 2034</w:t>
      </w:r>
      <w:bookmarkEnd w:id="184"/>
    </w:p>
    <w:tbl>
      <w:tblPr>
        <w:tblStyle w:val="BETable1"/>
        <w:tblW w:w="15451" w:type="dxa"/>
        <w:tblInd w:w="-369" w:type="dxa"/>
        <w:tblLayout w:type="fixed"/>
        <w:tblCellMar>
          <w:top w:w="0" w:type="dxa"/>
          <w:left w:w="57" w:type="dxa"/>
          <w:bottom w:w="0" w:type="dxa"/>
          <w:right w:w="57" w:type="dxa"/>
        </w:tblCellMar>
        <w:tblLook w:val="04A0"/>
      </w:tblPr>
      <w:tblGrid>
        <w:gridCol w:w="565"/>
        <w:gridCol w:w="655"/>
        <w:gridCol w:w="655"/>
        <w:gridCol w:w="677"/>
        <w:gridCol w:w="709"/>
        <w:gridCol w:w="709"/>
        <w:gridCol w:w="708"/>
        <w:gridCol w:w="709"/>
        <w:gridCol w:w="709"/>
        <w:gridCol w:w="709"/>
        <w:gridCol w:w="708"/>
        <w:gridCol w:w="709"/>
        <w:gridCol w:w="709"/>
        <w:gridCol w:w="709"/>
        <w:gridCol w:w="708"/>
        <w:gridCol w:w="709"/>
        <w:gridCol w:w="709"/>
        <w:gridCol w:w="709"/>
        <w:gridCol w:w="708"/>
        <w:gridCol w:w="709"/>
        <w:gridCol w:w="851"/>
        <w:gridCol w:w="708"/>
      </w:tblGrid>
      <w:tr w:rsidR="00196889" w:rsidRPr="00816657" w:rsidTr="007F5BD4">
        <w:trPr>
          <w:cnfStyle w:val="100000000000"/>
        </w:trPr>
        <w:tc>
          <w:tcPr>
            <w:cnfStyle w:val="001000000000"/>
            <w:tcW w:w="565" w:type="dxa"/>
          </w:tcPr>
          <w:p w:rsidR="002D3055" w:rsidRPr="00816657" w:rsidRDefault="002D3055" w:rsidP="002D3055">
            <w:pPr>
              <w:rPr>
                <w:rFonts w:asciiTheme="minorHAnsi" w:hAnsiTheme="minorHAnsi"/>
                <w:sz w:val="18"/>
                <w:szCs w:val="18"/>
              </w:rPr>
            </w:pPr>
          </w:p>
        </w:tc>
        <w:tc>
          <w:tcPr>
            <w:tcW w:w="655"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2014</w:t>
            </w:r>
          </w:p>
        </w:tc>
        <w:tc>
          <w:tcPr>
            <w:tcW w:w="655"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2015</w:t>
            </w:r>
          </w:p>
        </w:tc>
        <w:tc>
          <w:tcPr>
            <w:tcW w:w="677"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2016</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2017</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2018</w:t>
            </w:r>
          </w:p>
        </w:tc>
        <w:tc>
          <w:tcPr>
            <w:tcW w:w="708"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2019</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2020</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2021</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2022</w:t>
            </w:r>
          </w:p>
        </w:tc>
        <w:tc>
          <w:tcPr>
            <w:tcW w:w="708"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2023</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2024</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2025</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2026</w:t>
            </w:r>
          </w:p>
        </w:tc>
        <w:tc>
          <w:tcPr>
            <w:tcW w:w="708"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2027</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2028</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2029</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2030</w:t>
            </w:r>
          </w:p>
        </w:tc>
        <w:tc>
          <w:tcPr>
            <w:tcW w:w="708"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2031</w:t>
            </w:r>
          </w:p>
        </w:tc>
        <w:tc>
          <w:tcPr>
            <w:tcW w:w="709"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2032</w:t>
            </w:r>
          </w:p>
        </w:tc>
        <w:tc>
          <w:tcPr>
            <w:tcW w:w="851" w:type="dxa"/>
          </w:tcPr>
          <w:p w:rsidR="002D3055" w:rsidRPr="00816657" w:rsidRDefault="002D3055" w:rsidP="00DF1E42">
            <w:pPr>
              <w:jc w:val="right"/>
              <w:cnfStyle w:val="100000000000"/>
              <w:rPr>
                <w:rFonts w:asciiTheme="minorHAnsi" w:hAnsiTheme="minorHAnsi"/>
                <w:sz w:val="18"/>
                <w:szCs w:val="18"/>
              </w:rPr>
            </w:pPr>
            <w:r w:rsidRPr="00816657">
              <w:rPr>
                <w:rFonts w:asciiTheme="minorHAnsi" w:hAnsiTheme="minorHAnsi"/>
                <w:sz w:val="18"/>
                <w:szCs w:val="18"/>
              </w:rPr>
              <w:t>2033</w:t>
            </w:r>
          </w:p>
        </w:tc>
        <w:tc>
          <w:tcPr>
            <w:tcW w:w="708" w:type="dxa"/>
          </w:tcPr>
          <w:p w:rsidR="002D3055" w:rsidRPr="00816657" w:rsidRDefault="002D3055" w:rsidP="002D3055">
            <w:pPr>
              <w:cnfStyle w:val="100000000000"/>
              <w:rPr>
                <w:rFonts w:asciiTheme="minorHAnsi" w:hAnsiTheme="minorHAnsi"/>
                <w:sz w:val="18"/>
                <w:szCs w:val="18"/>
              </w:rPr>
            </w:pPr>
            <w:r w:rsidRPr="00816657">
              <w:rPr>
                <w:rFonts w:asciiTheme="minorHAnsi" w:hAnsiTheme="minorHAnsi"/>
                <w:sz w:val="18"/>
                <w:szCs w:val="18"/>
              </w:rPr>
              <w:t>2034</w:t>
            </w:r>
          </w:p>
        </w:tc>
      </w:tr>
      <w:tr w:rsidR="002D3055" w:rsidRPr="00816657" w:rsidTr="007F5BD4">
        <w:tc>
          <w:tcPr>
            <w:cnfStyle w:val="001000000000"/>
            <w:tcW w:w="15451" w:type="dxa"/>
            <w:gridSpan w:val="22"/>
          </w:tcPr>
          <w:p w:rsidR="002D3055" w:rsidRPr="00816657" w:rsidRDefault="000E3F9D" w:rsidP="00DF1E42">
            <w:pPr>
              <w:rPr>
                <w:rFonts w:asciiTheme="minorHAnsi" w:hAnsiTheme="minorHAnsi"/>
                <w:sz w:val="18"/>
                <w:szCs w:val="18"/>
              </w:rPr>
            </w:pPr>
            <w:r w:rsidRPr="00816657">
              <w:rPr>
                <w:rFonts w:asciiTheme="minorHAnsi" w:hAnsiTheme="minorHAnsi"/>
                <w:b/>
                <w:sz w:val="18"/>
                <w:szCs w:val="18"/>
              </w:rPr>
              <w:t>Handheld batteries</w:t>
            </w:r>
          </w:p>
        </w:tc>
      </w:tr>
      <w:tr w:rsidR="00196889" w:rsidRPr="00816657" w:rsidTr="007F5BD4">
        <w:tc>
          <w:tcPr>
            <w:cnfStyle w:val="001000000000"/>
            <w:tcW w:w="565" w:type="dxa"/>
          </w:tcPr>
          <w:p w:rsidR="000E3F9D" w:rsidRPr="00816657" w:rsidRDefault="000E3F9D" w:rsidP="002D3055">
            <w:pPr>
              <w:rPr>
                <w:rFonts w:asciiTheme="minorHAnsi" w:hAnsiTheme="minorHAnsi"/>
                <w:sz w:val="18"/>
                <w:szCs w:val="18"/>
              </w:rPr>
            </w:pPr>
            <w:r w:rsidRPr="00816657">
              <w:rPr>
                <w:rFonts w:asciiTheme="minorHAnsi" w:hAnsiTheme="minorHAnsi"/>
                <w:sz w:val="18"/>
                <w:szCs w:val="18"/>
              </w:rPr>
              <w:t>Best</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2,770 </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3,235 </w:t>
            </w:r>
          </w:p>
        </w:tc>
        <w:tc>
          <w:tcPr>
            <w:tcW w:w="677"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3,777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4,411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5,151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6,015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7,024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7,613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8,252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8,944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9,694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10,507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11,388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12,343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13,379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14,501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15,717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17,035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18,464 </w:t>
            </w:r>
          </w:p>
        </w:tc>
        <w:tc>
          <w:tcPr>
            <w:tcW w:w="851"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20,013 </w:t>
            </w:r>
          </w:p>
        </w:tc>
        <w:tc>
          <w:tcPr>
            <w:tcW w:w="708" w:type="dxa"/>
          </w:tcPr>
          <w:p w:rsidR="000E3F9D" w:rsidRPr="00816657" w:rsidRDefault="000E3F9D" w:rsidP="000E3F9D">
            <w:pPr>
              <w:cnfStyle w:val="000000000000"/>
              <w:rPr>
                <w:rFonts w:asciiTheme="minorHAnsi" w:hAnsiTheme="minorHAnsi"/>
                <w:sz w:val="18"/>
                <w:szCs w:val="18"/>
              </w:rPr>
            </w:pPr>
            <w:r w:rsidRPr="00816657">
              <w:rPr>
                <w:rFonts w:asciiTheme="minorHAnsi" w:hAnsiTheme="minorHAnsi"/>
                <w:sz w:val="18"/>
                <w:szCs w:val="18"/>
              </w:rPr>
              <w:t xml:space="preserve">21,692 </w:t>
            </w:r>
          </w:p>
        </w:tc>
      </w:tr>
      <w:tr w:rsidR="00196889" w:rsidRPr="00816657" w:rsidTr="007F5BD4">
        <w:tc>
          <w:tcPr>
            <w:cnfStyle w:val="001000000000"/>
            <w:tcW w:w="565" w:type="dxa"/>
          </w:tcPr>
          <w:p w:rsidR="000E3F9D" w:rsidRPr="00816657" w:rsidRDefault="000E3F9D" w:rsidP="002D3055">
            <w:pPr>
              <w:rPr>
                <w:rFonts w:asciiTheme="minorHAnsi" w:hAnsiTheme="minorHAnsi"/>
                <w:sz w:val="18"/>
                <w:szCs w:val="18"/>
              </w:rPr>
            </w:pPr>
            <w:r w:rsidRPr="00816657">
              <w:rPr>
                <w:rFonts w:asciiTheme="minorHAnsi" w:hAnsiTheme="minorHAnsi"/>
                <w:sz w:val="18"/>
                <w:szCs w:val="18"/>
              </w:rPr>
              <w:t>High</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2,770 </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3,235 </w:t>
            </w:r>
          </w:p>
        </w:tc>
        <w:tc>
          <w:tcPr>
            <w:tcW w:w="677"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3,777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4,411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5,151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6,015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7,024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8,202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9,578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11,185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13,061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15,252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17,811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20,798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24,287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28,362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33,119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38,675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45,163 </w:t>
            </w:r>
          </w:p>
        </w:tc>
        <w:tc>
          <w:tcPr>
            <w:tcW w:w="851"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52,739 </w:t>
            </w:r>
          </w:p>
        </w:tc>
        <w:tc>
          <w:tcPr>
            <w:tcW w:w="708" w:type="dxa"/>
          </w:tcPr>
          <w:p w:rsidR="000E3F9D" w:rsidRPr="00816657" w:rsidRDefault="000E3F9D" w:rsidP="000E3F9D">
            <w:pPr>
              <w:cnfStyle w:val="000000000000"/>
              <w:rPr>
                <w:rFonts w:asciiTheme="minorHAnsi" w:hAnsiTheme="minorHAnsi"/>
                <w:sz w:val="18"/>
                <w:szCs w:val="18"/>
              </w:rPr>
            </w:pPr>
            <w:r w:rsidRPr="00816657">
              <w:rPr>
                <w:rFonts w:asciiTheme="minorHAnsi" w:hAnsiTheme="minorHAnsi"/>
                <w:sz w:val="18"/>
                <w:szCs w:val="18"/>
              </w:rPr>
              <w:t xml:space="preserve">61,586 </w:t>
            </w:r>
          </w:p>
        </w:tc>
      </w:tr>
      <w:tr w:rsidR="00196889" w:rsidRPr="00816657" w:rsidTr="007F5BD4">
        <w:tc>
          <w:tcPr>
            <w:cnfStyle w:val="001000000000"/>
            <w:tcW w:w="565" w:type="dxa"/>
          </w:tcPr>
          <w:p w:rsidR="000E3F9D" w:rsidRPr="00816657" w:rsidRDefault="000E3F9D" w:rsidP="002D3055">
            <w:pPr>
              <w:rPr>
                <w:rFonts w:asciiTheme="minorHAnsi" w:hAnsiTheme="minorHAnsi"/>
                <w:sz w:val="18"/>
                <w:szCs w:val="18"/>
              </w:rPr>
            </w:pPr>
            <w:r w:rsidRPr="00816657">
              <w:rPr>
                <w:rFonts w:asciiTheme="minorHAnsi" w:hAnsiTheme="minorHAnsi"/>
                <w:sz w:val="18"/>
                <w:szCs w:val="18"/>
              </w:rPr>
              <w:t>Low</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2,770 </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3,235 </w:t>
            </w:r>
          </w:p>
        </w:tc>
        <w:tc>
          <w:tcPr>
            <w:tcW w:w="677"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3,777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4,411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5,151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6,015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7,024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7,129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7,236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7,345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7,455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7,567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7,680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7,795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7,912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8,031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8,152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8,274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8,398 </w:t>
            </w:r>
          </w:p>
        </w:tc>
        <w:tc>
          <w:tcPr>
            <w:tcW w:w="851"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8,524 </w:t>
            </w:r>
          </w:p>
        </w:tc>
        <w:tc>
          <w:tcPr>
            <w:tcW w:w="708" w:type="dxa"/>
          </w:tcPr>
          <w:p w:rsidR="000E3F9D" w:rsidRPr="00816657" w:rsidRDefault="000E3F9D" w:rsidP="000E3F9D">
            <w:pPr>
              <w:cnfStyle w:val="000000000000"/>
              <w:rPr>
                <w:rFonts w:asciiTheme="minorHAnsi" w:hAnsiTheme="minorHAnsi"/>
                <w:sz w:val="18"/>
                <w:szCs w:val="18"/>
              </w:rPr>
            </w:pPr>
            <w:r w:rsidRPr="00816657">
              <w:rPr>
                <w:rFonts w:asciiTheme="minorHAnsi" w:hAnsiTheme="minorHAnsi"/>
                <w:sz w:val="18"/>
                <w:szCs w:val="18"/>
              </w:rPr>
              <w:t xml:space="preserve">8,652 </w:t>
            </w:r>
          </w:p>
        </w:tc>
      </w:tr>
      <w:tr w:rsidR="000E3F9D" w:rsidRPr="00816657" w:rsidTr="007F5BD4">
        <w:tc>
          <w:tcPr>
            <w:cnfStyle w:val="001000000000"/>
            <w:tcW w:w="15451" w:type="dxa"/>
            <w:gridSpan w:val="22"/>
          </w:tcPr>
          <w:p w:rsidR="000E3F9D" w:rsidRPr="00816657" w:rsidRDefault="000E3F9D" w:rsidP="00DF1E42">
            <w:pPr>
              <w:rPr>
                <w:rFonts w:asciiTheme="minorHAnsi" w:hAnsiTheme="minorHAnsi"/>
                <w:b/>
                <w:sz w:val="18"/>
                <w:szCs w:val="18"/>
              </w:rPr>
            </w:pPr>
            <w:r w:rsidRPr="00816657">
              <w:rPr>
                <w:rFonts w:asciiTheme="minorHAnsi" w:hAnsiTheme="minorHAnsi"/>
                <w:b/>
                <w:sz w:val="18"/>
                <w:szCs w:val="18"/>
              </w:rPr>
              <w:t>Automotive batteries</w:t>
            </w:r>
          </w:p>
        </w:tc>
      </w:tr>
      <w:tr w:rsidR="00196889" w:rsidRPr="00816657" w:rsidTr="007F5BD4">
        <w:tc>
          <w:tcPr>
            <w:cnfStyle w:val="001000000000"/>
            <w:tcW w:w="565" w:type="dxa"/>
          </w:tcPr>
          <w:p w:rsidR="000E3F9D" w:rsidRPr="00816657" w:rsidRDefault="000E3F9D" w:rsidP="002D3055">
            <w:pPr>
              <w:rPr>
                <w:rFonts w:asciiTheme="minorHAnsi" w:hAnsiTheme="minorHAnsi"/>
                <w:sz w:val="18"/>
                <w:szCs w:val="18"/>
              </w:rPr>
            </w:pPr>
            <w:r w:rsidRPr="00816657">
              <w:rPr>
                <w:rFonts w:asciiTheme="minorHAnsi" w:hAnsiTheme="minorHAnsi"/>
                <w:sz w:val="18"/>
                <w:szCs w:val="18"/>
              </w:rPr>
              <w:t>Best</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4,920 </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5,908 </w:t>
            </w:r>
          </w:p>
        </w:tc>
        <w:tc>
          <w:tcPr>
            <w:tcW w:w="677"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7,095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8,521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10,233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12,289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14,759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16,242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17,873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19,669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21,645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23,820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26,213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28,847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31,745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34,934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38,444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42,306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46,557 </w:t>
            </w:r>
          </w:p>
        </w:tc>
        <w:tc>
          <w:tcPr>
            <w:tcW w:w="851"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51,234 </w:t>
            </w:r>
          </w:p>
        </w:tc>
        <w:tc>
          <w:tcPr>
            <w:tcW w:w="708" w:type="dxa"/>
          </w:tcPr>
          <w:p w:rsidR="000E3F9D" w:rsidRPr="00816657" w:rsidRDefault="000E3F9D" w:rsidP="000E3F9D">
            <w:pPr>
              <w:cnfStyle w:val="000000000000"/>
              <w:rPr>
                <w:rFonts w:asciiTheme="minorHAnsi" w:hAnsiTheme="minorHAnsi"/>
                <w:sz w:val="18"/>
                <w:szCs w:val="18"/>
              </w:rPr>
            </w:pPr>
            <w:r w:rsidRPr="00816657">
              <w:rPr>
                <w:rFonts w:asciiTheme="minorHAnsi" w:hAnsiTheme="minorHAnsi"/>
                <w:sz w:val="18"/>
                <w:szCs w:val="18"/>
              </w:rPr>
              <w:t xml:space="preserve">56,382 </w:t>
            </w:r>
          </w:p>
        </w:tc>
      </w:tr>
      <w:tr w:rsidR="00196889" w:rsidRPr="00816657" w:rsidTr="007F5BD4">
        <w:tc>
          <w:tcPr>
            <w:cnfStyle w:val="001000000000"/>
            <w:tcW w:w="565" w:type="dxa"/>
          </w:tcPr>
          <w:p w:rsidR="000E3F9D" w:rsidRPr="00816657" w:rsidRDefault="000E3F9D" w:rsidP="002D3055">
            <w:pPr>
              <w:rPr>
                <w:rFonts w:asciiTheme="minorHAnsi" w:hAnsiTheme="minorHAnsi"/>
                <w:sz w:val="18"/>
                <w:szCs w:val="18"/>
              </w:rPr>
            </w:pPr>
            <w:r w:rsidRPr="00816657">
              <w:rPr>
                <w:rFonts w:asciiTheme="minorHAnsi" w:hAnsiTheme="minorHAnsi"/>
                <w:sz w:val="18"/>
                <w:szCs w:val="18"/>
              </w:rPr>
              <w:t>High</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4,920 </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6,090 </w:t>
            </w:r>
          </w:p>
        </w:tc>
        <w:tc>
          <w:tcPr>
            <w:tcW w:w="677"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7,540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9,334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11,556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14,306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17,711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19,818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22,176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24,815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27,768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31,072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34,770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38,907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43,537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48,718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54,515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61,002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68,261 </w:t>
            </w:r>
          </w:p>
        </w:tc>
        <w:tc>
          <w:tcPr>
            <w:tcW w:w="851"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76,383 </w:t>
            </w:r>
          </w:p>
        </w:tc>
        <w:tc>
          <w:tcPr>
            <w:tcW w:w="708" w:type="dxa"/>
          </w:tcPr>
          <w:p w:rsidR="000E3F9D" w:rsidRPr="00816657" w:rsidRDefault="000E3F9D" w:rsidP="000E3F9D">
            <w:pPr>
              <w:cnfStyle w:val="000000000000"/>
              <w:rPr>
                <w:rFonts w:asciiTheme="minorHAnsi" w:hAnsiTheme="minorHAnsi"/>
                <w:sz w:val="18"/>
                <w:szCs w:val="18"/>
              </w:rPr>
            </w:pPr>
            <w:r w:rsidRPr="00816657">
              <w:rPr>
                <w:rFonts w:asciiTheme="minorHAnsi" w:hAnsiTheme="minorHAnsi"/>
                <w:sz w:val="18"/>
                <w:szCs w:val="18"/>
              </w:rPr>
              <w:t xml:space="preserve">85,473 </w:t>
            </w:r>
          </w:p>
        </w:tc>
      </w:tr>
      <w:tr w:rsidR="00196889" w:rsidRPr="00816657" w:rsidTr="007F5BD4">
        <w:tc>
          <w:tcPr>
            <w:cnfStyle w:val="001000000000"/>
            <w:tcW w:w="565" w:type="dxa"/>
          </w:tcPr>
          <w:p w:rsidR="000E3F9D" w:rsidRPr="00816657" w:rsidRDefault="000E3F9D" w:rsidP="002D3055">
            <w:pPr>
              <w:rPr>
                <w:rFonts w:asciiTheme="minorHAnsi" w:hAnsiTheme="minorHAnsi"/>
                <w:sz w:val="18"/>
                <w:szCs w:val="18"/>
              </w:rPr>
            </w:pPr>
            <w:r w:rsidRPr="00816657">
              <w:rPr>
                <w:rFonts w:asciiTheme="minorHAnsi" w:hAnsiTheme="minorHAnsi"/>
                <w:sz w:val="18"/>
                <w:szCs w:val="18"/>
              </w:rPr>
              <w:t>Low</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4,920 </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5,357 </w:t>
            </w:r>
          </w:p>
        </w:tc>
        <w:tc>
          <w:tcPr>
            <w:tcW w:w="677"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5,833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6,351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6,916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7,530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8,199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8,564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8,944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9,342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9,757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10,190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10,643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11,116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11,610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12,126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12,664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13,227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13,815 </w:t>
            </w:r>
          </w:p>
        </w:tc>
        <w:tc>
          <w:tcPr>
            <w:tcW w:w="851"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14,429 </w:t>
            </w:r>
          </w:p>
        </w:tc>
        <w:tc>
          <w:tcPr>
            <w:tcW w:w="708" w:type="dxa"/>
          </w:tcPr>
          <w:p w:rsidR="000E3F9D" w:rsidRPr="00816657" w:rsidRDefault="000E3F9D" w:rsidP="000E3F9D">
            <w:pPr>
              <w:cnfStyle w:val="000000000000"/>
              <w:rPr>
                <w:rFonts w:asciiTheme="minorHAnsi" w:hAnsiTheme="minorHAnsi"/>
                <w:sz w:val="18"/>
                <w:szCs w:val="18"/>
              </w:rPr>
            </w:pPr>
            <w:r w:rsidRPr="00816657">
              <w:rPr>
                <w:rFonts w:asciiTheme="minorHAnsi" w:hAnsiTheme="minorHAnsi"/>
                <w:sz w:val="18"/>
                <w:szCs w:val="18"/>
              </w:rPr>
              <w:t xml:space="preserve">15,070 </w:t>
            </w:r>
          </w:p>
        </w:tc>
      </w:tr>
      <w:tr w:rsidR="000E3F9D" w:rsidRPr="00816657" w:rsidTr="007F5BD4">
        <w:tc>
          <w:tcPr>
            <w:cnfStyle w:val="001000000000"/>
            <w:tcW w:w="15451" w:type="dxa"/>
            <w:gridSpan w:val="22"/>
          </w:tcPr>
          <w:p w:rsidR="000E3F9D" w:rsidRPr="00816657" w:rsidRDefault="000E3F9D" w:rsidP="00DF1E42">
            <w:pPr>
              <w:rPr>
                <w:rFonts w:asciiTheme="minorHAnsi" w:hAnsiTheme="minorHAnsi"/>
                <w:b/>
                <w:sz w:val="18"/>
                <w:szCs w:val="18"/>
              </w:rPr>
            </w:pPr>
            <w:r w:rsidRPr="00816657">
              <w:rPr>
                <w:rFonts w:asciiTheme="minorHAnsi" w:hAnsiTheme="minorHAnsi"/>
                <w:b/>
                <w:sz w:val="18"/>
                <w:szCs w:val="18"/>
              </w:rPr>
              <w:t>Large and industrial batteries</w:t>
            </w:r>
          </w:p>
        </w:tc>
      </w:tr>
      <w:tr w:rsidR="00196889" w:rsidRPr="00816657" w:rsidTr="007F5BD4">
        <w:tc>
          <w:tcPr>
            <w:cnfStyle w:val="001000000000"/>
            <w:tcW w:w="565" w:type="dxa"/>
          </w:tcPr>
          <w:p w:rsidR="000E3F9D" w:rsidRPr="00816657" w:rsidRDefault="000E3F9D" w:rsidP="002D3055">
            <w:pPr>
              <w:rPr>
                <w:rFonts w:asciiTheme="minorHAnsi" w:hAnsiTheme="minorHAnsi"/>
                <w:sz w:val="18"/>
                <w:szCs w:val="18"/>
              </w:rPr>
            </w:pPr>
            <w:r w:rsidRPr="00816657">
              <w:rPr>
                <w:rFonts w:asciiTheme="minorHAnsi" w:hAnsiTheme="minorHAnsi"/>
                <w:sz w:val="18"/>
                <w:szCs w:val="18"/>
              </w:rPr>
              <w:t>Best</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500 </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562 </w:t>
            </w:r>
          </w:p>
        </w:tc>
        <w:tc>
          <w:tcPr>
            <w:tcW w:w="677"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632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710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798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897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1,009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1,134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1,275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1,433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1,611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1,811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2,035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2,288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2,572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2,891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3,250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3,653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4,107 </w:t>
            </w:r>
          </w:p>
        </w:tc>
        <w:tc>
          <w:tcPr>
            <w:tcW w:w="851"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4,616 </w:t>
            </w:r>
          </w:p>
        </w:tc>
        <w:tc>
          <w:tcPr>
            <w:tcW w:w="708" w:type="dxa"/>
          </w:tcPr>
          <w:p w:rsidR="000E3F9D" w:rsidRPr="00816657" w:rsidRDefault="000E3F9D" w:rsidP="000E3F9D">
            <w:pPr>
              <w:cnfStyle w:val="000000000000"/>
              <w:rPr>
                <w:rFonts w:asciiTheme="minorHAnsi" w:hAnsiTheme="minorHAnsi"/>
                <w:sz w:val="18"/>
                <w:szCs w:val="18"/>
              </w:rPr>
            </w:pPr>
            <w:r w:rsidRPr="00816657">
              <w:rPr>
                <w:rFonts w:asciiTheme="minorHAnsi" w:hAnsiTheme="minorHAnsi"/>
                <w:sz w:val="18"/>
                <w:szCs w:val="18"/>
              </w:rPr>
              <w:t xml:space="preserve">5,189 </w:t>
            </w:r>
          </w:p>
        </w:tc>
      </w:tr>
      <w:tr w:rsidR="00196889" w:rsidRPr="00816657" w:rsidTr="007F5BD4">
        <w:tc>
          <w:tcPr>
            <w:cnfStyle w:val="001000000000"/>
            <w:tcW w:w="565" w:type="dxa"/>
          </w:tcPr>
          <w:p w:rsidR="000E3F9D" w:rsidRPr="00816657" w:rsidRDefault="000E3F9D" w:rsidP="002D3055">
            <w:pPr>
              <w:rPr>
                <w:rFonts w:asciiTheme="minorHAnsi" w:hAnsiTheme="minorHAnsi"/>
                <w:sz w:val="18"/>
                <w:szCs w:val="18"/>
              </w:rPr>
            </w:pPr>
            <w:r w:rsidRPr="00816657">
              <w:rPr>
                <w:rFonts w:asciiTheme="minorHAnsi" w:hAnsiTheme="minorHAnsi"/>
                <w:sz w:val="18"/>
                <w:szCs w:val="18"/>
              </w:rPr>
              <w:t>High</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500 </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570 </w:t>
            </w:r>
          </w:p>
        </w:tc>
        <w:tc>
          <w:tcPr>
            <w:tcW w:w="677"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651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743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847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967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1,103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1,259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1,436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1,639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1,870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2,133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2,434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2,777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3,169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3,615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4,125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4,707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5,370 </w:t>
            </w:r>
          </w:p>
        </w:tc>
        <w:tc>
          <w:tcPr>
            <w:tcW w:w="851"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6,127 </w:t>
            </w:r>
          </w:p>
        </w:tc>
        <w:tc>
          <w:tcPr>
            <w:tcW w:w="708" w:type="dxa"/>
          </w:tcPr>
          <w:p w:rsidR="000E3F9D" w:rsidRPr="00816657" w:rsidRDefault="000E3F9D" w:rsidP="000E3F9D">
            <w:pPr>
              <w:cnfStyle w:val="000000000000"/>
              <w:rPr>
                <w:rFonts w:asciiTheme="minorHAnsi" w:hAnsiTheme="minorHAnsi"/>
                <w:sz w:val="18"/>
                <w:szCs w:val="18"/>
              </w:rPr>
            </w:pPr>
            <w:r w:rsidRPr="00816657">
              <w:rPr>
                <w:rFonts w:asciiTheme="minorHAnsi" w:hAnsiTheme="minorHAnsi"/>
                <w:sz w:val="18"/>
                <w:szCs w:val="18"/>
              </w:rPr>
              <w:t xml:space="preserve">6,991 </w:t>
            </w:r>
          </w:p>
        </w:tc>
      </w:tr>
      <w:tr w:rsidR="00196889" w:rsidRPr="00816657" w:rsidTr="007F5BD4">
        <w:tc>
          <w:tcPr>
            <w:cnfStyle w:val="001000000000"/>
            <w:tcW w:w="565" w:type="dxa"/>
          </w:tcPr>
          <w:p w:rsidR="000E3F9D" w:rsidRPr="00816657" w:rsidRDefault="000E3F9D" w:rsidP="002D3055">
            <w:pPr>
              <w:rPr>
                <w:rFonts w:asciiTheme="minorHAnsi" w:hAnsiTheme="minorHAnsi"/>
                <w:sz w:val="18"/>
                <w:szCs w:val="18"/>
              </w:rPr>
            </w:pPr>
            <w:r w:rsidRPr="00816657">
              <w:rPr>
                <w:rFonts w:asciiTheme="minorHAnsi" w:hAnsiTheme="minorHAnsi"/>
                <w:sz w:val="18"/>
                <w:szCs w:val="18"/>
              </w:rPr>
              <w:t>Low</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500 </w:t>
            </w:r>
          </w:p>
        </w:tc>
        <w:tc>
          <w:tcPr>
            <w:tcW w:w="655"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551 </w:t>
            </w:r>
          </w:p>
        </w:tc>
        <w:tc>
          <w:tcPr>
            <w:tcW w:w="677"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608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670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738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814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897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989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1,090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1,201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1,324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1,459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1,609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1,773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1,955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2,155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2,375 </w:t>
            </w:r>
          </w:p>
        </w:tc>
        <w:tc>
          <w:tcPr>
            <w:tcW w:w="708"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2,618 </w:t>
            </w:r>
          </w:p>
        </w:tc>
        <w:tc>
          <w:tcPr>
            <w:tcW w:w="709"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2,886 </w:t>
            </w:r>
          </w:p>
        </w:tc>
        <w:tc>
          <w:tcPr>
            <w:tcW w:w="851" w:type="dxa"/>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3,181 </w:t>
            </w:r>
          </w:p>
        </w:tc>
        <w:tc>
          <w:tcPr>
            <w:tcW w:w="708" w:type="dxa"/>
          </w:tcPr>
          <w:p w:rsidR="000E3F9D" w:rsidRPr="00816657" w:rsidRDefault="000E3F9D" w:rsidP="000E3F9D">
            <w:pPr>
              <w:cnfStyle w:val="000000000000"/>
              <w:rPr>
                <w:rFonts w:asciiTheme="minorHAnsi" w:hAnsiTheme="minorHAnsi"/>
                <w:sz w:val="18"/>
                <w:szCs w:val="18"/>
              </w:rPr>
            </w:pPr>
            <w:r w:rsidRPr="00816657">
              <w:rPr>
                <w:rFonts w:asciiTheme="minorHAnsi" w:hAnsiTheme="minorHAnsi"/>
                <w:sz w:val="18"/>
                <w:szCs w:val="18"/>
              </w:rPr>
              <w:t xml:space="preserve">3,506 </w:t>
            </w:r>
          </w:p>
        </w:tc>
      </w:tr>
      <w:tr w:rsidR="000E3F9D" w:rsidRPr="00816657" w:rsidTr="007F5BD4">
        <w:tc>
          <w:tcPr>
            <w:cnfStyle w:val="001000000000"/>
            <w:tcW w:w="15451" w:type="dxa"/>
            <w:gridSpan w:val="22"/>
          </w:tcPr>
          <w:p w:rsidR="000E3F9D" w:rsidRPr="00816657" w:rsidRDefault="000E3F9D" w:rsidP="00DF1E42">
            <w:pPr>
              <w:rPr>
                <w:rFonts w:asciiTheme="minorHAnsi" w:hAnsiTheme="minorHAnsi"/>
                <w:b/>
                <w:sz w:val="18"/>
                <w:szCs w:val="18"/>
              </w:rPr>
            </w:pPr>
            <w:r w:rsidRPr="00816657">
              <w:rPr>
                <w:rFonts w:asciiTheme="minorHAnsi" w:hAnsiTheme="minorHAnsi"/>
                <w:b/>
                <w:sz w:val="18"/>
                <w:szCs w:val="18"/>
              </w:rPr>
              <w:t>Total Li-ion batteries</w:t>
            </w:r>
          </w:p>
        </w:tc>
      </w:tr>
      <w:tr w:rsidR="00196889" w:rsidRPr="00816657" w:rsidTr="007F5BD4">
        <w:tc>
          <w:tcPr>
            <w:cnfStyle w:val="001000000000"/>
            <w:tcW w:w="565" w:type="dxa"/>
          </w:tcPr>
          <w:p w:rsidR="000E3F9D" w:rsidRPr="00816657" w:rsidRDefault="000E3F9D" w:rsidP="00520EDF">
            <w:pPr>
              <w:rPr>
                <w:rFonts w:asciiTheme="minorHAnsi" w:hAnsiTheme="minorHAnsi"/>
                <w:sz w:val="18"/>
                <w:szCs w:val="18"/>
              </w:rPr>
            </w:pPr>
            <w:r w:rsidRPr="00816657">
              <w:rPr>
                <w:rFonts w:asciiTheme="minorHAnsi" w:hAnsiTheme="minorHAnsi"/>
                <w:sz w:val="18"/>
                <w:szCs w:val="18"/>
              </w:rPr>
              <w:t>Best</w:t>
            </w:r>
          </w:p>
        </w:tc>
        <w:tc>
          <w:tcPr>
            <w:tcW w:w="655"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8,190 </w:t>
            </w:r>
          </w:p>
        </w:tc>
        <w:tc>
          <w:tcPr>
            <w:tcW w:w="655"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9,705 </w:t>
            </w:r>
          </w:p>
        </w:tc>
        <w:tc>
          <w:tcPr>
            <w:tcW w:w="677"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11,504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13,642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16,182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19,202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22,792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24,989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27,400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30,046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32,950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36,138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39,637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43,478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47,695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52,326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57,411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62,995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69,128 </w:t>
            </w:r>
          </w:p>
        </w:tc>
        <w:tc>
          <w:tcPr>
            <w:tcW w:w="851"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75,864 </w:t>
            </w:r>
          </w:p>
        </w:tc>
        <w:tc>
          <w:tcPr>
            <w:tcW w:w="708" w:type="dxa"/>
            <w:vAlign w:val="bottom"/>
          </w:tcPr>
          <w:p w:rsidR="000E3F9D" w:rsidRPr="00816657" w:rsidRDefault="000E3F9D">
            <w:pPr>
              <w:jc w:val="right"/>
              <w:cnfStyle w:val="000000000000"/>
              <w:rPr>
                <w:rFonts w:asciiTheme="minorHAnsi" w:hAnsiTheme="minorHAnsi"/>
                <w:sz w:val="18"/>
                <w:szCs w:val="18"/>
              </w:rPr>
            </w:pPr>
            <w:r w:rsidRPr="00816657">
              <w:rPr>
                <w:rFonts w:asciiTheme="minorHAnsi" w:hAnsiTheme="minorHAnsi"/>
                <w:sz w:val="18"/>
                <w:szCs w:val="18"/>
              </w:rPr>
              <w:t xml:space="preserve">83,263 </w:t>
            </w:r>
          </w:p>
        </w:tc>
      </w:tr>
      <w:tr w:rsidR="00196889" w:rsidRPr="00816657" w:rsidTr="007F5BD4">
        <w:tc>
          <w:tcPr>
            <w:cnfStyle w:val="001000000000"/>
            <w:tcW w:w="565" w:type="dxa"/>
          </w:tcPr>
          <w:p w:rsidR="000E3F9D" w:rsidRPr="00816657" w:rsidRDefault="000E3F9D" w:rsidP="00520EDF">
            <w:pPr>
              <w:rPr>
                <w:rFonts w:asciiTheme="minorHAnsi" w:hAnsiTheme="minorHAnsi"/>
                <w:sz w:val="18"/>
                <w:szCs w:val="18"/>
              </w:rPr>
            </w:pPr>
            <w:r w:rsidRPr="00816657">
              <w:rPr>
                <w:rFonts w:asciiTheme="minorHAnsi" w:hAnsiTheme="minorHAnsi"/>
                <w:sz w:val="18"/>
                <w:szCs w:val="18"/>
              </w:rPr>
              <w:t>High</w:t>
            </w:r>
          </w:p>
        </w:tc>
        <w:tc>
          <w:tcPr>
            <w:tcW w:w="655"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8,190 </w:t>
            </w:r>
          </w:p>
        </w:tc>
        <w:tc>
          <w:tcPr>
            <w:tcW w:w="655"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9,896 </w:t>
            </w:r>
          </w:p>
        </w:tc>
        <w:tc>
          <w:tcPr>
            <w:tcW w:w="677"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11,968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14,488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17,554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21,288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25,838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29,279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33,191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37,639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42,699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48,458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55,014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62,483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70,993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80,695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91,759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104,383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118,793 </w:t>
            </w:r>
          </w:p>
        </w:tc>
        <w:tc>
          <w:tcPr>
            <w:tcW w:w="851"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135,249 </w:t>
            </w:r>
          </w:p>
        </w:tc>
        <w:tc>
          <w:tcPr>
            <w:tcW w:w="708" w:type="dxa"/>
            <w:vAlign w:val="bottom"/>
          </w:tcPr>
          <w:p w:rsidR="000E3F9D" w:rsidRPr="00816657" w:rsidRDefault="000E3F9D">
            <w:pPr>
              <w:jc w:val="right"/>
              <w:cnfStyle w:val="000000000000"/>
              <w:rPr>
                <w:rFonts w:asciiTheme="minorHAnsi" w:hAnsiTheme="minorHAnsi"/>
                <w:sz w:val="18"/>
                <w:szCs w:val="18"/>
              </w:rPr>
            </w:pPr>
            <w:r w:rsidRPr="00816657">
              <w:rPr>
                <w:rFonts w:asciiTheme="minorHAnsi" w:hAnsiTheme="minorHAnsi"/>
                <w:sz w:val="18"/>
                <w:szCs w:val="18"/>
              </w:rPr>
              <w:t xml:space="preserve">154,049 </w:t>
            </w:r>
          </w:p>
        </w:tc>
      </w:tr>
      <w:tr w:rsidR="00196889" w:rsidRPr="00816657" w:rsidTr="007F5BD4">
        <w:tc>
          <w:tcPr>
            <w:cnfStyle w:val="001000000000"/>
            <w:tcW w:w="565" w:type="dxa"/>
          </w:tcPr>
          <w:p w:rsidR="000E3F9D" w:rsidRPr="00816657" w:rsidRDefault="000E3F9D" w:rsidP="00520EDF">
            <w:pPr>
              <w:rPr>
                <w:rFonts w:asciiTheme="minorHAnsi" w:hAnsiTheme="minorHAnsi"/>
                <w:sz w:val="18"/>
                <w:szCs w:val="18"/>
              </w:rPr>
            </w:pPr>
            <w:r w:rsidRPr="00816657">
              <w:rPr>
                <w:rFonts w:asciiTheme="minorHAnsi" w:hAnsiTheme="minorHAnsi"/>
                <w:sz w:val="18"/>
                <w:szCs w:val="18"/>
              </w:rPr>
              <w:t>Low</w:t>
            </w:r>
          </w:p>
        </w:tc>
        <w:tc>
          <w:tcPr>
            <w:tcW w:w="655"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8,190 </w:t>
            </w:r>
          </w:p>
        </w:tc>
        <w:tc>
          <w:tcPr>
            <w:tcW w:w="655"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9,143 </w:t>
            </w:r>
          </w:p>
        </w:tc>
        <w:tc>
          <w:tcPr>
            <w:tcW w:w="677"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10,218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11,432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12,805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14,359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16,120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16,682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17,270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17,888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18,536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19,216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19,932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20,685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21,477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22,311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23,191 </w:t>
            </w:r>
          </w:p>
        </w:tc>
        <w:tc>
          <w:tcPr>
            <w:tcW w:w="708"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24,119 </w:t>
            </w:r>
          </w:p>
        </w:tc>
        <w:tc>
          <w:tcPr>
            <w:tcW w:w="709"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25,099 </w:t>
            </w:r>
          </w:p>
        </w:tc>
        <w:tc>
          <w:tcPr>
            <w:tcW w:w="851" w:type="dxa"/>
            <w:vAlign w:val="bottom"/>
          </w:tcPr>
          <w:p w:rsidR="000E3F9D" w:rsidRPr="00816657" w:rsidRDefault="000E3F9D" w:rsidP="00DF1E42">
            <w:pPr>
              <w:jc w:val="right"/>
              <w:cnfStyle w:val="000000000000"/>
              <w:rPr>
                <w:rFonts w:asciiTheme="minorHAnsi" w:hAnsiTheme="minorHAnsi"/>
                <w:sz w:val="18"/>
                <w:szCs w:val="18"/>
              </w:rPr>
            </w:pPr>
            <w:r w:rsidRPr="00816657">
              <w:rPr>
                <w:rFonts w:asciiTheme="minorHAnsi" w:hAnsiTheme="minorHAnsi"/>
                <w:sz w:val="18"/>
                <w:szCs w:val="18"/>
              </w:rPr>
              <w:t xml:space="preserve">26,134 </w:t>
            </w:r>
          </w:p>
        </w:tc>
        <w:tc>
          <w:tcPr>
            <w:tcW w:w="708" w:type="dxa"/>
            <w:vAlign w:val="bottom"/>
          </w:tcPr>
          <w:p w:rsidR="000E3F9D" w:rsidRPr="00816657" w:rsidRDefault="000E3F9D">
            <w:pPr>
              <w:jc w:val="right"/>
              <w:cnfStyle w:val="000000000000"/>
              <w:rPr>
                <w:rFonts w:asciiTheme="minorHAnsi" w:hAnsiTheme="minorHAnsi"/>
                <w:sz w:val="18"/>
                <w:szCs w:val="18"/>
              </w:rPr>
            </w:pPr>
            <w:r w:rsidRPr="00816657">
              <w:rPr>
                <w:rFonts w:asciiTheme="minorHAnsi" w:hAnsiTheme="minorHAnsi"/>
                <w:sz w:val="18"/>
                <w:szCs w:val="18"/>
              </w:rPr>
              <w:t xml:space="preserve">27,228 </w:t>
            </w:r>
          </w:p>
        </w:tc>
      </w:tr>
    </w:tbl>
    <w:p w:rsidR="0075119D" w:rsidRDefault="0075119D" w:rsidP="0075119D">
      <w:pPr>
        <w:pStyle w:val="BodyText"/>
      </w:pPr>
    </w:p>
    <w:p w:rsidR="00607B3E" w:rsidRPr="00816657" w:rsidRDefault="00607B3E" w:rsidP="00655F62">
      <w:pPr>
        <w:pStyle w:val="Figures"/>
      </w:pPr>
      <w:bookmarkStart w:id="185" w:name="_Toc425849251"/>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33</w:t>
      </w:r>
      <w:r w:rsidR="006D07F5" w:rsidRPr="00816657">
        <w:rPr>
          <w:noProof/>
        </w:rPr>
        <w:fldChar w:fldCharType="end"/>
      </w:r>
      <w:r w:rsidRPr="00816657">
        <w:t xml:space="preserve">: </w:t>
      </w:r>
      <w:r w:rsidRPr="00816657">
        <w:tab/>
        <w:t xml:space="preserve">Best, high and low national projection estimates of </w:t>
      </w:r>
      <w:r w:rsidR="00A22992" w:rsidRPr="00816657">
        <w:t>lithium-ion</w:t>
      </w:r>
      <w:r w:rsidRPr="00816657">
        <w:t xml:space="preserve"> battery waste to 2034</w:t>
      </w:r>
      <w:bookmarkEnd w:id="185"/>
    </w:p>
    <w:p w:rsidR="002D3055" w:rsidRPr="00816657" w:rsidRDefault="00555A21">
      <w:pPr>
        <w:spacing w:line="240" w:lineRule="auto"/>
      </w:pPr>
      <w:r w:rsidRPr="00555A21">
        <w:rPr>
          <w:noProof/>
          <w:lang w:eastAsia="en-AU"/>
        </w:rPr>
        <w:drawing>
          <wp:inline distT="0" distB="0" distL="0" distR="0">
            <wp:extent cx="5314286" cy="2190476"/>
            <wp:effectExtent l="0" t="0" r="1270" b="63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314286" cy="2190476"/>
                    </a:xfrm>
                    <a:prstGeom prst="rect">
                      <a:avLst/>
                    </a:prstGeom>
                  </pic:spPr>
                </pic:pic>
              </a:graphicData>
            </a:graphic>
          </wp:inline>
        </w:drawing>
      </w:r>
    </w:p>
    <w:p w:rsidR="00C33F11" w:rsidRPr="00816657" w:rsidRDefault="00C33F11">
      <w:pPr>
        <w:spacing w:line="240" w:lineRule="auto"/>
        <w:sectPr w:rsidR="00C33F11" w:rsidRPr="00816657" w:rsidSect="00C97294">
          <w:headerReference w:type="even" r:id="rId130"/>
          <w:headerReference w:type="default" r:id="rId131"/>
          <w:footerReference w:type="even" r:id="rId132"/>
          <w:footerReference w:type="default" r:id="rId133"/>
          <w:headerReference w:type="first" r:id="rId134"/>
          <w:footerReference w:type="first" r:id="rId135"/>
          <w:pgSz w:w="16840" w:h="11907" w:orient="landscape" w:code="9"/>
          <w:pgMar w:top="1417" w:right="1134" w:bottom="1276" w:left="1134" w:header="709" w:footer="567" w:gutter="0"/>
          <w:cols w:space="708"/>
          <w:docGrid w:linePitch="360"/>
        </w:sectPr>
      </w:pPr>
    </w:p>
    <w:p w:rsidR="00972AE7" w:rsidRPr="00816657" w:rsidRDefault="00F22667" w:rsidP="000143BC">
      <w:pPr>
        <w:pStyle w:val="Heading2"/>
      </w:pPr>
      <w:bookmarkStart w:id="186" w:name="_Toc408308722"/>
      <w:bookmarkStart w:id="187" w:name="_Ref420950573"/>
      <w:bookmarkStart w:id="188" w:name="_Toc425849160"/>
      <w:r w:rsidRPr="00816657">
        <w:lastRenderedPageBreak/>
        <w:t>F</w:t>
      </w:r>
      <w:r w:rsidR="00972AE7" w:rsidRPr="00816657">
        <w:t xml:space="preserve">ate of hazardous wastes </w:t>
      </w:r>
      <w:bookmarkEnd w:id="186"/>
      <w:r w:rsidR="00EC29B8" w:rsidRPr="00816657">
        <w:t>(NSW, Vic, Qld)</w:t>
      </w:r>
      <w:bookmarkEnd w:id="187"/>
      <w:bookmarkEnd w:id="188"/>
    </w:p>
    <w:p w:rsidR="005C5F68" w:rsidRDefault="005C5F68" w:rsidP="00FC73B2">
      <w:pPr>
        <w:pStyle w:val="BodyText"/>
      </w:pPr>
      <w:r w:rsidRPr="00FC73B2">
        <w:t>The</w:t>
      </w:r>
      <w:r w:rsidR="00187DCA" w:rsidRPr="00FC73B2">
        <w:t xml:space="preserve"> project team </w:t>
      </w:r>
      <w:r w:rsidR="008E79EE" w:rsidRPr="00FC73B2">
        <w:t>analysed</w:t>
      </w:r>
      <w:r w:rsidR="00187DCA" w:rsidRPr="00FC73B2">
        <w:t xml:space="preserve"> jurisdictional tracking system data to </w:t>
      </w:r>
      <w:r w:rsidR="008E79EE" w:rsidRPr="00FC73B2">
        <w:t>determine</w:t>
      </w:r>
      <w:r w:rsidR="006341B3" w:rsidRPr="00FC73B2">
        <w:t xml:space="preserve"> the </w:t>
      </w:r>
      <w:r w:rsidR="008C5A4A" w:rsidRPr="00FC73B2">
        <w:t>‘</w:t>
      </w:r>
      <w:r w:rsidR="006341B3" w:rsidRPr="00FC73B2">
        <w:t>treatment types</w:t>
      </w:r>
      <w:r w:rsidR="008C5A4A" w:rsidRPr="00FC73B2">
        <w:t>’</w:t>
      </w:r>
      <w:r w:rsidR="006341B3" w:rsidRPr="00FC73B2">
        <w:t xml:space="preserve"> (or fate</w:t>
      </w:r>
      <w:r w:rsidR="008C5A4A" w:rsidRPr="00FC73B2">
        <w:t>s</w:t>
      </w:r>
      <w:r w:rsidR="006341B3" w:rsidRPr="00FC73B2">
        <w:t>) recorded for each waste group</w:t>
      </w:r>
      <w:r w:rsidR="002B7877" w:rsidRPr="00FC73B2">
        <w:t xml:space="preserve"> in the tracking system data</w:t>
      </w:r>
      <w:r w:rsidR="006341B3" w:rsidRPr="00FC73B2">
        <w:t xml:space="preserve">. Fate data </w:t>
      </w:r>
      <w:r w:rsidR="00F1275C" w:rsidRPr="00FC73B2">
        <w:t xml:space="preserve">was </w:t>
      </w:r>
      <w:r w:rsidR="008E79EE" w:rsidRPr="00FC73B2">
        <w:t>comprehensively</w:t>
      </w:r>
      <w:r w:rsidR="00F1275C" w:rsidRPr="00FC73B2">
        <w:t xml:space="preserve"> available from</w:t>
      </w:r>
      <w:r w:rsidR="008E79EE" w:rsidRPr="00FC73B2">
        <w:t xml:space="preserve"> </w:t>
      </w:r>
      <w:r w:rsidRPr="00FC73B2">
        <w:t xml:space="preserve">NSW, </w:t>
      </w:r>
      <w:r w:rsidR="008E79EE" w:rsidRPr="00FC73B2">
        <w:t>Qld and</w:t>
      </w:r>
      <w:r w:rsidR="00F1275C" w:rsidRPr="00FC73B2">
        <w:t xml:space="preserve"> Vic</w:t>
      </w:r>
      <w:r w:rsidR="002B7877" w:rsidRPr="00FC73B2">
        <w:t>. Th</w:t>
      </w:r>
      <w:r w:rsidR="00D60D8D" w:rsidRPr="00FC73B2">
        <w:t xml:space="preserve">e overall </w:t>
      </w:r>
      <w:r w:rsidR="00EC29B8" w:rsidRPr="00FC73B2">
        <w:t xml:space="preserve">tonnage by </w:t>
      </w:r>
      <w:r w:rsidR="00D60D8D" w:rsidRPr="00FC73B2">
        <w:t xml:space="preserve">fate </w:t>
      </w:r>
      <w:r w:rsidR="002B7877" w:rsidRPr="00FC73B2">
        <w:t xml:space="preserve">in these jurisdictions </w:t>
      </w:r>
      <w:r w:rsidR="00D60D8D" w:rsidRPr="00FC73B2">
        <w:t xml:space="preserve">was compiled for 2012-13 and is presented in </w:t>
      </w:r>
      <w:fldSimple w:instr=" REF _Ref408586092 \h  \* MERGEFORMAT ">
        <w:r w:rsidR="002F3000" w:rsidRPr="00816657">
          <w:t xml:space="preserve">Figure </w:t>
        </w:r>
        <w:r w:rsidR="002F3000">
          <w:t>34</w:t>
        </w:r>
      </w:fldSimple>
      <w:r w:rsidR="0038084C" w:rsidRPr="00FC73B2">
        <w:t xml:space="preserve"> and </w:t>
      </w:r>
      <w:fldSimple w:instr=" REF _Ref419210530 \h  \* MERGEFORMAT ">
        <w:r w:rsidR="002F3000">
          <w:t>T</w:t>
        </w:r>
        <w:r w:rsidR="002F3000" w:rsidRPr="001D2480">
          <w:t xml:space="preserve">able </w:t>
        </w:r>
        <w:r w:rsidR="002F3000">
          <w:t>42</w:t>
        </w:r>
      </w:fldSimple>
      <w:r w:rsidR="00D60D8D" w:rsidRPr="00FC73B2">
        <w:t>.</w:t>
      </w:r>
      <w:r w:rsidR="00EC29B8" w:rsidRPr="00FC73B2">
        <w:t xml:space="preserve"> </w:t>
      </w:r>
      <w:r w:rsidR="008E79EE" w:rsidRPr="00FC73B2">
        <w:t xml:space="preserve">Some manipulation of </w:t>
      </w:r>
      <w:r w:rsidR="002B7877" w:rsidRPr="00FC73B2">
        <w:t>Qld and Vic</w:t>
      </w:r>
      <w:r w:rsidR="008E79EE" w:rsidRPr="00FC73B2">
        <w:t xml:space="preserve"> data was needed to establish </w:t>
      </w:r>
      <w:r w:rsidR="00D60D8D" w:rsidRPr="00FC73B2">
        <w:t>uniform categories</w:t>
      </w:r>
      <w:r w:rsidR="002B7877" w:rsidRPr="00FC73B2">
        <w:t xml:space="preserve"> based on the NSW system. These fate categories do not align neatly with the fates reported in national waste reporting (waste reuse, recycling, energy recovery and disposal).</w:t>
      </w:r>
      <w:r w:rsidR="00262543" w:rsidRPr="00FC73B2">
        <w:t xml:space="preserve"> Overall, the quantity presented represents about half of the total tonnes generated in Australia. </w:t>
      </w:r>
      <w:r w:rsidR="0038084C" w:rsidRPr="00FC73B2">
        <w:t>The potential for multiple counting within the data should be considered</w:t>
      </w:r>
      <w:r w:rsidR="00C346F9" w:rsidRPr="00FC73B2">
        <w:t xml:space="preserve"> in interpreting the data.</w:t>
      </w:r>
      <w:r w:rsidR="008C5A4A" w:rsidRPr="00FC73B2">
        <w:t xml:space="preserve"> For example, waste that is sent to chemical/physical treatment may be landfilled after treatment and the tonnage would be included under both fates in the figure below. From an infrastructure capacity assessment perspective, both the CPT and landfill tonnages are relevant and need to be considered.</w:t>
      </w:r>
    </w:p>
    <w:p w:rsidR="00FC73B2" w:rsidRPr="00FC73B2" w:rsidRDefault="00FC73B2" w:rsidP="00FC73B2">
      <w:pPr>
        <w:pStyle w:val="BodyText"/>
      </w:pPr>
    </w:p>
    <w:p w:rsidR="00D60D8D" w:rsidRDefault="00350C90" w:rsidP="00655F62">
      <w:pPr>
        <w:pStyle w:val="Figures"/>
      </w:pPr>
      <w:bookmarkStart w:id="189" w:name="_Ref408586092"/>
      <w:bookmarkStart w:id="190" w:name="_Toc425849252"/>
      <w:r w:rsidRPr="00816657">
        <w:t xml:space="preserve">Figure </w:t>
      </w:r>
      <w:r w:rsidR="006D07F5" w:rsidRPr="00816657">
        <w:fldChar w:fldCharType="begin"/>
      </w:r>
      <w:r w:rsidRPr="00816657">
        <w:instrText xml:space="preserve"> SEQ Figure \* ARABIC </w:instrText>
      </w:r>
      <w:r w:rsidR="006D07F5" w:rsidRPr="00816657">
        <w:fldChar w:fldCharType="separate"/>
      </w:r>
      <w:r w:rsidR="002F3000">
        <w:rPr>
          <w:noProof/>
        </w:rPr>
        <w:t>34</w:t>
      </w:r>
      <w:r w:rsidR="006D07F5" w:rsidRPr="00816657">
        <w:fldChar w:fldCharType="end"/>
      </w:r>
      <w:bookmarkEnd w:id="189"/>
      <w:r w:rsidRPr="00816657">
        <w:t>:</w:t>
      </w:r>
      <w:r w:rsidR="00677849" w:rsidRPr="00816657">
        <w:tab/>
      </w:r>
      <w:r w:rsidR="00D60D8D" w:rsidRPr="00816657">
        <w:t>The fate of tracked hazardous waste in NSW, Qld and Vic, 2012-13</w:t>
      </w:r>
      <w:r w:rsidR="004B2A28" w:rsidRPr="00816657">
        <w:t xml:space="preserve"> (tonnes)</w:t>
      </w:r>
      <w:bookmarkStart w:id="191" w:name="_Ref419143651"/>
      <w:r w:rsidR="007D1DCC">
        <w:rPr>
          <w:rStyle w:val="FootnoteReference"/>
        </w:rPr>
        <w:footnoteReference w:id="16"/>
      </w:r>
      <w:bookmarkEnd w:id="190"/>
      <w:bookmarkEnd w:id="191"/>
    </w:p>
    <w:p w:rsidR="008C5A4A" w:rsidRPr="00816657" w:rsidRDefault="008C5A4A" w:rsidP="00655F62">
      <w:pPr>
        <w:pStyle w:val="Figures"/>
      </w:pPr>
      <w:r w:rsidRPr="008C5A4A">
        <w:rPr>
          <w:noProof/>
          <w:lang w:eastAsia="en-AU"/>
        </w:rPr>
        <w:drawing>
          <wp:inline distT="0" distB="0" distL="0" distR="0">
            <wp:extent cx="5783283" cy="5656002"/>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5783283" cy="5656002"/>
                    </a:xfrm>
                    <a:prstGeom prst="rect">
                      <a:avLst/>
                    </a:prstGeom>
                  </pic:spPr>
                </pic:pic>
              </a:graphicData>
            </a:graphic>
          </wp:inline>
        </w:drawing>
      </w:r>
    </w:p>
    <w:p w:rsidR="0005436B" w:rsidRPr="00D715B9" w:rsidRDefault="0005436B" w:rsidP="001E5AE0">
      <w:pPr>
        <w:pStyle w:val="BodyText"/>
        <w:rPr>
          <w:sz w:val="2"/>
          <w:szCs w:val="2"/>
        </w:rPr>
      </w:pPr>
    </w:p>
    <w:p w:rsidR="00503564" w:rsidRDefault="00503564" w:rsidP="00655F62">
      <w:pPr>
        <w:pStyle w:val="Figures"/>
      </w:pPr>
      <w:bookmarkStart w:id="192" w:name="_Ref419210530"/>
      <w:bookmarkStart w:id="193" w:name="_Toc425849327"/>
      <w:r>
        <w:lastRenderedPageBreak/>
        <w:t>T</w:t>
      </w:r>
      <w:r w:rsidRPr="001D2480">
        <w:t xml:space="preserve">able </w:t>
      </w:r>
      <w:fldSimple w:instr=" SEQ Table \* ARABIC ">
        <w:r w:rsidR="002F3000">
          <w:rPr>
            <w:noProof/>
          </w:rPr>
          <w:t>42</w:t>
        </w:r>
      </w:fldSimple>
      <w:bookmarkEnd w:id="192"/>
      <w:r w:rsidRPr="001D2480">
        <w:t xml:space="preserve">: </w:t>
      </w:r>
      <w:r>
        <w:tab/>
      </w:r>
      <w:r w:rsidRPr="00816657">
        <w:t>The fate of tracked hazardous waste in NSW, Qld and Vic, 2012-13 (tonnes</w:t>
      </w:r>
      <w:proofErr w:type="gramStart"/>
      <w:r w:rsidRPr="00816657">
        <w:t>)</w:t>
      </w:r>
      <w:proofErr w:type="gramEnd"/>
      <w:r w:rsidR="006D07F5">
        <w:fldChar w:fldCharType="begin"/>
      </w:r>
      <w:r w:rsidR="006D07F5">
        <w:instrText xml:space="preserve"> NOTEREF _Ref419143651 \h  \* MERGEFORMAT </w:instrText>
      </w:r>
      <w:r w:rsidR="006D07F5">
        <w:fldChar w:fldCharType="separate"/>
      </w:r>
      <w:r w:rsidR="002F3000">
        <w:rPr>
          <w:vertAlign w:val="superscript"/>
        </w:rPr>
        <w:t>16</w:t>
      </w:r>
      <w:bookmarkEnd w:id="193"/>
      <w:r w:rsidR="006D07F5">
        <w:fldChar w:fldCharType="end"/>
      </w:r>
    </w:p>
    <w:p w:rsidR="00391799" w:rsidRDefault="00396064" w:rsidP="00503564">
      <w:pPr>
        <w:pStyle w:val="FigureTableinfo"/>
      </w:pPr>
      <w:r w:rsidRPr="00396064">
        <w:rPr>
          <w:noProof/>
          <w:lang w:eastAsia="en-AU"/>
        </w:rPr>
        <w:drawing>
          <wp:inline distT="0" distB="0" distL="0" distR="0">
            <wp:extent cx="5333334" cy="4866667"/>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5333334" cy="4866667"/>
                    </a:xfrm>
                    <a:prstGeom prst="rect">
                      <a:avLst/>
                    </a:prstGeom>
                  </pic:spPr>
                </pic:pic>
              </a:graphicData>
            </a:graphic>
          </wp:inline>
        </w:drawing>
      </w:r>
    </w:p>
    <w:p w:rsidR="0005436B" w:rsidRDefault="00391799" w:rsidP="00503564">
      <w:pPr>
        <w:pStyle w:val="FigureTableinfo"/>
      </w:pPr>
      <w:r>
        <w:t xml:space="preserve">Notes: </w:t>
      </w:r>
      <w:r w:rsidR="00503564">
        <w:t xml:space="preserve">Tannery and wool scouring data is withheld due to commercial confidentiality concerns </w:t>
      </w:r>
    </w:p>
    <w:p w:rsidR="00503564" w:rsidRDefault="00503564" w:rsidP="001E5AE0">
      <w:pPr>
        <w:pStyle w:val="BodyText"/>
      </w:pPr>
    </w:p>
    <w:p w:rsidR="0005436B" w:rsidRDefault="00D715B9" w:rsidP="001E5AE0">
      <w:pPr>
        <w:pStyle w:val="BodyText"/>
      </w:pPr>
      <w:r>
        <w:t xml:space="preserve">The tracking system data contained no evidence of waste exports. </w:t>
      </w:r>
      <w:proofErr w:type="gramStart"/>
      <w:r>
        <w:t>Review of reports from the Basel Convention suggest</w:t>
      </w:r>
      <w:proofErr w:type="gramEnd"/>
      <w:r>
        <w:t xml:space="preserve"> this is not a common pathway for hazardous waste</w:t>
      </w:r>
      <w:r>
        <w:rPr>
          <w:rStyle w:val="FootnoteReference"/>
        </w:rPr>
        <w:footnoteReference w:id="17"/>
      </w:r>
      <w:r>
        <w:t>.</w:t>
      </w:r>
    </w:p>
    <w:p w:rsidR="0005436B" w:rsidRDefault="0005436B" w:rsidP="001E5AE0">
      <w:pPr>
        <w:pStyle w:val="BodyText"/>
      </w:pPr>
    </w:p>
    <w:p w:rsidR="005D2A33" w:rsidRPr="00816657" w:rsidRDefault="006D07F5" w:rsidP="001E5AE0">
      <w:pPr>
        <w:pStyle w:val="BodyText"/>
      </w:pPr>
      <w:r w:rsidRPr="00816657">
        <w:fldChar w:fldCharType="begin"/>
      </w:r>
      <w:r w:rsidR="001E5AE0" w:rsidRPr="00816657">
        <w:instrText xml:space="preserve"> REF _Ref408852840 \h </w:instrText>
      </w:r>
      <w:r w:rsidRPr="00816657">
        <w:fldChar w:fldCharType="separate"/>
      </w:r>
      <w:r w:rsidR="002F3000" w:rsidRPr="00816657">
        <w:t xml:space="preserve">Figure </w:t>
      </w:r>
      <w:r w:rsidR="002F3000">
        <w:rPr>
          <w:noProof/>
        </w:rPr>
        <w:t>35</w:t>
      </w:r>
      <w:r w:rsidRPr="00816657">
        <w:fldChar w:fldCharType="end"/>
      </w:r>
      <w:r w:rsidR="007F4CD4">
        <w:t xml:space="preserve"> and </w:t>
      </w:r>
      <w:r>
        <w:fldChar w:fldCharType="begin"/>
      </w:r>
      <w:r w:rsidR="00396064">
        <w:instrText xml:space="preserve"> REF _Ref421197046 \h </w:instrText>
      </w:r>
      <w:r>
        <w:fldChar w:fldCharType="separate"/>
      </w:r>
      <w:r w:rsidR="002F3000">
        <w:t>T</w:t>
      </w:r>
      <w:r w:rsidR="002F3000" w:rsidRPr="001D2480">
        <w:t xml:space="preserve">able </w:t>
      </w:r>
      <w:r w:rsidR="002F3000">
        <w:rPr>
          <w:noProof/>
        </w:rPr>
        <w:t>43</w:t>
      </w:r>
      <w:r>
        <w:fldChar w:fldCharType="end"/>
      </w:r>
      <w:r w:rsidR="001E5AE0" w:rsidRPr="00816657">
        <w:t xml:space="preserve"> present </w:t>
      </w:r>
      <w:r w:rsidR="00AF606A" w:rsidRPr="00816657">
        <w:t>similar</w:t>
      </w:r>
      <w:r w:rsidR="00EC29B8" w:rsidRPr="00816657">
        <w:t xml:space="preserve"> </w:t>
      </w:r>
      <w:r w:rsidR="001E5AE0" w:rsidRPr="00816657">
        <w:t xml:space="preserve">data </w:t>
      </w:r>
      <w:r w:rsidR="00AF606A" w:rsidRPr="00816657">
        <w:t xml:space="preserve">expressed in terms of the </w:t>
      </w:r>
      <w:r w:rsidR="001E5AE0" w:rsidRPr="00816657">
        <w:t xml:space="preserve">percentage of the tonnes of </w:t>
      </w:r>
      <w:r w:rsidR="00AF606A" w:rsidRPr="00816657">
        <w:t xml:space="preserve">each </w:t>
      </w:r>
      <w:r w:rsidR="001E5AE0" w:rsidRPr="00816657">
        <w:t>waste</w:t>
      </w:r>
      <w:r w:rsidR="00AF606A" w:rsidRPr="00816657">
        <w:t xml:space="preserve"> group</w:t>
      </w:r>
      <w:r w:rsidR="001E5AE0" w:rsidRPr="00816657">
        <w:t xml:space="preserve"> arising</w:t>
      </w:r>
      <w:r w:rsidR="00AF606A" w:rsidRPr="00816657">
        <w:t xml:space="preserve"> that is</w:t>
      </w:r>
      <w:r w:rsidR="001E5AE0" w:rsidRPr="00816657">
        <w:t xml:space="preserve"> sent to each fate category.</w:t>
      </w:r>
      <w:r w:rsidR="00317B6B" w:rsidRPr="00816657">
        <w:t xml:space="preserve"> </w:t>
      </w:r>
      <w:r w:rsidR="00BB5629">
        <w:t>The fate category</w:t>
      </w:r>
      <w:r w:rsidR="00317B6B" w:rsidRPr="00816657">
        <w:t xml:space="preserve"> ‘</w:t>
      </w:r>
      <w:r w:rsidR="00AF606A" w:rsidRPr="00816657">
        <w:t xml:space="preserve">other or </w:t>
      </w:r>
      <w:r w:rsidR="00317B6B" w:rsidRPr="00816657">
        <w:t>not stated’ is removed</w:t>
      </w:r>
      <w:r w:rsidR="00BB5629">
        <w:rPr>
          <w:rStyle w:val="FootnoteReference"/>
        </w:rPr>
        <w:footnoteReference w:id="18"/>
      </w:r>
      <w:r w:rsidR="00317B6B" w:rsidRPr="00816657">
        <w:t>.</w:t>
      </w:r>
      <w:r w:rsidR="001E5AE0" w:rsidRPr="00816657">
        <w:t xml:space="preserve"> </w:t>
      </w:r>
      <w:r w:rsidR="00AF606A" w:rsidRPr="00816657">
        <w:t>The</w:t>
      </w:r>
      <w:r w:rsidR="00317B6B" w:rsidRPr="00816657">
        <w:t xml:space="preserve"> </w:t>
      </w:r>
      <w:r w:rsidR="001E5AE0" w:rsidRPr="00816657">
        <w:t>fig</w:t>
      </w:r>
      <w:r w:rsidR="00317B6B" w:rsidRPr="00816657">
        <w:t>u</w:t>
      </w:r>
      <w:r w:rsidR="001E5AE0" w:rsidRPr="00816657">
        <w:t xml:space="preserve">re </w:t>
      </w:r>
      <w:r w:rsidR="00AF606A" w:rsidRPr="00816657">
        <w:t xml:space="preserve">also </w:t>
      </w:r>
      <w:r w:rsidR="001E5AE0" w:rsidRPr="00816657">
        <w:t xml:space="preserve">shows the </w:t>
      </w:r>
      <w:r w:rsidR="005D2A33" w:rsidRPr="00816657">
        <w:t>project team’s</w:t>
      </w:r>
      <w:r w:rsidR="001E5AE0" w:rsidRPr="00816657">
        <w:t xml:space="preserve"> estimates of the likely fate of the six waste groups that are not included in the tracking system data</w:t>
      </w:r>
      <w:r w:rsidR="00C9588A">
        <w:t>, assuming they are appropriately dealt with as hazardous wastes</w:t>
      </w:r>
      <w:r w:rsidR="005D2A33" w:rsidRPr="00816657">
        <w:t>. These are:</w:t>
      </w:r>
    </w:p>
    <w:p w:rsidR="005D2A33" w:rsidRPr="00816657" w:rsidRDefault="005D2A33" w:rsidP="005D2A33">
      <w:pPr>
        <w:pStyle w:val="Bullet1"/>
      </w:pPr>
      <w:r w:rsidRPr="00816657">
        <w:t>PFOS, POP-BDEs, HBCD a</w:t>
      </w:r>
      <w:r w:rsidR="00CC3DD9">
        <w:t>nd</w:t>
      </w:r>
      <w:r w:rsidRPr="00816657">
        <w:t xml:space="preserve"> HCB –</w:t>
      </w:r>
      <w:r w:rsidR="00AF606A" w:rsidRPr="00816657">
        <w:t xml:space="preserve"> </w:t>
      </w:r>
      <w:r w:rsidR="00C9588A">
        <w:t>allocated to incineration</w:t>
      </w:r>
      <w:r w:rsidRPr="00816657">
        <w:t>, since the Stockholm Convention requires their ‘destruction’</w:t>
      </w:r>
    </w:p>
    <w:p w:rsidR="005D2A33" w:rsidRPr="00816657" w:rsidRDefault="001E5AE0" w:rsidP="005D2A33">
      <w:pPr>
        <w:pStyle w:val="Bullet1"/>
      </w:pPr>
      <w:r w:rsidRPr="00816657">
        <w:t>contaminated biosolids</w:t>
      </w:r>
      <w:r w:rsidR="005D2A33" w:rsidRPr="00816657">
        <w:t xml:space="preserve"> –</w:t>
      </w:r>
      <w:r w:rsidR="00AF606A" w:rsidRPr="00816657">
        <w:t xml:space="preserve"> </w:t>
      </w:r>
      <w:r w:rsidR="00C9588A">
        <w:t>allocated</w:t>
      </w:r>
      <w:r w:rsidR="005D2A33" w:rsidRPr="00816657">
        <w:t xml:space="preserve"> to landfill</w:t>
      </w:r>
    </w:p>
    <w:p w:rsidR="00D60D8D" w:rsidRPr="00816657" w:rsidRDefault="005D2A33" w:rsidP="005D2A33">
      <w:pPr>
        <w:pStyle w:val="Bullet1"/>
      </w:pPr>
      <w:proofErr w:type="gramStart"/>
      <w:r w:rsidRPr="00816657">
        <w:t>lithium-ion</w:t>
      </w:r>
      <w:proofErr w:type="gramEnd"/>
      <w:r w:rsidRPr="00816657">
        <w:t xml:space="preserve"> batteries </w:t>
      </w:r>
      <w:r w:rsidR="00E02699" w:rsidRPr="00816657">
        <w:t>–</w:t>
      </w:r>
      <w:r w:rsidR="00AF606A" w:rsidRPr="00816657">
        <w:t xml:space="preserve"> </w:t>
      </w:r>
      <w:r w:rsidR="00C9588A">
        <w:t>allocated to recycling</w:t>
      </w:r>
      <w:r w:rsidR="00AF606A" w:rsidRPr="00816657">
        <w:t>.</w:t>
      </w:r>
    </w:p>
    <w:p w:rsidR="008F4BE0" w:rsidRPr="00816657" w:rsidRDefault="008F4BE0" w:rsidP="008F4BE0">
      <w:pPr>
        <w:pStyle w:val="BodyText"/>
      </w:pPr>
    </w:p>
    <w:p w:rsidR="008F4BE0" w:rsidRPr="00816657" w:rsidRDefault="006D07F5" w:rsidP="008F4BE0">
      <w:pPr>
        <w:pStyle w:val="BodyText"/>
      </w:pPr>
      <w:r w:rsidRPr="00816657">
        <w:fldChar w:fldCharType="begin"/>
      </w:r>
      <w:r w:rsidR="00EC29B8" w:rsidRPr="00816657">
        <w:instrText xml:space="preserve"> REF _Ref408852840 \h </w:instrText>
      </w:r>
      <w:r w:rsidRPr="00816657">
        <w:fldChar w:fldCharType="separate"/>
      </w:r>
      <w:r w:rsidR="002F3000" w:rsidRPr="00816657">
        <w:t xml:space="preserve">Figure </w:t>
      </w:r>
      <w:r w:rsidR="002F3000">
        <w:rPr>
          <w:noProof/>
        </w:rPr>
        <w:t>35</w:t>
      </w:r>
      <w:r w:rsidRPr="00816657">
        <w:fldChar w:fldCharType="end"/>
      </w:r>
      <w:r w:rsidR="00F954D8" w:rsidRPr="00816657">
        <w:t xml:space="preserve"> </w:t>
      </w:r>
      <w:r w:rsidR="002E79F2">
        <w:t xml:space="preserve">and </w:t>
      </w:r>
      <w:r>
        <w:fldChar w:fldCharType="begin"/>
      </w:r>
      <w:r w:rsidR="00396064">
        <w:instrText xml:space="preserve"> REF _Ref421197046 \h </w:instrText>
      </w:r>
      <w:r>
        <w:fldChar w:fldCharType="separate"/>
      </w:r>
      <w:r w:rsidR="002F3000">
        <w:t>T</w:t>
      </w:r>
      <w:r w:rsidR="002F3000" w:rsidRPr="001D2480">
        <w:t xml:space="preserve">able </w:t>
      </w:r>
      <w:r w:rsidR="002F3000">
        <w:rPr>
          <w:noProof/>
        </w:rPr>
        <w:t>43</w:t>
      </w:r>
      <w:r>
        <w:fldChar w:fldCharType="end"/>
      </w:r>
      <w:r w:rsidR="00992BFF">
        <w:t xml:space="preserve"> </w:t>
      </w:r>
      <w:r w:rsidR="00401AA2" w:rsidRPr="00816657">
        <w:t xml:space="preserve">represent the best </w:t>
      </w:r>
      <w:r w:rsidR="00CA0FFC" w:rsidRPr="00816657">
        <w:t xml:space="preserve">available national </w:t>
      </w:r>
      <w:r w:rsidR="00EC29B8" w:rsidRPr="00816657">
        <w:t>average for fate</w:t>
      </w:r>
      <w:r w:rsidR="002E79F2">
        <w:t>,</w:t>
      </w:r>
      <w:r w:rsidR="00EC29B8" w:rsidRPr="00816657">
        <w:t xml:space="preserve"> and </w:t>
      </w:r>
      <w:r w:rsidR="002E79F2">
        <w:t>are</w:t>
      </w:r>
      <w:r w:rsidR="00EC29B8" w:rsidRPr="00816657">
        <w:t xml:space="preserve"> used in the analysis detailed in Section</w:t>
      </w:r>
      <w:r w:rsidR="007C6937">
        <w:t xml:space="preserve"> </w:t>
      </w:r>
      <w:r>
        <w:fldChar w:fldCharType="begin"/>
      </w:r>
      <w:r w:rsidR="007C6937">
        <w:instrText xml:space="preserve"> REF _Ref419968861 \r \h </w:instrText>
      </w:r>
      <w:r>
        <w:fldChar w:fldCharType="separate"/>
      </w:r>
      <w:r w:rsidR="002F3000">
        <w:t>4</w:t>
      </w:r>
      <w:r>
        <w:fldChar w:fldCharType="end"/>
      </w:r>
      <w:r w:rsidR="00EC29B8" w:rsidRPr="00816657">
        <w:t>.</w:t>
      </w:r>
    </w:p>
    <w:p w:rsidR="00396064" w:rsidRDefault="00396064">
      <w:pPr>
        <w:spacing w:line="240" w:lineRule="auto"/>
        <w:rPr>
          <w:color w:val="080808"/>
          <w:sz w:val="22"/>
        </w:rPr>
      </w:pPr>
      <w:r>
        <w:br w:type="page"/>
      </w:r>
    </w:p>
    <w:p w:rsidR="00AF606A" w:rsidRPr="00396064" w:rsidRDefault="00AF606A" w:rsidP="008F4BE0">
      <w:pPr>
        <w:pStyle w:val="BodyText"/>
        <w:rPr>
          <w:sz w:val="2"/>
          <w:szCs w:val="2"/>
        </w:rPr>
      </w:pPr>
    </w:p>
    <w:p w:rsidR="00125CD4" w:rsidRPr="00816657" w:rsidRDefault="008F4BE0" w:rsidP="00655F62">
      <w:pPr>
        <w:pStyle w:val="Figures"/>
      </w:pPr>
      <w:bookmarkStart w:id="194" w:name="_Ref408852840"/>
      <w:bookmarkStart w:id="195" w:name="_Ref408852833"/>
      <w:bookmarkStart w:id="196" w:name="_Toc425849253"/>
      <w:r w:rsidRPr="00816657">
        <w:t xml:space="preserve">Figure </w:t>
      </w:r>
      <w:r w:rsidR="006D07F5" w:rsidRPr="00816657">
        <w:fldChar w:fldCharType="begin"/>
      </w:r>
      <w:r w:rsidRPr="00816657">
        <w:instrText xml:space="preserve"> SEQ Figure \* ARABIC </w:instrText>
      </w:r>
      <w:r w:rsidR="006D07F5" w:rsidRPr="00816657">
        <w:fldChar w:fldCharType="separate"/>
      </w:r>
      <w:r w:rsidR="002F3000">
        <w:rPr>
          <w:noProof/>
        </w:rPr>
        <w:t>35</w:t>
      </w:r>
      <w:r w:rsidR="006D07F5" w:rsidRPr="00816657">
        <w:fldChar w:fldCharType="end"/>
      </w:r>
      <w:bookmarkEnd w:id="194"/>
      <w:r w:rsidRPr="00816657">
        <w:t>:</w:t>
      </w:r>
      <w:bookmarkEnd w:id="195"/>
      <w:r w:rsidR="00677849" w:rsidRPr="00816657">
        <w:tab/>
      </w:r>
      <w:r w:rsidRPr="00816657">
        <w:t>The fate of tracked hazardous waste in NSW, Qld and Vic, 2012-13</w:t>
      </w:r>
      <w:r w:rsidR="004B2A28" w:rsidRPr="00816657">
        <w:t xml:space="preserve"> (percentages)</w:t>
      </w:r>
      <w:bookmarkEnd w:id="196"/>
    </w:p>
    <w:p w:rsidR="009368D6" w:rsidRPr="00816657" w:rsidRDefault="009368D6" w:rsidP="00AF606A">
      <w:pPr>
        <w:pStyle w:val="BodyText"/>
        <w:rPr>
          <w:sz w:val="2"/>
          <w:szCs w:val="2"/>
        </w:rPr>
      </w:pPr>
    </w:p>
    <w:p w:rsidR="00396064" w:rsidRDefault="00CA051E">
      <w:pPr>
        <w:spacing w:line="240" w:lineRule="auto"/>
      </w:pPr>
      <w:bookmarkStart w:id="197" w:name="_Ref409366116"/>
      <w:r w:rsidRPr="00CA051E">
        <w:rPr>
          <w:noProof/>
          <w:lang w:eastAsia="en-AU"/>
        </w:rPr>
        <w:drawing>
          <wp:inline distT="0" distB="0" distL="0" distR="0">
            <wp:extent cx="5867265" cy="410416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cstate="print"/>
                    <a:srcRect t="2279"/>
                    <a:stretch/>
                  </pic:blipFill>
                  <pic:spPr bwMode="auto">
                    <a:xfrm>
                      <a:off x="0" y="0"/>
                      <a:ext cx="5865850" cy="41031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6064" w:rsidRDefault="00396064">
      <w:pPr>
        <w:spacing w:line="240" w:lineRule="auto"/>
      </w:pPr>
    </w:p>
    <w:p w:rsidR="00CC2222" w:rsidRDefault="00CC2222" w:rsidP="00655F62">
      <w:pPr>
        <w:pStyle w:val="Figures"/>
      </w:pPr>
      <w:bookmarkStart w:id="198" w:name="_Ref421197046"/>
      <w:bookmarkStart w:id="199" w:name="_Toc425849328"/>
      <w:r>
        <w:t>T</w:t>
      </w:r>
      <w:r w:rsidRPr="001D2480">
        <w:t xml:space="preserve">able </w:t>
      </w:r>
      <w:fldSimple w:instr=" SEQ Table \* ARABIC ">
        <w:r w:rsidR="002F3000">
          <w:rPr>
            <w:noProof/>
          </w:rPr>
          <w:t>43</w:t>
        </w:r>
      </w:fldSimple>
      <w:bookmarkEnd w:id="198"/>
      <w:r w:rsidRPr="001D2480">
        <w:t xml:space="preserve">: </w:t>
      </w:r>
      <w:r>
        <w:tab/>
      </w:r>
      <w:r w:rsidR="007F4CD4" w:rsidRPr="00816657">
        <w:t>The fate of tracked hazardous waste in NSW, Qld and Vic, 2012-13 (percentages)</w:t>
      </w:r>
      <w:bookmarkEnd w:id="199"/>
    </w:p>
    <w:p w:rsidR="002E79F2" w:rsidRDefault="00396064">
      <w:pPr>
        <w:spacing w:line="240" w:lineRule="auto"/>
      </w:pPr>
      <w:r w:rsidRPr="00396064">
        <w:rPr>
          <w:noProof/>
          <w:lang w:eastAsia="en-AU"/>
        </w:rPr>
        <w:drawing>
          <wp:inline distT="0" distB="0" distL="0" distR="0">
            <wp:extent cx="4781607" cy="4221126"/>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4782233" cy="4221678"/>
                    </a:xfrm>
                    <a:prstGeom prst="rect">
                      <a:avLst/>
                    </a:prstGeom>
                  </pic:spPr>
                </pic:pic>
              </a:graphicData>
            </a:graphic>
          </wp:inline>
        </w:drawing>
      </w:r>
    </w:p>
    <w:p w:rsidR="002F3000" w:rsidRDefault="005D28BC" w:rsidP="008C0AE0">
      <w:pPr>
        <w:pStyle w:val="BodyText"/>
      </w:pPr>
      <w:r w:rsidRPr="00816657">
        <w:lastRenderedPageBreak/>
        <w:t>The fate proportions for NSW, Qld, and Vic are</w:t>
      </w:r>
      <w:r w:rsidR="004307FD">
        <w:t xml:space="preserve"> each</w:t>
      </w:r>
      <w:r w:rsidRPr="00816657">
        <w:t xml:space="preserve"> similarly presented in </w:t>
      </w:r>
      <w:r w:rsidR="006D07F5">
        <w:fldChar w:fldCharType="begin"/>
      </w:r>
      <w:r w:rsidR="00D715B9">
        <w:instrText xml:space="preserve"> REF _Ref419143857 \h </w:instrText>
      </w:r>
      <w:r w:rsidR="006D07F5">
        <w:fldChar w:fldCharType="separate"/>
      </w:r>
      <w:r w:rsidR="002F3000" w:rsidRPr="00816657">
        <w:t xml:space="preserve">Figure </w:t>
      </w:r>
      <w:r w:rsidR="002F3000">
        <w:rPr>
          <w:noProof/>
        </w:rPr>
        <w:t>36</w:t>
      </w:r>
      <w:r w:rsidR="006D07F5">
        <w:fldChar w:fldCharType="end"/>
      </w:r>
      <w:r w:rsidRPr="00816657">
        <w:t xml:space="preserve"> to </w:t>
      </w:r>
      <w:r w:rsidR="006D07F5" w:rsidRPr="00816657">
        <w:fldChar w:fldCharType="begin"/>
      </w:r>
      <w:r w:rsidRPr="00816657">
        <w:instrText xml:space="preserve"> REF _Ref409270313 \h </w:instrText>
      </w:r>
      <w:r w:rsidR="006D07F5" w:rsidRPr="00816657">
        <w:fldChar w:fldCharType="separate"/>
      </w:r>
    </w:p>
    <w:p w:rsidR="005D28BC" w:rsidRPr="00816657" w:rsidRDefault="002F3000" w:rsidP="005D28BC">
      <w:pPr>
        <w:pStyle w:val="BodyText"/>
      </w:pPr>
      <w:proofErr w:type="gramStart"/>
      <w:r w:rsidRPr="00816657">
        <w:t xml:space="preserve">Figure </w:t>
      </w:r>
      <w:r>
        <w:rPr>
          <w:noProof/>
        </w:rPr>
        <w:t>38</w:t>
      </w:r>
      <w:r w:rsidR="006D07F5" w:rsidRPr="00816657">
        <w:fldChar w:fldCharType="end"/>
      </w:r>
      <w:r w:rsidR="005D28BC" w:rsidRPr="00816657">
        <w:t>.</w:t>
      </w:r>
      <w:proofErr w:type="gramEnd"/>
      <w:r w:rsidR="005D28BC" w:rsidRPr="00816657">
        <w:t xml:space="preserve"> Where there is no information about the fate of a </w:t>
      </w:r>
      <w:r w:rsidR="002E762B">
        <w:t>waste</w:t>
      </w:r>
      <w:r w:rsidR="005D28BC" w:rsidRPr="00816657">
        <w:t xml:space="preserve"> group it is because the group is not tracked in that state.</w:t>
      </w:r>
    </w:p>
    <w:p w:rsidR="005D28BC" w:rsidRPr="00816657" w:rsidRDefault="005D28BC" w:rsidP="005D28BC">
      <w:pPr>
        <w:pStyle w:val="BodyText"/>
      </w:pPr>
    </w:p>
    <w:p w:rsidR="005D28BC" w:rsidRPr="00816657" w:rsidRDefault="005D28BC" w:rsidP="005D28BC">
      <w:pPr>
        <w:pStyle w:val="BodyText"/>
      </w:pPr>
      <w:r w:rsidRPr="00816657">
        <w:t xml:space="preserve">Interesting differences are apparent in the ways the management of the various waste groups are recorded. NSW has higher proportions of chemical and physical treatment for several waste groups than both Qld and Vic. In Qld wastes groups are often listed as recycled and in Vic they are often listed as recycled or transferred. </w:t>
      </w:r>
    </w:p>
    <w:p w:rsidR="005D28BC" w:rsidRPr="00816657" w:rsidRDefault="005D28BC" w:rsidP="005D28BC">
      <w:pPr>
        <w:pStyle w:val="BodyText"/>
      </w:pPr>
    </w:p>
    <w:p w:rsidR="005D28BC" w:rsidRPr="00816657" w:rsidRDefault="005D28BC" w:rsidP="005D28BC">
      <w:pPr>
        <w:pStyle w:val="BodyText"/>
      </w:pPr>
      <w:r w:rsidRPr="00816657">
        <w:t xml:space="preserve">These differences could reflect variability how these waste groups are actually managed, but in some cases they may be the result of differences in how jurisdictions classify fates or how users of tracking systems use the </w:t>
      </w:r>
      <w:r w:rsidR="002E79F2">
        <w:t>classifi</w:t>
      </w:r>
      <w:r w:rsidRPr="00816657">
        <w:t xml:space="preserve">cation options. Comparisons of fate proportions between jurisdictions need to be undertaken carefully because inconsistencies could lead to misleading conclusions. </w:t>
      </w:r>
    </w:p>
    <w:p w:rsidR="005D28BC" w:rsidRPr="00816657" w:rsidRDefault="005D28BC" w:rsidP="005D28BC">
      <w:pPr>
        <w:pStyle w:val="BodyText"/>
      </w:pPr>
    </w:p>
    <w:p w:rsidR="005D28BC" w:rsidRPr="00816657" w:rsidRDefault="00243718" w:rsidP="005D28BC">
      <w:pPr>
        <w:pStyle w:val="BodyText"/>
      </w:pPr>
      <w:r w:rsidRPr="00816657">
        <w:t xml:space="preserve">Waste fates are explored </w:t>
      </w:r>
      <w:r w:rsidR="005D28BC" w:rsidRPr="00816657">
        <w:t xml:space="preserve">further in Section </w:t>
      </w:r>
      <w:r w:rsidR="006D07F5">
        <w:fldChar w:fldCharType="begin"/>
      </w:r>
      <w:r w:rsidR="00922F8E">
        <w:instrText xml:space="preserve"> REF _Ref420055195 \r \h </w:instrText>
      </w:r>
      <w:r w:rsidR="006D07F5">
        <w:fldChar w:fldCharType="separate"/>
      </w:r>
      <w:r w:rsidR="002F3000">
        <w:t>4</w:t>
      </w:r>
      <w:r w:rsidR="006D07F5">
        <w:fldChar w:fldCharType="end"/>
      </w:r>
      <w:r w:rsidR="00FA63D3">
        <w:t>.</w:t>
      </w:r>
    </w:p>
    <w:p w:rsidR="00D715B9" w:rsidRDefault="002E79F2">
      <w:pPr>
        <w:spacing w:line="240" w:lineRule="auto"/>
      </w:pPr>
      <w:r>
        <w:t xml:space="preserve"> </w:t>
      </w:r>
    </w:p>
    <w:p w:rsidR="005D28BC" w:rsidRPr="00D715B9" w:rsidRDefault="005D28BC" w:rsidP="005D28BC">
      <w:pPr>
        <w:pStyle w:val="BodyText"/>
        <w:rPr>
          <w:sz w:val="2"/>
          <w:szCs w:val="2"/>
        </w:rPr>
      </w:pPr>
    </w:p>
    <w:p w:rsidR="00307003" w:rsidRPr="00816657" w:rsidRDefault="00307003" w:rsidP="00655F62">
      <w:pPr>
        <w:pStyle w:val="Figures"/>
      </w:pPr>
      <w:bookmarkStart w:id="200" w:name="_Ref419143857"/>
      <w:bookmarkStart w:id="201" w:name="_Ref419143842"/>
      <w:bookmarkStart w:id="202" w:name="_Toc425849254"/>
      <w:r w:rsidRPr="00816657">
        <w:t xml:space="preserve">Figure </w:t>
      </w:r>
      <w:fldSimple w:instr=" SEQ Figure \* ARABIC ">
        <w:r w:rsidR="002F3000">
          <w:rPr>
            <w:noProof/>
          </w:rPr>
          <w:t>36</w:t>
        </w:r>
      </w:fldSimple>
      <w:bookmarkEnd w:id="197"/>
      <w:bookmarkEnd w:id="200"/>
      <w:r w:rsidR="00677849" w:rsidRPr="00816657">
        <w:rPr>
          <w:noProof/>
        </w:rPr>
        <w:t>:</w:t>
      </w:r>
      <w:r w:rsidR="00677849" w:rsidRPr="00816657">
        <w:rPr>
          <w:noProof/>
        </w:rPr>
        <w:tab/>
      </w:r>
      <w:r w:rsidR="006D6D95" w:rsidRPr="00816657">
        <w:t xml:space="preserve">The fate of tracked hazardous waste in NSW, </w:t>
      </w:r>
      <w:r w:rsidR="00B7217A" w:rsidRPr="00816657">
        <w:t>2012-13</w:t>
      </w:r>
      <w:r w:rsidR="004B2A28" w:rsidRPr="00816657">
        <w:t xml:space="preserve"> (percentages)</w:t>
      </w:r>
      <w:bookmarkEnd w:id="201"/>
      <w:bookmarkEnd w:id="202"/>
    </w:p>
    <w:p w:rsidR="00243718" w:rsidRPr="00816657" w:rsidRDefault="00876494" w:rsidP="008C0AE0">
      <w:pPr>
        <w:pStyle w:val="BodyText"/>
        <w:sectPr w:rsidR="00243718" w:rsidRPr="00816657" w:rsidSect="00506340">
          <w:headerReference w:type="even" r:id="rId140"/>
          <w:headerReference w:type="default" r:id="rId141"/>
          <w:footerReference w:type="even" r:id="rId142"/>
          <w:footerReference w:type="default" r:id="rId143"/>
          <w:headerReference w:type="first" r:id="rId144"/>
          <w:footerReference w:type="first" r:id="rId145"/>
          <w:pgSz w:w="11907" w:h="16840" w:code="9"/>
          <w:pgMar w:top="1418" w:right="1077" w:bottom="993" w:left="1304" w:header="709" w:footer="709" w:gutter="0"/>
          <w:cols w:space="708"/>
          <w:docGrid w:linePitch="360"/>
        </w:sectPr>
      </w:pPr>
      <w:r w:rsidRPr="00CA051E">
        <w:rPr>
          <w:noProof/>
          <w:lang w:eastAsia="en-AU"/>
        </w:rPr>
        <w:drawing>
          <wp:anchor distT="0" distB="0" distL="114300" distR="114300" simplePos="0" relativeHeight="251653632" behindDoc="0" locked="0" layoutInCell="1" allowOverlap="1">
            <wp:simplePos x="0" y="0"/>
            <wp:positionH relativeFrom="column">
              <wp:posOffset>-90805</wp:posOffset>
            </wp:positionH>
            <wp:positionV relativeFrom="paragraph">
              <wp:posOffset>84455</wp:posOffset>
            </wp:positionV>
            <wp:extent cx="6087110" cy="4240530"/>
            <wp:effectExtent l="0" t="0" r="889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87110" cy="4240530"/>
                    </a:xfrm>
                    <a:prstGeom prst="rect">
                      <a:avLst/>
                    </a:prstGeom>
                  </pic:spPr>
                </pic:pic>
              </a:graphicData>
            </a:graphic>
          </wp:anchor>
        </w:drawing>
      </w:r>
    </w:p>
    <w:p w:rsidR="00243718" w:rsidRPr="00816657" w:rsidRDefault="00243718" w:rsidP="00243718">
      <w:pPr>
        <w:pStyle w:val="BodyText"/>
        <w:rPr>
          <w:sz w:val="2"/>
          <w:szCs w:val="2"/>
        </w:rPr>
      </w:pPr>
    </w:p>
    <w:p w:rsidR="00B7217A" w:rsidRPr="00816657" w:rsidRDefault="00B7217A" w:rsidP="00655F62">
      <w:pPr>
        <w:pStyle w:val="Figures"/>
      </w:pPr>
      <w:bookmarkStart w:id="203" w:name="_Toc425849255"/>
      <w:r w:rsidRPr="00816657">
        <w:t xml:space="preserve">Figure </w:t>
      </w:r>
      <w:fldSimple w:instr=" SEQ Figure \* ARABIC ">
        <w:r w:rsidR="002F3000">
          <w:rPr>
            <w:noProof/>
          </w:rPr>
          <w:t>37</w:t>
        </w:r>
      </w:fldSimple>
      <w:r w:rsidR="00677849" w:rsidRPr="00816657">
        <w:rPr>
          <w:noProof/>
        </w:rPr>
        <w:t>:</w:t>
      </w:r>
      <w:r w:rsidR="00677849" w:rsidRPr="00816657">
        <w:rPr>
          <w:noProof/>
        </w:rPr>
        <w:tab/>
      </w:r>
      <w:r w:rsidR="004B2A28" w:rsidRPr="00816657">
        <w:t>The fate of tracked hazardous waste in Qld, 2012-13 (percentages)</w:t>
      </w:r>
      <w:bookmarkEnd w:id="203"/>
    </w:p>
    <w:p w:rsidR="00307003" w:rsidRPr="00816657" w:rsidRDefault="00CA051E" w:rsidP="00307003">
      <w:pPr>
        <w:pStyle w:val="BodyText"/>
        <w:jc w:val="both"/>
      </w:pPr>
      <w:r w:rsidRPr="00CA051E">
        <w:rPr>
          <w:noProof/>
          <w:lang w:eastAsia="en-AU"/>
        </w:rPr>
        <w:drawing>
          <wp:inline distT="0" distB="0" distL="0" distR="0">
            <wp:extent cx="6148552" cy="4301359"/>
            <wp:effectExtent l="0" t="0" r="508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6148552" cy="4301359"/>
                    </a:xfrm>
                    <a:prstGeom prst="rect">
                      <a:avLst/>
                    </a:prstGeom>
                  </pic:spPr>
                </pic:pic>
              </a:graphicData>
            </a:graphic>
          </wp:inline>
        </w:drawing>
      </w:r>
    </w:p>
    <w:p w:rsidR="008C0AE0" w:rsidRDefault="008C0AE0" w:rsidP="008C0AE0">
      <w:pPr>
        <w:pStyle w:val="BodyText"/>
      </w:pPr>
      <w:bookmarkStart w:id="204" w:name="_Ref409270313"/>
    </w:p>
    <w:p w:rsidR="00B7217A" w:rsidRPr="00816657" w:rsidRDefault="00B7217A" w:rsidP="00655F62">
      <w:pPr>
        <w:pStyle w:val="Figures"/>
      </w:pPr>
      <w:bookmarkStart w:id="205" w:name="_Ref421281439"/>
      <w:bookmarkStart w:id="206" w:name="_Toc425849256"/>
      <w:r w:rsidRPr="00816657">
        <w:t xml:space="preserve">Figure </w:t>
      </w:r>
      <w:fldSimple w:instr=" SEQ Figure \* ARABIC ">
        <w:r w:rsidR="002F3000">
          <w:rPr>
            <w:noProof/>
          </w:rPr>
          <w:t>38</w:t>
        </w:r>
      </w:fldSimple>
      <w:bookmarkEnd w:id="204"/>
      <w:bookmarkEnd w:id="205"/>
      <w:r w:rsidR="00677849" w:rsidRPr="00816657">
        <w:rPr>
          <w:noProof/>
        </w:rPr>
        <w:t>:</w:t>
      </w:r>
      <w:r w:rsidR="00677849" w:rsidRPr="00816657">
        <w:rPr>
          <w:noProof/>
        </w:rPr>
        <w:tab/>
      </w:r>
      <w:r w:rsidR="004B2A28" w:rsidRPr="00816657">
        <w:t>The fate of tracked hazardous waste in Vic, 2012-13 (percentages)</w:t>
      </w:r>
      <w:bookmarkEnd w:id="206"/>
    </w:p>
    <w:p w:rsidR="00CB61C2" w:rsidRPr="00816657" w:rsidRDefault="00CA051E" w:rsidP="00CB61C2">
      <w:pPr>
        <w:pStyle w:val="BodyText"/>
      </w:pPr>
      <w:r w:rsidRPr="00CA051E">
        <w:rPr>
          <w:noProof/>
          <w:lang w:eastAsia="en-AU"/>
        </w:rPr>
        <w:drawing>
          <wp:inline distT="0" distB="0" distL="0" distR="0">
            <wp:extent cx="6053958" cy="4242945"/>
            <wp:effectExtent l="0" t="0" r="444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6053958" cy="4242945"/>
                    </a:xfrm>
                    <a:prstGeom prst="rect">
                      <a:avLst/>
                    </a:prstGeom>
                  </pic:spPr>
                </pic:pic>
              </a:graphicData>
            </a:graphic>
          </wp:inline>
        </w:drawing>
      </w:r>
    </w:p>
    <w:p w:rsidR="00C04AB5" w:rsidRPr="00816657" w:rsidRDefault="00C04AB5" w:rsidP="00655F62">
      <w:pPr>
        <w:pStyle w:val="Figures"/>
        <w:sectPr w:rsidR="00C04AB5" w:rsidRPr="00816657" w:rsidSect="00243718">
          <w:headerReference w:type="default" r:id="rId149"/>
          <w:pgSz w:w="11907" w:h="16840" w:code="9"/>
          <w:pgMar w:top="454" w:right="1077" w:bottom="992" w:left="1134" w:header="709" w:footer="709" w:gutter="0"/>
          <w:cols w:space="708"/>
          <w:docGrid w:linePitch="360"/>
        </w:sectPr>
      </w:pPr>
    </w:p>
    <w:p w:rsidR="005F6187" w:rsidRPr="00816657" w:rsidRDefault="00CD30FA" w:rsidP="005F6187">
      <w:pPr>
        <w:pStyle w:val="Heading1"/>
      </w:pPr>
      <w:bookmarkStart w:id="207" w:name="_Toc408308724"/>
      <w:bookmarkStart w:id="208" w:name="_Ref409382111"/>
      <w:bookmarkStart w:id="209" w:name="_Ref419488697"/>
      <w:bookmarkStart w:id="210" w:name="_Ref420668021"/>
      <w:bookmarkStart w:id="211" w:name="_Toc425849161"/>
      <w:r w:rsidRPr="00816657">
        <w:lastRenderedPageBreak/>
        <w:t>H</w:t>
      </w:r>
      <w:r w:rsidR="005F6187" w:rsidRPr="00816657">
        <w:t>azardous waste infrastructure assessment</w:t>
      </w:r>
      <w:bookmarkEnd w:id="207"/>
      <w:bookmarkEnd w:id="208"/>
      <w:bookmarkEnd w:id="209"/>
      <w:bookmarkEnd w:id="210"/>
      <w:bookmarkEnd w:id="211"/>
    </w:p>
    <w:p w:rsidR="00464591" w:rsidRDefault="000A7416" w:rsidP="007F5BD4">
      <w:pPr>
        <w:pStyle w:val="BodyText"/>
      </w:pPr>
      <w:r>
        <w:t>This section reports on an assessment of t</w:t>
      </w:r>
      <w:r w:rsidR="00464591" w:rsidRPr="00464591">
        <w:t xml:space="preserve">he </w:t>
      </w:r>
      <w:r w:rsidRPr="00464591">
        <w:t>current and potential</w:t>
      </w:r>
      <w:r w:rsidRPr="00464591">
        <w:rPr>
          <w:vertAlign w:val="superscript"/>
        </w:rPr>
        <w:footnoteReference w:id="19"/>
      </w:r>
      <w:r w:rsidRPr="00464591">
        <w:t xml:space="preserve"> </w:t>
      </w:r>
      <w:r w:rsidR="00464591" w:rsidRPr="00464591">
        <w:t xml:space="preserve">capacity </w:t>
      </w:r>
      <w:r>
        <w:t xml:space="preserve">of </w:t>
      </w:r>
      <w:r w:rsidR="00464591" w:rsidRPr="00464591">
        <w:t>Australia’s</w:t>
      </w:r>
      <w:r>
        <w:t xml:space="preserve"> hazardous waste infrastructure. This was undertaken </w:t>
      </w:r>
      <w:r w:rsidR="00464591" w:rsidRPr="00464591">
        <w:t xml:space="preserve">primarily </w:t>
      </w:r>
      <w:r>
        <w:t xml:space="preserve">through </w:t>
      </w:r>
      <w:r w:rsidR="00464591" w:rsidRPr="00464591">
        <w:t>consultation with the waste industry</w:t>
      </w:r>
      <w:r>
        <w:t xml:space="preserve">. </w:t>
      </w:r>
      <w:r w:rsidR="00464591" w:rsidRPr="00464591">
        <w:t xml:space="preserve">This section discusses the scope, method and result of the assessment. The results of the assessment are followed by a discussion of the key issues raised by industry during consultation, Section </w:t>
      </w:r>
      <w:r w:rsidR="006D07F5" w:rsidRPr="00464591">
        <w:fldChar w:fldCharType="begin"/>
      </w:r>
      <w:r w:rsidR="00464591" w:rsidRPr="00464591">
        <w:instrText xml:space="preserve"> REF _Ref419402256 \r \h </w:instrText>
      </w:r>
      <w:r w:rsidR="006D07F5" w:rsidRPr="00464591">
        <w:fldChar w:fldCharType="separate"/>
      </w:r>
      <w:r w:rsidR="002F3000">
        <w:t>3.8</w:t>
      </w:r>
      <w:r w:rsidR="006D07F5" w:rsidRPr="00464591">
        <w:fldChar w:fldCharType="end"/>
      </w:r>
      <w:r w:rsidR="00464591" w:rsidRPr="00464591">
        <w:t>.</w:t>
      </w:r>
      <w:r>
        <w:t xml:space="preserve"> The purpose of the assessment was to allow </w:t>
      </w:r>
      <w:r w:rsidRPr="00464591">
        <w:t>compar</w:t>
      </w:r>
      <w:r>
        <w:t>ison with</w:t>
      </w:r>
      <w:r w:rsidRPr="00464591">
        <w:t xml:space="preserve"> projected arisings</w:t>
      </w:r>
      <w:r>
        <w:t xml:space="preserve">, which is reported in Section </w:t>
      </w:r>
      <w:r w:rsidR="006D07F5">
        <w:fldChar w:fldCharType="begin"/>
      </w:r>
      <w:r>
        <w:instrText xml:space="preserve"> REF _Ref419458961 \r \h </w:instrText>
      </w:r>
      <w:r w:rsidR="006D07F5">
        <w:fldChar w:fldCharType="separate"/>
      </w:r>
      <w:r w:rsidR="002F3000">
        <w:t>4</w:t>
      </w:r>
      <w:r w:rsidR="006D07F5">
        <w:fldChar w:fldCharType="end"/>
      </w:r>
      <w:r w:rsidRPr="00464591">
        <w:t>.</w:t>
      </w:r>
    </w:p>
    <w:p w:rsidR="004307FD" w:rsidRPr="00464591" w:rsidRDefault="004307FD" w:rsidP="007F5BD4">
      <w:pPr>
        <w:pStyle w:val="BodyText"/>
      </w:pPr>
    </w:p>
    <w:p w:rsidR="00464591" w:rsidRPr="00464591" w:rsidRDefault="00464591" w:rsidP="007F5BD4">
      <w:pPr>
        <w:pStyle w:val="Heading2"/>
      </w:pPr>
      <w:bookmarkStart w:id="212" w:name="_Toc419449179"/>
      <w:bookmarkStart w:id="213" w:name="_Ref421281642"/>
      <w:bookmarkStart w:id="214" w:name="_Toc425849162"/>
      <w:r w:rsidRPr="00464591">
        <w:t>Scope of infrastructure assessment</w:t>
      </w:r>
      <w:bookmarkEnd w:id="212"/>
      <w:bookmarkEnd w:id="213"/>
      <w:bookmarkEnd w:id="214"/>
      <w:r w:rsidRPr="00464591">
        <w:t xml:space="preserve"> </w:t>
      </w:r>
    </w:p>
    <w:p w:rsidR="00464591" w:rsidRPr="00464591" w:rsidRDefault="00464591" w:rsidP="00464591">
      <w:pPr>
        <w:spacing w:line="240" w:lineRule="auto"/>
        <w:rPr>
          <w:rFonts w:asciiTheme="minorHAnsi" w:hAnsiTheme="minorHAnsi" w:cs="Times New Roman"/>
          <w:color w:val="000000"/>
          <w:sz w:val="22"/>
          <w:lang w:eastAsia="en-AU"/>
        </w:rPr>
      </w:pPr>
      <w:r w:rsidRPr="00464591">
        <w:rPr>
          <w:color w:val="080808"/>
          <w:sz w:val="22"/>
        </w:rPr>
        <w:t>The infrastructure assessment scope was set by a preceding project that produced a database of hazardous waste infrastructure (</w:t>
      </w:r>
      <w:r w:rsidRPr="00464591">
        <w:rPr>
          <w:rFonts w:asciiTheme="minorHAnsi" w:hAnsiTheme="minorHAnsi" w:cs="Times New Roman"/>
          <w:color w:val="000000"/>
          <w:sz w:val="22"/>
          <w:lang w:eastAsia="en-AU"/>
        </w:rPr>
        <w:t>Rawtec 2014)</w:t>
      </w:r>
      <w:r w:rsidRPr="00464591">
        <w:rPr>
          <w:rFonts w:asciiTheme="minorHAnsi" w:hAnsiTheme="minorHAnsi" w:cs="Times New Roman"/>
          <w:color w:val="000000"/>
          <w:sz w:val="22"/>
          <w:vertAlign w:val="superscript"/>
          <w:lang w:eastAsia="en-AU"/>
        </w:rPr>
        <w:footnoteReference w:id="20"/>
      </w:r>
      <w:r w:rsidRPr="00464591">
        <w:rPr>
          <w:rFonts w:asciiTheme="minorHAnsi" w:hAnsiTheme="minorHAnsi" w:cs="Times New Roman"/>
          <w:color w:val="000000"/>
          <w:sz w:val="22"/>
          <w:lang w:eastAsia="en-AU"/>
        </w:rPr>
        <w:t>. The scope was defined as follows:</w:t>
      </w:r>
    </w:p>
    <w:p w:rsidR="00464591" w:rsidRPr="00464591" w:rsidRDefault="00464591" w:rsidP="00464591">
      <w:pPr>
        <w:spacing w:line="240" w:lineRule="auto"/>
        <w:rPr>
          <w:color w:val="080808"/>
          <w:sz w:val="22"/>
        </w:rPr>
      </w:pPr>
    </w:p>
    <w:p w:rsidR="00464591" w:rsidRPr="00464591" w:rsidRDefault="00464591" w:rsidP="00464591">
      <w:pPr>
        <w:spacing w:after="120" w:line="240" w:lineRule="auto"/>
        <w:ind w:left="425" w:right="595"/>
        <w:rPr>
          <w:i/>
          <w:color w:val="080808"/>
          <w:sz w:val="22"/>
        </w:rPr>
      </w:pPr>
      <w:r w:rsidRPr="00464591">
        <w:rPr>
          <w:i/>
          <w:color w:val="080808"/>
          <w:sz w:val="22"/>
        </w:rPr>
        <w:t xml:space="preserve"> “The dataset developed for this project is focused on identifying key sites and facilities across Australia which receive, store (major facilities only), process, treat and dispose of hazardous wastes, whether these are in liquid, solid or sludge forms. It comprises commercial facilities that stand in the market to treat third party hazardous wastes. For example, a facility that generates hazardous waste and processes the hazardous waste onsite but does not process third party wastes is excluded from the dataset.</w:t>
      </w:r>
    </w:p>
    <w:p w:rsidR="00464591" w:rsidRPr="00464591" w:rsidRDefault="00464591" w:rsidP="00464591">
      <w:pPr>
        <w:tabs>
          <w:tab w:val="right" w:pos="8931"/>
        </w:tabs>
        <w:spacing w:line="240" w:lineRule="auto"/>
        <w:ind w:left="426" w:right="595"/>
        <w:rPr>
          <w:color w:val="080808"/>
          <w:sz w:val="22"/>
        </w:rPr>
      </w:pPr>
      <w:r w:rsidRPr="00464591">
        <w:rPr>
          <w:i/>
          <w:color w:val="080808"/>
          <w:sz w:val="22"/>
        </w:rPr>
        <w:t xml:space="preserve">The dataset does not include sites where hazardous wastes are originally generated (such as manufacturing sites). It does not include smelters and cement kilns which may undertake processing of wastes considered hazardous. This is because smelters and cement kilns are not usually considered as hazardous waste treatment or disposal facilities. It does not include sites and facilities that manage grease trap, sewerage and industrial wash waters (e.g. composting facilities, sewerage treatment plants) or sites that dispose of asbestos and tyres (e.g. landfills), except where those sites also manage other hazardous wastes. This is because those sites are not usually considered as hazardous waste treatment or disposal facilities. Quarantine waste facilities are excluded from the scope. A number of </w:t>
      </w:r>
      <w:r w:rsidR="00110D33">
        <w:rPr>
          <w:i/>
          <w:color w:val="080808"/>
          <w:sz w:val="22"/>
        </w:rPr>
        <w:t>e-waste</w:t>
      </w:r>
      <w:r w:rsidRPr="00464591">
        <w:rPr>
          <w:i/>
          <w:color w:val="080808"/>
          <w:sz w:val="22"/>
        </w:rPr>
        <w:t xml:space="preserve"> facilities are included, focussed on major facilities that undertake physical/chemical treatment or disassembly. It is recognised that there are other facilities which deal with hazardous wastes that are not included in the dataset, such as smaller storage facilities and transfer stations. To the extent possible, multi-use facilities that also handle hazardous waste are included in the dataset. This includes landfill sites.”</w:t>
      </w:r>
      <w:r w:rsidRPr="00464591">
        <w:rPr>
          <w:i/>
          <w:color w:val="080808"/>
          <w:sz w:val="22"/>
        </w:rPr>
        <w:tab/>
      </w:r>
      <w:r w:rsidRPr="00464591">
        <w:rPr>
          <w:color w:val="080808"/>
          <w:sz w:val="22"/>
        </w:rPr>
        <w:t>Rawtec (2014 p.7)</w:t>
      </w:r>
    </w:p>
    <w:p w:rsidR="00464591" w:rsidRPr="00464591" w:rsidRDefault="00464591" w:rsidP="00464591">
      <w:pPr>
        <w:spacing w:line="240" w:lineRule="auto"/>
        <w:ind w:left="426" w:right="595"/>
        <w:rPr>
          <w:i/>
          <w:color w:val="080808"/>
          <w:sz w:val="22"/>
        </w:rPr>
      </w:pPr>
    </w:p>
    <w:p w:rsidR="00464591" w:rsidRPr="00464591" w:rsidRDefault="00464591" w:rsidP="00464591">
      <w:pPr>
        <w:spacing w:line="240" w:lineRule="auto"/>
        <w:rPr>
          <w:color w:val="080808"/>
          <w:sz w:val="22"/>
        </w:rPr>
      </w:pPr>
      <w:r w:rsidRPr="00464591">
        <w:rPr>
          <w:color w:val="080808"/>
          <w:sz w:val="22"/>
        </w:rPr>
        <w:t xml:space="preserve">Rawtec tabulates the scope limitations as </w:t>
      </w:r>
      <w:r w:rsidR="000A7416">
        <w:rPr>
          <w:color w:val="080808"/>
          <w:sz w:val="22"/>
        </w:rPr>
        <w:t>shown</w:t>
      </w:r>
      <w:r w:rsidRPr="00464591">
        <w:rPr>
          <w:color w:val="080808"/>
          <w:sz w:val="22"/>
        </w:rPr>
        <w:t xml:space="preserve"> below.</w:t>
      </w:r>
    </w:p>
    <w:p w:rsidR="00464591" w:rsidRPr="00464591" w:rsidRDefault="00464591" w:rsidP="00464591">
      <w:pPr>
        <w:spacing w:line="240" w:lineRule="auto"/>
        <w:rPr>
          <w:color w:val="080808"/>
          <w:sz w:val="22"/>
        </w:rPr>
      </w:pPr>
    </w:p>
    <w:p w:rsidR="00464591" w:rsidRPr="00655F62" w:rsidRDefault="00464591" w:rsidP="00655F62">
      <w:pPr>
        <w:pStyle w:val="Figures"/>
      </w:pPr>
      <w:bookmarkStart w:id="215" w:name="_Toc419190506"/>
      <w:bookmarkStart w:id="216" w:name="_Toc425849329"/>
      <w:r w:rsidRPr="00655F62">
        <w:t xml:space="preserve">Table </w:t>
      </w:r>
      <w:fldSimple w:instr=" SEQ Table \* ARABIC ">
        <w:r w:rsidR="002F3000">
          <w:rPr>
            <w:noProof/>
          </w:rPr>
          <w:t>44</w:t>
        </w:r>
      </w:fldSimple>
      <w:r w:rsidRPr="00655F62">
        <w:t xml:space="preserve">: </w:t>
      </w:r>
      <w:r w:rsidRPr="00655F62">
        <w:tab/>
        <w:t>Limitations to the scope of the Rawtec (2014 p.8) database of hazardous waste infrastructure in Australia</w:t>
      </w:r>
      <w:bookmarkEnd w:id="215"/>
      <w:bookmarkEnd w:id="216"/>
    </w:p>
    <w:tbl>
      <w:tblPr>
        <w:tblStyle w:val="TableGrid21"/>
        <w:tblW w:w="9498"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ayout w:type="fixed"/>
        <w:tblCellMar>
          <w:top w:w="28" w:type="dxa"/>
          <w:bottom w:w="28" w:type="dxa"/>
        </w:tblCellMar>
        <w:tblLook w:val="04A0"/>
      </w:tblPr>
      <w:tblGrid>
        <w:gridCol w:w="2552"/>
        <w:gridCol w:w="6946"/>
      </w:tblGrid>
      <w:tr w:rsidR="00464591" w:rsidRPr="00464591" w:rsidTr="00EF7EBD">
        <w:trPr>
          <w:cantSplit/>
          <w:tblHeader/>
        </w:trPr>
        <w:tc>
          <w:tcPr>
            <w:tcW w:w="2552" w:type="dxa"/>
            <w:vAlign w:val="center"/>
          </w:tcPr>
          <w:p w:rsidR="00464591" w:rsidRPr="00464591" w:rsidRDefault="00464591" w:rsidP="00464591">
            <w:pPr>
              <w:spacing w:before="0" w:after="0" w:line="240" w:lineRule="auto"/>
              <w:rPr>
                <w:rFonts w:asciiTheme="minorHAnsi" w:hAnsiTheme="minorHAnsi" w:cs="Calibri"/>
                <w:b/>
                <w:i/>
                <w:color w:val="auto"/>
                <w:szCs w:val="20"/>
                <w:lang w:val="en-AU"/>
              </w:rPr>
            </w:pPr>
            <w:r w:rsidRPr="00464591">
              <w:rPr>
                <w:rFonts w:asciiTheme="minorHAnsi" w:hAnsiTheme="minorHAnsi" w:cs="Calibri"/>
                <w:b/>
                <w:i/>
                <w:color w:val="auto"/>
                <w:szCs w:val="20"/>
                <w:lang w:val="en-AU"/>
              </w:rPr>
              <w:t>“Waste Item</w:t>
            </w:r>
          </w:p>
        </w:tc>
        <w:tc>
          <w:tcPr>
            <w:tcW w:w="6946" w:type="dxa"/>
            <w:vAlign w:val="center"/>
          </w:tcPr>
          <w:p w:rsidR="00464591" w:rsidRPr="00464591" w:rsidRDefault="00464591" w:rsidP="00464591">
            <w:pPr>
              <w:spacing w:before="0" w:after="0" w:line="240" w:lineRule="auto"/>
              <w:rPr>
                <w:rFonts w:asciiTheme="minorHAnsi" w:hAnsiTheme="minorHAnsi" w:cs="Calibri"/>
                <w:b/>
                <w:i/>
                <w:color w:val="auto"/>
                <w:szCs w:val="20"/>
                <w:lang w:val="en-AU"/>
              </w:rPr>
            </w:pPr>
            <w:r w:rsidRPr="00464591">
              <w:rPr>
                <w:rFonts w:asciiTheme="minorHAnsi" w:hAnsiTheme="minorHAnsi" w:cs="Calibri"/>
                <w:b/>
                <w:i/>
                <w:color w:val="auto"/>
                <w:szCs w:val="20"/>
                <w:lang w:val="en-AU"/>
              </w:rPr>
              <w:t>Comments</w:t>
            </w:r>
          </w:p>
        </w:tc>
      </w:tr>
      <w:tr w:rsidR="00464591" w:rsidRPr="00464591" w:rsidTr="00EF7EBD">
        <w:trPr>
          <w:cantSplit/>
        </w:trPr>
        <w:tc>
          <w:tcPr>
            <w:tcW w:w="2552"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Original points of hazardous waste generation (e.g. manufacturing facilities)</w:t>
            </w:r>
          </w:p>
        </w:tc>
        <w:tc>
          <w:tcPr>
            <w:tcW w:w="6946"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This dataset focuses on facilities or sites that treat or dispose of hazardous wastes and therefore does not include original points of generation.</w:t>
            </w:r>
          </w:p>
        </w:tc>
      </w:tr>
      <w:tr w:rsidR="00464591" w:rsidRPr="00464591" w:rsidTr="00EF7EBD">
        <w:trPr>
          <w:cantSplit/>
        </w:trPr>
        <w:tc>
          <w:tcPr>
            <w:tcW w:w="2552"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Intermediate storage and transfer facilities</w:t>
            </w:r>
          </w:p>
        </w:tc>
        <w:tc>
          <w:tcPr>
            <w:tcW w:w="6946"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Some intermediate storage facilities are included in this dataset. It is recognised that there are other facilities which deal with hazardous wastes that are not included in the dataset, such as smaller storage facilities and transfer stations.</w:t>
            </w:r>
          </w:p>
        </w:tc>
      </w:tr>
      <w:tr w:rsidR="00464591" w:rsidRPr="00464591" w:rsidTr="00EF7EBD">
        <w:trPr>
          <w:cantSplit/>
        </w:trPr>
        <w:tc>
          <w:tcPr>
            <w:tcW w:w="2552"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lastRenderedPageBreak/>
              <w:t>Smelters and cement kilns</w:t>
            </w:r>
          </w:p>
        </w:tc>
        <w:tc>
          <w:tcPr>
            <w:tcW w:w="6946"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 xml:space="preserve">Smelters and cement kilns are not considered as hazardous waste treatment facilities and therefore are not captured in this </w:t>
            </w:r>
            <w:proofErr w:type="gramStart"/>
            <w:r w:rsidRPr="00464591">
              <w:rPr>
                <w:rFonts w:asciiTheme="minorHAnsi" w:hAnsiTheme="minorHAnsi" w:cs="Calibri"/>
                <w:i/>
                <w:color w:val="auto"/>
                <w:szCs w:val="20"/>
                <w:lang w:val="en-AU"/>
              </w:rPr>
              <w:t>dataset,</w:t>
            </w:r>
            <w:proofErr w:type="gramEnd"/>
            <w:r w:rsidRPr="00464591">
              <w:rPr>
                <w:rFonts w:asciiTheme="minorHAnsi" w:hAnsiTheme="minorHAnsi" w:cs="Calibri"/>
                <w:i/>
                <w:color w:val="auto"/>
                <w:szCs w:val="20"/>
                <w:lang w:val="en-AU"/>
              </w:rPr>
              <w:t xml:space="preserve"> however it is still acknowledged that they may process some hazardous wastes.</w:t>
            </w:r>
          </w:p>
        </w:tc>
      </w:tr>
      <w:tr w:rsidR="00464591" w:rsidRPr="00464591" w:rsidTr="00EF7EBD">
        <w:trPr>
          <w:cantSplit/>
        </w:trPr>
        <w:tc>
          <w:tcPr>
            <w:tcW w:w="2552"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Tyres</w:t>
            </w:r>
          </w:p>
        </w:tc>
        <w:tc>
          <w:tcPr>
            <w:tcW w:w="6946"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Tyre processing and disposal facilities were excluded from the scope.</w:t>
            </w:r>
          </w:p>
        </w:tc>
      </w:tr>
      <w:tr w:rsidR="00464591" w:rsidRPr="00464591" w:rsidTr="00EF7EBD">
        <w:trPr>
          <w:cantSplit/>
        </w:trPr>
        <w:tc>
          <w:tcPr>
            <w:tcW w:w="2552"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Grease trap</w:t>
            </w:r>
          </w:p>
        </w:tc>
        <w:tc>
          <w:tcPr>
            <w:tcW w:w="6946"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Grease trap was captured where the treatment facility also treated other hazardous wastes. Grease trap to composting facilities was not included.</w:t>
            </w:r>
          </w:p>
        </w:tc>
      </w:tr>
      <w:tr w:rsidR="00464591" w:rsidRPr="00464591" w:rsidTr="00EF7EBD">
        <w:trPr>
          <w:cantSplit/>
        </w:trPr>
        <w:tc>
          <w:tcPr>
            <w:tcW w:w="2552"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Sewerage and industrial wash waters</w:t>
            </w:r>
          </w:p>
        </w:tc>
        <w:tc>
          <w:tcPr>
            <w:tcW w:w="6946"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Sewerage and industrial wash water treatment facilities were excluded from the scope.</w:t>
            </w:r>
          </w:p>
        </w:tc>
      </w:tr>
      <w:tr w:rsidR="00464591" w:rsidRPr="00464591" w:rsidTr="00EF7EBD">
        <w:trPr>
          <w:cantSplit/>
        </w:trPr>
        <w:tc>
          <w:tcPr>
            <w:tcW w:w="2552"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E-waste</w:t>
            </w:r>
          </w:p>
        </w:tc>
        <w:tc>
          <w:tcPr>
            <w:tcW w:w="6946"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 xml:space="preserve">Only major </w:t>
            </w:r>
            <w:r w:rsidR="00110D33">
              <w:rPr>
                <w:rFonts w:asciiTheme="minorHAnsi" w:hAnsiTheme="minorHAnsi" w:cs="Calibri"/>
                <w:i/>
                <w:color w:val="auto"/>
                <w:szCs w:val="20"/>
                <w:lang w:val="en-AU"/>
              </w:rPr>
              <w:t>e-waste</w:t>
            </w:r>
            <w:r w:rsidRPr="00464591">
              <w:rPr>
                <w:rFonts w:asciiTheme="minorHAnsi" w:hAnsiTheme="minorHAnsi" w:cs="Calibri"/>
                <w:i/>
                <w:color w:val="auto"/>
                <w:szCs w:val="20"/>
                <w:lang w:val="en-AU"/>
              </w:rPr>
              <w:t xml:space="preserve"> physical/chemical and manual disassembly processing facilities were included in the scope. </w:t>
            </w:r>
          </w:p>
        </w:tc>
      </w:tr>
      <w:tr w:rsidR="00464591" w:rsidRPr="00464591" w:rsidTr="00EF7EBD">
        <w:trPr>
          <w:cantSplit/>
        </w:trPr>
        <w:tc>
          <w:tcPr>
            <w:tcW w:w="2552"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Quarantine wastes</w:t>
            </w:r>
          </w:p>
        </w:tc>
        <w:tc>
          <w:tcPr>
            <w:tcW w:w="6946"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Quarantine waste processing facilities were excluded from the scope, except where these facilities also treated other hazardous waste such as clinical waste.</w:t>
            </w:r>
          </w:p>
        </w:tc>
      </w:tr>
      <w:tr w:rsidR="00464591" w:rsidRPr="00464591" w:rsidTr="00EF7EBD">
        <w:trPr>
          <w:cantSplit/>
        </w:trPr>
        <w:tc>
          <w:tcPr>
            <w:tcW w:w="2552"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Asbestos</w:t>
            </w:r>
          </w:p>
        </w:tc>
        <w:tc>
          <w:tcPr>
            <w:tcW w:w="6946" w:type="dxa"/>
            <w:vAlign w:val="center"/>
          </w:tcPr>
          <w:p w:rsidR="00464591" w:rsidRPr="00464591" w:rsidRDefault="00464591" w:rsidP="00464591">
            <w:pPr>
              <w:spacing w:before="0" w:after="0" w:line="240" w:lineRule="auto"/>
              <w:rPr>
                <w:rFonts w:asciiTheme="minorHAnsi" w:hAnsiTheme="minorHAnsi" w:cs="Calibri"/>
                <w:i/>
                <w:color w:val="auto"/>
                <w:szCs w:val="20"/>
                <w:lang w:val="en-AU"/>
              </w:rPr>
            </w:pPr>
            <w:r w:rsidRPr="00464591">
              <w:rPr>
                <w:rFonts w:asciiTheme="minorHAnsi" w:hAnsiTheme="minorHAnsi" w:cs="Calibri"/>
                <w:i/>
                <w:color w:val="auto"/>
                <w:szCs w:val="20"/>
                <w:lang w:val="en-AU"/>
              </w:rPr>
              <w:t>Asbestos disposal facilities were excluded from the scope, except where these sites also disposed other hazardous wastes.”</w:t>
            </w:r>
          </w:p>
        </w:tc>
      </w:tr>
    </w:tbl>
    <w:p w:rsidR="00464591" w:rsidRPr="00464591" w:rsidRDefault="00464591" w:rsidP="00464591">
      <w:pPr>
        <w:spacing w:line="240" w:lineRule="auto"/>
        <w:rPr>
          <w:color w:val="080808"/>
          <w:sz w:val="22"/>
        </w:rPr>
      </w:pPr>
    </w:p>
    <w:p w:rsidR="00464591" w:rsidRDefault="00464591" w:rsidP="00464591">
      <w:pPr>
        <w:spacing w:line="240" w:lineRule="auto"/>
        <w:rPr>
          <w:color w:val="080808"/>
          <w:sz w:val="22"/>
        </w:rPr>
      </w:pPr>
      <w:r w:rsidRPr="00464591">
        <w:rPr>
          <w:color w:val="080808"/>
          <w:sz w:val="22"/>
        </w:rPr>
        <w:t xml:space="preserve">Where infrastructure additional to the Rawtec (2014) database was identified by the project team, it was added to the database. See Section </w:t>
      </w:r>
      <w:r w:rsidR="006D07F5">
        <w:rPr>
          <w:color w:val="080808"/>
          <w:sz w:val="22"/>
        </w:rPr>
        <w:fldChar w:fldCharType="begin"/>
      </w:r>
      <w:r w:rsidR="003A6FBB">
        <w:rPr>
          <w:color w:val="080808"/>
          <w:sz w:val="22"/>
        </w:rPr>
        <w:instrText xml:space="preserve"> REF _Ref420526107 \r \h </w:instrText>
      </w:r>
      <w:r w:rsidR="006D07F5">
        <w:rPr>
          <w:color w:val="080808"/>
          <w:sz w:val="22"/>
        </w:rPr>
      </w:r>
      <w:r w:rsidR="006D07F5">
        <w:rPr>
          <w:color w:val="080808"/>
          <w:sz w:val="22"/>
        </w:rPr>
        <w:fldChar w:fldCharType="separate"/>
      </w:r>
      <w:r w:rsidR="002F3000">
        <w:rPr>
          <w:color w:val="080808"/>
          <w:sz w:val="22"/>
        </w:rPr>
        <w:t>3.4</w:t>
      </w:r>
      <w:r w:rsidR="006D07F5">
        <w:rPr>
          <w:color w:val="080808"/>
          <w:sz w:val="22"/>
        </w:rPr>
        <w:fldChar w:fldCharType="end"/>
      </w:r>
      <w:r w:rsidRPr="00464591">
        <w:rPr>
          <w:color w:val="080808"/>
          <w:sz w:val="22"/>
        </w:rPr>
        <w:t xml:space="preserve"> for further discussion </w:t>
      </w:r>
      <w:r w:rsidR="000A7416">
        <w:rPr>
          <w:color w:val="080808"/>
          <w:sz w:val="22"/>
        </w:rPr>
        <w:t>on this</w:t>
      </w:r>
      <w:r w:rsidRPr="00464591">
        <w:rPr>
          <w:color w:val="080808"/>
          <w:sz w:val="22"/>
        </w:rPr>
        <w:t xml:space="preserve"> infrastructure.</w:t>
      </w:r>
    </w:p>
    <w:p w:rsidR="009F0A5E" w:rsidRPr="00464591" w:rsidRDefault="009F0A5E" w:rsidP="00464591">
      <w:pPr>
        <w:spacing w:line="240" w:lineRule="auto"/>
        <w:rPr>
          <w:color w:val="080808"/>
          <w:sz w:val="22"/>
        </w:rPr>
      </w:pPr>
    </w:p>
    <w:p w:rsidR="00464591" w:rsidRPr="00464591" w:rsidRDefault="00464591" w:rsidP="007F5BD4">
      <w:pPr>
        <w:pStyle w:val="Heading2"/>
      </w:pPr>
      <w:bookmarkStart w:id="217" w:name="_Toc419189317"/>
      <w:bookmarkStart w:id="218" w:name="_Toc419189418"/>
      <w:bookmarkStart w:id="219" w:name="_Toc419189519"/>
      <w:bookmarkStart w:id="220" w:name="_Toc419190264"/>
      <w:bookmarkStart w:id="221" w:name="_Toc419449180"/>
      <w:bookmarkStart w:id="222" w:name="_Ref419197816"/>
      <w:bookmarkStart w:id="223" w:name="_Toc419449181"/>
      <w:bookmarkStart w:id="224" w:name="_Toc425849163"/>
      <w:bookmarkEnd w:id="217"/>
      <w:bookmarkEnd w:id="218"/>
      <w:bookmarkEnd w:id="219"/>
      <w:bookmarkEnd w:id="220"/>
      <w:bookmarkEnd w:id="221"/>
      <w:r w:rsidRPr="00464591">
        <w:t>Infrastructure groups</w:t>
      </w:r>
      <w:bookmarkEnd w:id="222"/>
      <w:bookmarkEnd w:id="223"/>
      <w:bookmarkEnd w:id="224"/>
      <w:r w:rsidRPr="00464591">
        <w:t xml:space="preserve"> </w:t>
      </w:r>
    </w:p>
    <w:p w:rsidR="009E2171" w:rsidRDefault="00464591" w:rsidP="00464591">
      <w:pPr>
        <w:spacing w:line="240" w:lineRule="auto"/>
        <w:rPr>
          <w:color w:val="080808"/>
          <w:sz w:val="22"/>
        </w:rPr>
      </w:pPr>
      <w:r w:rsidRPr="00464591">
        <w:rPr>
          <w:color w:val="080808"/>
          <w:sz w:val="22"/>
        </w:rPr>
        <w:t>To enable the assessment of projected infrastructure need versus capacity, it was necessary to group the infrastructure included in the Rawtec (2014) database</w:t>
      </w:r>
      <w:r w:rsidR="005E1510">
        <w:rPr>
          <w:color w:val="080808"/>
          <w:sz w:val="22"/>
        </w:rPr>
        <w:t>.</w:t>
      </w:r>
      <w:r w:rsidR="00D06841">
        <w:rPr>
          <w:color w:val="080808"/>
          <w:sz w:val="22"/>
        </w:rPr>
        <w:t xml:space="preserve"> </w:t>
      </w:r>
      <w:r w:rsidRPr="00464591">
        <w:rPr>
          <w:color w:val="080808"/>
          <w:sz w:val="22"/>
        </w:rPr>
        <w:t xml:space="preserve">The database provided information on infrastructure ‘treatment activities’ and on the types of waste received (by NEPM 15 codes and, for some sites, by NEPM 75 codes). This information was combined with industry survey responses to produce a set of hazardous waste </w:t>
      </w:r>
      <w:r w:rsidR="009E2171">
        <w:rPr>
          <w:color w:val="080808"/>
          <w:sz w:val="22"/>
        </w:rPr>
        <w:t>‘</w:t>
      </w:r>
      <w:r w:rsidRPr="00464591">
        <w:rPr>
          <w:color w:val="080808"/>
          <w:sz w:val="22"/>
        </w:rPr>
        <w:t>infrastructure groups</w:t>
      </w:r>
      <w:r w:rsidR="009E2171">
        <w:rPr>
          <w:color w:val="080808"/>
          <w:sz w:val="22"/>
        </w:rPr>
        <w:t>’</w:t>
      </w:r>
      <w:r w:rsidRPr="00464591">
        <w:rPr>
          <w:color w:val="080808"/>
          <w:sz w:val="22"/>
        </w:rPr>
        <w:t xml:space="preserve"> that could be used to compare </w:t>
      </w:r>
      <w:r w:rsidR="0059182A">
        <w:rPr>
          <w:color w:val="080808"/>
          <w:sz w:val="22"/>
        </w:rPr>
        <w:t>waste</w:t>
      </w:r>
      <w:r w:rsidRPr="00464591">
        <w:rPr>
          <w:color w:val="080808"/>
          <w:sz w:val="22"/>
        </w:rPr>
        <w:t xml:space="preserve"> group arisings and fates to infrastructure capacity. </w:t>
      </w:r>
    </w:p>
    <w:p w:rsidR="009E2171" w:rsidRDefault="009E2171" w:rsidP="00464591">
      <w:pPr>
        <w:spacing w:line="240" w:lineRule="auto"/>
        <w:rPr>
          <w:color w:val="080808"/>
          <w:sz w:val="22"/>
        </w:rPr>
      </w:pPr>
    </w:p>
    <w:p w:rsidR="00464591" w:rsidRPr="007F5BD4" w:rsidRDefault="005E1510" w:rsidP="00464591">
      <w:pPr>
        <w:spacing w:line="240" w:lineRule="auto"/>
        <w:rPr>
          <w:color w:val="auto"/>
          <w:sz w:val="22"/>
        </w:rPr>
      </w:pPr>
      <w:r>
        <w:rPr>
          <w:color w:val="080808"/>
          <w:sz w:val="22"/>
        </w:rPr>
        <w:t xml:space="preserve">The infrastructure was grouped </w:t>
      </w:r>
      <w:r w:rsidRPr="00464591">
        <w:rPr>
          <w:color w:val="080808"/>
          <w:sz w:val="22"/>
        </w:rPr>
        <w:t>by</w:t>
      </w:r>
      <w:r>
        <w:rPr>
          <w:color w:val="080808"/>
          <w:sz w:val="22"/>
        </w:rPr>
        <w:t>:</w:t>
      </w:r>
      <w:r w:rsidRPr="00464591">
        <w:rPr>
          <w:color w:val="080808"/>
          <w:sz w:val="22"/>
        </w:rPr>
        <w:t xml:space="preserve"> </w:t>
      </w:r>
      <w:r>
        <w:rPr>
          <w:color w:val="080808"/>
          <w:sz w:val="22"/>
        </w:rPr>
        <w:t xml:space="preserve">1. </w:t>
      </w:r>
      <w:r w:rsidRPr="00464591">
        <w:rPr>
          <w:color w:val="080808"/>
          <w:sz w:val="22"/>
        </w:rPr>
        <w:t>wastes received</w:t>
      </w:r>
      <w:r>
        <w:rPr>
          <w:color w:val="080808"/>
          <w:sz w:val="22"/>
        </w:rPr>
        <w:t xml:space="preserve"> </w:t>
      </w:r>
      <w:r w:rsidRPr="00E010D2">
        <w:rPr>
          <w:color w:val="080808"/>
          <w:sz w:val="22"/>
        </w:rPr>
        <w:t>and</w:t>
      </w:r>
      <w:r>
        <w:rPr>
          <w:color w:val="080808"/>
          <w:sz w:val="22"/>
        </w:rPr>
        <w:t xml:space="preserve"> 2. </w:t>
      </w:r>
      <w:proofErr w:type="gramStart"/>
      <w:r>
        <w:rPr>
          <w:color w:val="080808"/>
          <w:sz w:val="22"/>
        </w:rPr>
        <w:t>primary</w:t>
      </w:r>
      <w:proofErr w:type="gramEnd"/>
      <w:r>
        <w:rPr>
          <w:color w:val="080808"/>
          <w:sz w:val="22"/>
        </w:rPr>
        <w:t xml:space="preserve"> function</w:t>
      </w:r>
      <w:r w:rsidRPr="00464591">
        <w:rPr>
          <w:color w:val="080808"/>
          <w:sz w:val="22"/>
          <w:vertAlign w:val="superscript"/>
        </w:rPr>
        <w:footnoteReference w:id="21"/>
      </w:r>
      <w:r w:rsidR="009E2171">
        <w:rPr>
          <w:color w:val="080808"/>
          <w:sz w:val="22"/>
        </w:rPr>
        <w:t xml:space="preserve">. For </w:t>
      </w:r>
      <w:r>
        <w:rPr>
          <w:color w:val="080808"/>
          <w:sz w:val="22"/>
        </w:rPr>
        <w:t>example</w:t>
      </w:r>
      <w:r w:rsidR="0095313A">
        <w:rPr>
          <w:color w:val="080808"/>
          <w:sz w:val="22"/>
        </w:rPr>
        <w:t>,</w:t>
      </w:r>
      <w:r>
        <w:rPr>
          <w:color w:val="080808"/>
          <w:sz w:val="22"/>
        </w:rPr>
        <w:t xml:space="preserve"> </w:t>
      </w:r>
      <w:r w:rsidR="00E010D2">
        <w:rPr>
          <w:color w:val="080808"/>
          <w:sz w:val="22"/>
        </w:rPr>
        <w:t>‘e</w:t>
      </w:r>
      <w:r>
        <w:rPr>
          <w:color w:val="080808"/>
          <w:sz w:val="22"/>
        </w:rPr>
        <w:t xml:space="preserve">-waste </w:t>
      </w:r>
      <w:proofErr w:type="gramStart"/>
      <w:r>
        <w:rPr>
          <w:color w:val="080808"/>
          <w:sz w:val="22"/>
        </w:rPr>
        <w:t>recycling</w:t>
      </w:r>
      <w:r w:rsidR="00E010D2">
        <w:rPr>
          <w:color w:val="080808"/>
          <w:sz w:val="22"/>
        </w:rPr>
        <w:t>’</w:t>
      </w:r>
      <w:proofErr w:type="gramEnd"/>
      <w:r>
        <w:rPr>
          <w:color w:val="080808"/>
          <w:sz w:val="22"/>
        </w:rPr>
        <w:t xml:space="preserve">, </w:t>
      </w:r>
      <w:r w:rsidR="00E010D2">
        <w:rPr>
          <w:color w:val="080808"/>
          <w:sz w:val="22"/>
        </w:rPr>
        <w:t>‘</w:t>
      </w:r>
      <w:r>
        <w:rPr>
          <w:color w:val="080808"/>
          <w:sz w:val="22"/>
        </w:rPr>
        <w:t>POP thermal destruction</w:t>
      </w:r>
      <w:r w:rsidR="00E010D2">
        <w:rPr>
          <w:color w:val="080808"/>
          <w:sz w:val="22"/>
        </w:rPr>
        <w:t>’</w:t>
      </w:r>
      <w:r>
        <w:rPr>
          <w:color w:val="080808"/>
          <w:sz w:val="22"/>
        </w:rPr>
        <w:t xml:space="preserve">, </w:t>
      </w:r>
      <w:r w:rsidR="00E010D2">
        <w:rPr>
          <w:color w:val="080808"/>
          <w:sz w:val="22"/>
        </w:rPr>
        <w:t>‘c</w:t>
      </w:r>
      <w:r>
        <w:rPr>
          <w:color w:val="080808"/>
          <w:sz w:val="22"/>
        </w:rPr>
        <w:t>linical waste treatment</w:t>
      </w:r>
      <w:r w:rsidR="00E010D2">
        <w:rPr>
          <w:color w:val="080808"/>
          <w:sz w:val="22"/>
        </w:rPr>
        <w:t>’</w:t>
      </w:r>
      <w:r>
        <w:rPr>
          <w:color w:val="080808"/>
          <w:sz w:val="22"/>
        </w:rPr>
        <w:t xml:space="preserve"> and </w:t>
      </w:r>
      <w:r w:rsidR="00E010D2">
        <w:rPr>
          <w:color w:val="080808"/>
          <w:sz w:val="22"/>
        </w:rPr>
        <w:t>‘c</w:t>
      </w:r>
      <w:r>
        <w:rPr>
          <w:color w:val="080808"/>
          <w:sz w:val="22"/>
        </w:rPr>
        <w:t>linical waste thermal destruction</w:t>
      </w:r>
      <w:r w:rsidR="00E010D2">
        <w:rPr>
          <w:color w:val="080808"/>
          <w:sz w:val="22"/>
        </w:rPr>
        <w:t>’</w:t>
      </w:r>
      <w:r w:rsidRPr="00464591">
        <w:rPr>
          <w:color w:val="080808"/>
          <w:sz w:val="22"/>
        </w:rPr>
        <w:t>.</w:t>
      </w:r>
      <w:r w:rsidR="009E2171">
        <w:rPr>
          <w:color w:val="080808"/>
          <w:sz w:val="22"/>
        </w:rPr>
        <w:t xml:space="preserve"> </w:t>
      </w:r>
      <w:r w:rsidR="00464591" w:rsidRPr="00464591">
        <w:rPr>
          <w:color w:val="080808"/>
          <w:sz w:val="22"/>
        </w:rPr>
        <w:t>The</w:t>
      </w:r>
      <w:r w:rsidR="009E2171">
        <w:rPr>
          <w:color w:val="080808"/>
          <w:sz w:val="22"/>
        </w:rPr>
        <w:t xml:space="preserve"> groups </w:t>
      </w:r>
      <w:r w:rsidR="00464591" w:rsidRPr="00464591">
        <w:rPr>
          <w:color w:val="080808"/>
          <w:sz w:val="22"/>
        </w:rPr>
        <w:t xml:space="preserve">are </w:t>
      </w:r>
      <w:r w:rsidR="00464591" w:rsidRPr="007F5BD4">
        <w:rPr>
          <w:color w:val="auto"/>
          <w:sz w:val="22"/>
        </w:rPr>
        <w:t xml:space="preserve">listed in </w:t>
      </w:r>
      <w:fldSimple w:instr=" REF _Ref419189745 \h  \* MERGEFORMAT ">
        <w:r w:rsidR="002F3000" w:rsidRPr="002F3000">
          <w:rPr>
            <w:rFonts w:asciiTheme="minorHAnsi" w:hAnsiTheme="minorHAnsi" w:cs="Calibri"/>
            <w:noProof/>
            <w:color w:val="auto"/>
            <w:sz w:val="22"/>
          </w:rPr>
          <w:t>Table 45</w:t>
        </w:r>
      </w:fldSimple>
      <w:r w:rsidR="00464591" w:rsidRPr="007F5BD4">
        <w:rPr>
          <w:color w:val="auto"/>
          <w:sz w:val="22"/>
        </w:rPr>
        <w:t>, which is ordered following the ‘waste hierarchy’</w:t>
      </w:r>
      <w:r w:rsidR="00464591" w:rsidRPr="007F5BD4">
        <w:rPr>
          <w:color w:val="auto"/>
          <w:sz w:val="22"/>
          <w:vertAlign w:val="superscript"/>
        </w:rPr>
        <w:footnoteReference w:id="22"/>
      </w:r>
      <w:r w:rsidR="00464591" w:rsidRPr="007F5BD4">
        <w:rPr>
          <w:color w:val="auto"/>
          <w:sz w:val="22"/>
        </w:rPr>
        <w:t>.</w:t>
      </w:r>
      <w:r w:rsidR="00D06841">
        <w:rPr>
          <w:color w:val="auto"/>
          <w:sz w:val="22"/>
        </w:rPr>
        <w:t xml:space="preserve"> </w:t>
      </w:r>
      <w:r w:rsidR="00464591" w:rsidRPr="007F5BD4">
        <w:rPr>
          <w:color w:val="auto"/>
          <w:sz w:val="22"/>
        </w:rPr>
        <w:t xml:space="preserve">As noted in the descriptions in the table, some overlap </w:t>
      </w:r>
      <w:r w:rsidR="00190B4C" w:rsidRPr="007F5BD4">
        <w:rPr>
          <w:color w:val="auto"/>
          <w:sz w:val="22"/>
        </w:rPr>
        <w:t xml:space="preserve">in </w:t>
      </w:r>
      <w:r w:rsidR="00464591" w:rsidRPr="007F5BD4">
        <w:rPr>
          <w:color w:val="auto"/>
          <w:sz w:val="22"/>
        </w:rPr>
        <w:t xml:space="preserve">the functions </w:t>
      </w:r>
      <w:r w:rsidR="00190B4C" w:rsidRPr="007F5BD4">
        <w:rPr>
          <w:color w:val="auto"/>
          <w:sz w:val="22"/>
        </w:rPr>
        <w:t xml:space="preserve">provided by </w:t>
      </w:r>
      <w:r w:rsidR="00464591" w:rsidRPr="007F5BD4">
        <w:rPr>
          <w:color w:val="auto"/>
          <w:sz w:val="22"/>
        </w:rPr>
        <w:t xml:space="preserve">infrastructure </w:t>
      </w:r>
      <w:r w:rsidR="00190B4C" w:rsidRPr="007F5BD4">
        <w:rPr>
          <w:color w:val="auto"/>
          <w:sz w:val="22"/>
        </w:rPr>
        <w:t xml:space="preserve">included the </w:t>
      </w:r>
      <w:proofErr w:type="gramStart"/>
      <w:r w:rsidR="00464591" w:rsidRPr="007F5BD4">
        <w:rPr>
          <w:color w:val="auto"/>
          <w:sz w:val="22"/>
        </w:rPr>
        <w:t>group</w:t>
      </w:r>
      <w:r w:rsidR="00190B4C" w:rsidRPr="007F5BD4">
        <w:rPr>
          <w:color w:val="auto"/>
          <w:sz w:val="22"/>
        </w:rPr>
        <w:t>s</w:t>
      </w:r>
      <w:proofErr w:type="gramEnd"/>
      <w:r w:rsidR="00464591" w:rsidRPr="007F5BD4">
        <w:rPr>
          <w:color w:val="auto"/>
          <w:sz w:val="22"/>
        </w:rPr>
        <w:t xml:space="preserve"> remain</w:t>
      </w:r>
      <w:r w:rsidR="00190B4C" w:rsidRPr="007F5BD4">
        <w:rPr>
          <w:color w:val="auto"/>
          <w:sz w:val="22"/>
        </w:rPr>
        <w:t>s</w:t>
      </w:r>
      <w:r w:rsidR="00464591" w:rsidRPr="007F5BD4">
        <w:rPr>
          <w:color w:val="auto"/>
          <w:sz w:val="22"/>
        </w:rPr>
        <w:t xml:space="preserve">. </w:t>
      </w:r>
      <w:r w:rsidRPr="007F5BD4">
        <w:rPr>
          <w:color w:val="auto"/>
          <w:sz w:val="22"/>
        </w:rPr>
        <w:t xml:space="preserve">See Section </w:t>
      </w:r>
      <w:fldSimple w:instr=" REF _Ref419553398 \r \h  \* MERGEFORMAT ">
        <w:r w:rsidR="002F3000">
          <w:rPr>
            <w:color w:val="auto"/>
            <w:sz w:val="22"/>
          </w:rPr>
          <w:t>4.1</w:t>
        </w:r>
      </w:fldSimple>
      <w:r w:rsidRPr="007F5BD4">
        <w:rPr>
          <w:color w:val="auto"/>
          <w:sz w:val="22"/>
        </w:rPr>
        <w:t xml:space="preserve"> for </w:t>
      </w:r>
      <w:r w:rsidR="009E2171" w:rsidRPr="007F5BD4">
        <w:rPr>
          <w:color w:val="auto"/>
          <w:sz w:val="22"/>
        </w:rPr>
        <w:t xml:space="preserve">further </w:t>
      </w:r>
      <w:r w:rsidRPr="007F5BD4">
        <w:rPr>
          <w:color w:val="auto"/>
          <w:sz w:val="22"/>
        </w:rPr>
        <w:t xml:space="preserve">discussion of how the infrastructure groups </w:t>
      </w:r>
      <w:r w:rsidR="00E010D2">
        <w:rPr>
          <w:color w:val="auto"/>
          <w:sz w:val="22"/>
        </w:rPr>
        <w:t>were</w:t>
      </w:r>
      <w:r w:rsidRPr="007F5BD4">
        <w:rPr>
          <w:color w:val="auto"/>
          <w:sz w:val="22"/>
        </w:rPr>
        <w:t xml:space="preserve"> used in the assessment.</w:t>
      </w:r>
    </w:p>
    <w:p w:rsidR="00464591" w:rsidRPr="007F5BD4" w:rsidRDefault="00464591" w:rsidP="00464591">
      <w:pPr>
        <w:spacing w:line="240" w:lineRule="auto"/>
        <w:rPr>
          <w:color w:val="auto"/>
          <w:sz w:val="22"/>
        </w:rPr>
      </w:pPr>
    </w:p>
    <w:p w:rsidR="00464591" w:rsidRPr="007F5BD4" w:rsidRDefault="00464591" w:rsidP="00464591">
      <w:pPr>
        <w:spacing w:line="240" w:lineRule="auto"/>
        <w:rPr>
          <w:color w:val="auto"/>
          <w:sz w:val="22"/>
        </w:rPr>
      </w:pPr>
      <w:r w:rsidRPr="007F5BD4">
        <w:rPr>
          <w:color w:val="auto"/>
          <w:sz w:val="22"/>
        </w:rPr>
        <w:t>The infrastructure groups are not always consistent with the categorisation of treatment activities in the original Rawtec (2014) listing. In particular, the broad category ‘CPT’ (chemical or physical treatment) – which Rawtec attributed to about 40% of the listed sites – needed to be disaggregated to enable the identification and analysis of infrastructure servicing specific waste groups</w:t>
      </w:r>
      <w:r w:rsidRPr="007F5BD4">
        <w:rPr>
          <w:color w:val="auto"/>
          <w:sz w:val="22"/>
          <w:vertAlign w:val="superscript"/>
        </w:rPr>
        <w:footnoteReference w:id="23"/>
      </w:r>
      <w:r w:rsidRPr="007F5BD4">
        <w:rPr>
          <w:color w:val="auto"/>
          <w:sz w:val="22"/>
        </w:rPr>
        <w:t xml:space="preserve">. </w:t>
      </w:r>
    </w:p>
    <w:p w:rsidR="00464591" w:rsidRPr="007F5BD4" w:rsidRDefault="00464591" w:rsidP="00464591">
      <w:pPr>
        <w:spacing w:line="240" w:lineRule="auto"/>
        <w:rPr>
          <w:color w:val="auto"/>
          <w:sz w:val="22"/>
        </w:rPr>
      </w:pPr>
    </w:p>
    <w:p w:rsidR="00464591" w:rsidRPr="00464591" w:rsidRDefault="005E1510" w:rsidP="00464591">
      <w:pPr>
        <w:spacing w:line="240" w:lineRule="auto"/>
        <w:rPr>
          <w:color w:val="080808"/>
          <w:sz w:val="22"/>
        </w:rPr>
      </w:pPr>
      <w:r w:rsidRPr="007F5BD4">
        <w:rPr>
          <w:color w:val="auto"/>
          <w:sz w:val="22"/>
        </w:rPr>
        <w:t>The Rawtec (2014)</w:t>
      </w:r>
      <w:r w:rsidR="00464591" w:rsidRPr="007F5BD4">
        <w:rPr>
          <w:color w:val="auto"/>
          <w:sz w:val="22"/>
        </w:rPr>
        <w:t xml:space="preserve"> </w:t>
      </w:r>
      <w:r w:rsidR="00E010D2">
        <w:rPr>
          <w:color w:val="auto"/>
          <w:sz w:val="22"/>
        </w:rPr>
        <w:t xml:space="preserve">database set the scope of </w:t>
      </w:r>
      <w:r w:rsidR="00464591" w:rsidRPr="007F5BD4">
        <w:rPr>
          <w:color w:val="auto"/>
          <w:sz w:val="22"/>
        </w:rPr>
        <w:t xml:space="preserve">the infrastructure types included in the </w:t>
      </w:r>
      <w:r w:rsidRPr="007F5BD4">
        <w:rPr>
          <w:color w:val="auto"/>
          <w:sz w:val="22"/>
        </w:rPr>
        <w:t xml:space="preserve">capacity </w:t>
      </w:r>
      <w:r w:rsidR="00464591" w:rsidRPr="007F5BD4">
        <w:rPr>
          <w:color w:val="auto"/>
          <w:sz w:val="22"/>
        </w:rPr>
        <w:t>database</w:t>
      </w:r>
      <w:r w:rsidR="00E010D2">
        <w:rPr>
          <w:color w:val="auto"/>
          <w:sz w:val="22"/>
        </w:rPr>
        <w:t>,</w:t>
      </w:r>
      <w:r w:rsidRPr="007F5BD4">
        <w:rPr>
          <w:color w:val="auto"/>
          <w:sz w:val="22"/>
        </w:rPr>
        <w:t xml:space="preserve"> and</w:t>
      </w:r>
      <w:r w:rsidR="00464591" w:rsidRPr="007F5BD4">
        <w:rPr>
          <w:color w:val="auto"/>
          <w:sz w:val="22"/>
        </w:rPr>
        <w:t xml:space="preserve"> </w:t>
      </w:r>
      <w:r w:rsidR="009E2171" w:rsidRPr="007F5BD4">
        <w:rPr>
          <w:color w:val="auto"/>
          <w:sz w:val="22"/>
        </w:rPr>
        <w:t xml:space="preserve">therefore </w:t>
      </w:r>
      <w:r w:rsidR="00464591" w:rsidRPr="007F5BD4">
        <w:rPr>
          <w:color w:val="auto"/>
          <w:sz w:val="22"/>
        </w:rPr>
        <w:t xml:space="preserve">the infrastructure groups in </w:t>
      </w:r>
      <w:fldSimple w:instr=" REF _Ref419189745 \h  \* MERGEFORMAT ">
        <w:r w:rsidR="002F3000" w:rsidRPr="002F3000">
          <w:rPr>
            <w:rFonts w:asciiTheme="minorHAnsi" w:hAnsiTheme="minorHAnsi" w:cs="Calibri"/>
            <w:noProof/>
            <w:color w:val="auto"/>
            <w:sz w:val="22"/>
          </w:rPr>
          <w:t>Table 45</w:t>
        </w:r>
      </w:fldSimple>
      <w:r w:rsidR="00464591" w:rsidRPr="007F5BD4">
        <w:rPr>
          <w:color w:val="auto"/>
          <w:sz w:val="22"/>
        </w:rPr>
        <w:t>.</w:t>
      </w:r>
      <w:r w:rsidR="00E010D2">
        <w:rPr>
          <w:color w:val="auto"/>
          <w:sz w:val="22"/>
        </w:rPr>
        <w:t xml:space="preserve"> The database</w:t>
      </w:r>
      <w:r w:rsidR="00464591" w:rsidRPr="00464591">
        <w:rPr>
          <w:color w:val="080808"/>
          <w:sz w:val="22"/>
        </w:rPr>
        <w:t xml:space="preserve"> also defined coverage limitations with</w:t>
      </w:r>
      <w:r w:rsidR="009E2171">
        <w:rPr>
          <w:color w:val="080808"/>
          <w:sz w:val="22"/>
        </w:rPr>
        <w:t xml:space="preserve">in a </w:t>
      </w:r>
      <w:r w:rsidR="00464591" w:rsidRPr="00464591">
        <w:rPr>
          <w:color w:val="080808"/>
          <w:sz w:val="22"/>
        </w:rPr>
        <w:t>particular infrastructure</w:t>
      </w:r>
      <w:r w:rsidR="009E2171">
        <w:rPr>
          <w:color w:val="080808"/>
          <w:sz w:val="22"/>
        </w:rPr>
        <w:t xml:space="preserve"> group</w:t>
      </w:r>
      <w:r w:rsidR="00464591" w:rsidRPr="00464591">
        <w:rPr>
          <w:color w:val="080808"/>
          <w:sz w:val="22"/>
        </w:rPr>
        <w:t>. The</w:t>
      </w:r>
      <w:r w:rsidR="009E2171">
        <w:rPr>
          <w:color w:val="080808"/>
          <w:sz w:val="22"/>
        </w:rPr>
        <w:t>se</w:t>
      </w:r>
      <w:r w:rsidR="00464591" w:rsidRPr="00464591">
        <w:rPr>
          <w:color w:val="080808"/>
          <w:sz w:val="22"/>
        </w:rPr>
        <w:t xml:space="preserve"> coverage limitations are flagged in grey in the table below. The implications of the database scope and coverage limitations are discussed further in Section</w:t>
      </w:r>
      <w:r w:rsidR="00020580">
        <w:rPr>
          <w:color w:val="080808"/>
          <w:sz w:val="22"/>
        </w:rPr>
        <w:t xml:space="preserve"> </w:t>
      </w:r>
      <w:r w:rsidR="006D07F5">
        <w:rPr>
          <w:color w:val="080808"/>
          <w:sz w:val="22"/>
        </w:rPr>
        <w:fldChar w:fldCharType="begin"/>
      </w:r>
      <w:r w:rsidR="00020580">
        <w:rPr>
          <w:color w:val="080808"/>
          <w:sz w:val="22"/>
        </w:rPr>
        <w:instrText xml:space="preserve"> REF _Ref419458961 \r \h </w:instrText>
      </w:r>
      <w:r w:rsidR="006D07F5">
        <w:rPr>
          <w:color w:val="080808"/>
          <w:sz w:val="22"/>
        </w:rPr>
      </w:r>
      <w:r w:rsidR="006D07F5">
        <w:rPr>
          <w:color w:val="080808"/>
          <w:sz w:val="22"/>
        </w:rPr>
        <w:fldChar w:fldCharType="separate"/>
      </w:r>
      <w:r w:rsidR="002F3000">
        <w:rPr>
          <w:color w:val="080808"/>
          <w:sz w:val="22"/>
        </w:rPr>
        <w:t>4</w:t>
      </w:r>
      <w:r w:rsidR="006D07F5">
        <w:rPr>
          <w:color w:val="080808"/>
          <w:sz w:val="22"/>
        </w:rPr>
        <w:fldChar w:fldCharType="end"/>
      </w:r>
      <w:r w:rsidR="00464591" w:rsidRPr="00464591">
        <w:rPr>
          <w:color w:val="080808"/>
          <w:sz w:val="22"/>
        </w:rPr>
        <w:t>.</w:t>
      </w:r>
    </w:p>
    <w:p w:rsidR="00464591" w:rsidRPr="00E010D2" w:rsidRDefault="00464591" w:rsidP="00464591">
      <w:pPr>
        <w:spacing w:line="240" w:lineRule="auto"/>
        <w:rPr>
          <w:color w:val="080808"/>
          <w:sz w:val="2"/>
          <w:szCs w:val="2"/>
        </w:rPr>
      </w:pPr>
    </w:p>
    <w:p w:rsidR="00464591" w:rsidRPr="00655F62" w:rsidRDefault="00464591" w:rsidP="00655F62">
      <w:pPr>
        <w:pStyle w:val="Figures"/>
      </w:pPr>
      <w:bookmarkStart w:id="225" w:name="_Ref419189745"/>
      <w:bookmarkStart w:id="226" w:name="_Ref419189271"/>
      <w:bookmarkStart w:id="227" w:name="_Toc419190507"/>
      <w:bookmarkStart w:id="228" w:name="_Toc425849330"/>
      <w:r w:rsidRPr="00655F62">
        <w:t xml:space="preserve">Table </w:t>
      </w:r>
      <w:fldSimple w:instr=" SEQ Table \* ARABIC ">
        <w:r w:rsidR="002F3000">
          <w:rPr>
            <w:noProof/>
          </w:rPr>
          <w:t>45</w:t>
        </w:r>
      </w:fldSimple>
      <w:bookmarkEnd w:id="225"/>
      <w:r w:rsidRPr="00655F62">
        <w:t>:</w:t>
      </w:r>
      <w:r w:rsidRPr="00655F62">
        <w:tab/>
      </w:r>
      <w:r w:rsidR="00DF339A">
        <w:t>I</w:t>
      </w:r>
      <w:r w:rsidRPr="00655F62">
        <w:t>nfrastructure groups</w:t>
      </w:r>
      <w:bookmarkEnd w:id="226"/>
      <w:bookmarkEnd w:id="227"/>
      <w:bookmarkEnd w:id="228"/>
    </w:p>
    <w:tbl>
      <w:tblPr>
        <w:tblW w:w="5003" w:type="pct"/>
        <w:tblLayout w:type="fixed"/>
        <w:tblCellMar>
          <w:top w:w="28" w:type="dxa"/>
          <w:bottom w:w="28" w:type="dxa"/>
        </w:tblCellMar>
        <w:tblLook w:val="04A0"/>
      </w:tblPr>
      <w:tblGrid>
        <w:gridCol w:w="2234"/>
        <w:gridCol w:w="7514"/>
      </w:tblGrid>
      <w:tr w:rsidR="00464591" w:rsidRPr="00464591" w:rsidTr="00684317">
        <w:trPr>
          <w:trHeight w:val="201"/>
          <w:tblHeader/>
        </w:trPr>
        <w:tc>
          <w:tcPr>
            <w:tcW w:w="1146" w:type="pct"/>
            <w:tcBorders>
              <w:top w:val="nil"/>
              <w:left w:val="nil"/>
              <w:bottom w:val="nil"/>
              <w:right w:val="nil"/>
            </w:tcBorders>
            <w:shd w:val="clear" w:color="auto" w:fill="auto"/>
            <w:vAlign w:val="bottom"/>
            <w:hideMark/>
          </w:tcPr>
          <w:p w:rsidR="00464591" w:rsidRPr="00464591" w:rsidRDefault="007C635B" w:rsidP="00464591">
            <w:pPr>
              <w:spacing w:line="240" w:lineRule="auto"/>
              <w:rPr>
                <w:rFonts w:cs="Times New Roman"/>
                <w:b/>
                <w:bCs/>
                <w:color w:val="000000"/>
                <w:szCs w:val="20"/>
                <w:lang w:eastAsia="en-AU"/>
              </w:rPr>
            </w:pPr>
            <w:r>
              <w:rPr>
                <w:rFonts w:cs="Times New Roman"/>
                <w:b/>
                <w:bCs/>
                <w:color w:val="000000"/>
                <w:szCs w:val="20"/>
                <w:lang w:eastAsia="en-AU"/>
              </w:rPr>
              <w:lastRenderedPageBreak/>
              <w:t>Infrastructure group</w:t>
            </w:r>
          </w:p>
        </w:tc>
        <w:tc>
          <w:tcPr>
            <w:tcW w:w="3854" w:type="pct"/>
            <w:tcBorders>
              <w:top w:val="nil"/>
              <w:left w:val="nil"/>
              <w:bottom w:val="nil"/>
              <w:right w:val="nil"/>
            </w:tcBorders>
            <w:shd w:val="clear" w:color="auto" w:fill="auto"/>
            <w:vAlign w:val="bottom"/>
            <w:hideMark/>
          </w:tcPr>
          <w:p w:rsidR="00464591" w:rsidRPr="00464591" w:rsidRDefault="00464591" w:rsidP="00464591">
            <w:pPr>
              <w:spacing w:line="240" w:lineRule="auto"/>
              <w:rPr>
                <w:rFonts w:cs="Times New Roman"/>
                <w:b/>
                <w:bCs/>
                <w:color w:val="auto"/>
                <w:szCs w:val="20"/>
                <w:lang w:eastAsia="en-AU"/>
              </w:rPr>
            </w:pPr>
            <w:r w:rsidRPr="00464591">
              <w:rPr>
                <w:rFonts w:cs="Times New Roman"/>
                <w:b/>
                <w:bCs/>
                <w:color w:val="auto"/>
                <w:szCs w:val="20"/>
                <w:lang w:eastAsia="en-AU"/>
              </w:rPr>
              <w:t>Description</w:t>
            </w:r>
          </w:p>
        </w:tc>
      </w:tr>
      <w:tr w:rsidR="00464591" w:rsidRPr="00464591" w:rsidTr="00EF7EBD">
        <w:trPr>
          <w:trHeight w:val="255"/>
        </w:trPr>
        <w:tc>
          <w:tcPr>
            <w:tcW w:w="5000" w:type="pct"/>
            <w:gridSpan w:val="2"/>
            <w:tcBorders>
              <w:top w:val="nil"/>
              <w:left w:val="nil"/>
              <w:bottom w:val="single" w:sz="4" w:space="0" w:color="808080" w:themeColor="background1" w:themeShade="80"/>
              <w:right w:val="nil"/>
            </w:tcBorders>
            <w:shd w:val="clear" w:color="000000" w:fill="C5D9F1"/>
            <w:noWrap/>
            <w:vAlign w:val="bottom"/>
            <w:hideMark/>
          </w:tcPr>
          <w:p w:rsidR="00464591" w:rsidRPr="00464591" w:rsidRDefault="00464591" w:rsidP="00464591">
            <w:pPr>
              <w:spacing w:line="240" w:lineRule="auto"/>
              <w:rPr>
                <w:rFonts w:cs="Times New Roman"/>
                <w:b/>
                <w:bCs/>
                <w:color w:val="auto"/>
                <w:szCs w:val="20"/>
                <w:lang w:eastAsia="en-AU"/>
              </w:rPr>
            </w:pPr>
            <w:r w:rsidRPr="00464591">
              <w:rPr>
                <w:rFonts w:cs="Times New Roman"/>
                <w:b/>
                <w:bCs/>
                <w:color w:val="000000"/>
                <w:szCs w:val="20"/>
                <w:lang w:eastAsia="en-AU"/>
              </w:rPr>
              <w:t>Recovery: recycling and energy recovery (ER)</w:t>
            </w:r>
            <w:r w:rsidRPr="00464591">
              <w:rPr>
                <w:rFonts w:cs="Times New Roman"/>
                <w:b/>
                <w:bCs/>
                <w:color w:val="auto"/>
                <w:szCs w:val="20"/>
                <w:lang w:eastAsia="en-AU"/>
              </w:rPr>
              <w:t> </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Hazwaste packaging fac.</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Facilities that recycle industrial packing that </w:t>
            </w:r>
            <w:proofErr w:type="gramStart"/>
            <w:r w:rsidRPr="00464591">
              <w:rPr>
                <w:rFonts w:cs="Times New Roman"/>
                <w:color w:val="000000"/>
                <w:szCs w:val="20"/>
                <w:lang w:eastAsia="en-AU"/>
              </w:rPr>
              <w:t>contains</w:t>
            </w:r>
            <w:proofErr w:type="gramEnd"/>
            <w:r w:rsidRPr="00464591">
              <w:rPr>
                <w:rFonts w:cs="Times New Roman"/>
                <w:color w:val="000000"/>
                <w:szCs w:val="20"/>
                <w:lang w:eastAsia="en-AU"/>
              </w:rPr>
              <w:t xml:space="preserve"> residual hazardous wastes. Containers are typically refurbished and reused or materials are recycled.</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E-waste fac.</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noWrap/>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Major e-waste physical/chemical and manual disassembly processing facilities. Facilities receive inorganic hazardous wastes, such as copper, cobalt, and lead. </w:t>
            </w:r>
          </w:p>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Note: “</w:t>
            </w:r>
            <w:r w:rsidRPr="00464591">
              <w:rPr>
                <w:rFonts w:cs="Times New Roman"/>
                <w:i/>
                <w:color w:val="000000"/>
                <w:szCs w:val="20"/>
                <w:lang w:eastAsia="en-AU"/>
              </w:rPr>
              <w:t>o</w:t>
            </w:r>
            <w:r w:rsidRPr="00464591">
              <w:rPr>
                <w:rFonts w:asciiTheme="minorHAnsi" w:hAnsiTheme="minorHAnsi" w:cs="Calibri"/>
                <w:i/>
                <w:color w:val="auto"/>
                <w:szCs w:val="20"/>
              </w:rPr>
              <w:t xml:space="preserve">nly major </w:t>
            </w:r>
            <w:r w:rsidR="00110D33">
              <w:rPr>
                <w:rFonts w:asciiTheme="minorHAnsi" w:hAnsiTheme="minorHAnsi" w:cs="Calibri"/>
                <w:i/>
                <w:color w:val="auto"/>
                <w:szCs w:val="20"/>
              </w:rPr>
              <w:t>e-waste</w:t>
            </w:r>
            <w:r w:rsidRPr="00464591">
              <w:rPr>
                <w:rFonts w:asciiTheme="minorHAnsi" w:hAnsiTheme="minorHAnsi" w:cs="Calibri"/>
                <w:i/>
                <w:color w:val="auto"/>
                <w:szCs w:val="20"/>
              </w:rPr>
              <w:t xml:space="preserve"> physical/chemical and manual disassembly processing facilities were included in the scope” </w:t>
            </w:r>
            <w:r w:rsidRPr="00464591">
              <w:rPr>
                <w:rFonts w:asciiTheme="minorHAnsi" w:hAnsiTheme="minorHAnsi" w:cs="Calibri"/>
                <w:color w:val="auto"/>
                <w:szCs w:val="20"/>
              </w:rPr>
              <w:t>Rawtec (2014)</w:t>
            </w:r>
            <w:r w:rsidRPr="00464591">
              <w:rPr>
                <w:rFonts w:asciiTheme="minorHAnsi" w:hAnsiTheme="minorHAnsi" w:cs="Calibri"/>
                <w:i/>
                <w:color w:val="auto"/>
                <w:szCs w:val="20"/>
              </w:rPr>
              <w:t>.</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Oil re-refining fac.</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094314" w:rsidRDefault="00464591" w:rsidP="00464591">
            <w:pPr>
              <w:spacing w:line="240" w:lineRule="auto"/>
              <w:rPr>
                <w:rFonts w:cs="Times New Roman"/>
                <w:color w:val="000000"/>
                <w:szCs w:val="20"/>
                <w:lang w:eastAsia="en-AU"/>
              </w:rPr>
            </w:pPr>
            <w:r w:rsidRPr="00961536">
              <w:rPr>
                <w:rFonts w:cs="Times New Roman"/>
                <w:color w:val="000000"/>
                <w:szCs w:val="20"/>
                <w:lang w:eastAsia="en-AU"/>
              </w:rPr>
              <w:t xml:space="preserve">Facilities that re-refine (recycle) waste oil. </w:t>
            </w:r>
          </w:p>
          <w:p w:rsidR="00961536" w:rsidRPr="00961536" w:rsidRDefault="00094314" w:rsidP="00464591">
            <w:pPr>
              <w:spacing w:line="240" w:lineRule="auto"/>
              <w:rPr>
                <w:rFonts w:cs="Times New Roman"/>
                <w:color w:val="000000"/>
                <w:szCs w:val="20"/>
                <w:lang w:eastAsia="en-AU"/>
              </w:rPr>
            </w:pPr>
            <w:r w:rsidRPr="007F5BD4">
              <w:rPr>
                <w:rFonts w:cs="Times New Roman"/>
                <w:color w:val="000000"/>
                <w:szCs w:val="20"/>
                <w:lang w:eastAsia="en-AU"/>
              </w:rPr>
              <w:t>Facilities that dewatering and filter waste oil (only)</w:t>
            </w:r>
            <w:r>
              <w:rPr>
                <w:rFonts w:cs="Times New Roman"/>
                <w:b/>
                <w:color w:val="000000"/>
                <w:szCs w:val="20"/>
                <w:lang w:eastAsia="en-AU"/>
              </w:rPr>
              <w:t xml:space="preserve"> </w:t>
            </w:r>
            <w:r>
              <w:rPr>
                <w:rFonts w:cs="Times New Roman"/>
                <w:color w:val="000000"/>
                <w:szCs w:val="20"/>
                <w:lang w:eastAsia="en-AU"/>
              </w:rPr>
              <w:t xml:space="preserve">are </w:t>
            </w:r>
            <w:r w:rsidRPr="00094314">
              <w:rPr>
                <w:rFonts w:cs="Times New Roman"/>
                <w:b/>
                <w:color w:val="000000"/>
                <w:szCs w:val="20"/>
                <w:lang w:eastAsia="en-AU"/>
              </w:rPr>
              <w:t xml:space="preserve">not </w:t>
            </w:r>
            <w:r w:rsidRPr="007F5BD4">
              <w:rPr>
                <w:rFonts w:cs="Times New Roman"/>
                <w:b/>
                <w:color w:val="000000"/>
                <w:szCs w:val="20"/>
                <w:lang w:eastAsia="en-AU"/>
              </w:rPr>
              <w:t>included in this group</w:t>
            </w:r>
            <w:r w:rsidRPr="00464591">
              <w:rPr>
                <w:rFonts w:cs="Times New Roman"/>
                <w:color w:val="000000"/>
                <w:szCs w:val="20"/>
                <w:lang w:eastAsia="en-AU"/>
              </w:rPr>
              <w:t xml:space="preserve"> as the primary function is</w:t>
            </w:r>
            <w:r w:rsidR="00CC4179">
              <w:rPr>
                <w:rFonts w:cs="Times New Roman"/>
                <w:color w:val="000000"/>
                <w:szCs w:val="20"/>
                <w:lang w:eastAsia="en-AU"/>
              </w:rPr>
              <w:t xml:space="preserve"> assumed to be</w:t>
            </w:r>
            <w:r w:rsidR="00D06841">
              <w:rPr>
                <w:rFonts w:cs="Times New Roman"/>
                <w:color w:val="000000"/>
                <w:szCs w:val="20"/>
                <w:lang w:eastAsia="en-AU"/>
              </w:rPr>
              <w:t xml:space="preserve"> </w:t>
            </w:r>
            <w:r w:rsidRPr="00464591">
              <w:rPr>
                <w:rFonts w:cs="Times New Roman"/>
                <w:color w:val="000000"/>
                <w:szCs w:val="20"/>
                <w:lang w:eastAsia="en-AU"/>
              </w:rPr>
              <w:t>transfer waste oil onto oil re-refining facilities.</w:t>
            </w:r>
          </w:p>
          <w:p w:rsidR="00464591" w:rsidRPr="00961536" w:rsidRDefault="00961536">
            <w:pPr>
              <w:spacing w:line="240" w:lineRule="auto"/>
              <w:rPr>
                <w:rFonts w:cs="Times New Roman"/>
                <w:color w:val="000000"/>
                <w:szCs w:val="20"/>
                <w:lang w:eastAsia="en-AU"/>
              </w:rPr>
            </w:pPr>
            <w:r w:rsidRPr="00961536">
              <w:rPr>
                <w:rFonts w:cs="Times New Roman"/>
                <w:color w:val="000000"/>
                <w:szCs w:val="20"/>
                <w:lang w:eastAsia="en-AU"/>
              </w:rPr>
              <w:t>Grouping overlap: so</w:t>
            </w:r>
            <w:r w:rsidR="00464591" w:rsidRPr="00961536">
              <w:rPr>
                <w:rFonts w:cs="Times New Roman"/>
                <w:color w:val="000000"/>
                <w:szCs w:val="20"/>
                <w:lang w:eastAsia="en-AU"/>
              </w:rPr>
              <w:t xml:space="preserve">me of the capacity of these facilities could also be allocated to transfer station or temporary storage. </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Lead fac.</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Facilities that recycle lead. Typically the lead is from used lead acid batteries.</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Mercury fac.</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Facilities that recycle mercury. Used fluorescent light fittings are usually a key waste.</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Solvents/paints fac.</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Facilities that recycle paints, resins, inks, organic sludges and/or organic solvents.</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Solvents/paints fac. (ER)</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961536" w:rsidRDefault="00464591">
            <w:pPr>
              <w:spacing w:line="240" w:lineRule="auto"/>
              <w:rPr>
                <w:rFonts w:cs="Times New Roman"/>
                <w:color w:val="000000"/>
                <w:szCs w:val="20"/>
                <w:lang w:eastAsia="en-AU"/>
              </w:rPr>
            </w:pPr>
            <w:r w:rsidRPr="00464591">
              <w:rPr>
                <w:rFonts w:cs="Times New Roman"/>
                <w:color w:val="000000"/>
                <w:szCs w:val="20"/>
                <w:lang w:eastAsia="en-AU"/>
              </w:rPr>
              <w:t>Facilities that recover solvents, paints, organics solvents for the purposes of energy recovery. The energy recovery may occur off-site from the facility.</w:t>
            </w:r>
            <w:r w:rsidR="003D2622">
              <w:rPr>
                <w:rFonts w:cs="Times New Roman"/>
                <w:color w:val="000000"/>
                <w:szCs w:val="20"/>
                <w:lang w:eastAsia="en-AU"/>
              </w:rPr>
              <w:t xml:space="preserve"> </w:t>
            </w:r>
          </w:p>
          <w:p w:rsidR="00464591" w:rsidRPr="00464591" w:rsidRDefault="00961536">
            <w:pPr>
              <w:spacing w:line="240" w:lineRule="auto"/>
              <w:rPr>
                <w:rFonts w:cs="Times New Roman"/>
                <w:color w:val="000000"/>
                <w:szCs w:val="20"/>
                <w:lang w:eastAsia="en-AU"/>
              </w:rPr>
            </w:pPr>
            <w:r w:rsidRPr="008A4522">
              <w:rPr>
                <w:rFonts w:cs="Times New Roman"/>
                <w:color w:val="000000"/>
                <w:szCs w:val="20"/>
                <w:lang w:eastAsia="en-AU"/>
              </w:rPr>
              <w:t>Grouping overlap:</w:t>
            </w:r>
            <w:r w:rsidR="00D06841">
              <w:rPr>
                <w:rFonts w:cs="Times New Roman"/>
                <w:color w:val="000000"/>
                <w:szCs w:val="20"/>
                <w:lang w:eastAsia="en-AU"/>
              </w:rPr>
              <w:t xml:space="preserve"> </w:t>
            </w:r>
            <w:r>
              <w:rPr>
                <w:rFonts w:cs="Times New Roman"/>
                <w:color w:val="000000"/>
                <w:szCs w:val="20"/>
                <w:lang w:eastAsia="en-AU"/>
              </w:rPr>
              <w:t>t</w:t>
            </w:r>
            <w:r w:rsidR="003D2622" w:rsidRPr="00464591">
              <w:rPr>
                <w:rFonts w:cs="Times New Roman"/>
                <w:color w:val="000000"/>
                <w:szCs w:val="20"/>
                <w:lang w:eastAsia="en-AU"/>
              </w:rPr>
              <w:t xml:space="preserve">his group includes </w:t>
            </w:r>
            <w:r w:rsidR="0074239B">
              <w:rPr>
                <w:rFonts w:cs="Times New Roman"/>
                <w:color w:val="000000"/>
                <w:szCs w:val="20"/>
                <w:lang w:eastAsia="en-AU"/>
              </w:rPr>
              <w:t xml:space="preserve">infrastructure </w:t>
            </w:r>
            <w:r w:rsidR="003D2622" w:rsidRPr="00464591">
              <w:rPr>
                <w:rFonts w:cs="Times New Roman"/>
                <w:color w:val="000000"/>
                <w:szCs w:val="20"/>
                <w:lang w:eastAsia="en-AU"/>
              </w:rPr>
              <w:t xml:space="preserve">that also </w:t>
            </w:r>
            <w:r w:rsidR="003D2622" w:rsidRPr="00961536">
              <w:rPr>
                <w:rFonts w:cs="Times New Roman"/>
                <w:color w:val="000000"/>
                <w:szCs w:val="20"/>
                <w:lang w:eastAsia="en-AU"/>
              </w:rPr>
              <w:t>receive</w:t>
            </w:r>
            <w:r w:rsidR="0074239B">
              <w:rPr>
                <w:rFonts w:cs="Times New Roman"/>
                <w:color w:val="000000"/>
                <w:szCs w:val="20"/>
                <w:lang w:eastAsia="en-AU"/>
              </w:rPr>
              <w:t>s</w:t>
            </w:r>
            <w:r w:rsidR="003D2622" w:rsidRPr="00961536">
              <w:rPr>
                <w:rFonts w:cs="Times New Roman"/>
                <w:color w:val="000000"/>
                <w:szCs w:val="20"/>
                <w:lang w:eastAsia="en-AU"/>
              </w:rPr>
              <w:t xml:space="preserve"> </w:t>
            </w:r>
            <w:r w:rsidR="0074239B">
              <w:rPr>
                <w:rFonts w:cs="Times New Roman"/>
                <w:color w:val="000000"/>
                <w:szCs w:val="20"/>
                <w:lang w:eastAsia="en-AU"/>
              </w:rPr>
              <w:t>pesticides</w:t>
            </w:r>
            <w:r w:rsidR="0074239B" w:rsidRPr="00961536">
              <w:rPr>
                <w:rFonts w:cs="Times New Roman"/>
                <w:color w:val="000000"/>
                <w:szCs w:val="20"/>
                <w:lang w:eastAsia="en-AU"/>
              </w:rPr>
              <w:t xml:space="preserve"> </w:t>
            </w:r>
            <w:r w:rsidR="0074239B">
              <w:rPr>
                <w:rFonts w:cs="Times New Roman"/>
                <w:color w:val="000000"/>
                <w:szCs w:val="20"/>
                <w:lang w:eastAsia="en-AU"/>
              </w:rPr>
              <w:t xml:space="preserve">and </w:t>
            </w:r>
            <w:r w:rsidR="003D2622" w:rsidRPr="00961536">
              <w:rPr>
                <w:rFonts w:cs="Times New Roman"/>
                <w:color w:val="000000"/>
                <w:szCs w:val="20"/>
                <w:lang w:eastAsia="en-AU"/>
              </w:rPr>
              <w:t>POPs</w:t>
            </w:r>
            <w:r w:rsidR="0074239B">
              <w:rPr>
                <w:rFonts w:cs="Times New Roman"/>
                <w:color w:val="000000"/>
                <w:szCs w:val="20"/>
                <w:lang w:eastAsia="en-AU"/>
              </w:rPr>
              <w:t xml:space="preserve"> </w:t>
            </w:r>
            <w:r w:rsidR="00553462">
              <w:rPr>
                <w:rFonts w:cs="Times New Roman"/>
                <w:color w:val="000000"/>
                <w:szCs w:val="20"/>
                <w:lang w:eastAsia="en-AU"/>
              </w:rPr>
              <w:t>for blending and with solvents/paint wastes for thermal destruction</w:t>
            </w:r>
            <w:r w:rsidR="003D2622" w:rsidRPr="00464591">
              <w:rPr>
                <w:rFonts w:cs="Times New Roman"/>
                <w:color w:val="000000"/>
                <w:szCs w:val="20"/>
                <w:lang w:eastAsia="en-AU"/>
              </w:rPr>
              <w:t>.</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Spent </w:t>
            </w:r>
            <w:r w:rsidR="00061B2C">
              <w:rPr>
                <w:rFonts w:cs="Times New Roman"/>
                <w:color w:val="000000"/>
                <w:szCs w:val="20"/>
                <w:lang w:eastAsia="en-AU"/>
              </w:rPr>
              <w:t>pot</w:t>
            </w:r>
            <w:r w:rsidRPr="00464591">
              <w:rPr>
                <w:rFonts w:cs="Times New Roman"/>
                <w:color w:val="000000"/>
                <w:szCs w:val="20"/>
                <w:lang w:eastAsia="en-AU"/>
              </w:rPr>
              <w:t>lining fac.</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Facilities that recycle spent </w:t>
            </w:r>
            <w:r w:rsidR="00061B2C">
              <w:rPr>
                <w:rFonts w:cs="Times New Roman"/>
                <w:color w:val="000000"/>
                <w:szCs w:val="20"/>
                <w:lang w:eastAsia="en-AU"/>
              </w:rPr>
              <w:t>pot</w:t>
            </w:r>
            <w:r w:rsidRPr="00464591">
              <w:rPr>
                <w:rFonts w:cs="Times New Roman"/>
                <w:color w:val="000000"/>
                <w:szCs w:val="20"/>
                <w:lang w:eastAsia="en-AU"/>
              </w:rPr>
              <w:t>lining waste from the aluminium industry.</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Organics fac. (NEPM code K wastes)</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tcPr>
          <w:p w:rsidR="00961536" w:rsidRPr="00961536" w:rsidRDefault="00464591" w:rsidP="00464591">
            <w:pPr>
              <w:spacing w:line="240" w:lineRule="auto"/>
              <w:rPr>
                <w:rFonts w:cs="Times New Roman"/>
                <w:color w:val="000000"/>
                <w:szCs w:val="20"/>
                <w:lang w:eastAsia="en-AU"/>
              </w:rPr>
            </w:pPr>
            <w:r w:rsidRPr="00464591">
              <w:rPr>
                <w:rFonts w:cs="Times New Roman"/>
                <w:color w:val="000000"/>
                <w:szCs w:val="20"/>
                <w:lang w:eastAsia="en-AU"/>
              </w:rPr>
              <w:t>Facilities that recycle a range of low hazard organic wastes such as grease trap waste, cooking oil, anima</w:t>
            </w:r>
            <w:r w:rsidRPr="00961536">
              <w:rPr>
                <w:rFonts w:cs="Times New Roman"/>
                <w:color w:val="000000"/>
                <w:szCs w:val="20"/>
                <w:lang w:eastAsia="en-AU"/>
              </w:rPr>
              <w:t xml:space="preserve">l effluents, etc. </w:t>
            </w:r>
          </w:p>
          <w:p w:rsidR="00464591" w:rsidRPr="00961536" w:rsidRDefault="00961536" w:rsidP="00464591">
            <w:pPr>
              <w:spacing w:line="240" w:lineRule="auto"/>
              <w:rPr>
                <w:rFonts w:cs="Times New Roman"/>
                <w:color w:val="000000"/>
                <w:szCs w:val="20"/>
                <w:lang w:eastAsia="en-AU"/>
              </w:rPr>
            </w:pPr>
            <w:r w:rsidRPr="00961536">
              <w:rPr>
                <w:rFonts w:cs="Times New Roman"/>
                <w:color w:val="000000"/>
                <w:szCs w:val="20"/>
                <w:lang w:eastAsia="en-AU"/>
              </w:rPr>
              <w:t>Grouping overlap: s</w:t>
            </w:r>
            <w:r w:rsidR="00464591" w:rsidRPr="00961536">
              <w:rPr>
                <w:rFonts w:cs="Times New Roman"/>
                <w:color w:val="000000"/>
                <w:szCs w:val="20"/>
                <w:lang w:eastAsia="en-AU"/>
              </w:rPr>
              <w:t xml:space="preserve">ome of the capacity of these facilities could also be allocated to transfer station or temporary storage. </w:t>
            </w:r>
          </w:p>
          <w:p w:rsidR="00464591" w:rsidRPr="00464591" w:rsidRDefault="00C06108" w:rsidP="00464591">
            <w:pPr>
              <w:spacing w:line="240" w:lineRule="auto"/>
              <w:rPr>
                <w:rFonts w:cs="Times New Roman"/>
                <w:color w:val="000000"/>
                <w:szCs w:val="20"/>
                <w:lang w:eastAsia="en-AU"/>
              </w:rPr>
            </w:pPr>
            <w:r w:rsidRPr="00464591">
              <w:rPr>
                <w:rFonts w:cs="Times New Roman"/>
                <w:color w:val="000000"/>
                <w:szCs w:val="20"/>
                <w:lang w:eastAsia="en-AU"/>
              </w:rPr>
              <w:t>Coverage limitation: “</w:t>
            </w:r>
            <w:r>
              <w:rPr>
                <w:rFonts w:cs="Times New Roman"/>
                <w:i/>
                <w:color w:val="000000"/>
                <w:szCs w:val="20"/>
                <w:lang w:eastAsia="en-AU"/>
              </w:rPr>
              <w:t>G</w:t>
            </w:r>
            <w:r w:rsidRPr="00464591">
              <w:rPr>
                <w:rFonts w:cs="Times New Roman"/>
                <w:i/>
                <w:color w:val="000000"/>
                <w:szCs w:val="20"/>
                <w:lang w:eastAsia="en-AU"/>
              </w:rPr>
              <w:t>r</w:t>
            </w:r>
            <w:r w:rsidRPr="00464591">
              <w:rPr>
                <w:rFonts w:asciiTheme="minorHAnsi" w:hAnsiTheme="minorHAnsi" w:cs="Calibri"/>
                <w:i/>
                <w:color w:val="auto"/>
                <w:szCs w:val="20"/>
              </w:rPr>
              <w:t xml:space="preserve">ease trap was captured where the </w:t>
            </w:r>
            <w:r>
              <w:rPr>
                <w:rFonts w:asciiTheme="minorHAnsi" w:hAnsiTheme="minorHAnsi" w:cs="Calibri"/>
                <w:i/>
                <w:color w:val="auto"/>
                <w:szCs w:val="20"/>
              </w:rPr>
              <w:t>…</w:t>
            </w:r>
            <w:r w:rsidRPr="00464591">
              <w:rPr>
                <w:rFonts w:asciiTheme="minorHAnsi" w:hAnsiTheme="minorHAnsi" w:cs="Calibri"/>
                <w:i/>
                <w:color w:val="auto"/>
                <w:szCs w:val="20"/>
              </w:rPr>
              <w:t xml:space="preserve"> facility also treated other hazardous wastes. Grease trap to composting facilities was not included” </w:t>
            </w:r>
            <w:r w:rsidRPr="00464591">
              <w:rPr>
                <w:rFonts w:asciiTheme="minorHAnsi" w:hAnsiTheme="minorHAnsi" w:cs="Calibri"/>
                <w:color w:val="auto"/>
                <w:szCs w:val="20"/>
              </w:rPr>
              <w:t>Rawtec (2014)</w:t>
            </w:r>
            <w:r w:rsidRPr="00464591">
              <w:rPr>
                <w:rFonts w:asciiTheme="minorHAnsi" w:hAnsiTheme="minorHAnsi" w:cs="Calibri"/>
                <w:i/>
                <w:color w:val="auto"/>
                <w:szCs w:val="20"/>
              </w:rPr>
              <w:t>.</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000000" w:fill="C5D9F1"/>
            <w:noWrap/>
            <w:hideMark/>
          </w:tcPr>
          <w:p w:rsidR="00464591" w:rsidRPr="00464591" w:rsidRDefault="00464591" w:rsidP="00464591">
            <w:pPr>
              <w:spacing w:line="240" w:lineRule="auto"/>
              <w:rPr>
                <w:rFonts w:cs="Times New Roman"/>
                <w:b/>
                <w:bCs/>
                <w:color w:val="000000"/>
                <w:szCs w:val="20"/>
                <w:lang w:eastAsia="en-AU"/>
              </w:rPr>
            </w:pPr>
            <w:r w:rsidRPr="00464591">
              <w:rPr>
                <w:rFonts w:cs="Times New Roman"/>
                <w:b/>
                <w:bCs/>
                <w:color w:val="000000"/>
                <w:szCs w:val="20"/>
                <w:lang w:eastAsia="en-AU"/>
              </w:rPr>
              <w:t>Treatment (T)</w:t>
            </w:r>
          </w:p>
        </w:tc>
        <w:tc>
          <w:tcPr>
            <w:tcW w:w="3854" w:type="pct"/>
            <w:tcBorders>
              <w:top w:val="single" w:sz="4" w:space="0" w:color="808080" w:themeColor="background1" w:themeShade="80"/>
              <w:left w:val="nil"/>
              <w:bottom w:val="single" w:sz="4" w:space="0" w:color="808080" w:themeColor="background1" w:themeShade="80"/>
              <w:right w:val="nil"/>
            </w:tcBorders>
            <w:shd w:val="clear" w:color="000000" w:fill="C5D9F1"/>
            <w:noWrap/>
          </w:tcPr>
          <w:p w:rsidR="00464591" w:rsidRPr="00464591" w:rsidRDefault="00464591" w:rsidP="00464591">
            <w:pPr>
              <w:spacing w:line="240" w:lineRule="auto"/>
              <w:rPr>
                <w:rFonts w:cs="Times New Roman"/>
                <w:color w:val="000000"/>
                <w:szCs w:val="20"/>
                <w:lang w:eastAsia="en-AU"/>
              </w:rPr>
            </w:pP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Chemical and Physical Treatment (CPT) plant</w:t>
            </w:r>
            <w:r w:rsidRPr="00464591">
              <w:rPr>
                <w:rFonts w:cs="Times New Roman"/>
                <w:color w:val="000000"/>
                <w:szCs w:val="20"/>
                <w:vertAlign w:val="superscript"/>
                <w:lang w:eastAsia="en-AU"/>
              </w:rPr>
              <w:footnoteReference w:id="24"/>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961536"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Sophisticated and significant capital expenditure facilities that provide a range of chemical and physical treatments to a broad range of waste groups. This is a large and critical infrastructure group. Often licensed to receive almost all NEPM 15 waste codes. Rawtec (2014) lists most CPT sites as receiving codes B, C, D, E, F, G, H, J, K, L, M, N, R, and T. Processes can include all chemical treatments (e.g. oxidation, reduction, precipitation, neutralisation, etc.) and physical treatments (e.g. sedimentation, filtration, adsorption, immobilisation, etc.) </w:t>
            </w:r>
          </w:p>
          <w:p w:rsidR="00464591" w:rsidRPr="00464591" w:rsidRDefault="00961536">
            <w:pPr>
              <w:spacing w:line="240" w:lineRule="auto"/>
              <w:rPr>
                <w:rFonts w:cs="Times New Roman"/>
                <w:color w:val="000000"/>
                <w:szCs w:val="20"/>
                <w:lang w:eastAsia="en-AU"/>
              </w:rPr>
            </w:pPr>
            <w:r w:rsidRPr="00961536">
              <w:rPr>
                <w:rFonts w:cs="Times New Roman"/>
                <w:color w:val="000000"/>
                <w:szCs w:val="20"/>
                <w:lang w:eastAsia="en-AU"/>
              </w:rPr>
              <w:t>Grouping overlap: s</w:t>
            </w:r>
            <w:r w:rsidR="00464591" w:rsidRPr="00961536">
              <w:rPr>
                <w:rFonts w:cs="Times New Roman"/>
                <w:color w:val="000000"/>
                <w:szCs w:val="20"/>
                <w:lang w:eastAsia="en-AU"/>
              </w:rPr>
              <w:t xml:space="preserve">ome of the capacity of these facilities could also be allocated to recycling (solvents/paints) and transfer station or temporary storage. No POPs </w:t>
            </w:r>
            <w:r w:rsidR="00464591" w:rsidRPr="007F5BD4">
              <w:rPr>
                <w:rFonts w:cs="Times New Roman"/>
                <w:color w:val="000000"/>
                <w:szCs w:val="20"/>
                <w:u w:val="single"/>
                <w:lang w:eastAsia="en-AU"/>
              </w:rPr>
              <w:t>thermal destruction</w:t>
            </w:r>
            <w:r w:rsidR="00464591" w:rsidRPr="00961536">
              <w:rPr>
                <w:rFonts w:cs="Times New Roman"/>
                <w:color w:val="000000"/>
                <w:szCs w:val="20"/>
                <w:lang w:eastAsia="en-AU"/>
              </w:rPr>
              <w:t xml:space="preserve"> </w:t>
            </w:r>
            <w:r w:rsidR="00464591" w:rsidRPr="00464591">
              <w:rPr>
                <w:rFonts w:cs="Times New Roman"/>
                <w:color w:val="000000"/>
                <w:szCs w:val="20"/>
                <w:lang w:eastAsia="en-AU"/>
              </w:rPr>
              <w:t>capacity has been identified at these sites but this could change in future.</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Clinical waste fac. (T)</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Facilities that treat clinical waste typically using an autoclave.</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Soils treatment fac.</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961536"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Facilities that treat contaminated soils. Treatment processes include biodegradation and thermal destruction of contaminants. </w:t>
            </w:r>
          </w:p>
          <w:p w:rsidR="00094314" w:rsidRPr="00464591" w:rsidRDefault="00961536">
            <w:pPr>
              <w:spacing w:line="240" w:lineRule="auto"/>
              <w:rPr>
                <w:rFonts w:cs="Times New Roman"/>
                <w:color w:val="000000"/>
                <w:szCs w:val="20"/>
                <w:lang w:eastAsia="en-AU"/>
              </w:rPr>
            </w:pPr>
            <w:r w:rsidRPr="008A4522">
              <w:rPr>
                <w:rFonts w:cs="Times New Roman"/>
                <w:color w:val="000000"/>
                <w:szCs w:val="20"/>
                <w:lang w:eastAsia="en-AU"/>
              </w:rPr>
              <w:t xml:space="preserve">Grouping overlap: </w:t>
            </w:r>
            <w:r>
              <w:rPr>
                <w:rFonts w:cs="Times New Roman"/>
                <w:color w:val="000000"/>
                <w:szCs w:val="20"/>
                <w:lang w:eastAsia="en-AU"/>
              </w:rPr>
              <w:t>t</w:t>
            </w:r>
            <w:r w:rsidR="00464591" w:rsidRPr="00961536">
              <w:rPr>
                <w:rFonts w:cs="Times New Roman"/>
                <w:color w:val="000000"/>
                <w:szCs w:val="20"/>
                <w:lang w:eastAsia="en-AU"/>
              </w:rPr>
              <w:t>his group includes the Renex waste treatment facility, which also has some capacity for POPs thermal destruction.</w:t>
            </w:r>
            <w:r w:rsidR="00464591" w:rsidRPr="00464591">
              <w:rPr>
                <w:rFonts w:cs="Times New Roman"/>
                <w:color w:val="000000"/>
                <w:szCs w:val="20"/>
                <w:lang w:eastAsia="en-AU"/>
              </w:rPr>
              <w:t xml:space="preserve"> </w:t>
            </w:r>
          </w:p>
        </w:tc>
      </w:tr>
      <w:tr w:rsidR="00464591" w:rsidRPr="00464591" w:rsidTr="00EF7EBD">
        <w:trPr>
          <w:trHeight w:val="255"/>
        </w:trPr>
        <w:tc>
          <w:tcPr>
            <w:tcW w:w="5000" w:type="pct"/>
            <w:gridSpan w:val="2"/>
            <w:tcBorders>
              <w:top w:val="single" w:sz="4" w:space="0" w:color="808080" w:themeColor="background1" w:themeShade="80"/>
              <w:left w:val="nil"/>
              <w:bottom w:val="single" w:sz="4" w:space="0" w:color="808080" w:themeColor="background1" w:themeShade="80"/>
              <w:right w:val="nil"/>
            </w:tcBorders>
            <w:shd w:val="clear" w:color="000000" w:fill="C5D9F1"/>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b/>
                <w:bCs/>
                <w:color w:val="000000"/>
                <w:szCs w:val="20"/>
                <w:lang w:eastAsia="en-AU"/>
              </w:rPr>
              <w:t>Disposal: landfill, thermal destruction (TD)</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Hazwaste landfill </w:t>
            </w:r>
            <w:r w:rsidR="00ED4A0A">
              <w:rPr>
                <w:rFonts w:cs="Times New Roman"/>
                <w:color w:val="000000"/>
                <w:szCs w:val="20"/>
                <w:lang w:eastAsia="en-AU"/>
              </w:rPr>
              <w:t xml:space="preserve">disposal </w:t>
            </w:r>
            <w:r w:rsidRPr="00464591">
              <w:rPr>
                <w:rFonts w:cs="Times New Roman"/>
                <w:color w:val="000000"/>
                <w:szCs w:val="20"/>
                <w:lang w:eastAsia="en-AU"/>
              </w:rPr>
              <w:t xml:space="preserve">fac. </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464591" w:rsidRPr="00464591" w:rsidRDefault="00464591">
            <w:pPr>
              <w:spacing w:line="240" w:lineRule="auto"/>
              <w:rPr>
                <w:rFonts w:cs="Times New Roman"/>
                <w:color w:val="000000"/>
                <w:szCs w:val="20"/>
                <w:lang w:eastAsia="en-AU"/>
              </w:rPr>
            </w:pPr>
            <w:r w:rsidRPr="00464591">
              <w:rPr>
                <w:rFonts w:cs="Times New Roman"/>
                <w:color w:val="000000"/>
                <w:szCs w:val="20"/>
                <w:lang w:eastAsia="en-AU"/>
              </w:rPr>
              <w:t>A small number of landfill facilities that are licensed to dispos</w:t>
            </w:r>
            <w:r w:rsidR="00ED4A0A">
              <w:rPr>
                <w:rFonts w:cs="Times New Roman"/>
                <w:color w:val="000000"/>
                <w:szCs w:val="20"/>
                <w:lang w:eastAsia="en-AU"/>
              </w:rPr>
              <w:t>e</w:t>
            </w:r>
            <w:r w:rsidRPr="00464591">
              <w:rPr>
                <w:rFonts w:cs="Times New Roman"/>
                <w:color w:val="000000"/>
                <w:szCs w:val="20"/>
                <w:lang w:eastAsia="en-AU"/>
              </w:rPr>
              <w:t xml:space="preserve"> of a wide range of hazardous wastes many of which can only be landfilled at these sites. </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Landfill </w:t>
            </w:r>
            <w:r w:rsidR="00ED4A0A">
              <w:rPr>
                <w:rFonts w:cs="Times New Roman"/>
                <w:color w:val="000000"/>
                <w:szCs w:val="20"/>
                <w:lang w:eastAsia="en-AU"/>
              </w:rPr>
              <w:t xml:space="preserve">disposal </w:t>
            </w:r>
            <w:r w:rsidRPr="00464591">
              <w:rPr>
                <w:rFonts w:cs="Times New Roman"/>
                <w:color w:val="000000"/>
                <w:szCs w:val="20"/>
                <w:lang w:eastAsia="en-AU"/>
              </w:rPr>
              <w:t>fac. (NEPM codes N, T only)</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tcPr>
          <w:p w:rsidR="00464591" w:rsidRPr="00464591" w:rsidRDefault="00464591" w:rsidP="00C06108">
            <w:pPr>
              <w:spacing w:line="240" w:lineRule="auto"/>
              <w:rPr>
                <w:rFonts w:cs="Times New Roman"/>
                <w:color w:val="000000"/>
                <w:szCs w:val="20"/>
                <w:lang w:eastAsia="en-AU"/>
              </w:rPr>
            </w:pPr>
            <w:r w:rsidRPr="00464591">
              <w:rPr>
                <w:rFonts w:cs="Times New Roman"/>
                <w:color w:val="000000"/>
                <w:szCs w:val="20"/>
                <w:lang w:eastAsia="en-AU"/>
              </w:rPr>
              <w:t xml:space="preserve">Landfill facilities that are generally only licensed to </w:t>
            </w:r>
            <w:r w:rsidR="00ED4A0A">
              <w:rPr>
                <w:rFonts w:cs="Times New Roman"/>
                <w:color w:val="000000"/>
                <w:szCs w:val="20"/>
                <w:lang w:eastAsia="en-AU"/>
              </w:rPr>
              <w:t xml:space="preserve">dispose </w:t>
            </w:r>
            <w:r w:rsidRPr="00464591">
              <w:rPr>
                <w:rFonts w:cs="Times New Roman"/>
                <w:color w:val="000000"/>
                <w:szCs w:val="20"/>
                <w:lang w:eastAsia="en-AU"/>
              </w:rPr>
              <w:t>low level contaminated soils, asbestos, and tyres (NEPM 15 codes N and T). These landfills also generally dispose of non-hazardous wastes which are typically the majority of the tonnages disposed at the site.</w:t>
            </w:r>
            <w:r w:rsidR="00D06841">
              <w:rPr>
                <w:rFonts w:cs="Times New Roman"/>
                <w:color w:val="000000"/>
                <w:szCs w:val="20"/>
                <w:lang w:eastAsia="en-AU"/>
              </w:rPr>
              <w:t xml:space="preserve"> </w:t>
            </w:r>
            <w:r w:rsidRPr="00464591">
              <w:t xml:space="preserve">Rawtec </w:t>
            </w:r>
            <w:r w:rsidR="00C06108">
              <w:t>(</w:t>
            </w:r>
            <w:r w:rsidRPr="00464591">
              <w:t>2014</w:t>
            </w:r>
            <w:r w:rsidR="00C06108">
              <w:t xml:space="preserve"> p.7)</w:t>
            </w:r>
            <w:r w:rsidRPr="00464591">
              <w:t xml:space="preserve"> states that the database does </w:t>
            </w:r>
            <w:r w:rsidRPr="00464591">
              <w:rPr>
                <w:b/>
              </w:rPr>
              <w:t>not</w:t>
            </w:r>
            <w:r w:rsidRPr="00464591">
              <w:t xml:space="preserve"> include “</w:t>
            </w:r>
            <w:r w:rsidRPr="00464591">
              <w:rPr>
                <w:i/>
              </w:rPr>
              <w:t xml:space="preserve">sites that dispose of </w:t>
            </w:r>
            <w:r w:rsidRPr="00464591">
              <w:rPr>
                <w:i/>
              </w:rPr>
              <w:lastRenderedPageBreak/>
              <w:t>asbestos and tyres (e.g. landfills), except where those sites also manage other hazardous wastes. This is because those sites are not usually considered as hazardous waste treatment or disposal facilities”.</w:t>
            </w:r>
            <w:r w:rsidRPr="00464591">
              <w:t xml:space="preserve"> </w:t>
            </w:r>
            <w:r w:rsidRPr="00922823">
              <w:t xml:space="preserve">This infrastructure group is out of the scope of </w:t>
            </w:r>
            <w:r w:rsidR="00C06108">
              <w:t>infrastructure</w:t>
            </w:r>
            <w:r w:rsidRPr="00922823">
              <w:t xml:space="preserve"> database, </w:t>
            </w:r>
            <w:r w:rsidRPr="00464591">
              <w:t xml:space="preserve">however, the database lists </w:t>
            </w:r>
            <w:r w:rsidRPr="00464591">
              <w:rPr>
                <w:rFonts w:cs="Times New Roman"/>
                <w:color w:val="0C0C0C" w:themeColor="text1"/>
                <w:szCs w:val="20"/>
                <w:lang w:eastAsia="en-AU"/>
              </w:rPr>
              <w:t>2</w:t>
            </w:r>
            <w:r w:rsidR="00904667">
              <w:rPr>
                <w:rFonts w:cs="Times New Roman"/>
                <w:color w:val="0C0C0C" w:themeColor="text1"/>
                <w:szCs w:val="20"/>
                <w:lang w:eastAsia="en-AU"/>
              </w:rPr>
              <w:t>7</w:t>
            </w:r>
            <w:r w:rsidRPr="00464591">
              <w:rPr>
                <w:rFonts w:cs="Times New Roman"/>
                <w:color w:val="0C0C0C" w:themeColor="text1"/>
                <w:szCs w:val="20"/>
                <w:lang w:eastAsia="en-AU"/>
              </w:rPr>
              <w:t xml:space="preserve"> such landfills (16 of which are in Victoria). Whilst these 2</w:t>
            </w:r>
            <w:r w:rsidR="00904667">
              <w:rPr>
                <w:rFonts w:cs="Times New Roman"/>
                <w:color w:val="0C0C0C" w:themeColor="text1"/>
                <w:szCs w:val="20"/>
                <w:lang w:eastAsia="en-AU"/>
              </w:rPr>
              <w:t>7</w:t>
            </w:r>
            <w:r w:rsidRPr="00464591">
              <w:rPr>
                <w:rFonts w:cs="Times New Roman"/>
                <w:color w:val="0C0C0C" w:themeColor="text1"/>
                <w:szCs w:val="20"/>
                <w:lang w:eastAsia="en-AU"/>
              </w:rPr>
              <w:t xml:space="preserve"> sites are included in the database, there are a large (unknown) number of landfills fitting this infrastructure group in Australia that are not listed and the infrastructure group remains out of the scope of the capacity assessment. </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lastRenderedPageBreak/>
              <w:t>POPs fac (TD).</w:t>
            </w:r>
            <w:r w:rsidRPr="00464591">
              <w:rPr>
                <w:rFonts w:cs="Times New Roman"/>
                <w:color w:val="000000"/>
                <w:szCs w:val="20"/>
                <w:vertAlign w:val="superscript"/>
                <w:lang w:eastAsia="en-AU"/>
              </w:rPr>
              <w:footnoteReference w:id="25"/>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Facilities </w:t>
            </w:r>
            <w:proofErr w:type="gramStart"/>
            <w:r w:rsidRPr="00464591">
              <w:rPr>
                <w:rFonts w:cs="Times New Roman"/>
                <w:color w:val="000000"/>
                <w:szCs w:val="20"/>
                <w:lang w:eastAsia="en-AU"/>
              </w:rPr>
              <w:t>that</w:t>
            </w:r>
            <w:r w:rsidR="00ED4A0A">
              <w:rPr>
                <w:rFonts w:cs="Times New Roman"/>
                <w:color w:val="000000"/>
                <w:szCs w:val="20"/>
                <w:lang w:eastAsia="en-AU"/>
              </w:rPr>
              <w:t xml:space="preserve"> are</w:t>
            </w:r>
            <w:proofErr w:type="gramEnd"/>
            <w:r w:rsidR="00ED4A0A">
              <w:rPr>
                <w:rFonts w:cs="Times New Roman"/>
                <w:color w:val="000000"/>
                <w:szCs w:val="20"/>
                <w:lang w:eastAsia="en-AU"/>
              </w:rPr>
              <w:t xml:space="preserve"> able to destroy</w:t>
            </w:r>
            <w:r w:rsidRPr="00464591">
              <w:rPr>
                <w:rFonts w:cs="Times New Roman"/>
                <w:color w:val="000000"/>
                <w:szCs w:val="20"/>
                <w:lang w:eastAsia="en-AU"/>
              </w:rPr>
              <w:t xml:space="preserve"> persistent organic compounds (POPs) by thermal destruction.</w:t>
            </w:r>
            <w:r w:rsidR="00D06841">
              <w:rPr>
                <w:rFonts w:cs="Times New Roman"/>
                <w:color w:val="000000"/>
                <w:szCs w:val="20"/>
                <w:lang w:eastAsia="en-AU"/>
              </w:rPr>
              <w:t xml:space="preserve"> </w:t>
            </w:r>
          </w:p>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Coverage limitation: “</w:t>
            </w:r>
            <w:r w:rsidRPr="00464591">
              <w:rPr>
                <w:rFonts w:cs="Times New Roman"/>
                <w:i/>
                <w:color w:val="000000"/>
                <w:szCs w:val="20"/>
                <w:lang w:eastAsia="en-AU"/>
              </w:rPr>
              <w:t xml:space="preserve">smelters and </w:t>
            </w:r>
            <w:r w:rsidRPr="00464591">
              <w:rPr>
                <w:rFonts w:asciiTheme="minorHAnsi" w:hAnsiTheme="minorHAnsi" w:cs="Calibri"/>
                <w:i/>
                <w:color w:val="auto"/>
                <w:szCs w:val="20"/>
              </w:rPr>
              <w:t xml:space="preserve">cement kilns are not considered as hazardous waste treatment facilities and therefore are not captured in this dataset, however it is still acknowledged that they may process some hazardous wastes” </w:t>
            </w:r>
            <w:r w:rsidRPr="00464591">
              <w:rPr>
                <w:rFonts w:asciiTheme="minorHAnsi" w:hAnsiTheme="minorHAnsi" w:cs="Calibri"/>
                <w:color w:val="auto"/>
                <w:szCs w:val="20"/>
              </w:rPr>
              <w:t>Rawtec (2014)</w:t>
            </w:r>
            <w:r w:rsidRPr="00464591">
              <w:rPr>
                <w:rFonts w:asciiTheme="minorHAnsi" w:hAnsiTheme="minorHAnsi" w:cs="Calibri"/>
                <w:i/>
                <w:color w:val="auto"/>
                <w:szCs w:val="20"/>
              </w:rPr>
              <w:t>.</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Clinical waste fac. (TD)</w:t>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auto"/>
            <w:noWrap/>
          </w:tcPr>
          <w:p w:rsidR="00961536"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Facilities that dispose of medical waste by thermal destruction. </w:t>
            </w:r>
          </w:p>
          <w:p w:rsidR="00464591" w:rsidRPr="00464591" w:rsidRDefault="00961536">
            <w:pPr>
              <w:spacing w:line="240" w:lineRule="auto"/>
              <w:rPr>
                <w:rFonts w:cs="Times New Roman"/>
                <w:color w:val="000000"/>
                <w:szCs w:val="20"/>
                <w:lang w:eastAsia="en-AU"/>
              </w:rPr>
            </w:pPr>
            <w:r w:rsidRPr="008A4522">
              <w:rPr>
                <w:rFonts w:cs="Times New Roman"/>
                <w:color w:val="000000"/>
                <w:szCs w:val="20"/>
                <w:lang w:eastAsia="en-AU"/>
              </w:rPr>
              <w:t xml:space="preserve">Grouping overlap: </w:t>
            </w:r>
            <w:r>
              <w:rPr>
                <w:rFonts w:cs="Times New Roman"/>
                <w:color w:val="000000"/>
                <w:szCs w:val="20"/>
                <w:lang w:eastAsia="en-AU"/>
              </w:rPr>
              <w:t>t</w:t>
            </w:r>
            <w:r w:rsidR="00464591" w:rsidRPr="00464591">
              <w:rPr>
                <w:rFonts w:cs="Times New Roman"/>
                <w:color w:val="000000"/>
                <w:szCs w:val="20"/>
                <w:lang w:eastAsia="en-AU"/>
              </w:rPr>
              <w:t xml:space="preserve">his group includes facilities that may also have </w:t>
            </w:r>
            <w:r w:rsidR="009B5ADD">
              <w:rPr>
                <w:rFonts w:cs="Times New Roman"/>
                <w:color w:val="000000"/>
                <w:szCs w:val="20"/>
                <w:lang w:eastAsia="en-AU"/>
              </w:rPr>
              <w:t xml:space="preserve">Clinical waste </w:t>
            </w:r>
            <w:r w:rsidR="009B5ADD" w:rsidRPr="007F5BD4">
              <w:rPr>
                <w:rFonts w:cs="Times New Roman"/>
                <w:color w:val="000000"/>
                <w:szCs w:val="20"/>
                <w:lang w:eastAsia="en-AU"/>
              </w:rPr>
              <w:t>treatment</w:t>
            </w:r>
            <w:r w:rsidR="009B5ADD">
              <w:rPr>
                <w:rFonts w:cs="Times New Roman"/>
                <w:color w:val="000000"/>
                <w:szCs w:val="20"/>
                <w:lang w:eastAsia="en-AU"/>
              </w:rPr>
              <w:t xml:space="preserve"> capacity (autoclave) and </w:t>
            </w:r>
            <w:r w:rsidR="00464591" w:rsidRPr="009B5ADD">
              <w:rPr>
                <w:rFonts w:cs="Times New Roman"/>
                <w:color w:val="000000"/>
                <w:szCs w:val="20"/>
                <w:lang w:eastAsia="en-AU"/>
              </w:rPr>
              <w:t>thermal</w:t>
            </w:r>
            <w:r w:rsidR="00464591" w:rsidRPr="00464591">
              <w:rPr>
                <w:rFonts w:cs="Times New Roman"/>
                <w:color w:val="000000"/>
                <w:szCs w:val="20"/>
                <w:lang w:eastAsia="en-AU"/>
              </w:rPr>
              <w:t xml:space="preserve"> destruction capacity for other wastes, including </w:t>
            </w:r>
            <w:r w:rsidR="00464591" w:rsidRPr="00961536">
              <w:rPr>
                <w:rFonts w:cs="Times New Roman"/>
                <w:color w:val="000000"/>
                <w:szCs w:val="20"/>
                <w:lang w:eastAsia="en-AU"/>
              </w:rPr>
              <w:t>POPs.</w:t>
            </w:r>
            <w:r w:rsidR="00464591" w:rsidRPr="00464591">
              <w:rPr>
                <w:rFonts w:cs="Times New Roman"/>
                <w:color w:val="000000"/>
                <w:szCs w:val="20"/>
                <w:lang w:eastAsia="en-AU"/>
              </w:rPr>
              <w:t xml:space="preserve"> </w:t>
            </w:r>
          </w:p>
        </w:tc>
      </w:tr>
      <w:tr w:rsidR="00464591" w:rsidRPr="00464591" w:rsidTr="00EF7EBD">
        <w:trPr>
          <w:trHeight w:val="255"/>
        </w:trPr>
        <w:tc>
          <w:tcPr>
            <w:tcW w:w="1146" w:type="pct"/>
            <w:tcBorders>
              <w:top w:val="single" w:sz="4" w:space="0" w:color="808080" w:themeColor="background1" w:themeShade="80"/>
              <w:left w:val="nil"/>
              <w:bottom w:val="single" w:sz="4" w:space="0" w:color="808080" w:themeColor="background1" w:themeShade="80"/>
              <w:right w:val="nil"/>
            </w:tcBorders>
            <w:shd w:val="clear" w:color="auto" w:fill="BED3F4"/>
            <w:noWrap/>
            <w:hideMark/>
          </w:tcPr>
          <w:p w:rsidR="00464591" w:rsidRPr="00464591" w:rsidRDefault="00464591" w:rsidP="00464591">
            <w:pPr>
              <w:spacing w:line="240" w:lineRule="auto"/>
              <w:rPr>
                <w:rFonts w:cs="Times New Roman"/>
                <w:b/>
                <w:bCs/>
                <w:color w:val="000000"/>
                <w:szCs w:val="20"/>
                <w:lang w:eastAsia="en-AU"/>
              </w:rPr>
            </w:pPr>
            <w:r w:rsidRPr="00464591">
              <w:rPr>
                <w:rFonts w:cs="Times New Roman"/>
                <w:b/>
                <w:bCs/>
                <w:color w:val="000000"/>
                <w:szCs w:val="20"/>
                <w:lang w:eastAsia="en-AU"/>
              </w:rPr>
              <w:t>Transfer station or temporary storage fac.</w:t>
            </w:r>
            <w:r w:rsidRPr="00464591">
              <w:rPr>
                <w:rFonts w:cs="Times New Roman"/>
                <w:b/>
                <w:bCs/>
                <w:color w:val="000000"/>
                <w:szCs w:val="20"/>
                <w:vertAlign w:val="superscript"/>
                <w:lang w:eastAsia="en-AU"/>
              </w:rPr>
              <w:footnoteReference w:id="26"/>
            </w:r>
          </w:p>
        </w:tc>
        <w:tc>
          <w:tcPr>
            <w:tcW w:w="3854"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tcPr>
          <w:p w:rsidR="00961536" w:rsidRDefault="00464591" w:rsidP="00464591">
            <w:pPr>
              <w:spacing w:line="240" w:lineRule="auto"/>
              <w:rPr>
                <w:rFonts w:cs="Times New Roman"/>
                <w:color w:val="000000"/>
                <w:szCs w:val="20"/>
                <w:lang w:eastAsia="en-AU"/>
              </w:rPr>
            </w:pPr>
            <w:r w:rsidRPr="00464591">
              <w:rPr>
                <w:rFonts w:cs="Times New Roman"/>
                <w:color w:val="000000"/>
                <w:szCs w:val="20"/>
                <w:lang w:eastAsia="en-AU"/>
              </w:rPr>
              <w:t xml:space="preserve">Facilities for the transfer or temporary storage of hazardous wastes. Some of these facilities receive a wide range of wastes, others only specific wastes. </w:t>
            </w:r>
          </w:p>
          <w:p w:rsidR="00464591" w:rsidRPr="00464591" w:rsidRDefault="00961536" w:rsidP="00464591">
            <w:pPr>
              <w:spacing w:line="240" w:lineRule="auto"/>
              <w:rPr>
                <w:rFonts w:cs="Times New Roman"/>
                <w:color w:val="000000"/>
                <w:szCs w:val="20"/>
                <w:lang w:eastAsia="en-AU"/>
              </w:rPr>
            </w:pPr>
            <w:r w:rsidRPr="008A4522">
              <w:rPr>
                <w:rFonts w:cs="Times New Roman"/>
                <w:color w:val="000000"/>
                <w:szCs w:val="20"/>
                <w:lang w:eastAsia="en-AU"/>
              </w:rPr>
              <w:t xml:space="preserve">Grouping overlap: </w:t>
            </w:r>
            <w:r>
              <w:rPr>
                <w:rFonts w:cs="Times New Roman"/>
                <w:color w:val="000000"/>
                <w:szCs w:val="20"/>
                <w:lang w:eastAsia="en-AU"/>
              </w:rPr>
              <w:t>a</w:t>
            </w:r>
            <w:r w:rsidR="00464591" w:rsidRPr="00464591">
              <w:rPr>
                <w:rFonts w:cs="Times New Roman"/>
                <w:color w:val="000000"/>
                <w:szCs w:val="20"/>
                <w:lang w:eastAsia="en-AU"/>
              </w:rPr>
              <w:t xml:space="preserve">s noted above, several other infrastructure groups also provide transfer and storage capacity. </w:t>
            </w:r>
            <w:r w:rsidR="009E2A7C">
              <w:rPr>
                <w:rFonts w:cs="Times New Roman"/>
                <w:b/>
                <w:color w:val="000000"/>
                <w:szCs w:val="20"/>
                <w:lang w:eastAsia="en-AU"/>
              </w:rPr>
              <w:t>Waste oil d</w:t>
            </w:r>
            <w:r w:rsidR="009E2A7C" w:rsidRPr="00464591">
              <w:rPr>
                <w:rFonts w:cs="Times New Roman"/>
                <w:b/>
                <w:color w:val="000000"/>
                <w:szCs w:val="20"/>
                <w:lang w:eastAsia="en-AU"/>
              </w:rPr>
              <w:t>ewater</w:t>
            </w:r>
            <w:r w:rsidR="009E2A7C">
              <w:rPr>
                <w:rFonts w:cs="Times New Roman"/>
                <w:b/>
                <w:color w:val="000000"/>
                <w:szCs w:val="20"/>
                <w:lang w:eastAsia="en-AU"/>
              </w:rPr>
              <w:t>ing</w:t>
            </w:r>
            <w:r w:rsidR="009E2A7C" w:rsidRPr="00464591">
              <w:rPr>
                <w:rFonts w:cs="Times New Roman"/>
                <w:b/>
                <w:color w:val="000000"/>
                <w:szCs w:val="20"/>
                <w:lang w:eastAsia="en-AU"/>
              </w:rPr>
              <w:t xml:space="preserve"> and filter</w:t>
            </w:r>
            <w:r w:rsidR="009E2A7C">
              <w:rPr>
                <w:rFonts w:cs="Times New Roman"/>
                <w:b/>
                <w:color w:val="000000"/>
                <w:szCs w:val="20"/>
                <w:lang w:eastAsia="en-AU"/>
              </w:rPr>
              <w:t>ing</w:t>
            </w:r>
            <w:r w:rsidR="009E2A7C" w:rsidRPr="00464591">
              <w:rPr>
                <w:rFonts w:cs="Times New Roman"/>
                <w:b/>
                <w:color w:val="000000"/>
                <w:szCs w:val="20"/>
                <w:lang w:eastAsia="en-AU"/>
              </w:rPr>
              <w:t xml:space="preserve"> (only)</w:t>
            </w:r>
            <w:r w:rsidR="009E2A7C">
              <w:rPr>
                <w:rFonts w:cs="Times New Roman"/>
                <w:b/>
                <w:color w:val="000000"/>
                <w:szCs w:val="20"/>
                <w:lang w:eastAsia="en-AU"/>
              </w:rPr>
              <w:t xml:space="preserve"> </w:t>
            </w:r>
            <w:r w:rsidR="009E2A7C">
              <w:rPr>
                <w:rFonts w:cs="Times New Roman"/>
                <w:color w:val="000000"/>
                <w:szCs w:val="20"/>
                <w:lang w:eastAsia="en-AU"/>
              </w:rPr>
              <w:t>are included in this group</w:t>
            </w:r>
            <w:r w:rsidR="00464591" w:rsidRPr="00464591">
              <w:rPr>
                <w:rFonts w:cs="Times New Roman"/>
                <w:color w:val="000000"/>
                <w:szCs w:val="20"/>
                <w:lang w:eastAsia="en-AU"/>
              </w:rPr>
              <w:t xml:space="preserve"> as the primary function is </w:t>
            </w:r>
            <w:r w:rsidR="00CC4179">
              <w:rPr>
                <w:rFonts w:cs="Times New Roman"/>
                <w:color w:val="000000"/>
                <w:szCs w:val="20"/>
                <w:lang w:eastAsia="en-AU"/>
              </w:rPr>
              <w:t xml:space="preserve">assumed to be </w:t>
            </w:r>
            <w:r w:rsidR="00464591" w:rsidRPr="00464591">
              <w:rPr>
                <w:rFonts w:cs="Times New Roman"/>
                <w:color w:val="000000"/>
                <w:szCs w:val="20"/>
                <w:lang w:eastAsia="en-AU"/>
              </w:rPr>
              <w:t>transfer waste oil onto oil re-refining facilities.</w:t>
            </w:r>
          </w:p>
          <w:p w:rsidR="00464591" w:rsidRPr="00464591" w:rsidRDefault="00464591" w:rsidP="00464591">
            <w:pPr>
              <w:spacing w:line="240" w:lineRule="auto"/>
              <w:rPr>
                <w:rFonts w:cs="Times New Roman"/>
                <w:color w:val="000000"/>
                <w:szCs w:val="20"/>
                <w:lang w:eastAsia="en-AU"/>
              </w:rPr>
            </w:pPr>
            <w:r w:rsidRPr="00464591">
              <w:rPr>
                <w:rFonts w:cs="Times New Roman"/>
                <w:color w:val="000000"/>
                <w:szCs w:val="20"/>
                <w:lang w:eastAsia="en-AU"/>
              </w:rPr>
              <w:t>Coverage limitation: “</w:t>
            </w:r>
            <w:r w:rsidRPr="00464591">
              <w:rPr>
                <w:rFonts w:cs="Times New Roman"/>
                <w:i/>
                <w:color w:val="000000"/>
                <w:szCs w:val="20"/>
                <w:lang w:eastAsia="en-AU"/>
              </w:rPr>
              <w:t>s</w:t>
            </w:r>
            <w:r w:rsidRPr="00464591">
              <w:rPr>
                <w:rFonts w:asciiTheme="minorHAnsi" w:hAnsiTheme="minorHAnsi" w:cs="Calibri"/>
                <w:i/>
                <w:color w:val="auto"/>
                <w:szCs w:val="20"/>
              </w:rPr>
              <w:t xml:space="preserve">ome intermediate storage facilities are included in this dataset. It is recognised that there are other facilities which deal with hazardous wastes that are not included in the dataset, such as smaller storage facilities and transfer stations” </w:t>
            </w:r>
            <w:r w:rsidRPr="00464591">
              <w:rPr>
                <w:rFonts w:asciiTheme="minorHAnsi" w:hAnsiTheme="minorHAnsi" w:cs="Calibri"/>
                <w:color w:val="auto"/>
                <w:szCs w:val="20"/>
              </w:rPr>
              <w:t>Rawtec (2014)</w:t>
            </w:r>
            <w:r w:rsidRPr="00464591">
              <w:rPr>
                <w:rFonts w:asciiTheme="minorHAnsi" w:hAnsiTheme="minorHAnsi" w:cs="Calibri"/>
                <w:i/>
                <w:color w:val="auto"/>
                <w:szCs w:val="20"/>
              </w:rPr>
              <w:t>.</w:t>
            </w:r>
          </w:p>
        </w:tc>
      </w:tr>
    </w:tbl>
    <w:p w:rsidR="00464591" w:rsidRDefault="00464591" w:rsidP="00464591">
      <w:pPr>
        <w:spacing w:line="240" w:lineRule="auto"/>
        <w:rPr>
          <w:rFonts w:cs="Arial"/>
          <w:i/>
          <w:color w:val="0000FF"/>
          <w:szCs w:val="20"/>
        </w:rPr>
      </w:pPr>
      <w:r w:rsidRPr="00464591">
        <w:rPr>
          <w:rFonts w:cs="Arial"/>
          <w:i/>
          <w:color w:val="0000FF"/>
          <w:szCs w:val="20"/>
        </w:rPr>
        <w:t xml:space="preserve">Notes: </w:t>
      </w:r>
      <w:r w:rsidRPr="00464591">
        <w:rPr>
          <w:rFonts w:cs="Arial"/>
          <w:i/>
          <w:color w:val="0000FF"/>
          <w:szCs w:val="20"/>
          <w:shd w:val="clear" w:color="auto" w:fill="D9D9D9" w:themeFill="background1" w:themeFillShade="D9"/>
        </w:rPr>
        <w:t>shaded grey</w:t>
      </w:r>
      <w:r w:rsidRPr="00464591">
        <w:rPr>
          <w:rFonts w:cs="Arial"/>
          <w:i/>
          <w:color w:val="0000FF"/>
          <w:szCs w:val="20"/>
        </w:rPr>
        <w:t xml:space="preserve"> infrastructure groups have coverage limitations as noted. Landfill fac. (NEPM codes N, T only) inf. group is outside of the capacity assessment scope</w:t>
      </w:r>
      <w:r w:rsidR="00D06841">
        <w:rPr>
          <w:rFonts w:cs="Arial"/>
          <w:i/>
          <w:color w:val="0000FF"/>
          <w:szCs w:val="20"/>
        </w:rPr>
        <w:t xml:space="preserve"> </w:t>
      </w:r>
    </w:p>
    <w:p w:rsidR="00661635" w:rsidRPr="00464591" w:rsidRDefault="00661635" w:rsidP="00464591">
      <w:pPr>
        <w:spacing w:line="240" w:lineRule="auto"/>
        <w:rPr>
          <w:rFonts w:cs="Arial"/>
          <w:i/>
          <w:color w:val="0000FF"/>
          <w:szCs w:val="20"/>
        </w:rPr>
      </w:pPr>
    </w:p>
    <w:p w:rsidR="00464591" w:rsidRPr="00464591" w:rsidRDefault="00464591" w:rsidP="007F5BD4">
      <w:pPr>
        <w:pStyle w:val="Heading2"/>
      </w:pPr>
      <w:bookmarkStart w:id="229" w:name="_Toc419449182"/>
      <w:bookmarkStart w:id="230" w:name="_Toc419449183"/>
      <w:bookmarkStart w:id="231" w:name="_Toc425849164"/>
      <w:bookmarkEnd w:id="229"/>
      <w:r w:rsidRPr="00464591">
        <w:t>Industry consultation method</w:t>
      </w:r>
      <w:bookmarkEnd w:id="230"/>
      <w:bookmarkEnd w:id="231"/>
    </w:p>
    <w:p w:rsidR="00464591" w:rsidRPr="00464591" w:rsidRDefault="00464591" w:rsidP="00464591">
      <w:pPr>
        <w:spacing w:line="240" w:lineRule="auto"/>
        <w:rPr>
          <w:color w:val="080808"/>
          <w:sz w:val="22"/>
        </w:rPr>
      </w:pPr>
      <w:r w:rsidRPr="00464591">
        <w:rPr>
          <w:color w:val="080808"/>
          <w:sz w:val="22"/>
        </w:rPr>
        <w:t>The Rawtec (2014) database provided details of sites that accept hazardous waste throughout Australia and contained information such as facility or site name, company name, facility address, state, treatment activities and technologies and waste type received (by NEPM 15 category for most sites and by NEPM 75 code for some). For this project it was necessary to enhance the database with information on current and potential infrastructure capacities</w:t>
      </w:r>
      <w:r w:rsidRPr="00464591">
        <w:rPr>
          <w:color w:val="080808"/>
          <w:sz w:val="22"/>
          <w:vertAlign w:val="superscript"/>
        </w:rPr>
        <w:footnoteReference w:id="27"/>
      </w:r>
      <w:r w:rsidRPr="00464591">
        <w:rPr>
          <w:color w:val="080808"/>
          <w:sz w:val="22"/>
        </w:rPr>
        <w:t xml:space="preserve">, requiring a major consultation program. </w:t>
      </w:r>
    </w:p>
    <w:p w:rsidR="00DF339A" w:rsidRDefault="00DF339A" w:rsidP="00464591">
      <w:pPr>
        <w:spacing w:line="240" w:lineRule="auto"/>
        <w:rPr>
          <w:color w:val="080808"/>
          <w:sz w:val="22"/>
        </w:rPr>
      </w:pPr>
    </w:p>
    <w:p w:rsidR="00464591" w:rsidRPr="007F5BD4" w:rsidRDefault="00464591" w:rsidP="00464591">
      <w:pPr>
        <w:spacing w:line="240" w:lineRule="auto"/>
        <w:rPr>
          <w:color w:val="auto"/>
          <w:sz w:val="22"/>
        </w:rPr>
      </w:pPr>
      <w:r w:rsidRPr="00464591">
        <w:rPr>
          <w:color w:val="080808"/>
          <w:sz w:val="22"/>
        </w:rPr>
        <w:t>The Rawtec database</w:t>
      </w:r>
      <w:r w:rsidR="00DF339A">
        <w:rPr>
          <w:color w:val="080808"/>
          <w:sz w:val="22"/>
        </w:rPr>
        <w:t xml:space="preserve"> was consolidated</w:t>
      </w:r>
      <w:r w:rsidRPr="00464591">
        <w:rPr>
          <w:color w:val="080808"/>
          <w:sz w:val="22"/>
        </w:rPr>
        <w:t xml:space="preserve"> from 208 individual site entries to 126 company entries. In order to organise how the companies should be consulted, they were classified by uniqueness and operational scale </w:t>
      </w:r>
      <w:r w:rsidRPr="007F5BD4">
        <w:rPr>
          <w:color w:val="auto"/>
          <w:sz w:val="22"/>
        </w:rPr>
        <w:t>and shown in</w:t>
      </w:r>
      <w:r w:rsidR="00D06841">
        <w:rPr>
          <w:color w:val="auto"/>
          <w:sz w:val="22"/>
        </w:rPr>
        <w:t xml:space="preserve"> </w:t>
      </w:r>
      <w:r w:rsidRPr="007F5BD4">
        <w:rPr>
          <w:color w:val="auto"/>
          <w:sz w:val="22"/>
        </w:rPr>
        <w:t xml:space="preserve">and </w:t>
      </w:r>
      <w:fldSimple w:instr=" REF _Ref419459072 \h  \* MERGEFORMAT ">
        <w:r w:rsidR="002F3000" w:rsidRPr="002F3000">
          <w:rPr>
            <w:rFonts w:asciiTheme="minorHAnsi" w:hAnsiTheme="minorHAnsi" w:cs="Calibri"/>
            <w:color w:val="auto"/>
            <w:sz w:val="22"/>
          </w:rPr>
          <w:t xml:space="preserve">Table </w:t>
        </w:r>
        <w:r w:rsidR="002F3000" w:rsidRPr="002F3000">
          <w:rPr>
            <w:rFonts w:asciiTheme="minorHAnsi" w:hAnsiTheme="minorHAnsi" w:cs="Calibri"/>
            <w:noProof/>
            <w:color w:val="auto"/>
            <w:sz w:val="22"/>
          </w:rPr>
          <w:t>46</w:t>
        </w:r>
      </w:fldSimple>
      <w:r w:rsidRPr="007F5BD4">
        <w:rPr>
          <w:color w:val="auto"/>
          <w:sz w:val="22"/>
        </w:rPr>
        <w:t xml:space="preserve">. </w:t>
      </w:r>
    </w:p>
    <w:p w:rsidR="00DF339A" w:rsidRDefault="00DF339A">
      <w:pPr>
        <w:spacing w:line="240" w:lineRule="auto"/>
        <w:rPr>
          <w:color w:val="080808"/>
          <w:sz w:val="22"/>
        </w:rPr>
      </w:pPr>
      <w:r>
        <w:rPr>
          <w:color w:val="080808"/>
          <w:sz w:val="22"/>
        </w:rPr>
        <w:br w:type="page"/>
      </w:r>
    </w:p>
    <w:p w:rsidR="00464591" w:rsidRPr="00DF339A" w:rsidRDefault="00464591" w:rsidP="00DF339A">
      <w:pPr>
        <w:pStyle w:val="BodyText"/>
        <w:rPr>
          <w:sz w:val="2"/>
          <w:szCs w:val="2"/>
        </w:rPr>
      </w:pPr>
    </w:p>
    <w:p w:rsidR="00464591" w:rsidRPr="00655F62" w:rsidRDefault="00464591" w:rsidP="00655F62">
      <w:pPr>
        <w:pStyle w:val="Figures"/>
      </w:pPr>
      <w:bookmarkStart w:id="232" w:name="_Ref419459072"/>
      <w:bookmarkStart w:id="233" w:name="_Toc419190508"/>
      <w:bookmarkStart w:id="234" w:name="_Toc425849331"/>
      <w:r w:rsidRPr="00655F62">
        <w:t xml:space="preserve">Table </w:t>
      </w:r>
      <w:fldSimple w:instr=" SEQ Table \* ARABIC ">
        <w:r w:rsidR="002F3000">
          <w:rPr>
            <w:noProof/>
          </w:rPr>
          <w:t>46</w:t>
        </w:r>
      </w:fldSimple>
      <w:bookmarkEnd w:id="232"/>
      <w:r w:rsidRPr="00655F62">
        <w:t xml:space="preserve">: </w:t>
      </w:r>
      <w:r w:rsidRPr="00655F62">
        <w:tab/>
        <w:t>Method for classifying companies by uniqueness</w:t>
      </w:r>
      <w:bookmarkEnd w:id="233"/>
      <w:bookmarkEnd w:id="234"/>
    </w:p>
    <w:tbl>
      <w:tblPr>
        <w:tblStyle w:val="BETable12"/>
        <w:tblW w:w="8789" w:type="dxa"/>
        <w:tblLayout w:type="fixed"/>
        <w:tblLook w:val="04A0"/>
      </w:tblPr>
      <w:tblGrid>
        <w:gridCol w:w="851"/>
        <w:gridCol w:w="6521"/>
        <w:gridCol w:w="1417"/>
      </w:tblGrid>
      <w:tr w:rsidR="00464591" w:rsidRPr="00464591" w:rsidTr="00EF7EBD">
        <w:trPr>
          <w:cnfStyle w:val="100000000000"/>
        </w:trPr>
        <w:tc>
          <w:tcPr>
            <w:cnfStyle w:val="001000000000"/>
            <w:tcW w:w="851" w:type="dxa"/>
            <w:tcBorders>
              <w:bottom w:val="single" w:sz="4" w:space="0" w:color="7F7F7F" w:themeColor="background2"/>
            </w:tcBorders>
          </w:tcPr>
          <w:p w:rsidR="00464591" w:rsidRPr="00464591" w:rsidRDefault="00464591" w:rsidP="00464591">
            <w:pPr>
              <w:rPr>
                <w:szCs w:val="20"/>
              </w:rPr>
            </w:pPr>
            <w:r w:rsidRPr="00464591">
              <w:rPr>
                <w:szCs w:val="20"/>
              </w:rPr>
              <w:t>Ranking</w:t>
            </w:r>
          </w:p>
        </w:tc>
        <w:tc>
          <w:tcPr>
            <w:tcW w:w="6521" w:type="dxa"/>
            <w:tcBorders>
              <w:bottom w:val="single" w:sz="4" w:space="0" w:color="7F7F7F" w:themeColor="background2"/>
            </w:tcBorders>
          </w:tcPr>
          <w:p w:rsidR="00464591" w:rsidRPr="00464591" w:rsidRDefault="00464591" w:rsidP="00464591">
            <w:pPr>
              <w:cnfStyle w:val="100000000000"/>
              <w:rPr>
                <w:szCs w:val="20"/>
              </w:rPr>
            </w:pPr>
            <w:r w:rsidRPr="00464591">
              <w:rPr>
                <w:szCs w:val="20"/>
              </w:rPr>
              <w:t>Criteria</w:t>
            </w:r>
          </w:p>
        </w:tc>
        <w:tc>
          <w:tcPr>
            <w:tcW w:w="1417" w:type="dxa"/>
            <w:tcBorders>
              <w:bottom w:val="single" w:sz="4" w:space="0" w:color="7F7F7F" w:themeColor="background2"/>
            </w:tcBorders>
          </w:tcPr>
          <w:p w:rsidR="00464591" w:rsidRPr="00464591" w:rsidRDefault="00464591" w:rsidP="00464591">
            <w:pPr>
              <w:jc w:val="right"/>
              <w:cnfStyle w:val="100000000000"/>
              <w:rPr>
                <w:szCs w:val="20"/>
              </w:rPr>
            </w:pPr>
            <w:r w:rsidRPr="00464591">
              <w:rPr>
                <w:szCs w:val="20"/>
              </w:rPr>
              <w:t># of companies</w:t>
            </w:r>
          </w:p>
        </w:tc>
      </w:tr>
      <w:tr w:rsidR="00464591" w:rsidRPr="00464591" w:rsidTr="00EF7EBD">
        <w:tc>
          <w:tcPr>
            <w:cnfStyle w:val="001000000000"/>
            <w:tcW w:w="851" w:type="dxa"/>
            <w:tcBorders>
              <w:bottom w:val="nil"/>
            </w:tcBorders>
          </w:tcPr>
          <w:p w:rsidR="00464591" w:rsidRPr="00464591" w:rsidRDefault="00464591" w:rsidP="00464591">
            <w:pPr>
              <w:spacing w:line="240" w:lineRule="auto"/>
              <w:rPr>
                <w:color w:val="080808"/>
                <w:szCs w:val="20"/>
              </w:rPr>
            </w:pPr>
            <w:r w:rsidRPr="00464591">
              <w:rPr>
                <w:color w:val="080808"/>
                <w:szCs w:val="20"/>
              </w:rPr>
              <w:t>A</w:t>
            </w:r>
          </w:p>
        </w:tc>
        <w:tc>
          <w:tcPr>
            <w:tcW w:w="6521" w:type="dxa"/>
            <w:tcBorders>
              <w:bottom w:val="nil"/>
            </w:tcBorders>
          </w:tcPr>
          <w:p w:rsidR="00464591" w:rsidRPr="00464591" w:rsidRDefault="00464591" w:rsidP="00464591">
            <w:pPr>
              <w:spacing w:line="240" w:lineRule="auto"/>
              <w:cnfStyle w:val="000000000000"/>
              <w:rPr>
                <w:color w:val="080808"/>
                <w:szCs w:val="20"/>
              </w:rPr>
            </w:pPr>
            <w:r w:rsidRPr="00464591">
              <w:rPr>
                <w:color w:val="080808"/>
                <w:szCs w:val="20"/>
              </w:rPr>
              <w:t>Company uses ≥4 treatment technologies OR receives ≥9 material types</w:t>
            </w:r>
          </w:p>
        </w:tc>
        <w:tc>
          <w:tcPr>
            <w:tcW w:w="1417" w:type="dxa"/>
            <w:tcBorders>
              <w:bottom w:val="nil"/>
            </w:tcBorders>
          </w:tcPr>
          <w:p w:rsidR="00464591" w:rsidRPr="00464591" w:rsidRDefault="00464591" w:rsidP="00464591">
            <w:pPr>
              <w:jc w:val="right"/>
              <w:cnfStyle w:val="000000000000"/>
              <w:rPr>
                <w:szCs w:val="20"/>
              </w:rPr>
            </w:pPr>
            <w:r w:rsidRPr="00464591">
              <w:rPr>
                <w:szCs w:val="20"/>
              </w:rPr>
              <w:t>12</w:t>
            </w:r>
          </w:p>
        </w:tc>
      </w:tr>
      <w:tr w:rsidR="00464591" w:rsidRPr="00464591" w:rsidTr="00EF7EBD">
        <w:tc>
          <w:tcPr>
            <w:cnfStyle w:val="001000000000"/>
            <w:tcW w:w="851" w:type="dxa"/>
            <w:tcBorders>
              <w:top w:val="nil"/>
              <w:bottom w:val="nil"/>
            </w:tcBorders>
          </w:tcPr>
          <w:p w:rsidR="00464591" w:rsidRPr="00464591" w:rsidRDefault="00464591" w:rsidP="00464591">
            <w:pPr>
              <w:spacing w:line="240" w:lineRule="auto"/>
              <w:rPr>
                <w:color w:val="080808"/>
                <w:szCs w:val="20"/>
              </w:rPr>
            </w:pPr>
            <w:r w:rsidRPr="00464591">
              <w:rPr>
                <w:color w:val="080808"/>
                <w:szCs w:val="20"/>
              </w:rPr>
              <w:t>B</w:t>
            </w:r>
          </w:p>
        </w:tc>
        <w:tc>
          <w:tcPr>
            <w:tcW w:w="6521" w:type="dxa"/>
            <w:tcBorders>
              <w:top w:val="nil"/>
              <w:bottom w:val="nil"/>
            </w:tcBorders>
          </w:tcPr>
          <w:p w:rsidR="00464591" w:rsidRPr="00464591" w:rsidRDefault="00464591" w:rsidP="00464591">
            <w:pPr>
              <w:spacing w:line="240" w:lineRule="auto"/>
              <w:cnfStyle w:val="000000000000"/>
              <w:rPr>
                <w:color w:val="080808"/>
                <w:szCs w:val="20"/>
              </w:rPr>
            </w:pPr>
            <w:r w:rsidRPr="00464591">
              <w:rPr>
                <w:color w:val="080808"/>
                <w:szCs w:val="20"/>
              </w:rPr>
              <w:t>Company uses 2-3 treatment technologies OR receives 2-8 material types</w:t>
            </w:r>
          </w:p>
        </w:tc>
        <w:tc>
          <w:tcPr>
            <w:tcW w:w="1417" w:type="dxa"/>
            <w:tcBorders>
              <w:top w:val="nil"/>
              <w:bottom w:val="nil"/>
            </w:tcBorders>
          </w:tcPr>
          <w:p w:rsidR="00464591" w:rsidRPr="00464591" w:rsidRDefault="00464591" w:rsidP="00464591">
            <w:pPr>
              <w:jc w:val="right"/>
              <w:cnfStyle w:val="000000000000"/>
              <w:rPr>
                <w:szCs w:val="20"/>
              </w:rPr>
            </w:pPr>
            <w:r w:rsidRPr="00464591">
              <w:rPr>
                <w:szCs w:val="20"/>
              </w:rPr>
              <w:t>50</w:t>
            </w:r>
          </w:p>
        </w:tc>
      </w:tr>
      <w:tr w:rsidR="00464591" w:rsidRPr="00464591" w:rsidTr="00EF7EBD">
        <w:tc>
          <w:tcPr>
            <w:cnfStyle w:val="001000000000"/>
            <w:tcW w:w="851" w:type="dxa"/>
            <w:tcBorders>
              <w:top w:val="nil"/>
              <w:bottom w:val="nil"/>
            </w:tcBorders>
          </w:tcPr>
          <w:p w:rsidR="00464591" w:rsidRPr="00464591" w:rsidRDefault="00464591" w:rsidP="00464591">
            <w:pPr>
              <w:spacing w:line="240" w:lineRule="auto"/>
              <w:rPr>
                <w:color w:val="080808"/>
                <w:szCs w:val="20"/>
              </w:rPr>
            </w:pPr>
            <w:r w:rsidRPr="00464591">
              <w:rPr>
                <w:color w:val="080808"/>
                <w:szCs w:val="20"/>
              </w:rPr>
              <w:t>C</w:t>
            </w:r>
          </w:p>
        </w:tc>
        <w:tc>
          <w:tcPr>
            <w:tcW w:w="6521" w:type="dxa"/>
            <w:tcBorders>
              <w:top w:val="nil"/>
              <w:bottom w:val="nil"/>
            </w:tcBorders>
          </w:tcPr>
          <w:p w:rsidR="00464591" w:rsidRPr="00464591" w:rsidRDefault="00464591" w:rsidP="00464591">
            <w:pPr>
              <w:spacing w:line="240" w:lineRule="auto"/>
              <w:cnfStyle w:val="000000000000"/>
              <w:rPr>
                <w:color w:val="080808"/>
                <w:szCs w:val="20"/>
              </w:rPr>
            </w:pPr>
            <w:r w:rsidRPr="00464591">
              <w:rPr>
                <w:color w:val="080808"/>
                <w:szCs w:val="20"/>
              </w:rPr>
              <w:t>Company uses one treatment technology or receives only one material type</w:t>
            </w:r>
          </w:p>
        </w:tc>
        <w:tc>
          <w:tcPr>
            <w:tcW w:w="1417" w:type="dxa"/>
            <w:tcBorders>
              <w:top w:val="nil"/>
              <w:bottom w:val="nil"/>
            </w:tcBorders>
          </w:tcPr>
          <w:p w:rsidR="00464591" w:rsidRPr="00464591" w:rsidRDefault="00464591" w:rsidP="00464591">
            <w:pPr>
              <w:jc w:val="right"/>
              <w:cnfStyle w:val="000000000000"/>
              <w:rPr>
                <w:szCs w:val="20"/>
              </w:rPr>
            </w:pPr>
            <w:r w:rsidRPr="00464591">
              <w:rPr>
                <w:szCs w:val="20"/>
              </w:rPr>
              <w:t>61</w:t>
            </w:r>
          </w:p>
        </w:tc>
      </w:tr>
      <w:tr w:rsidR="00464591" w:rsidRPr="00464591" w:rsidTr="00EF7EBD">
        <w:tc>
          <w:tcPr>
            <w:cnfStyle w:val="001000000000"/>
            <w:tcW w:w="851" w:type="dxa"/>
            <w:tcBorders>
              <w:top w:val="nil"/>
              <w:bottom w:val="single" w:sz="4" w:space="0" w:color="7F7F7F" w:themeColor="background2"/>
            </w:tcBorders>
          </w:tcPr>
          <w:p w:rsidR="00464591" w:rsidRPr="00464591" w:rsidRDefault="00464591" w:rsidP="00464591">
            <w:pPr>
              <w:spacing w:line="240" w:lineRule="auto"/>
              <w:rPr>
                <w:color w:val="080808"/>
                <w:szCs w:val="20"/>
              </w:rPr>
            </w:pPr>
            <w:r w:rsidRPr="00464591">
              <w:rPr>
                <w:color w:val="080808"/>
                <w:szCs w:val="20"/>
              </w:rPr>
              <w:t>D</w:t>
            </w:r>
          </w:p>
        </w:tc>
        <w:tc>
          <w:tcPr>
            <w:tcW w:w="6521" w:type="dxa"/>
            <w:tcBorders>
              <w:top w:val="nil"/>
              <w:bottom w:val="single" w:sz="4" w:space="0" w:color="7F7F7F" w:themeColor="background2"/>
            </w:tcBorders>
          </w:tcPr>
          <w:p w:rsidR="00464591" w:rsidRPr="00464591" w:rsidRDefault="00464591" w:rsidP="00464591">
            <w:pPr>
              <w:spacing w:line="240" w:lineRule="auto"/>
              <w:cnfStyle w:val="000000000000"/>
              <w:rPr>
                <w:color w:val="080808"/>
                <w:szCs w:val="20"/>
              </w:rPr>
            </w:pPr>
            <w:r w:rsidRPr="00464591">
              <w:rPr>
                <w:color w:val="080808"/>
                <w:szCs w:val="20"/>
              </w:rPr>
              <w:t>Company has no data on received treatment type or received material types</w:t>
            </w:r>
          </w:p>
        </w:tc>
        <w:tc>
          <w:tcPr>
            <w:tcW w:w="1417" w:type="dxa"/>
            <w:tcBorders>
              <w:top w:val="nil"/>
              <w:bottom w:val="single" w:sz="4" w:space="0" w:color="7F7F7F" w:themeColor="background2"/>
            </w:tcBorders>
          </w:tcPr>
          <w:p w:rsidR="00464591" w:rsidRPr="00464591" w:rsidRDefault="00464591" w:rsidP="00464591">
            <w:pPr>
              <w:jc w:val="right"/>
              <w:cnfStyle w:val="000000000000"/>
              <w:rPr>
                <w:szCs w:val="20"/>
              </w:rPr>
            </w:pPr>
            <w:r w:rsidRPr="00464591">
              <w:rPr>
                <w:szCs w:val="20"/>
              </w:rPr>
              <w:t>3</w:t>
            </w:r>
          </w:p>
        </w:tc>
      </w:tr>
    </w:tbl>
    <w:p w:rsidR="00DF339A" w:rsidRDefault="00DF339A" w:rsidP="00DF339A">
      <w:pPr>
        <w:pStyle w:val="BodyText"/>
      </w:pPr>
      <w:bookmarkStart w:id="235" w:name="_Toc419190509"/>
    </w:p>
    <w:p w:rsidR="00464591" w:rsidRPr="00655F62" w:rsidRDefault="00464591" w:rsidP="00655F62">
      <w:pPr>
        <w:pStyle w:val="Figures"/>
      </w:pPr>
      <w:bookmarkStart w:id="236" w:name="_Toc425849332"/>
      <w:r w:rsidRPr="00655F62">
        <w:t xml:space="preserve">Table </w:t>
      </w:r>
      <w:fldSimple w:instr=" SEQ Table \* ARABIC ">
        <w:r w:rsidR="002F3000">
          <w:rPr>
            <w:noProof/>
          </w:rPr>
          <w:t>47</w:t>
        </w:r>
      </w:fldSimple>
      <w:r w:rsidRPr="00655F62">
        <w:t xml:space="preserve">: </w:t>
      </w:r>
      <w:r w:rsidRPr="00655F62">
        <w:tab/>
        <w:t>Method for classifying companies by operational scale</w:t>
      </w:r>
      <w:bookmarkEnd w:id="235"/>
      <w:bookmarkEnd w:id="236"/>
    </w:p>
    <w:tbl>
      <w:tblPr>
        <w:tblStyle w:val="BETable12"/>
        <w:tblW w:w="8789" w:type="dxa"/>
        <w:tblLayout w:type="fixed"/>
        <w:tblLook w:val="04A0"/>
      </w:tblPr>
      <w:tblGrid>
        <w:gridCol w:w="851"/>
        <w:gridCol w:w="6520"/>
        <w:gridCol w:w="1418"/>
      </w:tblGrid>
      <w:tr w:rsidR="00464591" w:rsidRPr="00464591" w:rsidTr="00EF7EBD">
        <w:trPr>
          <w:cnfStyle w:val="100000000000"/>
        </w:trPr>
        <w:tc>
          <w:tcPr>
            <w:cnfStyle w:val="001000000000"/>
            <w:tcW w:w="851" w:type="dxa"/>
          </w:tcPr>
          <w:p w:rsidR="00464591" w:rsidRPr="00464591" w:rsidRDefault="00464591" w:rsidP="00464591">
            <w:pPr>
              <w:rPr>
                <w:szCs w:val="20"/>
              </w:rPr>
            </w:pPr>
            <w:r w:rsidRPr="00464591">
              <w:rPr>
                <w:szCs w:val="20"/>
              </w:rPr>
              <w:t>Ranking</w:t>
            </w:r>
          </w:p>
        </w:tc>
        <w:tc>
          <w:tcPr>
            <w:tcW w:w="6520" w:type="dxa"/>
          </w:tcPr>
          <w:p w:rsidR="00464591" w:rsidRPr="00464591" w:rsidRDefault="00464591" w:rsidP="00464591">
            <w:pPr>
              <w:cnfStyle w:val="100000000000"/>
              <w:rPr>
                <w:szCs w:val="20"/>
              </w:rPr>
            </w:pPr>
            <w:r w:rsidRPr="00464591">
              <w:rPr>
                <w:szCs w:val="20"/>
              </w:rPr>
              <w:t>Criteria</w:t>
            </w:r>
          </w:p>
        </w:tc>
        <w:tc>
          <w:tcPr>
            <w:tcW w:w="1418" w:type="dxa"/>
          </w:tcPr>
          <w:p w:rsidR="00464591" w:rsidRPr="00464591" w:rsidRDefault="00464591" w:rsidP="00464591">
            <w:pPr>
              <w:jc w:val="right"/>
              <w:cnfStyle w:val="100000000000"/>
              <w:rPr>
                <w:szCs w:val="20"/>
              </w:rPr>
            </w:pPr>
            <w:r w:rsidRPr="00464591">
              <w:rPr>
                <w:szCs w:val="20"/>
              </w:rPr>
              <w:t># of companies</w:t>
            </w:r>
          </w:p>
        </w:tc>
      </w:tr>
      <w:tr w:rsidR="00464591" w:rsidRPr="00464591" w:rsidTr="00EF7EBD">
        <w:tc>
          <w:tcPr>
            <w:cnfStyle w:val="001000000000"/>
            <w:tcW w:w="851" w:type="dxa"/>
          </w:tcPr>
          <w:p w:rsidR="00464591" w:rsidRPr="00464591" w:rsidRDefault="00464591" w:rsidP="00464591">
            <w:pPr>
              <w:spacing w:line="240" w:lineRule="auto"/>
              <w:rPr>
                <w:color w:val="080808"/>
                <w:szCs w:val="20"/>
              </w:rPr>
            </w:pPr>
            <w:r w:rsidRPr="00464591">
              <w:rPr>
                <w:color w:val="080808"/>
                <w:szCs w:val="20"/>
              </w:rPr>
              <w:t>Large</w:t>
            </w:r>
          </w:p>
        </w:tc>
        <w:tc>
          <w:tcPr>
            <w:tcW w:w="6520" w:type="dxa"/>
          </w:tcPr>
          <w:p w:rsidR="00464591" w:rsidRPr="00464591" w:rsidRDefault="00464591" w:rsidP="00464591">
            <w:pPr>
              <w:spacing w:line="240" w:lineRule="auto"/>
              <w:cnfStyle w:val="000000000000"/>
              <w:rPr>
                <w:color w:val="080808"/>
                <w:szCs w:val="20"/>
              </w:rPr>
            </w:pPr>
            <w:r w:rsidRPr="00464591">
              <w:rPr>
                <w:color w:val="080808"/>
                <w:szCs w:val="20"/>
              </w:rPr>
              <w:t>Company has sites in ≥3 states OR has ≥3 sites</w:t>
            </w:r>
          </w:p>
        </w:tc>
        <w:tc>
          <w:tcPr>
            <w:tcW w:w="1418" w:type="dxa"/>
          </w:tcPr>
          <w:p w:rsidR="00464591" w:rsidRPr="00464591" w:rsidRDefault="00464591" w:rsidP="00464591">
            <w:pPr>
              <w:jc w:val="right"/>
              <w:cnfStyle w:val="000000000000"/>
              <w:rPr>
                <w:szCs w:val="20"/>
              </w:rPr>
            </w:pPr>
            <w:r w:rsidRPr="00464591">
              <w:rPr>
                <w:szCs w:val="20"/>
              </w:rPr>
              <w:t>15</w:t>
            </w:r>
          </w:p>
        </w:tc>
      </w:tr>
      <w:tr w:rsidR="00464591" w:rsidRPr="00464591" w:rsidTr="00EF7EBD">
        <w:tc>
          <w:tcPr>
            <w:cnfStyle w:val="001000000000"/>
            <w:tcW w:w="851" w:type="dxa"/>
          </w:tcPr>
          <w:p w:rsidR="00464591" w:rsidRPr="00464591" w:rsidRDefault="00464591" w:rsidP="00464591">
            <w:pPr>
              <w:rPr>
                <w:szCs w:val="20"/>
              </w:rPr>
            </w:pPr>
            <w:r w:rsidRPr="00464591">
              <w:rPr>
                <w:szCs w:val="20"/>
              </w:rPr>
              <w:t>Medium</w:t>
            </w:r>
          </w:p>
        </w:tc>
        <w:tc>
          <w:tcPr>
            <w:tcW w:w="6520" w:type="dxa"/>
          </w:tcPr>
          <w:p w:rsidR="00464591" w:rsidRPr="00464591" w:rsidRDefault="00464591" w:rsidP="00464591">
            <w:pPr>
              <w:cnfStyle w:val="000000000000"/>
              <w:rPr>
                <w:szCs w:val="20"/>
              </w:rPr>
            </w:pPr>
            <w:r w:rsidRPr="00464591">
              <w:rPr>
                <w:szCs w:val="20"/>
              </w:rPr>
              <w:t xml:space="preserve">Company has ≥2 sites </w:t>
            </w:r>
          </w:p>
        </w:tc>
        <w:tc>
          <w:tcPr>
            <w:tcW w:w="1418" w:type="dxa"/>
          </w:tcPr>
          <w:p w:rsidR="00464591" w:rsidRPr="00464591" w:rsidRDefault="00464591" w:rsidP="00464591">
            <w:pPr>
              <w:jc w:val="right"/>
              <w:cnfStyle w:val="000000000000"/>
              <w:rPr>
                <w:szCs w:val="20"/>
              </w:rPr>
            </w:pPr>
            <w:r w:rsidRPr="00464591">
              <w:rPr>
                <w:szCs w:val="20"/>
              </w:rPr>
              <w:t>50</w:t>
            </w:r>
          </w:p>
        </w:tc>
      </w:tr>
      <w:tr w:rsidR="00464591" w:rsidRPr="00464591" w:rsidTr="00EF7EBD">
        <w:tc>
          <w:tcPr>
            <w:cnfStyle w:val="001000000000"/>
            <w:tcW w:w="851" w:type="dxa"/>
          </w:tcPr>
          <w:p w:rsidR="00464591" w:rsidRPr="00464591" w:rsidRDefault="00464591" w:rsidP="00464591">
            <w:pPr>
              <w:spacing w:line="240" w:lineRule="auto"/>
              <w:rPr>
                <w:color w:val="080808"/>
                <w:szCs w:val="20"/>
              </w:rPr>
            </w:pPr>
            <w:r w:rsidRPr="00464591">
              <w:rPr>
                <w:color w:val="080808"/>
                <w:szCs w:val="20"/>
              </w:rPr>
              <w:t>Small</w:t>
            </w:r>
          </w:p>
        </w:tc>
        <w:tc>
          <w:tcPr>
            <w:tcW w:w="6520" w:type="dxa"/>
          </w:tcPr>
          <w:p w:rsidR="00464591" w:rsidRPr="00464591" w:rsidRDefault="00464591" w:rsidP="00464591">
            <w:pPr>
              <w:spacing w:line="240" w:lineRule="auto"/>
              <w:cnfStyle w:val="000000000000"/>
              <w:rPr>
                <w:color w:val="080808"/>
                <w:szCs w:val="20"/>
              </w:rPr>
            </w:pPr>
            <w:r w:rsidRPr="00464591">
              <w:rPr>
                <w:color w:val="080808"/>
                <w:szCs w:val="20"/>
              </w:rPr>
              <w:t xml:space="preserve"> All others </w:t>
            </w:r>
          </w:p>
        </w:tc>
        <w:tc>
          <w:tcPr>
            <w:tcW w:w="1418" w:type="dxa"/>
          </w:tcPr>
          <w:p w:rsidR="00464591" w:rsidRPr="00464591" w:rsidRDefault="00464591" w:rsidP="00464591">
            <w:pPr>
              <w:jc w:val="right"/>
              <w:cnfStyle w:val="000000000000"/>
              <w:rPr>
                <w:szCs w:val="20"/>
              </w:rPr>
            </w:pPr>
            <w:r w:rsidRPr="00464591">
              <w:rPr>
                <w:szCs w:val="20"/>
              </w:rPr>
              <w:t>61</w:t>
            </w:r>
          </w:p>
        </w:tc>
      </w:tr>
    </w:tbl>
    <w:p w:rsidR="00464591" w:rsidRPr="00464591" w:rsidRDefault="00464591" w:rsidP="00464591"/>
    <w:p w:rsidR="00464591" w:rsidRPr="007F5BD4" w:rsidRDefault="00464591" w:rsidP="00464591">
      <w:pPr>
        <w:rPr>
          <w:color w:val="auto"/>
          <w:sz w:val="22"/>
          <w:lang w:eastAsia="en-AU"/>
        </w:rPr>
      </w:pPr>
      <w:r w:rsidRPr="00464591">
        <w:rPr>
          <w:sz w:val="22"/>
        </w:rPr>
        <w:t xml:space="preserve">The resultant </w:t>
      </w:r>
      <w:r w:rsidRPr="007F5BD4">
        <w:rPr>
          <w:color w:val="auto"/>
          <w:sz w:val="22"/>
        </w:rPr>
        <w:t>classifications were overlain and reviewed to produce overall categories to be consulted by different methods, as shown in</w:t>
      </w:r>
      <w:r w:rsidR="00020580" w:rsidRPr="007F5BD4">
        <w:rPr>
          <w:color w:val="auto"/>
          <w:sz w:val="22"/>
        </w:rPr>
        <w:t xml:space="preserve"> </w:t>
      </w:r>
      <w:fldSimple w:instr=" REF _Ref419459098 \h  \* MERGEFORMAT ">
        <w:r w:rsidR="002F3000" w:rsidRPr="002F3000">
          <w:rPr>
            <w:rFonts w:asciiTheme="minorHAnsi" w:hAnsiTheme="minorHAnsi" w:cs="Calibri"/>
            <w:color w:val="auto"/>
            <w:sz w:val="22"/>
            <w:lang w:eastAsia="en-AU"/>
          </w:rPr>
          <w:t xml:space="preserve">Table </w:t>
        </w:r>
        <w:r w:rsidR="002F3000" w:rsidRPr="002F3000">
          <w:rPr>
            <w:rFonts w:asciiTheme="minorHAnsi" w:hAnsiTheme="minorHAnsi" w:cs="Calibri"/>
            <w:noProof/>
            <w:color w:val="auto"/>
            <w:sz w:val="22"/>
            <w:lang w:eastAsia="en-AU"/>
          </w:rPr>
          <w:t>48</w:t>
        </w:r>
      </w:fldSimple>
      <w:r w:rsidRPr="007F5BD4">
        <w:rPr>
          <w:color w:val="auto"/>
          <w:sz w:val="22"/>
          <w:lang w:eastAsia="en-AU"/>
        </w:rPr>
        <w:t>.</w:t>
      </w:r>
    </w:p>
    <w:p w:rsidR="00464591" w:rsidRPr="00464591" w:rsidRDefault="00464591" w:rsidP="00464591">
      <w:pPr>
        <w:rPr>
          <w:sz w:val="22"/>
          <w:lang w:eastAsia="en-AU"/>
        </w:rPr>
      </w:pPr>
    </w:p>
    <w:p w:rsidR="00464591" w:rsidRPr="00655F62" w:rsidRDefault="00464591" w:rsidP="00655F62">
      <w:pPr>
        <w:pStyle w:val="Figures"/>
      </w:pPr>
      <w:bookmarkStart w:id="237" w:name="_Ref419459098"/>
      <w:bookmarkStart w:id="238" w:name="_Toc419190510"/>
      <w:bookmarkStart w:id="239" w:name="_Toc425849333"/>
      <w:r w:rsidRPr="00655F62">
        <w:t xml:space="preserve">Table </w:t>
      </w:r>
      <w:fldSimple w:instr=" SEQ Table \* ARABIC ">
        <w:r w:rsidR="002F3000">
          <w:rPr>
            <w:noProof/>
          </w:rPr>
          <w:t>48</w:t>
        </w:r>
      </w:fldSimple>
      <w:bookmarkEnd w:id="237"/>
      <w:r w:rsidRPr="00655F62">
        <w:t xml:space="preserve">: </w:t>
      </w:r>
      <w:r w:rsidRPr="00655F62">
        <w:tab/>
        <w:t>Industry consultation rankings</w:t>
      </w:r>
      <w:bookmarkEnd w:id="238"/>
      <w:bookmarkEnd w:id="239"/>
    </w:p>
    <w:tbl>
      <w:tblPr>
        <w:tblStyle w:val="BETable12"/>
        <w:tblW w:w="5397" w:type="dxa"/>
        <w:tblLayout w:type="fixed"/>
        <w:tblLook w:val="04A0"/>
      </w:tblPr>
      <w:tblGrid>
        <w:gridCol w:w="2841"/>
        <w:gridCol w:w="982"/>
        <w:gridCol w:w="1574"/>
      </w:tblGrid>
      <w:tr w:rsidR="00464591" w:rsidRPr="00464591" w:rsidTr="00EF7EBD">
        <w:trPr>
          <w:cnfStyle w:val="100000000000"/>
        </w:trPr>
        <w:tc>
          <w:tcPr>
            <w:cnfStyle w:val="001000000000"/>
            <w:tcW w:w="2841" w:type="dxa"/>
            <w:tcBorders>
              <w:bottom w:val="single" w:sz="4" w:space="0" w:color="7F7F7F" w:themeColor="background2"/>
            </w:tcBorders>
          </w:tcPr>
          <w:p w:rsidR="00464591" w:rsidRPr="00464591" w:rsidRDefault="00464591" w:rsidP="00464591">
            <w:pPr>
              <w:rPr>
                <w:lang w:eastAsia="en-AU"/>
              </w:rPr>
            </w:pPr>
            <w:r w:rsidRPr="00464591">
              <w:rPr>
                <w:lang w:eastAsia="en-AU"/>
              </w:rPr>
              <w:t>Consultation approach</w:t>
            </w:r>
          </w:p>
        </w:tc>
        <w:tc>
          <w:tcPr>
            <w:tcW w:w="982" w:type="dxa"/>
            <w:tcBorders>
              <w:bottom w:val="single" w:sz="4" w:space="0" w:color="7F7F7F" w:themeColor="background2"/>
            </w:tcBorders>
          </w:tcPr>
          <w:p w:rsidR="00464591" w:rsidRPr="00464591" w:rsidRDefault="00464591" w:rsidP="00464591">
            <w:pPr>
              <w:jc w:val="center"/>
              <w:cnfStyle w:val="100000000000"/>
              <w:rPr>
                <w:szCs w:val="20"/>
              </w:rPr>
            </w:pPr>
            <w:r w:rsidRPr="00464591">
              <w:rPr>
                <w:szCs w:val="20"/>
              </w:rPr>
              <w:t>Ranking</w:t>
            </w:r>
          </w:p>
        </w:tc>
        <w:tc>
          <w:tcPr>
            <w:tcW w:w="1574" w:type="dxa"/>
            <w:tcBorders>
              <w:bottom w:val="single" w:sz="4" w:space="0" w:color="7F7F7F" w:themeColor="background2"/>
            </w:tcBorders>
          </w:tcPr>
          <w:p w:rsidR="00464591" w:rsidRPr="00464591" w:rsidRDefault="00464591" w:rsidP="00464591">
            <w:pPr>
              <w:jc w:val="right"/>
              <w:cnfStyle w:val="100000000000"/>
              <w:rPr>
                <w:lang w:eastAsia="en-AU"/>
              </w:rPr>
            </w:pPr>
            <w:r w:rsidRPr="00464591">
              <w:rPr>
                <w:szCs w:val="20"/>
              </w:rPr>
              <w:t># of companies</w:t>
            </w:r>
          </w:p>
        </w:tc>
      </w:tr>
      <w:tr w:rsidR="00464591" w:rsidRPr="00464591" w:rsidTr="00EF7EBD">
        <w:tc>
          <w:tcPr>
            <w:cnfStyle w:val="001000000000"/>
            <w:tcW w:w="2841" w:type="dxa"/>
            <w:tcBorders>
              <w:bottom w:val="nil"/>
            </w:tcBorders>
          </w:tcPr>
          <w:p w:rsidR="00464591" w:rsidRPr="00464591" w:rsidRDefault="00464591" w:rsidP="00464591">
            <w:pPr>
              <w:rPr>
                <w:lang w:eastAsia="en-AU"/>
              </w:rPr>
            </w:pPr>
            <w:r w:rsidRPr="00464591">
              <w:rPr>
                <w:lang w:eastAsia="en-AU"/>
              </w:rPr>
              <w:t>Face-to-face interview</w:t>
            </w:r>
          </w:p>
        </w:tc>
        <w:tc>
          <w:tcPr>
            <w:tcW w:w="982" w:type="dxa"/>
            <w:tcBorders>
              <w:bottom w:val="nil"/>
            </w:tcBorders>
          </w:tcPr>
          <w:p w:rsidR="00464591" w:rsidRPr="00464591" w:rsidRDefault="00464591" w:rsidP="00464591">
            <w:pPr>
              <w:jc w:val="center"/>
              <w:cnfStyle w:val="000000000000"/>
              <w:rPr>
                <w:lang w:eastAsia="en-AU"/>
              </w:rPr>
            </w:pPr>
            <w:r w:rsidRPr="00464591">
              <w:rPr>
                <w:lang w:eastAsia="en-AU"/>
              </w:rPr>
              <w:t>1</w:t>
            </w:r>
          </w:p>
        </w:tc>
        <w:tc>
          <w:tcPr>
            <w:tcW w:w="1574" w:type="dxa"/>
            <w:tcBorders>
              <w:bottom w:val="nil"/>
            </w:tcBorders>
          </w:tcPr>
          <w:p w:rsidR="00464591" w:rsidRPr="00464591" w:rsidRDefault="00464591" w:rsidP="00464591">
            <w:pPr>
              <w:jc w:val="right"/>
              <w:cnfStyle w:val="000000000000"/>
              <w:rPr>
                <w:lang w:eastAsia="en-AU"/>
              </w:rPr>
            </w:pPr>
            <w:r w:rsidRPr="00464591">
              <w:rPr>
                <w:lang w:eastAsia="en-AU"/>
              </w:rPr>
              <w:t>25</w:t>
            </w:r>
          </w:p>
        </w:tc>
      </w:tr>
      <w:tr w:rsidR="00464591" w:rsidRPr="00464591" w:rsidTr="00EF7EBD">
        <w:tc>
          <w:tcPr>
            <w:cnfStyle w:val="001000000000"/>
            <w:tcW w:w="2841" w:type="dxa"/>
            <w:tcBorders>
              <w:top w:val="nil"/>
              <w:bottom w:val="nil"/>
            </w:tcBorders>
          </w:tcPr>
          <w:p w:rsidR="00464591" w:rsidRPr="00464591" w:rsidRDefault="00464591" w:rsidP="00464591">
            <w:pPr>
              <w:rPr>
                <w:lang w:eastAsia="en-AU"/>
              </w:rPr>
            </w:pPr>
            <w:r w:rsidRPr="00464591">
              <w:rPr>
                <w:lang w:eastAsia="en-AU"/>
              </w:rPr>
              <w:t>Email/online survey and phone</w:t>
            </w:r>
          </w:p>
        </w:tc>
        <w:tc>
          <w:tcPr>
            <w:tcW w:w="982" w:type="dxa"/>
            <w:tcBorders>
              <w:top w:val="nil"/>
              <w:bottom w:val="nil"/>
            </w:tcBorders>
          </w:tcPr>
          <w:p w:rsidR="00464591" w:rsidRPr="00464591" w:rsidRDefault="00464591" w:rsidP="00464591">
            <w:pPr>
              <w:jc w:val="center"/>
              <w:cnfStyle w:val="000000000000"/>
              <w:rPr>
                <w:lang w:eastAsia="en-AU"/>
              </w:rPr>
            </w:pPr>
            <w:r w:rsidRPr="00464591">
              <w:rPr>
                <w:lang w:eastAsia="en-AU"/>
              </w:rPr>
              <w:t>2</w:t>
            </w:r>
          </w:p>
        </w:tc>
        <w:tc>
          <w:tcPr>
            <w:tcW w:w="1574" w:type="dxa"/>
            <w:tcBorders>
              <w:top w:val="nil"/>
              <w:bottom w:val="nil"/>
            </w:tcBorders>
          </w:tcPr>
          <w:p w:rsidR="00464591" w:rsidRPr="00464591" w:rsidRDefault="00464591" w:rsidP="00464591">
            <w:pPr>
              <w:jc w:val="right"/>
              <w:cnfStyle w:val="000000000000"/>
              <w:rPr>
                <w:lang w:eastAsia="en-AU"/>
              </w:rPr>
            </w:pPr>
            <w:r w:rsidRPr="00464591">
              <w:rPr>
                <w:lang w:eastAsia="en-AU"/>
              </w:rPr>
              <w:t>49</w:t>
            </w:r>
          </w:p>
        </w:tc>
      </w:tr>
      <w:tr w:rsidR="00464591" w:rsidRPr="00464591" w:rsidTr="00EF7EBD">
        <w:tc>
          <w:tcPr>
            <w:cnfStyle w:val="001000000000"/>
            <w:tcW w:w="2841" w:type="dxa"/>
            <w:tcBorders>
              <w:top w:val="nil"/>
              <w:bottom w:val="single" w:sz="4" w:space="0" w:color="7F7F7F" w:themeColor="background2"/>
            </w:tcBorders>
          </w:tcPr>
          <w:p w:rsidR="00464591" w:rsidRPr="00464591" w:rsidRDefault="00464591" w:rsidP="00464591">
            <w:pPr>
              <w:rPr>
                <w:lang w:eastAsia="en-AU"/>
              </w:rPr>
            </w:pPr>
            <w:r w:rsidRPr="00464591">
              <w:rPr>
                <w:lang w:eastAsia="en-AU"/>
              </w:rPr>
              <w:t>Email/ online survey</w:t>
            </w:r>
          </w:p>
        </w:tc>
        <w:tc>
          <w:tcPr>
            <w:tcW w:w="982" w:type="dxa"/>
            <w:tcBorders>
              <w:top w:val="nil"/>
              <w:bottom w:val="single" w:sz="4" w:space="0" w:color="7F7F7F" w:themeColor="background2"/>
            </w:tcBorders>
          </w:tcPr>
          <w:p w:rsidR="00464591" w:rsidRPr="00464591" w:rsidRDefault="00464591" w:rsidP="00464591">
            <w:pPr>
              <w:jc w:val="center"/>
              <w:cnfStyle w:val="000000000000"/>
              <w:rPr>
                <w:lang w:eastAsia="en-AU"/>
              </w:rPr>
            </w:pPr>
            <w:r w:rsidRPr="00464591">
              <w:rPr>
                <w:lang w:eastAsia="en-AU"/>
              </w:rPr>
              <w:t>3</w:t>
            </w:r>
          </w:p>
        </w:tc>
        <w:tc>
          <w:tcPr>
            <w:tcW w:w="1574" w:type="dxa"/>
            <w:tcBorders>
              <w:top w:val="nil"/>
              <w:bottom w:val="single" w:sz="4" w:space="0" w:color="7F7F7F" w:themeColor="background2"/>
            </w:tcBorders>
          </w:tcPr>
          <w:p w:rsidR="00464591" w:rsidRPr="00464591" w:rsidRDefault="00464591" w:rsidP="00464591">
            <w:pPr>
              <w:jc w:val="right"/>
              <w:cnfStyle w:val="000000000000"/>
              <w:rPr>
                <w:lang w:eastAsia="en-AU"/>
              </w:rPr>
            </w:pPr>
            <w:r w:rsidRPr="00464591">
              <w:rPr>
                <w:lang w:eastAsia="en-AU"/>
              </w:rPr>
              <w:t>52</w:t>
            </w:r>
          </w:p>
        </w:tc>
      </w:tr>
      <w:tr w:rsidR="00464591" w:rsidRPr="00464591" w:rsidTr="00EF7EBD">
        <w:tc>
          <w:tcPr>
            <w:cnfStyle w:val="001000000000"/>
            <w:tcW w:w="2841" w:type="dxa"/>
            <w:tcBorders>
              <w:top w:val="single" w:sz="4" w:space="0" w:color="7F7F7F" w:themeColor="background2"/>
            </w:tcBorders>
          </w:tcPr>
          <w:p w:rsidR="00464591" w:rsidRPr="00464591" w:rsidRDefault="00464591" w:rsidP="00464591">
            <w:pPr>
              <w:rPr>
                <w:lang w:eastAsia="en-AU"/>
              </w:rPr>
            </w:pPr>
          </w:p>
        </w:tc>
        <w:tc>
          <w:tcPr>
            <w:tcW w:w="982" w:type="dxa"/>
            <w:tcBorders>
              <w:top w:val="single" w:sz="4" w:space="0" w:color="7F7F7F" w:themeColor="background2"/>
            </w:tcBorders>
          </w:tcPr>
          <w:p w:rsidR="00464591" w:rsidRPr="00464591" w:rsidRDefault="00464591" w:rsidP="00464591">
            <w:pPr>
              <w:jc w:val="right"/>
              <w:cnfStyle w:val="000000000000"/>
              <w:rPr>
                <w:b/>
                <w:lang w:eastAsia="en-AU"/>
              </w:rPr>
            </w:pPr>
            <w:r w:rsidRPr="00464591">
              <w:rPr>
                <w:b/>
                <w:lang w:eastAsia="en-AU"/>
              </w:rPr>
              <w:t>Total</w:t>
            </w:r>
          </w:p>
        </w:tc>
        <w:tc>
          <w:tcPr>
            <w:tcW w:w="1574" w:type="dxa"/>
            <w:tcBorders>
              <w:top w:val="single" w:sz="4" w:space="0" w:color="7F7F7F" w:themeColor="background2"/>
            </w:tcBorders>
          </w:tcPr>
          <w:p w:rsidR="00464591" w:rsidRPr="00464591" w:rsidRDefault="00464591" w:rsidP="00464591">
            <w:pPr>
              <w:jc w:val="right"/>
              <w:cnfStyle w:val="000000000000"/>
              <w:rPr>
                <w:lang w:eastAsia="en-AU"/>
              </w:rPr>
            </w:pPr>
            <w:r w:rsidRPr="00464591">
              <w:rPr>
                <w:lang w:eastAsia="en-AU"/>
              </w:rPr>
              <w:t>126</w:t>
            </w:r>
          </w:p>
        </w:tc>
      </w:tr>
    </w:tbl>
    <w:p w:rsidR="00464591" w:rsidRPr="00464591" w:rsidRDefault="00464591" w:rsidP="00464591">
      <w:pPr>
        <w:spacing w:before="80" w:line="240" w:lineRule="auto"/>
        <w:ind w:left="454" w:hanging="454"/>
        <w:rPr>
          <w:sz w:val="22"/>
        </w:rPr>
      </w:pPr>
    </w:p>
    <w:p w:rsidR="00464591" w:rsidRPr="00464591" w:rsidRDefault="00464591" w:rsidP="00464591">
      <w:pPr>
        <w:spacing w:after="120" w:line="240" w:lineRule="auto"/>
        <w:outlineLvl w:val="2"/>
        <w:rPr>
          <w:rFonts w:ascii="Arial Rounded MT Bold" w:hAnsi="Arial Rounded MT Bold" w:cs="Arial"/>
          <w:color w:val="0000FF"/>
          <w:sz w:val="22"/>
        </w:rPr>
      </w:pPr>
      <w:r w:rsidRPr="00464591">
        <w:rPr>
          <w:rFonts w:ascii="Arial Rounded MT Bold" w:hAnsi="Arial Rounded MT Bold" w:cs="Arial"/>
          <w:color w:val="0000FF"/>
          <w:sz w:val="22"/>
        </w:rPr>
        <w:t>Face-to-face interviews</w:t>
      </w:r>
    </w:p>
    <w:p w:rsidR="00464591" w:rsidRPr="00464591" w:rsidRDefault="00464591" w:rsidP="00464591">
      <w:pPr>
        <w:spacing w:line="240" w:lineRule="auto"/>
        <w:rPr>
          <w:color w:val="080808"/>
          <w:sz w:val="22"/>
        </w:rPr>
      </w:pPr>
      <w:r w:rsidRPr="00464591">
        <w:rPr>
          <w:color w:val="080808"/>
          <w:sz w:val="22"/>
        </w:rPr>
        <w:t>For the 25 companies contacted for face-to-face interviews</w:t>
      </w:r>
      <w:r w:rsidR="00DF339A">
        <w:rPr>
          <w:color w:val="080808"/>
          <w:sz w:val="22"/>
        </w:rPr>
        <w:t>,</w:t>
      </w:r>
      <w:r w:rsidRPr="00464591">
        <w:rPr>
          <w:color w:val="080808"/>
          <w:sz w:val="22"/>
        </w:rPr>
        <w:t xml:space="preserve"> Paul Randell interviewed the company representative(s). Before the interviews, Paul provided an overview of the project by phone and an email including:</w:t>
      </w:r>
    </w:p>
    <w:p w:rsidR="00464591" w:rsidRPr="00464591" w:rsidRDefault="00464591" w:rsidP="00464591">
      <w:pPr>
        <w:numPr>
          <w:ilvl w:val="0"/>
          <w:numId w:val="23"/>
        </w:numPr>
        <w:spacing w:before="80" w:line="240" w:lineRule="auto"/>
        <w:ind w:left="357" w:hanging="357"/>
        <w:rPr>
          <w:color w:val="080808"/>
          <w:sz w:val="22"/>
        </w:rPr>
      </w:pPr>
      <w:r w:rsidRPr="00464591">
        <w:rPr>
          <w:color w:val="080808"/>
          <w:sz w:val="22"/>
        </w:rPr>
        <w:t>a letter from DoE introducing the project team and requesting input</w:t>
      </w:r>
    </w:p>
    <w:p w:rsidR="00464591" w:rsidRPr="00464591" w:rsidRDefault="00464591" w:rsidP="00464591">
      <w:pPr>
        <w:numPr>
          <w:ilvl w:val="0"/>
          <w:numId w:val="23"/>
        </w:numPr>
        <w:spacing w:before="80" w:line="240" w:lineRule="auto"/>
        <w:ind w:left="357" w:hanging="357"/>
        <w:rPr>
          <w:color w:val="080808"/>
          <w:sz w:val="22"/>
        </w:rPr>
      </w:pPr>
      <w:r w:rsidRPr="00464591">
        <w:rPr>
          <w:color w:val="080808"/>
          <w:sz w:val="22"/>
        </w:rPr>
        <w:t>an introduction to the project</w:t>
      </w:r>
    </w:p>
    <w:p w:rsidR="00464591" w:rsidRPr="00464591" w:rsidRDefault="00464591" w:rsidP="00464591">
      <w:pPr>
        <w:numPr>
          <w:ilvl w:val="0"/>
          <w:numId w:val="23"/>
        </w:numPr>
        <w:spacing w:before="80" w:line="240" w:lineRule="auto"/>
        <w:ind w:left="357" w:hanging="357"/>
        <w:rPr>
          <w:color w:val="080808"/>
          <w:sz w:val="22"/>
        </w:rPr>
      </w:pPr>
      <w:proofErr w:type="gramStart"/>
      <w:r w:rsidRPr="00464591">
        <w:rPr>
          <w:color w:val="080808"/>
          <w:sz w:val="22"/>
        </w:rPr>
        <w:t>an</w:t>
      </w:r>
      <w:proofErr w:type="gramEnd"/>
      <w:r w:rsidRPr="00464591">
        <w:rPr>
          <w:color w:val="080808"/>
          <w:sz w:val="22"/>
        </w:rPr>
        <w:t xml:space="preserve"> extract from the Rawtec infrastructure database including the information already gathered for the company’s infrastructure and capabilities. </w:t>
      </w:r>
    </w:p>
    <w:p w:rsidR="00464591" w:rsidRPr="00464591" w:rsidRDefault="00464591" w:rsidP="00464591">
      <w:pPr>
        <w:numPr>
          <w:ilvl w:val="0"/>
          <w:numId w:val="23"/>
        </w:numPr>
        <w:spacing w:before="80" w:line="240" w:lineRule="auto"/>
        <w:ind w:left="357" w:hanging="357"/>
        <w:rPr>
          <w:color w:val="080808"/>
          <w:sz w:val="22"/>
        </w:rPr>
      </w:pPr>
      <w:proofErr w:type="gramStart"/>
      <w:r w:rsidRPr="00464591">
        <w:rPr>
          <w:color w:val="080808"/>
          <w:sz w:val="22"/>
        </w:rPr>
        <w:t>the</w:t>
      </w:r>
      <w:proofErr w:type="gramEnd"/>
      <w:r w:rsidRPr="00464591">
        <w:rPr>
          <w:color w:val="080808"/>
          <w:sz w:val="22"/>
        </w:rPr>
        <w:t xml:space="preserve"> set of 10 consultation questions for the company to consider before the interview (see ).</w:t>
      </w:r>
    </w:p>
    <w:p w:rsidR="00464591" w:rsidRPr="00464591" w:rsidRDefault="00464591" w:rsidP="00464591">
      <w:pPr>
        <w:spacing w:line="240" w:lineRule="auto"/>
        <w:rPr>
          <w:color w:val="080808"/>
          <w:sz w:val="22"/>
        </w:rPr>
      </w:pPr>
    </w:p>
    <w:p w:rsidR="00464591" w:rsidRPr="00464591" w:rsidRDefault="00464591" w:rsidP="00464591">
      <w:pPr>
        <w:spacing w:line="240" w:lineRule="auto"/>
        <w:rPr>
          <w:color w:val="080808"/>
          <w:sz w:val="22"/>
        </w:rPr>
      </w:pPr>
      <w:r w:rsidRPr="00464591">
        <w:rPr>
          <w:color w:val="080808"/>
          <w:sz w:val="22"/>
        </w:rPr>
        <w:t xml:space="preserve">During the interview, a detailed project overview was provided and the intent of each of the consultation questions was explained. Where possible, responses to the questions were gathered and recorded during the interview. Because of the number of sites or the confidential nature of the information sought, most companies opted to complete the survey following the interview. </w:t>
      </w:r>
    </w:p>
    <w:p w:rsidR="00464591" w:rsidRPr="00464591" w:rsidRDefault="00464591" w:rsidP="00464591">
      <w:pPr>
        <w:spacing w:line="240" w:lineRule="auto"/>
        <w:rPr>
          <w:color w:val="080808"/>
          <w:sz w:val="22"/>
        </w:rPr>
      </w:pPr>
    </w:p>
    <w:p w:rsidR="00464591" w:rsidRPr="00464591" w:rsidRDefault="00464591" w:rsidP="00464591">
      <w:pPr>
        <w:spacing w:after="120" w:line="240" w:lineRule="auto"/>
        <w:outlineLvl w:val="2"/>
        <w:rPr>
          <w:rFonts w:ascii="Arial Rounded MT Bold" w:hAnsi="Arial Rounded MT Bold" w:cs="Arial"/>
          <w:color w:val="0000FF"/>
          <w:sz w:val="22"/>
        </w:rPr>
      </w:pPr>
      <w:r w:rsidRPr="00464591">
        <w:rPr>
          <w:rFonts w:ascii="Arial Rounded MT Bold" w:hAnsi="Arial Rounded MT Bold" w:cs="Arial"/>
          <w:color w:val="0000FF"/>
          <w:sz w:val="22"/>
        </w:rPr>
        <w:t>Online survey</w:t>
      </w:r>
    </w:p>
    <w:p w:rsidR="00464591" w:rsidRPr="00464591" w:rsidRDefault="00464591" w:rsidP="00464591">
      <w:pPr>
        <w:spacing w:line="240" w:lineRule="auto"/>
        <w:rPr>
          <w:color w:val="080808"/>
          <w:sz w:val="22"/>
        </w:rPr>
      </w:pPr>
      <w:r w:rsidRPr="00464591">
        <w:rPr>
          <w:color w:val="080808"/>
          <w:sz w:val="22"/>
        </w:rPr>
        <w:t xml:space="preserve">Using the contact details contained in the Rawtec database, representatives from companies in Ranking 2 and 3 were contacted directly via email (where possible). The email provided potential respondents with an introduction and an overview of the project, a letter from the Department of the Environment encouraging </w:t>
      </w:r>
      <w:r w:rsidRPr="007F5BD4">
        <w:rPr>
          <w:color w:val="auto"/>
          <w:sz w:val="22"/>
        </w:rPr>
        <w:t xml:space="preserve">participation and a link to the SurveyMonkey website where they could respond to the 10 questions shown in </w:t>
      </w:r>
      <w:fldSimple w:instr=" REF _Ref419459125 \h  \* MERGEFORMAT ">
        <w:r w:rsidR="002F3000" w:rsidRPr="002F3000">
          <w:rPr>
            <w:rFonts w:asciiTheme="minorHAnsi" w:hAnsiTheme="minorHAnsi" w:cs="Calibri"/>
            <w:color w:val="auto"/>
            <w:sz w:val="22"/>
          </w:rPr>
          <w:t xml:space="preserve">Table </w:t>
        </w:r>
        <w:r w:rsidR="002F3000" w:rsidRPr="002F3000">
          <w:rPr>
            <w:rFonts w:asciiTheme="minorHAnsi" w:hAnsiTheme="minorHAnsi" w:cs="Calibri"/>
            <w:noProof/>
            <w:color w:val="auto"/>
            <w:sz w:val="22"/>
          </w:rPr>
          <w:t>49</w:t>
        </w:r>
      </w:fldSimple>
      <w:r w:rsidRPr="007F5BD4">
        <w:rPr>
          <w:color w:val="auto"/>
          <w:sz w:val="22"/>
        </w:rPr>
        <w:t xml:space="preserve">. </w:t>
      </w:r>
      <w:r w:rsidRPr="00464591">
        <w:rPr>
          <w:color w:val="080808"/>
          <w:sz w:val="22"/>
        </w:rPr>
        <w:t xml:space="preserve">Companies were contacted via phone to obtain or confirm the correct email address where necessary. </w:t>
      </w:r>
    </w:p>
    <w:p w:rsidR="00464591" w:rsidRPr="00464591" w:rsidRDefault="00464591" w:rsidP="00464591">
      <w:pPr>
        <w:spacing w:line="240" w:lineRule="auto"/>
        <w:rPr>
          <w:color w:val="080808"/>
          <w:sz w:val="22"/>
        </w:rPr>
      </w:pPr>
    </w:p>
    <w:p w:rsidR="00464591" w:rsidRPr="00464591" w:rsidRDefault="00464591" w:rsidP="00464591">
      <w:pPr>
        <w:spacing w:line="240" w:lineRule="auto"/>
        <w:rPr>
          <w:color w:val="080808"/>
          <w:sz w:val="22"/>
        </w:rPr>
      </w:pPr>
      <w:r w:rsidRPr="00464591">
        <w:rPr>
          <w:color w:val="080808"/>
          <w:sz w:val="22"/>
        </w:rPr>
        <w:lastRenderedPageBreak/>
        <w:t xml:space="preserve">Following the email or telephone introduction to the project, respondents in ranking group 2 were contacted up to two times via telephone and email as a follow-up reminder to complete the survey. Respondents in ranking group 3 were sent up to two follow-up email reminders only. </w:t>
      </w:r>
    </w:p>
    <w:p w:rsidR="00464591" w:rsidRPr="00464591" w:rsidRDefault="00464591" w:rsidP="00464591">
      <w:pPr>
        <w:spacing w:line="240" w:lineRule="auto"/>
        <w:rPr>
          <w:color w:val="080808"/>
          <w:sz w:val="22"/>
        </w:rPr>
      </w:pPr>
    </w:p>
    <w:p w:rsidR="00464591" w:rsidRPr="00464591" w:rsidRDefault="00464591" w:rsidP="00464591">
      <w:pPr>
        <w:keepNext/>
        <w:spacing w:after="120" w:line="240" w:lineRule="auto"/>
        <w:outlineLvl w:val="2"/>
        <w:rPr>
          <w:rFonts w:ascii="Arial Rounded MT Bold" w:hAnsi="Arial Rounded MT Bold" w:cs="Arial"/>
          <w:color w:val="0000FF"/>
          <w:sz w:val="22"/>
        </w:rPr>
      </w:pPr>
      <w:r w:rsidRPr="00464591">
        <w:rPr>
          <w:rFonts w:ascii="Arial Rounded MT Bold" w:hAnsi="Arial Rounded MT Bold" w:cs="Arial"/>
          <w:color w:val="0000FF"/>
          <w:sz w:val="22"/>
        </w:rPr>
        <w:t>The survey questions</w:t>
      </w:r>
    </w:p>
    <w:p w:rsidR="00464591" w:rsidRPr="00464591" w:rsidRDefault="00DF339A" w:rsidP="00464591">
      <w:pPr>
        <w:keepNext/>
        <w:spacing w:line="240" w:lineRule="auto"/>
        <w:rPr>
          <w:color w:val="080808"/>
          <w:sz w:val="22"/>
        </w:rPr>
      </w:pPr>
      <w:r>
        <w:rPr>
          <w:color w:val="080808"/>
          <w:sz w:val="22"/>
        </w:rPr>
        <w:t>A</w:t>
      </w:r>
      <w:r w:rsidR="00464591" w:rsidRPr="00464591">
        <w:rPr>
          <w:color w:val="080808"/>
          <w:sz w:val="22"/>
        </w:rPr>
        <w:t>ll companies (ranking 1, 2, and 3)</w:t>
      </w:r>
      <w:r>
        <w:rPr>
          <w:color w:val="080808"/>
          <w:sz w:val="22"/>
        </w:rPr>
        <w:t xml:space="preserve"> were asked </w:t>
      </w:r>
      <w:r w:rsidR="00464591" w:rsidRPr="007F5BD4">
        <w:rPr>
          <w:color w:val="auto"/>
          <w:sz w:val="22"/>
        </w:rPr>
        <w:t xml:space="preserve">10 questions relating to the operations and capacity of each of </w:t>
      </w:r>
      <w:r>
        <w:rPr>
          <w:color w:val="auto"/>
          <w:sz w:val="22"/>
        </w:rPr>
        <w:t>their</w:t>
      </w:r>
      <w:r w:rsidR="00464591" w:rsidRPr="007F5BD4">
        <w:rPr>
          <w:color w:val="auto"/>
          <w:sz w:val="22"/>
        </w:rPr>
        <w:t xml:space="preserve"> sites</w:t>
      </w:r>
      <w:r>
        <w:rPr>
          <w:color w:val="auto"/>
          <w:sz w:val="22"/>
        </w:rPr>
        <w:t>,</w:t>
      </w:r>
      <w:r w:rsidR="00464591" w:rsidRPr="007F5BD4">
        <w:rPr>
          <w:color w:val="auto"/>
          <w:sz w:val="22"/>
        </w:rPr>
        <w:t xml:space="preserve"> as </w:t>
      </w:r>
      <w:r>
        <w:rPr>
          <w:color w:val="auto"/>
          <w:sz w:val="22"/>
        </w:rPr>
        <w:t>listed</w:t>
      </w:r>
      <w:r w:rsidR="00464591" w:rsidRPr="007F5BD4">
        <w:rPr>
          <w:color w:val="auto"/>
          <w:sz w:val="22"/>
        </w:rPr>
        <w:t xml:space="preserve"> in </w:t>
      </w:r>
      <w:fldSimple w:instr=" REF _Ref419459125 \h  \* MERGEFORMAT ">
        <w:r w:rsidR="002F3000" w:rsidRPr="002F3000">
          <w:rPr>
            <w:rFonts w:asciiTheme="minorHAnsi" w:hAnsiTheme="minorHAnsi" w:cs="Calibri"/>
            <w:color w:val="auto"/>
            <w:sz w:val="22"/>
          </w:rPr>
          <w:t xml:space="preserve">Table </w:t>
        </w:r>
        <w:r w:rsidR="002F3000" w:rsidRPr="002F3000">
          <w:rPr>
            <w:rFonts w:asciiTheme="minorHAnsi" w:hAnsiTheme="minorHAnsi" w:cs="Calibri"/>
            <w:noProof/>
            <w:color w:val="auto"/>
            <w:sz w:val="22"/>
          </w:rPr>
          <w:t>49</w:t>
        </w:r>
      </w:fldSimple>
      <w:r w:rsidR="00464591" w:rsidRPr="007F5BD4">
        <w:rPr>
          <w:color w:val="auto"/>
          <w:sz w:val="22"/>
        </w:rPr>
        <w:t xml:space="preserve">. </w:t>
      </w:r>
      <w:r w:rsidR="00464591" w:rsidRPr="00464591">
        <w:rPr>
          <w:color w:val="080808"/>
          <w:sz w:val="22"/>
        </w:rPr>
        <w:t xml:space="preserve">Companies with several sites answered the questions several times, once for each site. </w:t>
      </w:r>
    </w:p>
    <w:p w:rsidR="00464591" w:rsidRPr="00464591" w:rsidRDefault="00464591" w:rsidP="00464591">
      <w:pPr>
        <w:spacing w:line="240" w:lineRule="auto"/>
        <w:rPr>
          <w:color w:val="080808"/>
          <w:sz w:val="22"/>
        </w:rPr>
      </w:pPr>
    </w:p>
    <w:p w:rsidR="00464591" w:rsidRPr="00464591" w:rsidRDefault="00464591" w:rsidP="00464591">
      <w:pPr>
        <w:spacing w:line="240" w:lineRule="auto"/>
        <w:rPr>
          <w:color w:val="080808"/>
          <w:sz w:val="2"/>
          <w:szCs w:val="2"/>
        </w:rPr>
      </w:pPr>
    </w:p>
    <w:p w:rsidR="00464591" w:rsidRPr="00655F62" w:rsidRDefault="00464591" w:rsidP="00655F62">
      <w:pPr>
        <w:pStyle w:val="Figures"/>
      </w:pPr>
      <w:bookmarkStart w:id="240" w:name="_Ref419459125"/>
      <w:bookmarkStart w:id="241" w:name="_Toc419190511"/>
      <w:bookmarkStart w:id="242" w:name="_Toc425849334"/>
      <w:r w:rsidRPr="00655F62">
        <w:t xml:space="preserve">Table </w:t>
      </w:r>
      <w:fldSimple w:instr=" SEQ Table \* ARABIC ">
        <w:r w:rsidR="002F3000">
          <w:rPr>
            <w:noProof/>
          </w:rPr>
          <w:t>49</w:t>
        </w:r>
      </w:fldSimple>
      <w:bookmarkEnd w:id="240"/>
      <w:r w:rsidRPr="00655F62">
        <w:t xml:space="preserve">: </w:t>
      </w:r>
      <w:r w:rsidRPr="00655F62">
        <w:tab/>
        <w:t>Questions asked of industry consultation survey respondents</w:t>
      </w:r>
      <w:bookmarkEnd w:id="241"/>
      <w:bookmarkEnd w:id="242"/>
    </w:p>
    <w:tbl>
      <w:tblPr>
        <w:tblStyle w:val="BETable12"/>
        <w:tblW w:w="9728" w:type="dxa"/>
        <w:tblLayout w:type="fixed"/>
        <w:tblLook w:val="04A0"/>
      </w:tblPr>
      <w:tblGrid>
        <w:gridCol w:w="426"/>
        <w:gridCol w:w="4819"/>
        <w:gridCol w:w="4483"/>
      </w:tblGrid>
      <w:tr w:rsidR="00464591" w:rsidRPr="00464591" w:rsidTr="00EF7EBD">
        <w:trPr>
          <w:cnfStyle w:val="100000000000"/>
        </w:trPr>
        <w:tc>
          <w:tcPr>
            <w:cnfStyle w:val="001000000000"/>
            <w:tcW w:w="426" w:type="dxa"/>
          </w:tcPr>
          <w:p w:rsidR="00464591" w:rsidRPr="00464591" w:rsidRDefault="00464591" w:rsidP="00464591">
            <w:r w:rsidRPr="00464591">
              <w:t>#</w:t>
            </w:r>
          </w:p>
        </w:tc>
        <w:tc>
          <w:tcPr>
            <w:tcW w:w="4819" w:type="dxa"/>
          </w:tcPr>
          <w:p w:rsidR="00464591" w:rsidRPr="00464591" w:rsidRDefault="00464591" w:rsidP="00464591">
            <w:pPr>
              <w:cnfStyle w:val="100000000000"/>
            </w:pPr>
            <w:r w:rsidRPr="00464591">
              <w:t>Question</w:t>
            </w:r>
          </w:p>
        </w:tc>
        <w:tc>
          <w:tcPr>
            <w:tcW w:w="4483" w:type="dxa"/>
          </w:tcPr>
          <w:p w:rsidR="00464591" w:rsidRPr="00464591" w:rsidRDefault="00464591" w:rsidP="00464591">
            <w:pPr>
              <w:cnfStyle w:val="100000000000"/>
            </w:pPr>
            <w:r w:rsidRPr="00464591">
              <w:t>Guidance notes provided</w:t>
            </w:r>
          </w:p>
        </w:tc>
      </w:tr>
      <w:tr w:rsidR="00464591" w:rsidRPr="00464591" w:rsidTr="00EF7EBD">
        <w:tc>
          <w:tcPr>
            <w:cnfStyle w:val="001000000000"/>
            <w:tcW w:w="426" w:type="dxa"/>
          </w:tcPr>
          <w:p w:rsidR="00464591" w:rsidRPr="00464591" w:rsidRDefault="00464591" w:rsidP="00464591">
            <w:r w:rsidRPr="00464591">
              <w:t>1</w:t>
            </w:r>
          </w:p>
        </w:tc>
        <w:tc>
          <w:tcPr>
            <w:tcW w:w="4819" w:type="dxa"/>
          </w:tcPr>
          <w:p w:rsidR="00464591" w:rsidRPr="00464591" w:rsidRDefault="00464591" w:rsidP="00464591">
            <w:pPr>
              <w:cnfStyle w:val="000000000000"/>
            </w:pPr>
            <w:r w:rsidRPr="00464591">
              <w:rPr>
                <w:szCs w:val="20"/>
                <w:shd w:val="clear" w:color="auto" w:fill="FFFFFF"/>
              </w:rPr>
              <w:t>Please outline the plant, processes &amp; equipment used at the site</w:t>
            </w:r>
          </w:p>
        </w:tc>
        <w:tc>
          <w:tcPr>
            <w:tcW w:w="4483" w:type="dxa"/>
          </w:tcPr>
          <w:p w:rsidR="00464591" w:rsidRPr="00464591" w:rsidRDefault="00464591" w:rsidP="00464591">
            <w:pPr>
              <w:cnfStyle w:val="000000000000"/>
              <w:rPr>
                <w:szCs w:val="20"/>
                <w:shd w:val="clear" w:color="auto" w:fill="FFFFFF"/>
              </w:rPr>
            </w:pPr>
          </w:p>
        </w:tc>
      </w:tr>
      <w:tr w:rsidR="00464591" w:rsidRPr="00464591" w:rsidTr="00EF7EBD">
        <w:tc>
          <w:tcPr>
            <w:cnfStyle w:val="001000000000"/>
            <w:tcW w:w="426" w:type="dxa"/>
          </w:tcPr>
          <w:p w:rsidR="00464591" w:rsidRPr="00464591" w:rsidRDefault="00464591" w:rsidP="00464591">
            <w:r w:rsidRPr="00464591">
              <w:t>2</w:t>
            </w:r>
          </w:p>
        </w:tc>
        <w:tc>
          <w:tcPr>
            <w:tcW w:w="4819" w:type="dxa"/>
          </w:tcPr>
          <w:p w:rsidR="00464591" w:rsidRPr="00464591" w:rsidRDefault="00464591" w:rsidP="00464591">
            <w:pPr>
              <w:cnfStyle w:val="000000000000"/>
              <w:rPr>
                <w:szCs w:val="20"/>
                <w:shd w:val="clear" w:color="auto" w:fill="FFFFFF"/>
              </w:rPr>
            </w:pPr>
            <w:r w:rsidRPr="00464591">
              <w:rPr>
                <w:szCs w:val="20"/>
                <w:shd w:val="clear" w:color="auto" w:fill="FFFFFF"/>
              </w:rPr>
              <w:t>Please estimate the average annual quantity of hazardous waste received over the last three years, preferably in tonnes and by waste type.</w:t>
            </w:r>
          </w:p>
        </w:tc>
        <w:tc>
          <w:tcPr>
            <w:tcW w:w="4483" w:type="dxa"/>
          </w:tcPr>
          <w:p w:rsidR="00464591" w:rsidRPr="00464591" w:rsidRDefault="00464591" w:rsidP="00464591">
            <w:pPr>
              <w:cnfStyle w:val="000000000000"/>
              <w:rPr>
                <w:szCs w:val="20"/>
                <w:shd w:val="clear" w:color="auto" w:fill="FFFFFF"/>
              </w:rPr>
            </w:pPr>
          </w:p>
        </w:tc>
      </w:tr>
      <w:tr w:rsidR="00464591" w:rsidRPr="00464591" w:rsidTr="00EF7EBD">
        <w:tc>
          <w:tcPr>
            <w:cnfStyle w:val="001000000000"/>
            <w:tcW w:w="426" w:type="dxa"/>
          </w:tcPr>
          <w:p w:rsidR="00464591" w:rsidRPr="00464591" w:rsidRDefault="00464591" w:rsidP="00464591">
            <w:r w:rsidRPr="00464591">
              <w:t>3</w:t>
            </w:r>
          </w:p>
        </w:tc>
        <w:tc>
          <w:tcPr>
            <w:tcW w:w="4819" w:type="dxa"/>
          </w:tcPr>
          <w:p w:rsidR="00464591" w:rsidRPr="00464591" w:rsidRDefault="00464591" w:rsidP="00464591">
            <w:pPr>
              <w:cnfStyle w:val="000000000000"/>
              <w:rPr>
                <w:szCs w:val="20"/>
                <w:shd w:val="clear" w:color="auto" w:fill="FFFFFF"/>
              </w:rPr>
            </w:pPr>
            <w:r w:rsidRPr="00464591">
              <w:rPr>
                <w:szCs w:val="20"/>
                <w:shd w:val="clear" w:color="auto" w:fill="FFFFFF"/>
              </w:rPr>
              <w:t>Please state the maximum annual quantity of hazardous waste that you are licensed to receive at the site, preferably in tonnes and by waste type.</w:t>
            </w:r>
          </w:p>
        </w:tc>
        <w:tc>
          <w:tcPr>
            <w:tcW w:w="4483" w:type="dxa"/>
          </w:tcPr>
          <w:p w:rsidR="00464591" w:rsidRPr="00464591" w:rsidRDefault="00464591" w:rsidP="00464591">
            <w:pPr>
              <w:cnfStyle w:val="000000000000"/>
              <w:rPr>
                <w:szCs w:val="20"/>
                <w:shd w:val="clear" w:color="auto" w:fill="FFFFFF"/>
              </w:rPr>
            </w:pPr>
            <w:r w:rsidRPr="00464591">
              <w:rPr>
                <w:szCs w:val="20"/>
                <w:shd w:val="clear" w:color="auto" w:fill="FFFFFF"/>
              </w:rPr>
              <w:t>(This is to help us understand if the existing infrastructure could receive additional annual tonnages if your licence allowed it).</w:t>
            </w:r>
          </w:p>
        </w:tc>
      </w:tr>
      <w:tr w:rsidR="00464591" w:rsidRPr="00464591" w:rsidTr="00EF7EBD">
        <w:tc>
          <w:tcPr>
            <w:cnfStyle w:val="001000000000"/>
            <w:tcW w:w="426" w:type="dxa"/>
          </w:tcPr>
          <w:p w:rsidR="00464591" w:rsidRPr="00464591" w:rsidRDefault="00464591" w:rsidP="00464591">
            <w:r w:rsidRPr="00464591">
              <w:t>4</w:t>
            </w:r>
          </w:p>
        </w:tc>
        <w:tc>
          <w:tcPr>
            <w:tcW w:w="4819" w:type="dxa"/>
          </w:tcPr>
          <w:p w:rsidR="00464591" w:rsidRPr="00464591" w:rsidRDefault="00464591" w:rsidP="00464591">
            <w:pPr>
              <w:cnfStyle w:val="000000000000"/>
              <w:rPr>
                <w:szCs w:val="20"/>
                <w:shd w:val="clear" w:color="auto" w:fill="FFFFFF"/>
              </w:rPr>
            </w:pPr>
            <w:r w:rsidRPr="00464591">
              <w:rPr>
                <w:szCs w:val="20"/>
                <w:shd w:val="clear" w:color="auto" w:fill="FFFFFF"/>
              </w:rPr>
              <w:t>Please discuss the potential annual capacity of the infrastructure at the site, preferably in tonnes and by waste type.</w:t>
            </w:r>
          </w:p>
        </w:tc>
        <w:tc>
          <w:tcPr>
            <w:tcW w:w="4483" w:type="dxa"/>
          </w:tcPr>
          <w:p w:rsidR="00464591" w:rsidRPr="00464591" w:rsidRDefault="00464591" w:rsidP="00464591">
            <w:pPr>
              <w:cnfStyle w:val="000000000000"/>
              <w:rPr>
                <w:szCs w:val="20"/>
                <w:shd w:val="clear" w:color="auto" w:fill="FFFFFF"/>
              </w:rPr>
            </w:pPr>
          </w:p>
        </w:tc>
      </w:tr>
      <w:tr w:rsidR="00464591" w:rsidRPr="00464591" w:rsidTr="00EF7EBD">
        <w:tc>
          <w:tcPr>
            <w:cnfStyle w:val="001000000000"/>
            <w:tcW w:w="426" w:type="dxa"/>
          </w:tcPr>
          <w:p w:rsidR="00464591" w:rsidRPr="00464591" w:rsidRDefault="00464591" w:rsidP="00464591">
            <w:r w:rsidRPr="00464591">
              <w:t>5</w:t>
            </w:r>
          </w:p>
        </w:tc>
        <w:tc>
          <w:tcPr>
            <w:tcW w:w="4819" w:type="dxa"/>
          </w:tcPr>
          <w:p w:rsidR="00464591" w:rsidRPr="00464591" w:rsidRDefault="00464591" w:rsidP="00464591">
            <w:pPr>
              <w:cnfStyle w:val="000000000000"/>
              <w:rPr>
                <w:szCs w:val="20"/>
                <w:shd w:val="clear" w:color="auto" w:fill="FFFFFF"/>
              </w:rPr>
            </w:pPr>
            <w:r w:rsidRPr="00464591">
              <w:rPr>
                <w:szCs w:val="20"/>
                <w:shd w:val="clear" w:color="auto" w:fill="FFFFFF"/>
              </w:rPr>
              <w:t>Please outline and explain how you expect the quantities of hazardous waste you receive to change in the future.</w:t>
            </w:r>
          </w:p>
        </w:tc>
        <w:tc>
          <w:tcPr>
            <w:tcW w:w="4483" w:type="dxa"/>
          </w:tcPr>
          <w:p w:rsidR="00464591" w:rsidRPr="00464591" w:rsidRDefault="00464591" w:rsidP="00464591">
            <w:pPr>
              <w:cnfStyle w:val="000000000000"/>
              <w:rPr>
                <w:szCs w:val="20"/>
                <w:shd w:val="clear" w:color="auto" w:fill="FFFFFF"/>
              </w:rPr>
            </w:pPr>
            <w:r w:rsidRPr="00464591">
              <w:rPr>
                <w:szCs w:val="20"/>
                <w:shd w:val="clear" w:color="auto" w:fill="FFFFFF"/>
              </w:rPr>
              <w:t>(This is to help us understand if you intend to add additional infrastructure capacity or alternatively if you have plans to reduce the capacity of, or shut down, the infrastructure. For landfill operators estimate the amount of hazardous waste you expect to receive before the site closes).</w:t>
            </w:r>
          </w:p>
        </w:tc>
      </w:tr>
      <w:tr w:rsidR="00464591" w:rsidRPr="00464591" w:rsidTr="00EF7EBD">
        <w:tc>
          <w:tcPr>
            <w:cnfStyle w:val="001000000000"/>
            <w:tcW w:w="426" w:type="dxa"/>
          </w:tcPr>
          <w:p w:rsidR="00464591" w:rsidRPr="00464591" w:rsidRDefault="00464591" w:rsidP="00464591">
            <w:r w:rsidRPr="00464591">
              <w:t>6</w:t>
            </w:r>
          </w:p>
        </w:tc>
        <w:tc>
          <w:tcPr>
            <w:tcW w:w="4819" w:type="dxa"/>
          </w:tcPr>
          <w:p w:rsidR="00464591" w:rsidRPr="00464591" w:rsidRDefault="00464591" w:rsidP="00464591">
            <w:pPr>
              <w:cnfStyle w:val="000000000000"/>
              <w:rPr>
                <w:szCs w:val="20"/>
                <w:shd w:val="clear" w:color="auto" w:fill="FFFFFF"/>
              </w:rPr>
            </w:pPr>
            <w:r w:rsidRPr="00464591">
              <w:rPr>
                <w:szCs w:val="20"/>
                <w:shd w:val="clear" w:color="auto" w:fill="FFFFFF"/>
              </w:rPr>
              <w:t>Please list the main outputs from the hazardous waste delivered to the site, and the fate of these outputs (e.g. disposal to sewer or landfill, recycling, energy recovery).</w:t>
            </w:r>
          </w:p>
        </w:tc>
        <w:tc>
          <w:tcPr>
            <w:tcW w:w="4483" w:type="dxa"/>
          </w:tcPr>
          <w:p w:rsidR="00464591" w:rsidRPr="00464591" w:rsidRDefault="00464591" w:rsidP="00464591">
            <w:pPr>
              <w:cnfStyle w:val="000000000000"/>
              <w:rPr>
                <w:szCs w:val="20"/>
                <w:shd w:val="clear" w:color="auto" w:fill="FFFFFF"/>
              </w:rPr>
            </w:pPr>
          </w:p>
        </w:tc>
      </w:tr>
      <w:tr w:rsidR="00464591" w:rsidRPr="00464591" w:rsidTr="00EF7EBD">
        <w:tc>
          <w:tcPr>
            <w:cnfStyle w:val="001000000000"/>
            <w:tcW w:w="426" w:type="dxa"/>
          </w:tcPr>
          <w:p w:rsidR="00464591" w:rsidRPr="00464591" w:rsidRDefault="00464591" w:rsidP="00464591">
            <w:r w:rsidRPr="00464591">
              <w:t>7</w:t>
            </w:r>
          </w:p>
        </w:tc>
        <w:tc>
          <w:tcPr>
            <w:tcW w:w="4819" w:type="dxa"/>
          </w:tcPr>
          <w:p w:rsidR="00464591" w:rsidRPr="00464591" w:rsidRDefault="00464591" w:rsidP="00464591">
            <w:pPr>
              <w:cnfStyle w:val="000000000000"/>
              <w:rPr>
                <w:szCs w:val="20"/>
                <w:shd w:val="clear" w:color="auto" w:fill="FFFFFF"/>
              </w:rPr>
            </w:pPr>
            <w:r w:rsidRPr="00464591">
              <w:rPr>
                <w:szCs w:val="20"/>
                <w:shd w:val="clear" w:color="auto" w:fill="FFFFFF"/>
              </w:rPr>
              <w:t>Please outline any major transport constraints and risks for wastes delivered to, or removed from, the site.</w:t>
            </w:r>
          </w:p>
        </w:tc>
        <w:tc>
          <w:tcPr>
            <w:tcW w:w="4483" w:type="dxa"/>
          </w:tcPr>
          <w:p w:rsidR="00464591" w:rsidRPr="00464591" w:rsidRDefault="00464591" w:rsidP="00464591">
            <w:pPr>
              <w:cnfStyle w:val="000000000000"/>
              <w:rPr>
                <w:szCs w:val="20"/>
                <w:shd w:val="clear" w:color="auto" w:fill="FFFFFF"/>
              </w:rPr>
            </w:pPr>
          </w:p>
        </w:tc>
      </w:tr>
      <w:tr w:rsidR="00464591" w:rsidRPr="00464591" w:rsidTr="00EF7EBD">
        <w:tc>
          <w:tcPr>
            <w:cnfStyle w:val="001000000000"/>
            <w:tcW w:w="426" w:type="dxa"/>
          </w:tcPr>
          <w:p w:rsidR="00464591" w:rsidRPr="00464591" w:rsidRDefault="00464591" w:rsidP="00464591">
            <w:r w:rsidRPr="00464591">
              <w:t>8</w:t>
            </w:r>
          </w:p>
        </w:tc>
        <w:tc>
          <w:tcPr>
            <w:tcW w:w="4819" w:type="dxa"/>
          </w:tcPr>
          <w:p w:rsidR="00464591" w:rsidRPr="00464591" w:rsidRDefault="00464591" w:rsidP="00464591">
            <w:pPr>
              <w:cnfStyle w:val="000000000000"/>
              <w:rPr>
                <w:szCs w:val="20"/>
                <w:shd w:val="clear" w:color="auto" w:fill="FFFFFF"/>
              </w:rPr>
            </w:pPr>
            <w:r w:rsidRPr="00464591">
              <w:rPr>
                <w:szCs w:val="20"/>
                <w:shd w:val="clear" w:color="auto" w:fill="FFFFFF"/>
              </w:rPr>
              <w:t>Are you aware of any stockpiles of hazardous waste? If so please provide details of the waste type and estimated tonnages.</w:t>
            </w:r>
          </w:p>
        </w:tc>
        <w:tc>
          <w:tcPr>
            <w:tcW w:w="4483" w:type="dxa"/>
          </w:tcPr>
          <w:p w:rsidR="00464591" w:rsidRPr="00464591" w:rsidRDefault="00464591" w:rsidP="00464591">
            <w:pPr>
              <w:cnfStyle w:val="000000000000"/>
              <w:rPr>
                <w:szCs w:val="20"/>
                <w:shd w:val="clear" w:color="auto" w:fill="FFFFFF"/>
              </w:rPr>
            </w:pPr>
            <w:r w:rsidRPr="00464591">
              <w:rPr>
                <w:szCs w:val="20"/>
                <w:shd w:val="clear" w:color="auto" w:fill="FFFFFF"/>
              </w:rPr>
              <w:t>(Stockpiles could be located on the site or on another site).</w:t>
            </w:r>
          </w:p>
        </w:tc>
      </w:tr>
      <w:tr w:rsidR="00464591" w:rsidRPr="00464591" w:rsidTr="00EF7EBD">
        <w:tc>
          <w:tcPr>
            <w:cnfStyle w:val="001000000000"/>
            <w:tcW w:w="426" w:type="dxa"/>
          </w:tcPr>
          <w:p w:rsidR="00464591" w:rsidRPr="00464591" w:rsidRDefault="00464591" w:rsidP="00464591">
            <w:r w:rsidRPr="00464591">
              <w:t>9</w:t>
            </w:r>
          </w:p>
        </w:tc>
        <w:tc>
          <w:tcPr>
            <w:tcW w:w="4819" w:type="dxa"/>
          </w:tcPr>
          <w:p w:rsidR="00464591" w:rsidRPr="00464591" w:rsidRDefault="00464591" w:rsidP="00464591">
            <w:pPr>
              <w:cnfStyle w:val="000000000000"/>
              <w:rPr>
                <w:szCs w:val="20"/>
              </w:rPr>
            </w:pPr>
            <w:r w:rsidRPr="00464591">
              <w:rPr>
                <w:szCs w:val="20"/>
                <w:shd w:val="clear" w:color="auto" w:fill="FFFFFF"/>
              </w:rPr>
              <w:t>Please outline your thoughts regarding future hazardous waste generation and management in Australia. Please discuss knowledge of particular waste types.</w:t>
            </w:r>
          </w:p>
        </w:tc>
        <w:tc>
          <w:tcPr>
            <w:tcW w:w="4483" w:type="dxa"/>
          </w:tcPr>
          <w:p w:rsidR="00464591" w:rsidRPr="00464591" w:rsidRDefault="00464591" w:rsidP="00464591">
            <w:pPr>
              <w:cnfStyle w:val="000000000000"/>
              <w:rPr>
                <w:szCs w:val="20"/>
                <w:shd w:val="clear" w:color="auto" w:fill="FFFFFF"/>
              </w:rPr>
            </w:pPr>
            <w:r w:rsidRPr="00464591">
              <w:rPr>
                <w:szCs w:val="20"/>
                <w:shd w:val="clear" w:color="auto" w:fill="FFFFFF"/>
              </w:rPr>
              <w:t>(This is to help us develop projections of future hazardous waste generation and fate).</w:t>
            </w:r>
          </w:p>
        </w:tc>
      </w:tr>
      <w:tr w:rsidR="00464591" w:rsidRPr="00464591" w:rsidTr="00EF7EBD">
        <w:tc>
          <w:tcPr>
            <w:cnfStyle w:val="001000000000"/>
            <w:tcW w:w="426" w:type="dxa"/>
          </w:tcPr>
          <w:p w:rsidR="00464591" w:rsidRPr="00464591" w:rsidRDefault="00464591" w:rsidP="00464591">
            <w:r w:rsidRPr="00464591">
              <w:t>10</w:t>
            </w:r>
          </w:p>
        </w:tc>
        <w:tc>
          <w:tcPr>
            <w:tcW w:w="4819" w:type="dxa"/>
          </w:tcPr>
          <w:p w:rsidR="00464591" w:rsidRPr="00464591" w:rsidRDefault="00464591" w:rsidP="00464591">
            <w:pPr>
              <w:cnfStyle w:val="000000000000"/>
              <w:rPr>
                <w:szCs w:val="20"/>
                <w:shd w:val="clear" w:color="auto" w:fill="FFFFFF"/>
              </w:rPr>
            </w:pPr>
            <w:r w:rsidRPr="00464591">
              <w:rPr>
                <w:szCs w:val="20"/>
                <w:shd w:val="clear" w:color="auto" w:fill="FFFFFF"/>
              </w:rPr>
              <w:t>Would you like to bring to government attention any concerns or issues affecting the market for the hazardous wastes you deal with?</w:t>
            </w:r>
          </w:p>
        </w:tc>
        <w:tc>
          <w:tcPr>
            <w:tcW w:w="4483" w:type="dxa"/>
          </w:tcPr>
          <w:p w:rsidR="00464591" w:rsidRPr="00464591" w:rsidRDefault="00464591" w:rsidP="00464591">
            <w:pPr>
              <w:cnfStyle w:val="000000000000"/>
              <w:rPr>
                <w:szCs w:val="20"/>
                <w:shd w:val="clear" w:color="auto" w:fill="FFFFFF"/>
              </w:rPr>
            </w:pPr>
          </w:p>
        </w:tc>
      </w:tr>
    </w:tbl>
    <w:p w:rsidR="00464591" w:rsidRPr="00464591" w:rsidRDefault="00464591" w:rsidP="00464591"/>
    <w:p w:rsidR="00464591" w:rsidRPr="00464591" w:rsidRDefault="00464591" w:rsidP="00464591">
      <w:r w:rsidRPr="00464591">
        <w:br w:type="page"/>
      </w:r>
    </w:p>
    <w:p w:rsidR="00464591" w:rsidRPr="00464591" w:rsidRDefault="00464591" w:rsidP="007F5BD4">
      <w:pPr>
        <w:pStyle w:val="Heading2"/>
      </w:pPr>
      <w:bookmarkStart w:id="243" w:name="_Toc419190267"/>
      <w:bookmarkStart w:id="244" w:name="_Toc419449184"/>
      <w:bookmarkStart w:id="245" w:name="_Toc419449185"/>
      <w:bookmarkStart w:id="246" w:name="_Ref420526107"/>
      <w:bookmarkStart w:id="247" w:name="_Toc425849165"/>
      <w:bookmarkEnd w:id="243"/>
      <w:bookmarkEnd w:id="244"/>
      <w:r w:rsidRPr="00464591">
        <w:lastRenderedPageBreak/>
        <w:t>Infrastructure assessment survey results</w:t>
      </w:r>
      <w:bookmarkEnd w:id="245"/>
      <w:bookmarkEnd w:id="246"/>
      <w:bookmarkEnd w:id="247"/>
    </w:p>
    <w:p w:rsidR="00464591" w:rsidRPr="00464591" w:rsidRDefault="00464591" w:rsidP="00464591">
      <w:pPr>
        <w:spacing w:line="240" w:lineRule="auto"/>
        <w:rPr>
          <w:color w:val="080808"/>
          <w:sz w:val="22"/>
        </w:rPr>
      </w:pPr>
      <w:r w:rsidRPr="00464591">
        <w:rPr>
          <w:color w:val="080808"/>
          <w:sz w:val="22"/>
        </w:rPr>
        <w:t>Individual industry responses to the survey are commercially confidential and are not included in this report, in accordance with commitments given to respondents by DoE and the project team.</w:t>
      </w:r>
    </w:p>
    <w:p w:rsidR="00464591" w:rsidRPr="007F5BD4" w:rsidRDefault="00464591" w:rsidP="00464591">
      <w:pPr>
        <w:spacing w:line="240" w:lineRule="auto"/>
        <w:rPr>
          <w:color w:val="auto"/>
          <w:sz w:val="22"/>
        </w:rPr>
      </w:pPr>
    </w:p>
    <w:p w:rsidR="00464591" w:rsidRPr="00464591" w:rsidRDefault="00464591" w:rsidP="00464591">
      <w:pPr>
        <w:spacing w:line="240" w:lineRule="auto"/>
        <w:rPr>
          <w:color w:val="080808"/>
          <w:sz w:val="22"/>
        </w:rPr>
      </w:pPr>
      <w:r w:rsidRPr="007F5BD4">
        <w:rPr>
          <w:color w:val="auto"/>
          <w:sz w:val="22"/>
        </w:rPr>
        <w:t xml:space="preserve">A summary of the survey responses is given in </w:t>
      </w:r>
      <w:fldSimple w:instr=" REF _Ref419459193 \h  \* MERGEFORMAT ">
        <w:r w:rsidR="002F3000" w:rsidRPr="002F3000">
          <w:rPr>
            <w:rFonts w:asciiTheme="minorHAnsi" w:hAnsiTheme="minorHAnsi" w:cs="Calibri"/>
            <w:color w:val="auto"/>
            <w:sz w:val="22"/>
          </w:rPr>
          <w:t xml:space="preserve">Table </w:t>
        </w:r>
        <w:r w:rsidR="002F3000" w:rsidRPr="002F3000">
          <w:rPr>
            <w:rFonts w:asciiTheme="minorHAnsi" w:hAnsiTheme="minorHAnsi" w:cs="Calibri"/>
            <w:noProof/>
            <w:color w:val="auto"/>
            <w:sz w:val="22"/>
          </w:rPr>
          <w:t>50</w:t>
        </w:r>
      </w:fldSimple>
      <w:r w:rsidRPr="007F5BD4">
        <w:rPr>
          <w:color w:val="auto"/>
          <w:sz w:val="22"/>
        </w:rPr>
        <w:t xml:space="preserve">. Overall we achieved a response rate 64% (i.e. we collected survey responses from 64% of sites surveyed). Importantly, </w:t>
      </w:r>
      <w:r w:rsidRPr="00464591">
        <w:rPr>
          <w:color w:val="080808"/>
          <w:sz w:val="22"/>
        </w:rPr>
        <w:t xml:space="preserve">we collected survey data from 23 of the 25 rank 1 companies (92%). This is an excellent response rate for a voluntary survey. </w:t>
      </w:r>
    </w:p>
    <w:p w:rsidR="00464591" w:rsidRPr="00464591" w:rsidRDefault="00464591" w:rsidP="00464591">
      <w:pPr>
        <w:spacing w:line="240" w:lineRule="auto"/>
        <w:rPr>
          <w:color w:val="080808"/>
          <w:sz w:val="22"/>
        </w:rPr>
      </w:pPr>
    </w:p>
    <w:p w:rsidR="00464591" w:rsidRPr="00464591" w:rsidRDefault="00464591" w:rsidP="00464591">
      <w:pPr>
        <w:spacing w:line="240" w:lineRule="auto"/>
        <w:rPr>
          <w:color w:val="080808"/>
          <w:sz w:val="2"/>
          <w:szCs w:val="2"/>
        </w:rPr>
      </w:pPr>
    </w:p>
    <w:p w:rsidR="00464591" w:rsidRPr="00655F62" w:rsidRDefault="00464591" w:rsidP="00655F62">
      <w:pPr>
        <w:pStyle w:val="Figures"/>
      </w:pPr>
      <w:bookmarkStart w:id="248" w:name="_Ref419459193"/>
      <w:bookmarkStart w:id="249" w:name="_Toc419190512"/>
      <w:bookmarkStart w:id="250" w:name="_Toc425849335"/>
      <w:r w:rsidRPr="00655F62">
        <w:t xml:space="preserve">Table </w:t>
      </w:r>
      <w:fldSimple w:instr=" SEQ Table \* ARABIC ">
        <w:r w:rsidR="002F3000">
          <w:rPr>
            <w:noProof/>
          </w:rPr>
          <w:t>50</w:t>
        </w:r>
      </w:fldSimple>
      <w:bookmarkEnd w:id="248"/>
      <w:r w:rsidRPr="00655F62">
        <w:t>:</w:t>
      </w:r>
      <w:r w:rsidRPr="00655F62">
        <w:tab/>
        <w:t>Summary of survey results by site</w:t>
      </w:r>
      <w:bookmarkEnd w:id="249"/>
      <w:bookmarkEnd w:id="250"/>
    </w:p>
    <w:tbl>
      <w:tblPr>
        <w:tblW w:w="8359" w:type="dxa"/>
        <w:tblInd w:w="108" w:type="dxa"/>
        <w:tblLook w:val="04A0"/>
      </w:tblPr>
      <w:tblGrid>
        <w:gridCol w:w="1825"/>
        <w:gridCol w:w="697"/>
        <w:gridCol w:w="848"/>
        <w:gridCol w:w="1362"/>
        <w:gridCol w:w="1210"/>
        <w:gridCol w:w="792"/>
        <w:gridCol w:w="1625"/>
      </w:tblGrid>
      <w:tr w:rsidR="00464591" w:rsidRPr="00464591" w:rsidTr="00EF7EBD">
        <w:trPr>
          <w:trHeight w:val="315"/>
        </w:trPr>
        <w:tc>
          <w:tcPr>
            <w:tcW w:w="1825" w:type="dxa"/>
            <w:tcBorders>
              <w:top w:val="nil"/>
              <w:left w:val="nil"/>
              <w:bottom w:val="single" w:sz="4" w:space="0" w:color="A6A6A6"/>
              <w:right w:val="single" w:sz="4" w:space="0" w:color="A6A6A6"/>
            </w:tcBorders>
            <w:shd w:val="clear" w:color="000000" w:fill="FFFFFF"/>
            <w:noWrap/>
            <w:vAlign w:val="bottom"/>
            <w:hideMark/>
          </w:tcPr>
          <w:p w:rsidR="00464591" w:rsidRPr="00464591" w:rsidRDefault="00464591" w:rsidP="00464591">
            <w:pPr>
              <w:spacing w:line="240" w:lineRule="auto"/>
              <w:rPr>
                <w:rFonts w:cs="Times New Roman"/>
                <w:b/>
                <w:bCs/>
                <w:color w:val="000000"/>
                <w:sz w:val="22"/>
                <w:lang w:eastAsia="en-AU"/>
              </w:rPr>
            </w:pPr>
            <w:r w:rsidRPr="00464591">
              <w:rPr>
                <w:rFonts w:cs="Times New Roman"/>
                <w:b/>
                <w:bCs/>
                <w:color w:val="000000"/>
                <w:sz w:val="22"/>
                <w:lang w:eastAsia="en-AU"/>
              </w:rPr>
              <w:t>Survey response</w:t>
            </w:r>
          </w:p>
        </w:tc>
        <w:tc>
          <w:tcPr>
            <w:tcW w:w="697" w:type="dxa"/>
            <w:tcBorders>
              <w:top w:val="nil"/>
              <w:left w:val="single" w:sz="4" w:space="0" w:color="A6A6A6"/>
              <w:bottom w:val="single" w:sz="4" w:space="0" w:color="A6A6A6"/>
              <w:right w:val="nil"/>
            </w:tcBorders>
            <w:shd w:val="clear" w:color="000000" w:fill="FFFFFF"/>
            <w:noWrap/>
            <w:vAlign w:val="bottom"/>
            <w:hideMark/>
          </w:tcPr>
          <w:p w:rsidR="00464591" w:rsidRPr="00464591" w:rsidRDefault="00464591" w:rsidP="00464591">
            <w:pPr>
              <w:spacing w:line="240" w:lineRule="auto"/>
              <w:jc w:val="right"/>
              <w:rPr>
                <w:rFonts w:cs="Times New Roman"/>
                <w:b/>
                <w:color w:val="000000"/>
                <w:sz w:val="22"/>
                <w:lang w:eastAsia="en-AU"/>
              </w:rPr>
            </w:pPr>
            <w:r w:rsidRPr="00464591">
              <w:rPr>
                <w:rFonts w:cs="Times New Roman"/>
                <w:b/>
                <w:color w:val="000000"/>
                <w:sz w:val="22"/>
                <w:lang w:eastAsia="en-AU"/>
              </w:rPr>
              <w:t> n/a</w:t>
            </w:r>
          </w:p>
        </w:tc>
        <w:tc>
          <w:tcPr>
            <w:tcW w:w="848" w:type="dxa"/>
            <w:tcBorders>
              <w:top w:val="nil"/>
              <w:left w:val="nil"/>
              <w:bottom w:val="single" w:sz="4" w:space="0" w:color="A6A6A6"/>
              <w:right w:val="nil"/>
            </w:tcBorders>
            <w:shd w:val="clear" w:color="000000" w:fill="FFFFFF"/>
          </w:tcPr>
          <w:p w:rsidR="00464591" w:rsidRPr="00464591" w:rsidRDefault="00464591" w:rsidP="00464591">
            <w:pPr>
              <w:spacing w:line="240" w:lineRule="auto"/>
              <w:jc w:val="right"/>
              <w:rPr>
                <w:rFonts w:cs="Times New Roman"/>
                <w:b/>
                <w:color w:val="000000"/>
                <w:sz w:val="22"/>
                <w:lang w:eastAsia="en-AU"/>
              </w:rPr>
            </w:pPr>
            <w:r w:rsidRPr="00464591">
              <w:rPr>
                <w:rFonts w:cs="Times New Roman"/>
                <w:b/>
                <w:color w:val="000000"/>
                <w:sz w:val="22"/>
                <w:lang w:eastAsia="en-AU"/>
              </w:rPr>
              <w:t>None</w:t>
            </w:r>
          </w:p>
        </w:tc>
        <w:tc>
          <w:tcPr>
            <w:tcW w:w="1362" w:type="dxa"/>
            <w:tcBorders>
              <w:top w:val="nil"/>
              <w:left w:val="nil"/>
              <w:bottom w:val="single" w:sz="4" w:space="0" w:color="A6A6A6"/>
              <w:right w:val="nil"/>
            </w:tcBorders>
            <w:shd w:val="clear" w:color="000000" w:fill="FFFFFF"/>
          </w:tcPr>
          <w:p w:rsidR="00464591" w:rsidRPr="00464591" w:rsidRDefault="00464591" w:rsidP="00464591">
            <w:pPr>
              <w:spacing w:line="240" w:lineRule="auto"/>
              <w:jc w:val="right"/>
              <w:rPr>
                <w:rFonts w:cs="Times New Roman"/>
                <w:b/>
                <w:color w:val="000000"/>
                <w:sz w:val="22"/>
                <w:lang w:eastAsia="en-AU"/>
              </w:rPr>
            </w:pPr>
            <w:r w:rsidRPr="00464591">
              <w:rPr>
                <w:rFonts w:cs="Times New Roman"/>
                <w:b/>
                <w:color w:val="000000"/>
                <w:sz w:val="22"/>
                <w:lang w:eastAsia="en-AU"/>
              </w:rPr>
              <w:t>Incomplete</w:t>
            </w:r>
          </w:p>
        </w:tc>
        <w:tc>
          <w:tcPr>
            <w:tcW w:w="1210" w:type="dxa"/>
            <w:tcBorders>
              <w:top w:val="nil"/>
              <w:left w:val="nil"/>
              <w:bottom w:val="single" w:sz="4" w:space="0" w:color="A6A6A6"/>
              <w:right w:val="nil"/>
            </w:tcBorders>
            <w:shd w:val="clear" w:color="000000" w:fill="FFFFFF"/>
          </w:tcPr>
          <w:p w:rsidR="00464591" w:rsidRPr="00464591" w:rsidRDefault="00464591" w:rsidP="00464591">
            <w:pPr>
              <w:spacing w:line="240" w:lineRule="auto"/>
              <w:jc w:val="right"/>
              <w:rPr>
                <w:rFonts w:cs="Times New Roman"/>
                <w:b/>
                <w:color w:val="000000"/>
                <w:sz w:val="22"/>
                <w:lang w:eastAsia="en-AU"/>
              </w:rPr>
            </w:pPr>
            <w:r w:rsidRPr="00464591">
              <w:rPr>
                <w:rFonts w:cs="Times New Roman"/>
                <w:b/>
                <w:color w:val="000000"/>
                <w:sz w:val="22"/>
                <w:lang w:eastAsia="en-AU"/>
              </w:rPr>
              <w:t>Complete</w:t>
            </w:r>
          </w:p>
        </w:tc>
        <w:tc>
          <w:tcPr>
            <w:tcW w:w="792" w:type="dxa"/>
            <w:tcBorders>
              <w:top w:val="nil"/>
              <w:left w:val="nil"/>
              <w:bottom w:val="single" w:sz="4" w:space="0" w:color="A6A6A6"/>
              <w:right w:val="single" w:sz="4" w:space="0" w:color="A6A6A6"/>
            </w:tcBorders>
            <w:shd w:val="clear" w:color="000000" w:fill="FFFFFF"/>
          </w:tcPr>
          <w:p w:rsidR="00464591" w:rsidRPr="00464591" w:rsidRDefault="00464591" w:rsidP="00464591">
            <w:pPr>
              <w:spacing w:line="240" w:lineRule="auto"/>
              <w:jc w:val="right"/>
              <w:rPr>
                <w:rFonts w:cs="Times New Roman"/>
                <w:b/>
                <w:color w:val="000000"/>
                <w:sz w:val="22"/>
                <w:lang w:eastAsia="en-AU"/>
              </w:rPr>
            </w:pPr>
            <w:r w:rsidRPr="00464591">
              <w:rPr>
                <w:rFonts w:cs="Times New Roman"/>
                <w:b/>
                <w:color w:val="000000"/>
                <w:sz w:val="22"/>
                <w:lang w:eastAsia="en-AU"/>
              </w:rPr>
              <w:t>Total</w:t>
            </w:r>
          </w:p>
        </w:tc>
        <w:tc>
          <w:tcPr>
            <w:tcW w:w="1625" w:type="dxa"/>
            <w:tcBorders>
              <w:top w:val="nil"/>
              <w:left w:val="single" w:sz="4" w:space="0" w:color="A6A6A6"/>
              <w:bottom w:val="single" w:sz="4" w:space="0" w:color="A6A6A6"/>
              <w:right w:val="nil"/>
            </w:tcBorders>
            <w:shd w:val="clear" w:color="000000" w:fill="FFFFFF"/>
          </w:tcPr>
          <w:p w:rsidR="00464591" w:rsidRPr="00464591" w:rsidRDefault="00464591" w:rsidP="00464591">
            <w:pPr>
              <w:spacing w:line="240" w:lineRule="auto"/>
              <w:jc w:val="right"/>
              <w:rPr>
                <w:rFonts w:cs="Times New Roman"/>
                <w:b/>
                <w:color w:val="000000"/>
                <w:sz w:val="22"/>
                <w:lang w:eastAsia="en-AU"/>
              </w:rPr>
            </w:pPr>
            <w:r w:rsidRPr="00464591">
              <w:rPr>
                <w:rFonts w:cs="Times New Roman"/>
                <w:b/>
                <w:color w:val="000000"/>
                <w:sz w:val="22"/>
                <w:lang w:eastAsia="en-AU"/>
              </w:rPr>
              <w:t>Response rate</w:t>
            </w:r>
          </w:p>
        </w:tc>
      </w:tr>
      <w:tr w:rsidR="00464591" w:rsidRPr="00464591" w:rsidTr="00EF7EBD">
        <w:trPr>
          <w:trHeight w:val="300"/>
        </w:trPr>
        <w:tc>
          <w:tcPr>
            <w:tcW w:w="1825" w:type="dxa"/>
            <w:tcBorders>
              <w:top w:val="nil"/>
              <w:left w:val="nil"/>
              <w:bottom w:val="nil"/>
              <w:right w:val="single" w:sz="4" w:space="0" w:color="A6A6A6"/>
            </w:tcBorders>
            <w:shd w:val="clear" w:color="000000" w:fill="FFFFFF"/>
            <w:vAlign w:val="bottom"/>
            <w:hideMark/>
          </w:tcPr>
          <w:p w:rsidR="00464591" w:rsidRPr="00464591" w:rsidRDefault="00464591" w:rsidP="00464591">
            <w:pPr>
              <w:spacing w:line="240" w:lineRule="auto"/>
              <w:rPr>
                <w:rFonts w:cs="Times New Roman"/>
                <w:color w:val="000000"/>
                <w:sz w:val="22"/>
                <w:lang w:eastAsia="en-AU"/>
              </w:rPr>
            </w:pPr>
            <w:r w:rsidRPr="00464591">
              <w:rPr>
                <w:rFonts w:cs="Times New Roman"/>
                <w:color w:val="000000"/>
                <w:sz w:val="22"/>
                <w:lang w:eastAsia="en-AU"/>
              </w:rPr>
              <w:t># sites</w:t>
            </w:r>
          </w:p>
        </w:tc>
        <w:tc>
          <w:tcPr>
            <w:tcW w:w="697" w:type="dxa"/>
            <w:tcBorders>
              <w:top w:val="single" w:sz="4" w:space="0" w:color="A6A6A6"/>
              <w:left w:val="single" w:sz="4" w:space="0" w:color="A6A6A6"/>
              <w:bottom w:val="nil"/>
              <w:right w:val="nil"/>
            </w:tcBorders>
            <w:shd w:val="clear" w:color="000000" w:fill="FFFFFF"/>
            <w:noWrap/>
            <w:vAlign w:val="bottom"/>
            <w:hideMark/>
          </w:tcPr>
          <w:p w:rsidR="00464591" w:rsidRPr="00464591" w:rsidRDefault="00464591" w:rsidP="00464591">
            <w:pPr>
              <w:spacing w:line="240" w:lineRule="auto"/>
              <w:jc w:val="right"/>
              <w:rPr>
                <w:rFonts w:cs="Times New Roman"/>
                <w:color w:val="auto"/>
                <w:sz w:val="22"/>
                <w:lang w:eastAsia="en-AU"/>
              </w:rPr>
            </w:pPr>
            <w:r w:rsidRPr="00464591">
              <w:rPr>
                <w:rFonts w:cs="Times New Roman"/>
                <w:color w:val="auto"/>
                <w:sz w:val="22"/>
                <w:lang w:eastAsia="en-AU"/>
              </w:rPr>
              <w:t>1</w:t>
            </w:r>
          </w:p>
        </w:tc>
        <w:tc>
          <w:tcPr>
            <w:tcW w:w="848" w:type="dxa"/>
            <w:tcBorders>
              <w:top w:val="single" w:sz="4" w:space="0" w:color="A6A6A6"/>
              <w:left w:val="nil"/>
              <w:bottom w:val="nil"/>
              <w:right w:val="nil"/>
            </w:tcBorders>
            <w:shd w:val="clear" w:color="000000" w:fill="FFFFFF"/>
          </w:tcPr>
          <w:p w:rsidR="00464591" w:rsidRPr="00464591" w:rsidRDefault="00464591" w:rsidP="00464591">
            <w:pPr>
              <w:spacing w:line="240" w:lineRule="auto"/>
              <w:jc w:val="right"/>
              <w:rPr>
                <w:rFonts w:cs="Times New Roman"/>
                <w:color w:val="auto"/>
                <w:sz w:val="22"/>
                <w:lang w:eastAsia="en-AU"/>
              </w:rPr>
            </w:pPr>
            <w:r w:rsidRPr="00464591">
              <w:rPr>
                <w:rFonts w:cs="Times New Roman"/>
                <w:color w:val="auto"/>
                <w:sz w:val="22"/>
                <w:lang w:eastAsia="en-AU"/>
              </w:rPr>
              <w:t>82</w:t>
            </w:r>
          </w:p>
        </w:tc>
        <w:tc>
          <w:tcPr>
            <w:tcW w:w="1362" w:type="dxa"/>
            <w:tcBorders>
              <w:top w:val="single" w:sz="4" w:space="0" w:color="A6A6A6"/>
              <w:left w:val="nil"/>
              <w:bottom w:val="nil"/>
              <w:right w:val="nil"/>
            </w:tcBorders>
            <w:shd w:val="clear" w:color="000000" w:fill="FFFFFF"/>
          </w:tcPr>
          <w:p w:rsidR="00464591" w:rsidRPr="00464591" w:rsidRDefault="00464591" w:rsidP="00464591">
            <w:pPr>
              <w:spacing w:line="240" w:lineRule="auto"/>
              <w:jc w:val="right"/>
              <w:rPr>
                <w:rFonts w:cs="Times New Roman"/>
                <w:color w:val="auto"/>
                <w:sz w:val="22"/>
                <w:lang w:eastAsia="en-AU"/>
              </w:rPr>
            </w:pPr>
            <w:r w:rsidRPr="00464591">
              <w:rPr>
                <w:rFonts w:cs="Times New Roman"/>
                <w:color w:val="auto"/>
                <w:sz w:val="22"/>
                <w:lang w:eastAsia="en-AU"/>
              </w:rPr>
              <w:t>3</w:t>
            </w:r>
          </w:p>
        </w:tc>
        <w:tc>
          <w:tcPr>
            <w:tcW w:w="1210" w:type="dxa"/>
            <w:tcBorders>
              <w:top w:val="single" w:sz="4" w:space="0" w:color="A6A6A6"/>
              <w:left w:val="nil"/>
              <w:bottom w:val="nil"/>
              <w:right w:val="nil"/>
            </w:tcBorders>
            <w:shd w:val="clear" w:color="000000" w:fill="FFFFFF"/>
          </w:tcPr>
          <w:p w:rsidR="00464591" w:rsidRPr="00464591" w:rsidRDefault="00464591">
            <w:pPr>
              <w:spacing w:line="240" w:lineRule="auto"/>
              <w:jc w:val="right"/>
              <w:rPr>
                <w:rFonts w:cs="Times New Roman"/>
                <w:color w:val="auto"/>
                <w:sz w:val="22"/>
                <w:lang w:eastAsia="en-AU"/>
              </w:rPr>
            </w:pPr>
            <w:r w:rsidRPr="00464591">
              <w:rPr>
                <w:rFonts w:cs="Times New Roman"/>
                <w:color w:val="auto"/>
                <w:sz w:val="22"/>
                <w:lang w:eastAsia="en-AU"/>
              </w:rPr>
              <w:t>15</w:t>
            </w:r>
            <w:r w:rsidR="00C759EA">
              <w:rPr>
                <w:rFonts w:cs="Times New Roman"/>
                <w:color w:val="auto"/>
                <w:sz w:val="22"/>
                <w:lang w:eastAsia="en-AU"/>
              </w:rPr>
              <w:t>5</w:t>
            </w:r>
          </w:p>
        </w:tc>
        <w:tc>
          <w:tcPr>
            <w:tcW w:w="792" w:type="dxa"/>
            <w:tcBorders>
              <w:top w:val="single" w:sz="4" w:space="0" w:color="A6A6A6"/>
              <w:left w:val="nil"/>
              <w:bottom w:val="nil"/>
              <w:right w:val="single" w:sz="4" w:space="0" w:color="A6A6A6"/>
            </w:tcBorders>
            <w:shd w:val="clear" w:color="000000" w:fill="FFFFFF"/>
          </w:tcPr>
          <w:p w:rsidR="00464591" w:rsidRPr="00464591" w:rsidRDefault="00464591">
            <w:pPr>
              <w:spacing w:line="240" w:lineRule="auto"/>
              <w:jc w:val="right"/>
              <w:rPr>
                <w:rFonts w:cs="Times New Roman"/>
                <w:color w:val="auto"/>
                <w:sz w:val="22"/>
                <w:lang w:eastAsia="en-AU"/>
              </w:rPr>
            </w:pPr>
            <w:r w:rsidRPr="00464591">
              <w:rPr>
                <w:rFonts w:cs="Times New Roman"/>
                <w:color w:val="auto"/>
                <w:sz w:val="22"/>
                <w:lang w:eastAsia="en-AU"/>
              </w:rPr>
              <w:t>24</w:t>
            </w:r>
            <w:r w:rsidR="00C759EA">
              <w:rPr>
                <w:rFonts w:cs="Times New Roman"/>
                <w:color w:val="auto"/>
                <w:sz w:val="22"/>
                <w:lang w:eastAsia="en-AU"/>
              </w:rPr>
              <w:t>1</w:t>
            </w:r>
          </w:p>
        </w:tc>
        <w:tc>
          <w:tcPr>
            <w:tcW w:w="1625" w:type="dxa"/>
            <w:tcBorders>
              <w:top w:val="nil"/>
              <w:left w:val="single" w:sz="4" w:space="0" w:color="A6A6A6"/>
              <w:bottom w:val="nil"/>
              <w:right w:val="nil"/>
            </w:tcBorders>
            <w:shd w:val="clear" w:color="000000" w:fill="FFFFFF"/>
          </w:tcPr>
          <w:p w:rsidR="00464591" w:rsidRPr="00464591" w:rsidRDefault="00464591" w:rsidP="00464591">
            <w:pPr>
              <w:spacing w:line="240" w:lineRule="auto"/>
              <w:jc w:val="right"/>
              <w:rPr>
                <w:rFonts w:cs="Times New Roman"/>
                <w:color w:val="auto"/>
                <w:sz w:val="22"/>
                <w:lang w:eastAsia="en-AU"/>
              </w:rPr>
            </w:pPr>
            <w:r w:rsidRPr="00464591">
              <w:rPr>
                <w:rFonts w:cs="Times New Roman"/>
                <w:color w:val="auto"/>
                <w:sz w:val="22"/>
                <w:lang w:eastAsia="en-AU"/>
              </w:rPr>
              <w:t>64%</w:t>
            </w:r>
          </w:p>
        </w:tc>
      </w:tr>
    </w:tbl>
    <w:p w:rsidR="00464591" w:rsidRPr="00464591" w:rsidRDefault="00464591" w:rsidP="00464591">
      <w:pPr>
        <w:spacing w:line="240" w:lineRule="auto"/>
        <w:jc w:val="both"/>
        <w:rPr>
          <w:color w:val="080808"/>
          <w:sz w:val="22"/>
        </w:rPr>
      </w:pPr>
    </w:p>
    <w:p w:rsidR="00464591" w:rsidRPr="00464591" w:rsidRDefault="00464591" w:rsidP="00464591">
      <w:pPr>
        <w:spacing w:after="120" w:line="240" w:lineRule="auto"/>
        <w:outlineLvl w:val="2"/>
        <w:rPr>
          <w:rFonts w:ascii="Arial Rounded MT Bold" w:hAnsi="Arial Rounded MT Bold" w:cs="Arial"/>
          <w:color w:val="0000FF"/>
          <w:sz w:val="22"/>
        </w:rPr>
      </w:pPr>
      <w:bookmarkStart w:id="251" w:name="_Toc419190269"/>
      <w:bookmarkStart w:id="252" w:name="_Toc419190271"/>
      <w:bookmarkStart w:id="253" w:name="_Toc419190273"/>
      <w:bookmarkStart w:id="254" w:name="_Toc419190274"/>
      <w:bookmarkStart w:id="255" w:name="_Toc419190275"/>
      <w:bookmarkStart w:id="256" w:name="_Toc419190276"/>
      <w:bookmarkStart w:id="257" w:name="_Toc419190277"/>
      <w:bookmarkStart w:id="258" w:name="_Toc419190278"/>
      <w:bookmarkStart w:id="259" w:name="_Toc419190280"/>
      <w:bookmarkStart w:id="260" w:name="_Toc419190281"/>
      <w:bookmarkStart w:id="261" w:name="_Toc419190282"/>
      <w:bookmarkStart w:id="262" w:name="_Toc419190283"/>
      <w:bookmarkStart w:id="263" w:name="_Toc419190284"/>
      <w:bookmarkStart w:id="264" w:name="_Toc419190285"/>
      <w:bookmarkStart w:id="265" w:name="_Toc419190286"/>
      <w:bookmarkStart w:id="266" w:name="_Toc419190287"/>
      <w:bookmarkStart w:id="267" w:name="_Toc419190288"/>
      <w:bookmarkStart w:id="268" w:name="_Toc419190289"/>
      <w:bookmarkStart w:id="269" w:name="_Toc419190291"/>
      <w:bookmarkStart w:id="270" w:name="_Toc419190292"/>
      <w:bookmarkStart w:id="271" w:name="_Toc419190293"/>
      <w:bookmarkStart w:id="272" w:name="_Toc419190294"/>
      <w:bookmarkStart w:id="273" w:name="_Toc419190295"/>
      <w:bookmarkStart w:id="274" w:name="_Toc419190296"/>
      <w:bookmarkStart w:id="275" w:name="_Toc419190297"/>
      <w:bookmarkStart w:id="276" w:name="_Toc419190298"/>
      <w:bookmarkStart w:id="277" w:name="_Toc419190299"/>
      <w:bookmarkStart w:id="278" w:name="_Toc419190300"/>
      <w:bookmarkStart w:id="279" w:name="_Toc419190301"/>
      <w:bookmarkStart w:id="280" w:name="_Toc419190302"/>
      <w:bookmarkStart w:id="281" w:name="_Toc419190303"/>
      <w:bookmarkStart w:id="282" w:name="_Toc419190304"/>
      <w:bookmarkStart w:id="283" w:name="_Toc419190305"/>
      <w:bookmarkStart w:id="284" w:name="_Toc419190306"/>
      <w:bookmarkStart w:id="285" w:name="_Toc419190308"/>
      <w:bookmarkStart w:id="286" w:name="_Toc419190309"/>
      <w:bookmarkStart w:id="287" w:name="_Toc419190310"/>
      <w:bookmarkStart w:id="288" w:name="_Toc419190311"/>
      <w:bookmarkStart w:id="289" w:name="_Toc419190312"/>
      <w:bookmarkStart w:id="290" w:name="_Toc419189322"/>
      <w:bookmarkStart w:id="291" w:name="_Toc419189423"/>
      <w:bookmarkStart w:id="292" w:name="_Toc419189524"/>
      <w:bookmarkStart w:id="293" w:name="_Toc419190313"/>
      <w:bookmarkStart w:id="294" w:name="_Toc419189323"/>
      <w:bookmarkStart w:id="295" w:name="_Toc419189424"/>
      <w:bookmarkStart w:id="296" w:name="_Toc419189525"/>
      <w:bookmarkStart w:id="297" w:name="_Toc419190314"/>
      <w:bookmarkStart w:id="298" w:name="_Toc419189324"/>
      <w:bookmarkStart w:id="299" w:name="_Toc419189425"/>
      <w:bookmarkStart w:id="300" w:name="_Toc419189526"/>
      <w:bookmarkStart w:id="301" w:name="_Toc419190315"/>
      <w:bookmarkStart w:id="302" w:name="_Toc419189325"/>
      <w:bookmarkStart w:id="303" w:name="_Toc419189426"/>
      <w:bookmarkStart w:id="304" w:name="_Toc419189527"/>
      <w:bookmarkStart w:id="305" w:name="_Toc419190316"/>
      <w:bookmarkStart w:id="306" w:name="_Toc419189326"/>
      <w:bookmarkStart w:id="307" w:name="_Toc419189427"/>
      <w:bookmarkStart w:id="308" w:name="_Toc419189528"/>
      <w:bookmarkStart w:id="309" w:name="_Toc419190317"/>
      <w:bookmarkStart w:id="310" w:name="_Toc419189327"/>
      <w:bookmarkStart w:id="311" w:name="_Toc419189428"/>
      <w:bookmarkStart w:id="312" w:name="_Toc419189529"/>
      <w:bookmarkStart w:id="313" w:name="_Toc419190318"/>
      <w:bookmarkStart w:id="314" w:name="_Toc419189328"/>
      <w:bookmarkStart w:id="315" w:name="_Toc419189429"/>
      <w:bookmarkStart w:id="316" w:name="_Toc419189530"/>
      <w:bookmarkStart w:id="317" w:name="_Toc419190319"/>
      <w:bookmarkStart w:id="318" w:name="_Toc419189329"/>
      <w:bookmarkStart w:id="319" w:name="_Toc419189430"/>
      <w:bookmarkStart w:id="320" w:name="_Toc419189531"/>
      <w:bookmarkStart w:id="321" w:name="_Toc419190320"/>
      <w:bookmarkStart w:id="322" w:name="_Toc419189391"/>
      <w:bookmarkStart w:id="323" w:name="_Toc419189492"/>
      <w:bookmarkStart w:id="324" w:name="_Toc419189593"/>
      <w:bookmarkStart w:id="325" w:name="_Toc419190382"/>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464591">
        <w:rPr>
          <w:rFonts w:ascii="Arial Rounded MT Bold" w:hAnsi="Arial Rounded MT Bold" w:cs="Arial"/>
          <w:color w:val="0000FF"/>
          <w:sz w:val="22"/>
        </w:rPr>
        <w:t xml:space="preserve">Additional sites identified </w:t>
      </w:r>
    </w:p>
    <w:p w:rsidR="00464591" w:rsidRPr="00464591" w:rsidRDefault="00464591" w:rsidP="00464591">
      <w:pPr>
        <w:spacing w:line="240" w:lineRule="auto"/>
        <w:rPr>
          <w:color w:val="080808"/>
          <w:sz w:val="22"/>
        </w:rPr>
      </w:pPr>
      <w:r w:rsidRPr="00464591">
        <w:rPr>
          <w:color w:val="080808"/>
          <w:sz w:val="22"/>
        </w:rPr>
        <w:t>In addition to the 208 sites listed in the Rawtec (2014) database, during consultation an additional 1</w:t>
      </w:r>
      <w:r w:rsidR="00C759EA">
        <w:rPr>
          <w:color w:val="080808"/>
          <w:sz w:val="22"/>
        </w:rPr>
        <w:t>4</w:t>
      </w:r>
      <w:r w:rsidRPr="00464591">
        <w:rPr>
          <w:color w:val="080808"/>
          <w:sz w:val="22"/>
        </w:rPr>
        <w:t xml:space="preserve"> operating sites and 19 new sites (planned, constructed or commissioned) </w:t>
      </w:r>
      <w:r w:rsidRPr="00DF339A">
        <w:rPr>
          <w:color w:val="080808"/>
          <w:sz w:val="22"/>
        </w:rPr>
        <w:t>falling within the scope of the database</w:t>
      </w:r>
      <w:r w:rsidR="00DF339A">
        <w:rPr>
          <w:color w:val="080808"/>
          <w:sz w:val="22"/>
        </w:rPr>
        <w:t xml:space="preserve"> </w:t>
      </w:r>
      <w:r w:rsidRPr="00464591">
        <w:rPr>
          <w:color w:val="080808"/>
          <w:sz w:val="22"/>
        </w:rPr>
        <w:t xml:space="preserve">were identified. These sites were surveyed and the current and potential capacity added to the capacity database and assessment. The total number of sites </w:t>
      </w:r>
      <w:r w:rsidR="00DF339A">
        <w:rPr>
          <w:color w:val="080808"/>
          <w:sz w:val="22"/>
        </w:rPr>
        <w:t>included</w:t>
      </w:r>
      <w:r w:rsidRPr="00464591">
        <w:rPr>
          <w:color w:val="080808"/>
          <w:sz w:val="22"/>
        </w:rPr>
        <w:t xml:space="preserve"> in the</w:t>
      </w:r>
      <w:r w:rsidR="00DF339A">
        <w:rPr>
          <w:color w:val="080808"/>
          <w:sz w:val="22"/>
        </w:rPr>
        <w:t xml:space="preserve"> final database wa</w:t>
      </w:r>
      <w:r w:rsidRPr="00464591">
        <w:rPr>
          <w:color w:val="080808"/>
          <w:sz w:val="22"/>
        </w:rPr>
        <w:t>s 24</w:t>
      </w:r>
      <w:r w:rsidR="00C759EA">
        <w:rPr>
          <w:color w:val="080808"/>
          <w:sz w:val="22"/>
        </w:rPr>
        <w:t>1</w:t>
      </w:r>
      <w:r w:rsidRPr="00464591">
        <w:rPr>
          <w:color w:val="080808"/>
          <w:sz w:val="22"/>
        </w:rPr>
        <w:t>, as noted in the table above.</w:t>
      </w:r>
    </w:p>
    <w:p w:rsidR="00464591" w:rsidRPr="00464591" w:rsidRDefault="00464591" w:rsidP="00464591">
      <w:pPr>
        <w:spacing w:line="240" w:lineRule="auto"/>
        <w:rPr>
          <w:color w:val="080808"/>
          <w:sz w:val="22"/>
        </w:rPr>
      </w:pPr>
    </w:p>
    <w:p w:rsidR="00464591" w:rsidRPr="00464591" w:rsidRDefault="00464591" w:rsidP="00464591">
      <w:pPr>
        <w:spacing w:after="120" w:line="240" w:lineRule="auto"/>
        <w:outlineLvl w:val="2"/>
        <w:rPr>
          <w:rFonts w:ascii="Arial Rounded MT Bold" w:hAnsi="Arial Rounded MT Bold" w:cs="Arial"/>
          <w:color w:val="0000FF"/>
          <w:sz w:val="22"/>
        </w:rPr>
      </w:pPr>
      <w:r w:rsidRPr="00464591">
        <w:rPr>
          <w:rFonts w:ascii="Arial Rounded MT Bold" w:hAnsi="Arial Rounded MT Bold" w:cs="Arial"/>
          <w:color w:val="0000FF"/>
          <w:sz w:val="22"/>
        </w:rPr>
        <w:t>Sites no longer operational or not taking hazardous wastes</w:t>
      </w:r>
    </w:p>
    <w:p w:rsidR="00464591" w:rsidRPr="00464591" w:rsidRDefault="00464591" w:rsidP="00464591">
      <w:pPr>
        <w:spacing w:line="240" w:lineRule="auto"/>
        <w:rPr>
          <w:color w:val="080808"/>
          <w:sz w:val="22"/>
        </w:rPr>
      </w:pPr>
      <w:r w:rsidRPr="00464591">
        <w:rPr>
          <w:color w:val="080808"/>
          <w:sz w:val="22"/>
        </w:rPr>
        <w:t xml:space="preserve">During consultation a total of nine sites were identified as no longer operational or not taking hazardous waste bringing the total number of sites receiving hazardous waste in the database to </w:t>
      </w:r>
      <w:r w:rsidRPr="00464591">
        <w:rPr>
          <w:b/>
          <w:color w:val="080808"/>
          <w:sz w:val="22"/>
        </w:rPr>
        <w:t>23</w:t>
      </w:r>
      <w:r w:rsidR="00C759EA">
        <w:rPr>
          <w:b/>
          <w:color w:val="080808"/>
          <w:sz w:val="22"/>
        </w:rPr>
        <w:t>2</w:t>
      </w:r>
      <w:r w:rsidRPr="00464591">
        <w:rPr>
          <w:color w:val="080808"/>
          <w:sz w:val="22"/>
        </w:rPr>
        <w:t>.</w:t>
      </w:r>
    </w:p>
    <w:p w:rsidR="00464591" w:rsidRPr="00464591" w:rsidRDefault="00464591" w:rsidP="00464591">
      <w:pPr>
        <w:spacing w:line="240" w:lineRule="auto"/>
        <w:rPr>
          <w:color w:val="080808"/>
          <w:sz w:val="22"/>
        </w:rPr>
      </w:pPr>
    </w:p>
    <w:p w:rsidR="00464591" w:rsidRPr="00464591" w:rsidRDefault="00464591" w:rsidP="007F5BD4">
      <w:pPr>
        <w:pStyle w:val="Heading2"/>
      </w:pPr>
      <w:bookmarkStart w:id="326" w:name="_Toc419449186"/>
      <w:bookmarkStart w:id="327" w:name="_Toc419449187"/>
      <w:bookmarkStart w:id="328" w:name="_Toc425849166"/>
      <w:bookmarkEnd w:id="326"/>
      <w:r w:rsidRPr="00464591">
        <w:t>Compiling capacity estimates</w:t>
      </w:r>
      <w:bookmarkEnd w:id="327"/>
      <w:bookmarkEnd w:id="328"/>
    </w:p>
    <w:p w:rsidR="00464591" w:rsidRPr="00464591" w:rsidRDefault="00464591" w:rsidP="00464591">
      <w:pPr>
        <w:spacing w:line="240" w:lineRule="auto"/>
        <w:rPr>
          <w:color w:val="080808"/>
          <w:sz w:val="22"/>
        </w:rPr>
      </w:pPr>
      <w:r w:rsidRPr="00464591">
        <w:rPr>
          <w:color w:val="080808"/>
          <w:sz w:val="22"/>
        </w:rPr>
        <w:t xml:space="preserve">A first cut of the capacity estimates were compiled by summing the data provided by survey respondents. As </w:t>
      </w:r>
      <w:fldSimple w:instr=" REF _Ref419459193 \h  \* MERGEFORMAT ">
        <w:r w:rsidR="002F3000" w:rsidRPr="002F3000">
          <w:rPr>
            <w:sz w:val="22"/>
          </w:rPr>
          <w:t xml:space="preserve">Table </w:t>
        </w:r>
        <w:r w:rsidR="002F3000" w:rsidRPr="002F3000">
          <w:rPr>
            <w:noProof/>
            <w:sz w:val="22"/>
          </w:rPr>
          <w:t>50</w:t>
        </w:r>
      </w:fldSimple>
      <w:r w:rsidR="00410666">
        <w:rPr>
          <w:color w:val="080808"/>
          <w:sz w:val="22"/>
        </w:rPr>
        <w:t xml:space="preserve"> shows</w:t>
      </w:r>
      <w:r w:rsidRPr="00464591">
        <w:rPr>
          <w:color w:val="080808"/>
          <w:sz w:val="22"/>
        </w:rPr>
        <w:t xml:space="preserve">, however, </w:t>
      </w:r>
      <w:r w:rsidR="00410666">
        <w:rPr>
          <w:color w:val="080808"/>
          <w:sz w:val="22"/>
        </w:rPr>
        <w:t xml:space="preserve">no </w:t>
      </w:r>
      <w:r w:rsidRPr="00464591">
        <w:rPr>
          <w:color w:val="080808"/>
          <w:sz w:val="22"/>
        </w:rPr>
        <w:t>response w</w:t>
      </w:r>
      <w:r w:rsidR="00410666">
        <w:rPr>
          <w:color w:val="080808"/>
          <w:sz w:val="22"/>
        </w:rPr>
        <w:t>as</w:t>
      </w:r>
      <w:r w:rsidRPr="00464591">
        <w:rPr>
          <w:color w:val="080808"/>
          <w:sz w:val="22"/>
        </w:rPr>
        <w:t xml:space="preserve"> received in relation to 36% of the sites so their capacity needed estimating. For some of the sites, an EPA licence was publicly available containing a defined limit to the quantity of waste that could be processed annually. In those cases, that value was used as a proxy for current and potential capacity. Where this was not the case, current and potential capacity was assumed to equal the average of the sites that provided data for that infrastructure group. At the conclusion of this process, actual data forms 70% of the estimated total potential capacity.</w:t>
      </w:r>
      <w:r w:rsidR="00D06841">
        <w:rPr>
          <w:color w:val="080808"/>
          <w:sz w:val="22"/>
        </w:rPr>
        <w:t xml:space="preserve"> </w:t>
      </w:r>
    </w:p>
    <w:p w:rsidR="00464591" w:rsidRPr="00464591" w:rsidRDefault="00464591" w:rsidP="00464591">
      <w:pPr>
        <w:spacing w:line="240" w:lineRule="auto"/>
        <w:rPr>
          <w:color w:val="080808"/>
          <w:sz w:val="22"/>
        </w:rPr>
      </w:pPr>
    </w:p>
    <w:p w:rsidR="00464591" w:rsidRPr="00464591" w:rsidRDefault="00464591" w:rsidP="007F5BD4">
      <w:pPr>
        <w:pStyle w:val="Heading2"/>
      </w:pPr>
      <w:bookmarkStart w:id="329" w:name="_Toc419449188"/>
      <w:bookmarkStart w:id="330" w:name="_Toc425849167"/>
      <w:r w:rsidRPr="00464591">
        <w:t>National capacity estimates of hazardous waste infrastructure</w:t>
      </w:r>
      <w:bookmarkEnd w:id="329"/>
      <w:bookmarkEnd w:id="330"/>
    </w:p>
    <w:p w:rsidR="00464591" w:rsidRPr="00464591" w:rsidRDefault="00464591" w:rsidP="00464591">
      <w:pPr>
        <w:spacing w:line="240" w:lineRule="auto"/>
        <w:rPr>
          <w:color w:val="080808"/>
          <w:sz w:val="22"/>
        </w:rPr>
      </w:pPr>
      <w:r w:rsidRPr="00464591">
        <w:rPr>
          <w:color w:val="080808"/>
          <w:sz w:val="22"/>
        </w:rPr>
        <w:t xml:space="preserve">The overall national results of the hazardous waste infrastructure assessment are </w:t>
      </w:r>
      <w:r w:rsidRPr="00410666">
        <w:rPr>
          <w:color w:val="080808"/>
          <w:sz w:val="22"/>
        </w:rPr>
        <w:t xml:space="preserve">set out in </w:t>
      </w:r>
      <w:fldSimple w:instr=" REF _Ref419493187 \h  \* MERGEFORMAT ">
        <w:r w:rsidR="002F3000" w:rsidRPr="002F3000">
          <w:rPr>
            <w:sz w:val="22"/>
          </w:rPr>
          <w:t xml:space="preserve">Table </w:t>
        </w:r>
        <w:r w:rsidR="002F3000" w:rsidRPr="002F3000">
          <w:rPr>
            <w:noProof/>
            <w:sz w:val="22"/>
          </w:rPr>
          <w:t>51</w:t>
        </w:r>
      </w:fldSimple>
      <w:r w:rsidRPr="00410666">
        <w:rPr>
          <w:color w:val="080808"/>
          <w:sz w:val="22"/>
        </w:rPr>
        <w:t>. For</w:t>
      </w:r>
      <w:r w:rsidRPr="00464591">
        <w:rPr>
          <w:color w:val="080808"/>
          <w:sz w:val="22"/>
        </w:rPr>
        <w:t xml:space="preserve"> each infrastructure group, the table states the number of sites, the amount of waste currently received, and the potential capacity. It includes an assessment of the quality of the capacity data based on the definitions at the foot of the table. The quality assessment details for each infrastructure group the percentages of site data that was derived from industry survey responses, EPA licence data, or by the infrastructure group average. </w:t>
      </w:r>
    </w:p>
    <w:p w:rsidR="00464591" w:rsidRPr="00464591" w:rsidRDefault="00464591" w:rsidP="00464591">
      <w:pPr>
        <w:spacing w:line="240" w:lineRule="auto"/>
        <w:rPr>
          <w:color w:val="080808"/>
          <w:sz w:val="22"/>
        </w:rPr>
      </w:pPr>
    </w:p>
    <w:p w:rsidR="00655F62" w:rsidRDefault="00464591" w:rsidP="00464591">
      <w:pPr>
        <w:spacing w:line="240" w:lineRule="auto"/>
        <w:rPr>
          <w:color w:val="080808"/>
          <w:sz w:val="22"/>
        </w:rPr>
      </w:pPr>
      <w:r w:rsidRPr="00464591">
        <w:rPr>
          <w:color w:val="080808"/>
          <w:sz w:val="22"/>
        </w:rPr>
        <w:t>In the public version of this report, data for infrastructure groups that are serviced by less than three sites</w:t>
      </w:r>
      <w:r w:rsidR="006F65F7">
        <w:rPr>
          <w:color w:val="080808"/>
          <w:sz w:val="22"/>
        </w:rPr>
        <w:t xml:space="preserve"> or companies</w:t>
      </w:r>
      <w:r w:rsidRPr="00464591">
        <w:rPr>
          <w:color w:val="080808"/>
          <w:sz w:val="22"/>
        </w:rPr>
        <w:t xml:space="preserve"> is removed to protect commercial confidentialities.</w:t>
      </w:r>
    </w:p>
    <w:p w:rsidR="00655F62" w:rsidRDefault="00655F62" w:rsidP="00655F62">
      <w:r>
        <w:br w:type="page"/>
      </w:r>
    </w:p>
    <w:p w:rsidR="00464591" w:rsidRPr="00655F62" w:rsidRDefault="00464591" w:rsidP="00655F62">
      <w:pPr>
        <w:pStyle w:val="BodyText"/>
        <w:rPr>
          <w:sz w:val="2"/>
          <w:szCs w:val="2"/>
        </w:rPr>
      </w:pPr>
    </w:p>
    <w:p w:rsidR="00464591" w:rsidRPr="00464591" w:rsidRDefault="00464591" w:rsidP="00464591">
      <w:pPr>
        <w:spacing w:line="240" w:lineRule="auto"/>
        <w:rPr>
          <w:color w:val="080808"/>
          <w:sz w:val="2"/>
          <w:szCs w:val="2"/>
        </w:rPr>
      </w:pPr>
    </w:p>
    <w:p w:rsidR="00464591" w:rsidRPr="00655F62" w:rsidRDefault="00464591" w:rsidP="00655F62">
      <w:pPr>
        <w:pStyle w:val="Figures"/>
      </w:pPr>
      <w:bookmarkStart w:id="331" w:name="_Ref419493187"/>
      <w:bookmarkStart w:id="332" w:name="_Toc419190513"/>
      <w:bookmarkStart w:id="333" w:name="_Toc425849336"/>
      <w:r w:rsidRPr="00655F62">
        <w:t xml:space="preserve">Table </w:t>
      </w:r>
      <w:fldSimple w:instr=" SEQ Table \* ARABIC ">
        <w:r w:rsidR="002F3000">
          <w:rPr>
            <w:noProof/>
          </w:rPr>
          <w:t>51</w:t>
        </w:r>
      </w:fldSimple>
      <w:bookmarkEnd w:id="331"/>
      <w:r w:rsidRPr="00655F62">
        <w:t>:</w:t>
      </w:r>
      <w:r w:rsidRPr="00655F62">
        <w:tab/>
        <w:t>National capacity estimate of hazardous waste infrastructure</w:t>
      </w:r>
      <w:bookmarkEnd w:id="332"/>
      <w:bookmarkEnd w:id="333"/>
    </w:p>
    <w:tbl>
      <w:tblPr>
        <w:tblW w:w="5703" w:type="pct"/>
        <w:tblInd w:w="-34" w:type="dxa"/>
        <w:tblLayout w:type="fixed"/>
        <w:tblLook w:val="04A0"/>
      </w:tblPr>
      <w:tblGrid>
        <w:gridCol w:w="1666"/>
        <w:gridCol w:w="1031"/>
        <w:gridCol w:w="698"/>
        <w:gridCol w:w="776"/>
        <w:gridCol w:w="196"/>
        <w:gridCol w:w="753"/>
        <w:gridCol w:w="324"/>
        <w:gridCol w:w="729"/>
        <w:gridCol w:w="104"/>
        <w:gridCol w:w="707"/>
        <w:gridCol w:w="264"/>
        <w:gridCol w:w="684"/>
        <w:gridCol w:w="153"/>
        <w:gridCol w:w="664"/>
        <w:gridCol w:w="309"/>
        <w:gridCol w:w="989"/>
        <w:gridCol w:w="60"/>
        <w:gridCol w:w="769"/>
        <w:gridCol w:w="236"/>
      </w:tblGrid>
      <w:tr w:rsidR="00464591" w:rsidRPr="00464591" w:rsidTr="00EF7EBD">
        <w:trPr>
          <w:gridAfter w:val="3"/>
          <w:wAfter w:w="479" w:type="pct"/>
          <w:trHeight w:val="211"/>
        </w:trPr>
        <w:tc>
          <w:tcPr>
            <w:tcW w:w="1214" w:type="pct"/>
            <w:gridSpan w:val="2"/>
            <w:vMerge w:val="restart"/>
            <w:tcBorders>
              <w:top w:val="nil"/>
              <w:left w:val="nil"/>
              <w:right w:val="nil"/>
            </w:tcBorders>
            <w:shd w:val="clear" w:color="auto" w:fill="auto"/>
            <w:vAlign w:val="bottom"/>
          </w:tcPr>
          <w:p w:rsidR="00464591" w:rsidRPr="00464591" w:rsidRDefault="00464591" w:rsidP="00464591">
            <w:pPr>
              <w:keepNext/>
              <w:spacing w:line="240" w:lineRule="auto"/>
              <w:rPr>
                <w:rFonts w:cs="Times New Roman"/>
                <w:b/>
                <w:bCs/>
                <w:color w:val="000000"/>
                <w:szCs w:val="20"/>
                <w:lang w:eastAsia="en-AU"/>
              </w:rPr>
            </w:pPr>
            <w:r w:rsidRPr="00464591">
              <w:rPr>
                <w:rFonts w:cs="Times New Roman"/>
                <w:b/>
                <w:bCs/>
                <w:color w:val="000000"/>
                <w:szCs w:val="20"/>
                <w:lang w:eastAsia="en-AU"/>
              </w:rPr>
              <w:t>Hazardous waste infrastructure group</w:t>
            </w:r>
          </w:p>
        </w:tc>
        <w:tc>
          <w:tcPr>
            <w:tcW w:w="314" w:type="pct"/>
            <w:vMerge w:val="restart"/>
            <w:tcBorders>
              <w:top w:val="nil"/>
              <w:left w:val="nil"/>
              <w:right w:val="nil"/>
            </w:tcBorders>
            <w:shd w:val="clear" w:color="auto" w:fill="auto"/>
            <w:noWrap/>
            <w:vAlign w:val="bottom"/>
          </w:tcPr>
          <w:p w:rsidR="00464591" w:rsidRPr="00464591" w:rsidRDefault="00464591" w:rsidP="00464591">
            <w:pPr>
              <w:keepNext/>
              <w:spacing w:line="240" w:lineRule="auto"/>
              <w:jc w:val="center"/>
              <w:rPr>
                <w:rFonts w:cs="Times New Roman"/>
                <w:b/>
                <w:bCs/>
                <w:color w:val="auto"/>
                <w:szCs w:val="20"/>
                <w:lang w:eastAsia="en-AU"/>
              </w:rPr>
            </w:pPr>
            <w:r w:rsidRPr="00464591">
              <w:rPr>
                <w:rFonts w:cs="Times New Roman"/>
                <w:b/>
                <w:bCs/>
                <w:color w:val="auto"/>
                <w:szCs w:val="20"/>
                <w:lang w:eastAsia="en-AU"/>
              </w:rPr>
              <w:t>No. sites</w:t>
            </w:r>
          </w:p>
        </w:tc>
        <w:tc>
          <w:tcPr>
            <w:tcW w:w="437" w:type="pct"/>
            <w:gridSpan w:val="2"/>
            <w:vMerge w:val="restart"/>
            <w:tcBorders>
              <w:top w:val="nil"/>
              <w:left w:val="nil"/>
              <w:right w:val="nil"/>
            </w:tcBorders>
            <w:shd w:val="clear" w:color="auto" w:fill="auto"/>
            <w:vAlign w:val="bottom"/>
          </w:tcPr>
          <w:p w:rsidR="00464591" w:rsidRPr="00464591" w:rsidRDefault="00464591" w:rsidP="00464591">
            <w:pPr>
              <w:keepNext/>
              <w:spacing w:line="240" w:lineRule="auto"/>
              <w:jc w:val="center"/>
              <w:rPr>
                <w:rFonts w:cs="Times New Roman"/>
                <w:b/>
                <w:bCs/>
                <w:color w:val="auto"/>
                <w:szCs w:val="20"/>
                <w:lang w:eastAsia="en-AU"/>
              </w:rPr>
            </w:pPr>
            <w:r w:rsidRPr="00464591">
              <w:rPr>
                <w:rFonts w:cs="Times New Roman"/>
                <w:b/>
                <w:bCs/>
                <w:color w:val="auto"/>
                <w:szCs w:val="20"/>
                <w:lang w:eastAsia="en-AU"/>
              </w:rPr>
              <w:t>Est. currently received (kt/yr)</w:t>
            </w:r>
            <w:r w:rsidRPr="00464591">
              <w:rPr>
                <w:rFonts w:cs="Times New Roman"/>
                <w:b/>
                <w:bCs/>
                <w:color w:val="auto"/>
                <w:szCs w:val="20"/>
                <w:vertAlign w:val="superscript"/>
                <w:lang w:eastAsia="en-AU"/>
              </w:rPr>
              <w:footnoteReference w:id="28"/>
            </w:r>
          </w:p>
        </w:tc>
        <w:tc>
          <w:tcPr>
            <w:tcW w:w="485" w:type="pct"/>
            <w:gridSpan w:val="2"/>
            <w:vMerge w:val="restart"/>
            <w:tcBorders>
              <w:top w:val="nil"/>
              <w:left w:val="nil"/>
              <w:right w:val="single" w:sz="4" w:space="0" w:color="808080" w:themeColor="background1" w:themeShade="80"/>
            </w:tcBorders>
            <w:shd w:val="clear" w:color="auto" w:fill="auto"/>
            <w:vAlign w:val="bottom"/>
          </w:tcPr>
          <w:p w:rsidR="00464591" w:rsidRPr="00464591" w:rsidRDefault="00464591" w:rsidP="00464591">
            <w:pPr>
              <w:keepNext/>
              <w:spacing w:line="240" w:lineRule="auto"/>
              <w:jc w:val="center"/>
              <w:rPr>
                <w:rFonts w:cs="Times New Roman"/>
                <w:b/>
                <w:bCs/>
                <w:color w:val="auto"/>
                <w:szCs w:val="20"/>
                <w:lang w:eastAsia="en-AU"/>
              </w:rPr>
            </w:pPr>
            <w:r w:rsidRPr="00464591">
              <w:rPr>
                <w:rFonts w:cs="Times New Roman"/>
                <w:b/>
                <w:bCs/>
                <w:color w:val="auto"/>
                <w:szCs w:val="20"/>
                <w:lang w:eastAsia="en-AU"/>
              </w:rPr>
              <w:t>Est. potential capacity (kt/yr)</w:t>
            </w:r>
            <w:r w:rsidRPr="00464591">
              <w:rPr>
                <w:rFonts w:cs="Times New Roman"/>
                <w:b/>
                <w:bCs/>
                <w:color w:val="auto"/>
                <w:szCs w:val="20"/>
                <w:vertAlign w:val="superscript"/>
                <w:lang w:eastAsia="en-AU"/>
              </w:rPr>
              <w:footnoteReference w:id="29"/>
            </w:r>
            <w:r w:rsidRPr="00464591">
              <w:rPr>
                <w:rFonts w:cs="Times New Roman"/>
                <w:b/>
                <w:bCs/>
                <w:color w:val="auto"/>
                <w:szCs w:val="20"/>
                <w:lang w:eastAsia="en-AU"/>
              </w:rPr>
              <w:t xml:space="preserve"> </w:t>
            </w:r>
            <w:r w:rsidRPr="00464591">
              <w:rPr>
                <w:rFonts w:cs="Times New Roman"/>
                <w:b/>
                <w:bCs/>
                <w:color w:val="auto"/>
                <w:szCs w:val="20"/>
                <w:vertAlign w:val="superscript"/>
                <w:lang w:eastAsia="en-AU"/>
              </w:rPr>
              <w:footnoteReference w:id="30"/>
            </w:r>
          </w:p>
        </w:tc>
        <w:tc>
          <w:tcPr>
            <w:tcW w:w="1188" w:type="pct"/>
            <w:gridSpan w:val="6"/>
            <w:tcBorders>
              <w:top w:val="nil"/>
              <w:left w:val="single" w:sz="4" w:space="0" w:color="808080" w:themeColor="background1" w:themeShade="80"/>
              <w:right w:val="single" w:sz="4" w:space="0" w:color="808080" w:themeColor="background1" w:themeShade="80"/>
            </w:tcBorders>
            <w:shd w:val="clear" w:color="auto" w:fill="auto"/>
            <w:noWrap/>
          </w:tcPr>
          <w:p w:rsidR="00464591" w:rsidRPr="00464591" w:rsidRDefault="00464591">
            <w:pPr>
              <w:keepNext/>
              <w:spacing w:line="240" w:lineRule="auto"/>
              <w:jc w:val="center"/>
              <w:rPr>
                <w:rFonts w:cs="Times New Roman"/>
                <w:b/>
                <w:bCs/>
                <w:color w:val="000000"/>
                <w:szCs w:val="20"/>
                <w:lang w:eastAsia="en-AU"/>
              </w:rPr>
            </w:pPr>
            <w:r w:rsidRPr="00464591">
              <w:rPr>
                <w:rFonts w:cs="Times New Roman"/>
                <w:b/>
                <w:bCs/>
                <w:color w:val="000000"/>
                <w:szCs w:val="20"/>
                <w:lang w:eastAsia="en-AU"/>
              </w:rPr>
              <w:t xml:space="preserve">Data </w:t>
            </w:r>
            <w:r w:rsidR="00B201A6">
              <w:rPr>
                <w:rFonts w:cs="Times New Roman"/>
                <w:b/>
                <w:bCs/>
                <w:color w:val="000000"/>
                <w:szCs w:val="20"/>
                <w:lang w:eastAsia="en-AU"/>
              </w:rPr>
              <w:t>sources</w:t>
            </w:r>
          </w:p>
        </w:tc>
        <w:tc>
          <w:tcPr>
            <w:tcW w:w="438" w:type="pct"/>
            <w:gridSpan w:val="2"/>
            <w:vMerge w:val="restart"/>
            <w:tcBorders>
              <w:top w:val="nil"/>
              <w:left w:val="single" w:sz="4" w:space="0" w:color="808080" w:themeColor="background1" w:themeShade="80"/>
              <w:right w:val="nil"/>
            </w:tcBorders>
            <w:shd w:val="clear" w:color="auto" w:fill="auto"/>
            <w:vAlign w:val="bottom"/>
          </w:tcPr>
          <w:p w:rsidR="00464591" w:rsidRPr="00464591" w:rsidRDefault="00464591" w:rsidP="00464591">
            <w:pPr>
              <w:keepNext/>
              <w:spacing w:line="240" w:lineRule="auto"/>
              <w:jc w:val="center"/>
              <w:rPr>
                <w:rFonts w:cs="Times New Roman"/>
                <w:b/>
                <w:bCs/>
                <w:color w:val="auto"/>
                <w:szCs w:val="20"/>
                <w:lang w:eastAsia="en-AU"/>
              </w:rPr>
            </w:pPr>
            <w:r w:rsidRPr="00464591">
              <w:rPr>
                <w:rFonts w:cs="Times New Roman"/>
                <w:b/>
                <w:bCs/>
                <w:color w:val="auto"/>
                <w:szCs w:val="20"/>
                <w:lang w:eastAsia="en-AU"/>
              </w:rPr>
              <w:t>3-yr. av. rec'ts (kt/yr)</w:t>
            </w:r>
          </w:p>
        </w:tc>
        <w:tc>
          <w:tcPr>
            <w:tcW w:w="445" w:type="pct"/>
            <w:vMerge w:val="restart"/>
            <w:tcBorders>
              <w:top w:val="nil"/>
              <w:left w:val="nil"/>
              <w:right w:val="nil"/>
            </w:tcBorders>
            <w:shd w:val="clear" w:color="auto" w:fill="auto"/>
            <w:vAlign w:val="bottom"/>
          </w:tcPr>
          <w:p w:rsidR="00464591" w:rsidRPr="00464591" w:rsidRDefault="00464591" w:rsidP="00464591">
            <w:pPr>
              <w:keepNext/>
              <w:spacing w:line="240" w:lineRule="auto"/>
              <w:jc w:val="center"/>
              <w:rPr>
                <w:rFonts w:cs="Times New Roman"/>
                <w:b/>
                <w:bCs/>
                <w:color w:val="auto"/>
                <w:szCs w:val="20"/>
                <w:lang w:eastAsia="en-AU"/>
              </w:rPr>
            </w:pPr>
            <w:r w:rsidRPr="00464591">
              <w:rPr>
                <w:rFonts w:cs="Times New Roman"/>
                <w:b/>
                <w:bCs/>
                <w:color w:val="auto"/>
                <w:szCs w:val="20"/>
                <w:lang w:eastAsia="en-AU"/>
              </w:rPr>
              <w:t>Av. capacity (kt/yr)</w:t>
            </w:r>
          </w:p>
        </w:tc>
      </w:tr>
      <w:tr w:rsidR="00464591" w:rsidRPr="00464591" w:rsidTr="00EF7EBD">
        <w:trPr>
          <w:gridAfter w:val="3"/>
          <w:wAfter w:w="479" w:type="pct"/>
          <w:trHeight w:val="765"/>
        </w:trPr>
        <w:tc>
          <w:tcPr>
            <w:tcW w:w="1214" w:type="pct"/>
            <w:gridSpan w:val="2"/>
            <w:vMerge/>
            <w:tcBorders>
              <w:left w:val="nil"/>
              <w:bottom w:val="single" w:sz="4" w:space="0" w:color="808080" w:themeColor="background1" w:themeShade="80"/>
            </w:tcBorders>
            <w:shd w:val="clear" w:color="auto" w:fill="auto"/>
            <w:vAlign w:val="bottom"/>
            <w:hideMark/>
          </w:tcPr>
          <w:p w:rsidR="00464591" w:rsidRPr="00464591" w:rsidRDefault="00464591" w:rsidP="00464591">
            <w:pPr>
              <w:keepNext/>
              <w:spacing w:line="240" w:lineRule="auto"/>
              <w:rPr>
                <w:rFonts w:cs="Times New Roman"/>
                <w:b/>
                <w:bCs/>
                <w:color w:val="000000"/>
                <w:szCs w:val="20"/>
                <w:lang w:eastAsia="en-AU"/>
              </w:rPr>
            </w:pPr>
          </w:p>
        </w:tc>
        <w:tc>
          <w:tcPr>
            <w:tcW w:w="314" w:type="pct"/>
            <w:vMerge/>
            <w:tcBorders>
              <w:bottom w:val="single" w:sz="4" w:space="0" w:color="808080" w:themeColor="background1" w:themeShade="80"/>
            </w:tcBorders>
            <w:shd w:val="clear" w:color="auto" w:fill="auto"/>
            <w:noWrap/>
            <w:vAlign w:val="bottom"/>
            <w:hideMark/>
          </w:tcPr>
          <w:p w:rsidR="00464591" w:rsidRPr="00464591" w:rsidRDefault="00464591" w:rsidP="00464591">
            <w:pPr>
              <w:keepNext/>
              <w:spacing w:line="240" w:lineRule="auto"/>
              <w:jc w:val="center"/>
              <w:rPr>
                <w:rFonts w:cs="Times New Roman"/>
                <w:b/>
                <w:bCs/>
                <w:color w:val="auto"/>
                <w:szCs w:val="20"/>
                <w:lang w:eastAsia="en-AU"/>
              </w:rPr>
            </w:pPr>
          </w:p>
        </w:tc>
        <w:tc>
          <w:tcPr>
            <w:tcW w:w="437" w:type="pct"/>
            <w:gridSpan w:val="2"/>
            <w:vMerge/>
            <w:tcBorders>
              <w:bottom w:val="single" w:sz="4" w:space="0" w:color="808080" w:themeColor="background1" w:themeShade="80"/>
            </w:tcBorders>
            <w:shd w:val="clear" w:color="auto" w:fill="auto"/>
            <w:vAlign w:val="bottom"/>
            <w:hideMark/>
          </w:tcPr>
          <w:p w:rsidR="00464591" w:rsidRPr="00464591" w:rsidRDefault="00464591" w:rsidP="00464591">
            <w:pPr>
              <w:keepNext/>
              <w:spacing w:line="240" w:lineRule="auto"/>
              <w:jc w:val="center"/>
              <w:rPr>
                <w:rFonts w:cs="Times New Roman"/>
                <w:b/>
                <w:bCs/>
                <w:color w:val="auto"/>
                <w:szCs w:val="20"/>
                <w:lang w:eastAsia="en-AU"/>
              </w:rPr>
            </w:pPr>
          </w:p>
        </w:tc>
        <w:tc>
          <w:tcPr>
            <w:tcW w:w="485" w:type="pct"/>
            <w:gridSpan w:val="2"/>
            <w:vMerge/>
            <w:tcBorders>
              <w:bottom w:val="single" w:sz="4" w:space="0" w:color="808080" w:themeColor="background1" w:themeShade="80"/>
              <w:right w:val="single" w:sz="4" w:space="0" w:color="808080" w:themeColor="background1" w:themeShade="80"/>
            </w:tcBorders>
            <w:shd w:val="clear" w:color="auto" w:fill="auto"/>
            <w:vAlign w:val="bottom"/>
            <w:hideMark/>
          </w:tcPr>
          <w:p w:rsidR="00464591" w:rsidRPr="00464591" w:rsidRDefault="00464591" w:rsidP="00464591">
            <w:pPr>
              <w:keepNext/>
              <w:spacing w:line="240" w:lineRule="auto"/>
              <w:jc w:val="center"/>
              <w:rPr>
                <w:rFonts w:cs="Times New Roman"/>
                <w:b/>
                <w:bCs/>
                <w:color w:val="auto"/>
                <w:szCs w:val="20"/>
                <w:lang w:eastAsia="en-AU"/>
              </w:rPr>
            </w:pPr>
          </w:p>
        </w:tc>
        <w:tc>
          <w:tcPr>
            <w:tcW w:w="375" w:type="pct"/>
            <w:gridSpan w:val="2"/>
            <w:tcBorders>
              <w:top w:val="nil"/>
              <w:left w:val="single" w:sz="4" w:space="0" w:color="808080" w:themeColor="background1" w:themeShade="80"/>
              <w:bottom w:val="single" w:sz="4" w:space="0" w:color="808080" w:themeColor="background1" w:themeShade="80"/>
            </w:tcBorders>
            <w:shd w:val="clear" w:color="auto" w:fill="auto"/>
            <w:noWrap/>
            <w:vAlign w:val="bottom"/>
            <w:hideMark/>
          </w:tcPr>
          <w:p w:rsidR="00464591" w:rsidRPr="00464591" w:rsidRDefault="00464591" w:rsidP="00464591">
            <w:pPr>
              <w:keepNext/>
              <w:spacing w:line="240" w:lineRule="auto"/>
              <w:jc w:val="center"/>
              <w:rPr>
                <w:rFonts w:cs="Times New Roman"/>
                <w:b/>
                <w:bCs/>
                <w:color w:val="000000"/>
                <w:szCs w:val="20"/>
                <w:lang w:eastAsia="en-AU"/>
              </w:rPr>
            </w:pPr>
            <w:r w:rsidRPr="00464591">
              <w:rPr>
                <w:rFonts w:cs="Times New Roman"/>
                <w:b/>
                <w:bCs/>
                <w:color w:val="000000"/>
                <w:szCs w:val="20"/>
                <w:lang w:eastAsia="en-AU"/>
              </w:rPr>
              <w:t>Ind. survey res.</w:t>
            </w:r>
          </w:p>
        </w:tc>
        <w:tc>
          <w:tcPr>
            <w:tcW w:w="437" w:type="pct"/>
            <w:gridSpan w:val="2"/>
            <w:tcBorders>
              <w:top w:val="nil"/>
              <w:bottom w:val="single" w:sz="4" w:space="0" w:color="808080" w:themeColor="background1" w:themeShade="80"/>
            </w:tcBorders>
            <w:shd w:val="clear" w:color="auto" w:fill="auto"/>
            <w:noWrap/>
            <w:vAlign w:val="bottom"/>
            <w:hideMark/>
          </w:tcPr>
          <w:p w:rsidR="00464591" w:rsidRPr="00464591" w:rsidRDefault="00464591" w:rsidP="00464591">
            <w:pPr>
              <w:keepNext/>
              <w:spacing w:line="240" w:lineRule="auto"/>
              <w:jc w:val="center"/>
              <w:rPr>
                <w:rFonts w:cs="Times New Roman"/>
                <w:b/>
                <w:bCs/>
                <w:color w:val="000000"/>
                <w:szCs w:val="20"/>
                <w:lang w:eastAsia="en-AU"/>
              </w:rPr>
            </w:pPr>
            <w:r w:rsidRPr="00464591">
              <w:rPr>
                <w:rFonts w:cs="Times New Roman"/>
                <w:b/>
                <w:bCs/>
                <w:color w:val="000000"/>
                <w:szCs w:val="20"/>
                <w:lang w:eastAsia="en-AU"/>
              </w:rPr>
              <w:t>Site licence data</w:t>
            </w:r>
          </w:p>
        </w:tc>
        <w:tc>
          <w:tcPr>
            <w:tcW w:w="377" w:type="pct"/>
            <w:gridSpan w:val="2"/>
            <w:tcBorders>
              <w:top w:val="nil"/>
              <w:bottom w:val="single" w:sz="4" w:space="0" w:color="808080" w:themeColor="background1" w:themeShade="80"/>
              <w:right w:val="single" w:sz="4" w:space="0" w:color="808080" w:themeColor="background1" w:themeShade="80"/>
            </w:tcBorders>
            <w:shd w:val="clear" w:color="auto" w:fill="auto"/>
            <w:noWrap/>
            <w:vAlign w:val="bottom"/>
            <w:hideMark/>
          </w:tcPr>
          <w:p w:rsidR="00464591" w:rsidRPr="00464591" w:rsidRDefault="00464591" w:rsidP="00464591">
            <w:pPr>
              <w:keepNext/>
              <w:spacing w:line="240" w:lineRule="auto"/>
              <w:jc w:val="center"/>
              <w:rPr>
                <w:rFonts w:cs="Times New Roman"/>
                <w:b/>
                <w:bCs/>
                <w:color w:val="000000"/>
                <w:szCs w:val="20"/>
                <w:lang w:eastAsia="en-AU"/>
              </w:rPr>
            </w:pPr>
            <w:r w:rsidRPr="00464591">
              <w:rPr>
                <w:rFonts w:cs="Times New Roman"/>
                <w:b/>
                <w:bCs/>
                <w:color w:val="000000"/>
                <w:szCs w:val="20"/>
                <w:lang w:eastAsia="en-AU"/>
              </w:rPr>
              <w:t>Inf. group av.</w:t>
            </w:r>
          </w:p>
        </w:tc>
        <w:tc>
          <w:tcPr>
            <w:tcW w:w="438" w:type="pct"/>
            <w:gridSpan w:val="2"/>
            <w:vMerge/>
            <w:tcBorders>
              <w:left w:val="single" w:sz="4" w:space="0" w:color="808080" w:themeColor="background1" w:themeShade="80"/>
              <w:bottom w:val="single" w:sz="4" w:space="0" w:color="808080" w:themeColor="background1" w:themeShade="80"/>
            </w:tcBorders>
            <w:shd w:val="clear" w:color="auto" w:fill="auto"/>
            <w:vAlign w:val="bottom"/>
            <w:hideMark/>
          </w:tcPr>
          <w:p w:rsidR="00464591" w:rsidRPr="00464591" w:rsidRDefault="00464591" w:rsidP="00464591">
            <w:pPr>
              <w:keepNext/>
              <w:spacing w:line="240" w:lineRule="auto"/>
              <w:jc w:val="center"/>
              <w:rPr>
                <w:rFonts w:cs="Times New Roman"/>
                <w:b/>
                <w:bCs/>
                <w:color w:val="auto"/>
                <w:szCs w:val="20"/>
                <w:lang w:eastAsia="en-AU"/>
              </w:rPr>
            </w:pPr>
          </w:p>
        </w:tc>
        <w:tc>
          <w:tcPr>
            <w:tcW w:w="445" w:type="pct"/>
            <w:vMerge/>
            <w:tcBorders>
              <w:bottom w:val="single" w:sz="4" w:space="0" w:color="808080" w:themeColor="background1" w:themeShade="80"/>
              <w:right w:val="nil"/>
            </w:tcBorders>
            <w:shd w:val="clear" w:color="auto" w:fill="auto"/>
            <w:vAlign w:val="bottom"/>
            <w:hideMark/>
          </w:tcPr>
          <w:p w:rsidR="00464591" w:rsidRPr="00464591" w:rsidRDefault="00464591" w:rsidP="00464591">
            <w:pPr>
              <w:keepNext/>
              <w:spacing w:line="240" w:lineRule="auto"/>
              <w:jc w:val="center"/>
              <w:rPr>
                <w:rFonts w:cs="Times New Roman"/>
                <w:b/>
                <w:bCs/>
                <w:color w:val="auto"/>
                <w:szCs w:val="20"/>
                <w:lang w:eastAsia="en-AU"/>
              </w:rPr>
            </w:pPr>
          </w:p>
        </w:tc>
      </w:tr>
      <w:tr w:rsidR="00464591" w:rsidRPr="00464591" w:rsidTr="00EF7EBD">
        <w:trPr>
          <w:gridAfter w:val="3"/>
          <w:wAfter w:w="479" w:type="pct"/>
          <w:trHeight w:val="255"/>
        </w:trPr>
        <w:tc>
          <w:tcPr>
            <w:tcW w:w="2450" w:type="pct"/>
            <w:gridSpan w:val="7"/>
            <w:tcBorders>
              <w:top w:val="single" w:sz="4" w:space="0" w:color="808080" w:themeColor="background1" w:themeShade="80"/>
              <w:left w:val="nil"/>
              <w:right w:val="single" w:sz="4" w:space="0" w:color="808080" w:themeColor="background1" w:themeShade="80"/>
            </w:tcBorders>
            <w:shd w:val="clear" w:color="000000" w:fill="C5D9F1"/>
            <w:noWrap/>
            <w:hideMark/>
          </w:tcPr>
          <w:p w:rsidR="00464591" w:rsidRPr="00464591" w:rsidRDefault="00464591" w:rsidP="00464591">
            <w:pPr>
              <w:keepNext/>
              <w:spacing w:line="240" w:lineRule="auto"/>
              <w:rPr>
                <w:rFonts w:cs="Times New Roman"/>
                <w:b/>
                <w:bCs/>
                <w:color w:val="auto"/>
                <w:szCs w:val="20"/>
                <w:lang w:eastAsia="en-AU"/>
              </w:rPr>
            </w:pPr>
            <w:r w:rsidRPr="00464591">
              <w:rPr>
                <w:rFonts w:cs="Times New Roman"/>
                <w:b/>
                <w:bCs/>
                <w:color w:val="000000"/>
                <w:szCs w:val="20"/>
                <w:lang w:eastAsia="en-AU"/>
              </w:rPr>
              <w:t>Recovery: recycling and energy recovery (ER)</w:t>
            </w:r>
            <w:r w:rsidRPr="00464591">
              <w:rPr>
                <w:rFonts w:cs="Times New Roman"/>
                <w:b/>
                <w:bCs/>
                <w:color w:val="auto"/>
                <w:szCs w:val="20"/>
                <w:lang w:eastAsia="en-AU"/>
              </w:rPr>
              <w:t> </w:t>
            </w:r>
          </w:p>
        </w:tc>
        <w:tc>
          <w:tcPr>
            <w:tcW w:w="375" w:type="pct"/>
            <w:gridSpan w:val="2"/>
            <w:tcBorders>
              <w:top w:val="single" w:sz="4" w:space="0" w:color="808080" w:themeColor="background1" w:themeShade="80"/>
              <w:left w:val="single" w:sz="4" w:space="0" w:color="808080" w:themeColor="background1" w:themeShade="80"/>
              <w:right w:val="nil"/>
            </w:tcBorders>
            <w:shd w:val="clear" w:color="000000" w:fill="C5D9F1"/>
            <w:noWrap/>
            <w:vAlign w:val="bottom"/>
            <w:hideMark/>
          </w:tcPr>
          <w:p w:rsidR="00464591" w:rsidRPr="00464591" w:rsidRDefault="00464591" w:rsidP="00464591">
            <w:pPr>
              <w:keepNext/>
              <w:spacing w:line="240" w:lineRule="auto"/>
              <w:jc w:val="center"/>
              <w:rPr>
                <w:rFonts w:cs="Times New Roman"/>
                <w:b/>
                <w:bCs/>
                <w:color w:val="000000"/>
                <w:szCs w:val="20"/>
                <w:lang w:eastAsia="en-AU"/>
              </w:rPr>
            </w:pPr>
            <w:r w:rsidRPr="00464591">
              <w:rPr>
                <w:rFonts w:cs="Times New Roman"/>
                <w:b/>
                <w:bCs/>
                <w:color w:val="000000"/>
                <w:szCs w:val="20"/>
                <w:lang w:eastAsia="en-AU"/>
              </w:rPr>
              <w:t> </w:t>
            </w:r>
          </w:p>
        </w:tc>
        <w:tc>
          <w:tcPr>
            <w:tcW w:w="437" w:type="pct"/>
            <w:gridSpan w:val="2"/>
            <w:tcBorders>
              <w:top w:val="single" w:sz="4" w:space="0" w:color="808080" w:themeColor="background1" w:themeShade="80"/>
              <w:left w:val="nil"/>
              <w:right w:val="nil"/>
            </w:tcBorders>
            <w:shd w:val="clear" w:color="000000" w:fill="C5D9F1"/>
            <w:noWrap/>
            <w:vAlign w:val="bottom"/>
            <w:hideMark/>
          </w:tcPr>
          <w:p w:rsidR="00464591" w:rsidRPr="00464591" w:rsidRDefault="00464591" w:rsidP="00464591">
            <w:pPr>
              <w:keepNext/>
              <w:spacing w:line="240" w:lineRule="auto"/>
              <w:jc w:val="center"/>
              <w:rPr>
                <w:rFonts w:cs="Times New Roman"/>
                <w:b/>
                <w:bCs/>
                <w:color w:val="000000"/>
                <w:szCs w:val="20"/>
                <w:lang w:eastAsia="en-AU"/>
              </w:rPr>
            </w:pPr>
            <w:r w:rsidRPr="00464591">
              <w:rPr>
                <w:rFonts w:cs="Times New Roman"/>
                <w:b/>
                <w:bCs/>
                <w:color w:val="000000"/>
                <w:szCs w:val="20"/>
                <w:lang w:eastAsia="en-AU"/>
              </w:rPr>
              <w:t> </w:t>
            </w:r>
          </w:p>
        </w:tc>
        <w:tc>
          <w:tcPr>
            <w:tcW w:w="377" w:type="pct"/>
            <w:gridSpan w:val="2"/>
            <w:tcBorders>
              <w:top w:val="single" w:sz="4" w:space="0" w:color="808080" w:themeColor="background1" w:themeShade="80"/>
              <w:left w:val="nil"/>
              <w:right w:val="single" w:sz="4" w:space="0" w:color="808080" w:themeColor="background1" w:themeShade="80"/>
            </w:tcBorders>
            <w:shd w:val="clear" w:color="000000" w:fill="C5D9F1"/>
            <w:noWrap/>
            <w:vAlign w:val="bottom"/>
            <w:hideMark/>
          </w:tcPr>
          <w:p w:rsidR="00464591" w:rsidRPr="00464591" w:rsidRDefault="00464591" w:rsidP="00464591">
            <w:pPr>
              <w:keepNext/>
              <w:spacing w:line="240" w:lineRule="auto"/>
              <w:jc w:val="center"/>
              <w:rPr>
                <w:rFonts w:cs="Times New Roman"/>
                <w:b/>
                <w:bCs/>
                <w:color w:val="000000"/>
                <w:szCs w:val="20"/>
                <w:lang w:eastAsia="en-AU"/>
              </w:rPr>
            </w:pPr>
            <w:r w:rsidRPr="00464591">
              <w:rPr>
                <w:rFonts w:cs="Times New Roman"/>
                <w:b/>
                <w:bCs/>
                <w:color w:val="000000"/>
                <w:szCs w:val="20"/>
                <w:lang w:eastAsia="en-AU"/>
              </w:rPr>
              <w:t> </w:t>
            </w:r>
          </w:p>
        </w:tc>
        <w:tc>
          <w:tcPr>
            <w:tcW w:w="438" w:type="pct"/>
            <w:gridSpan w:val="2"/>
            <w:tcBorders>
              <w:top w:val="single" w:sz="4" w:space="0" w:color="808080" w:themeColor="background1" w:themeShade="80"/>
              <w:left w:val="single" w:sz="4" w:space="0" w:color="808080" w:themeColor="background1" w:themeShade="80"/>
              <w:right w:val="nil"/>
            </w:tcBorders>
            <w:shd w:val="clear" w:color="000000" w:fill="C5D9F1"/>
            <w:vAlign w:val="bottom"/>
            <w:hideMark/>
          </w:tcPr>
          <w:p w:rsidR="00464591" w:rsidRPr="00464591" w:rsidRDefault="00464591" w:rsidP="00464591">
            <w:pPr>
              <w:keepNext/>
              <w:spacing w:line="240" w:lineRule="auto"/>
              <w:jc w:val="right"/>
              <w:rPr>
                <w:rFonts w:cs="Times New Roman"/>
                <w:b/>
                <w:bCs/>
                <w:color w:val="auto"/>
                <w:sz w:val="18"/>
                <w:szCs w:val="18"/>
                <w:lang w:eastAsia="en-AU"/>
              </w:rPr>
            </w:pPr>
            <w:r w:rsidRPr="00464591">
              <w:rPr>
                <w:rFonts w:cs="Times New Roman"/>
                <w:b/>
                <w:bCs/>
                <w:color w:val="auto"/>
                <w:sz w:val="18"/>
                <w:szCs w:val="18"/>
                <w:lang w:eastAsia="en-AU"/>
              </w:rPr>
              <w:t> </w:t>
            </w:r>
          </w:p>
        </w:tc>
        <w:tc>
          <w:tcPr>
            <w:tcW w:w="445" w:type="pct"/>
            <w:tcBorders>
              <w:top w:val="single" w:sz="4" w:space="0" w:color="808080" w:themeColor="background1" w:themeShade="80"/>
              <w:left w:val="nil"/>
              <w:right w:val="nil"/>
            </w:tcBorders>
            <w:shd w:val="clear" w:color="000000" w:fill="C5D9F1"/>
            <w:vAlign w:val="bottom"/>
            <w:hideMark/>
          </w:tcPr>
          <w:p w:rsidR="00464591" w:rsidRPr="00464591" w:rsidRDefault="00464591" w:rsidP="00464591">
            <w:pPr>
              <w:keepNext/>
              <w:spacing w:line="240" w:lineRule="auto"/>
              <w:jc w:val="right"/>
              <w:rPr>
                <w:rFonts w:cs="Times New Roman"/>
                <w:b/>
                <w:bCs/>
                <w:color w:val="auto"/>
                <w:sz w:val="18"/>
                <w:szCs w:val="18"/>
                <w:lang w:eastAsia="en-AU"/>
              </w:rPr>
            </w:pPr>
            <w:r w:rsidRPr="00464591">
              <w:rPr>
                <w:rFonts w:cs="Times New Roman"/>
                <w:b/>
                <w:bCs/>
                <w:color w:val="auto"/>
                <w:sz w:val="18"/>
                <w:szCs w:val="18"/>
                <w:lang w:eastAsia="en-AU"/>
              </w:rPr>
              <w:t> </w:t>
            </w:r>
          </w:p>
        </w:tc>
      </w:tr>
      <w:tr w:rsidR="00C759EA" w:rsidRPr="00464591" w:rsidTr="00EF7EBD">
        <w:trPr>
          <w:gridAfter w:val="3"/>
          <w:wAfter w:w="479" w:type="pct"/>
          <w:trHeight w:val="255"/>
        </w:trPr>
        <w:tc>
          <w:tcPr>
            <w:tcW w:w="1214" w:type="pct"/>
            <w:gridSpan w:val="2"/>
            <w:tcBorders>
              <w:top w:val="nil"/>
              <w:left w:val="nil"/>
              <w:bottom w:val="single" w:sz="4" w:space="0" w:color="D9D9D9" w:themeColor="background1" w:themeShade="D9"/>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Hazwaste packaging fac.</w:t>
            </w:r>
          </w:p>
        </w:tc>
        <w:tc>
          <w:tcPr>
            <w:tcW w:w="314" w:type="pct"/>
            <w:tcBorders>
              <w:top w:val="nil"/>
              <w:bottom w:val="single" w:sz="4" w:space="0" w:color="D9D9D9" w:themeColor="background1" w:themeShade="D9"/>
            </w:tcBorders>
            <w:shd w:val="clear" w:color="auto" w:fill="auto"/>
            <w:noWrap/>
            <w:hideMark/>
          </w:tcPr>
          <w:p w:rsidR="00C759EA" w:rsidRPr="00464591" w:rsidRDefault="00C759EA" w:rsidP="00464591">
            <w:pPr>
              <w:keepNext/>
              <w:jc w:val="right"/>
              <w:rPr>
                <w:color w:val="000000"/>
                <w:szCs w:val="20"/>
              </w:rPr>
            </w:pPr>
            <w:r w:rsidRPr="00EA7FCC">
              <w:t xml:space="preserve">31 </w:t>
            </w:r>
          </w:p>
        </w:tc>
        <w:tc>
          <w:tcPr>
            <w:tcW w:w="437" w:type="pct"/>
            <w:gridSpan w:val="2"/>
            <w:tcBorders>
              <w:top w:val="nil"/>
              <w:bottom w:val="single" w:sz="4" w:space="0" w:color="D9D9D9" w:themeColor="background1" w:themeShade="D9"/>
            </w:tcBorders>
            <w:shd w:val="clear" w:color="auto" w:fill="auto"/>
            <w:noWrap/>
            <w:hideMark/>
          </w:tcPr>
          <w:p w:rsidR="00C759EA" w:rsidRPr="00464591" w:rsidRDefault="00C759EA" w:rsidP="00464591">
            <w:pPr>
              <w:keepNext/>
              <w:jc w:val="right"/>
              <w:rPr>
                <w:color w:val="000000"/>
                <w:szCs w:val="20"/>
              </w:rPr>
            </w:pPr>
            <w:r w:rsidRPr="00EA7FCC">
              <w:t xml:space="preserve"> 22 </w:t>
            </w:r>
          </w:p>
        </w:tc>
        <w:tc>
          <w:tcPr>
            <w:tcW w:w="485" w:type="pct"/>
            <w:gridSpan w:val="2"/>
            <w:tcBorders>
              <w:top w:val="nil"/>
              <w:bottom w:val="single" w:sz="4" w:space="0" w:color="D9D9D9" w:themeColor="background1" w:themeShade="D9"/>
              <w:right w:val="single" w:sz="4" w:space="0" w:color="808080" w:themeColor="background1" w:themeShade="80"/>
            </w:tcBorders>
            <w:shd w:val="clear" w:color="auto" w:fill="auto"/>
            <w:noWrap/>
            <w:hideMark/>
          </w:tcPr>
          <w:p w:rsidR="00C759EA" w:rsidRPr="00464591" w:rsidRDefault="00C759EA" w:rsidP="00464591">
            <w:pPr>
              <w:keepNext/>
              <w:jc w:val="right"/>
              <w:rPr>
                <w:color w:val="000000"/>
                <w:szCs w:val="20"/>
              </w:rPr>
            </w:pPr>
            <w:r w:rsidRPr="00EA7FCC">
              <w:t xml:space="preserve">55 </w:t>
            </w:r>
          </w:p>
        </w:tc>
        <w:tc>
          <w:tcPr>
            <w:tcW w:w="375" w:type="pct"/>
            <w:gridSpan w:val="2"/>
            <w:tcBorders>
              <w:top w:val="nil"/>
              <w:left w:val="single" w:sz="4" w:space="0" w:color="808080" w:themeColor="background1" w:themeShade="80"/>
              <w:bottom w:val="single" w:sz="4" w:space="0" w:color="BFBFBF" w:themeColor="background1" w:themeShade="BF"/>
            </w:tcBorders>
            <w:shd w:val="clear" w:color="auto" w:fill="auto"/>
            <w:noWrap/>
            <w:hideMark/>
          </w:tcPr>
          <w:p w:rsidR="00C759EA" w:rsidRPr="00464591" w:rsidRDefault="00C759EA" w:rsidP="00464591">
            <w:pPr>
              <w:keepNext/>
              <w:jc w:val="right"/>
              <w:rPr>
                <w:color w:val="000000"/>
                <w:szCs w:val="20"/>
              </w:rPr>
            </w:pPr>
            <w:r w:rsidRPr="00EA7FCC">
              <w:t>42%</w:t>
            </w:r>
          </w:p>
        </w:tc>
        <w:tc>
          <w:tcPr>
            <w:tcW w:w="437" w:type="pct"/>
            <w:gridSpan w:val="2"/>
            <w:tcBorders>
              <w:top w:val="nil"/>
              <w:bottom w:val="single" w:sz="4" w:space="0" w:color="BFBFBF" w:themeColor="background1" w:themeShade="BF"/>
            </w:tcBorders>
            <w:shd w:val="clear" w:color="auto" w:fill="auto"/>
            <w:noWrap/>
            <w:hideMark/>
          </w:tcPr>
          <w:p w:rsidR="00C759EA" w:rsidRPr="00464591" w:rsidRDefault="00C759EA" w:rsidP="00464591">
            <w:pPr>
              <w:keepNext/>
              <w:jc w:val="right"/>
              <w:rPr>
                <w:color w:val="000000"/>
                <w:szCs w:val="20"/>
              </w:rPr>
            </w:pPr>
            <w:r w:rsidRPr="00EA7FCC">
              <w:t>0%</w:t>
            </w:r>
          </w:p>
        </w:tc>
        <w:tc>
          <w:tcPr>
            <w:tcW w:w="377" w:type="pct"/>
            <w:gridSpan w:val="2"/>
            <w:tcBorders>
              <w:top w:val="nil"/>
              <w:bottom w:val="single" w:sz="4" w:space="0" w:color="BFBFBF" w:themeColor="background1" w:themeShade="BF"/>
              <w:right w:val="single" w:sz="4" w:space="0" w:color="808080" w:themeColor="background1" w:themeShade="80"/>
            </w:tcBorders>
            <w:shd w:val="clear" w:color="auto" w:fill="auto"/>
            <w:noWrap/>
            <w:hideMark/>
          </w:tcPr>
          <w:p w:rsidR="00C759EA" w:rsidRPr="00464591" w:rsidRDefault="00C759EA" w:rsidP="00464591">
            <w:pPr>
              <w:keepNext/>
              <w:jc w:val="right"/>
              <w:rPr>
                <w:color w:val="000000"/>
                <w:szCs w:val="20"/>
              </w:rPr>
            </w:pPr>
            <w:r w:rsidRPr="00EA7FCC">
              <w:t>58%</w:t>
            </w:r>
          </w:p>
        </w:tc>
        <w:tc>
          <w:tcPr>
            <w:tcW w:w="438" w:type="pct"/>
            <w:gridSpan w:val="2"/>
            <w:tcBorders>
              <w:top w:val="nil"/>
              <w:left w:val="single" w:sz="4" w:space="0" w:color="808080" w:themeColor="background1" w:themeShade="80"/>
              <w:bottom w:val="single" w:sz="4" w:space="0" w:color="D9D9D9" w:themeColor="background1" w:themeShade="D9"/>
            </w:tcBorders>
            <w:shd w:val="clear" w:color="auto" w:fill="auto"/>
            <w:hideMark/>
          </w:tcPr>
          <w:p w:rsidR="00C759EA" w:rsidRPr="00464591" w:rsidRDefault="00C759EA" w:rsidP="00464591">
            <w:pPr>
              <w:keepNext/>
              <w:jc w:val="right"/>
              <w:rPr>
                <w:szCs w:val="20"/>
              </w:rPr>
            </w:pPr>
            <w:r w:rsidRPr="00EA7FCC">
              <w:t xml:space="preserve"> 0.7 </w:t>
            </w:r>
          </w:p>
        </w:tc>
        <w:tc>
          <w:tcPr>
            <w:tcW w:w="445" w:type="pct"/>
            <w:tcBorders>
              <w:top w:val="nil"/>
              <w:bottom w:val="single" w:sz="4" w:space="0" w:color="D9D9D9" w:themeColor="background1" w:themeShade="D9"/>
              <w:right w:val="nil"/>
            </w:tcBorders>
            <w:shd w:val="clear" w:color="auto" w:fill="auto"/>
            <w:hideMark/>
          </w:tcPr>
          <w:p w:rsidR="00C759EA" w:rsidRPr="00464591" w:rsidRDefault="00C759EA" w:rsidP="00464591">
            <w:pPr>
              <w:keepNext/>
              <w:jc w:val="right"/>
              <w:rPr>
                <w:szCs w:val="20"/>
              </w:rPr>
            </w:pPr>
            <w:r w:rsidRPr="00EA7FCC">
              <w:t xml:space="preserve"> 1.8 </w:t>
            </w:r>
          </w:p>
        </w:tc>
      </w:tr>
      <w:tr w:rsidR="00C759EA" w:rsidRPr="00464591" w:rsidTr="00EF7EBD">
        <w:trPr>
          <w:gridAfter w:val="3"/>
          <w:wAfter w:w="479" w:type="pct"/>
          <w:trHeight w:val="255"/>
        </w:trPr>
        <w:tc>
          <w:tcPr>
            <w:tcW w:w="1214" w:type="pct"/>
            <w:gridSpan w:val="2"/>
            <w:tcBorders>
              <w:top w:val="single" w:sz="4" w:space="0" w:color="D9D9D9" w:themeColor="background1" w:themeShade="D9"/>
              <w:left w:val="nil"/>
              <w:bottom w:val="single" w:sz="4" w:space="0" w:color="D9D9D9" w:themeColor="background1" w:themeShade="D9"/>
            </w:tcBorders>
            <w:shd w:val="clear" w:color="auto" w:fill="FFFFFF" w:themeFill="background1"/>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E-waste fac.</w:t>
            </w:r>
          </w:p>
        </w:tc>
        <w:tc>
          <w:tcPr>
            <w:tcW w:w="314" w:type="pct"/>
            <w:tcBorders>
              <w:top w:val="single" w:sz="4" w:space="0" w:color="D9D9D9" w:themeColor="background1" w:themeShade="D9"/>
              <w:bottom w:val="single" w:sz="4" w:space="0" w:color="D9D9D9" w:themeColor="background1" w:themeShade="D9"/>
            </w:tcBorders>
            <w:shd w:val="clear" w:color="auto" w:fill="FFFFFF" w:themeFill="background1"/>
            <w:noWrap/>
            <w:hideMark/>
          </w:tcPr>
          <w:p w:rsidR="00C759EA" w:rsidRPr="00464591" w:rsidRDefault="00C759EA" w:rsidP="00464591">
            <w:pPr>
              <w:keepNext/>
              <w:jc w:val="right"/>
              <w:rPr>
                <w:color w:val="000000"/>
                <w:szCs w:val="20"/>
              </w:rPr>
            </w:pPr>
            <w:r w:rsidRPr="00EA7FCC">
              <w:t xml:space="preserve">12 </w:t>
            </w:r>
          </w:p>
        </w:tc>
        <w:tc>
          <w:tcPr>
            <w:tcW w:w="437" w:type="pct"/>
            <w:gridSpan w:val="2"/>
            <w:tcBorders>
              <w:top w:val="single" w:sz="4" w:space="0" w:color="D9D9D9" w:themeColor="background1" w:themeShade="D9"/>
              <w:bottom w:val="single" w:sz="4" w:space="0" w:color="D9D9D9" w:themeColor="background1" w:themeShade="D9"/>
            </w:tcBorders>
            <w:shd w:val="clear" w:color="auto" w:fill="FFFFFF" w:themeFill="background1"/>
            <w:noWrap/>
            <w:hideMark/>
          </w:tcPr>
          <w:p w:rsidR="00C759EA" w:rsidRPr="00464591" w:rsidRDefault="00C759EA" w:rsidP="00464591">
            <w:pPr>
              <w:keepNext/>
              <w:jc w:val="right"/>
              <w:rPr>
                <w:color w:val="000000"/>
                <w:szCs w:val="20"/>
              </w:rPr>
            </w:pPr>
            <w:r w:rsidRPr="00EA7FCC">
              <w:t xml:space="preserve"> 64 </w:t>
            </w:r>
          </w:p>
        </w:tc>
        <w:tc>
          <w:tcPr>
            <w:tcW w:w="485" w:type="pct"/>
            <w:gridSpan w:val="2"/>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FFFFFF" w:themeFill="background1"/>
            <w:noWrap/>
            <w:hideMark/>
          </w:tcPr>
          <w:p w:rsidR="00C759EA" w:rsidRPr="00464591" w:rsidRDefault="00C759EA" w:rsidP="00464591">
            <w:pPr>
              <w:keepNext/>
              <w:jc w:val="right"/>
              <w:rPr>
                <w:color w:val="000000"/>
                <w:szCs w:val="20"/>
              </w:rPr>
            </w:pPr>
            <w:r w:rsidRPr="00EA7FCC">
              <w:t xml:space="preserve">161 </w:t>
            </w:r>
          </w:p>
        </w:tc>
        <w:tc>
          <w:tcPr>
            <w:tcW w:w="375" w:type="pct"/>
            <w:gridSpan w:val="2"/>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hemeFill="background1"/>
            <w:noWrap/>
            <w:hideMark/>
          </w:tcPr>
          <w:p w:rsidR="00C759EA" w:rsidRPr="00464591" w:rsidRDefault="00C759EA" w:rsidP="00464591">
            <w:pPr>
              <w:keepNext/>
              <w:jc w:val="right"/>
              <w:rPr>
                <w:color w:val="000000"/>
                <w:szCs w:val="20"/>
              </w:rPr>
            </w:pPr>
            <w:r w:rsidRPr="00EA7FCC">
              <w:t>58%</w:t>
            </w:r>
          </w:p>
        </w:tc>
        <w:tc>
          <w:tcPr>
            <w:tcW w:w="437" w:type="pct"/>
            <w:gridSpan w:val="2"/>
            <w:tcBorders>
              <w:top w:val="single" w:sz="4" w:space="0" w:color="BFBFBF" w:themeColor="background1" w:themeShade="BF"/>
              <w:bottom w:val="single" w:sz="4" w:space="0" w:color="BFBFBF" w:themeColor="background1" w:themeShade="BF"/>
            </w:tcBorders>
            <w:shd w:val="clear" w:color="auto" w:fill="FFFFFF" w:themeFill="background1"/>
            <w:noWrap/>
            <w:hideMark/>
          </w:tcPr>
          <w:p w:rsidR="00C759EA" w:rsidRPr="00464591" w:rsidRDefault="00C759EA" w:rsidP="00464591">
            <w:pPr>
              <w:keepNext/>
              <w:jc w:val="right"/>
              <w:rPr>
                <w:color w:val="000000"/>
                <w:szCs w:val="20"/>
              </w:rPr>
            </w:pPr>
            <w:r w:rsidRPr="00EA7FCC">
              <w:t>0%</w:t>
            </w:r>
          </w:p>
        </w:tc>
        <w:tc>
          <w:tcPr>
            <w:tcW w:w="377" w:type="pct"/>
            <w:gridSpan w:val="2"/>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hemeFill="background1"/>
            <w:noWrap/>
            <w:hideMark/>
          </w:tcPr>
          <w:p w:rsidR="00C759EA" w:rsidRPr="00464591" w:rsidRDefault="00C759EA" w:rsidP="00464591">
            <w:pPr>
              <w:keepNext/>
              <w:jc w:val="right"/>
              <w:rPr>
                <w:color w:val="000000"/>
                <w:szCs w:val="20"/>
              </w:rPr>
            </w:pPr>
            <w:r w:rsidRPr="00EA7FCC">
              <w:t>42%</w:t>
            </w:r>
          </w:p>
        </w:tc>
        <w:tc>
          <w:tcPr>
            <w:tcW w:w="438" w:type="pct"/>
            <w:gridSpan w:val="2"/>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FFFFFF" w:themeFill="background1"/>
            <w:hideMark/>
          </w:tcPr>
          <w:p w:rsidR="00C759EA" w:rsidRPr="00464591" w:rsidRDefault="00C759EA" w:rsidP="00464591">
            <w:pPr>
              <w:keepNext/>
              <w:jc w:val="right"/>
              <w:rPr>
                <w:szCs w:val="20"/>
              </w:rPr>
            </w:pPr>
            <w:r w:rsidRPr="00EA7FCC">
              <w:t xml:space="preserve"> 5 </w:t>
            </w:r>
          </w:p>
        </w:tc>
        <w:tc>
          <w:tcPr>
            <w:tcW w:w="445" w:type="pct"/>
            <w:tcBorders>
              <w:top w:val="single" w:sz="4" w:space="0" w:color="D9D9D9" w:themeColor="background1" w:themeShade="D9"/>
              <w:bottom w:val="single" w:sz="4" w:space="0" w:color="D9D9D9" w:themeColor="background1" w:themeShade="D9"/>
              <w:right w:val="nil"/>
            </w:tcBorders>
            <w:shd w:val="clear" w:color="auto" w:fill="FFFFFF" w:themeFill="background1"/>
            <w:hideMark/>
          </w:tcPr>
          <w:p w:rsidR="00C759EA" w:rsidRPr="00464591" w:rsidRDefault="00C759EA" w:rsidP="00464591">
            <w:pPr>
              <w:keepNext/>
              <w:jc w:val="right"/>
              <w:rPr>
                <w:szCs w:val="20"/>
              </w:rPr>
            </w:pPr>
            <w:r w:rsidRPr="00EA7FCC">
              <w:t xml:space="preserve"> 14 </w:t>
            </w:r>
          </w:p>
        </w:tc>
      </w:tr>
      <w:tr w:rsidR="00C759EA" w:rsidRPr="00464591" w:rsidTr="00EF7EBD">
        <w:trPr>
          <w:gridAfter w:val="3"/>
          <w:wAfter w:w="479" w:type="pct"/>
          <w:trHeight w:val="255"/>
        </w:trPr>
        <w:tc>
          <w:tcPr>
            <w:tcW w:w="1214" w:type="pct"/>
            <w:gridSpan w:val="2"/>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Oil re-refining fac.</w:t>
            </w:r>
          </w:p>
        </w:tc>
        <w:tc>
          <w:tcPr>
            <w:tcW w:w="314" w:type="pct"/>
            <w:tcBorders>
              <w:top w:val="single" w:sz="4" w:space="0" w:color="D9D9D9" w:themeColor="background1" w:themeShade="D9"/>
              <w:bottom w:val="single" w:sz="4" w:space="0" w:color="D9D9D9" w:themeColor="background1" w:themeShade="D9"/>
            </w:tcBorders>
            <w:shd w:val="clear" w:color="auto" w:fill="auto"/>
            <w:noWrap/>
            <w:hideMark/>
          </w:tcPr>
          <w:p w:rsidR="00C759EA" w:rsidRPr="00464591" w:rsidRDefault="00C759EA" w:rsidP="00464591">
            <w:pPr>
              <w:keepNext/>
              <w:jc w:val="right"/>
              <w:rPr>
                <w:color w:val="000000"/>
                <w:szCs w:val="20"/>
              </w:rPr>
            </w:pPr>
            <w:r w:rsidRPr="00EA7FCC">
              <w:t xml:space="preserve">13 </w:t>
            </w:r>
          </w:p>
        </w:tc>
        <w:tc>
          <w:tcPr>
            <w:tcW w:w="437" w:type="pct"/>
            <w:gridSpan w:val="2"/>
            <w:tcBorders>
              <w:top w:val="single" w:sz="4" w:space="0" w:color="D9D9D9" w:themeColor="background1" w:themeShade="D9"/>
              <w:bottom w:val="single" w:sz="4" w:space="0" w:color="D9D9D9" w:themeColor="background1" w:themeShade="D9"/>
            </w:tcBorders>
            <w:shd w:val="clear" w:color="auto" w:fill="auto"/>
            <w:noWrap/>
            <w:hideMark/>
          </w:tcPr>
          <w:p w:rsidR="00C759EA" w:rsidRPr="00464591" w:rsidRDefault="00C759EA" w:rsidP="00464591">
            <w:pPr>
              <w:keepNext/>
              <w:jc w:val="right"/>
              <w:rPr>
                <w:color w:val="000000"/>
                <w:szCs w:val="20"/>
              </w:rPr>
            </w:pPr>
            <w:r w:rsidRPr="00EA7FCC">
              <w:t xml:space="preserve"> 363 </w:t>
            </w:r>
          </w:p>
        </w:tc>
        <w:tc>
          <w:tcPr>
            <w:tcW w:w="485" w:type="pct"/>
            <w:gridSpan w:val="2"/>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noWrap/>
            <w:hideMark/>
          </w:tcPr>
          <w:p w:rsidR="00C759EA" w:rsidRPr="00464591" w:rsidRDefault="00C759EA" w:rsidP="00464591">
            <w:pPr>
              <w:keepNext/>
              <w:jc w:val="right"/>
              <w:rPr>
                <w:color w:val="000000"/>
                <w:szCs w:val="20"/>
              </w:rPr>
            </w:pPr>
            <w:r w:rsidRPr="00EA7FCC">
              <w:t xml:space="preserve">694 </w:t>
            </w:r>
          </w:p>
        </w:tc>
        <w:tc>
          <w:tcPr>
            <w:tcW w:w="375" w:type="pct"/>
            <w:gridSpan w:val="2"/>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auto"/>
            <w:noWrap/>
            <w:hideMark/>
          </w:tcPr>
          <w:p w:rsidR="00C759EA" w:rsidRPr="00464591" w:rsidRDefault="00C759EA" w:rsidP="00464591">
            <w:pPr>
              <w:keepNext/>
              <w:jc w:val="right"/>
              <w:rPr>
                <w:color w:val="000000"/>
                <w:szCs w:val="20"/>
              </w:rPr>
            </w:pPr>
            <w:r w:rsidRPr="00EA7FCC">
              <w:t>62%</w:t>
            </w:r>
          </w:p>
        </w:tc>
        <w:tc>
          <w:tcPr>
            <w:tcW w:w="437" w:type="pct"/>
            <w:gridSpan w:val="2"/>
            <w:tcBorders>
              <w:top w:val="single" w:sz="4" w:space="0" w:color="BFBFBF" w:themeColor="background1" w:themeShade="BF"/>
              <w:bottom w:val="single" w:sz="4" w:space="0" w:color="BFBFBF" w:themeColor="background1" w:themeShade="BF"/>
            </w:tcBorders>
            <w:shd w:val="clear" w:color="auto" w:fill="auto"/>
            <w:noWrap/>
            <w:hideMark/>
          </w:tcPr>
          <w:p w:rsidR="00C759EA" w:rsidRPr="00464591" w:rsidRDefault="00C759EA" w:rsidP="00464591">
            <w:pPr>
              <w:keepNext/>
              <w:jc w:val="right"/>
              <w:rPr>
                <w:color w:val="000000"/>
                <w:szCs w:val="20"/>
              </w:rPr>
            </w:pPr>
            <w:r w:rsidRPr="00EA7FCC">
              <w:t>31%</w:t>
            </w:r>
          </w:p>
        </w:tc>
        <w:tc>
          <w:tcPr>
            <w:tcW w:w="377" w:type="pct"/>
            <w:gridSpan w:val="2"/>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auto"/>
            <w:noWrap/>
            <w:hideMark/>
          </w:tcPr>
          <w:p w:rsidR="00C759EA" w:rsidRPr="00464591" w:rsidRDefault="00C759EA" w:rsidP="00464591">
            <w:pPr>
              <w:keepNext/>
              <w:jc w:val="right"/>
              <w:rPr>
                <w:color w:val="000000"/>
                <w:szCs w:val="20"/>
              </w:rPr>
            </w:pPr>
            <w:r w:rsidRPr="00EA7FCC">
              <w:t>8%</w:t>
            </w:r>
          </w:p>
        </w:tc>
        <w:tc>
          <w:tcPr>
            <w:tcW w:w="438" w:type="pct"/>
            <w:gridSpan w:val="2"/>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hideMark/>
          </w:tcPr>
          <w:p w:rsidR="00C759EA" w:rsidRPr="00464591" w:rsidRDefault="00C759EA" w:rsidP="00464591">
            <w:pPr>
              <w:keepNext/>
              <w:jc w:val="right"/>
              <w:rPr>
                <w:szCs w:val="20"/>
              </w:rPr>
            </w:pPr>
            <w:r w:rsidRPr="00EA7FCC">
              <w:t xml:space="preserve"> 29 </w:t>
            </w:r>
          </w:p>
        </w:tc>
        <w:tc>
          <w:tcPr>
            <w:tcW w:w="445" w:type="pct"/>
            <w:tcBorders>
              <w:top w:val="single" w:sz="4" w:space="0" w:color="D9D9D9" w:themeColor="background1" w:themeShade="D9"/>
              <w:bottom w:val="single" w:sz="4" w:space="0" w:color="D9D9D9" w:themeColor="background1" w:themeShade="D9"/>
              <w:right w:val="nil"/>
            </w:tcBorders>
            <w:shd w:val="clear" w:color="auto" w:fill="auto"/>
            <w:hideMark/>
          </w:tcPr>
          <w:p w:rsidR="00C759EA" w:rsidRPr="00464591" w:rsidRDefault="00C759EA" w:rsidP="00464591">
            <w:pPr>
              <w:keepNext/>
              <w:jc w:val="right"/>
              <w:rPr>
                <w:szCs w:val="20"/>
              </w:rPr>
            </w:pPr>
            <w:r w:rsidRPr="00EA7FCC">
              <w:t xml:space="preserve"> 59 </w:t>
            </w:r>
          </w:p>
        </w:tc>
      </w:tr>
      <w:tr w:rsidR="00C759EA" w:rsidRPr="00464591" w:rsidTr="00EF7EBD">
        <w:trPr>
          <w:gridAfter w:val="3"/>
          <w:wAfter w:w="479" w:type="pct"/>
          <w:trHeight w:val="255"/>
        </w:trPr>
        <w:tc>
          <w:tcPr>
            <w:tcW w:w="1214" w:type="pct"/>
            <w:gridSpan w:val="2"/>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Lead fac.</w:t>
            </w:r>
          </w:p>
        </w:tc>
        <w:tc>
          <w:tcPr>
            <w:tcW w:w="314" w:type="pct"/>
            <w:tcBorders>
              <w:top w:val="single" w:sz="4" w:space="0" w:color="D9D9D9" w:themeColor="background1" w:themeShade="D9"/>
              <w:bottom w:val="single" w:sz="4" w:space="0" w:color="D9D9D9" w:themeColor="background1" w:themeShade="D9"/>
            </w:tcBorders>
            <w:shd w:val="clear" w:color="auto" w:fill="auto"/>
            <w:noWrap/>
            <w:hideMark/>
          </w:tcPr>
          <w:p w:rsidR="00C759EA" w:rsidRPr="00464591" w:rsidRDefault="00C759EA" w:rsidP="00464591">
            <w:pPr>
              <w:keepNext/>
              <w:jc w:val="right"/>
              <w:rPr>
                <w:color w:val="000000"/>
                <w:szCs w:val="20"/>
              </w:rPr>
            </w:pPr>
            <w:r w:rsidRPr="00EA7FCC">
              <w:t xml:space="preserve">4 </w:t>
            </w:r>
          </w:p>
        </w:tc>
        <w:tc>
          <w:tcPr>
            <w:tcW w:w="437" w:type="pct"/>
            <w:gridSpan w:val="2"/>
            <w:tcBorders>
              <w:top w:val="single" w:sz="4" w:space="0" w:color="D9D9D9" w:themeColor="background1" w:themeShade="D9"/>
              <w:bottom w:val="single" w:sz="4" w:space="0" w:color="D9D9D9" w:themeColor="background1" w:themeShade="D9"/>
            </w:tcBorders>
            <w:shd w:val="clear" w:color="auto" w:fill="auto"/>
            <w:noWrap/>
            <w:hideMark/>
          </w:tcPr>
          <w:p w:rsidR="00C759EA" w:rsidRPr="00464591" w:rsidRDefault="00C759EA" w:rsidP="00464591">
            <w:pPr>
              <w:keepNext/>
              <w:jc w:val="right"/>
              <w:rPr>
                <w:color w:val="000000"/>
                <w:szCs w:val="20"/>
              </w:rPr>
            </w:pPr>
            <w:r w:rsidRPr="00EA7FCC">
              <w:t xml:space="preserve"> 106 </w:t>
            </w:r>
          </w:p>
        </w:tc>
        <w:tc>
          <w:tcPr>
            <w:tcW w:w="485" w:type="pct"/>
            <w:gridSpan w:val="2"/>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noWrap/>
            <w:hideMark/>
          </w:tcPr>
          <w:p w:rsidR="00C759EA" w:rsidRPr="00464591" w:rsidRDefault="00C759EA" w:rsidP="00464591">
            <w:pPr>
              <w:keepNext/>
              <w:jc w:val="right"/>
              <w:rPr>
                <w:color w:val="000000"/>
                <w:szCs w:val="20"/>
              </w:rPr>
            </w:pPr>
            <w:r w:rsidRPr="00EA7FCC">
              <w:t xml:space="preserve">188 </w:t>
            </w:r>
          </w:p>
        </w:tc>
        <w:tc>
          <w:tcPr>
            <w:tcW w:w="375" w:type="pct"/>
            <w:gridSpan w:val="2"/>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auto"/>
            <w:noWrap/>
            <w:hideMark/>
          </w:tcPr>
          <w:p w:rsidR="00C759EA" w:rsidRPr="00464591" w:rsidRDefault="00C759EA" w:rsidP="00464591">
            <w:pPr>
              <w:keepNext/>
              <w:jc w:val="right"/>
              <w:rPr>
                <w:color w:val="000000"/>
                <w:szCs w:val="20"/>
              </w:rPr>
            </w:pPr>
            <w:r w:rsidRPr="00EA7FCC">
              <w:t>75%</w:t>
            </w:r>
          </w:p>
        </w:tc>
        <w:tc>
          <w:tcPr>
            <w:tcW w:w="437" w:type="pct"/>
            <w:gridSpan w:val="2"/>
            <w:tcBorders>
              <w:top w:val="single" w:sz="4" w:space="0" w:color="BFBFBF" w:themeColor="background1" w:themeShade="BF"/>
              <w:bottom w:val="single" w:sz="4" w:space="0" w:color="BFBFBF" w:themeColor="background1" w:themeShade="BF"/>
            </w:tcBorders>
            <w:shd w:val="clear" w:color="auto" w:fill="auto"/>
            <w:noWrap/>
            <w:hideMark/>
          </w:tcPr>
          <w:p w:rsidR="00C759EA" w:rsidRPr="00464591" w:rsidRDefault="00C759EA" w:rsidP="00464591">
            <w:pPr>
              <w:keepNext/>
              <w:jc w:val="right"/>
              <w:rPr>
                <w:color w:val="000000"/>
                <w:szCs w:val="20"/>
              </w:rPr>
            </w:pPr>
            <w:r w:rsidRPr="00EA7FCC">
              <w:t>25%</w:t>
            </w:r>
          </w:p>
        </w:tc>
        <w:tc>
          <w:tcPr>
            <w:tcW w:w="377" w:type="pct"/>
            <w:gridSpan w:val="2"/>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auto"/>
            <w:noWrap/>
            <w:hideMark/>
          </w:tcPr>
          <w:p w:rsidR="00C759EA" w:rsidRPr="00464591" w:rsidRDefault="00C759EA" w:rsidP="00464591">
            <w:pPr>
              <w:keepNext/>
              <w:jc w:val="right"/>
              <w:rPr>
                <w:color w:val="000000"/>
                <w:szCs w:val="20"/>
              </w:rPr>
            </w:pPr>
            <w:r w:rsidRPr="00EA7FCC">
              <w:t>0%</w:t>
            </w:r>
          </w:p>
        </w:tc>
        <w:tc>
          <w:tcPr>
            <w:tcW w:w="438" w:type="pct"/>
            <w:gridSpan w:val="2"/>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hideMark/>
          </w:tcPr>
          <w:p w:rsidR="00C759EA" w:rsidRPr="00464591" w:rsidRDefault="00C759EA" w:rsidP="00464591">
            <w:pPr>
              <w:keepNext/>
              <w:jc w:val="right"/>
              <w:rPr>
                <w:szCs w:val="20"/>
              </w:rPr>
            </w:pPr>
            <w:r w:rsidRPr="00EA7FCC">
              <w:t xml:space="preserve"> 23 </w:t>
            </w:r>
          </w:p>
        </w:tc>
        <w:tc>
          <w:tcPr>
            <w:tcW w:w="445" w:type="pct"/>
            <w:tcBorders>
              <w:top w:val="single" w:sz="4" w:space="0" w:color="D9D9D9" w:themeColor="background1" w:themeShade="D9"/>
              <w:bottom w:val="single" w:sz="4" w:space="0" w:color="D9D9D9" w:themeColor="background1" w:themeShade="D9"/>
              <w:right w:val="nil"/>
            </w:tcBorders>
            <w:shd w:val="clear" w:color="auto" w:fill="auto"/>
            <w:hideMark/>
          </w:tcPr>
          <w:p w:rsidR="00C759EA" w:rsidRPr="00464591" w:rsidRDefault="00C759EA" w:rsidP="00464591">
            <w:pPr>
              <w:keepNext/>
              <w:jc w:val="right"/>
              <w:rPr>
                <w:szCs w:val="20"/>
              </w:rPr>
            </w:pPr>
            <w:r w:rsidRPr="00EA7FCC">
              <w:t xml:space="preserve"> 51 </w:t>
            </w:r>
          </w:p>
        </w:tc>
      </w:tr>
      <w:tr w:rsidR="00C759EA" w:rsidRPr="00464591" w:rsidTr="00C3467F">
        <w:trPr>
          <w:gridAfter w:val="3"/>
          <w:wAfter w:w="479" w:type="pct"/>
          <w:trHeight w:val="255"/>
        </w:trPr>
        <w:tc>
          <w:tcPr>
            <w:tcW w:w="1214" w:type="pct"/>
            <w:gridSpan w:val="2"/>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Mercury fac.</w:t>
            </w:r>
          </w:p>
        </w:tc>
        <w:tc>
          <w:tcPr>
            <w:tcW w:w="314" w:type="pct"/>
            <w:tcBorders>
              <w:top w:val="single" w:sz="4" w:space="0" w:color="D9D9D9" w:themeColor="background1" w:themeShade="D9"/>
              <w:bottom w:val="single" w:sz="4" w:space="0" w:color="D9D9D9" w:themeColor="background1" w:themeShade="D9"/>
            </w:tcBorders>
            <w:shd w:val="clear" w:color="auto" w:fill="auto"/>
            <w:noWrap/>
            <w:hideMark/>
          </w:tcPr>
          <w:p w:rsidR="00C759EA" w:rsidRPr="00464591" w:rsidRDefault="00C759EA" w:rsidP="00464591">
            <w:pPr>
              <w:keepNext/>
              <w:jc w:val="right"/>
              <w:rPr>
                <w:color w:val="000000"/>
                <w:szCs w:val="20"/>
              </w:rPr>
            </w:pPr>
            <w:r w:rsidRPr="00EA7FCC">
              <w:t xml:space="preserve">2 </w:t>
            </w:r>
          </w:p>
        </w:tc>
        <w:tc>
          <w:tcPr>
            <w:tcW w:w="437" w:type="pct"/>
            <w:gridSpan w:val="2"/>
            <w:tcBorders>
              <w:top w:val="single" w:sz="4" w:space="0" w:color="D9D9D9" w:themeColor="background1" w:themeShade="D9"/>
              <w:bottom w:val="single" w:sz="4" w:space="0" w:color="D9D9D9" w:themeColor="background1" w:themeShade="D9"/>
            </w:tcBorders>
            <w:shd w:val="clear" w:color="auto" w:fill="FF0000"/>
            <w:noWrap/>
          </w:tcPr>
          <w:p w:rsidR="00C759EA" w:rsidRPr="00C3467F" w:rsidRDefault="00C759EA" w:rsidP="00464591">
            <w:pPr>
              <w:keepNext/>
              <w:jc w:val="right"/>
              <w:rPr>
                <w:color w:val="0C0C0C" w:themeColor="text1"/>
                <w:szCs w:val="20"/>
                <w:highlight w:val="red"/>
              </w:rPr>
            </w:pPr>
          </w:p>
        </w:tc>
        <w:tc>
          <w:tcPr>
            <w:tcW w:w="485" w:type="pct"/>
            <w:gridSpan w:val="2"/>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FF0000"/>
            <w:noWrap/>
          </w:tcPr>
          <w:p w:rsidR="00C759EA" w:rsidRPr="00C3467F" w:rsidRDefault="00C759EA" w:rsidP="00464591">
            <w:pPr>
              <w:keepNext/>
              <w:jc w:val="right"/>
              <w:rPr>
                <w:color w:val="0C0C0C" w:themeColor="text1"/>
                <w:szCs w:val="20"/>
                <w:highlight w:val="red"/>
              </w:rPr>
            </w:pPr>
          </w:p>
        </w:tc>
        <w:tc>
          <w:tcPr>
            <w:tcW w:w="375" w:type="pct"/>
            <w:gridSpan w:val="2"/>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50%</w:t>
            </w:r>
          </w:p>
        </w:tc>
        <w:tc>
          <w:tcPr>
            <w:tcW w:w="437" w:type="pct"/>
            <w:gridSpan w:val="2"/>
            <w:tcBorders>
              <w:top w:val="single" w:sz="4" w:space="0" w:color="BFBFBF" w:themeColor="background1" w:themeShade="BF"/>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50%</w:t>
            </w:r>
          </w:p>
        </w:tc>
        <w:tc>
          <w:tcPr>
            <w:tcW w:w="377" w:type="pct"/>
            <w:gridSpan w:val="2"/>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0%</w:t>
            </w:r>
          </w:p>
        </w:tc>
        <w:tc>
          <w:tcPr>
            <w:tcW w:w="438" w:type="pct"/>
            <w:gridSpan w:val="2"/>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FF0000"/>
          </w:tcPr>
          <w:p w:rsidR="00C759EA" w:rsidRPr="00C3467F" w:rsidRDefault="00C759EA" w:rsidP="00464591">
            <w:pPr>
              <w:keepNext/>
              <w:jc w:val="right"/>
              <w:rPr>
                <w:color w:val="0C0C0C" w:themeColor="text1"/>
                <w:szCs w:val="20"/>
              </w:rPr>
            </w:pPr>
          </w:p>
        </w:tc>
        <w:tc>
          <w:tcPr>
            <w:tcW w:w="445" w:type="pct"/>
            <w:tcBorders>
              <w:top w:val="single" w:sz="4" w:space="0" w:color="D9D9D9" w:themeColor="background1" w:themeShade="D9"/>
              <w:bottom w:val="single" w:sz="4" w:space="0" w:color="D9D9D9" w:themeColor="background1" w:themeShade="D9"/>
              <w:right w:val="nil"/>
            </w:tcBorders>
            <w:shd w:val="clear" w:color="auto" w:fill="FF0000"/>
          </w:tcPr>
          <w:p w:rsidR="00C759EA" w:rsidRPr="00C3467F" w:rsidRDefault="00C759EA" w:rsidP="00464591">
            <w:pPr>
              <w:keepNext/>
              <w:jc w:val="right"/>
              <w:rPr>
                <w:color w:val="0C0C0C" w:themeColor="text1"/>
                <w:szCs w:val="20"/>
              </w:rPr>
            </w:pPr>
          </w:p>
        </w:tc>
      </w:tr>
      <w:tr w:rsidR="00C759EA" w:rsidRPr="00464591" w:rsidTr="00EF7EBD">
        <w:trPr>
          <w:gridAfter w:val="3"/>
          <w:wAfter w:w="479" w:type="pct"/>
          <w:trHeight w:val="255"/>
        </w:trPr>
        <w:tc>
          <w:tcPr>
            <w:tcW w:w="1214" w:type="pct"/>
            <w:gridSpan w:val="2"/>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Solvents/paints fac.</w:t>
            </w:r>
          </w:p>
        </w:tc>
        <w:tc>
          <w:tcPr>
            <w:tcW w:w="314" w:type="pct"/>
            <w:tcBorders>
              <w:top w:val="single" w:sz="4" w:space="0" w:color="D9D9D9" w:themeColor="background1" w:themeShade="D9"/>
              <w:bottom w:val="single" w:sz="4" w:space="0" w:color="D9D9D9" w:themeColor="background1" w:themeShade="D9"/>
            </w:tcBorders>
            <w:shd w:val="clear" w:color="auto" w:fill="auto"/>
            <w:noWrap/>
            <w:hideMark/>
          </w:tcPr>
          <w:p w:rsidR="00C759EA" w:rsidRPr="00464591" w:rsidRDefault="00C759EA" w:rsidP="00464591">
            <w:pPr>
              <w:keepNext/>
              <w:jc w:val="right"/>
              <w:rPr>
                <w:color w:val="000000"/>
                <w:szCs w:val="20"/>
              </w:rPr>
            </w:pPr>
            <w:r w:rsidRPr="00EA7FCC">
              <w:t xml:space="preserve">5 </w:t>
            </w:r>
          </w:p>
        </w:tc>
        <w:tc>
          <w:tcPr>
            <w:tcW w:w="437" w:type="pct"/>
            <w:gridSpan w:val="2"/>
            <w:tcBorders>
              <w:top w:val="single" w:sz="4" w:space="0" w:color="D9D9D9" w:themeColor="background1" w:themeShade="D9"/>
              <w:bottom w:val="single" w:sz="4" w:space="0" w:color="D9D9D9" w:themeColor="background1" w:themeShade="D9"/>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 xml:space="preserve"> 10 </w:t>
            </w:r>
          </w:p>
        </w:tc>
        <w:tc>
          <w:tcPr>
            <w:tcW w:w="485" w:type="pct"/>
            <w:gridSpan w:val="2"/>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 xml:space="preserve">16 </w:t>
            </w:r>
          </w:p>
        </w:tc>
        <w:tc>
          <w:tcPr>
            <w:tcW w:w="375" w:type="pct"/>
            <w:gridSpan w:val="2"/>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60%</w:t>
            </w:r>
          </w:p>
        </w:tc>
        <w:tc>
          <w:tcPr>
            <w:tcW w:w="437" w:type="pct"/>
            <w:gridSpan w:val="2"/>
            <w:tcBorders>
              <w:top w:val="single" w:sz="4" w:space="0" w:color="BFBFBF" w:themeColor="background1" w:themeShade="BF"/>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20%</w:t>
            </w:r>
          </w:p>
        </w:tc>
        <w:tc>
          <w:tcPr>
            <w:tcW w:w="377" w:type="pct"/>
            <w:gridSpan w:val="2"/>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20%</w:t>
            </w:r>
          </w:p>
        </w:tc>
        <w:tc>
          <w:tcPr>
            <w:tcW w:w="438" w:type="pct"/>
            <w:gridSpan w:val="2"/>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hideMark/>
          </w:tcPr>
          <w:p w:rsidR="00C759EA" w:rsidRPr="00C3467F" w:rsidRDefault="00C759EA" w:rsidP="00464591">
            <w:pPr>
              <w:keepNext/>
              <w:jc w:val="right"/>
              <w:rPr>
                <w:color w:val="0C0C0C" w:themeColor="text1"/>
                <w:szCs w:val="20"/>
              </w:rPr>
            </w:pPr>
            <w:r w:rsidRPr="00C3467F">
              <w:rPr>
                <w:color w:val="0C0C0C" w:themeColor="text1"/>
              </w:rPr>
              <w:t xml:space="preserve"> 2 </w:t>
            </w:r>
          </w:p>
        </w:tc>
        <w:tc>
          <w:tcPr>
            <w:tcW w:w="445" w:type="pct"/>
            <w:tcBorders>
              <w:top w:val="single" w:sz="4" w:space="0" w:color="D9D9D9" w:themeColor="background1" w:themeShade="D9"/>
              <w:bottom w:val="single" w:sz="4" w:space="0" w:color="D9D9D9" w:themeColor="background1" w:themeShade="D9"/>
              <w:right w:val="nil"/>
            </w:tcBorders>
            <w:shd w:val="clear" w:color="auto" w:fill="auto"/>
            <w:hideMark/>
          </w:tcPr>
          <w:p w:rsidR="00C759EA" w:rsidRPr="00C3467F" w:rsidRDefault="00C759EA" w:rsidP="00464591">
            <w:pPr>
              <w:keepNext/>
              <w:jc w:val="right"/>
              <w:rPr>
                <w:color w:val="0C0C0C" w:themeColor="text1"/>
                <w:szCs w:val="20"/>
              </w:rPr>
            </w:pPr>
            <w:r w:rsidRPr="00C3467F">
              <w:rPr>
                <w:color w:val="0C0C0C" w:themeColor="text1"/>
              </w:rPr>
              <w:t xml:space="preserve"> 4 </w:t>
            </w:r>
          </w:p>
        </w:tc>
      </w:tr>
      <w:tr w:rsidR="00C759EA" w:rsidRPr="00464591" w:rsidTr="00C3467F">
        <w:trPr>
          <w:gridAfter w:val="3"/>
          <w:wAfter w:w="479" w:type="pct"/>
          <w:trHeight w:val="255"/>
        </w:trPr>
        <w:tc>
          <w:tcPr>
            <w:tcW w:w="1214" w:type="pct"/>
            <w:gridSpan w:val="2"/>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Solvents/paints fac. (ER)</w:t>
            </w:r>
          </w:p>
        </w:tc>
        <w:tc>
          <w:tcPr>
            <w:tcW w:w="314" w:type="pct"/>
            <w:tcBorders>
              <w:top w:val="single" w:sz="4" w:space="0" w:color="D9D9D9" w:themeColor="background1" w:themeShade="D9"/>
              <w:bottom w:val="single" w:sz="4" w:space="0" w:color="D9D9D9" w:themeColor="background1" w:themeShade="D9"/>
            </w:tcBorders>
            <w:shd w:val="clear" w:color="auto" w:fill="auto"/>
            <w:noWrap/>
            <w:hideMark/>
          </w:tcPr>
          <w:p w:rsidR="00C759EA" w:rsidRPr="00464591" w:rsidRDefault="00C759EA" w:rsidP="00464591">
            <w:pPr>
              <w:keepNext/>
              <w:jc w:val="right"/>
              <w:rPr>
                <w:color w:val="000000"/>
                <w:szCs w:val="20"/>
              </w:rPr>
            </w:pPr>
            <w:r w:rsidRPr="00EA7FCC">
              <w:t xml:space="preserve">1 </w:t>
            </w:r>
          </w:p>
        </w:tc>
        <w:tc>
          <w:tcPr>
            <w:tcW w:w="437" w:type="pct"/>
            <w:gridSpan w:val="2"/>
            <w:tcBorders>
              <w:top w:val="single" w:sz="4" w:space="0" w:color="D9D9D9" w:themeColor="background1" w:themeShade="D9"/>
              <w:bottom w:val="single" w:sz="4" w:space="0" w:color="D9D9D9" w:themeColor="background1" w:themeShade="D9"/>
            </w:tcBorders>
            <w:shd w:val="clear" w:color="auto" w:fill="FF0000"/>
            <w:noWrap/>
          </w:tcPr>
          <w:p w:rsidR="00C759EA" w:rsidRPr="00C3467F" w:rsidRDefault="00C759EA" w:rsidP="00464591">
            <w:pPr>
              <w:keepNext/>
              <w:jc w:val="right"/>
              <w:rPr>
                <w:color w:val="0C0C0C" w:themeColor="text1"/>
                <w:szCs w:val="20"/>
                <w:highlight w:val="red"/>
              </w:rPr>
            </w:pPr>
          </w:p>
        </w:tc>
        <w:tc>
          <w:tcPr>
            <w:tcW w:w="485" w:type="pct"/>
            <w:gridSpan w:val="2"/>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FF0000"/>
            <w:noWrap/>
          </w:tcPr>
          <w:p w:rsidR="00C759EA" w:rsidRPr="00C3467F" w:rsidRDefault="00C759EA" w:rsidP="00464591">
            <w:pPr>
              <w:keepNext/>
              <w:jc w:val="right"/>
              <w:rPr>
                <w:color w:val="0C0C0C" w:themeColor="text1"/>
                <w:szCs w:val="20"/>
                <w:highlight w:val="red"/>
              </w:rPr>
            </w:pPr>
          </w:p>
        </w:tc>
        <w:tc>
          <w:tcPr>
            <w:tcW w:w="375" w:type="pct"/>
            <w:gridSpan w:val="2"/>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100%</w:t>
            </w:r>
          </w:p>
        </w:tc>
        <w:tc>
          <w:tcPr>
            <w:tcW w:w="437" w:type="pct"/>
            <w:gridSpan w:val="2"/>
            <w:tcBorders>
              <w:top w:val="single" w:sz="4" w:space="0" w:color="BFBFBF" w:themeColor="background1" w:themeShade="BF"/>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0%</w:t>
            </w:r>
          </w:p>
        </w:tc>
        <w:tc>
          <w:tcPr>
            <w:tcW w:w="377" w:type="pct"/>
            <w:gridSpan w:val="2"/>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0%</w:t>
            </w:r>
          </w:p>
        </w:tc>
        <w:tc>
          <w:tcPr>
            <w:tcW w:w="438" w:type="pct"/>
            <w:gridSpan w:val="2"/>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FF0000"/>
          </w:tcPr>
          <w:p w:rsidR="00C759EA" w:rsidRPr="00C3467F" w:rsidRDefault="00C759EA" w:rsidP="00464591">
            <w:pPr>
              <w:keepNext/>
              <w:jc w:val="right"/>
              <w:rPr>
                <w:color w:val="0C0C0C" w:themeColor="text1"/>
                <w:szCs w:val="20"/>
              </w:rPr>
            </w:pPr>
          </w:p>
        </w:tc>
        <w:tc>
          <w:tcPr>
            <w:tcW w:w="445" w:type="pct"/>
            <w:tcBorders>
              <w:top w:val="single" w:sz="4" w:space="0" w:color="D9D9D9" w:themeColor="background1" w:themeShade="D9"/>
              <w:bottom w:val="single" w:sz="4" w:space="0" w:color="D9D9D9" w:themeColor="background1" w:themeShade="D9"/>
              <w:right w:val="nil"/>
            </w:tcBorders>
            <w:shd w:val="clear" w:color="auto" w:fill="FF0000"/>
          </w:tcPr>
          <w:p w:rsidR="00C759EA" w:rsidRPr="00C3467F" w:rsidRDefault="00C759EA" w:rsidP="00464591">
            <w:pPr>
              <w:keepNext/>
              <w:jc w:val="right"/>
              <w:rPr>
                <w:color w:val="0C0C0C" w:themeColor="text1"/>
                <w:szCs w:val="20"/>
              </w:rPr>
            </w:pPr>
          </w:p>
        </w:tc>
      </w:tr>
      <w:tr w:rsidR="00C759EA" w:rsidRPr="00464591" w:rsidTr="00C3467F">
        <w:trPr>
          <w:gridAfter w:val="3"/>
          <w:wAfter w:w="479" w:type="pct"/>
          <w:trHeight w:val="255"/>
        </w:trPr>
        <w:tc>
          <w:tcPr>
            <w:tcW w:w="1214" w:type="pct"/>
            <w:gridSpan w:val="2"/>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 xml:space="preserve">Spent </w:t>
            </w:r>
            <w:r w:rsidR="00061B2C">
              <w:rPr>
                <w:rFonts w:cs="Times New Roman"/>
                <w:color w:val="000000"/>
                <w:szCs w:val="20"/>
                <w:lang w:eastAsia="en-AU"/>
              </w:rPr>
              <w:t>pot</w:t>
            </w:r>
            <w:r w:rsidRPr="00464591">
              <w:rPr>
                <w:rFonts w:cs="Times New Roman"/>
                <w:color w:val="000000"/>
                <w:szCs w:val="20"/>
                <w:lang w:eastAsia="en-AU"/>
              </w:rPr>
              <w:t>lining fac.</w:t>
            </w:r>
          </w:p>
        </w:tc>
        <w:tc>
          <w:tcPr>
            <w:tcW w:w="314" w:type="pct"/>
            <w:tcBorders>
              <w:top w:val="single" w:sz="4" w:space="0" w:color="D9D9D9" w:themeColor="background1" w:themeShade="D9"/>
              <w:bottom w:val="single" w:sz="4" w:space="0" w:color="D9D9D9" w:themeColor="background1" w:themeShade="D9"/>
            </w:tcBorders>
            <w:shd w:val="clear" w:color="auto" w:fill="auto"/>
            <w:noWrap/>
            <w:hideMark/>
          </w:tcPr>
          <w:p w:rsidR="00C759EA" w:rsidRPr="00464591" w:rsidRDefault="00C759EA" w:rsidP="00464591">
            <w:pPr>
              <w:keepNext/>
              <w:jc w:val="right"/>
              <w:rPr>
                <w:color w:val="000000"/>
                <w:szCs w:val="20"/>
              </w:rPr>
            </w:pPr>
            <w:r w:rsidRPr="00EA7FCC">
              <w:t xml:space="preserve">5 </w:t>
            </w:r>
          </w:p>
        </w:tc>
        <w:tc>
          <w:tcPr>
            <w:tcW w:w="437" w:type="pct"/>
            <w:gridSpan w:val="2"/>
            <w:tcBorders>
              <w:top w:val="single" w:sz="4" w:space="0" w:color="D9D9D9" w:themeColor="background1" w:themeShade="D9"/>
              <w:bottom w:val="single" w:sz="4" w:space="0" w:color="D9D9D9" w:themeColor="background1" w:themeShade="D9"/>
            </w:tcBorders>
            <w:shd w:val="clear" w:color="auto" w:fill="FF0000"/>
            <w:noWrap/>
          </w:tcPr>
          <w:p w:rsidR="00C759EA" w:rsidRPr="00C3467F" w:rsidRDefault="00C759EA" w:rsidP="00464591">
            <w:pPr>
              <w:keepNext/>
              <w:jc w:val="right"/>
              <w:rPr>
                <w:color w:val="0C0C0C" w:themeColor="text1"/>
                <w:szCs w:val="20"/>
                <w:highlight w:val="red"/>
              </w:rPr>
            </w:pPr>
          </w:p>
        </w:tc>
        <w:tc>
          <w:tcPr>
            <w:tcW w:w="485" w:type="pct"/>
            <w:gridSpan w:val="2"/>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FF0000"/>
            <w:noWrap/>
          </w:tcPr>
          <w:p w:rsidR="00C759EA" w:rsidRPr="00C3467F" w:rsidRDefault="00C759EA" w:rsidP="00464591">
            <w:pPr>
              <w:keepNext/>
              <w:jc w:val="right"/>
              <w:rPr>
                <w:color w:val="0C0C0C" w:themeColor="text1"/>
                <w:szCs w:val="20"/>
                <w:highlight w:val="red"/>
              </w:rPr>
            </w:pPr>
          </w:p>
        </w:tc>
        <w:tc>
          <w:tcPr>
            <w:tcW w:w="375" w:type="pct"/>
            <w:gridSpan w:val="2"/>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80%</w:t>
            </w:r>
          </w:p>
        </w:tc>
        <w:tc>
          <w:tcPr>
            <w:tcW w:w="437" w:type="pct"/>
            <w:gridSpan w:val="2"/>
            <w:tcBorders>
              <w:top w:val="single" w:sz="4" w:space="0" w:color="BFBFBF" w:themeColor="background1" w:themeShade="BF"/>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20%</w:t>
            </w:r>
          </w:p>
        </w:tc>
        <w:tc>
          <w:tcPr>
            <w:tcW w:w="377" w:type="pct"/>
            <w:gridSpan w:val="2"/>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szCs w:val="20"/>
              </w:rPr>
            </w:pPr>
            <w:r w:rsidRPr="00C3467F">
              <w:rPr>
                <w:color w:val="0C0C0C" w:themeColor="text1"/>
              </w:rPr>
              <w:t>0%</w:t>
            </w:r>
          </w:p>
        </w:tc>
        <w:tc>
          <w:tcPr>
            <w:tcW w:w="438" w:type="pct"/>
            <w:gridSpan w:val="2"/>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FF0000"/>
          </w:tcPr>
          <w:p w:rsidR="00C759EA" w:rsidRPr="00C3467F" w:rsidRDefault="00C759EA" w:rsidP="00464591">
            <w:pPr>
              <w:keepNext/>
              <w:jc w:val="right"/>
              <w:rPr>
                <w:color w:val="0C0C0C" w:themeColor="text1"/>
                <w:szCs w:val="20"/>
              </w:rPr>
            </w:pPr>
          </w:p>
        </w:tc>
        <w:tc>
          <w:tcPr>
            <w:tcW w:w="445" w:type="pct"/>
            <w:tcBorders>
              <w:top w:val="single" w:sz="4" w:space="0" w:color="D9D9D9" w:themeColor="background1" w:themeShade="D9"/>
              <w:bottom w:val="single" w:sz="4" w:space="0" w:color="D9D9D9" w:themeColor="background1" w:themeShade="D9"/>
              <w:right w:val="nil"/>
            </w:tcBorders>
            <w:shd w:val="clear" w:color="auto" w:fill="FF0000"/>
          </w:tcPr>
          <w:p w:rsidR="00C759EA" w:rsidRPr="00C3467F" w:rsidRDefault="00C759EA" w:rsidP="00464591">
            <w:pPr>
              <w:keepNext/>
              <w:jc w:val="right"/>
              <w:rPr>
                <w:color w:val="0C0C0C" w:themeColor="text1"/>
                <w:szCs w:val="20"/>
              </w:rPr>
            </w:pPr>
          </w:p>
        </w:tc>
      </w:tr>
      <w:tr w:rsidR="00C759EA" w:rsidRPr="00464591" w:rsidTr="00EF7EBD">
        <w:trPr>
          <w:gridAfter w:val="3"/>
          <w:wAfter w:w="479" w:type="pct"/>
          <w:trHeight w:val="255"/>
        </w:trPr>
        <w:tc>
          <w:tcPr>
            <w:tcW w:w="1214" w:type="pct"/>
            <w:gridSpan w:val="2"/>
            <w:tcBorders>
              <w:top w:val="single" w:sz="4" w:space="0" w:color="D9D9D9" w:themeColor="background1" w:themeShade="D9"/>
              <w:left w:val="nil"/>
              <w:bottom w:val="single" w:sz="2" w:space="0" w:color="808080" w:themeColor="background1" w:themeShade="80"/>
            </w:tcBorders>
            <w:shd w:val="clear" w:color="auto" w:fill="D9D9D9" w:themeFill="background1" w:themeFillShade="D9"/>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 xml:space="preserve">Organics fac. </w:t>
            </w:r>
          </w:p>
        </w:tc>
        <w:tc>
          <w:tcPr>
            <w:tcW w:w="314" w:type="pct"/>
            <w:tcBorders>
              <w:top w:val="single" w:sz="4" w:space="0" w:color="D9D9D9" w:themeColor="background1" w:themeShade="D9"/>
              <w:bottom w:val="single" w:sz="2" w:space="0" w:color="808080" w:themeColor="background1" w:themeShade="80"/>
            </w:tcBorders>
            <w:shd w:val="clear" w:color="auto" w:fill="D9D9D9" w:themeFill="background1" w:themeFillShade="D9"/>
            <w:noWrap/>
            <w:hideMark/>
          </w:tcPr>
          <w:p w:rsidR="00C759EA" w:rsidRPr="00464591" w:rsidRDefault="00C759EA" w:rsidP="00464591">
            <w:pPr>
              <w:keepNext/>
              <w:jc w:val="right"/>
              <w:rPr>
                <w:color w:val="000000"/>
                <w:szCs w:val="20"/>
              </w:rPr>
            </w:pPr>
            <w:r w:rsidRPr="00EA7FCC">
              <w:t xml:space="preserve">12 </w:t>
            </w:r>
          </w:p>
        </w:tc>
        <w:tc>
          <w:tcPr>
            <w:tcW w:w="437" w:type="pct"/>
            <w:gridSpan w:val="2"/>
            <w:tcBorders>
              <w:top w:val="single" w:sz="4" w:space="0" w:color="D9D9D9" w:themeColor="background1" w:themeShade="D9"/>
              <w:bottom w:val="single" w:sz="2" w:space="0" w:color="808080" w:themeColor="background1" w:themeShade="80"/>
            </w:tcBorders>
            <w:shd w:val="clear" w:color="auto" w:fill="D9D9D9" w:themeFill="background1" w:themeFillShade="D9"/>
            <w:noWrap/>
            <w:hideMark/>
          </w:tcPr>
          <w:p w:rsidR="00C759EA" w:rsidRPr="00C3467F" w:rsidRDefault="00C759EA" w:rsidP="00464591">
            <w:pPr>
              <w:keepNext/>
              <w:jc w:val="right"/>
              <w:rPr>
                <w:color w:val="0C0C0C" w:themeColor="text1"/>
                <w:szCs w:val="20"/>
              </w:rPr>
            </w:pPr>
            <w:r w:rsidRPr="00C3467F">
              <w:rPr>
                <w:color w:val="0C0C0C" w:themeColor="text1"/>
              </w:rPr>
              <w:t xml:space="preserve"> 205 </w:t>
            </w:r>
          </w:p>
        </w:tc>
        <w:tc>
          <w:tcPr>
            <w:tcW w:w="485" w:type="pct"/>
            <w:gridSpan w:val="2"/>
            <w:tcBorders>
              <w:top w:val="single" w:sz="4" w:space="0" w:color="D9D9D9" w:themeColor="background1" w:themeShade="D9"/>
              <w:bottom w:val="single" w:sz="2" w:space="0" w:color="808080" w:themeColor="background1" w:themeShade="80"/>
              <w:right w:val="single" w:sz="4" w:space="0" w:color="808080" w:themeColor="background1" w:themeShade="80"/>
            </w:tcBorders>
            <w:shd w:val="clear" w:color="auto" w:fill="D9D9D9" w:themeFill="background1" w:themeFillShade="D9"/>
            <w:noWrap/>
            <w:hideMark/>
          </w:tcPr>
          <w:p w:rsidR="00C759EA" w:rsidRPr="00C3467F" w:rsidRDefault="00C759EA" w:rsidP="00464591">
            <w:pPr>
              <w:keepNext/>
              <w:jc w:val="right"/>
              <w:rPr>
                <w:color w:val="0C0C0C" w:themeColor="text1"/>
                <w:szCs w:val="20"/>
              </w:rPr>
            </w:pPr>
            <w:r w:rsidRPr="00C3467F">
              <w:rPr>
                <w:color w:val="0C0C0C" w:themeColor="text1"/>
              </w:rPr>
              <w:t xml:space="preserve">273 </w:t>
            </w:r>
          </w:p>
        </w:tc>
        <w:tc>
          <w:tcPr>
            <w:tcW w:w="375" w:type="pct"/>
            <w:gridSpan w:val="2"/>
            <w:tcBorders>
              <w:top w:val="single" w:sz="4" w:space="0" w:color="BFBFBF" w:themeColor="background1" w:themeShade="BF"/>
              <w:left w:val="single" w:sz="4" w:space="0" w:color="808080" w:themeColor="background1" w:themeShade="80"/>
              <w:bottom w:val="single" w:sz="2" w:space="0" w:color="808080" w:themeColor="background1" w:themeShade="80"/>
            </w:tcBorders>
            <w:shd w:val="clear" w:color="auto" w:fill="D9D9D9" w:themeFill="background1" w:themeFillShade="D9"/>
            <w:noWrap/>
            <w:hideMark/>
          </w:tcPr>
          <w:p w:rsidR="00C759EA" w:rsidRPr="00C3467F" w:rsidRDefault="00C759EA" w:rsidP="00464591">
            <w:pPr>
              <w:keepNext/>
              <w:jc w:val="right"/>
              <w:rPr>
                <w:color w:val="0C0C0C" w:themeColor="text1"/>
                <w:szCs w:val="20"/>
              </w:rPr>
            </w:pPr>
            <w:r w:rsidRPr="00C3467F">
              <w:rPr>
                <w:color w:val="0C0C0C" w:themeColor="text1"/>
              </w:rPr>
              <w:t>17%</w:t>
            </w:r>
          </w:p>
        </w:tc>
        <w:tc>
          <w:tcPr>
            <w:tcW w:w="437" w:type="pct"/>
            <w:gridSpan w:val="2"/>
            <w:tcBorders>
              <w:top w:val="single" w:sz="4" w:space="0" w:color="BFBFBF" w:themeColor="background1" w:themeShade="BF"/>
              <w:bottom w:val="single" w:sz="2" w:space="0" w:color="808080" w:themeColor="background1" w:themeShade="80"/>
            </w:tcBorders>
            <w:shd w:val="clear" w:color="auto" w:fill="D9D9D9" w:themeFill="background1" w:themeFillShade="D9"/>
            <w:noWrap/>
            <w:hideMark/>
          </w:tcPr>
          <w:p w:rsidR="00C759EA" w:rsidRPr="00C3467F" w:rsidRDefault="00C759EA" w:rsidP="00464591">
            <w:pPr>
              <w:keepNext/>
              <w:jc w:val="right"/>
              <w:rPr>
                <w:color w:val="0C0C0C" w:themeColor="text1"/>
                <w:szCs w:val="20"/>
              </w:rPr>
            </w:pPr>
            <w:r w:rsidRPr="00C3467F">
              <w:rPr>
                <w:color w:val="0C0C0C" w:themeColor="text1"/>
              </w:rPr>
              <w:t>33%</w:t>
            </w:r>
          </w:p>
        </w:tc>
        <w:tc>
          <w:tcPr>
            <w:tcW w:w="377" w:type="pct"/>
            <w:gridSpan w:val="2"/>
            <w:tcBorders>
              <w:top w:val="single" w:sz="4" w:space="0" w:color="BFBFBF" w:themeColor="background1" w:themeShade="BF"/>
              <w:bottom w:val="single" w:sz="2" w:space="0" w:color="808080" w:themeColor="background1" w:themeShade="80"/>
              <w:right w:val="single" w:sz="4" w:space="0" w:color="808080" w:themeColor="background1" w:themeShade="80"/>
            </w:tcBorders>
            <w:shd w:val="clear" w:color="auto" w:fill="D9D9D9" w:themeFill="background1" w:themeFillShade="D9"/>
            <w:noWrap/>
            <w:hideMark/>
          </w:tcPr>
          <w:p w:rsidR="00C759EA" w:rsidRPr="00C3467F" w:rsidRDefault="00C759EA" w:rsidP="00464591">
            <w:pPr>
              <w:keepNext/>
              <w:jc w:val="right"/>
              <w:rPr>
                <w:color w:val="0C0C0C" w:themeColor="text1"/>
                <w:szCs w:val="20"/>
              </w:rPr>
            </w:pPr>
            <w:r w:rsidRPr="00C3467F">
              <w:rPr>
                <w:color w:val="0C0C0C" w:themeColor="text1"/>
              </w:rPr>
              <w:t>50%</w:t>
            </w:r>
          </w:p>
        </w:tc>
        <w:tc>
          <w:tcPr>
            <w:tcW w:w="438" w:type="pct"/>
            <w:gridSpan w:val="2"/>
            <w:tcBorders>
              <w:top w:val="single" w:sz="4" w:space="0" w:color="D9D9D9" w:themeColor="background1" w:themeShade="D9"/>
              <w:left w:val="single" w:sz="4" w:space="0" w:color="808080" w:themeColor="background1" w:themeShade="80"/>
              <w:bottom w:val="single" w:sz="2" w:space="0" w:color="808080" w:themeColor="background1" w:themeShade="80"/>
            </w:tcBorders>
            <w:shd w:val="clear" w:color="auto" w:fill="D9D9D9" w:themeFill="background1" w:themeFillShade="D9"/>
            <w:hideMark/>
          </w:tcPr>
          <w:p w:rsidR="00C759EA" w:rsidRPr="00C3467F" w:rsidRDefault="00C759EA" w:rsidP="00464591">
            <w:pPr>
              <w:keepNext/>
              <w:jc w:val="right"/>
              <w:rPr>
                <w:color w:val="0C0C0C" w:themeColor="text1"/>
                <w:szCs w:val="20"/>
              </w:rPr>
            </w:pPr>
            <w:r w:rsidRPr="00C3467F">
              <w:rPr>
                <w:color w:val="0C0C0C" w:themeColor="text1"/>
              </w:rPr>
              <w:t xml:space="preserve"> 14 </w:t>
            </w:r>
          </w:p>
        </w:tc>
        <w:tc>
          <w:tcPr>
            <w:tcW w:w="445" w:type="pct"/>
            <w:tcBorders>
              <w:top w:val="single" w:sz="4" w:space="0" w:color="D9D9D9" w:themeColor="background1" w:themeShade="D9"/>
              <w:bottom w:val="single" w:sz="2" w:space="0" w:color="808080" w:themeColor="background1" w:themeShade="80"/>
              <w:right w:val="nil"/>
            </w:tcBorders>
            <w:shd w:val="clear" w:color="auto" w:fill="D9D9D9" w:themeFill="background1" w:themeFillShade="D9"/>
            <w:hideMark/>
          </w:tcPr>
          <w:p w:rsidR="00C759EA" w:rsidRPr="00C3467F" w:rsidRDefault="00C759EA" w:rsidP="00464591">
            <w:pPr>
              <w:keepNext/>
              <w:jc w:val="right"/>
              <w:rPr>
                <w:color w:val="0C0C0C" w:themeColor="text1"/>
                <w:szCs w:val="20"/>
              </w:rPr>
            </w:pPr>
            <w:r w:rsidRPr="00C3467F">
              <w:rPr>
                <w:color w:val="0C0C0C" w:themeColor="text1"/>
              </w:rPr>
              <w:t xml:space="preserve"> 24 </w:t>
            </w:r>
          </w:p>
        </w:tc>
      </w:tr>
      <w:tr w:rsidR="00C759EA" w:rsidRPr="00464591" w:rsidTr="00EF7EBD">
        <w:trPr>
          <w:gridAfter w:val="3"/>
          <w:wAfter w:w="479" w:type="pct"/>
          <w:trHeight w:val="255"/>
        </w:trPr>
        <w:tc>
          <w:tcPr>
            <w:tcW w:w="1214" w:type="pct"/>
            <w:gridSpan w:val="2"/>
            <w:tcBorders>
              <w:top w:val="single" w:sz="2" w:space="0" w:color="808080" w:themeColor="background1" w:themeShade="80"/>
              <w:left w:val="nil"/>
            </w:tcBorders>
            <w:shd w:val="clear" w:color="000000" w:fill="C5D9F1"/>
            <w:noWrap/>
            <w:hideMark/>
          </w:tcPr>
          <w:p w:rsidR="00C759EA" w:rsidRPr="00464591" w:rsidRDefault="00C759EA" w:rsidP="00464591">
            <w:pPr>
              <w:keepNext/>
              <w:spacing w:line="240" w:lineRule="auto"/>
              <w:rPr>
                <w:rFonts w:cs="Times New Roman"/>
                <w:b/>
                <w:bCs/>
                <w:color w:val="000000"/>
                <w:szCs w:val="20"/>
                <w:lang w:eastAsia="en-AU"/>
              </w:rPr>
            </w:pPr>
            <w:r w:rsidRPr="00464591">
              <w:rPr>
                <w:rFonts w:cs="Times New Roman"/>
                <w:b/>
                <w:bCs/>
                <w:color w:val="000000"/>
                <w:szCs w:val="20"/>
                <w:lang w:eastAsia="en-AU"/>
              </w:rPr>
              <w:t xml:space="preserve">Treatment </w:t>
            </w:r>
          </w:p>
        </w:tc>
        <w:tc>
          <w:tcPr>
            <w:tcW w:w="314" w:type="pct"/>
            <w:tcBorders>
              <w:top w:val="single" w:sz="2" w:space="0" w:color="808080" w:themeColor="background1" w:themeShade="80"/>
            </w:tcBorders>
            <w:shd w:val="clear" w:color="000000" w:fill="C5D9F1"/>
            <w:noWrap/>
            <w:hideMark/>
          </w:tcPr>
          <w:p w:rsidR="00C759EA" w:rsidRPr="00464591" w:rsidRDefault="00C759EA" w:rsidP="00464591">
            <w:pPr>
              <w:keepNext/>
              <w:jc w:val="right"/>
            </w:pPr>
          </w:p>
        </w:tc>
        <w:tc>
          <w:tcPr>
            <w:tcW w:w="437" w:type="pct"/>
            <w:gridSpan w:val="2"/>
            <w:tcBorders>
              <w:top w:val="single" w:sz="2" w:space="0" w:color="808080" w:themeColor="background1" w:themeShade="80"/>
            </w:tcBorders>
            <w:shd w:val="clear" w:color="000000" w:fill="C5D9F1"/>
            <w:noWrap/>
            <w:hideMark/>
          </w:tcPr>
          <w:p w:rsidR="00C759EA" w:rsidRPr="00C3467F" w:rsidRDefault="00C759EA" w:rsidP="00464591">
            <w:pPr>
              <w:keepNext/>
              <w:jc w:val="right"/>
              <w:rPr>
                <w:color w:val="0C0C0C" w:themeColor="text1"/>
              </w:rPr>
            </w:pPr>
          </w:p>
        </w:tc>
        <w:tc>
          <w:tcPr>
            <w:tcW w:w="485" w:type="pct"/>
            <w:gridSpan w:val="2"/>
            <w:tcBorders>
              <w:top w:val="single" w:sz="2" w:space="0" w:color="808080" w:themeColor="background1" w:themeShade="80"/>
            </w:tcBorders>
            <w:shd w:val="clear" w:color="000000" w:fill="C5D9F1"/>
            <w:noWrap/>
            <w:hideMark/>
          </w:tcPr>
          <w:p w:rsidR="00C759EA" w:rsidRPr="00C3467F" w:rsidRDefault="00C759EA" w:rsidP="00464591">
            <w:pPr>
              <w:keepNext/>
              <w:jc w:val="right"/>
              <w:rPr>
                <w:color w:val="0C0C0C" w:themeColor="text1"/>
              </w:rPr>
            </w:pPr>
          </w:p>
        </w:tc>
        <w:tc>
          <w:tcPr>
            <w:tcW w:w="375" w:type="pct"/>
            <w:gridSpan w:val="2"/>
            <w:tcBorders>
              <w:top w:val="single" w:sz="2" w:space="0" w:color="808080" w:themeColor="background1" w:themeShade="80"/>
            </w:tcBorders>
            <w:shd w:val="clear" w:color="000000" w:fill="C5D9F1"/>
            <w:noWrap/>
            <w:hideMark/>
          </w:tcPr>
          <w:p w:rsidR="00C759EA" w:rsidRPr="00C3467F" w:rsidRDefault="00C759EA" w:rsidP="00464591">
            <w:pPr>
              <w:keepNext/>
              <w:jc w:val="right"/>
              <w:rPr>
                <w:color w:val="0C0C0C" w:themeColor="text1"/>
              </w:rPr>
            </w:pPr>
          </w:p>
        </w:tc>
        <w:tc>
          <w:tcPr>
            <w:tcW w:w="437" w:type="pct"/>
            <w:gridSpan w:val="2"/>
            <w:tcBorders>
              <w:top w:val="single" w:sz="2" w:space="0" w:color="808080" w:themeColor="background1" w:themeShade="80"/>
            </w:tcBorders>
            <w:shd w:val="clear" w:color="000000" w:fill="C5D9F1"/>
            <w:noWrap/>
            <w:hideMark/>
          </w:tcPr>
          <w:p w:rsidR="00C759EA" w:rsidRPr="00C3467F" w:rsidRDefault="00C759EA" w:rsidP="00464591">
            <w:pPr>
              <w:keepNext/>
              <w:jc w:val="right"/>
              <w:rPr>
                <w:color w:val="0C0C0C" w:themeColor="text1"/>
              </w:rPr>
            </w:pPr>
          </w:p>
        </w:tc>
        <w:tc>
          <w:tcPr>
            <w:tcW w:w="377" w:type="pct"/>
            <w:gridSpan w:val="2"/>
            <w:tcBorders>
              <w:top w:val="single" w:sz="2" w:space="0" w:color="808080" w:themeColor="background1" w:themeShade="80"/>
            </w:tcBorders>
            <w:shd w:val="clear" w:color="000000" w:fill="C5D9F1"/>
            <w:noWrap/>
            <w:hideMark/>
          </w:tcPr>
          <w:p w:rsidR="00C759EA" w:rsidRPr="00C3467F" w:rsidRDefault="00C759EA" w:rsidP="00464591">
            <w:pPr>
              <w:keepNext/>
              <w:jc w:val="right"/>
              <w:rPr>
                <w:color w:val="0C0C0C" w:themeColor="text1"/>
              </w:rPr>
            </w:pPr>
          </w:p>
        </w:tc>
        <w:tc>
          <w:tcPr>
            <w:tcW w:w="438" w:type="pct"/>
            <w:gridSpan w:val="2"/>
            <w:tcBorders>
              <w:top w:val="single" w:sz="2" w:space="0" w:color="808080" w:themeColor="background1" w:themeShade="80"/>
            </w:tcBorders>
            <w:shd w:val="clear" w:color="000000" w:fill="C5D9F1"/>
            <w:hideMark/>
          </w:tcPr>
          <w:p w:rsidR="00C759EA" w:rsidRPr="00C3467F" w:rsidRDefault="00C759EA" w:rsidP="00464591">
            <w:pPr>
              <w:keepNext/>
              <w:jc w:val="right"/>
              <w:rPr>
                <w:color w:val="0C0C0C" w:themeColor="text1"/>
              </w:rPr>
            </w:pPr>
          </w:p>
        </w:tc>
        <w:tc>
          <w:tcPr>
            <w:tcW w:w="445" w:type="pct"/>
            <w:tcBorders>
              <w:top w:val="single" w:sz="2" w:space="0" w:color="808080" w:themeColor="background1" w:themeShade="80"/>
              <w:right w:val="nil"/>
            </w:tcBorders>
            <w:shd w:val="clear" w:color="000000" w:fill="C5D9F1"/>
            <w:hideMark/>
          </w:tcPr>
          <w:p w:rsidR="00C759EA" w:rsidRPr="00C3467F" w:rsidRDefault="00C759EA" w:rsidP="00464591">
            <w:pPr>
              <w:keepNext/>
              <w:jc w:val="right"/>
              <w:rPr>
                <w:color w:val="0C0C0C" w:themeColor="text1"/>
              </w:rPr>
            </w:pPr>
          </w:p>
        </w:tc>
      </w:tr>
      <w:tr w:rsidR="00C759EA" w:rsidRPr="00464591" w:rsidTr="00EF7EBD">
        <w:trPr>
          <w:gridAfter w:val="3"/>
          <w:wAfter w:w="479" w:type="pct"/>
          <w:trHeight w:val="255"/>
        </w:trPr>
        <w:tc>
          <w:tcPr>
            <w:tcW w:w="1214" w:type="pct"/>
            <w:gridSpan w:val="2"/>
            <w:tcBorders>
              <w:left w:val="nil"/>
              <w:bottom w:val="single" w:sz="4" w:space="0" w:color="D9D9D9" w:themeColor="background1" w:themeShade="D9"/>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Chemical Physical Treatment (CPT) plant</w:t>
            </w:r>
          </w:p>
        </w:tc>
        <w:tc>
          <w:tcPr>
            <w:tcW w:w="314" w:type="pct"/>
            <w:tcBorders>
              <w:bottom w:val="single" w:sz="4" w:space="0" w:color="D9D9D9" w:themeColor="background1" w:themeShade="D9"/>
            </w:tcBorders>
            <w:shd w:val="clear" w:color="auto" w:fill="auto"/>
            <w:noWrap/>
            <w:hideMark/>
          </w:tcPr>
          <w:p w:rsidR="00C759EA" w:rsidRPr="00464591" w:rsidRDefault="00C759EA" w:rsidP="00464591">
            <w:pPr>
              <w:keepNext/>
              <w:jc w:val="right"/>
            </w:pPr>
            <w:r w:rsidRPr="00EA7FCC">
              <w:t xml:space="preserve">49 </w:t>
            </w:r>
          </w:p>
        </w:tc>
        <w:tc>
          <w:tcPr>
            <w:tcW w:w="437" w:type="pct"/>
            <w:gridSpan w:val="2"/>
            <w:tcBorders>
              <w:bottom w:val="single" w:sz="4" w:space="0" w:color="D9D9D9" w:themeColor="background1" w:themeShade="D9"/>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 xml:space="preserve"> 1,159 </w:t>
            </w:r>
          </w:p>
        </w:tc>
        <w:tc>
          <w:tcPr>
            <w:tcW w:w="485" w:type="pct"/>
            <w:gridSpan w:val="2"/>
            <w:tcBorders>
              <w:bottom w:val="single" w:sz="4" w:space="0" w:color="D9D9D9" w:themeColor="background1" w:themeShade="D9"/>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 xml:space="preserve">1,559 </w:t>
            </w:r>
          </w:p>
        </w:tc>
        <w:tc>
          <w:tcPr>
            <w:tcW w:w="375" w:type="pct"/>
            <w:gridSpan w:val="2"/>
            <w:tcBorders>
              <w:left w:val="single" w:sz="4" w:space="0" w:color="808080" w:themeColor="background1" w:themeShade="80"/>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73%</w:t>
            </w:r>
          </w:p>
        </w:tc>
        <w:tc>
          <w:tcPr>
            <w:tcW w:w="437" w:type="pct"/>
            <w:gridSpan w:val="2"/>
            <w:tcBorders>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12%</w:t>
            </w:r>
          </w:p>
        </w:tc>
        <w:tc>
          <w:tcPr>
            <w:tcW w:w="377" w:type="pct"/>
            <w:gridSpan w:val="2"/>
            <w:tcBorders>
              <w:bottom w:val="single" w:sz="4" w:space="0" w:color="BFBFBF" w:themeColor="background1" w:themeShade="BF"/>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14%</w:t>
            </w:r>
          </w:p>
        </w:tc>
        <w:tc>
          <w:tcPr>
            <w:tcW w:w="438" w:type="pct"/>
            <w:gridSpan w:val="2"/>
            <w:tcBorders>
              <w:left w:val="single" w:sz="4" w:space="0" w:color="808080" w:themeColor="background1" w:themeShade="80"/>
              <w:bottom w:val="single" w:sz="4" w:space="0" w:color="D9D9D9" w:themeColor="background1" w:themeShade="D9"/>
            </w:tcBorders>
            <w:shd w:val="clear" w:color="auto" w:fill="auto"/>
            <w:hideMark/>
          </w:tcPr>
          <w:p w:rsidR="00C759EA" w:rsidRPr="00C3467F" w:rsidRDefault="00C759EA" w:rsidP="00464591">
            <w:pPr>
              <w:keepNext/>
              <w:jc w:val="right"/>
              <w:rPr>
                <w:color w:val="0C0C0C" w:themeColor="text1"/>
              </w:rPr>
            </w:pPr>
            <w:r w:rsidRPr="00C3467F">
              <w:rPr>
                <w:color w:val="0C0C0C" w:themeColor="text1"/>
              </w:rPr>
              <w:t xml:space="preserve"> 27 </w:t>
            </w:r>
          </w:p>
        </w:tc>
        <w:tc>
          <w:tcPr>
            <w:tcW w:w="445" w:type="pct"/>
            <w:tcBorders>
              <w:bottom w:val="single" w:sz="4" w:space="0" w:color="D9D9D9" w:themeColor="background1" w:themeShade="D9"/>
              <w:right w:val="nil"/>
            </w:tcBorders>
            <w:shd w:val="clear" w:color="auto" w:fill="auto"/>
            <w:hideMark/>
          </w:tcPr>
          <w:p w:rsidR="00C759EA" w:rsidRPr="00C3467F" w:rsidRDefault="00C759EA" w:rsidP="00464591">
            <w:pPr>
              <w:keepNext/>
              <w:jc w:val="right"/>
              <w:rPr>
                <w:color w:val="0C0C0C" w:themeColor="text1"/>
              </w:rPr>
            </w:pPr>
            <w:r w:rsidRPr="00C3467F">
              <w:rPr>
                <w:color w:val="0C0C0C" w:themeColor="text1"/>
              </w:rPr>
              <w:t xml:space="preserve"> 31 </w:t>
            </w:r>
          </w:p>
        </w:tc>
      </w:tr>
      <w:tr w:rsidR="00C759EA" w:rsidRPr="00464591" w:rsidTr="00EF7EBD">
        <w:trPr>
          <w:gridAfter w:val="3"/>
          <w:wAfter w:w="479" w:type="pct"/>
          <w:trHeight w:val="255"/>
        </w:trPr>
        <w:tc>
          <w:tcPr>
            <w:tcW w:w="1214" w:type="pct"/>
            <w:gridSpan w:val="2"/>
            <w:tcBorders>
              <w:top w:val="single" w:sz="4" w:space="0" w:color="D9D9D9" w:themeColor="background1" w:themeShade="D9"/>
              <w:left w:val="nil"/>
              <w:bottom w:val="single" w:sz="4" w:space="0" w:color="D9D9D9" w:themeColor="background1" w:themeShade="D9"/>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Clinical waste fac. (T)</w:t>
            </w:r>
          </w:p>
        </w:tc>
        <w:tc>
          <w:tcPr>
            <w:tcW w:w="314" w:type="pct"/>
            <w:tcBorders>
              <w:top w:val="single" w:sz="4" w:space="0" w:color="D9D9D9" w:themeColor="background1" w:themeShade="D9"/>
              <w:bottom w:val="single" w:sz="4" w:space="0" w:color="D9D9D9" w:themeColor="background1" w:themeShade="D9"/>
            </w:tcBorders>
            <w:shd w:val="clear" w:color="auto" w:fill="auto"/>
            <w:noWrap/>
            <w:hideMark/>
          </w:tcPr>
          <w:p w:rsidR="00C759EA" w:rsidRPr="00464591" w:rsidRDefault="00C759EA" w:rsidP="00464591">
            <w:pPr>
              <w:keepNext/>
              <w:jc w:val="right"/>
            </w:pPr>
            <w:r w:rsidRPr="00EA7FCC">
              <w:t xml:space="preserve">10 </w:t>
            </w:r>
          </w:p>
        </w:tc>
        <w:tc>
          <w:tcPr>
            <w:tcW w:w="437" w:type="pct"/>
            <w:gridSpan w:val="2"/>
            <w:tcBorders>
              <w:top w:val="single" w:sz="4" w:space="0" w:color="D9D9D9" w:themeColor="background1" w:themeShade="D9"/>
              <w:bottom w:val="single" w:sz="4" w:space="0" w:color="D9D9D9" w:themeColor="background1" w:themeShade="D9"/>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 xml:space="preserve"> 26 </w:t>
            </w:r>
          </w:p>
        </w:tc>
        <w:tc>
          <w:tcPr>
            <w:tcW w:w="485" w:type="pct"/>
            <w:gridSpan w:val="2"/>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 xml:space="preserve">26 </w:t>
            </w:r>
          </w:p>
        </w:tc>
        <w:tc>
          <w:tcPr>
            <w:tcW w:w="375" w:type="pct"/>
            <w:gridSpan w:val="2"/>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30%</w:t>
            </w:r>
          </w:p>
        </w:tc>
        <w:tc>
          <w:tcPr>
            <w:tcW w:w="437" w:type="pct"/>
            <w:gridSpan w:val="2"/>
            <w:tcBorders>
              <w:top w:val="single" w:sz="4" w:space="0" w:color="BFBFBF" w:themeColor="background1" w:themeShade="BF"/>
              <w:bottom w:val="single" w:sz="4" w:space="0" w:color="BFBFBF" w:themeColor="background1" w:themeShade="BF"/>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10%</w:t>
            </w:r>
          </w:p>
        </w:tc>
        <w:tc>
          <w:tcPr>
            <w:tcW w:w="377" w:type="pct"/>
            <w:gridSpan w:val="2"/>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60%</w:t>
            </w:r>
          </w:p>
        </w:tc>
        <w:tc>
          <w:tcPr>
            <w:tcW w:w="438" w:type="pct"/>
            <w:gridSpan w:val="2"/>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hideMark/>
          </w:tcPr>
          <w:p w:rsidR="00C759EA" w:rsidRPr="00C3467F" w:rsidRDefault="00C759EA" w:rsidP="00464591">
            <w:pPr>
              <w:keepNext/>
              <w:jc w:val="right"/>
              <w:rPr>
                <w:color w:val="0C0C0C" w:themeColor="text1"/>
              </w:rPr>
            </w:pPr>
            <w:r w:rsidRPr="00C3467F">
              <w:rPr>
                <w:color w:val="0C0C0C" w:themeColor="text1"/>
              </w:rPr>
              <w:t xml:space="preserve"> 3 </w:t>
            </w:r>
          </w:p>
        </w:tc>
        <w:tc>
          <w:tcPr>
            <w:tcW w:w="445" w:type="pct"/>
            <w:tcBorders>
              <w:top w:val="single" w:sz="4" w:space="0" w:color="D9D9D9" w:themeColor="background1" w:themeShade="D9"/>
              <w:bottom w:val="single" w:sz="4" w:space="0" w:color="D9D9D9" w:themeColor="background1" w:themeShade="D9"/>
              <w:right w:val="nil"/>
            </w:tcBorders>
            <w:shd w:val="clear" w:color="auto" w:fill="auto"/>
            <w:hideMark/>
          </w:tcPr>
          <w:p w:rsidR="00C759EA" w:rsidRPr="00C3467F" w:rsidRDefault="00C759EA" w:rsidP="00464591">
            <w:pPr>
              <w:keepNext/>
              <w:jc w:val="right"/>
              <w:rPr>
                <w:color w:val="0C0C0C" w:themeColor="text1"/>
              </w:rPr>
            </w:pPr>
            <w:r w:rsidRPr="00C3467F">
              <w:rPr>
                <w:color w:val="0C0C0C" w:themeColor="text1"/>
              </w:rPr>
              <w:t xml:space="preserve"> 3 </w:t>
            </w:r>
          </w:p>
        </w:tc>
      </w:tr>
      <w:tr w:rsidR="00C759EA" w:rsidRPr="00464591" w:rsidTr="00EF7EBD">
        <w:trPr>
          <w:gridAfter w:val="3"/>
          <w:wAfter w:w="479" w:type="pct"/>
          <w:trHeight w:val="255"/>
        </w:trPr>
        <w:tc>
          <w:tcPr>
            <w:tcW w:w="1214" w:type="pct"/>
            <w:gridSpan w:val="2"/>
            <w:tcBorders>
              <w:top w:val="single" w:sz="4" w:space="0" w:color="D9D9D9" w:themeColor="background1" w:themeShade="D9"/>
              <w:left w:val="nil"/>
              <w:bottom w:val="single" w:sz="2" w:space="0" w:color="808080" w:themeColor="background1" w:themeShade="80"/>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Soils treatment fac.</w:t>
            </w:r>
          </w:p>
        </w:tc>
        <w:tc>
          <w:tcPr>
            <w:tcW w:w="314" w:type="pct"/>
            <w:tcBorders>
              <w:top w:val="single" w:sz="4" w:space="0" w:color="D9D9D9" w:themeColor="background1" w:themeShade="D9"/>
              <w:bottom w:val="single" w:sz="2" w:space="0" w:color="808080" w:themeColor="background1" w:themeShade="80"/>
            </w:tcBorders>
            <w:shd w:val="clear" w:color="auto" w:fill="auto"/>
            <w:noWrap/>
            <w:hideMark/>
          </w:tcPr>
          <w:p w:rsidR="00C759EA" w:rsidRPr="00464591" w:rsidRDefault="00C759EA" w:rsidP="00464591">
            <w:pPr>
              <w:keepNext/>
              <w:jc w:val="right"/>
            </w:pPr>
            <w:r w:rsidRPr="00EA7FCC">
              <w:t xml:space="preserve">4 </w:t>
            </w:r>
          </w:p>
        </w:tc>
        <w:tc>
          <w:tcPr>
            <w:tcW w:w="437" w:type="pct"/>
            <w:gridSpan w:val="2"/>
            <w:tcBorders>
              <w:top w:val="single" w:sz="4" w:space="0" w:color="D9D9D9" w:themeColor="background1" w:themeShade="D9"/>
              <w:bottom w:val="single" w:sz="2"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 xml:space="preserve"> 74 </w:t>
            </w:r>
          </w:p>
        </w:tc>
        <w:tc>
          <w:tcPr>
            <w:tcW w:w="485" w:type="pct"/>
            <w:gridSpan w:val="2"/>
            <w:tcBorders>
              <w:top w:val="single" w:sz="4" w:space="0" w:color="D9D9D9" w:themeColor="background1" w:themeShade="D9"/>
              <w:bottom w:val="single" w:sz="2" w:space="0" w:color="808080" w:themeColor="background1" w:themeShade="80"/>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 xml:space="preserve">185 </w:t>
            </w:r>
          </w:p>
        </w:tc>
        <w:tc>
          <w:tcPr>
            <w:tcW w:w="375" w:type="pct"/>
            <w:gridSpan w:val="2"/>
            <w:tcBorders>
              <w:top w:val="single" w:sz="4" w:space="0" w:color="BFBFBF" w:themeColor="background1" w:themeShade="BF"/>
              <w:left w:val="single" w:sz="4" w:space="0" w:color="808080" w:themeColor="background1" w:themeShade="80"/>
              <w:bottom w:val="single" w:sz="2"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50%</w:t>
            </w:r>
          </w:p>
        </w:tc>
        <w:tc>
          <w:tcPr>
            <w:tcW w:w="437" w:type="pct"/>
            <w:gridSpan w:val="2"/>
            <w:tcBorders>
              <w:top w:val="single" w:sz="4" w:space="0" w:color="BFBFBF" w:themeColor="background1" w:themeShade="BF"/>
              <w:bottom w:val="single" w:sz="2"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50%</w:t>
            </w:r>
          </w:p>
        </w:tc>
        <w:tc>
          <w:tcPr>
            <w:tcW w:w="377" w:type="pct"/>
            <w:gridSpan w:val="2"/>
            <w:tcBorders>
              <w:top w:val="single" w:sz="4" w:space="0" w:color="BFBFBF" w:themeColor="background1" w:themeShade="BF"/>
              <w:bottom w:val="single" w:sz="2" w:space="0" w:color="808080" w:themeColor="background1" w:themeShade="80"/>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0%</w:t>
            </w:r>
          </w:p>
        </w:tc>
        <w:tc>
          <w:tcPr>
            <w:tcW w:w="438" w:type="pct"/>
            <w:gridSpan w:val="2"/>
            <w:tcBorders>
              <w:top w:val="single" w:sz="4" w:space="0" w:color="D9D9D9" w:themeColor="background1" w:themeShade="D9"/>
              <w:left w:val="single" w:sz="4" w:space="0" w:color="808080" w:themeColor="background1" w:themeShade="80"/>
              <w:bottom w:val="single" w:sz="2" w:space="0" w:color="808080" w:themeColor="background1" w:themeShade="80"/>
            </w:tcBorders>
            <w:shd w:val="clear" w:color="auto" w:fill="auto"/>
            <w:hideMark/>
          </w:tcPr>
          <w:p w:rsidR="00C759EA" w:rsidRPr="00C3467F" w:rsidRDefault="00C759EA" w:rsidP="00464591">
            <w:pPr>
              <w:keepNext/>
              <w:jc w:val="right"/>
              <w:rPr>
                <w:color w:val="0C0C0C" w:themeColor="text1"/>
              </w:rPr>
            </w:pPr>
            <w:r w:rsidRPr="00C3467F">
              <w:rPr>
                <w:color w:val="0C0C0C" w:themeColor="text1"/>
              </w:rPr>
              <w:t xml:space="preserve"> 12 </w:t>
            </w:r>
          </w:p>
        </w:tc>
        <w:tc>
          <w:tcPr>
            <w:tcW w:w="445" w:type="pct"/>
            <w:tcBorders>
              <w:top w:val="single" w:sz="4" w:space="0" w:color="D9D9D9" w:themeColor="background1" w:themeShade="D9"/>
              <w:bottom w:val="single" w:sz="2" w:space="0" w:color="808080" w:themeColor="background1" w:themeShade="80"/>
              <w:right w:val="nil"/>
            </w:tcBorders>
            <w:shd w:val="clear" w:color="auto" w:fill="auto"/>
            <w:hideMark/>
          </w:tcPr>
          <w:p w:rsidR="00C759EA" w:rsidRPr="00C3467F" w:rsidRDefault="00C759EA" w:rsidP="00464591">
            <w:pPr>
              <w:keepNext/>
              <w:jc w:val="right"/>
              <w:rPr>
                <w:color w:val="0C0C0C" w:themeColor="text1"/>
              </w:rPr>
            </w:pPr>
            <w:r w:rsidRPr="00C3467F">
              <w:rPr>
                <w:color w:val="0C0C0C" w:themeColor="text1"/>
              </w:rPr>
              <w:t xml:space="preserve"> 63 </w:t>
            </w:r>
          </w:p>
        </w:tc>
      </w:tr>
      <w:tr w:rsidR="00C759EA" w:rsidRPr="00464591" w:rsidTr="00EF7EBD">
        <w:trPr>
          <w:gridAfter w:val="3"/>
          <w:wAfter w:w="479" w:type="pct"/>
          <w:trHeight w:val="255"/>
        </w:trPr>
        <w:tc>
          <w:tcPr>
            <w:tcW w:w="2450" w:type="pct"/>
            <w:gridSpan w:val="7"/>
            <w:tcBorders>
              <w:top w:val="single" w:sz="2" w:space="0" w:color="808080" w:themeColor="background1" w:themeShade="80"/>
              <w:left w:val="nil"/>
            </w:tcBorders>
            <w:shd w:val="clear" w:color="000000" w:fill="C5D9F1"/>
            <w:noWrap/>
            <w:hideMark/>
          </w:tcPr>
          <w:p w:rsidR="00C759EA" w:rsidRPr="00C3467F" w:rsidRDefault="00C759EA" w:rsidP="00464591">
            <w:pPr>
              <w:keepNext/>
              <w:spacing w:line="240" w:lineRule="auto"/>
              <w:rPr>
                <w:rFonts w:cs="Times New Roman"/>
                <w:color w:val="0C0C0C" w:themeColor="text1"/>
                <w:szCs w:val="20"/>
                <w:lang w:eastAsia="en-AU"/>
              </w:rPr>
            </w:pPr>
            <w:r w:rsidRPr="00C3467F">
              <w:rPr>
                <w:rFonts w:cs="Times New Roman"/>
                <w:b/>
                <w:bCs/>
                <w:color w:val="0C0C0C" w:themeColor="text1"/>
                <w:szCs w:val="20"/>
                <w:lang w:eastAsia="en-AU"/>
              </w:rPr>
              <w:t>Disposal: landfill, thermal destruction (TD)</w:t>
            </w:r>
          </w:p>
        </w:tc>
        <w:tc>
          <w:tcPr>
            <w:tcW w:w="375" w:type="pct"/>
            <w:gridSpan w:val="2"/>
            <w:tcBorders>
              <w:top w:val="single" w:sz="2" w:space="0" w:color="808080" w:themeColor="background1" w:themeShade="80"/>
            </w:tcBorders>
            <w:shd w:val="clear" w:color="000000" w:fill="C5D9F1"/>
            <w:noWrap/>
            <w:hideMark/>
          </w:tcPr>
          <w:p w:rsidR="00C759EA" w:rsidRPr="00C3467F" w:rsidRDefault="00C759EA" w:rsidP="00464591">
            <w:pPr>
              <w:keepNext/>
              <w:jc w:val="right"/>
              <w:rPr>
                <w:color w:val="0C0C0C" w:themeColor="text1"/>
              </w:rPr>
            </w:pPr>
          </w:p>
        </w:tc>
        <w:tc>
          <w:tcPr>
            <w:tcW w:w="437" w:type="pct"/>
            <w:gridSpan w:val="2"/>
            <w:tcBorders>
              <w:top w:val="single" w:sz="2" w:space="0" w:color="808080" w:themeColor="background1" w:themeShade="80"/>
            </w:tcBorders>
            <w:shd w:val="clear" w:color="000000" w:fill="C5D9F1"/>
            <w:noWrap/>
            <w:hideMark/>
          </w:tcPr>
          <w:p w:rsidR="00C759EA" w:rsidRPr="00C3467F" w:rsidRDefault="00C759EA" w:rsidP="00464591">
            <w:pPr>
              <w:keepNext/>
              <w:jc w:val="right"/>
              <w:rPr>
                <w:color w:val="0C0C0C" w:themeColor="text1"/>
              </w:rPr>
            </w:pPr>
          </w:p>
        </w:tc>
        <w:tc>
          <w:tcPr>
            <w:tcW w:w="377" w:type="pct"/>
            <w:gridSpan w:val="2"/>
            <w:tcBorders>
              <w:top w:val="single" w:sz="2" w:space="0" w:color="808080" w:themeColor="background1" w:themeShade="80"/>
            </w:tcBorders>
            <w:shd w:val="clear" w:color="000000" w:fill="C5D9F1"/>
            <w:noWrap/>
            <w:hideMark/>
          </w:tcPr>
          <w:p w:rsidR="00C759EA" w:rsidRPr="00C3467F" w:rsidRDefault="00C759EA" w:rsidP="00464591">
            <w:pPr>
              <w:keepNext/>
              <w:jc w:val="right"/>
              <w:rPr>
                <w:color w:val="0C0C0C" w:themeColor="text1"/>
              </w:rPr>
            </w:pPr>
          </w:p>
        </w:tc>
        <w:tc>
          <w:tcPr>
            <w:tcW w:w="438" w:type="pct"/>
            <w:gridSpan w:val="2"/>
            <w:tcBorders>
              <w:top w:val="single" w:sz="2" w:space="0" w:color="808080" w:themeColor="background1" w:themeShade="80"/>
            </w:tcBorders>
            <w:shd w:val="clear" w:color="000000" w:fill="C5D9F1"/>
            <w:hideMark/>
          </w:tcPr>
          <w:p w:rsidR="00C759EA" w:rsidRPr="00C3467F" w:rsidRDefault="00C759EA" w:rsidP="00464591">
            <w:pPr>
              <w:keepNext/>
              <w:jc w:val="right"/>
              <w:rPr>
                <w:color w:val="0C0C0C" w:themeColor="text1"/>
              </w:rPr>
            </w:pPr>
          </w:p>
        </w:tc>
        <w:tc>
          <w:tcPr>
            <w:tcW w:w="445" w:type="pct"/>
            <w:tcBorders>
              <w:top w:val="single" w:sz="2" w:space="0" w:color="808080" w:themeColor="background1" w:themeShade="80"/>
              <w:right w:val="nil"/>
            </w:tcBorders>
            <w:shd w:val="clear" w:color="000000" w:fill="C5D9F1"/>
            <w:hideMark/>
          </w:tcPr>
          <w:p w:rsidR="00C759EA" w:rsidRPr="00C3467F" w:rsidRDefault="00C759EA" w:rsidP="00464591">
            <w:pPr>
              <w:keepNext/>
              <w:jc w:val="right"/>
              <w:rPr>
                <w:color w:val="0C0C0C" w:themeColor="text1"/>
              </w:rPr>
            </w:pPr>
          </w:p>
        </w:tc>
      </w:tr>
      <w:tr w:rsidR="00C759EA" w:rsidRPr="00464591" w:rsidTr="00EF7EBD">
        <w:trPr>
          <w:gridAfter w:val="3"/>
          <w:wAfter w:w="479" w:type="pct"/>
          <w:trHeight w:val="255"/>
        </w:trPr>
        <w:tc>
          <w:tcPr>
            <w:tcW w:w="1214" w:type="pct"/>
            <w:gridSpan w:val="2"/>
            <w:tcBorders>
              <w:top w:val="nil"/>
              <w:left w:val="nil"/>
              <w:bottom w:val="single" w:sz="4" w:space="0" w:color="D9D9D9" w:themeColor="background1" w:themeShade="D9"/>
              <w:right w:val="nil"/>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bookmarkStart w:id="334" w:name="_Hlk419211544"/>
            <w:r w:rsidRPr="00464591">
              <w:rPr>
                <w:rFonts w:cs="Times New Roman"/>
                <w:color w:val="000000"/>
                <w:szCs w:val="20"/>
                <w:lang w:eastAsia="en-AU"/>
              </w:rPr>
              <w:t xml:space="preserve">Hazwaste landfill fac. </w:t>
            </w:r>
          </w:p>
        </w:tc>
        <w:tc>
          <w:tcPr>
            <w:tcW w:w="314" w:type="pct"/>
            <w:tcBorders>
              <w:top w:val="nil"/>
              <w:left w:val="nil"/>
              <w:bottom w:val="single" w:sz="4" w:space="0" w:color="D9D9D9" w:themeColor="background1" w:themeShade="D9"/>
              <w:right w:val="nil"/>
            </w:tcBorders>
            <w:shd w:val="clear" w:color="auto" w:fill="auto"/>
            <w:noWrap/>
            <w:hideMark/>
          </w:tcPr>
          <w:p w:rsidR="00C759EA" w:rsidRPr="00464591" w:rsidRDefault="00C759EA" w:rsidP="00464591">
            <w:pPr>
              <w:keepNext/>
              <w:jc w:val="right"/>
            </w:pPr>
            <w:r w:rsidRPr="00EA7FCC">
              <w:t xml:space="preserve">7 </w:t>
            </w:r>
          </w:p>
        </w:tc>
        <w:tc>
          <w:tcPr>
            <w:tcW w:w="437" w:type="pct"/>
            <w:gridSpan w:val="2"/>
            <w:tcBorders>
              <w:top w:val="nil"/>
              <w:left w:val="nil"/>
              <w:bottom w:val="single" w:sz="4" w:space="0" w:color="D9D9D9" w:themeColor="background1" w:themeShade="D9"/>
              <w:right w:val="nil"/>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 xml:space="preserve"> 208 </w:t>
            </w:r>
          </w:p>
        </w:tc>
        <w:tc>
          <w:tcPr>
            <w:tcW w:w="485" w:type="pct"/>
            <w:gridSpan w:val="2"/>
            <w:tcBorders>
              <w:top w:val="nil"/>
              <w:left w:val="nil"/>
              <w:bottom w:val="single" w:sz="4" w:space="0" w:color="D9D9D9" w:themeColor="background1" w:themeShade="D9"/>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 xml:space="preserve">274 </w:t>
            </w:r>
          </w:p>
        </w:tc>
        <w:tc>
          <w:tcPr>
            <w:tcW w:w="375" w:type="pct"/>
            <w:gridSpan w:val="2"/>
            <w:tcBorders>
              <w:top w:val="nil"/>
              <w:left w:val="single" w:sz="4" w:space="0" w:color="808080" w:themeColor="background1" w:themeShade="80"/>
              <w:bottom w:val="single" w:sz="4" w:space="0" w:color="D9D9D9" w:themeColor="background1" w:themeShade="D9"/>
              <w:right w:val="nil"/>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43%</w:t>
            </w:r>
          </w:p>
        </w:tc>
        <w:tc>
          <w:tcPr>
            <w:tcW w:w="437" w:type="pct"/>
            <w:gridSpan w:val="2"/>
            <w:tcBorders>
              <w:top w:val="nil"/>
              <w:left w:val="nil"/>
              <w:bottom w:val="single" w:sz="4" w:space="0" w:color="D9D9D9" w:themeColor="background1" w:themeShade="D9"/>
              <w:right w:val="nil"/>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0%</w:t>
            </w:r>
          </w:p>
        </w:tc>
        <w:tc>
          <w:tcPr>
            <w:tcW w:w="377" w:type="pct"/>
            <w:gridSpan w:val="2"/>
            <w:tcBorders>
              <w:top w:val="nil"/>
              <w:left w:val="nil"/>
              <w:bottom w:val="single" w:sz="4" w:space="0" w:color="D9D9D9" w:themeColor="background1" w:themeShade="D9"/>
              <w:right w:val="single" w:sz="4" w:space="0" w:color="808080" w:themeColor="background1" w:themeShade="80"/>
            </w:tcBorders>
            <w:shd w:val="clear" w:color="auto" w:fill="auto"/>
            <w:noWrap/>
            <w:hideMark/>
          </w:tcPr>
          <w:p w:rsidR="00C759EA" w:rsidRPr="00C3467F" w:rsidRDefault="00C759EA" w:rsidP="00464591">
            <w:pPr>
              <w:keepNext/>
              <w:jc w:val="right"/>
              <w:rPr>
                <w:color w:val="0C0C0C" w:themeColor="text1"/>
              </w:rPr>
            </w:pPr>
            <w:r w:rsidRPr="00C3467F">
              <w:rPr>
                <w:color w:val="0C0C0C" w:themeColor="text1"/>
              </w:rPr>
              <w:t>57%</w:t>
            </w:r>
          </w:p>
        </w:tc>
        <w:tc>
          <w:tcPr>
            <w:tcW w:w="438" w:type="pct"/>
            <w:gridSpan w:val="2"/>
            <w:tcBorders>
              <w:top w:val="nil"/>
              <w:left w:val="single" w:sz="4" w:space="0" w:color="808080" w:themeColor="background1" w:themeShade="80"/>
              <w:bottom w:val="single" w:sz="4" w:space="0" w:color="D9D9D9" w:themeColor="background1" w:themeShade="D9"/>
              <w:right w:val="nil"/>
            </w:tcBorders>
            <w:shd w:val="clear" w:color="auto" w:fill="auto"/>
            <w:hideMark/>
          </w:tcPr>
          <w:p w:rsidR="00C759EA" w:rsidRPr="00C3467F" w:rsidRDefault="00C759EA" w:rsidP="00464591">
            <w:pPr>
              <w:keepNext/>
              <w:jc w:val="right"/>
              <w:rPr>
                <w:color w:val="0C0C0C" w:themeColor="text1"/>
              </w:rPr>
            </w:pPr>
            <w:r w:rsidRPr="00C3467F">
              <w:rPr>
                <w:color w:val="0C0C0C" w:themeColor="text1"/>
              </w:rPr>
              <w:t xml:space="preserve"> 30 </w:t>
            </w:r>
          </w:p>
        </w:tc>
        <w:tc>
          <w:tcPr>
            <w:tcW w:w="445" w:type="pct"/>
            <w:tcBorders>
              <w:top w:val="nil"/>
              <w:left w:val="nil"/>
              <w:bottom w:val="single" w:sz="4" w:space="0" w:color="D9D9D9" w:themeColor="background1" w:themeShade="D9"/>
              <w:right w:val="nil"/>
            </w:tcBorders>
            <w:shd w:val="clear" w:color="auto" w:fill="auto"/>
            <w:hideMark/>
          </w:tcPr>
          <w:p w:rsidR="00C759EA" w:rsidRPr="00C3467F" w:rsidRDefault="00C759EA" w:rsidP="00464591">
            <w:pPr>
              <w:keepNext/>
              <w:jc w:val="right"/>
              <w:rPr>
                <w:color w:val="0C0C0C" w:themeColor="text1"/>
              </w:rPr>
            </w:pPr>
            <w:r w:rsidRPr="00C3467F">
              <w:rPr>
                <w:color w:val="0C0C0C" w:themeColor="text1"/>
              </w:rPr>
              <w:t xml:space="preserve"> 39 </w:t>
            </w:r>
          </w:p>
        </w:tc>
      </w:tr>
      <w:tr w:rsidR="00C759EA" w:rsidRPr="00464591" w:rsidTr="00EF7EBD">
        <w:trPr>
          <w:gridAfter w:val="3"/>
          <w:wAfter w:w="479" w:type="pct"/>
          <w:trHeight w:val="255"/>
        </w:trPr>
        <w:tc>
          <w:tcPr>
            <w:tcW w:w="1214" w:type="pct"/>
            <w:gridSpan w:val="2"/>
            <w:tcBorders>
              <w:top w:val="single" w:sz="4" w:space="0" w:color="D9D9D9" w:themeColor="background1" w:themeShade="D9"/>
              <w:left w:val="nil"/>
              <w:bottom w:val="single" w:sz="4" w:space="0" w:color="D9D9D9" w:themeColor="background1" w:themeShade="D9"/>
              <w:right w:val="nil"/>
            </w:tcBorders>
            <w:shd w:val="clear" w:color="auto" w:fill="D9D9D9" w:themeFill="background1" w:themeFillShade="D9"/>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Landfill fac. (NEPM codes N, T)</w:t>
            </w:r>
          </w:p>
        </w:tc>
        <w:tc>
          <w:tcPr>
            <w:tcW w:w="314" w:type="pct"/>
            <w:tcBorders>
              <w:top w:val="single" w:sz="4" w:space="0" w:color="D9D9D9" w:themeColor="background1" w:themeShade="D9"/>
              <w:left w:val="nil"/>
              <w:bottom w:val="single" w:sz="4" w:space="0" w:color="D9D9D9" w:themeColor="background1" w:themeShade="D9"/>
              <w:right w:val="nil"/>
            </w:tcBorders>
            <w:shd w:val="clear" w:color="auto" w:fill="D9D9D9" w:themeFill="background1" w:themeFillShade="D9"/>
            <w:noWrap/>
            <w:hideMark/>
          </w:tcPr>
          <w:p w:rsidR="00C759EA" w:rsidRPr="00464591" w:rsidRDefault="00C759EA" w:rsidP="00464591">
            <w:pPr>
              <w:keepNext/>
              <w:jc w:val="right"/>
            </w:pPr>
            <w:r w:rsidRPr="00EA7FCC">
              <w:t xml:space="preserve">27 </w:t>
            </w:r>
          </w:p>
        </w:tc>
        <w:tc>
          <w:tcPr>
            <w:tcW w:w="437" w:type="pct"/>
            <w:gridSpan w:val="2"/>
            <w:tcBorders>
              <w:top w:val="single" w:sz="4" w:space="0" w:color="D9D9D9" w:themeColor="background1" w:themeShade="D9"/>
              <w:left w:val="nil"/>
              <w:bottom w:val="single" w:sz="4" w:space="0" w:color="D9D9D9" w:themeColor="background1" w:themeShade="D9"/>
              <w:right w:val="nil"/>
            </w:tcBorders>
            <w:shd w:val="clear" w:color="auto" w:fill="D9D9D9" w:themeFill="background1" w:themeFillShade="D9"/>
            <w:noWrap/>
            <w:hideMark/>
          </w:tcPr>
          <w:p w:rsidR="00C759EA" w:rsidRPr="00C3467F" w:rsidRDefault="00C759EA" w:rsidP="00464591">
            <w:pPr>
              <w:keepNext/>
              <w:jc w:val="right"/>
              <w:rPr>
                <w:color w:val="0C0C0C" w:themeColor="text1"/>
              </w:rPr>
            </w:pPr>
            <w:r w:rsidRPr="00C3467F">
              <w:rPr>
                <w:color w:val="0C0C0C" w:themeColor="text1"/>
              </w:rPr>
              <w:t xml:space="preserve"> 433 </w:t>
            </w:r>
          </w:p>
        </w:tc>
        <w:tc>
          <w:tcPr>
            <w:tcW w:w="485" w:type="pct"/>
            <w:gridSpan w:val="2"/>
            <w:tcBorders>
              <w:top w:val="single" w:sz="4" w:space="0" w:color="D9D9D9" w:themeColor="background1" w:themeShade="D9"/>
              <w:left w:val="nil"/>
              <w:bottom w:val="single" w:sz="4" w:space="0" w:color="D9D9D9" w:themeColor="background1" w:themeShade="D9"/>
              <w:right w:val="single" w:sz="4" w:space="0" w:color="808080" w:themeColor="background1" w:themeShade="80"/>
            </w:tcBorders>
            <w:shd w:val="clear" w:color="auto" w:fill="D9D9D9" w:themeFill="background1" w:themeFillShade="D9"/>
            <w:noWrap/>
            <w:hideMark/>
          </w:tcPr>
          <w:p w:rsidR="00C759EA" w:rsidRPr="00C3467F" w:rsidRDefault="00C759EA" w:rsidP="00464591">
            <w:pPr>
              <w:keepNext/>
              <w:jc w:val="right"/>
              <w:rPr>
                <w:color w:val="0C0C0C" w:themeColor="text1"/>
              </w:rPr>
            </w:pPr>
            <w:r w:rsidRPr="00C3467F">
              <w:rPr>
                <w:color w:val="0C0C0C" w:themeColor="text1"/>
              </w:rPr>
              <w:t xml:space="preserve">761 </w:t>
            </w:r>
          </w:p>
        </w:tc>
        <w:tc>
          <w:tcPr>
            <w:tcW w:w="375" w:type="pct"/>
            <w:gridSpan w:val="2"/>
            <w:tcBorders>
              <w:top w:val="single" w:sz="4" w:space="0" w:color="D9D9D9" w:themeColor="background1" w:themeShade="D9"/>
              <w:left w:val="single" w:sz="4" w:space="0" w:color="808080" w:themeColor="background1" w:themeShade="80"/>
              <w:bottom w:val="single" w:sz="4" w:space="0" w:color="D9D9D9" w:themeColor="background1" w:themeShade="D9"/>
              <w:right w:val="nil"/>
            </w:tcBorders>
            <w:shd w:val="clear" w:color="auto" w:fill="D9D9D9" w:themeFill="background1" w:themeFillShade="D9"/>
            <w:noWrap/>
            <w:hideMark/>
          </w:tcPr>
          <w:p w:rsidR="00C759EA" w:rsidRPr="00C3467F" w:rsidRDefault="00C759EA" w:rsidP="00464591">
            <w:pPr>
              <w:keepNext/>
              <w:jc w:val="right"/>
              <w:rPr>
                <w:color w:val="0C0C0C" w:themeColor="text1"/>
              </w:rPr>
            </w:pPr>
            <w:r w:rsidRPr="00C3467F">
              <w:rPr>
                <w:color w:val="0C0C0C" w:themeColor="text1"/>
              </w:rPr>
              <w:t>44%</w:t>
            </w:r>
          </w:p>
        </w:tc>
        <w:tc>
          <w:tcPr>
            <w:tcW w:w="437" w:type="pct"/>
            <w:gridSpan w:val="2"/>
            <w:tcBorders>
              <w:top w:val="single" w:sz="4" w:space="0" w:color="D9D9D9" w:themeColor="background1" w:themeShade="D9"/>
              <w:left w:val="nil"/>
              <w:bottom w:val="single" w:sz="4" w:space="0" w:color="D9D9D9" w:themeColor="background1" w:themeShade="D9"/>
              <w:right w:val="nil"/>
            </w:tcBorders>
            <w:shd w:val="clear" w:color="auto" w:fill="D9D9D9" w:themeFill="background1" w:themeFillShade="D9"/>
            <w:noWrap/>
            <w:hideMark/>
          </w:tcPr>
          <w:p w:rsidR="00C759EA" w:rsidRPr="00C3467F" w:rsidRDefault="00C759EA" w:rsidP="00464591">
            <w:pPr>
              <w:keepNext/>
              <w:jc w:val="right"/>
              <w:rPr>
                <w:color w:val="0C0C0C" w:themeColor="text1"/>
              </w:rPr>
            </w:pPr>
            <w:r w:rsidRPr="00C3467F">
              <w:rPr>
                <w:color w:val="0C0C0C" w:themeColor="text1"/>
              </w:rPr>
              <w:t>7%</w:t>
            </w:r>
          </w:p>
        </w:tc>
        <w:tc>
          <w:tcPr>
            <w:tcW w:w="377" w:type="pct"/>
            <w:gridSpan w:val="2"/>
            <w:tcBorders>
              <w:top w:val="single" w:sz="4" w:space="0" w:color="D9D9D9" w:themeColor="background1" w:themeShade="D9"/>
              <w:left w:val="nil"/>
              <w:bottom w:val="single" w:sz="4" w:space="0" w:color="D9D9D9" w:themeColor="background1" w:themeShade="D9"/>
              <w:right w:val="single" w:sz="4" w:space="0" w:color="808080" w:themeColor="background1" w:themeShade="80"/>
            </w:tcBorders>
            <w:shd w:val="clear" w:color="auto" w:fill="D9D9D9" w:themeFill="background1" w:themeFillShade="D9"/>
            <w:noWrap/>
            <w:hideMark/>
          </w:tcPr>
          <w:p w:rsidR="00C759EA" w:rsidRPr="00C3467F" w:rsidRDefault="00C759EA" w:rsidP="00464591">
            <w:pPr>
              <w:keepNext/>
              <w:jc w:val="right"/>
              <w:rPr>
                <w:color w:val="0C0C0C" w:themeColor="text1"/>
              </w:rPr>
            </w:pPr>
            <w:r w:rsidRPr="00C3467F">
              <w:rPr>
                <w:color w:val="0C0C0C" w:themeColor="text1"/>
              </w:rPr>
              <w:t>48%</w:t>
            </w:r>
          </w:p>
        </w:tc>
        <w:tc>
          <w:tcPr>
            <w:tcW w:w="438" w:type="pct"/>
            <w:gridSpan w:val="2"/>
            <w:tcBorders>
              <w:top w:val="single" w:sz="4" w:space="0" w:color="D9D9D9" w:themeColor="background1" w:themeShade="D9"/>
              <w:left w:val="single" w:sz="4" w:space="0" w:color="808080" w:themeColor="background1" w:themeShade="80"/>
              <w:bottom w:val="single" w:sz="4" w:space="0" w:color="D9D9D9" w:themeColor="background1" w:themeShade="D9"/>
              <w:right w:val="nil"/>
            </w:tcBorders>
            <w:shd w:val="clear" w:color="auto" w:fill="D9D9D9" w:themeFill="background1" w:themeFillShade="D9"/>
            <w:hideMark/>
          </w:tcPr>
          <w:p w:rsidR="00C759EA" w:rsidRPr="00C3467F" w:rsidRDefault="00C759EA" w:rsidP="00464591">
            <w:pPr>
              <w:keepNext/>
              <w:jc w:val="right"/>
              <w:rPr>
                <w:color w:val="0C0C0C" w:themeColor="text1"/>
              </w:rPr>
            </w:pPr>
            <w:r w:rsidRPr="00C3467F">
              <w:rPr>
                <w:color w:val="0C0C0C" w:themeColor="text1"/>
              </w:rPr>
              <w:t xml:space="preserve"> 16 </w:t>
            </w:r>
          </w:p>
        </w:tc>
        <w:tc>
          <w:tcPr>
            <w:tcW w:w="445" w:type="pct"/>
            <w:tcBorders>
              <w:top w:val="single" w:sz="4" w:space="0" w:color="D9D9D9" w:themeColor="background1" w:themeShade="D9"/>
              <w:left w:val="nil"/>
              <w:bottom w:val="single" w:sz="4" w:space="0" w:color="D9D9D9" w:themeColor="background1" w:themeShade="D9"/>
              <w:right w:val="nil"/>
            </w:tcBorders>
            <w:shd w:val="clear" w:color="auto" w:fill="D9D9D9" w:themeFill="background1" w:themeFillShade="D9"/>
            <w:hideMark/>
          </w:tcPr>
          <w:p w:rsidR="00C759EA" w:rsidRPr="00C3467F" w:rsidRDefault="00C759EA" w:rsidP="00464591">
            <w:pPr>
              <w:keepNext/>
              <w:jc w:val="right"/>
              <w:rPr>
                <w:color w:val="0C0C0C" w:themeColor="text1"/>
              </w:rPr>
            </w:pPr>
            <w:r w:rsidRPr="00C3467F">
              <w:rPr>
                <w:color w:val="0C0C0C" w:themeColor="text1"/>
              </w:rPr>
              <w:t xml:space="preserve"> 29 </w:t>
            </w:r>
          </w:p>
        </w:tc>
      </w:tr>
      <w:tr w:rsidR="00C759EA" w:rsidRPr="00464591" w:rsidTr="00C3467F">
        <w:trPr>
          <w:gridAfter w:val="3"/>
          <w:wAfter w:w="479" w:type="pct"/>
          <w:trHeight w:val="255"/>
        </w:trPr>
        <w:tc>
          <w:tcPr>
            <w:tcW w:w="1214" w:type="pct"/>
            <w:gridSpan w:val="2"/>
            <w:tcBorders>
              <w:top w:val="single" w:sz="4" w:space="0" w:color="D9D9D9" w:themeColor="background1" w:themeShade="D9"/>
              <w:left w:val="nil"/>
              <w:bottom w:val="single" w:sz="4" w:space="0" w:color="D9D9D9" w:themeColor="background1" w:themeShade="D9"/>
              <w:right w:val="nil"/>
            </w:tcBorders>
            <w:shd w:val="clear" w:color="auto" w:fill="D9D9D9" w:themeFill="background1" w:themeFillShade="D9"/>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POPs fac. (TD)</w:t>
            </w:r>
          </w:p>
        </w:tc>
        <w:tc>
          <w:tcPr>
            <w:tcW w:w="314" w:type="pct"/>
            <w:tcBorders>
              <w:top w:val="single" w:sz="4" w:space="0" w:color="D9D9D9" w:themeColor="background1" w:themeShade="D9"/>
              <w:left w:val="nil"/>
              <w:bottom w:val="single" w:sz="4" w:space="0" w:color="D9D9D9" w:themeColor="background1" w:themeShade="D9"/>
              <w:right w:val="nil"/>
            </w:tcBorders>
            <w:shd w:val="clear" w:color="auto" w:fill="D9D9D9" w:themeFill="background1" w:themeFillShade="D9"/>
            <w:noWrap/>
            <w:hideMark/>
          </w:tcPr>
          <w:p w:rsidR="00C759EA" w:rsidRPr="00464591" w:rsidRDefault="00C759EA" w:rsidP="00464591">
            <w:pPr>
              <w:keepNext/>
              <w:jc w:val="right"/>
            </w:pPr>
            <w:r w:rsidRPr="00EA7FCC">
              <w:t xml:space="preserve">1 </w:t>
            </w:r>
          </w:p>
        </w:tc>
        <w:tc>
          <w:tcPr>
            <w:tcW w:w="437" w:type="pct"/>
            <w:gridSpan w:val="2"/>
            <w:tcBorders>
              <w:top w:val="single" w:sz="4" w:space="0" w:color="D9D9D9" w:themeColor="background1" w:themeShade="D9"/>
              <w:left w:val="nil"/>
              <w:bottom w:val="single" w:sz="4" w:space="0" w:color="D9D9D9" w:themeColor="background1" w:themeShade="D9"/>
              <w:right w:val="nil"/>
            </w:tcBorders>
            <w:shd w:val="clear" w:color="auto" w:fill="FF0000"/>
            <w:noWrap/>
          </w:tcPr>
          <w:p w:rsidR="00C759EA" w:rsidRPr="00C3467F" w:rsidRDefault="00C759EA" w:rsidP="00464591">
            <w:pPr>
              <w:keepNext/>
              <w:jc w:val="right"/>
              <w:rPr>
                <w:color w:val="0C0C0C" w:themeColor="text1"/>
                <w:highlight w:val="red"/>
              </w:rPr>
            </w:pPr>
          </w:p>
        </w:tc>
        <w:tc>
          <w:tcPr>
            <w:tcW w:w="485" w:type="pct"/>
            <w:gridSpan w:val="2"/>
            <w:tcBorders>
              <w:top w:val="single" w:sz="4" w:space="0" w:color="D9D9D9" w:themeColor="background1" w:themeShade="D9"/>
              <w:left w:val="nil"/>
              <w:bottom w:val="single" w:sz="4" w:space="0" w:color="D9D9D9" w:themeColor="background1" w:themeShade="D9"/>
              <w:right w:val="single" w:sz="4" w:space="0" w:color="808080" w:themeColor="background1" w:themeShade="80"/>
            </w:tcBorders>
            <w:shd w:val="clear" w:color="auto" w:fill="FF0000"/>
            <w:noWrap/>
          </w:tcPr>
          <w:p w:rsidR="00C759EA" w:rsidRPr="00C3467F" w:rsidRDefault="00C759EA" w:rsidP="00464591">
            <w:pPr>
              <w:keepNext/>
              <w:jc w:val="right"/>
              <w:rPr>
                <w:color w:val="0C0C0C" w:themeColor="text1"/>
                <w:highlight w:val="red"/>
              </w:rPr>
            </w:pPr>
          </w:p>
        </w:tc>
        <w:tc>
          <w:tcPr>
            <w:tcW w:w="375" w:type="pct"/>
            <w:gridSpan w:val="2"/>
            <w:tcBorders>
              <w:top w:val="single" w:sz="4" w:space="0" w:color="D9D9D9" w:themeColor="background1" w:themeShade="D9"/>
              <w:left w:val="single" w:sz="4" w:space="0" w:color="808080" w:themeColor="background1" w:themeShade="80"/>
              <w:bottom w:val="single" w:sz="4" w:space="0" w:color="D9D9D9" w:themeColor="background1" w:themeShade="D9"/>
              <w:right w:val="nil"/>
            </w:tcBorders>
            <w:shd w:val="clear" w:color="auto" w:fill="D9D9D9" w:themeFill="background1" w:themeFillShade="D9"/>
            <w:noWrap/>
            <w:hideMark/>
          </w:tcPr>
          <w:p w:rsidR="00C759EA" w:rsidRPr="00C3467F" w:rsidRDefault="00C759EA" w:rsidP="00464591">
            <w:pPr>
              <w:keepNext/>
              <w:jc w:val="right"/>
              <w:rPr>
                <w:color w:val="0C0C0C" w:themeColor="text1"/>
              </w:rPr>
            </w:pPr>
            <w:r w:rsidRPr="00C3467F">
              <w:rPr>
                <w:color w:val="0C0C0C" w:themeColor="text1"/>
              </w:rPr>
              <w:t>100%</w:t>
            </w:r>
          </w:p>
        </w:tc>
        <w:tc>
          <w:tcPr>
            <w:tcW w:w="437" w:type="pct"/>
            <w:gridSpan w:val="2"/>
            <w:tcBorders>
              <w:top w:val="single" w:sz="4" w:space="0" w:color="D9D9D9" w:themeColor="background1" w:themeShade="D9"/>
              <w:left w:val="nil"/>
              <w:bottom w:val="single" w:sz="4" w:space="0" w:color="D9D9D9" w:themeColor="background1" w:themeShade="D9"/>
              <w:right w:val="nil"/>
            </w:tcBorders>
            <w:shd w:val="clear" w:color="auto" w:fill="D9D9D9" w:themeFill="background1" w:themeFillShade="D9"/>
            <w:noWrap/>
            <w:hideMark/>
          </w:tcPr>
          <w:p w:rsidR="00C759EA" w:rsidRPr="00C3467F" w:rsidRDefault="00C759EA" w:rsidP="00464591">
            <w:pPr>
              <w:keepNext/>
              <w:jc w:val="right"/>
              <w:rPr>
                <w:color w:val="0C0C0C" w:themeColor="text1"/>
              </w:rPr>
            </w:pPr>
            <w:r w:rsidRPr="00C3467F">
              <w:rPr>
                <w:color w:val="0C0C0C" w:themeColor="text1"/>
              </w:rPr>
              <w:t>0%</w:t>
            </w:r>
          </w:p>
        </w:tc>
        <w:tc>
          <w:tcPr>
            <w:tcW w:w="377" w:type="pct"/>
            <w:gridSpan w:val="2"/>
            <w:tcBorders>
              <w:top w:val="single" w:sz="4" w:space="0" w:color="D9D9D9" w:themeColor="background1" w:themeShade="D9"/>
              <w:left w:val="nil"/>
              <w:bottom w:val="single" w:sz="4" w:space="0" w:color="D9D9D9" w:themeColor="background1" w:themeShade="D9"/>
              <w:right w:val="single" w:sz="4" w:space="0" w:color="808080" w:themeColor="background1" w:themeShade="80"/>
            </w:tcBorders>
            <w:shd w:val="clear" w:color="auto" w:fill="D9D9D9" w:themeFill="background1" w:themeFillShade="D9"/>
            <w:noWrap/>
            <w:hideMark/>
          </w:tcPr>
          <w:p w:rsidR="00C759EA" w:rsidRPr="00C3467F" w:rsidRDefault="00C759EA" w:rsidP="00464591">
            <w:pPr>
              <w:keepNext/>
              <w:jc w:val="right"/>
              <w:rPr>
                <w:color w:val="0C0C0C" w:themeColor="text1"/>
              </w:rPr>
            </w:pPr>
            <w:r w:rsidRPr="00C3467F">
              <w:rPr>
                <w:color w:val="0C0C0C" w:themeColor="text1"/>
              </w:rPr>
              <w:t>0%</w:t>
            </w:r>
          </w:p>
        </w:tc>
        <w:tc>
          <w:tcPr>
            <w:tcW w:w="438" w:type="pct"/>
            <w:gridSpan w:val="2"/>
            <w:tcBorders>
              <w:top w:val="single" w:sz="4" w:space="0" w:color="D9D9D9" w:themeColor="background1" w:themeShade="D9"/>
              <w:left w:val="single" w:sz="4" w:space="0" w:color="808080" w:themeColor="background1" w:themeShade="80"/>
              <w:bottom w:val="single" w:sz="4" w:space="0" w:color="D9D9D9" w:themeColor="background1" w:themeShade="D9"/>
              <w:right w:val="nil"/>
            </w:tcBorders>
            <w:shd w:val="clear" w:color="auto" w:fill="FF0000"/>
          </w:tcPr>
          <w:p w:rsidR="00C759EA" w:rsidRPr="00C3467F" w:rsidRDefault="00C759EA" w:rsidP="00464591">
            <w:pPr>
              <w:keepNext/>
              <w:jc w:val="right"/>
              <w:rPr>
                <w:color w:val="0C0C0C" w:themeColor="text1"/>
              </w:rPr>
            </w:pPr>
          </w:p>
        </w:tc>
        <w:tc>
          <w:tcPr>
            <w:tcW w:w="445" w:type="pct"/>
            <w:tcBorders>
              <w:top w:val="single" w:sz="4" w:space="0" w:color="D9D9D9" w:themeColor="background1" w:themeShade="D9"/>
              <w:left w:val="nil"/>
              <w:bottom w:val="single" w:sz="4" w:space="0" w:color="D9D9D9" w:themeColor="background1" w:themeShade="D9"/>
              <w:right w:val="nil"/>
            </w:tcBorders>
            <w:shd w:val="clear" w:color="auto" w:fill="FF0000"/>
          </w:tcPr>
          <w:p w:rsidR="00C759EA" w:rsidRPr="00C3467F" w:rsidRDefault="00C759EA" w:rsidP="00464591">
            <w:pPr>
              <w:keepNext/>
              <w:jc w:val="right"/>
              <w:rPr>
                <w:color w:val="0C0C0C" w:themeColor="text1"/>
              </w:rPr>
            </w:pPr>
          </w:p>
        </w:tc>
      </w:tr>
      <w:tr w:rsidR="00C759EA" w:rsidRPr="00464591" w:rsidTr="00EF7EBD">
        <w:trPr>
          <w:gridAfter w:val="3"/>
          <w:wAfter w:w="479" w:type="pct"/>
          <w:trHeight w:val="255"/>
        </w:trPr>
        <w:tc>
          <w:tcPr>
            <w:tcW w:w="1214" w:type="pct"/>
            <w:gridSpan w:val="2"/>
            <w:tcBorders>
              <w:top w:val="single" w:sz="4" w:space="0" w:color="D9D9D9" w:themeColor="background1" w:themeShade="D9"/>
              <w:left w:val="nil"/>
              <w:bottom w:val="single" w:sz="2" w:space="0" w:color="808080" w:themeColor="background1" w:themeShade="80"/>
              <w:right w:val="nil"/>
            </w:tcBorders>
            <w:shd w:val="clear" w:color="auto" w:fill="auto"/>
            <w:noWrap/>
            <w:vAlign w:val="bottom"/>
            <w:hideMark/>
          </w:tcPr>
          <w:p w:rsidR="00C759EA" w:rsidRPr="00464591" w:rsidRDefault="00C759EA" w:rsidP="00464591">
            <w:pPr>
              <w:keepNext/>
              <w:spacing w:line="240" w:lineRule="auto"/>
              <w:rPr>
                <w:rFonts w:cs="Times New Roman"/>
                <w:color w:val="000000"/>
                <w:szCs w:val="20"/>
                <w:lang w:eastAsia="en-AU"/>
              </w:rPr>
            </w:pPr>
            <w:r w:rsidRPr="00464591">
              <w:rPr>
                <w:rFonts w:cs="Times New Roman"/>
                <w:color w:val="000000"/>
                <w:szCs w:val="20"/>
                <w:lang w:eastAsia="en-AU"/>
              </w:rPr>
              <w:t>Clinical waste fac. (TD)</w:t>
            </w:r>
          </w:p>
        </w:tc>
        <w:tc>
          <w:tcPr>
            <w:tcW w:w="314" w:type="pct"/>
            <w:tcBorders>
              <w:top w:val="single" w:sz="4" w:space="0" w:color="D9D9D9" w:themeColor="background1" w:themeShade="D9"/>
              <w:left w:val="nil"/>
              <w:bottom w:val="single" w:sz="2" w:space="0" w:color="808080" w:themeColor="background1" w:themeShade="80"/>
              <w:right w:val="nil"/>
            </w:tcBorders>
            <w:shd w:val="clear" w:color="auto" w:fill="auto"/>
            <w:noWrap/>
            <w:hideMark/>
          </w:tcPr>
          <w:p w:rsidR="00C759EA" w:rsidRPr="00464591" w:rsidRDefault="00C759EA" w:rsidP="00464591">
            <w:pPr>
              <w:keepNext/>
              <w:jc w:val="right"/>
            </w:pPr>
            <w:r w:rsidRPr="00EA7FCC">
              <w:t xml:space="preserve">6 </w:t>
            </w:r>
          </w:p>
        </w:tc>
        <w:tc>
          <w:tcPr>
            <w:tcW w:w="437" w:type="pct"/>
            <w:gridSpan w:val="2"/>
            <w:tcBorders>
              <w:top w:val="single" w:sz="4" w:space="0" w:color="D9D9D9" w:themeColor="background1" w:themeShade="D9"/>
              <w:left w:val="nil"/>
              <w:bottom w:val="single" w:sz="2" w:space="0" w:color="808080" w:themeColor="background1" w:themeShade="80"/>
              <w:right w:val="nil"/>
            </w:tcBorders>
            <w:shd w:val="clear" w:color="auto" w:fill="auto"/>
            <w:noWrap/>
            <w:hideMark/>
          </w:tcPr>
          <w:p w:rsidR="00C759EA" w:rsidRPr="00464591" w:rsidRDefault="00C759EA" w:rsidP="00464591">
            <w:pPr>
              <w:keepNext/>
              <w:jc w:val="right"/>
            </w:pPr>
            <w:r w:rsidRPr="00EA7FCC">
              <w:t xml:space="preserve"> 17 </w:t>
            </w:r>
          </w:p>
        </w:tc>
        <w:tc>
          <w:tcPr>
            <w:tcW w:w="485" w:type="pct"/>
            <w:gridSpan w:val="2"/>
            <w:tcBorders>
              <w:top w:val="single" w:sz="4" w:space="0" w:color="D9D9D9" w:themeColor="background1" w:themeShade="D9"/>
              <w:left w:val="nil"/>
              <w:bottom w:val="single" w:sz="2" w:space="0" w:color="808080" w:themeColor="background1" w:themeShade="80"/>
              <w:right w:val="single" w:sz="4" w:space="0" w:color="808080" w:themeColor="background1" w:themeShade="80"/>
            </w:tcBorders>
            <w:shd w:val="clear" w:color="auto" w:fill="auto"/>
            <w:noWrap/>
            <w:hideMark/>
          </w:tcPr>
          <w:p w:rsidR="00C759EA" w:rsidRPr="00464591" w:rsidRDefault="00C759EA" w:rsidP="00464591">
            <w:pPr>
              <w:keepNext/>
              <w:jc w:val="right"/>
            </w:pPr>
            <w:r w:rsidRPr="00EA7FCC">
              <w:t xml:space="preserve">30 </w:t>
            </w:r>
          </w:p>
        </w:tc>
        <w:tc>
          <w:tcPr>
            <w:tcW w:w="375" w:type="pct"/>
            <w:gridSpan w:val="2"/>
            <w:tcBorders>
              <w:top w:val="single" w:sz="4" w:space="0" w:color="D9D9D9" w:themeColor="background1" w:themeShade="D9"/>
              <w:left w:val="single" w:sz="4" w:space="0" w:color="808080" w:themeColor="background1" w:themeShade="80"/>
              <w:bottom w:val="single" w:sz="2" w:space="0" w:color="808080" w:themeColor="background1" w:themeShade="80"/>
              <w:right w:val="nil"/>
            </w:tcBorders>
            <w:shd w:val="clear" w:color="auto" w:fill="auto"/>
            <w:noWrap/>
            <w:hideMark/>
          </w:tcPr>
          <w:p w:rsidR="00C759EA" w:rsidRPr="00464591" w:rsidRDefault="00C759EA" w:rsidP="00464591">
            <w:pPr>
              <w:keepNext/>
              <w:jc w:val="right"/>
            </w:pPr>
            <w:r w:rsidRPr="00EA7FCC">
              <w:t>100%</w:t>
            </w:r>
          </w:p>
        </w:tc>
        <w:tc>
          <w:tcPr>
            <w:tcW w:w="437" w:type="pct"/>
            <w:gridSpan w:val="2"/>
            <w:tcBorders>
              <w:top w:val="single" w:sz="4" w:space="0" w:color="D9D9D9" w:themeColor="background1" w:themeShade="D9"/>
              <w:left w:val="nil"/>
              <w:bottom w:val="single" w:sz="2" w:space="0" w:color="808080" w:themeColor="background1" w:themeShade="80"/>
              <w:right w:val="nil"/>
            </w:tcBorders>
            <w:shd w:val="clear" w:color="auto" w:fill="auto"/>
            <w:noWrap/>
            <w:hideMark/>
          </w:tcPr>
          <w:p w:rsidR="00C759EA" w:rsidRPr="00464591" w:rsidRDefault="00C759EA" w:rsidP="00464591">
            <w:pPr>
              <w:keepNext/>
              <w:jc w:val="right"/>
            </w:pPr>
            <w:r w:rsidRPr="00EA7FCC">
              <w:t>0%</w:t>
            </w:r>
          </w:p>
        </w:tc>
        <w:tc>
          <w:tcPr>
            <w:tcW w:w="377" w:type="pct"/>
            <w:gridSpan w:val="2"/>
            <w:tcBorders>
              <w:top w:val="single" w:sz="4" w:space="0" w:color="D9D9D9" w:themeColor="background1" w:themeShade="D9"/>
              <w:left w:val="nil"/>
              <w:bottom w:val="single" w:sz="2" w:space="0" w:color="808080" w:themeColor="background1" w:themeShade="80"/>
              <w:right w:val="single" w:sz="4" w:space="0" w:color="808080" w:themeColor="background1" w:themeShade="80"/>
            </w:tcBorders>
            <w:shd w:val="clear" w:color="auto" w:fill="auto"/>
            <w:noWrap/>
            <w:hideMark/>
          </w:tcPr>
          <w:p w:rsidR="00C759EA" w:rsidRPr="00464591" w:rsidRDefault="00C759EA" w:rsidP="00464591">
            <w:pPr>
              <w:keepNext/>
              <w:jc w:val="right"/>
            </w:pPr>
            <w:r w:rsidRPr="00EA7FCC">
              <w:t>0%</w:t>
            </w:r>
          </w:p>
        </w:tc>
        <w:tc>
          <w:tcPr>
            <w:tcW w:w="438" w:type="pct"/>
            <w:gridSpan w:val="2"/>
            <w:tcBorders>
              <w:top w:val="single" w:sz="4" w:space="0" w:color="D9D9D9" w:themeColor="background1" w:themeShade="D9"/>
              <w:left w:val="single" w:sz="4" w:space="0" w:color="808080" w:themeColor="background1" w:themeShade="80"/>
              <w:bottom w:val="single" w:sz="2" w:space="0" w:color="808080" w:themeColor="background1" w:themeShade="80"/>
              <w:right w:val="nil"/>
            </w:tcBorders>
            <w:shd w:val="clear" w:color="auto" w:fill="auto"/>
            <w:hideMark/>
          </w:tcPr>
          <w:p w:rsidR="00C759EA" w:rsidRPr="00464591" w:rsidRDefault="00C759EA" w:rsidP="00464591">
            <w:pPr>
              <w:keepNext/>
              <w:jc w:val="right"/>
            </w:pPr>
            <w:r w:rsidRPr="00EA7FCC">
              <w:t xml:space="preserve"> 3 </w:t>
            </w:r>
          </w:p>
        </w:tc>
        <w:tc>
          <w:tcPr>
            <w:tcW w:w="445" w:type="pct"/>
            <w:tcBorders>
              <w:top w:val="single" w:sz="4" w:space="0" w:color="D9D9D9" w:themeColor="background1" w:themeShade="D9"/>
              <w:left w:val="nil"/>
              <w:bottom w:val="single" w:sz="2" w:space="0" w:color="808080" w:themeColor="background1" w:themeShade="80"/>
              <w:right w:val="nil"/>
            </w:tcBorders>
            <w:shd w:val="clear" w:color="auto" w:fill="auto"/>
            <w:hideMark/>
          </w:tcPr>
          <w:p w:rsidR="00C759EA" w:rsidRPr="00464591" w:rsidRDefault="00C759EA" w:rsidP="00464591">
            <w:pPr>
              <w:keepNext/>
              <w:jc w:val="right"/>
            </w:pPr>
            <w:r w:rsidRPr="00EA7FCC">
              <w:t xml:space="preserve"> 5 </w:t>
            </w:r>
          </w:p>
        </w:tc>
      </w:tr>
      <w:tr w:rsidR="00C759EA" w:rsidRPr="00464591" w:rsidTr="00EF7EBD">
        <w:trPr>
          <w:gridAfter w:val="3"/>
          <w:wAfter w:w="479" w:type="pct"/>
          <w:trHeight w:val="255"/>
        </w:trPr>
        <w:tc>
          <w:tcPr>
            <w:tcW w:w="1214" w:type="pct"/>
            <w:gridSpan w:val="2"/>
            <w:tcBorders>
              <w:top w:val="single" w:sz="2" w:space="0" w:color="808080" w:themeColor="background1" w:themeShade="80"/>
              <w:left w:val="nil"/>
            </w:tcBorders>
            <w:shd w:val="clear" w:color="000000" w:fill="C5D9F1"/>
            <w:noWrap/>
            <w:hideMark/>
          </w:tcPr>
          <w:p w:rsidR="00C759EA" w:rsidRPr="00464591" w:rsidRDefault="00C759EA" w:rsidP="00464591">
            <w:pPr>
              <w:keepNext/>
              <w:spacing w:line="240" w:lineRule="auto"/>
              <w:rPr>
                <w:rFonts w:cs="Times New Roman"/>
                <w:b/>
                <w:bCs/>
                <w:color w:val="000000"/>
                <w:szCs w:val="20"/>
                <w:lang w:eastAsia="en-AU"/>
              </w:rPr>
            </w:pPr>
            <w:r w:rsidRPr="00464591">
              <w:rPr>
                <w:rFonts w:cs="Times New Roman"/>
                <w:b/>
                <w:bCs/>
                <w:color w:val="000000"/>
                <w:szCs w:val="20"/>
                <w:lang w:eastAsia="en-AU"/>
              </w:rPr>
              <w:t>Transfer station or temporary storage fac.</w:t>
            </w:r>
          </w:p>
        </w:tc>
        <w:tc>
          <w:tcPr>
            <w:tcW w:w="314" w:type="pct"/>
            <w:tcBorders>
              <w:top w:val="single" w:sz="2" w:space="0" w:color="808080" w:themeColor="background1" w:themeShade="80"/>
            </w:tcBorders>
            <w:shd w:val="clear" w:color="auto" w:fill="D9D9D9" w:themeFill="background1" w:themeFillShade="D9"/>
            <w:noWrap/>
            <w:hideMark/>
          </w:tcPr>
          <w:p w:rsidR="00C759EA" w:rsidRPr="00464591" w:rsidRDefault="00C759EA" w:rsidP="00464591">
            <w:pPr>
              <w:keepNext/>
              <w:jc w:val="right"/>
            </w:pPr>
            <w:r w:rsidRPr="00EA7FCC">
              <w:t xml:space="preserve">43 </w:t>
            </w:r>
          </w:p>
        </w:tc>
        <w:tc>
          <w:tcPr>
            <w:tcW w:w="437" w:type="pct"/>
            <w:gridSpan w:val="2"/>
            <w:tcBorders>
              <w:top w:val="single" w:sz="2" w:space="0" w:color="808080" w:themeColor="background1" w:themeShade="80"/>
            </w:tcBorders>
            <w:shd w:val="clear" w:color="auto" w:fill="D9D9D9" w:themeFill="background1" w:themeFillShade="D9"/>
            <w:noWrap/>
            <w:hideMark/>
          </w:tcPr>
          <w:p w:rsidR="00C759EA" w:rsidRPr="00464591" w:rsidRDefault="00C759EA" w:rsidP="00464591">
            <w:pPr>
              <w:keepNext/>
              <w:jc w:val="right"/>
            </w:pPr>
            <w:r w:rsidRPr="00EA7FCC">
              <w:t xml:space="preserve"> 232 </w:t>
            </w:r>
          </w:p>
        </w:tc>
        <w:tc>
          <w:tcPr>
            <w:tcW w:w="485" w:type="pct"/>
            <w:gridSpan w:val="2"/>
            <w:tcBorders>
              <w:top w:val="single" w:sz="2" w:space="0" w:color="808080" w:themeColor="background1" w:themeShade="80"/>
            </w:tcBorders>
            <w:shd w:val="clear" w:color="auto" w:fill="D9D9D9" w:themeFill="background1" w:themeFillShade="D9"/>
            <w:noWrap/>
            <w:hideMark/>
          </w:tcPr>
          <w:p w:rsidR="00C759EA" w:rsidRPr="00464591" w:rsidRDefault="00C759EA" w:rsidP="00464591">
            <w:pPr>
              <w:keepNext/>
              <w:jc w:val="right"/>
            </w:pPr>
            <w:r w:rsidRPr="00EA7FCC">
              <w:t xml:space="preserve">335 </w:t>
            </w:r>
          </w:p>
        </w:tc>
        <w:tc>
          <w:tcPr>
            <w:tcW w:w="375" w:type="pct"/>
            <w:gridSpan w:val="2"/>
            <w:tcBorders>
              <w:top w:val="single" w:sz="2" w:space="0" w:color="808080" w:themeColor="background1" w:themeShade="80"/>
            </w:tcBorders>
            <w:shd w:val="clear" w:color="auto" w:fill="D9D9D9" w:themeFill="background1" w:themeFillShade="D9"/>
            <w:noWrap/>
            <w:hideMark/>
          </w:tcPr>
          <w:p w:rsidR="00C759EA" w:rsidRPr="00464591" w:rsidRDefault="00C759EA" w:rsidP="00464591">
            <w:pPr>
              <w:keepNext/>
              <w:jc w:val="right"/>
            </w:pPr>
            <w:r w:rsidRPr="00EA7FCC">
              <w:t>72%</w:t>
            </w:r>
          </w:p>
        </w:tc>
        <w:tc>
          <w:tcPr>
            <w:tcW w:w="437" w:type="pct"/>
            <w:gridSpan w:val="2"/>
            <w:tcBorders>
              <w:top w:val="single" w:sz="2" w:space="0" w:color="808080" w:themeColor="background1" w:themeShade="80"/>
            </w:tcBorders>
            <w:shd w:val="clear" w:color="auto" w:fill="D9D9D9" w:themeFill="background1" w:themeFillShade="D9"/>
            <w:noWrap/>
            <w:hideMark/>
          </w:tcPr>
          <w:p w:rsidR="00C759EA" w:rsidRPr="00464591" w:rsidRDefault="00C759EA" w:rsidP="00464591">
            <w:pPr>
              <w:keepNext/>
              <w:jc w:val="right"/>
            </w:pPr>
            <w:r w:rsidRPr="00EA7FCC">
              <w:t>9%</w:t>
            </w:r>
          </w:p>
        </w:tc>
        <w:tc>
          <w:tcPr>
            <w:tcW w:w="377" w:type="pct"/>
            <w:gridSpan w:val="2"/>
            <w:tcBorders>
              <w:top w:val="single" w:sz="2" w:space="0" w:color="808080" w:themeColor="background1" w:themeShade="80"/>
            </w:tcBorders>
            <w:shd w:val="clear" w:color="auto" w:fill="D9D9D9" w:themeFill="background1" w:themeFillShade="D9"/>
            <w:noWrap/>
            <w:hideMark/>
          </w:tcPr>
          <w:p w:rsidR="00C759EA" w:rsidRPr="00464591" w:rsidRDefault="00C759EA" w:rsidP="00464591">
            <w:pPr>
              <w:keepNext/>
              <w:jc w:val="right"/>
            </w:pPr>
            <w:r w:rsidRPr="00EA7FCC">
              <w:t>19%</w:t>
            </w:r>
          </w:p>
        </w:tc>
        <w:tc>
          <w:tcPr>
            <w:tcW w:w="438" w:type="pct"/>
            <w:gridSpan w:val="2"/>
            <w:tcBorders>
              <w:top w:val="single" w:sz="2" w:space="0" w:color="808080" w:themeColor="background1" w:themeShade="80"/>
            </w:tcBorders>
            <w:shd w:val="clear" w:color="auto" w:fill="D9D9D9" w:themeFill="background1" w:themeFillShade="D9"/>
            <w:hideMark/>
          </w:tcPr>
          <w:p w:rsidR="00C759EA" w:rsidRPr="00464591" w:rsidRDefault="00C759EA" w:rsidP="00464591">
            <w:pPr>
              <w:keepNext/>
              <w:jc w:val="right"/>
            </w:pPr>
            <w:r w:rsidRPr="00EA7FCC">
              <w:t xml:space="preserve"> 5 </w:t>
            </w:r>
          </w:p>
        </w:tc>
        <w:tc>
          <w:tcPr>
            <w:tcW w:w="445" w:type="pct"/>
            <w:tcBorders>
              <w:top w:val="single" w:sz="2" w:space="0" w:color="808080" w:themeColor="background1" w:themeShade="80"/>
              <w:right w:val="nil"/>
            </w:tcBorders>
            <w:shd w:val="clear" w:color="auto" w:fill="D9D9D9" w:themeFill="background1" w:themeFillShade="D9"/>
            <w:hideMark/>
          </w:tcPr>
          <w:p w:rsidR="00C759EA" w:rsidRPr="00464591" w:rsidRDefault="00C759EA" w:rsidP="00464591">
            <w:pPr>
              <w:keepNext/>
              <w:jc w:val="right"/>
            </w:pPr>
            <w:r w:rsidRPr="00EA7FCC">
              <w:t xml:space="preserve"> 8 </w:t>
            </w:r>
          </w:p>
        </w:tc>
      </w:tr>
      <w:bookmarkEnd w:id="334"/>
      <w:tr w:rsidR="00C759EA" w:rsidRPr="00464591" w:rsidTr="00EF7EBD">
        <w:trPr>
          <w:gridAfter w:val="3"/>
          <w:wAfter w:w="479" w:type="pct"/>
          <w:trHeight w:val="255"/>
        </w:trPr>
        <w:tc>
          <w:tcPr>
            <w:tcW w:w="1214" w:type="pct"/>
            <w:gridSpan w:val="2"/>
            <w:tcBorders>
              <w:left w:val="nil"/>
              <w:right w:val="nil"/>
            </w:tcBorders>
            <w:shd w:val="clear" w:color="auto" w:fill="auto"/>
            <w:noWrap/>
            <w:vAlign w:val="bottom"/>
            <w:hideMark/>
          </w:tcPr>
          <w:p w:rsidR="00C759EA" w:rsidRPr="00464591" w:rsidRDefault="00C759EA" w:rsidP="00464591">
            <w:pPr>
              <w:keepNext/>
              <w:spacing w:line="240" w:lineRule="auto"/>
              <w:jc w:val="right"/>
              <w:rPr>
                <w:rFonts w:cs="Times New Roman"/>
                <w:b/>
                <w:bCs/>
                <w:color w:val="000000"/>
                <w:szCs w:val="20"/>
                <w:lang w:eastAsia="en-AU"/>
              </w:rPr>
            </w:pPr>
            <w:r w:rsidRPr="00464591">
              <w:rPr>
                <w:rFonts w:cs="Times New Roman"/>
                <w:b/>
                <w:bCs/>
                <w:color w:val="000000"/>
                <w:szCs w:val="20"/>
                <w:lang w:eastAsia="en-AU"/>
              </w:rPr>
              <w:t>Total</w:t>
            </w:r>
          </w:p>
        </w:tc>
        <w:tc>
          <w:tcPr>
            <w:tcW w:w="314" w:type="pct"/>
            <w:tcBorders>
              <w:left w:val="nil"/>
              <w:right w:val="nil"/>
            </w:tcBorders>
            <w:shd w:val="clear" w:color="auto" w:fill="auto"/>
            <w:noWrap/>
            <w:hideMark/>
          </w:tcPr>
          <w:p w:rsidR="00C759EA" w:rsidRPr="00C759EA" w:rsidRDefault="00C759EA" w:rsidP="00464591">
            <w:pPr>
              <w:keepNext/>
              <w:jc w:val="right"/>
              <w:rPr>
                <w:b/>
              </w:rPr>
            </w:pPr>
            <w:r w:rsidRPr="007F5BD4">
              <w:rPr>
                <w:b/>
              </w:rPr>
              <w:t xml:space="preserve">232 </w:t>
            </w:r>
          </w:p>
        </w:tc>
        <w:tc>
          <w:tcPr>
            <w:tcW w:w="437" w:type="pct"/>
            <w:gridSpan w:val="2"/>
            <w:tcBorders>
              <w:left w:val="nil"/>
              <w:right w:val="nil"/>
            </w:tcBorders>
            <w:shd w:val="clear" w:color="auto" w:fill="auto"/>
            <w:noWrap/>
            <w:hideMark/>
          </w:tcPr>
          <w:p w:rsidR="00C759EA" w:rsidRPr="00C759EA" w:rsidRDefault="00C759EA" w:rsidP="00464591">
            <w:pPr>
              <w:keepNext/>
              <w:jc w:val="right"/>
              <w:rPr>
                <w:b/>
              </w:rPr>
            </w:pPr>
            <w:r w:rsidRPr="007F5BD4">
              <w:rPr>
                <w:b/>
              </w:rPr>
              <w:t xml:space="preserve"> 3,052 </w:t>
            </w:r>
          </w:p>
        </w:tc>
        <w:tc>
          <w:tcPr>
            <w:tcW w:w="485" w:type="pct"/>
            <w:gridSpan w:val="2"/>
            <w:tcBorders>
              <w:left w:val="nil"/>
              <w:right w:val="single" w:sz="4" w:space="0" w:color="808080" w:themeColor="background1" w:themeShade="80"/>
            </w:tcBorders>
            <w:shd w:val="clear" w:color="auto" w:fill="auto"/>
            <w:noWrap/>
            <w:hideMark/>
          </w:tcPr>
          <w:p w:rsidR="00C759EA" w:rsidRPr="00C759EA" w:rsidRDefault="00C759EA" w:rsidP="00464591">
            <w:pPr>
              <w:keepNext/>
              <w:jc w:val="right"/>
              <w:rPr>
                <w:b/>
              </w:rPr>
            </w:pPr>
            <w:r w:rsidRPr="007F5BD4">
              <w:rPr>
                <w:b/>
              </w:rPr>
              <w:t xml:space="preserve"> 4,780 </w:t>
            </w:r>
          </w:p>
        </w:tc>
        <w:tc>
          <w:tcPr>
            <w:tcW w:w="375" w:type="pct"/>
            <w:gridSpan w:val="2"/>
            <w:tcBorders>
              <w:left w:val="single" w:sz="4" w:space="0" w:color="808080" w:themeColor="background1" w:themeShade="80"/>
              <w:right w:val="nil"/>
            </w:tcBorders>
            <w:shd w:val="clear" w:color="auto" w:fill="auto"/>
            <w:noWrap/>
            <w:hideMark/>
          </w:tcPr>
          <w:p w:rsidR="00C759EA" w:rsidRPr="00C759EA" w:rsidRDefault="00C759EA" w:rsidP="00464591">
            <w:pPr>
              <w:keepNext/>
              <w:jc w:val="right"/>
              <w:rPr>
                <w:b/>
              </w:rPr>
            </w:pPr>
            <w:r w:rsidRPr="007F5BD4">
              <w:rPr>
                <w:b/>
              </w:rPr>
              <w:t>59%</w:t>
            </w:r>
          </w:p>
        </w:tc>
        <w:tc>
          <w:tcPr>
            <w:tcW w:w="437" w:type="pct"/>
            <w:gridSpan w:val="2"/>
            <w:tcBorders>
              <w:left w:val="nil"/>
              <w:right w:val="nil"/>
            </w:tcBorders>
            <w:shd w:val="clear" w:color="auto" w:fill="auto"/>
            <w:noWrap/>
            <w:hideMark/>
          </w:tcPr>
          <w:p w:rsidR="00C759EA" w:rsidRPr="00C759EA" w:rsidRDefault="00C759EA" w:rsidP="00464591">
            <w:pPr>
              <w:keepNext/>
              <w:jc w:val="right"/>
              <w:rPr>
                <w:b/>
              </w:rPr>
            </w:pPr>
            <w:r w:rsidRPr="007F5BD4">
              <w:rPr>
                <w:b/>
              </w:rPr>
              <w:t>11%</w:t>
            </w:r>
          </w:p>
        </w:tc>
        <w:tc>
          <w:tcPr>
            <w:tcW w:w="377" w:type="pct"/>
            <w:gridSpan w:val="2"/>
            <w:tcBorders>
              <w:left w:val="nil"/>
              <w:right w:val="single" w:sz="4" w:space="0" w:color="808080" w:themeColor="background1" w:themeShade="80"/>
            </w:tcBorders>
            <w:shd w:val="clear" w:color="auto" w:fill="auto"/>
            <w:noWrap/>
            <w:hideMark/>
          </w:tcPr>
          <w:p w:rsidR="00C759EA" w:rsidRPr="00C759EA" w:rsidRDefault="00C759EA" w:rsidP="00464591">
            <w:pPr>
              <w:keepNext/>
              <w:jc w:val="right"/>
              <w:rPr>
                <w:b/>
              </w:rPr>
            </w:pPr>
            <w:r w:rsidRPr="007F5BD4">
              <w:rPr>
                <w:b/>
              </w:rPr>
              <w:t>29%</w:t>
            </w:r>
          </w:p>
        </w:tc>
        <w:tc>
          <w:tcPr>
            <w:tcW w:w="438" w:type="pct"/>
            <w:gridSpan w:val="2"/>
            <w:tcBorders>
              <w:left w:val="single" w:sz="4" w:space="0" w:color="808080" w:themeColor="background1" w:themeShade="80"/>
              <w:right w:val="nil"/>
            </w:tcBorders>
            <w:shd w:val="clear" w:color="auto" w:fill="auto"/>
            <w:noWrap/>
            <w:hideMark/>
          </w:tcPr>
          <w:p w:rsidR="00C759EA" w:rsidRPr="007F5BD4" w:rsidRDefault="00C759EA" w:rsidP="00464591">
            <w:pPr>
              <w:keepNext/>
              <w:jc w:val="right"/>
              <w:rPr>
                <w:b/>
              </w:rPr>
            </w:pPr>
          </w:p>
        </w:tc>
        <w:tc>
          <w:tcPr>
            <w:tcW w:w="445" w:type="pct"/>
            <w:tcBorders>
              <w:left w:val="nil"/>
              <w:right w:val="nil"/>
            </w:tcBorders>
            <w:shd w:val="clear" w:color="auto" w:fill="auto"/>
            <w:noWrap/>
            <w:hideMark/>
          </w:tcPr>
          <w:p w:rsidR="00C759EA" w:rsidRPr="007F5BD4" w:rsidRDefault="00C759EA" w:rsidP="00464591">
            <w:pPr>
              <w:keepNext/>
              <w:jc w:val="right"/>
              <w:rPr>
                <w:b/>
              </w:rPr>
            </w:pPr>
          </w:p>
        </w:tc>
      </w:tr>
      <w:tr w:rsidR="00464591" w:rsidRPr="00464591" w:rsidTr="00EF7EBD">
        <w:trPr>
          <w:trHeight w:val="255"/>
        </w:trPr>
        <w:tc>
          <w:tcPr>
            <w:tcW w:w="3937" w:type="pct"/>
            <w:gridSpan w:val="14"/>
            <w:tcBorders>
              <w:top w:val="nil"/>
              <w:left w:val="nil"/>
              <w:right w:val="nil"/>
            </w:tcBorders>
            <w:shd w:val="clear" w:color="auto" w:fill="auto"/>
            <w:noWrap/>
            <w:vAlign w:val="bottom"/>
          </w:tcPr>
          <w:p w:rsidR="00464591" w:rsidRPr="00464591" w:rsidRDefault="00464591" w:rsidP="00464591">
            <w:pPr>
              <w:spacing w:line="240" w:lineRule="auto"/>
              <w:rPr>
                <w:rFonts w:cs="Times New Roman"/>
                <w:color w:val="000000"/>
                <w:szCs w:val="20"/>
                <w:lang w:eastAsia="en-AU"/>
              </w:rPr>
            </w:pPr>
            <w:r w:rsidRPr="00464591">
              <w:rPr>
                <w:rFonts w:cs="Arial"/>
                <w:i/>
                <w:color w:val="0000FF"/>
                <w:szCs w:val="20"/>
              </w:rPr>
              <w:t xml:space="preserve">Notes: </w:t>
            </w:r>
            <w:r w:rsidRPr="00464591">
              <w:rPr>
                <w:rFonts w:cs="Arial"/>
                <w:i/>
                <w:color w:val="0000FF"/>
                <w:szCs w:val="20"/>
                <w:shd w:val="clear" w:color="auto" w:fill="D9D9D9" w:themeFill="background1" w:themeFillShade="D9"/>
              </w:rPr>
              <w:t>shaded grey</w:t>
            </w:r>
            <w:r w:rsidRPr="00464591">
              <w:rPr>
                <w:rFonts w:cs="Arial"/>
                <w:i/>
                <w:color w:val="0000FF"/>
                <w:szCs w:val="20"/>
              </w:rPr>
              <w:t xml:space="preserve"> infrastructure groups have coverage limitations. Landfill fac. (NEPM codes N, T only) inf. group is outside of the capacity assessment scope</w:t>
            </w:r>
            <w:r w:rsidR="00D06841">
              <w:rPr>
                <w:rFonts w:cs="Arial"/>
                <w:i/>
                <w:color w:val="0000FF"/>
                <w:szCs w:val="20"/>
              </w:rPr>
              <w:t xml:space="preserve"> </w:t>
            </w:r>
          </w:p>
        </w:tc>
        <w:tc>
          <w:tcPr>
            <w:tcW w:w="957" w:type="pct"/>
            <w:gridSpan w:val="4"/>
            <w:tcBorders>
              <w:top w:val="nil"/>
              <w:left w:val="nil"/>
              <w:right w:val="nil"/>
            </w:tcBorders>
            <w:shd w:val="clear" w:color="auto" w:fill="auto"/>
            <w:noWrap/>
            <w:vAlign w:val="bottom"/>
          </w:tcPr>
          <w:p w:rsidR="00464591" w:rsidRPr="00464591" w:rsidRDefault="00464591" w:rsidP="00464591">
            <w:pPr>
              <w:keepNext/>
              <w:spacing w:line="240" w:lineRule="auto"/>
              <w:rPr>
                <w:rFonts w:cs="Times New Roman"/>
                <w:color w:val="000000"/>
                <w:szCs w:val="20"/>
                <w:lang w:eastAsia="en-AU"/>
              </w:rPr>
            </w:pPr>
          </w:p>
        </w:tc>
        <w:tc>
          <w:tcPr>
            <w:tcW w:w="106" w:type="pct"/>
            <w:tcBorders>
              <w:top w:val="nil"/>
              <w:left w:val="nil"/>
              <w:right w:val="nil"/>
            </w:tcBorders>
            <w:shd w:val="clear" w:color="auto" w:fill="auto"/>
            <w:noWrap/>
            <w:vAlign w:val="bottom"/>
          </w:tcPr>
          <w:p w:rsidR="00464591" w:rsidRPr="00464591" w:rsidRDefault="00464591" w:rsidP="00464591">
            <w:pPr>
              <w:keepNext/>
              <w:spacing w:line="240" w:lineRule="auto"/>
              <w:rPr>
                <w:rFonts w:cs="Times New Roman"/>
                <w:color w:val="000000"/>
                <w:szCs w:val="20"/>
                <w:lang w:eastAsia="en-AU"/>
              </w:rPr>
            </w:pPr>
          </w:p>
        </w:tc>
      </w:tr>
      <w:tr w:rsidR="00464591" w:rsidRPr="00464591" w:rsidTr="00EF7EBD">
        <w:trPr>
          <w:trHeight w:val="255"/>
        </w:trPr>
        <w:tc>
          <w:tcPr>
            <w:tcW w:w="1877" w:type="pct"/>
            <w:gridSpan w:val="4"/>
            <w:tcBorders>
              <w:top w:val="nil"/>
              <w:left w:val="nil"/>
              <w:right w:val="nil"/>
            </w:tcBorders>
            <w:shd w:val="clear" w:color="auto" w:fill="auto"/>
            <w:noWrap/>
            <w:vAlign w:val="bottom"/>
            <w:hideMark/>
          </w:tcPr>
          <w:p w:rsidR="00464591" w:rsidRPr="00464591" w:rsidRDefault="00464591" w:rsidP="00464591">
            <w:pPr>
              <w:keepNext/>
              <w:spacing w:line="240" w:lineRule="auto"/>
              <w:rPr>
                <w:rFonts w:cs="Times New Roman"/>
                <w:b/>
                <w:bCs/>
                <w:color w:val="auto"/>
                <w:sz w:val="18"/>
                <w:szCs w:val="18"/>
                <w:lang w:eastAsia="en-AU"/>
              </w:rPr>
            </w:pPr>
          </w:p>
          <w:p w:rsidR="00464591" w:rsidRPr="00464591" w:rsidRDefault="00464591" w:rsidP="00464591">
            <w:pPr>
              <w:keepNext/>
              <w:spacing w:line="240" w:lineRule="auto"/>
              <w:rPr>
                <w:rFonts w:cs="Times New Roman"/>
                <w:b/>
                <w:bCs/>
                <w:color w:val="BFBFBF"/>
                <w:sz w:val="18"/>
                <w:szCs w:val="18"/>
                <w:lang w:eastAsia="en-AU"/>
              </w:rPr>
            </w:pPr>
            <w:r w:rsidRPr="00464591">
              <w:rPr>
                <w:rFonts w:cs="Times New Roman"/>
                <w:b/>
                <w:bCs/>
                <w:color w:val="auto"/>
                <w:sz w:val="18"/>
                <w:szCs w:val="18"/>
                <w:lang w:eastAsia="en-AU"/>
              </w:rPr>
              <w:t>Data quality definitions</w:t>
            </w:r>
            <w:r w:rsidR="00B201A6">
              <w:rPr>
                <w:rFonts w:cs="Times New Roman"/>
                <w:b/>
                <w:bCs/>
                <w:color w:val="auto"/>
                <w:sz w:val="18"/>
                <w:szCs w:val="18"/>
                <w:lang w:eastAsia="en-AU"/>
              </w:rPr>
              <w:t xml:space="preserve"> by source</w:t>
            </w:r>
          </w:p>
        </w:tc>
        <w:tc>
          <w:tcPr>
            <w:tcW w:w="427" w:type="pct"/>
            <w:gridSpan w:val="2"/>
            <w:tcBorders>
              <w:top w:val="nil"/>
              <w:left w:val="nil"/>
              <w:right w:val="nil"/>
            </w:tcBorders>
            <w:shd w:val="clear" w:color="auto" w:fill="auto"/>
            <w:noWrap/>
            <w:vAlign w:val="bottom"/>
            <w:hideMark/>
          </w:tcPr>
          <w:p w:rsidR="00464591" w:rsidRPr="00464591" w:rsidRDefault="00464591" w:rsidP="00464591">
            <w:pPr>
              <w:keepNext/>
              <w:spacing w:line="240" w:lineRule="auto"/>
              <w:rPr>
                <w:rFonts w:cs="Times New Roman"/>
                <w:color w:val="000000"/>
                <w:szCs w:val="20"/>
                <w:lang w:eastAsia="en-AU"/>
              </w:rPr>
            </w:pPr>
            <w:r w:rsidRPr="00464591">
              <w:rPr>
                <w:rFonts w:cs="Times New Roman"/>
                <w:color w:val="000000"/>
                <w:szCs w:val="20"/>
                <w:lang w:eastAsia="en-AU"/>
              </w:rPr>
              <w:t> </w:t>
            </w:r>
          </w:p>
        </w:tc>
        <w:tc>
          <w:tcPr>
            <w:tcW w:w="474" w:type="pct"/>
            <w:gridSpan w:val="2"/>
            <w:tcBorders>
              <w:top w:val="nil"/>
              <w:left w:val="nil"/>
              <w:right w:val="nil"/>
            </w:tcBorders>
            <w:shd w:val="clear" w:color="auto" w:fill="auto"/>
            <w:noWrap/>
            <w:vAlign w:val="bottom"/>
            <w:hideMark/>
          </w:tcPr>
          <w:p w:rsidR="00464591" w:rsidRPr="00464591" w:rsidRDefault="00464591" w:rsidP="00464591">
            <w:pPr>
              <w:keepNext/>
              <w:spacing w:line="240" w:lineRule="auto"/>
              <w:rPr>
                <w:rFonts w:cs="Times New Roman"/>
                <w:color w:val="000000"/>
                <w:szCs w:val="20"/>
                <w:lang w:eastAsia="en-AU"/>
              </w:rPr>
            </w:pPr>
            <w:r w:rsidRPr="00464591">
              <w:rPr>
                <w:rFonts w:cs="Times New Roman"/>
                <w:color w:val="000000"/>
                <w:szCs w:val="20"/>
                <w:lang w:eastAsia="en-AU"/>
              </w:rPr>
              <w:t> </w:t>
            </w:r>
          </w:p>
        </w:tc>
        <w:tc>
          <w:tcPr>
            <w:tcW w:w="365" w:type="pct"/>
            <w:gridSpan w:val="2"/>
            <w:tcBorders>
              <w:top w:val="nil"/>
              <w:left w:val="nil"/>
              <w:right w:val="nil"/>
            </w:tcBorders>
            <w:shd w:val="clear" w:color="auto" w:fill="auto"/>
            <w:noWrap/>
            <w:vAlign w:val="bottom"/>
            <w:hideMark/>
          </w:tcPr>
          <w:p w:rsidR="00464591" w:rsidRPr="00464591" w:rsidRDefault="00464591" w:rsidP="00464591">
            <w:pPr>
              <w:keepNext/>
              <w:spacing w:line="240" w:lineRule="auto"/>
              <w:jc w:val="right"/>
              <w:rPr>
                <w:rFonts w:cs="Times New Roman"/>
                <w:color w:val="000000"/>
                <w:szCs w:val="20"/>
                <w:lang w:eastAsia="en-AU"/>
              </w:rPr>
            </w:pPr>
          </w:p>
        </w:tc>
        <w:tc>
          <w:tcPr>
            <w:tcW w:w="427" w:type="pct"/>
            <w:gridSpan w:val="2"/>
            <w:tcBorders>
              <w:top w:val="nil"/>
              <w:left w:val="nil"/>
              <w:right w:val="nil"/>
            </w:tcBorders>
            <w:shd w:val="clear" w:color="auto" w:fill="auto"/>
            <w:noWrap/>
            <w:vAlign w:val="bottom"/>
            <w:hideMark/>
          </w:tcPr>
          <w:p w:rsidR="00464591" w:rsidRPr="00464591" w:rsidRDefault="00464591" w:rsidP="00464591">
            <w:pPr>
              <w:keepNext/>
              <w:spacing w:line="240" w:lineRule="auto"/>
              <w:jc w:val="right"/>
              <w:rPr>
                <w:rFonts w:cs="Times New Roman"/>
                <w:color w:val="000000"/>
                <w:szCs w:val="20"/>
                <w:lang w:eastAsia="en-AU"/>
              </w:rPr>
            </w:pPr>
          </w:p>
        </w:tc>
        <w:tc>
          <w:tcPr>
            <w:tcW w:w="368" w:type="pct"/>
            <w:gridSpan w:val="2"/>
            <w:tcBorders>
              <w:top w:val="nil"/>
              <w:left w:val="nil"/>
              <w:right w:val="nil"/>
            </w:tcBorders>
            <w:shd w:val="clear" w:color="auto" w:fill="auto"/>
            <w:noWrap/>
            <w:vAlign w:val="bottom"/>
            <w:hideMark/>
          </w:tcPr>
          <w:p w:rsidR="00464591" w:rsidRPr="00464591" w:rsidRDefault="00464591" w:rsidP="00464591">
            <w:pPr>
              <w:keepNext/>
              <w:spacing w:line="240" w:lineRule="auto"/>
              <w:jc w:val="right"/>
              <w:rPr>
                <w:rFonts w:cs="Times New Roman"/>
                <w:color w:val="000000"/>
                <w:szCs w:val="20"/>
                <w:lang w:eastAsia="en-AU"/>
              </w:rPr>
            </w:pPr>
          </w:p>
        </w:tc>
        <w:tc>
          <w:tcPr>
            <w:tcW w:w="957" w:type="pct"/>
            <w:gridSpan w:val="4"/>
            <w:tcBorders>
              <w:top w:val="nil"/>
              <w:left w:val="nil"/>
              <w:right w:val="nil"/>
            </w:tcBorders>
            <w:shd w:val="clear" w:color="auto" w:fill="auto"/>
            <w:noWrap/>
            <w:vAlign w:val="bottom"/>
            <w:hideMark/>
          </w:tcPr>
          <w:p w:rsidR="00464591" w:rsidRPr="00464591" w:rsidRDefault="00464591" w:rsidP="00464591">
            <w:pPr>
              <w:keepNext/>
              <w:spacing w:line="240" w:lineRule="auto"/>
              <w:rPr>
                <w:rFonts w:cs="Times New Roman"/>
                <w:color w:val="000000"/>
                <w:szCs w:val="20"/>
                <w:lang w:eastAsia="en-AU"/>
              </w:rPr>
            </w:pPr>
            <w:r w:rsidRPr="00464591">
              <w:rPr>
                <w:rFonts w:cs="Times New Roman"/>
                <w:color w:val="000000"/>
                <w:szCs w:val="20"/>
                <w:lang w:eastAsia="en-AU"/>
              </w:rPr>
              <w:t> </w:t>
            </w:r>
          </w:p>
        </w:tc>
        <w:tc>
          <w:tcPr>
            <w:tcW w:w="106" w:type="pct"/>
            <w:tcBorders>
              <w:top w:val="nil"/>
              <w:left w:val="nil"/>
              <w:right w:val="nil"/>
            </w:tcBorders>
            <w:shd w:val="clear" w:color="auto" w:fill="auto"/>
            <w:noWrap/>
            <w:vAlign w:val="bottom"/>
            <w:hideMark/>
          </w:tcPr>
          <w:p w:rsidR="00464591" w:rsidRPr="00464591" w:rsidRDefault="00464591" w:rsidP="00464591">
            <w:pPr>
              <w:keepNext/>
              <w:spacing w:line="240" w:lineRule="auto"/>
              <w:rPr>
                <w:rFonts w:cs="Times New Roman"/>
                <w:color w:val="000000"/>
                <w:szCs w:val="20"/>
                <w:lang w:eastAsia="en-AU"/>
              </w:rPr>
            </w:pPr>
            <w:r w:rsidRPr="00464591">
              <w:rPr>
                <w:rFonts w:cs="Times New Roman"/>
                <w:color w:val="000000"/>
                <w:szCs w:val="20"/>
                <w:lang w:eastAsia="en-AU"/>
              </w:rPr>
              <w:t> </w:t>
            </w:r>
          </w:p>
        </w:tc>
      </w:tr>
      <w:tr w:rsidR="00464591" w:rsidRPr="00464591" w:rsidTr="00C759EA">
        <w:trPr>
          <w:gridAfter w:val="2"/>
          <w:wAfter w:w="451" w:type="pct"/>
          <w:trHeight w:val="255"/>
        </w:trPr>
        <w:tc>
          <w:tcPr>
            <w:tcW w:w="750" w:type="pct"/>
            <w:tcBorders>
              <w:top w:val="nil"/>
              <w:left w:val="nil"/>
              <w:bottom w:val="single" w:sz="4" w:space="0" w:color="808080" w:themeColor="background1" w:themeShade="80"/>
              <w:right w:val="nil"/>
            </w:tcBorders>
            <w:shd w:val="clear" w:color="auto" w:fill="auto"/>
            <w:hideMark/>
          </w:tcPr>
          <w:p w:rsidR="00464591" w:rsidRPr="007F5BD4" w:rsidRDefault="00464591" w:rsidP="00464591">
            <w:pPr>
              <w:keepNext/>
              <w:spacing w:line="240" w:lineRule="auto"/>
              <w:rPr>
                <w:rFonts w:cs="Times New Roman"/>
                <w:b/>
                <w:color w:val="auto"/>
                <w:sz w:val="18"/>
                <w:szCs w:val="18"/>
                <w:lang w:eastAsia="en-AU"/>
              </w:rPr>
            </w:pPr>
            <w:r w:rsidRPr="007F5BD4">
              <w:rPr>
                <w:rFonts w:cs="Times New Roman"/>
                <w:b/>
                <w:color w:val="auto"/>
                <w:sz w:val="18"/>
                <w:szCs w:val="18"/>
                <w:lang w:eastAsia="en-AU"/>
              </w:rPr>
              <w:t>Survey res.</w:t>
            </w:r>
          </w:p>
        </w:tc>
        <w:tc>
          <w:tcPr>
            <w:tcW w:w="3799" w:type="pct"/>
            <w:gridSpan w:val="16"/>
            <w:tcBorders>
              <w:top w:val="nil"/>
              <w:left w:val="nil"/>
              <w:bottom w:val="single" w:sz="4" w:space="0" w:color="808080" w:themeColor="background1" w:themeShade="80"/>
              <w:right w:val="nil"/>
            </w:tcBorders>
            <w:shd w:val="clear" w:color="auto" w:fill="auto"/>
            <w:noWrap/>
            <w:hideMark/>
          </w:tcPr>
          <w:p w:rsidR="00464591" w:rsidRPr="00464591" w:rsidRDefault="00B201A6" w:rsidP="00464591">
            <w:pPr>
              <w:keepNext/>
              <w:spacing w:line="240" w:lineRule="auto"/>
              <w:rPr>
                <w:rFonts w:cs="Times New Roman"/>
                <w:color w:val="000000"/>
                <w:szCs w:val="20"/>
                <w:lang w:eastAsia="en-AU"/>
              </w:rPr>
            </w:pPr>
            <w:r w:rsidRPr="007F5BD4">
              <w:rPr>
                <w:rFonts w:cs="Times New Roman"/>
                <w:b/>
                <w:color w:val="auto"/>
                <w:sz w:val="18"/>
                <w:szCs w:val="18"/>
                <w:lang w:eastAsia="en-AU"/>
              </w:rPr>
              <w:t>Highest quality</w:t>
            </w:r>
            <w:r>
              <w:rPr>
                <w:rFonts w:cs="Times New Roman"/>
                <w:color w:val="auto"/>
                <w:sz w:val="18"/>
                <w:szCs w:val="18"/>
                <w:lang w:eastAsia="en-AU"/>
              </w:rPr>
              <w:t xml:space="preserve">. </w:t>
            </w:r>
            <w:r w:rsidR="00464591" w:rsidRPr="00464591">
              <w:rPr>
                <w:rFonts w:cs="Times New Roman"/>
                <w:color w:val="auto"/>
                <w:sz w:val="18"/>
                <w:szCs w:val="18"/>
                <w:lang w:eastAsia="en-AU"/>
              </w:rPr>
              <w:t>Processing, licensed, and potential capacity data supplied during consultation</w:t>
            </w:r>
            <w:r w:rsidR="00D06841">
              <w:rPr>
                <w:rFonts w:cs="Times New Roman"/>
                <w:color w:val="auto"/>
                <w:sz w:val="18"/>
                <w:szCs w:val="18"/>
                <w:lang w:eastAsia="en-AU"/>
              </w:rPr>
              <w:t xml:space="preserve"> </w:t>
            </w:r>
          </w:p>
        </w:tc>
      </w:tr>
      <w:tr w:rsidR="00464591" w:rsidRPr="00464591" w:rsidTr="00C759EA">
        <w:trPr>
          <w:gridAfter w:val="2"/>
          <w:wAfter w:w="451" w:type="pct"/>
          <w:trHeight w:val="255"/>
        </w:trPr>
        <w:tc>
          <w:tcPr>
            <w:tcW w:w="750" w:type="pct"/>
            <w:tcBorders>
              <w:top w:val="single" w:sz="4" w:space="0" w:color="808080" w:themeColor="background1" w:themeShade="80"/>
              <w:left w:val="nil"/>
              <w:bottom w:val="single" w:sz="4" w:space="0" w:color="808080" w:themeColor="background1" w:themeShade="80"/>
              <w:right w:val="nil"/>
            </w:tcBorders>
            <w:shd w:val="clear" w:color="auto" w:fill="auto"/>
            <w:hideMark/>
          </w:tcPr>
          <w:p w:rsidR="00464591" w:rsidRPr="007F5BD4" w:rsidRDefault="00464591" w:rsidP="00464591">
            <w:pPr>
              <w:keepNext/>
              <w:spacing w:line="240" w:lineRule="auto"/>
              <w:rPr>
                <w:rFonts w:cs="Times New Roman"/>
                <w:b/>
                <w:color w:val="auto"/>
                <w:sz w:val="18"/>
                <w:szCs w:val="18"/>
                <w:lang w:eastAsia="en-AU"/>
              </w:rPr>
            </w:pPr>
            <w:r w:rsidRPr="007F5BD4">
              <w:rPr>
                <w:rFonts w:cs="Times New Roman"/>
                <w:b/>
                <w:color w:val="auto"/>
                <w:sz w:val="18"/>
                <w:szCs w:val="18"/>
                <w:lang w:eastAsia="en-AU"/>
              </w:rPr>
              <w:t>Licence data</w:t>
            </w:r>
          </w:p>
        </w:tc>
        <w:tc>
          <w:tcPr>
            <w:tcW w:w="3799" w:type="pct"/>
            <w:gridSpan w:val="16"/>
            <w:tcBorders>
              <w:top w:val="single" w:sz="4" w:space="0" w:color="808080" w:themeColor="background1" w:themeShade="80"/>
              <w:left w:val="nil"/>
              <w:bottom w:val="single" w:sz="4" w:space="0" w:color="808080" w:themeColor="background1" w:themeShade="80"/>
              <w:right w:val="nil"/>
            </w:tcBorders>
            <w:shd w:val="clear" w:color="auto" w:fill="auto"/>
            <w:noWrap/>
            <w:hideMark/>
          </w:tcPr>
          <w:p w:rsidR="00464591" w:rsidRPr="00464591" w:rsidRDefault="00B201A6" w:rsidP="00464591">
            <w:pPr>
              <w:keepNext/>
              <w:spacing w:line="240" w:lineRule="auto"/>
              <w:rPr>
                <w:rFonts w:cs="Times New Roman"/>
                <w:color w:val="000000"/>
                <w:szCs w:val="20"/>
                <w:lang w:eastAsia="en-AU"/>
              </w:rPr>
            </w:pPr>
            <w:r w:rsidRPr="007F5BD4">
              <w:rPr>
                <w:rFonts w:cs="Times New Roman"/>
                <w:b/>
                <w:color w:val="auto"/>
                <w:sz w:val="18"/>
                <w:szCs w:val="18"/>
                <w:lang w:eastAsia="en-AU"/>
              </w:rPr>
              <w:t>Moderate quality</w:t>
            </w:r>
            <w:r>
              <w:rPr>
                <w:rFonts w:cs="Times New Roman"/>
                <w:color w:val="auto"/>
                <w:sz w:val="18"/>
                <w:szCs w:val="18"/>
                <w:lang w:eastAsia="en-AU"/>
              </w:rPr>
              <w:t xml:space="preserve">. </w:t>
            </w:r>
            <w:r w:rsidR="00464591" w:rsidRPr="00464591">
              <w:rPr>
                <w:rFonts w:cs="Times New Roman"/>
                <w:color w:val="auto"/>
                <w:sz w:val="18"/>
                <w:szCs w:val="18"/>
                <w:lang w:eastAsia="en-AU"/>
              </w:rPr>
              <w:t xml:space="preserve">Maximum licensed processing capacity data identified in licence or published company information </w:t>
            </w:r>
          </w:p>
        </w:tc>
      </w:tr>
      <w:tr w:rsidR="00464591" w:rsidRPr="00464591" w:rsidTr="00C759EA">
        <w:trPr>
          <w:gridAfter w:val="2"/>
          <w:wAfter w:w="451" w:type="pct"/>
          <w:trHeight w:val="255"/>
        </w:trPr>
        <w:tc>
          <w:tcPr>
            <w:tcW w:w="750" w:type="pct"/>
            <w:tcBorders>
              <w:top w:val="single" w:sz="4" w:space="0" w:color="808080" w:themeColor="background1" w:themeShade="80"/>
              <w:left w:val="nil"/>
              <w:right w:val="nil"/>
            </w:tcBorders>
            <w:shd w:val="clear" w:color="auto" w:fill="auto"/>
            <w:hideMark/>
          </w:tcPr>
          <w:p w:rsidR="00464591" w:rsidRPr="007F5BD4" w:rsidRDefault="00464591" w:rsidP="00464591">
            <w:pPr>
              <w:keepNext/>
              <w:spacing w:line="240" w:lineRule="auto"/>
              <w:rPr>
                <w:rFonts w:cs="Times New Roman"/>
                <w:b/>
                <w:color w:val="auto"/>
                <w:sz w:val="18"/>
                <w:szCs w:val="18"/>
                <w:lang w:eastAsia="en-AU"/>
              </w:rPr>
            </w:pPr>
            <w:r w:rsidRPr="007F5BD4">
              <w:rPr>
                <w:rFonts w:cs="Times New Roman"/>
                <w:b/>
                <w:color w:val="auto"/>
                <w:sz w:val="18"/>
                <w:szCs w:val="18"/>
                <w:lang w:eastAsia="en-AU"/>
              </w:rPr>
              <w:t>Inf. group av.</w:t>
            </w:r>
          </w:p>
        </w:tc>
        <w:tc>
          <w:tcPr>
            <w:tcW w:w="3799" w:type="pct"/>
            <w:gridSpan w:val="16"/>
            <w:tcBorders>
              <w:top w:val="single" w:sz="4" w:space="0" w:color="808080" w:themeColor="background1" w:themeShade="80"/>
              <w:left w:val="nil"/>
              <w:right w:val="nil"/>
            </w:tcBorders>
            <w:shd w:val="clear" w:color="auto" w:fill="auto"/>
            <w:noWrap/>
            <w:hideMark/>
          </w:tcPr>
          <w:p w:rsidR="00464591" w:rsidRPr="00464591" w:rsidRDefault="00B201A6">
            <w:pPr>
              <w:keepNext/>
              <w:spacing w:line="240" w:lineRule="auto"/>
              <w:rPr>
                <w:rFonts w:cs="Times New Roman"/>
                <w:color w:val="000000"/>
                <w:szCs w:val="20"/>
                <w:lang w:eastAsia="en-AU"/>
              </w:rPr>
            </w:pPr>
            <w:r w:rsidRPr="007F5BD4">
              <w:rPr>
                <w:rFonts w:cs="Times New Roman"/>
                <w:b/>
                <w:color w:val="auto"/>
                <w:sz w:val="18"/>
                <w:szCs w:val="18"/>
                <w:lang w:eastAsia="en-AU"/>
              </w:rPr>
              <w:t>Low quality.</w:t>
            </w:r>
            <w:r>
              <w:rPr>
                <w:rFonts w:cs="Times New Roman"/>
                <w:color w:val="auto"/>
                <w:sz w:val="18"/>
                <w:szCs w:val="18"/>
                <w:lang w:eastAsia="en-AU"/>
              </w:rPr>
              <w:t xml:space="preserve"> </w:t>
            </w:r>
            <w:r w:rsidR="00464591" w:rsidRPr="00464591">
              <w:rPr>
                <w:rFonts w:cs="Times New Roman"/>
                <w:color w:val="auto"/>
                <w:sz w:val="18"/>
                <w:szCs w:val="18"/>
                <w:lang w:eastAsia="en-AU"/>
              </w:rPr>
              <w:t>Licensed processing capacity assumed to be the average of the tonnage processed by inf. with the same inf. group</w:t>
            </w:r>
            <w:r w:rsidR="00464591" w:rsidRPr="00464591">
              <w:rPr>
                <w:rFonts w:cs="Times New Roman"/>
                <w:color w:val="000000"/>
                <w:szCs w:val="20"/>
                <w:lang w:eastAsia="en-AU"/>
              </w:rPr>
              <w:t> </w:t>
            </w:r>
          </w:p>
        </w:tc>
      </w:tr>
    </w:tbl>
    <w:p w:rsidR="00094314" w:rsidRDefault="00094314" w:rsidP="00464591">
      <w:pPr>
        <w:spacing w:after="120" w:line="240" w:lineRule="auto"/>
        <w:outlineLvl w:val="2"/>
        <w:rPr>
          <w:rFonts w:ascii="Arial Rounded MT Bold" w:hAnsi="Arial Rounded MT Bold" w:cs="Arial"/>
          <w:color w:val="0000FF"/>
          <w:sz w:val="22"/>
        </w:rPr>
      </w:pPr>
    </w:p>
    <w:p w:rsidR="00464591" w:rsidRPr="00464591" w:rsidRDefault="00464591" w:rsidP="00464591">
      <w:pPr>
        <w:spacing w:after="120" w:line="240" w:lineRule="auto"/>
        <w:outlineLvl w:val="2"/>
        <w:rPr>
          <w:rFonts w:ascii="Arial Rounded MT Bold" w:hAnsi="Arial Rounded MT Bold" w:cs="Arial"/>
          <w:color w:val="0000FF"/>
          <w:sz w:val="22"/>
        </w:rPr>
      </w:pPr>
      <w:r w:rsidRPr="00464591">
        <w:rPr>
          <w:rFonts w:ascii="Arial Rounded MT Bold" w:hAnsi="Arial Rounded MT Bold" w:cs="Arial"/>
          <w:color w:val="0000FF"/>
          <w:sz w:val="22"/>
        </w:rPr>
        <w:t>Comparing total capacity and total arisings</w:t>
      </w:r>
    </w:p>
    <w:p w:rsidR="00464591" w:rsidRPr="00464591" w:rsidRDefault="00464591" w:rsidP="00464591">
      <w:pPr>
        <w:shd w:val="clear" w:color="auto" w:fill="FFFFFF" w:themeFill="background1"/>
        <w:spacing w:line="240" w:lineRule="auto"/>
        <w:rPr>
          <w:color w:val="080808"/>
          <w:sz w:val="22"/>
        </w:rPr>
      </w:pPr>
      <w:r w:rsidRPr="00464591">
        <w:rPr>
          <w:color w:val="080808"/>
          <w:sz w:val="22"/>
        </w:rPr>
        <w:t xml:space="preserve">In Section </w:t>
      </w:r>
      <w:r w:rsidR="006D07F5" w:rsidRPr="00464591">
        <w:rPr>
          <w:color w:val="080808"/>
          <w:sz w:val="22"/>
        </w:rPr>
        <w:fldChar w:fldCharType="begin"/>
      </w:r>
      <w:r w:rsidRPr="00464591">
        <w:rPr>
          <w:color w:val="080808"/>
          <w:sz w:val="22"/>
        </w:rPr>
        <w:instrText xml:space="preserve"> REF _Ref409184091 \r \h </w:instrText>
      </w:r>
      <w:r w:rsidR="006D07F5" w:rsidRPr="00464591">
        <w:rPr>
          <w:color w:val="080808"/>
          <w:sz w:val="22"/>
        </w:rPr>
      </w:r>
      <w:r w:rsidR="006D07F5" w:rsidRPr="00464591">
        <w:rPr>
          <w:color w:val="080808"/>
          <w:sz w:val="22"/>
        </w:rPr>
        <w:fldChar w:fldCharType="separate"/>
      </w:r>
      <w:r w:rsidR="002F3000">
        <w:rPr>
          <w:color w:val="080808"/>
          <w:sz w:val="22"/>
        </w:rPr>
        <w:t>2</w:t>
      </w:r>
      <w:r w:rsidR="006D07F5" w:rsidRPr="00464591">
        <w:rPr>
          <w:color w:val="080808"/>
          <w:sz w:val="22"/>
        </w:rPr>
        <w:fldChar w:fldCharType="end"/>
      </w:r>
      <w:r w:rsidRPr="00464591">
        <w:rPr>
          <w:color w:val="080808"/>
          <w:sz w:val="22"/>
        </w:rPr>
        <w:t xml:space="preserve">, the current arisings of hazardous waste in Australia were discussed. The best estimate of current arisings (5.7 Mt) is much higher than the approximately 3.0 Mt of waste shown above as currently received. </w:t>
      </w:r>
    </w:p>
    <w:p w:rsidR="00464591" w:rsidRPr="00464591" w:rsidRDefault="00464591" w:rsidP="00464591">
      <w:pPr>
        <w:spacing w:line="240" w:lineRule="auto"/>
        <w:rPr>
          <w:color w:val="080808"/>
          <w:sz w:val="22"/>
        </w:rPr>
      </w:pPr>
    </w:p>
    <w:p w:rsidR="00464591" w:rsidRPr="00464591" w:rsidRDefault="00464591" w:rsidP="00464591">
      <w:pPr>
        <w:shd w:val="clear" w:color="auto" w:fill="FFFFFF" w:themeFill="background1"/>
        <w:spacing w:line="240" w:lineRule="auto"/>
        <w:rPr>
          <w:color w:val="080808"/>
          <w:sz w:val="22"/>
        </w:rPr>
      </w:pPr>
      <w:r w:rsidRPr="00464591">
        <w:rPr>
          <w:color w:val="080808"/>
          <w:sz w:val="22"/>
        </w:rPr>
        <w:lastRenderedPageBreak/>
        <w:t xml:space="preserve">The difference between overall arisings and estimated capacity is mainly attributable to the limits on the scope and coverage of the infrastructure database discussed in Section </w:t>
      </w:r>
      <w:r w:rsidR="006D07F5" w:rsidRPr="00464591">
        <w:rPr>
          <w:color w:val="080808"/>
          <w:sz w:val="22"/>
        </w:rPr>
        <w:fldChar w:fldCharType="begin"/>
      </w:r>
      <w:r w:rsidRPr="00464591">
        <w:rPr>
          <w:color w:val="080808"/>
          <w:sz w:val="22"/>
        </w:rPr>
        <w:instrText xml:space="preserve"> REF _Ref419197816 \r \h </w:instrText>
      </w:r>
      <w:r w:rsidR="006D07F5" w:rsidRPr="00464591">
        <w:rPr>
          <w:color w:val="080808"/>
          <w:sz w:val="22"/>
        </w:rPr>
      </w:r>
      <w:r w:rsidR="006D07F5" w:rsidRPr="00464591">
        <w:rPr>
          <w:color w:val="080808"/>
          <w:sz w:val="22"/>
        </w:rPr>
        <w:fldChar w:fldCharType="separate"/>
      </w:r>
      <w:r w:rsidR="002F3000">
        <w:rPr>
          <w:color w:val="080808"/>
          <w:sz w:val="22"/>
        </w:rPr>
        <w:t>3.2</w:t>
      </w:r>
      <w:r w:rsidR="006D07F5" w:rsidRPr="00464591">
        <w:rPr>
          <w:color w:val="080808"/>
          <w:sz w:val="22"/>
        </w:rPr>
        <w:fldChar w:fldCharType="end"/>
      </w:r>
      <w:r w:rsidRPr="00464591">
        <w:rPr>
          <w:color w:val="080808"/>
          <w:sz w:val="22"/>
        </w:rPr>
        <w:t>. Many sites that receive hazardous waste are not included because they are not primarily hazardous waste infrastructure. In particular, many low hazard wastes such as grease trap</w:t>
      </w:r>
      <w:r w:rsidR="00410666">
        <w:rPr>
          <w:color w:val="080808"/>
          <w:sz w:val="22"/>
        </w:rPr>
        <w:t xml:space="preserve"> waste</w:t>
      </w:r>
      <w:r w:rsidRPr="00464591">
        <w:rPr>
          <w:color w:val="080808"/>
          <w:sz w:val="22"/>
        </w:rPr>
        <w:t>, animal effluent and contaminated soils – which are generated in large volumes – are sent to sites that are not included in the database. Detailed analysis of this issue is provided in Section</w:t>
      </w:r>
      <w:r w:rsidR="00020580">
        <w:rPr>
          <w:color w:val="080808"/>
          <w:sz w:val="22"/>
        </w:rPr>
        <w:t xml:space="preserve"> </w:t>
      </w:r>
      <w:r w:rsidR="006D07F5">
        <w:rPr>
          <w:color w:val="080808"/>
          <w:sz w:val="22"/>
        </w:rPr>
        <w:fldChar w:fldCharType="begin"/>
      </w:r>
      <w:r w:rsidR="00020580">
        <w:rPr>
          <w:color w:val="080808"/>
          <w:sz w:val="22"/>
        </w:rPr>
        <w:instrText xml:space="preserve"> REF _Ref419458974 \r \h </w:instrText>
      </w:r>
      <w:r w:rsidR="006D07F5">
        <w:rPr>
          <w:color w:val="080808"/>
          <w:sz w:val="22"/>
        </w:rPr>
      </w:r>
      <w:r w:rsidR="006D07F5">
        <w:rPr>
          <w:color w:val="080808"/>
          <w:sz w:val="22"/>
        </w:rPr>
        <w:fldChar w:fldCharType="separate"/>
      </w:r>
      <w:r w:rsidR="002F3000">
        <w:rPr>
          <w:color w:val="080808"/>
          <w:sz w:val="22"/>
        </w:rPr>
        <w:t>4</w:t>
      </w:r>
      <w:r w:rsidR="006D07F5">
        <w:rPr>
          <w:color w:val="080808"/>
          <w:sz w:val="22"/>
        </w:rPr>
        <w:fldChar w:fldCharType="end"/>
      </w:r>
      <w:r w:rsidRPr="00464591">
        <w:rPr>
          <w:color w:val="080808"/>
          <w:sz w:val="22"/>
        </w:rPr>
        <w:t xml:space="preserve">. </w:t>
      </w:r>
    </w:p>
    <w:p w:rsidR="00464591" w:rsidRPr="00464591" w:rsidRDefault="00464591" w:rsidP="00464591">
      <w:pPr>
        <w:shd w:val="clear" w:color="auto" w:fill="FFFFFF" w:themeFill="background1"/>
        <w:spacing w:line="240" w:lineRule="auto"/>
        <w:rPr>
          <w:color w:val="080808"/>
          <w:sz w:val="22"/>
        </w:rPr>
      </w:pPr>
    </w:p>
    <w:p w:rsidR="00464591" w:rsidRPr="00464591" w:rsidRDefault="00464591" w:rsidP="007F5BD4">
      <w:pPr>
        <w:pStyle w:val="Heading2"/>
      </w:pPr>
      <w:bookmarkStart w:id="335" w:name="_Toc419449189"/>
      <w:bookmarkStart w:id="336" w:name="_Toc425849168"/>
      <w:r w:rsidRPr="00464591">
        <w:t>Jurisdictional capacity estimates of hazardous waste infrastructure</w:t>
      </w:r>
      <w:bookmarkEnd w:id="335"/>
      <w:bookmarkEnd w:id="336"/>
      <w:r w:rsidRPr="00464591">
        <w:t xml:space="preserve"> </w:t>
      </w:r>
    </w:p>
    <w:p w:rsidR="002A41C5" w:rsidRDefault="006D07F5" w:rsidP="00410666">
      <w:pPr>
        <w:pStyle w:val="BodyText"/>
      </w:pPr>
      <w:fldSimple w:instr=" REF _Ref419459246 \h  \* MERGEFORMAT ">
        <w:r w:rsidR="002F3000" w:rsidRPr="002F3000">
          <w:rPr>
            <w:rFonts w:asciiTheme="minorHAnsi" w:hAnsiTheme="minorHAnsi" w:cs="Calibri"/>
            <w:noProof/>
            <w:color w:val="auto"/>
          </w:rPr>
          <w:t>Table 52</w:t>
        </w:r>
      </w:fldSimple>
      <w:r w:rsidR="00464591" w:rsidRPr="007F5BD4">
        <w:rPr>
          <w:color w:val="auto"/>
        </w:rPr>
        <w:t xml:space="preserve"> </w:t>
      </w:r>
      <w:r w:rsidR="00464591" w:rsidRPr="007F5BD4">
        <w:t xml:space="preserve">shows the capacity assessment data broken down by jurisdiction. </w:t>
      </w:r>
    </w:p>
    <w:p w:rsidR="002A41C5" w:rsidRDefault="002A41C5" w:rsidP="00410666">
      <w:pPr>
        <w:pStyle w:val="BodyText"/>
      </w:pPr>
    </w:p>
    <w:p w:rsidR="001D6798" w:rsidRDefault="001D6798" w:rsidP="00410666">
      <w:pPr>
        <w:pStyle w:val="BodyText"/>
      </w:pPr>
      <w:r>
        <w:t xml:space="preserve">To </w:t>
      </w:r>
      <w:r w:rsidRPr="007F5BD4">
        <w:t>protect commercial confidentialities</w:t>
      </w:r>
      <w:r>
        <w:t>, i</w:t>
      </w:r>
      <w:r w:rsidR="00464591" w:rsidRPr="007F5BD4">
        <w:t xml:space="preserve">n the public version of this report, the </w:t>
      </w:r>
      <w:r w:rsidR="007660AC">
        <w:t xml:space="preserve">infrastructure group </w:t>
      </w:r>
      <w:r w:rsidR="00464591" w:rsidRPr="007F5BD4">
        <w:t xml:space="preserve">data for </w:t>
      </w:r>
      <w:r w:rsidR="007660AC">
        <w:t xml:space="preserve">tonnages of waste currently received and </w:t>
      </w:r>
      <w:r>
        <w:t>p</w:t>
      </w:r>
      <w:r w:rsidR="007660AC">
        <w:t>otential capacity have been removed</w:t>
      </w:r>
      <w:r w:rsidR="00464591" w:rsidRPr="007F5BD4">
        <w:t>.</w:t>
      </w:r>
    </w:p>
    <w:p w:rsidR="00806E64" w:rsidRDefault="007660AC" w:rsidP="00410666">
      <w:pPr>
        <w:pStyle w:val="BodyText"/>
      </w:pPr>
      <w:r>
        <w:t xml:space="preserve">Whilst there may be </w:t>
      </w:r>
      <w:r w:rsidR="001D6798">
        <w:t>more</w:t>
      </w:r>
      <w:r>
        <w:t xml:space="preserve"> than three sites included in the capacity data</w:t>
      </w:r>
      <w:r w:rsidR="007D6D25">
        <w:t xml:space="preserve"> that is removed</w:t>
      </w:r>
      <w:r>
        <w:t>, the number of companies that operate the</w:t>
      </w:r>
      <w:r w:rsidR="007D6D25">
        <w:t>se</w:t>
      </w:r>
      <w:r>
        <w:t xml:space="preserve"> sites may be less than three. To ensure </w:t>
      </w:r>
      <w:r w:rsidRPr="007F5BD4">
        <w:t>commercial confidentialities</w:t>
      </w:r>
      <w:r>
        <w:t xml:space="preserve"> are protected, no infrastructure group capacity data is included in th</w:t>
      </w:r>
      <w:r w:rsidR="007D6D25">
        <w:t>e public</w:t>
      </w:r>
      <w:r>
        <w:t xml:space="preserve"> report at a jurisdictional level.</w:t>
      </w:r>
    </w:p>
    <w:p w:rsidR="004920C3" w:rsidRDefault="004920C3" w:rsidP="00410666">
      <w:pPr>
        <w:pStyle w:val="BodyText"/>
      </w:pPr>
    </w:p>
    <w:p w:rsidR="00820709" w:rsidRDefault="00820709" w:rsidP="00410666">
      <w:pPr>
        <w:pStyle w:val="BodyText"/>
      </w:pPr>
      <w:r>
        <w:t xml:space="preserve">The table includes analysis of the percentage of Australia’s hazardous waste infrastructure </w:t>
      </w:r>
      <w:r w:rsidR="002664B1">
        <w:t xml:space="preserve">included in each jurisdiction (by </w:t>
      </w:r>
      <w:r w:rsidR="002A41C5">
        <w:t xml:space="preserve">the </w:t>
      </w:r>
      <w:r w:rsidR="002664B1">
        <w:t xml:space="preserve">number of sites, current </w:t>
      </w:r>
      <w:r w:rsidR="004A76F9">
        <w:t>tonnage received</w:t>
      </w:r>
      <w:r w:rsidR="002664B1">
        <w:t>, and potential capacity).</w:t>
      </w:r>
    </w:p>
    <w:p w:rsidR="00820709" w:rsidRDefault="00820709" w:rsidP="00410666">
      <w:pPr>
        <w:pStyle w:val="BodyText"/>
      </w:pPr>
    </w:p>
    <w:p w:rsidR="00820709" w:rsidRDefault="002664B1" w:rsidP="00410666">
      <w:pPr>
        <w:pStyle w:val="BodyText"/>
      </w:pPr>
      <w:r>
        <w:t xml:space="preserve">The table also includes </w:t>
      </w:r>
      <w:r w:rsidR="003B34D2">
        <w:t>colour</w:t>
      </w:r>
      <w:r w:rsidR="00820709">
        <w:t xml:space="preserve"> coding of jurisdictions that have greater that 50% of Australia’s:</w:t>
      </w:r>
    </w:p>
    <w:p w:rsidR="00820709" w:rsidRDefault="00820709" w:rsidP="007F5BD4">
      <w:pPr>
        <w:pStyle w:val="Bullet1"/>
      </w:pPr>
      <w:r>
        <w:t>total number of sites in an infrastructure group</w:t>
      </w:r>
    </w:p>
    <w:p w:rsidR="00820709" w:rsidRDefault="00820709" w:rsidP="007F5BD4">
      <w:pPr>
        <w:pStyle w:val="Bullet1"/>
      </w:pPr>
      <w:r>
        <w:t>currently received capacity in an infrastructure group</w:t>
      </w:r>
    </w:p>
    <w:p w:rsidR="00820709" w:rsidRPr="005E3D0E" w:rsidRDefault="00820709" w:rsidP="007F5BD4">
      <w:pPr>
        <w:pStyle w:val="Bullet1"/>
      </w:pPr>
      <w:proofErr w:type="gramStart"/>
      <w:r>
        <w:t>potential</w:t>
      </w:r>
      <w:proofErr w:type="gramEnd"/>
      <w:r>
        <w:t xml:space="preserve"> capacity</w:t>
      </w:r>
      <w:r w:rsidR="00D06841">
        <w:t xml:space="preserve"> </w:t>
      </w:r>
      <w:r>
        <w:t>in an infrastructure group.</w:t>
      </w:r>
    </w:p>
    <w:p w:rsidR="00820709" w:rsidRDefault="00820709" w:rsidP="00464591">
      <w:pPr>
        <w:spacing w:line="240" w:lineRule="auto"/>
        <w:rPr>
          <w:sz w:val="22"/>
        </w:rPr>
      </w:pPr>
    </w:p>
    <w:p w:rsidR="00D6192F" w:rsidRDefault="00D6192F" w:rsidP="00464591">
      <w:pPr>
        <w:spacing w:line="240" w:lineRule="auto"/>
        <w:rPr>
          <w:sz w:val="22"/>
        </w:rPr>
      </w:pPr>
      <w:r>
        <w:rPr>
          <w:sz w:val="22"/>
        </w:rPr>
        <w:t xml:space="preserve">The analysis shows </w:t>
      </w:r>
      <w:r w:rsidR="00590247">
        <w:rPr>
          <w:sz w:val="22"/>
        </w:rPr>
        <w:t>the following</w:t>
      </w:r>
      <w:r>
        <w:rPr>
          <w:sz w:val="22"/>
        </w:rPr>
        <w:t>:</w:t>
      </w:r>
    </w:p>
    <w:p w:rsidR="00D6192F" w:rsidRDefault="002664B1" w:rsidP="00410666">
      <w:pPr>
        <w:pStyle w:val="Bullet1"/>
      </w:pPr>
      <w:r>
        <w:t xml:space="preserve">Vic and NSW dominate in the provision of hazardous waste infrastructure. Both Vic and NSW have approximately 30% each of the number of sites, current </w:t>
      </w:r>
      <w:r w:rsidR="004A76F9">
        <w:t>tonnage received,</w:t>
      </w:r>
      <w:r>
        <w:t xml:space="preserve"> and potential capacity.</w:t>
      </w:r>
      <w:r w:rsidR="004A76F9">
        <w:t xml:space="preserve"> </w:t>
      </w:r>
    </w:p>
    <w:p w:rsidR="004A76F9" w:rsidRDefault="002664B1" w:rsidP="00410666">
      <w:pPr>
        <w:pStyle w:val="Bullet1"/>
      </w:pPr>
      <w:r>
        <w:t xml:space="preserve">Qld and WA </w:t>
      </w:r>
      <w:r w:rsidR="004A76F9">
        <w:t xml:space="preserve">follow </w:t>
      </w:r>
      <w:r>
        <w:t>provi</w:t>
      </w:r>
      <w:r w:rsidR="004A76F9">
        <w:t xml:space="preserve">ding </w:t>
      </w:r>
      <w:r>
        <w:t>similar p</w:t>
      </w:r>
      <w:r w:rsidR="00D6192F">
        <w:t>roportions</w:t>
      </w:r>
      <w:r>
        <w:t xml:space="preserve"> of hazardous waste infrastructure</w:t>
      </w:r>
      <w:r w:rsidR="004A76F9">
        <w:t xml:space="preserve"> b</w:t>
      </w:r>
      <w:r>
        <w:t>oth providing around 15%</w:t>
      </w:r>
      <w:r w:rsidR="004A76F9">
        <w:t xml:space="preserve"> sites and around 17% of the current </w:t>
      </w:r>
      <w:r w:rsidR="00D6192F">
        <w:t>tonnage received</w:t>
      </w:r>
      <w:r w:rsidR="004A76F9">
        <w:t xml:space="preserve"> and potential capacity.</w:t>
      </w:r>
    </w:p>
    <w:p w:rsidR="00D6192F" w:rsidRDefault="00D6192F" w:rsidP="00410666">
      <w:pPr>
        <w:pStyle w:val="Bullet1"/>
      </w:pPr>
      <w:r>
        <w:t>SA provides 8% of hazardous waste infrastructure sites and around 5% of current tonnage received and potential capacity.</w:t>
      </w:r>
    </w:p>
    <w:p w:rsidR="00D6192F" w:rsidRDefault="00D6192F" w:rsidP="00410666">
      <w:pPr>
        <w:pStyle w:val="Bullet1"/>
      </w:pPr>
      <w:r>
        <w:t>ACT, NT and Tas all provided less than 5% of hazardous waste infrastructure sites and less than 1% of the current tonnage received and potential capacity.</w:t>
      </w:r>
    </w:p>
    <w:p w:rsidR="004A76F9" w:rsidRDefault="004A76F9" w:rsidP="00464591">
      <w:pPr>
        <w:spacing w:line="240" w:lineRule="auto"/>
        <w:rPr>
          <w:sz w:val="22"/>
        </w:rPr>
      </w:pPr>
    </w:p>
    <w:p w:rsidR="003D12DF" w:rsidRDefault="00A51543" w:rsidP="00464591">
      <w:pPr>
        <w:spacing w:line="240" w:lineRule="auto"/>
        <w:rPr>
          <w:sz w:val="22"/>
        </w:rPr>
      </w:pPr>
      <w:r>
        <w:rPr>
          <w:sz w:val="22"/>
        </w:rPr>
        <w:t xml:space="preserve">Regarding </w:t>
      </w:r>
      <w:r w:rsidR="003D12DF">
        <w:rPr>
          <w:sz w:val="22"/>
        </w:rPr>
        <w:t xml:space="preserve">the </w:t>
      </w:r>
      <w:r>
        <w:rPr>
          <w:sz w:val="22"/>
        </w:rPr>
        <w:t xml:space="preserve">infrastructure </w:t>
      </w:r>
      <w:r w:rsidR="00130C95">
        <w:rPr>
          <w:sz w:val="22"/>
        </w:rPr>
        <w:t>group</w:t>
      </w:r>
      <w:r w:rsidR="00590247">
        <w:rPr>
          <w:sz w:val="22"/>
        </w:rPr>
        <w:t xml:space="preserve"> capacity concentrations (</w:t>
      </w:r>
      <w:r w:rsidR="003D12DF">
        <w:rPr>
          <w:sz w:val="22"/>
        </w:rPr>
        <w:t>locations</w:t>
      </w:r>
      <w:r w:rsidR="00590247">
        <w:rPr>
          <w:sz w:val="22"/>
        </w:rPr>
        <w:t>)</w:t>
      </w:r>
      <w:r w:rsidR="003D12DF">
        <w:rPr>
          <w:sz w:val="22"/>
        </w:rPr>
        <w:t>:</w:t>
      </w:r>
    </w:p>
    <w:p w:rsidR="00F279FE" w:rsidRDefault="00F279FE" w:rsidP="00410666">
      <w:pPr>
        <w:pStyle w:val="Bullet1"/>
      </w:pPr>
      <w:r>
        <w:t>NSW has over 50% of the current and potential lead, SPL and hazwaste organics recovery capacity.</w:t>
      </w:r>
    </w:p>
    <w:p w:rsidR="00F279FE" w:rsidRDefault="00F279FE" w:rsidP="00410666">
      <w:pPr>
        <w:pStyle w:val="Bullet1"/>
      </w:pPr>
      <w:r>
        <w:t>Qld has 100% of the POPs current and potential thermal destruction capacity that was included in the database.</w:t>
      </w:r>
    </w:p>
    <w:p w:rsidR="00820709" w:rsidRDefault="004A76F9" w:rsidP="00410666">
      <w:pPr>
        <w:pStyle w:val="Bullet1"/>
      </w:pPr>
      <w:r>
        <w:t xml:space="preserve">Vic </w:t>
      </w:r>
      <w:r w:rsidR="00F279FE">
        <w:t xml:space="preserve">has over 50% of current and potential capacity </w:t>
      </w:r>
      <w:r w:rsidR="003D12DF">
        <w:t>for</w:t>
      </w:r>
      <w:r>
        <w:t xml:space="preserve"> hazardous waste packaging, </w:t>
      </w:r>
      <w:r w:rsidR="00F279FE">
        <w:t>mercury, and solvents and paints recovery. Victoria also has more than 50% of the potential soil treatment capacity.</w:t>
      </w:r>
    </w:p>
    <w:p w:rsidR="00F279FE" w:rsidRDefault="00F279FE" w:rsidP="00410666">
      <w:pPr>
        <w:pStyle w:val="Bullet1"/>
      </w:pPr>
      <w:r>
        <w:t>WA h</w:t>
      </w:r>
      <w:r w:rsidR="002A41C5">
        <w:t>as more than 50% of the currently received</w:t>
      </w:r>
      <w:r>
        <w:t xml:space="preserve"> capacity for </w:t>
      </w:r>
      <w:r w:rsidR="002A41C5">
        <w:t>contaminated</w:t>
      </w:r>
      <w:r>
        <w:t xml:space="preserve"> soils treatment identified in the database.</w:t>
      </w:r>
    </w:p>
    <w:p w:rsidR="00F279FE" w:rsidRDefault="00F279FE" w:rsidP="00464591">
      <w:pPr>
        <w:spacing w:line="240" w:lineRule="auto"/>
        <w:rPr>
          <w:sz w:val="22"/>
        </w:rPr>
      </w:pPr>
    </w:p>
    <w:p w:rsidR="00F279FE" w:rsidRDefault="00F279FE" w:rsidP="00464591">
      <w:pPr>
        <w:spacing w:line="240" w:lineRule="auto"/>
        <w:rPr>
          <w:sz w:val="22"/>
        </w:rPr>
      </w:pPr>
    </w:p>
    <w:p w:rsidR="004A76F9" w:rsidRDefault="004A76F9" w:rsidP="00464591">
      <w:pPr>
        <w:spacing w:line="240" w:lineRule="auto"/>
        <w:rPr>
          <w:rFonts w:ascii="Arial Rounded MT Bold" w:hAnsi="Arial Rounded MT Bold" w:cs="Arial"/>
          <w:color w:val="0000FF"/>
          <w:sz w:val="24"/>
        </w:rPr>
      </w:pPr>
    </w:p>
    <w:p w:rsidR="004A76F9" w:rsidRPr="007F5BD4" w:rsidRDefault="004A76F9" w:rsidP="00464591">
      <w:pPr>
        <w:spacing w:line="240" w:lineRule="auto"/>
        <w:rPr>
          <w:rFonts w:ascii="Arial Rounded MT Bold" w:hAnsi="Arial Rounded MT Bold" w:cs="Arial"/>
          <w:color w:val="0000FF"/>
          <w:sz w:val="24"/>
        </w:rPr>
        <w:sectPr w:rsidR="004A76F9" w:rsidRPr="007F5BD4" w:rsidSect="00E67118">
          <w:headerReference w:type="default" r:id="rId150"/>
          <w:footerReference w:type="default" r:id="rId151"/>
          <w:pgSz w:w="11907" w:h="16840" w:code="9"/>
          <w:pgMar w:top="1531" w:right="1077" w:bottom="1191" w:left="1304" w:header="709" w:footer="709" w:gutter="0"/>
          <w:cols w:space="708"/>
          <w:docGrid w:linePitch="360"/>
        </w:sectPr>
      </w:pPr>
    </w:p>
    <w:p w:rsidR="00733DF1" w:rsidRPr="00655F62" w:rsidRDefault="00733DF1" w:rsidP="00C400F4">
      <w:pPr>
        <w:pStyle w:val="BodyText"/>
        <w:rPr>
          <w:noProof/>
          <w:sz w:val="2"/>
          <w:szCs w:val="2"/>
        </w:rPr>
      </w:pPr>
    </w:p>
    <w:p w:rsidR="00464591" w:rsidRPr="007F5949" w:rsidRDefault="00130C95" w:rsidP="00E97D4C">
      <w:pPr>
        <w:pStyle w:val="TOCHeadings"/>
        <w:rPr>
          <w:color w:val="FFFFFF" w:themeColor="background1"/>
        </w:rPr>
      </w:pPr>
      <w:bookmarkStart w:id="337" w:name="_Ref419459246"/>
      <w:bookmarkStart w:id="338" w:name="_Toc419190515"/>
      <w:bookmarkStart w:id="339" w:name="_Toc425849337"/>
      <w:r w:rsidRPr="00130C95">
        <w:rPr>
          <w:noProof/>
          <w:lang w:eastAsia="en-AU"/>
        </w:rPr>
        <w:drawing>
          <wp:anchor distT="0" distB="0" distL="114300" distR="114300" simplePos="0" relativeHeight="251657728" behindDoc="0" locked="0" layoutInCell="1" allowOverlap="1">
            <wp:simplePos x="0" y="0"/>
            <wp:positionH relativeFrom="column">
              <wp:posOffset>-481330</wp:posOffset>
            </wp:positionH>
            <wp:positionV relativeFrom="paragraph">
              <wp:posOffset>290195</wp:posOffset>
            </wp:positionV>
            <wp:extent cx="10184130" cy="4951095"/>
            <wp:effectExtent l="0" t="0" r="7620" b="1905"/>
            <wp:wrapSquare wrapText="bothSides"/>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84130" cy="4951095"/>
                    </a:xfrm>
                    <a:prstGeom prst="rect">
                      <a:avLst/>
                    </a:prstGeom>
                  </pic:spPr>
                </pic:pic>
              </a:graphicData>
            </a:graphic>
          </wp:anchor>
        </w:drawing>
      </w:r>
      <w:r w:rsidR="00464591" w:rsidRPr="002F7DCB">
        <w:rPr>
          <w:rFonts w:asciiTheme="minorHAnsi" w:hAnsiTheme="minorHAnsi" w:cs="Calibri"/>
          <w:sz w:val="22"/>
        </w:rPr>
        <w:t>Table</w:t>
      </w:r>
      <w:r w:rsidR="00464591" w:rsidRPr="00E97D4C">
        <w:rPr>
          <w:b w:val="0"/>
        </w:rPr>
        <w:t xml:space="preserve"> </w:t>
      </w:r>
      <w:r w:rsidR="006D07F5" w:rsidRPr="00E97D4C">
        <w:rPr>
          <w:b w:val="0"/>
        </w:rPr>
        <w:fldChar w:fldCharType="begin"/>
      </w:r>
      <w:r w:rsidR="000742EE" w:rsidRPr="00E97D4C">
        <w:rPr>
          <w:b w:val="0"/>
        </w:rPr>
        <w:instrText xml:space="preserve"> SEQ Table \* ARABIC </w:instrText>
      </w:r>
      <w:r w:rsidR="006D07F5" w:rsidRPr="00E97D4C">
        <w:rPr>
          <w:b w:val="0"/>
        </w:rPr>
        <w:fldChar w:fldCharType="separate"/>
      </w:r>
      <w:r w:rsidR="002F3000">
        <w:rPr>
          <w:b w:val="0"/>
          <w:noProof/>
        </w:rPr>
        <w:t>52</w:t>
      </w:r>
      <w:r w:rsidR="006D07F5" w:rsidRPr="00E97D4C">
        <w:rPr>
          <w:b w:val="0"/>
          <w:noProof/>
        </w:rPr>
        <w:fldChar w:fldCharType="end"/>
      </w:r>
      <w:bookmarkEnd w:id="337"/>
      <w:r w:rsidR="00464591" w:rsidRPr="00E97D4C">
        <w:rPr>
          <w:b w:val="0"/>
        </w:rPr>
        <w:t>:</w:t>
      </w:r>
      <w:r w:rsidR="00464591" w:rsidRPr="00655F62">
        <w:tab/>
      </w:r>
      <w:r w:rsidR="00464591" w:rsidRPr="00E97D4C">
        <w:rPr>
          <w:rFonts w:asciiTheme="minorHAnsi" w:hAnsiTheme="minorHAnsi" w:cs="Calibri"/>
          <w:sz w:val="22"/>
        </w:rPr>
        <w:t>Jurisdictional capacity estimate of hazardous waste infrastructure</w:t>
      </w:r>
      <w:bookmarkEnd w:id="338"/>
      <w:bookmarkEnd w:id="339"/>
    </w:p>
    <w:p w:rsidR="00655F62" w:rsidRDefault="00655F62" w:rsidP="00655F62">
      <w:pPr>
        <w:pStyle w:val="BodyText"/>
        <w:rPr>
          <w:noProof/>
        </w:rPr>
      </w:pPr>
    </w:p>
    <w:p w:rsidR="00130C95" w:rsidRPr="00655F62" w:rsidRDefault="00130C95" w:rsidP="00655F62">
      <w:pPr>
        <w:pStyle w:val="BodyText"/>
        <w:rPr>
          <w:noProof/>
        </w:rPr>
      </w:pPr>
    </w:p>
    <w:p w:rsidR="00C400F4" w:rsidRPr="00816657" w:rsidRDefault="00464591" w:rsidP="00464591">
      <w:pPr>
        <w:pStyle w:val="BodyText"/>
        <w:rPr>
          <w:noProof/>
        </w:rPr>
      </w:pPr>
      <w:r w:rsidRPr="00464591">
        <w:rPr>
          <w:rFonts w:cs="Arial"/>
          <w:i/>
          <w:color w:val="0000FF"/>
          <w:sz w:val="20"/>
          <w:szCs w:val="20"/>
        </w:rPr>
        <w:t xml:space="preserve">Notes: </w:t>
      </w:r>
      <w:r w:rsidRPr="00464591">
        <w:rPr>
          <w:rFonts w:cs="Arial"/>
          <w:i/>
          <w:color w:val="0000FF"/>
          <w:sz w:val="20"/>
          <w:szCs w:val="20"/>
          <w:shd w:val="clear" w:color="auto" w:fill="D9D9D9" w:themeFill="background1" w:themeFillShade="D9"/>
        </w:rPr>
        <w:t>shaded grey</w:t>
      </w:r>
      <w:r w:rsidRPr="00464591">
        <w:rPr>
          <w:rFonts w:cs="Arial"/>
          <w:i/>
          <w:color w:val="0000FF"/>
          <w:sz w:val="20"/>
          <w:szCs w:val="20"/>
        </w:rPr>
        <w:t xml:space="preserve"> infrastructure groups have coverage limitations. Landfill fac. (NEPM codes N, T only) inf. group is outside of the capacity assessment scope</w:t>
      </w:r>
    </w:p>
    <w:p w:rsidR="00C400F4" w:rsidRPr="00816657" w:rsidRDefault="00C400F4" w:rsidP="00C400F4">
      <w:pPr>
        <w:pStyle w:val="BodyText"/>
        <w:rPr>
          <w:noProof/>
        </w:rPr>
      </w:pPr>
    </w:p>
    <w:p w:rsidR="00806E64" w:rsidRPr="00816657" w:rsidRDefault="00806E64" w:rsidP="00C400F4">
      <w:pPr>
        <w:pStyle w:val="BodyText"/>
        <w:sectPr w:rsidR="00806E64" w:rsidRPr="00816657" w:rsidSect="00FC4443">
          <w:headerReference w:type="default" r:id="rId153"/>
          <w:footerReference w:type="default" r:id="rId154"/>
          <w:pgSz w:w="16840" w:h="11907" w:orient="landscape" w:code="9"/>
          <w:pgMar w:top="1276" w:right="1531" w:bottom="1077" w:left="1134" w:header="709" w:footer="709" w:gutter="0"/>
          <w:cols w:space="708"/>
          <w:docGrid w:linePitch="360"/>
        </w:sectPr>
      </w:pPr>
    </w:p>
    <w:p w:rsidR="00EF7EBD" w:rsidRPr="00816657" w:rsidRDefault="00EF7EBD">
      <w:pPr>
        <w:pStyle w:val="Heading2"/>
      </w:pPr>
      <w:bookmarkStart w:id="340" w:name="_Ref419402256"/>
      <w:bookmarkStart w:id="341" w:name="_Toc419449190"/>
      <w:bookmarkStart w:id="342" w:name="_Toc425849169"/>
      <w:bookmarkStart w:id="343" w:name="_Toc408308729"/>
      <w:bookmarkStart w:id="344" w:name="_Ref408559009"/>
      <w:bookmarkStart w:id="345" w:name="_Ref409176548"/>
      <w:bookmarkStart w:id="346" w:name="_Ref409212030"/>
      <w:bookmarkStart w:id="347" w:name="_Ref419293897"/>
      <w:r w:rsidRPr="00192ED3">
        <w:lastRenderedPageBreak/>
        <w:t>Key</w:t>
      </w:r>
      <w:r w:rsidRPr="00816657">
        <w:t xml:space="preserve"> issues raised by industry</w:t>
      </w:r>
      <w:r>
        <w:t xml:space="preserve"> during consultation</w:t>
      </w:r>
      <w:bookmarkEnd w:id="340"/>
      <w:bookmarkEnd w:id="341"/>
      <w:bookmarkEnd w:id="342"/>
      <w:r w:rsidRPr="00816657">
        <w:t xml:space="preserve"> </w:t>
      </w:r>
    </w:p>
    <w:p w:rsidR="00EF7EBD" w:rsidRPr="00816657" w:rsidRDefault="00EF7EBD" w:rsidP="00EF7EBD">
      <w:pPr>
        <w:pStyle w:val="BodyText"/>
      </w:pPr>
      <w:r w:rsidRPr="00816657">
        <w:t>This section discusses the key issues raised by industry during consultation. No quotations are provided to maintain confidentiality agreements made with industry stakeholders during survey and interview.</w:t>
      </w:r>
    </w:p>
    <w:p w:rsidR="00EF7EBD" w:rsidRPr="00816657" w:rsidRDefault="00EF7EBD" w:rsidP="00EF7EBD">
      <w:pPr>
        <w:pStyle w:val="BodyText"/>
      </w:pPr>
    </w:p>
    <w:p w:rsidR="00EF7EBD" w:rsidRPr="00816657" w:rsidRDefault="00EF7EBD" w:rsidP="00EF7EBD">
      <w:pPr>
        <w:pStyle w:val="Heading3"/>
      </w:pPr>
      <w:r w:rsidRPr="00816657">
        <w:t>Falling demand for hazardous waste infrastructure</w:t>
      </w:r>
    </w:p>
    <w:p w:rsidR="00EF7EBD" w:rsidRPr="00816657" w:rsidRDefault="00EF7EBD" w:rsidP="00EF7EBD">
      <w:pPr>
        <w:pStyle w:val="BodyText"/>
      </w:pPr>
      <w:r w:rsidRPr="00816657">
        <w:t xml:space="preserve">As Australia’s manufacturing sector slows, hazardous wastes commonly generated by manufacturing in Australia (acids, alkalis, solvents) are in decline. Across the country, industry reported falling amounts of hazardous manufacturing wastes sent for treatment. In some instances sharp declines were reported. </w:t>
      </w:r>
    </w:p>
    <w:p w:rsidR="00EF7EBD" w:rsidRPr="00816657" w:rsidRDefault="00EF7EBD" w:rsidP="00EF7EBD">
      <w:pPr>
        <w:pStyle w:val="BodyText"/>
      </w:pPr>
    </w:p>
    <w:p w:rsidR="00EF7EBD" w:rsidRPr="00816657" w:rsidRDefault="00EF7EBD" w:rsidP="00EF7EBD">
      <w:pPr>
        <w:pStyle w:val="BodyText"/>
      </w:pPr>
      <w:r w:rsidRPr="00816657">
        <w:t xml:space="preserve">This project is focused on identifying where Australia’s hazardous waste industry may become constrained over the next 20 years. Industry flagged that </w:t>
      </w:r>
      <w:r w:rsidRPr="00410666">
        <w:t>undersupply</w:t>
      </w:r>
      <w:r w:rsidRPr="00816657">
        <w:t xml:space="preserve"> of wastes could cause infrastructure shortages due to closure of key infrastructure that may no longer be viable as demand falls for processing of key high volume wastes.</w:t>
      </w:r>
    </w:p>
    <w:p w:rsidR="00EF7EBD" w:rsidRPr="00816657" w:rsidRDefault="00EF7EBD" w:rsidP="00EF7EBD">
      <w:pPr>
        <w:pStyle w:val="BodyText"/>
      </w:pPr>
    </w:p>
    <w:p w:rsidR="00EF7EBD" w:rsidRDefault="00EF7EBD" w:rsidP="00EF7EBD">
      <w:pPr>
        <w:pStyle w:val="BodyText"/>
      </w:pPr>
      <w:r w:rsidRPr="00816657">
        <w:t>The Alreco facility in Moolap Victoria (recovering Aluminium recycling wastes) exemplifies this issue. The site is due to close this year as the company’s key clients (Alcoa and Simms) have closed operations that supplied the sites feedstock (MHM 2014).</w:t>
      </w:r>
    </w:p>
    <w:p w:rsidR="00EF7EBD" w:rsidRPr="00816657" w:rsidRDefault="00EF7EBD" w:rsidP="00EF7EBD">
      <w:pPr>
        <w:pStyle w:val="BodyText"/>
      </w:pPr>
    </w:p>
    <w:p w:rsidR="00EF7EBD" w:rsidRPr="00816657" w:rsidRDefault="00814434" w:rsidP="00EF7EBD">
      <w:pPr>
        <w:pStyle w:val="Heading3"/>
      </w:pPr>
      <w:r>
        <w:t xml:space="preserve">Stockpiles of spent </w:t>
      </w:r>
      <w:r w:rsidR="00061B2C">
        <w:t>pot</w:t>
      </w:r>
      <w:r>
        <w:t xml:space="preserve">lining, </w:t>
      </w:r>
      <w:r w:rsidR="00874ED9">
        <w:t>m</w:t>
      </w:r>
      <w:r>
        <w:t xml:space="preserve">ercury wastes and </w:t>
      </w:r>
      <w:r w:rsidR="00874ED9">
        <w:t>e</w:t>
      </w:r>
      <w:r>
        <w:t xml:space="preserve">nd-of-life </w:t>
      </w:r>
      <w:r w:rsidR="00874ED9">
        <w:t>t</w:t>
      </w:r>
      <w:r>
        <w:t>yres</w:t>
      </w:r>
    </w:p>
    <w:p w:rsidR="00EF7EBD" w:rsidRPr="00816657" w:rsidRDefault="00EF7EBD" w:rsidP="00EF7EBD">
      <w:pPr>
        <w:pStyle w:val="BodyText"/>
      </w:pPr>
      <w:r w:rsidRPr="00816657">
        <w:t xml:space="preserve">Industry estimates around 900,000 tonnes of spent </w:t>
      </w:r>
      <w:r w:rsidR="00061B2C">
        <w:t>pot</w:t>
      </w:r>
      <w:r w:rsidRPr="00816657">
        <w:t xml:space="preserve">lining – a waste from aluminium smelting – are in stored in stockpiles across Australia. As the aluminium industry slows in Australia there is a risk that funding to treat/recycle these stockpiles becomes unavailable and the stockpiles become a legacy waste without funding for recovery. </w:t>
      </w:r>
    </w:p>
    <w:p w:rsidR="00EF7EBD" w:rsidRPr="00816657" w:rsidRDefault="00EF7EBD" w:rsidP="00EF7EBD">
      <w:pPr>
        <w:pStyle w:val="BodyText"/>
      </w:pPr>
    </w:p>
    <w:p w:rsidR="00757282" w:rsidRDefault="00757282" w:rsidP="00EF7EBD">
      <w:pPr>
        <w:pStyle w:val="BodyText"/>
        <w:shd w:val="clear" w:color="auto" w:fill="FFFFFF" w:themeFill="background1"/>
      </w:pPr>
      <w:proofErr w:type="gramStart"/>
      <w:r w:rsidRPr="00757282">
        <w:rPr>
          <w:shd w:val="clear" w:color="auto" w:fill="FF0000"/>
        </w:rPr>
        <w:t>CIC.</w:t>
      </w:r>
      <w:proofErr w:type="gramEnd"/>
    </w:p>
    <w:p w:rsidR="00EF7EBD" w:rsidRPr="00816657" w:rsidRDefault="00757282" w:rsidP="00EF7EBD">
      <w:pPr>
        <w:pStyle w:val="BodyText"/>
        <w:shd w:val="clear" w:color="auto" w:fill="FFFFFF" w:themeFill="background1"/>
      </w:pPr>
      <w:r>
        <w:t xml:space="preserve"> </w:t>
      </w:r>
    </w:p>
    <w:p w:rsidR="00EF7EBD" w:rsidRDefault="00EF7EBD" w:rsidP="00EF7EBD">
      <w:pPr>
        <w:pStyle w:val="BodyText"/>
        <w:shd w:val="clear" w:color="auto" w:fill="FFFFFF" w:themeFill="background1"/>
      </w:pPr>
      <w:r w:rsidRPr="00816657">
        <w:t xml:space="preserve">Industry commented that government needs to do more to control waste stockpiling at the sites of waste generators or waste treaters to avoid the potential liabilities of legacy waste stockpiles. </w:t>
      </w:r>
    </w:p>
    <w:p w:rsidR="00EF7EBD" w:rsidRDefault="00EF7EBD" w:rsidP="00EF7EBD">
      <w:pPr>
        <w:pStyle w:val="BodyText"/>
        <w:shd w:val="clear" w:color="auto" w:fill="FFFFFF" w:themeFill="background1"/>
      </w:pPr>
    </w:p>
    <w:p w:rsidR="00874ED9" w:rsidRDefault="00874ED9" w:rsidP="007F5BD4">
      <w:pPr>
        <w:pStyle w:val="BodyText"/>
      </w:pPr>
      <w:r>
        <w:t>Industry and environment agencies also flagged stockpiles of tyres as a major problem. Stockpiles of waste tyres create a significant environmental and human health issue if they catch fire, which is not uncommon. EPA Victoria recently reported that:</w:t>
      </w:r>
    </w:p>
    <w:p w:rsidR="00874ED9" w:rsidRPr="00410666" w:rsidRDefault="00874ED9" w:rsidP="007F5BD4">
      <w:pPr>
        <w:pStyle w:val="BodyText"/>
        <w:rPr>
          <w:sz w:val="12"/>
          <w:szCs w:val="12"/>
        </w:rPr>
      </w:pPr>
    </w:p>
    <w:p w:rsidR="00814434" w:rsidRDefault="00874ED9" w:rsidP="007F5BD4">
      <w:pPr>
        <w:pStyle w:val="BodyText"/>
        <w:tabs>
          <w:tab w:val="left" w:pos="8647"/>
        </w:tabs>
        <w:ind w:left="426" w:right="879"/>
        <w:rPr>
          <w:i/>
        </w:rPr>
      </w:pPr>
      <w:r>
        <w:t>“</w:t>
      </w:r>
      <w:r w:rsidRPr="007F5BD4">
        <w:rPr>
          <w:i/>
        </w:rPr>
        <w:t>The number of used or waste tyres generated in Victoria each year is growing; approximately six million waste passenger car tyres were unaccounted for in Victoria in 2012-13, believed to be stockpiled or illegally dumped”</w:t>
      </w:r>
      <w:r w:rsidR="0015115E">
        <w:rPr>
          <w:rStyle w:val="FootnoteReference"/>
          <w:i/>
        </w:rPr>
        <w:footnoteReference w:id="31"/>
      </w:r>
    </w:p>
    <w:p w:rsidR="00EF7EBD" w:rsidRPr="00816657" w:rsidRDefault="00EF7EBD" w:rsidP="00EF7EBD">
      <w:pPr>
        <w:pStyle w:val="BodyText"/>
        <w:shd w:val="clear" w:color="auto" w:fill="FFFFFF" w:themeFill="background1"/>
      </w:pPr>
    </w:p>
    <w:p w:rsidR="00EF7EBD" w:rsidRPr="00816657" w:rsidRDefault="00EF7EBD" w:rsidP="00EF7EBD">
      <w:pPr>
        <w:pStyle w:val="Heading3"/>
      </w:pPr>
      <w:r w:rsidRPr="00816657">
        <w:t xml:space="preserve">Inconsistent landfill levies driving interstate disposal of hazardous wastes </w:t>
      </w:r>
    </w:p>
    <w:p w:rsidR="00EF7EBD" w:rsidRPr="00816657" w:rsidRDefault="00EF7EBD" w:rsidP="00EF7EBD">
      <w:pPr>
        <w:pStyle w:val="BodyText"/>
      </w:pPr>
      <w:r w:rsidRPr="00816657">
        <w:t xml:space="preserve">There are large differences in the cost of landfill disposal of hazardous waste in Australia. In Victoria the landfill levy for Category B hazardous waste is $250/tonne and in Queensland the landfill levy is $0/tonne. Industry commented that transport costs could be as low as $80/tonne from Vic to Qld. If transport costs are indeed </w:t>
      </w:r>
      <w:proofErr w:type="gramStart"/>
      <w:r w:rsidRPr="00816657">
        <w:t>this</w:t>
      </w:r>
      <w:proofErr w:type="gramEnd"/>
      <w:r w:rsidRPr="00816657">
        <w:t xml:space="preserve"> low, landfills in Qld (charging the same gate fee</w:t>
      </w:r>
      <w:r w:rsidRPr="00816657">
        <w:rPr>
          <w:rStyle w:val="FootnoteReference"/>
        </w:rPr>
        <w:footnoteReference w:id="32"/>
      </w:r>
      <w:r w:rsidRPr="00816657">
        <w:t xml:space="preserve"> as Vic landfills) could potentially offer tipping at $170/tonne less that tipping costs in Victoria. Several industry stakeholders commented on this </w:t>
      </w:r>
      <w:r w:rsidR="0015115E">
        <w:t xml:space="preserve">as </w:t>
      </w:r>
      <w:r w:rsidRPr="00816657">
        <w:t>a serious policy/governance issue for hazardous waste management in Australia.</w:t>
      </w:r>
    </w:p>
    <w:p w:rsidR="0015115E" w:rsidRDefault="0015115E" w:rsidP="00EF7EBD">
      <w:pPr>
        <w:pStyle w:val="Heading3"/>
      </w:pPr>
    </w:p>
    <w:p w:rsidR="00EF7EBD" w:rsidRPr="00816657" w:rsidRDefault="00EF7EBD" w:rsidP="00EF7EBD">
      <w:pPr>
        <w:pStyle w:val="Heading3"/>
      </w:pPr>
      <w:r w:rsidRPr="00816657">
        <w:t>Regulatory settings need to support infrastructure investment</w:t>
      </w:r>
    </w:p>
    <w:p w:rsidR="00EF7EBD" w:rsidRPr="00816657" w:rsidRDefault="00EF7EBD" w:rsidP="00EF7EBD">
      <w:pPr>
        <w:pStyle w:val="BodyText"/>
      </w:pPr>
      <w:r w:rsidRPr="00816657">
        <w:lastRenderedPageBreak/>
        <w:t xml:space="preserve">Related to the above was the issue raised of regulation supporting investment into hazardous waste recovery or treatment infrastructure. Hazardous waste infrastructure is often capital intensive and as a result relies on a regulatory framework that supports recovery/treatment more than non-hazardous waste infrastructure. In addition, hazardous waste is less consistently generated than non-hazardous wastes such as household waste so investments carry a higher risk and are less secure. Industry commented on a range of regulatory issues that can undermine investment in hazardous waste infrastructure, listed below. It is beyond the scope of this project to provide detailed analysis of these issues or to validate the accuracy of industry comments. </w:t>
      </w:r>
    </w:p>
    <w:p w:rsidR="00EF7EBD" w:rsidRPr="00816657" w:rsidRDefault="00EF7EBD" w:rsidP="00EF7EBD">
      <w:pPr>
        <w:pStyle w:val="Bullet1"/>
        <w:numPr>
          <w:ilvl w:val="0"/>
          <w:numId w:val="26"/>
        </w:numPr>
      </w:pPr>
      <w:r w:rsidRPr="00816657">
        <w:t>Allowing landfilling of hazardous organic wastes for which there are recovery options, including the recovery of energy.</w:t>
      </w:r>
    </w:p>
    <w:p w:rsidR="00EF7EBD" w:rsidRPr="00816657" w:rsidRDefault="00EF7EBD" w:rsidP="00EF7EBD">
      <w:pPr>
        <w:pStyle w:val="Bullet1"/>
        <w:numPr>
          <w:ilvl w:val="0"/>
          <w:numId w:val="26"/>
        </w:numPr>
      </w:pPr>
      <w:r w:rsidRPr="00816657">
        <w:t>Permitting the exports of hazardous wastes for which there is recovery infrastructure in Australia.</w:t>
      </w:r>
    </w:p>
    <w:p w:rsidR="00EF7EBD" w:rsidRPr="00816657" w:rsidRDefault="00EF7EBD" w:rsidP="00EF7EBD">
      <w:pPr>
        <w:pStyle w:val="Bullet1"/>
        <w:numPr>
          <w:ilvl w:val="0"/>
          <w:numId w:val="26"/>
        </w:numPr>
      </w:pPr>
      <w:r w:rsidRPr="00816657">
        <w:t>Exporting unprocessed waste oil without export permits as ‘fuel oil’, which is not permitted under the Basel Convention and undermines oil recycling (which represents higher order recovery).</w:t>
      </w:r>
    </w:p>
    <w:p w:rsidR="00EF7EBD" w:rsidRPr="00816657" w:rsidRDefault="00EF7EBD" w:rsidP="00EF7EBD">
      <w:pPr>
        <w:pStyle w:val="Bullet1"/>
        <w:numPr>
          <w:ilvl w:val="0"/>
          <w:numId w:val="26"/>
        </w:numPr>
      </w:pPr>
      <w:r w:rsidRPr="00816657">
        <w:t>The recycling targets set in the National Television and Computer Recycling Scheme are too low resulting in stockpiling of e-wastes at transfer stations or the disposal of collected e-waste to landfill.</w:t>
      </w:r>
    </w:p>
    <w:p w:rsidR="00EF7EBD" w:rsidRPr="00816657" w:rsidRDefault="00EF7EBD" w:rsidP="00EF7EBD">
      <w:pPr>
        <w:pStyle w:val="Bullet1"/>
        <w:numPr>
          <w:ilvl w:val="0"/>
          <w:numId w:val="26"/>
        </w:numPr>
      </w:pPr>
      <w:r w:rsidRPr="00816657">
        <w:t>The regulation of clinical waste is highly inconsistent across Australia resulting in clinical wastes being sent interstate.</w:t>
      </w:r>
    </w:p>
    <w:p w:rsidR="00EF7EBD" w:rsidRPr="00816657" w:rsidRDefault="00EF7EBD" w:rsidP="00EF7EBD">
      <w:pPr>
        <w:pStyle w:val="BodyText"/>
      </w:pPr>
    </w:p>
    <w:p w:rsidR="00EF7EBD" w:rsidRPr="00816657" w:rsidRDefault="00EF7EBD" w:rsidP="00EF7EBD">
      <w:pPr>
        <w:pStyle w:val="Heading3"/>
      </w:pPr>
      <w:r w:rsidRPr="00816657">
        <w:t>Additional coal seam gas waste infrastructure needed</w:t>
      </w:r>
    </w:p>
    <w:p w:rsidR="00EF7EBD" w:rsidRPr="00816657" w:rsidRDefault="00EF7EBD" w:rsidP="00EF7EBD">
      <w:pPr>
        <w:pStyle w:val="BodyText"/>
      </w:pPr>
      <w:r w:rsidRPr="00816657">
        <w:t>A number of industry stakeholders commented on the need to improve infrastructure to service coal seam gas (CSG) industry wastes, including brine wastes and hydrocarbon impacted drilling muds. Industry commented that these wastes are likely to increase as Australia’s gas export capabilities increase. One of the key challenges in treating brine wastes is the large volumes (weight) and remote locations of the wastes, which make transport costly.</w:t>
      </w:r>
    </w:p>
    <w:p w:rsidR="00EF7EBD" w:rsidRPr="00816657" w:rsidRDefault="00EF7EBD" w:rsidP="00EF7EBD">
      <w:pPr>
        <w:pStyle w:val="BodyText"/>
      </w:pPr>
    </w:p>
    <w:p w:rsidR="00EF7EBD" w:rsidRPr="00816657" w:rsidRDefault="00EF7EBD" w:rsidP="00EF7EBD">
      <w:pPr>
        <w:pStyle w:val="Heading3"/>
      </w:pPr>
      <w:r w:rsidRPr="00816657">
        <w:t>Asbestos disposal cost and access</w:t>
      </w:r>
    </w:p>
    <w:p w:rsidR="00EF7EBD" w:rsidRPr="00816657" w:rsidRDefault="00EF7EBD" w:rsidP="00EF7EBD">
      <w:pPr>
        <w:pStyle w:val="BodyText"/>
      </w:pPr>
      <w:r w:rsidRPr="00816657">
        <w:t xml:space="preserve">A comment often made by small landfill operators in regional areas (typically local government) is the need to reduce asbestos disposal costs as it drives illegal dumping or hidden tipping of asbestos. Councils also often commented on the need for asbestos collection infrastructure in remote areas where there is no landfill licensed to take asbestos. </w:t>
      </w:r>
    </w:p>
    <w:p w:rsidR="00EF7EBD" w:rsidRPr="00816657" w:rsidRDefault="00EF7EBD" w:rsidP="00EF7EBD">
      <w:pPr>
        <w:pStyle w:val="BodyText"/>
      </w:pPr>
    </w:p>
    <w:p w:rsidR="00EF7EBD" w:rsidRPr="00816657" w:rsidRDefault="00EF7EBD" w:rsidP="00EF7EBD">
      <w:pPr>
        <w:pStyle w:val="Heading3"/>
      </w:pPr>
      <w:r w:rsidRPr="00816657">
        <w:t>Additional infrastructure for recovering packaging waste</w:t>
      </w:r>
    </w:p>
    <w:p w:rsidR="00EF7EBD" w:rsidRPr="007F5949" w:rsidRDefault="00EF7EBD" w:rsidP="007F5949">
      <w:pPr>
        <w:pStyle w:val="BodyText"/>
        <w:rPr>
          <w:color w:val="auto"/>
        </w:rPr>
      </w:pPr>
      <w:r w:rsidRPr="00816657">
        <w:t xml:space="preserve">A number of industry stakeholders commented on the need for improved recovery options for small hazardous waste packaging and small packages of waste hazardous goods. </w:t>
      </w:r>
    </w:p>
    <w:p w:rsidR="00EF7EBD" w:rsidRPr="007F5949" w:rsidRDefault="00EF7EBD" w:rsidP="007F5949">
      <w:pPr>
        <w:pStyle w:val="BodyText"/>
        <w:rPr>
          <w:color w:val="auto"/>
        </w:rPr>
      </w:pPr>
    </w:p>
    <w:p w:rsidR="00EF7EBD" w:rsidRPr="007F5949" w:rsidRDefault="00EF7EBD" w:rsidP="007F5949">
      <w:pPr>
        <w:pStyle w:val="Heading3"/>
      </w:pPr>
      <w:r w:rsidRPr="007F5949">
        <w:t>Expanding POPs destruction capacity</w:t>
      </w:r>
    </w:p>
    <w:p w:rsidR="00EF7EBD" w:rsidRPr="007F5949" w:rsidRDefault="00EF7EBD" w:rsidP="007F5949">
      <w:pPr>
        <w:pStyle w:val="BodyText"/>
        <w:rPr>
          <w:color w:val="auto"/>
        </w:rPr>
      </w:pPr>
      <w:r w:rsidRPr="007F5949">
        <w:rPr>
          <w:color w:val="auto"/>
        </w:rPr>
        <w:t>The only facility identified that focuses only on POPs destruction is the Toxfree operated BCD plasma arc plant in Qld. No other designated POPs destruction facilities are proposed, however, additional capacity is planned within other infrastructure.</w:t>
      </w:r>
    </w:p>
    <w:p w:rsidR="00EF7EBD" w:rsidRPr="007F5949" w:rsidRDefault="00EF7EBD" w:rsidP="007F5949">
      <w:pPr>
        <w:pStyle w:val="BodyText"/>
        <w:rPr>
          <w:color w:val="auto"/>
        </w:rPr>
      </w:pPr>
    </w:p>
    <w:p w:rsidR="00EF7EBD" w:rsidRPr="007F5949" w:rsidRDefault="00EF7EBD" w:rsidP="007F5949">
      <w:pPr>
        <w:pStyle w:val="BodyText"/>
        <w:rPr>
          <w:color w:val="auto"/>
        </w:rPr>
      </w:pPr>
      <w:r w:rsidRPr="007F5949">
        <w:rPr>
          <w:color w:val="auto"/>
        </w:rPr>
        <w:t xml:space="preserve">SteriHealth currently has research and development approval to treat PCB-contaminated leachate from Melbourne’s Tullamarine landfill at their incineration facility in Laverton. SteriHealth aims to provide POPs destruction services to the market following works approval from EPA. SteriHealth did not state the potential tonnages of POPs that could be destroyed at the facility. TPI (2014) stated that SteriHealth recently successfully treated around 2000 litres of PCB contaminated oil during trials at the site. </w:t>
      </w:r>
    </w:p>
    <w:p w:rsidR="00EF7EBD" w:rsidRPr="007F5949" w:rsidRDefault="00EF7EBD" w:rsidP="007F5949">
      <w:pPr>
        <w:pStyle w:val="BodyText"/>
        <w:rPr>
          <w:color w:val="auto"/>
        </w:rPr>
      </w:pPr>
    </w:p>
    <w:p w:rsidR="00EF7EBD" w:rsidRPr="007F5949" w:rsidRDefault="00EF7EBD" w:rsidP="007F5949">
      <w:pPr>
        <w:pStyle w:val="BodyText"/>
        <w:rPr>
          <w:color w:val="auto"/>
        </w:rPr>
      </w:pPr>
      <w:r w:rsidRPr="007F5949">
        <w:rPr>
          <w:color w:val="auto"/>
        </w:rPr>
        <w:t>A RENEX pyrolysis rotary kiln is being commissioned in Dandenong, Melbourne, and will aim to treat POPs contaminated soils and liquids. The kiln with operate at 600</w:t>
      </w:r>
      <w:r w:rsidRPr="007F5949">
        <w:rPr>
          <w:color w:val="auto"/>
          <w:vertAlign w:val="superscript"/>
        </w:rPr>
        <w:t>o</w:t>
      </w:r>
      <w:r w:rsidRPr="007F5949">
        <w:rPr>
          <w:color w:val="auto"/>
        </w:rPr>
        <w:t>C and the gases will be incinerated at 1100-1200</w:t>
      </w:r>
      <w:r w:rsidRPr="007F5949">
        <w:rPr>
          <w:color w:val="auto"/>
          <w:vertAlign w:val="superscript"/>
        </w:rPr>
        <w:t>o</w:t>
      </w:r>
      <w:r w:rsidRPr="007F5949">
        <w:rPr>
          <w:color w:val="auto"/>
        </w:rPr>
        <w:t xml:space="preserve">C, enabling the destruction of chlorinated organics such as PCBs. Renex has stated an overall </w:t>
      </w:r>
      <w:r w:rsidRPr="007F5949">
        <w:rPr>
          <w:color w:val="auto"/>
        </w:rPr>
        <w:lastRenderedPageBreak/>
        <w:t>potential capacity</w:t>
      </w:r>
      <w:r w:rsidR="00757282">
        <w:rPr>
          <w:color w:val="auto"/>
        </w:rPr>
        <w:t xml:space="preserve"> </w:t>
      </w:r>
      <w:r w:rsidR="00757282" w:rsidRPr="00757282">
        <w:rPr>
          <w:color w:val="0C0C0C" w:themeColor="text1"/>
          <w:shd w:val="clear" w:color="auto" w:fill="FF0000"/>
        </w:rPr>
        <w:t>CIC</w:t>
      </w:r>
      <w:r w:rsidRPr="00757282">
        <w:rPr>
          <w:color w:val="0C0C0C" w:themeColor="text1"/>
        </w:rPr>
        <w:t xml:space="preserve">, </w:t>
      </w:r>
      <w:r w:rsidRPr="007F5949">
        <w:rPr>
          <w:color w:val="auto"/>
        </w:rPr>
        <w:t>but it is unknown what tonnage of POP contaminated soils and liquids could be processed at the plant.</w:t>
      </w:r>
    </w:p>
    <w:p w:rsidR="00FA63D3" w:rsidRPr="007F5949" w:rsidRDefault="00FA63D3" w:rsidP="007F5BD4">
      <w:pPr>
        <w:pStyle w:val="Heading3"/>
        <w:rPr>
          <w:color w:val="auto"/>
        </w:rPr>
      </w:pPr>
    </w:p>
    <w:p w:rsidR="005C3A9C" w:rsidRDefault="00052090" w:rsidP="007F5BD4">
      <w:pPr>
        <w:pStyle w:val="Heading3"/>
      </w:pPr>
      <w:r>
        <w:t>Western Australia: d</w:t>
      </w:r>
      <w:r w:rsidR="00B668FB">
        <w:t xml:space="preserve">istance </w:t>
      </w:r>
      <w:r>
        <w:t xml:space="preserve">and low tonnages of hazardous waste </w:t>
      </w:r>
      <w:r w:rsidR="00B668FB">
        <w:t xml:space="preserve">is a major </w:t>
      </w:r>
      <w:r>
        <w:t>challenge</w:t>
      </w:r>
    </w:p>
    <w:p w:rsidR="00994785" w:rsidRDefault="00994785" w:rsidP="007F5BD4">
      <w:pPr>
        <w:pStyle w:val="BodyText"/>
        <w:rPr>
          <w:rFonts w:eastAsia="Calibri" w:cs="Calibri"/>
          <w:color w:val="auto"/>
          <w:szCs w:val="20"/>
        </w:rPr>
      </w:pPr>
      <w:r>
        <w:rPr>
          <w:rFonts w:eastAsia="Calibri" w:cs="Calibri"/>
          <w:color w:val="auto"/>
          <w:szCs w:val="20"/>
        </w:rPr>
        <w:t>Jill Lethlean (Consilium Waste Consulting) provided the following comments regarding hazardous waste management in WA</w:t>
      </w:r>
      <w:r w:rsidR="00EA7E30">
        <w:rPr>
          <w:rFonts w:eastAsia="Calibri" w:cs="Calibri"/>
          <w:color w:val="auto"/>
          <w:szCs w:val="20"/>
        </w:rPr>
        <w:t xml:space="preserve"> (reproduced with permission).</w:t>
      </w:r>
    </w:p>
    <w:p w:rsidR="00EA7E30" w:rsidRPr="00D43646" w:rsidRDefault="00EA7E30" w:rsidP="007F5BD4">
      <w:pPr>
        <w:pStyle w:val="BodyText"/>
        <w:rPr>
          <w:rFonts w:eastAsia="Calibri" w:cs="Calibri"/>
          <w:color w:val="auto"/>
          <w:sz w:val="12"/>
          <w:szCs w:val="12"/>
        </w:rPr>
      </w:pPr>
    </w:p>
    <w:p w:rsidR="00994785" w:rsidRPr="007F5BD4" w:rsidRDefault="00994785" w:rsidP="00EA7E30">
      <w:pPr>
        <w:pStyle w:val="BodyText"/>
        <w:ind w:left="567" w:right="737"/>
        <w:rPr>
          <w:rFonts w:eastAsia="Calibri" w:cs="Calibri"/>
          <w:i/>
          <w:color w:val="auto"/>
          <w:szCs w:val="20"/>
        </w:rPr>
      </w:pPr>
      <w:r w:rsidRPr="007F5BD4">
        <w:rPr>
          <w:rFonts w:eastAsia="Calibri" w:cs="Calibri"/>
          <w:i/>
          <w:color w:val="auto"/>
          <w:szCs w:val="20"/>
        </w:rPr>
        <w:t>“Distance is a major issue for waste management in WA.</w:t>
      </w:r>
      <w:r w:rsidR="00D06841">
        <w:rPr>
          <w:rFonts w:eastAsia="Calibri" w:cs="Calibri"/>
          <w:i/>
          <w:color w:val="auto"/>
          <w:szCs w:val="20"/>
        </w:rPr>
        <w:t xml:space="preserve"> </w:t>
      </w:r>
      <w:r w:rsidRPr="007F5BD4">
        <w:rPr>
          <w:rFonts w:eastAsia="Calibri" w:cs="Calibri"/>
          <w:i/>
          <w:color w:val="auto"/>
          <w:szCs w:val="20"/>
        </w:rPr>
        <w:t>In particular, a considerable amount of hazardous waste and hazardous waste packaging is generated a long way from the metropolitan area.</w:t>
      </w:r>
      <w:r w:rsidR="00D06841">
        <w:rPr>
          <w:rFonts w:eastAsia="Calibri" w:cs="Calibri"/>
          <w:i/>
          <w:color w:val="auto"/>
          <w:szCs w:val="20"/>
        </w:rPr>
        <w:t xml:space="preserve"> </w:t>
      </w:r>
      <w:r w:rsidRPr="007F5BD4">
        <w:rPr>
          <w:rFonts w:eastAsia="Calibri" w:cs="Calibri"/>
          <w:i/>
          <w:color w:val="auto"/>
          <w:szCs w:val="20"/>
        </w:rPr>
        <w:t>Therefore, it is expensive to transport waste to the single facilities available for hazardous waste.</w:t>
      </w:r>
      <w:r w:rsidR="00D06841">
        <w:rPr>
          <w:rFonts w:eastAsia="Calibri" w:cs="Calibri"/>
          <w:i/>
          <w:color w:val="auto"/>
          <w:szCs w:val="20"/>
        </w:rPr>
        <w:t xml:space="preserve"> </w:t>
      </w:r>
      <w:r w:rsidRPr="007F5BD4">
        <w:rPr>
          <w:rFonts w:eastAsia="Calibri" w:cs="Calibri"/>
          <w:i/>
          <w:color w:val="auto"/>
          <w:szCs w:val="20"/>
        </w:rPr>
        <w:t>This provides a strong incentive to find alternative disposal routes, or to stockpile the waste onsite.</w:t>
      </w:r>
    </w:p>
    <w:p w:rsidR="00994785" w:rsidRPr="00D43646" w:rsidRDefault="00994785" w:rsidP="007F5BD4">
      <w:pPr>
        <w:pStyle w:val="BodyText"/>
        <w:ind w:left="567" w:right="737"/>
        <w:rPr>
          <w:rFonts w:eastAsia="Calibri" w:cs="Calibri"/>
          <w:i/>
          <w:color w:val="auto"/>
          <w:sz w:val="12"/>
          <w:szCs w:val="12"/>
        </w:rPr>
      </w:pPr>
    </w:p>
    <w:p w:rsidR="005C3A9C" w:rsidRPr="007F5BD4" w:rsidRDefault="005C3A9C" w:rsidP="007F5BD4">
      <w:pPr>
        <w:pStyle w:val="BodyText"/>
        <w:ind w:left="567" w:right="737"/>
        <w:rPr>
          <w:rFonts w:eastAsia="Calibri" w:cs="Calibri"/>
          <w:i/>
          <w:color w:val="auto"/>
          <w:szCs w:val="20"/>
        </w:rPr>
      </w:pPr>
      <w:r w:rsidRPr="007F5BD4">
        <w:rPr>
          <w:rFonts w:eastAsia="Calibri" w:cs="Calibri"/>
          <w:i/>
          <w:color w:val="auto"/>
          <w:szCs w:val="20"/>
        </w:rPr>
        <w:t>The long distances to suitable disposal facilities appears to have led to some pragmatic solutions, where country landfills are permitted to accept medical / clinical waste and low level hazardous waste.</w:t>
      </w:r>
      <w:r w:rsidR="00D06841">
        <w:rPr>
          <w:rFonts w:eastAsia="Calibri" w:cs="Calibri"/>
          <w:i/>
          <w:color w:val="auto"/>
          <w:szCs w:val="20"/>
        </w:rPr>
        <w:t xml:space="preserve"> </w:t>
      </w:r>
      <w:r w:rsidRPr="007F5BD4">
        <w:rPr>
          <w:rFonts w:eastAsia="Calibri" w:cs="Calibri"/>
          <w:i/>
          <w:color w:val="auto"/>
          <w:szCs w:val="20"/>
        </w:rPr>
        <w:t xml:space="preserve">The environmental </w:t>
      </w:r>
      <w:proofErr w:type="gramStart"/>
      <w:r w:rsidRPr="007F5BD4">
        <w:rPr>
          <w:rFonts w:eastAsia="Calibri" w:cs="Calibri"/>
          <w:i/>
          <w:color w:val="auto"/>
          <w:szCs w:val="20"/>
        </w:rPr>
        <w:t>standards at WA’s rural landfills is</w:t>
      </w:r>
      <w:proofErr w:type="gramEnd"/>
      <w:r w:rsidRPr="007F5BD4">
        <w:rPr>
          <w:rFonts w:eastAsia="Calibri" w:cs="Calibri"/>
          <w:i/>
          <w:color w:val="auto"/>
          <w:szCs w:val="20"/>
        </w:rPr>
        <w:t xml:space="preserve"> highly variable.</w:t>
      </w:r>
      <w:r w:rsidR="00D06841">
        <w:rPr>
          <w:rFonts w:eastAsia="Calibri" w:cs="Calibri"/>
          <w:i/>
          <w:color w:val="auto"/>
          <w:szCs w:val="20"/>
        </w:rPr>
        <w:t xml:space="preserve"> </w:t>
      </w:r>
      <w:r w:rsidRPr="007F5BD4">
        <w:rPr>
          <w:rFonts w:eastAsia="Calibri" w:cs="Calibri"/>
          <w:i/>
          <w:color w:val="auto"/>
          <w:szCs w:val="20"/>
        </w:rPr>
        <w:t>Therefore, most would not be suitable for hazardous waste disposal.</w:t>
      </w:r>
      <w:r w:rsidR="00D06841">
        <w:rPr>
          <w:rFonts w:eastAsia="Calibri" w:cs="Calibri"/>
          <w:i/>
          <w:color w:val="auto"/>
          <w:szCs w:val="20"/>
        </w:rPr>
        <w:t xml:space="preserve"> </w:t>
      </w:r>
    </w:p>
    <w:p w:rsidR="00D43646" w:rsidRPr="00D43646" w:rsidRDefault="00D43646" w:rsidP="00D43646">
      <w:pPr>
        <w:pStyle w:val="BodyText"/>
        <w:ind w:left="567" w:right="737"/>
        <w:rPr>
          <w:rFonts w:eastAsia="Calibri" w:cs="Calibri"/>
          <w:i/>
          <w:color w:val="auto"/>
          <w:sz w:val="12"/>
          <w:szCs w:val="12"/>
        </w:rPr>
      </w:pPr>
    </w:p>
    <w:p w:rsidR="005C3A9C" w:rsidRPr="007F5BD4" w:rsidRDefault="005C3A9C" w:rsidP="007F5BD4">
      <w:pPr>
        <w:pStyle w:val="BodyText"/>
        <w:ind w:left="567" w:right="737"/>
        <w:rPr>
          <w:rFonts w:asciiTheme="minorHAnsi" w:hAnsiTheme="minorHAnsi"/>
          <w:i/>
        </w:rPr>
      </w:pPr>
      <w:r w:rsidRPr="007F5BD4">
        <w:rPr>
          <w:rFonts w:asciiTheme="minorHAnsi" w:hAnsiTheme="minorHAnsi"/>
          <w:i/>
        </w:rPr>
        <w:t>Overall, it appears that the low volume of hazardous waste generated in WA means that it has only been financially viable to have one of each of the most crucial types of hazardous waste facilities.</w:t>
      </w:r>
      <w:r w:rsidR="00D06841">
        <w:rPr>
          <w:rFonts w:asciiTheme="minorHAnsi" w:hAnsiTheme="minorHAnsi"/>
          <w:i/>
        </w:rPr>
        <w:t xml:space="preserve"> </w:t>
      </w:r>
      <w:r w:rsidRPr="007F5BD4">
        <w:rPr>
          <w:rFonts w:asciiTheme="minorHAnsi" w:hAnsiTheme="minorHAnsi"/>
          <w:i/>
        </w:rPr>
        <w:t>This leaves the State vulnerable to a stockpiling crisis if one of these facilities closes.</w:t>
      </w:r>
      <w:r w:rsidR="00D06841">
        <w:rPr>
          <w:rFonts w:asciiTheme="minorHAnsi" w:hAnsiTheme="minorHAnsi"/>
          <w:i/>
        </w:rPr>
        <w:t xml:space="preserve"> </w:t>
      </w:r>
      <w:r w:rsidRPr="007F5BD4">
        <w:rPr>
          <w:rFonts w:asciiTheme="minorHAnsi" w:hAnsiTheme="minorHAnsi"/>
          <w:i/>
        </w:rPr>
        <w:t>Further, the long distances to these single facilities, meaning limited access, has resulted in less than ideal practices for the management of hazardous waste.</w:t>
      </w:r>
      <w:r w:rsidR="00D06841">
        <w:rPr>
          <w:rFonts w:asciiTheme="minorHAnsi" w:hAnsiTheme="minorHAnsi"/>
          <w:i/>
        </w:rPr>
        <w:t xml:space="preserve"> </w:t>
      </w:r>
      <w:r w:rsidRPr="007F5BD4">
        <w:rPr>
          <w:rFonts w:asciiTheme="minorHAnsi" w:hAnsiTheme="minorHAnsi"/>
          <w:i/>
        </w:rPr>
        <w:t>The size of the problem is not really known, as the data available on hazardous waste generation is limited.</w:t>
      </w:r>
    </w:p>
    <w:p w:rsidR="00D43646" w:rsidRPr="00D43646" w:rsidRDefault="00D43646" w:rsidP="00D43646">
      <w:pPr>
        <w:pStyle w:val="BodyText"/>
        <w:ind w:left="567" w:right="737"/>
        <w:rPr>
          <w:rFonts w:eastAsia="Calibri" w:cs="Calibri"/>
          <w:i/>
          <w:color w:val="auto"/>
          <w:sz w:val="12"/>
          <w:szCs w:val="12"/>
        </w:rPr>
      </w:pPr>
    </w:p>
    <w:p w:rsidR="005C3A9C" w:rsidRPr="007F5BD4" w:rsidRDefault="005C3A9C" w:rsidP="007F5BD4">
      <w:pPr>
        <w:pStyle w:val="BodyText"/>
        <w:ind w:left="567" w:right="737"/>
        <w:rPr>
          <w:rFonts w:eastAsia="Calibri" w:cs="Calibri"/>
          <w:i/>
          <w:color w:val="auto"/>
          <w:szCs w:val="20"/>
        </w:rPr>
      </w:pPr>
      <w:r w:rsidRPr="007F5BD4">
        <w:rPr>
          <w:rFonts w:eastAsia="Calibri" w:cs="Calibri"/>
          <w:i/>
          <w:color w:val="auto"/>
          <w:szCs w:val="20"/>
        </w:rPr>
        <w:t>The largest risk appears to be a shortage in Class IV landfill capacity.</w:t>
      </w:r>
      <w:r w:rsidR="00D06841">
        <w:rPr>
          <w:rFonts w:eastAsia="Calibri" w:cs="Calibri"/>
          <w:i/>
          <w:color w:val="auto"/>
          <w:szCs w:val="20"/>
        </w:rPr>
        <w:t xml:space="preserve"> </w:t>
      </w:r>
      <w:r w:rsidRPr="007F5BD4">
        <w:rPr>
          <w:rFonts w:eastAsia="Calibri" w:cs="Calibri"/>
          <w:i/>
          <w:color w:val="auto"/>
          <w:szCs w:val="20"/>
        </w:rPr>
        <w:t>There is currently one Class IV landfill cell in the State, and it is located in Perth.</w:t>
      </w:r>
      <w:r w:rsidR="00D06841">
        <w:rPr>
          <w:rFonts w:eastAsia="Calibri" w:cs="Calibri"/>
          <w:i/>
          <w:color w:val="auto"/>
          <w:szCs w:val="20"/>
        </w:rPr>
        <w:t xml:space="preserve"> </w:t>
      </w:r>
      <w:r w:rsidRPr="007F5BD4">
        <w:rPr>
          <w:rFonts w:eastAsia="Calibri" w:cs="Calibri"/>
          <w:i/>
          <w:color w:val="auto"/>
          <w:szCs w:val="20"/>
        </w:rPr>
        <w:t>This is not convenient when the waste is generated a long way from the metropolitan area</w:t>
      </w:r>
      <w:r w:rsidR="00EA7E30">
        <w:rPr>
          <w:rFonts w:eastAsia="Calibri" w:cs="Calibri"/>
          <w:i/>
          <w:color w:val="auto"/>
          <w:szCs w:val="20"/>
        </w:rPr>
        <w:t>…</w:t>
      </w:r>
      <w:r w:rsidR="00D06841">
        <w:rPr>
          <w:rFonts w:eastAsia="Calibri" w:cs="Calibri"/>
          <w:i/>
          <w:color w:val="auto"/>
          <w:szCs w:val="20"/>
        </w:rPr>
        <w:t xml:space="preserve"> </w:t>
      </w:r>
      <w:r w:rsidRPr="007F5BD4">
        <w:rPr>
          <w:rFonts w:eastAsia="Calibri" w:cs="Calibri"/>
          <w:i/>
          <w:color w:val="auto"/>
          <w:szCs w:val="20"/>
        </w:rPr>
        <w:t>In the event that the cell closes, or a new one is not constructed when the current cell is full, then WA would be without its main disposal route for hazardous waste</w:t>
      </w:r>
      <w:r w:rsidR="00EA7E30" w:rsidRPr="007F5BD4">
        <w:rPr>
          <w:rFonts w:eastAsia="Calibri" w:cs="Calibri"/>
          <w:i/>
          <w:color w:val="auto"/>
          <w:szCs w:val="20"/>
        </w:rPr>
        <w:t>”</w:t>
      </w:r>
    </w:p>
    <w:p w:rsidR="005C3A9C" w:rsidRDefault="005C3A9C" w:rsidP="007F5BD4">
      <w:pPr>
        <w:pStyle w:val="BodyText"/>
        <w:rPr>
          <w:rFonts w:eastAsia="Calibri" w:cs="Calibri"/>
          <w:color w:val="auto"/>
          <w:szCs w:val="20"/>
        </w:rPr>
      </w:pPr>
    </w:p>
    <w:p w:rsidR="00EF7EBD" w:rsidRDefault="00EF7EBD" w:rsidP="007F5BD4">
      <w:pPr>
        <w:pStyle w:val="BodyText"/>
      </w:pPr>
      <w:r>
        <w:br w:type="page"/>
      </w:r>
    </w:p>
    <w:p w:rsidR="000D443F" w:rsidRPr="00816657" w:rsidRDefault="00135F0C" w:rsidP="00CD54A9">
      <w:pPr>
        <w:pStyle w:val="Heading1"/>
      </w:pPr>
      <w:bookmarkStart w:id="348" w:name="_Ref419458961"/>
      <w:bookmarkStart w:id="349" w:name="_Ref419458974"/>
      <w:bookmarkStart w:id="350" w:name="_Ref419968861"/>
      <w:bookmarkStart w:id="351" w:name="_Ref420055195"/>
      <w:bookmarkStart w:id="352" w:name="_Toc425849170"/>
      <w:r w:rsidRPr="00816657">
        <w:lastRenderedPageBreak/>
        <w:t xml:space="preserve">Assessment of projected need </w:t>
      </w:r>
      <w:r w:rsidR="003638AD" w:rsidRPr="00816657">
        <w:t>vs</w:t>
      </w:r>
      <w:r w:rsidR="00F01CDD" w:rsidRPr="00816657">
        <w:t>.</w:t>
      </w:r>
      <w:r w:rsidRPr="00816657">
        <w:t xml:space="preserve"> capacity of hazardous waste infrastructure</w:t>
      </w:r>
      <w:bookmarkStart w:id="353" w:name="_Toc408308730"/>
      <w:bookmarkEnd w:id="343"/>
      <w:bookmarkEnd w:id="344"/>
      <w:bookmarkEnd w:id="345"/>
      <w:bookmarkEnd w:id="346"/>
      <w:bookmarkEnd w:id="347"/>
      <w:bookmarkEnd w:id="348"/>
      <w:bookmarkEnd w:id="349"/>
      <w:bookmarkEnd w:id="350"/>
      <w:bookmarkEnd w:id="351"/>
      <w:bookmarkEnd w:id="352"/>
    </w:p>
    <w:p w:rsidR="00CA5534" w:rsidRDefault="00CA5534" w:rsidP="002A2050">
      <w:pPr>
        <w:pStyle w:val="BodyText"/>
      </w:pPr>
      <w:r w:rsidRPr="00816657">
        <w:t xml:space="preserve">Having generated projections of the arisings of hazardous waste in Section </w:t>
      </w:r>
      <w:r w:rsidR="006D07F5" w:rsidRPr="00816657">
        <w:fldChar w:fldCharType="begin"/>
      </w:r>
      <w:r w:rsidRPr="00816657">
        <w:instrText xml:space="preserve"> REF _Ref409382101 \r \h </w:instrText>
      </w:r>
      <w:r w:rsidR="006D07F5" w:rsidRPr="00816657">
        <w:fldChar w:fldCharType="separate"/>
      </w:r>
      <w:r w:rsidR="002F3000">
        <w:t>2</w:t>
      </w:r>
      <w:r w:rsidR="006D07F5" w:rsidRPr="00816657">
        <w:fldChar w:fldCharType="end"/>
      </w:r>
      <w:r w:rsidRPr="00816657">
        <w:t xml:space="preserve"> and estimated infrastructure capacity in Section </w:t>
      </w:r>
      <w:r w:rsidR="006D07F5" w:rsidRPr="00816657">
        <w:fldChar w:fldCharType="begin"/>
      </w:r>
      <w:r w:rsidRPr="00816657">
        <w:instrText xml:space="preserve"> REF _Ref409382111 \r \h </w:instrText>
      </w:r>
      <w:r w:rsidR="006D07F5" w:rsidRPr="00816657">
        <w:fldChar w:fldCharType="separate"/>
      </w:r>
      <w:r w:rsidR="002F3000">
        <w:t>3</w:t>
      </w:r>
      <w:r w:rsidR="006D07F5" w:rsidRPr="00816657">
        <w:fldChar w:fldCharType="end"/>
      </w:r>
      <w:r w:rsidRPr="00816657">
        <w:t xml:space="preserve">, this section of the report compares the two to identify wastes and jurisdictions where an expansion of capacity may be needed during the 20-year projection period. </w:t>
      </w:r>
      <w:r>
        <w:t>Before presenting the assessment of projection of need vs. capacity, this section outlines the method steps for completing the assessment and also provides analysis of the limitations and levels of</w:t>
      </w:r>
      <w:r w:rsidR="002A2050">
        <w:t xml:space="preserve"> uncertainty of the assessment. </w:t>
      </w:r>
      <w:r>
        <w:t xml:space="preserve">As discussed in </w:t>
      </w:r>
      <w:r w:rsidR="006D07F5">
        <w:fldChar w:fldCharType="begin"/>
      </w:r>
      <w:r>
        <w:instrText xml:space="preserve"> REF _Ref419402884 \r \h </w:instrText>
      </w:r>
      <w:r w:rsidR="006D07F5">
        <w:fldChar w:fldCharType="separate"/>
      </w:r>
      <w:r w:rsidR="002F3000">
        <w:t>4.2</w:t>
      </w:r>
      <w:r w:rsidR="006D07F5">
        <w:fldChar w:fldCharType="end"/>
      </w:r>
      <w:r>
        <w:t xml:space="preserve"> there are several factors that limit the completeness of the assessment and/or increase the levels of uncertainty.</w:t>
      </w:r>
    </w:p>
    <w:p w:rsidR="00180464" w:rsidRDefault="00180464" w:rsidP="007F5BD4">
      <w:pPr>
        <w:pStyle w:val="BodyText"/>
      </w:pPr>
      <w:bookmarkStart w:id="354" w:name="_Toc419449192"/>
      <w:bookmarkStart w:id="355" w:name="_Toc419449193"/>
      <w:bookmarkEnd w:id="354"/>
    </w:p>
    <w:p w:rsidR="00CA5534" w:rsidRPr="00816657" w:rsidRDefault="00CA5534">
      <w:pPr>
        <w:pStyle w:val="Heading2"/>
      </w:pPr>
      <w:bookmarkStart w:id="356" w:name="_Ref419553398"/>
      <w:bookmarkStart w:id="357" w:name="_Toc425849171"/>
      <w:r w:rsidRPr="00192ED3">
        <w:t>Method</w:t>
      </w:r>
      <w:bookmarkEnd w:id="355"/>
      <w:bookmarkEnd w:id="356"/>
      <w:bookmarkEnd w:id="357"/>
    </w:p>
    <w:p w:rsidR="00CA5534" w:rsidRDefault="00CA5534" w:rsidP="00CA5534">
      <w:pPr>
        <w:pStyle w:val="BodyText"/>
      </w:pPr>
      <w:r w:rsidRPr="00816657">
        <w:t>The assessment of need against capacity involved four main steps</w:t>
      </w:r>
      <w:r>
        <w:t xml:space="preserve"> discussed below.</w:t>
      </w:r>
    </w:p>
    <w:p w:rsidR="00CA5534" w:rsidRDefault="00CA5534" w:rsidP="00CA5534">
      <w:pPr>
        <w:pStyle w:val="BodyText"/>
      </w:pPr>
    </w:p>
    <w:p w:rsidR="00CA5534" w:rsidRPr="00816657" w:rsidRDefault="00CA5534" w:rsidP="00CA5534">
      <w:pPr>
        <w:pStyle w:val="Heading3"/>
      </w:pPr>
      <w:r>
        <w:t>Step 1: determin</w:t>
      </w:r>
      <w:r w:rsidR="002A2050">
        <w:t>e</w:t>
      </w:r>
      <w:r>
        <w:t xml:space="preserve"> the assumed fate of waste groups </w:t>
      </w:r>
    </w:p>
    <w:p w:rsidR="002F3000" w:rsidRDefault="00CA5534" w:rsidP="008C0AE0">
      <w:pPr>
        <w:pStyle w:val="BodyText"/>
      </w:pPr>
      <w:r w:rsidRPr="00816657">
        <w:t xml:space="preserve">The fate of 2012-13 waste arisings are known for NSW, Qld and Vic and </w:t>
      </w:r>
      <w:r>
        <w:t xml:space="preserve">are included </w:t>
      </w:r>
      <w:r w:rsidRPr="00816657">
        <w:t xml:space="preserve">in </w:t>
      </w:r>
      <w:r w:rsidR="006D07F5" w:rsidRPr="00816657">
        <w:fldChar w:fldCharType="begin"/>
      </w:r>
      <w:r w:rsidRPr="00816657">
        <w:instrText xml:space="preserve"> REF _Ref408852840 \h </w:instrText>
      </w:r>
      <w:r w:rsidR="006D07F5" w:rsidRPr="00816657">
        <w:fldChar w:fldCharType="separate"/>
      </w:r>
      <w:r w:rsidR="002F3000" w:rsidRPr="00816657">
        <w:t xml:space="preserve">Figure </w:t>
      </w:r>
      <w:r w:rsidR="002F3000">
        <w:rPr>
          <w:noProof/>
        </w:rPr>
        <w:t>35</w:t>
      </w:r>
      <w:r w:rsidR="006D07F5" w:rsidRPr="00816657">
        <w:fldChar w:fldCharType="end"/>
      </w:r>
      <w:r w:rsidRPr="00816657">
        <w:t xml:space="preserve"> to </w:t>
      </w:r>
      <w:r w:rsidR="006D07F5" w:rsidRPr="00816657">
        <w:fldChar w:fldCharType="begin"/>
      </w:r>
      <w:r w:rsidRPr="00816657">
        <w:instrText xml:space="preserve"> REF _Ref409270313 \h </w:instrText>
      </w:r>
      <w:r w:rsidR="006D07F5" w:rsidRPr="00816657">
        <w:fldChar w:fldCharType="separate"/>
      </w:r>
    </w:p>
    <w:p w:rsidR="00CA5534" w:rsidRDefault="002F3000" w:rsidP="00CA5534">
      <w:pPr>
        <w:pStyle w:val="BodyText"/>
      </w:pPr>
      <w:proofErr w:type="gramStart"/>
      <w:r w:rsidRPr="00816657">
        <w:t xml:space="preserve">Figure </w:t>
      </w:r>
      <w:r>
        <w:rPr>
          <w:noProof/>
        </w:rPr>
        <w:t>38</w:t>
      </w:r>
      <w:r w:rsidR="006D07F5" w:rsidRPr="00816657">
        <w:fldChar w:fldCharType="end"/>
      </w:r>
      <w:r w:rsidR="00CA5534" w:rsidRPr="00816657">
        <w:t xml:space="preserve"> </w:t>
      </w:r>
      <w:r w:rsidR="00CA5534">
        <w:t>(above).</w:t>
      </w:r>
      <w:proofErr w:type="gramEnd"/>
      <w:r w:rsidR="00CA5534" w:rsidRPr="00816657">
        <w:t xml:space="preserve"> </w:t>
      </w:r>
    </w:p>
    <w:p w:rsidR="00CA5534" w:rsidRDefault="00CA5534" w:rsidP="00CA5534">
      <w:pPr>
        <w:pStyle w:val="BodyText"/>
      </w:pPr>
    </w:p>
    <w:p w:rsidR="00CA5534" w:rsidRPr="00816657" w:rsidRDefault="00CA5534" w:rsidP="00CA5534">
      <w:pPr>
        <w:pStyle w:val="BodyText"/>
      </w:pPr>
      <w:r>
        <w:t xml:space="preserve">The </w:t>
      </w:r>
      <w:r w:rsidRPr="00E01FC8">
        <w:t>fate allocation</w:t>
      </w:r>
      <w:r>
        <w:t xml:space="preserve">s for NSW, Qld, Vic and the national average all required a number of </w:t>
      </w:r>
      <w:r w:rsidRPr="00816657">
        <w:t>adjust</w:t>
      </w:r>
      <w:r>
        <w:t xml:space="preserve">ments which are </w:t>
      </w:r>
      <w:r w:rsidRPr="00816657">
        <w:t xml:space="preserve">summarised in </w:t>
      </w:r>
      <w:r w:rsidR="006D07F5" w:rsidRPr="00816657">
        <w:fldChar w:fldCharType="begin"/>
      </w:r>
      <w:r w:rsidRPr="00816657">
        <w:instrText xml:space="preserve"> REF _Ref409382689 \h </w:instrText>
      </w:r>
      <w:r w:rsidR="006D07F5" w:rsidRPr="00816657">
        <w:fldChar w:fldCharType="separate"/>
      </w:r>
      <w:r w:rsidR="002F3000" w:rsidRPr="00816657">
        <w:t xml:space="preserve">Table </w:t>
      </w:r>
      <w:r w:rsidR="002F3000">
        <w:rPr>
          <w:noProof/>
        </w:rPr>
        <w:t>53</w:t>
      </w:r>
      <w:r w:rsidR="006D07F5" w:rsidRPr="00816657">
        <w:fldChar w:fldCharType="end"/>
      </w:r>
      <w:r w:rsidRPr="00816657">
        <w:t>. The adjustments were needed for various reasons, including that:</w:t>
      </w:r>
    </w:p>
    <w:p w:rsidR="00CA5534" w:rsidRPr="00816657" w:rsidRDefault="00CA5534" w:rsidP="002A2050">
      <w:pPr>
        <w:pStyle w:val="Bullet1"/>
      </w:pPr>
      <w:r w:rsidRPr="00816657">
        <w:t>some smaller allocations of waste fates are apparently mistaken (e.g. mercury waste is unlikely to have been incinerated)</w:t>
      </w:r>
    </w:p>
    <w:p w:rsidR="00CA5534" w:rsidRPr="00816657" w:rsidRDefault="00CA5534" w:rsidP="002A2050">
      <w:pPr>
        <w:pStyle w:val="Bullet1"/>
      </w:pPr>
      <w:r w:rsidRPr="00816657">
        <w:t>the infrastructure group ‘chemical or physical treatment’ is broad, and likely to include some waste fates apart from treatment (e.g. some recycling or biodegradation)</w:t>
      </w:r>
    </w:p>
    <w:p w:rsidR="00CA5534" w:rsidRPr="00816657" w:rsidRDefault="00CA5534" w:rsidP="002A2050">
      <w:pPr>
        <w:pStyle w:val="Bullet1"/>
      </w:pPr>
      <w:r w:rsidRPr="00816657">
        <w:t>similarly, some waste allocated to ‘treatment’ are better considered ‘recycling’</w:t>
      </w:r>
    </w:p>
    <w:p w:rsidR="00CA5534" w:rsidRDefault="00CA5534" w:rsidP="002A2050">
      <w:pPr>
        <w:pStyle w:val="Bullet1"/>
      </w:pPr>
      <w:proofErr w:type="gramStart"/>
      <w:r w:rsidRPr="00816657">
        <w:t>some</w:t>
      </w:r>
      <w:proofErr w:type="gramEnd"/>
      <w:r w:rsidRPr="00816657">
        <w:t xml:space="preserve"> allocations are very small and not material to this assessment.</w:t>
      </w:r>
    </w:p>
    <w:p w:rsidR="00CA5534" w:rsidRDefault="00CA5534" w:rsidP="00CA5534">
      <w:pPr>
        <w:pStyle w:val="BodyText"/>
      </w:pPr>
    </w:p>
    <w:p w:rsidR="00CA5534" w:rsidRDefault="00CA5534" w:rsidP="00CA5534">
      <w:pPr>
        <w:pStyle w:val="BodyText"/>
      </w:pPr>
      <w:r>
        <w:t xml:space="preserve">Note: the projections for waste group T140 Tyres was excluded from the capacity assessment at this stage. Historical fate data for tyres was only available from Qld and, more importantly, tyres are not sent hazardous waste infrastructure apart from the </w:t>
      </w:r>
      <w:r>
        <w:rPr>
          <w:rFonts w:cs="Times New Roman"/>
          <w:color w:val="000000"/>
          <w:szCs w:val="20"/>
          <w:lang w:eastAsia="en-AU"/>
        </w:rPr>
        <w:t>Landfill fac. (NEPM codes N, T only)</w:t>
      </w:r>
      <w:r>
        <w:t xml:space="preserve"> group, which is out of the scope of the capacity assessment.</w:t>
      </w:r>
    </w:p>
    <w:p w:rsidR="00CA5534" w:rsidRDefault="00CA5534" w:rsidP="00CA5534">
      <w:pPr>
        <w:pStyle w:val="BodyText"/>
      </w:pPr>
      <w:r>
        <w:t xml:space="preserve"> </w:t>
      </w:r>
    </w:p>
    <w:p w:rsidR="00CA5534" w:rsidRDefault="00CA5534" w:rsidP="00CA5534">
      <w:pPr>
        <w:pStyle w:val="Heading3"/>
      </w:pPr>
      <w:r>
        <w:t>Step 2: map waste groups fate data to infrastructure groups</w:t>
      </w:r>
    </w:p>
    <w:p w:rsidR="00CA5534" w:rsidRDefault="00CA5534" w:rsidP="00CA5534">
      <w:pPr>
        <w:pStyle w:val="BodyText"/>
      </w:pPr>
      <w:r w:rsidRPr="00816657">
        <w:t xml:space="preserve">For each waste group, the adjusted fates were </w:t>
      </w:r>
      <w:r>
        <w:t>‘</w:t>
      </w:r>
      <w:r w:rsidRPr="00816657">
        <w:t>mapped</w:t>
      </w:r>
      <w:r>
        <w:t>’</w:t>
      </w:r>
      <w:r w:rsidRPr="00816657">
        <w:t xml:space="preserve"> to an infrastructure group.</w:t>
      </w:r>
      <w:r>
        <w:t xml:space="preserve"> In other words, the infrastructure group most likely to receive the particular fate was selected. Examples:</w:t>
      </w:r>
    </w:p>
    <w:p w:rsidR="00CA5534" w:rsidRPr="007F5BD4" w:rsidRDefault="00CA5534" w:rsidP="002A2050">
      <w:pPr>
        <w:pStyle w:val="Bullet1"/>
      </w:pPr>
      <w:proofErr w:type="gramStart"/>
      <w:r w:rsidRPr="00341C59">
        <w:t>the</w:t>
      </w:r>
      <w:proofErr w:type="gramEnd"/>
      <w:r w:rsidRPr="00341C59">
        <w:t xml:space="preserve"> Plating &amp; heat treatment waste group with a fate of chemical or physical treatment was mapped to CPT plant fac. </w:t>
      </w:r>
    </w:p>
    <w:p w:rsidR="00CA5534" w:rsidRPr="007F5BD4" w:rsidRDefault="00CA5534" w:rsidP="002A2050">
      <w:pPr>
        <w:pStyle w:val="Bullet1"/>
      </w:pPr>
      <w:proofErr w:type="gramStart"/>
      <w:r w:rsidRPr="00341C59">
        <w:t>the</w:t>
      </w:r>
      <w:proofErr w:type="gramEnd"/>
      <w:r w:rsidRPr="00341C59">
        <w:t xml:space="preserve"> Plating &amp; heat treatment waste group with a fate of disposal was mapped to Hazwaste landfill fac.</w:t>
      </w:r>
    </w:p>
    <w:p w:rsidR="00CA5534" w:rsidRPr="007F5BD4" w:rsidRDefault="00CA5534" w:rsidP="002A2050">
      <w:pPr>
        <w:pStyle w:val="Bullet1"/>
      </w:pPr>
      <w:proofErr w:type="gramStart"/>
      <w:r w:rsidRPr="00341C59">
        <w:t>the</w:t>
      </w:r>
      <w:proofErr w:type="gramEnd"/>
      <w:r w:rsidRPr="00341C59">
        <w:t xml:space="preserve"> Asbestos waste group with a disposal fate was mapped to the Landfill fac. (NEPM codes N, T only).</w:t>
      </w:r>
    </w:p>
    <w:p w:rsidR="002A2050" w:rsidRDefault="002A2050">
      <w:pPr>
        <w:pStyle w:val="BodyText"/>
      </w:pPr>
    </w:p>
    <w:p w:rsidR="00341C59" w:rsidRDefault="00CA5534">
      <w:pPr>
        <w:pStyle w:val="BodyText"/>
      </w:pPr>
      <w:r w:rsidRPr="00816657">
        <w:t xml:space="preserve">The </w:t>
      </w:r>
      <w:r>
        <w:t xml:space="preserve">full </w:t>
      </w:r>
      <w:r w:rsidRPr="00816657">
        <w:t xml:space="preserve">mapping process is illustrated in </w:t>
      </w:r>
      <w:r w:rsidR="006D07F5" w:rsidRPr="00816657">
        <w:fldChar w:fldCharType="begin"/>
      </w:r>
      <w:r w:rsidRPr="00816657">
        <w:instrText xml:space="preserve"> REF _Ref409279813 \h </w:instrText>
      </w:r>
      <w:r w:rsidR="006D07F5" w:rsidRPr="00816657">
        <w:fldChar w:fldCharType="separate"/>
      </w:r>
      <w:r w:rsidR="002F3000" w:rsidRPr="00816657">
        <w:t xml:space="preserve">Table </w:t>
      </w:r>
      <w:r w:rsidR="002F3000">
        <w:rPr>
          <w:noProof/>
        </w:rPr>
        <w:t>54</w:t>
      </w:r>
      <w:r w:rsidR="006D07F5" w:rsidRPr="00816657">
        <w:fldChar w:fldCharType="end"/>
      </w:r>
      <w:r w:rsidRPr="00816657">
        <w:t>.</w:t>
      </w:r>
    </w:p>
    <w:p w:rsidR="00341C59" w:rsidRDefault="00341C59">
      <w:pPr>
        <w:pStyle w:val="BodyText"/>
      </w:pPr>
    </w:p>
    <w:p w:rsidR="00341C59" w:rsidRDefault="00341C59">
      <w:pPr>
        <w:pStyle w:val="BodyText"/>
      </w:pPr>
    </w:p>
    <w:p w:rsidR="00CA5534" w:rsidRDefault="006D07F5">
      <w:pPr>
        <w:pStyle w:val="BodyText"/>
      </w:pPr>
      <w:fldSimple w:instr=" REF _Ref421043373 \h  \* MERGEFORMAT ">
        <w:r w:rsidR="002F3000" w:rsidRPr="002F3000">
          <w:rPr>
            <w:rFonts w:asciiTheme="minorHAnsi" w:hAnsiTheme="minorHAnsi" w:cs="Calibri"/>
            <w:noProof/>
            <w:color w:val="auto"/>
          </w:rPr>
          <w:t>Table 55</w:t>
        </w:r>
      </w:fldSimple>
      <w:r w:rsidR="002A2050">
        <w:rPr>
          <w:color w:val="auto"/>
        </w:rPr>
        <w:t xml:space="preserve"> </w:t>
      </w:r>
      <w:r w:rsidR="00CA5534" w:rsidRPr="007F5BD4">
        <w:rPr>
          <w:color w:val="auto"/>
        </w:rPr>
        <w:t>(i</w:t>
      </w:r>
      <w:r w:rsidR="00CA5534">
        <w:t xml:space="preserve">n Section </w:t>
      </w:r>
      <w:r>
        <w:fldChar w:fldCharType="begin"/>
      </w:r>
      <w:r w:rsidR="00CA5534">
        <w:instrText xml:space="preserve"> REF _Ref419402884 \r \h </w:instrText>
      </w:r>
      <w:r>
        <w:fldChar w:fldCharType="separate"/>
      </w:r>
      <w:r w:rsidR="002F3000">
        <w:t>4.2</w:t>
      </w:r>
      <w:r>
        <w:fldChar w:fldCharType="end"/>
      </w:r>
      <w:r w:rsidR="00CA5534">
        <w:t xml:space="preserve">) </w:t>
      </w:r>
      <w:r w:rsidR="00137CEB">
        <w:t xml:space="preserve">shows </w:t>
      </w:r>
      <w:r w:rsidR="00CA5534">
        <w:t>the outcome of steps 1 and 2 above for each waste group and shows the national average fate proportions mapped to infrastructure groups.</w:t>
      </w:r>
      <w:r w:rsidR="007C6937">
        <w:t xml:space="preserve"> Note: w</w:t>
      </w:r>
      <w:r w:rsidR="007C6937" w:rsidRPr="00816657">
        <w:t>here</w:t>
      </w:r>
      <w:r w:rsidR="007C6937">
        <w:t xml:space="preserve"> </w:t>
      </w:r>
      <w:r w:rsidR="007C6937" w:rsidRPr="00816657">
        <w:t xml:space="preserve">jurisdictional-specific </w:t>
      </w:r>
      <w:r w:rsidR="007C6937" w:rsidRPr="00816657">
        <w:lastRenderedPageBreak/>
        <w:t xml:space="preserve">fate </w:t>
      </w:r>
      <w:r w:rsidR="007C6937">
        <w:t xml:space="preserve">proportions </w:t>
      </w:r>
      <w:r w:rsidR="007C6937" w:rsidRPr="00816657">
        <w:t>w</w:t>
      </w:r>
      <w:r w:rsidR="007C6937">
        <w:t>ere</w:t>
      </w:r>
      <w:r w:rsidR="007C6937" w:rsidRPr="00816657">
        <w:t xml:space="preserve"> available (NSW, Qld, Vic), </w:t>
      </w:r>
      <w:r w:rsidR="007C6937">
        <w:t>this</w:t>
      </w:r>
      <w:r w:rsidR="007C6937" w:rsidRPr="00816657">
        <w:t xml:space="preserve"> data was used. </w:t>
      </w:r>
      <w:r w:rsidR="007C6937">
        <w:t xml:space="preserve">For SA, WA, NT, </w:t>
      </w:r>
      <w:proofErr w:type="gramStart"/>
      <w:r w:rsidR="007C6937">
        <w:t>Tas</w:t>
      </w:r>
      <w:proofErr w:type="gramEnd"/>
      <w:r w:rsidR="007C6937">
        <w:t xml:space="preserve">, ACT, </w:t>
      </w:r>
      <w:r w:rsidR="007C6937" w:rsidRPr="00816657">
        <w:t>the weighted average proportions</w:t>
      </w:r>
      <w:r w:rsidR="007C6937">
        <w:t xml:space="preserve"> shown in the table </w:t>
      </w:r>
      <w:r w:rsidR="007C6937" w:rsidRPr="00816657">
        <w:t>were applied.</w:t>
      </w:r>
    </w:p>
    <w:p w:rsidR="00CA5534" w:rsidRDefault="00CA5534" w:rsidP="00CA5534">
      <w:pPr>
        <w:pStyle w:val="BodyText"/>
      </w:pPr>
    </w:p>
    <w:p w:rsidR="00CA5534" w:rsidRPr="00816657" w:rsidRDefault="00CA5534" w:rsidP="00CA5534">
      <w:pPr>
        <w:pStyle w:val="Heading3"/>
      </w:pPr>
      <w:r>
        <w:t>Step 3: combin</w:t>
      </w:r>
      <w:r w:rsidR="002A2050">
        <w:t>e</w:t>
      </w:r>
      <w:r>
        <w:t xml:space="preserve"> waste group projections, assumed fate, and infrastructure group capacity</w:t>
      </w:r>
    </w:p>
    <w:p w:rsidR="00CA5534" w:rsidRDefault="00CA5534" w:rsidP="00CA5534">
      <w:pPr>
        <w:pStyle w:val="BodyText"/>
      </w:pPr>
      <w:r w:rsidRPr="00816657">
        <w:t>The tonnes of each waste group going to each infrastructure group were projected for each year and scenario</w:t>
      </w:r>
      <w:r>
        <w:t xml:space="preserve"> (high</w:t>
      </w:r>
      <w:r w:rsidRPr="00816657">
        <w:t>,</w:t>
      </w:r>
      <w:r>
        <w:t xml:space="preserve"> best and low). </w:t>
      </w:r>
    </w:p>
    <w:p w:rsidR="00CA5534" w:rsidRDefault="00CA5534" w:rsidP="00CA5534">
      <w:pPr>
        <w:pStyle w:val="BodyText"/>
      </w:pPr>
    </w:p>
    <w:p w:rsidR="00CA5534" w:rsidRDefault="00CA5534" w:rsidP="00CA5534">
      <w:pPr>
        <w:pStyle w:val="BodyText"/>
      </w:pPr>
      <w:r>
        <w:t xml:space="preserve">The proportions of fate determined in Step 1 (above) are assumed </w:t>
      </w:r>
      <w:r w:rsidRPr="002A2050">
        <w:t>to remain constant</w:t>
      </w:r>
      <w:r w:rsidRPr="00816657">
        <w:t xml:space="preserve"> </w:t>
      </w:r>
      <w:r>
        <w:t>over the projection period of 20 years</w:t>
      </w:r>
      <w:r w:rsidRPr="00816657">
        <w:t>.</w:t>
      </w:r>
      <w:r>
        <w:t xml:space="preserve"> It is likely that the actual proportions of fate will change over the projection period and by varying amounts in different jurisdictions. A change in the fate proportions will directly affect the capacity needs of the infrastructure groups. For example</w:t>
      </w:r>
      <w:r w:rsidR="002A2050">
        <w:t>,</w:t>
      </w:r>
      <w:r>
        <w:t xml:space="preserve"> an increase in recycling would require additional recycling capacity and reduce the demands on the disposal capacity. As </w:t>
      </w:r>
      <w:r w:rsidR="00DA61B6">
        <w:t>discussed</w:t>
      </w:r>
      <w:r>
        <w:t xml:space="preserve"> in Section </w:t>
      </w:r>
      <w:r w:rsidR="006D07F5">
        <w:fldChar w:fldCharType="begin"/>
      </w:r>
      <w:r>
        <w:instrText xml:space="preserve"> REF _Ref419402884 \r \h </w:instrText>
      </w:r>
      <w:r w:rsidR="006D07F5">
        <w:fldChar w:fldCharType="separate"/>
      </w:r>
      <w:r w:rsidR="002F3000">
        <w:t>4.2</w:t>
      </w:r>
      <w:r w:rsidR="006D07F5">
        <w:fldChar w:fldCharType="end"/>
      </w:r>
      <w:r>
        <w:t xml:space="preserve"> having limited data on the current and future fates of waste groups limits the accuracy of the capacity assessment.</w:t>
      </w:r>
    </w:p>
    <w:p w:rsidR="00CA5534" w:rsidRDefault="00CA5534" w:rsidP="00CA5534">
      <w:pPr>
        <w:pStyle w:val="ListNumber"/>
        <w:ind w:left="360"/>
      </w:pPr>
    </w:p>
    <w:p w:rsidR="00CA5534" w:rsidRPr="00816657" w:rsidRDefault="00CA5534" w:rsidP="00CA5534">
      <w:pPr>
        <w:pStyle w:val="Heading3"/>
      </w:pPr>
      <w:r>
        <w:t>Step 4: assess the period when waste group projections exceed the inf</w:t>
      </w:r>
      <w:r w:rsidR="002A2050">
        <w:t>rastructure</w:t>
      </w:r>
      <w:r>
        <w:t xml:space="preserve"> group capacity</w:t>
      </w:r>
    </w:p>
    <w:p w:rsidR="00F01CDD" w:rsidRPr="00816657" w:rsidRDefault="00CA5534" w:rsidP="007F5BD4">
      <w:pPr>
        <w:pStyle w:val="ListNumber"/>
      </w:pPr>
      <w:r w:rsidRPr="00816657">
        <w:t xml:space="preserve">The projected tonnages sent to each infrastructure group were then compared with </w:t>
      </w:r>
      <w:r>
        <w:t xml:space="preserve">the potential </w:t>
      </w:r>
      <w:r w:rsidRPr="00816657">
        <w:t>capacity</w:t>
      </w:r>
      <w:r>
        <w:t xml:space="preserve"> of the infrastructure group </w:t>
      </w:r>
      <w:r w:rsidRPr="00816657">
        <w:t>to obtain an estimate of when potential capacity would be exceeded by the allocated arisings.</w:t>
      </w:r>
    </w:p>
    <w:p w:rsidR="00200249" w:rsidRPr="00816657" w:rsidRDefault="00200249" w:rsidP="00200249">
      <w:pPr>
        <w:pStyle w:val="ListNumber"/>
      </w:pPr>
    </w:p>
    <w:p w:rsidR="00200249" w:rsidRPr="00816657" w:rsidRDefault="00200249" w:rsidP="00200249">
      <w:pPr>
        <w:pStyle w:val="ListNumber"/>
        <w:sectPr w:rsidR="00200249" w:rsidRPr="00816657" w:rsidSect="00AA258B">
          <w:headerReference w:type="default" r:id="rId155"/>
          <w:footerReference w:type="default" r:id="rId156"/>
          <w:pgSz w:w="11907" w:h="16840" w:code="9"/>
          <w:pgMar w:top="1531" w:right="1077" w:bottom="1134" w:left="1304" w:header="709" w:footer="709" w:gutter="0"/>
          <w:cols w:space="708"/>
          <w:docGrid w:linePitch="360"/>
        </w:sectPr>
      </w:pPr>
    </w:p>
    <w:p w:rsidR="00931630" w:rsidRPr="00816657" w:rsidRDefault="00931630" w:rsidP="00F5626F">
      <w:pPr>
        <w:pStyle w:val="BodyText"/>
        <w:rPr>
          <w:sz w:val="2"/>
          <w:szCs w:val="2"/>
        </w:rPr>
      </w:pPr>
    </w:p>
    <w:p w:rsidR="00F01CDD" w:rsidRPr="00816657" w:rsidRDefault="00F01CDD" w:rsidP="00655F62">
      <w:pPr>
        <w:pStyle w:val="Figures"/>
      </w:pPr>
      <w:bookmarkStart w:id="358" w:name="_Ref409382689"/>
      <w:bookmarkStart w:id="359" w:name="_Toc425849338"/>
      <w:r w:rsidRPr="00816657">
        <w:t xml:space="preserve">Table </w:t>
      </w:r>
      <w:fldSimple w:instr=" SEQ Table \* ARABIC ">
        <w:r w:rsidR="002F3000">
          <w:rPr>
            <w:noProof/>
          </w:rPr>
          <w:t>53</w:t>
        </w:r>
      </w:fldSimple>
      <w:bookmarkEnd w:id="358"/>
      <w:r w:rsidRPr="00816657">
        <w:t xml:space="preserve">: </w:t>
      </w:r>
      <w:r w:rsidRPr="00816657">
        <w:tab/>
        <w:t>Adjustments made to the jurisdictional fate data to enable assessment of need vs. capacity</w:t>
      </w:r>
      <w:bookmarkEnd w:id="359"/>
    </w:p>
    <w:tbl>
      <w:tblPr>
        <w:tblW w:w="14884" w:type="dxa"/>
        <w:tblInd w:w="108" w:type="dxa"/>
        <w:tblCellMar>
          <w:top w:w="17" w:type="dxa"/>
          <w:bottom w:w="17" w:type="dxa"/>
        </w:tblCellMar>
        <w:tblLook w:val="04A0"/>
      </w:tblPr>
      <w:tblGrid>
        <w:gridCol w:w="1276"/>
        <w:gridCol w:w="3119"/>
        <w:gridCol w:w="2409"/>
        <w:gridCol w:w="8080"/>
      </w:tblGrid>
      <w:tr w:rsidR="00CA5534" w:rsidRPr="00816657" w:rsidTr="008A0976">
        <w:tc>
          <w:tcPr>
            <w:tcW w:w="1276" w:type="dxa"/>
            <w:tcBorders>
              <w:top w:val="single" w:sz="4" w:space="0" w:color="808080"/>
              <w:left w:val="nil"/>
              <w:bottom w:val="single" w:sz="4" w:space="0" w:color="808080"/>
              <w:right w:val="nil"/>
            </w:tcBorders>
            <w:shd w:val="clear" w:color="auto" w:fill="auto"/>
            <w:noWrap/>
            <w:vAlign w:val="center"/>
          </w:tcPr>
          <w:p w:rsidR="00CA5534" w:rsidRPr="00816657" w:rsidRDefault="00CA5534" w:rsidP="00581E62">
            <w:pPr>
              <w:spacing w:line="240" w:lineRule="auto"/>
              <w:rPr>
                <w:rFonts w:cs="Times New Roman"/>
                <w:b/>
                <w:color w:val="000000"/>
                <w:szCs w:val="20"/>
                <w:lang w:eastAsia="en-AU"/>
              </w:rPr>
            </w:pPr>
          </w:p>
        </w:tc>
        <w:tc>
          <w:tcPr>
            <w:tcW w:w="3119" w:type="dxa"/>
            <w:tcBorders>
              <w:top w:val="single" w:sz="4" w:space="0" w:color="808080"/>
              <w:left w:val="nil"/>
              <w:bottom w:val="single" w:sz="4" w:space="0" w:color="808080"/>
              <w:right w:val="single" w:sz="4" w:space="0" w:color="808080"/>
            </w:tcBorders>
            <w:shd w:val="clear" w:color="auto" w:fill="auto"/>
            <w:noWrap/>
            <w:vAlign w:val="center"/>
          </w:tcPr>
          <w:p w:rsidR="00CA5534" w:rsidRPr="00816657" w:rsidRDefault="00CA5534" w:rsidP="00581E62">
            <w:pPr>
              <w:spacing w:line="240" w:lineRule="auto"/>
              <w:rPr>
                <w:rFonts w:cs="Times New Roman"/>
                <w:b/>
                <w:color w:val="000000"/>
                <w:szCs w:val="20"/>
                <w:lang w:eastAsia="en-AU"/>
              </w:rPr>
            </w:pPr>
            <w:r w:rsidRPr="00816657">
              <w:rPr>
                <w:rFonts w:cs="Times New Roman"/>
                <w:b/>
                <w:color w:val="000000"/>
                <w:szCs w:val="20"/>
                <w:lang w:eastAsia="en-AU"/>
              </w:rPr>
              <w:t>Waste group</w:t>
            </w:r>
          </w:p>
        </w:tc>
        <w:tc>
          <w:tcPr>
            <w:tcW w:w="2409" w:type="dxa"/>
            <w:tcBorders>
              <w:top w:val="single" w:sz="4" w:space="0" w:color="808080"/>
              <w:left w:val="nil"/>
              <w:bottom w:val="single" w:sz="4" w:space="0" w:color="808080"/>
              <w:right w:val="single" w:sz="4" w:space="0" w:color="808080"/>
            </w:tcBorders>
            <w:vAlign w:val="center"/>
          </w:tcPr>
          <w:p w:rsidR="00CA5534" w:rsidRPr="00816657" w:rsidRDefault="00CA67DC" w:rsidP="00581E62">
            <w:pPr>
              <w:spacing w:line="240" w:lineRule="auto"/>
              <w:rPr>
                <w:b/>
                <w:bCs/>
                <w:color w:val="0C0C0C" w:themeColor="text1"/>
                <w:szCs w:val="20"/>
              </w:rPr>
            </w:pPr>
            <w:r>
              <w:rPr>
                <w:b/>
                <w:bCs/>
                <w:color w:val="0C0C0C" w:themeColor="text1"/>
                <w:szCs w:val="20"/>
              </w:rPr>
              <w:t>Fa</w:t>
            </w:r>
            <w:r w:rsidR="00CA5534" w:rsidRPr="00816657">
              <w:rPr>
                <w:b/>
                <w:bCs/>
                <w:color w:val="0C0C0C" w:themeColor="text1"/>
                <w:szCs w:val="20"/>
              </w:rPr>
              <w:t xml:space="preserve">te </w:t>
            </w:r>
            <w:r>
              <w:rPr>
                <w:b/>
                <w:bCs/>
                <w:color w:val="0C0C0C" w:themeColor="text1"/>
                <w:szCs w:val="20"/>
              </w:rPr>
              <w:t xml:space="preserve">data </w:t>
            </w:r>
            <w:r w:rsidR="00CA5534">
              <w:rPr>
                <w:b/>
                <w:bCs/>
                <w:color w:val="0C0C0C" w:themeColor="text1"/>
                <w:szCs w:val="20"/>
              </w:rPr>
              <w:t>a</w:t>
            </w:r>
            <w:r w:rsidR="00CA5534" w:rsidRPr="00816657">
              <w:rPr>
                <w:b/>
                <w:bCs/>
                <w:color w:val="0C0C0C" w:themeColor="text1"/>
                <w:szCs w:val="20"/>
              </w:rPr>
              <w:t>llocation</w:t>
            </w:r>
          </w:p>
        </w:tc>
        <w:tc>
          <w:tcPr>
            <w:tcW w:w="8080" w:type="dxa"/>
            <w:tcBorders>
              <w:top w:val="single" w:sz="4" w:space="0" w:color="808080"/>
              <w:left w:val="nil"/>
              <w:bottom w:val="single" w:sz="4" w:space="0" w:color="808080"/>
            </w:tcBorders>
            <w:vAlign w:val="center"/>
          </w:tcPr>
          <w:p w:rsidR="00CA5534" w:rsidRPr="00816657" w:rsidRDefault="00CA5534">
            <w:pPr>
              <w:spacing w:line="240" w:lineRule="auto"/>
              <w:rPr>
                <w:b/>
                <w:bCs/>
                <w:color w:val="0C0C0C" w:themeColor="text1"/>
                <w:szCs w:val="20"/>
              </w:rPr>
            </w:pPr>
            <w:r>
              <w:rPr>
                <w:b/>
                <w:bCs/>
                <w:color w:val="0C0C0C" w:themeColor="text1"/>
                <w:szCs w:val="20"/>
              </w:rPr>
              <w:t xml:space="preserve">Adjusted assumed fate </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A</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Plating &amp; heat treatment</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Recycling &amp; incineration</w:t>
            </w:r>
          </w:p>
        </w:tc>
        <w:tc>
          <w:tcPr>
            <w:tcW w:w="8080" w:type="dxa"/>
            <w:vMerge w:val="restart"/>
            <w:tcBorders>
              <w:top w:val="single" w:sz="4" w:space="0" w:color="808080"/>
              <w:left w:val="nil"/>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Sent to CPT</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B</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Acids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pPr>
              <w:spacing w:line="240" w:lineRule="auto"/>
              <w:rPr>
                <w:color w:val="0C0C0C" w:themeColor="text1"/>
                <w:szCs w:val="20"/>
              </w:rPr>
            </w:pPr>
            <w:r w:rsidRPr="00816657">
              <w:rPr>
                <w:color w:val="0C0C0C" w:themeColor="text1"/>
                <w:szCs w:val="20"/>
              </w:rPr>
              <w:t>Recycling</w:t>
            </w:r>
            <w:r>
              <w:rPr>
                <w:color w:val="0C0C0C" w:themeColor="text1"/>
                <w:szCs w:val="20"/>
              </w:rPr>
              <w:t xml:space="preserve"> &amp;</w:t>
            </w:r>
            <w:r w:rsidRPr="00816657">
              <w:rPr>
                <w:color w:val="0C0C0C" w:themeColor="text1"/>
                <w:szCs w:val="20"/>
              </w:rPr>
              <w:t xml:space="preserve"> incineration </w:t>
            </w:r>
          </w:p>
        </w:tc>
        <w:tc>
          <w:tcPr>
            <w:tcW w:w="8080" w:type="dxa"/>
            <w:vMerge/>
            <w:tcBorders>
              <w:left w:val="nil"/>
            </w:tcBorders>
            <w:vAlign w:val="center"/>
          </w:tcPr>
          <w:p w:rsidR="00F06964" w:rsidRPr="00816657" w:rsidRDefault="00F06964" w:rsidP="00581E62">
            <w:pPr>
              <w:spacing w:line="240" w:lineRule="auto"/>
              <w:rPr>
                <w:color w:val="0C0C0C" w:themeColor="text1"/>
                <w:szCs w:val="20"/>
              </w:rPr>
            </w:pP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C</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Alkalis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Recycling</w:t>
            </w:r>
          </w:p>
        </w:tc>
        <w:tc>
          <w:tcPr>
            <w:tcW w:w="8080" w:type="dxa"/>
            <w:vMerge/>
            <w:tcBorders>
              <w:left w:val="nil"/>
              <w:bottom w:val="single" w:sz="4" w:space="0" w:color="808080"/>
            </w:tcBorders>
            <w:vAlign w:val="center"/>
          </w:tcPr>
          <w:p w:rsidR="00F06964" w:rsidRPr="00816657" w:rsidRDefault="00F06964" w:rsidP="00581E62">
            <w:pPr>
              <w:spacing w:line="240" w:lineRule="auto"/>
              <w:rPr>
                <w:color w:val="0C0C0C" w:themeColor="text1"/>
                <w:szCs w:val="20"/>
              </w:rPr>
            </w:pP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D120</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Mercury; mercury compounds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Incineration</w:t>
            </w:r>
          </w:p>
        </w:tc>
        <w:tc>
          <w:tcPr>
            <w:tcW w:w="8080" w:type="dxa"/>
            <w:tcBorders>
              <w:top w:val="single" w:sz="4" w:space="0" w:color="808080"/>
              <w:left w:val="nil"/>
              <w:bottom w:val="single" w:sz="4" w:space="0" w:color="808080"/>
            </w:tcBorders>
            <w:vAlign w:val="center"/>
          </w:tcPr>
          <w:p w:rsidR="00F06964" w:rsidRPr="00816657" w:rsidRDefault="00644FFC" w:rsidP="00581E62">
            <w:pPr>
              <w:spacing w:line="240" w:lineRule="auto"/>
              <w:rPr>
                <w:color w:val="0C0C0C" w:themeColor="text1"/>
                <w:szCs w:val="20"/>
              </w:rPr>
            </w:pPr>
            <w:r>
              <w:rPr>
                <w:color w:val="0C0C0C" w:themeColor="text1"/>
                <w:szCs w:val="20"/>
              </w:rPr>
              <w:t>Se</w:t>
            </w:r>
            <w:r w:rsidR="00F06964" w:rsidRPr="00816657">
              <w:rPr>
                <w:color w:val="0C0C0C" w:themeColor="text1"/>
                <w:szCs w:val="20"/>
              </w:rPr>
              <w:t>nt to a mercury fac.</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D220</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Lead; lead compounds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pPr>
              <w:spacing w:line="240" w:lineRule="auto"/>
              <w:rPr>
                <w:color w:val="0C0C0C" w:themeColor="text1"/>
                <w:szCs w:val="20"/>
              </w:rPr>
            </w:pPr>
            <w:r w:rsidRPr="00816657">
              <w:rPr>
                <w:color w:val="0C0C0C" w:themeColor="text1"/>
                <w:szCs w:val="20"/>
              </w:rPr>
              <w:t xml:space="preserve">Incineration </w:t>
            </w:r>
          </w:p>
        </w:tc>
        <w:tc>
          <w:tcPr>
            <w:tcW w:w="8080" w:type="dxa"/>
            <w:vMerge w:val="restart"/>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Sent to CPT</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D300</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Non-toxic salts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pPr>
              <w:spacing w:line="240" w:lineRule="auto"/>
              <w:rPr>
                <w:color w:val="0C0C0C" w:themeColor="text1"/>
                <w:szCs w:val="20"/>
              </w:rPr>
            </w:pPr>
            <w:r w:rsidRPr="00816657">
              <w:rPr>
                <w:color w:val="0C0C0C" w:themeColor="text1"/>
                <w:szCs w:val="20"/>
              </w:rPr>
              <w:t xml:space="preserve">Recycling </w:t>
            </w:r>
          </w:p>
        </w:tc>
        <w:tc>
          <w:tcPr>
            <w:tcW w:w="8080" w:type="dxa"/>
            <w:vMerge/>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Other D</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Other inorganic chemicals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pPr>
              <w:spacing w:line="240" w:lineRule="auto"/>
              <w:rPr>
                <w:color w:val="0C0C0C" w:themeColor="text1"/>
                <w:szCs w:val="20"/>
              </w:rPr>
            </w:pPr>
            <w:r w:rsidRPr="00816657">
              <w:rPr>
                <w:color w:val="0C0C0C" w:themeColor="text1"/>
                <w:szCs w:val="20"/>
              </w:rPr>
              <w:t xml:space="preserve">Incineration </w:t>
            </w:r>
          </w:p>
        </w:tc>
        <w:tc>
          <w:tcPr>
            <w:tcW w:w="8080" w:type="dxa"/>
            <w:vMerge/>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E</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Reactive chemicals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Recycling</w:t>
            </w:r>
          </w:p>
        </w:tc>
        <w:tc>
          <w:tcPr>
            <w:tcW w:w="8080" w:type="dxa"/>
            <w:vMerge/>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p>
        </w:tc>
      </w:tr>
      <w:tr w:rsidR="00F06964" w:rsidRPr="00816657" w:rsidTr="008A0976">
        <w:trPr>
          <w:trHeight w:val="226"/>
        </w:trPr>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F</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Paints, resins, inks, organic sludges</w:t>
            </w:r>
          </w:p>
        </w:tc>
        <w:tc>
          <w:tcPr>
            <w:tcW w:w="2409" w:type="dxa"/>
            <w:tcBorders>
              <w:top w:val="single" w:sz="4" w:space="0" w:color="808080"/>
              <w:left w:val="nil"/>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Incineration</w:t>
            </w:r>
          </w:p>
        </w:tc>
        <w:tc>
          <w:tcPr>
            <w:tcW w:w="8080" w:type="dxa"/>
            <w:tcBorders>
              <w:top w:val="single" w:sz="4" w:space="0" w:color="808080"/>
              <w:left w:val="nil"/>
            </w:tcBorders>
            <w:vAlign w:val="center"/>
          </w:tcPr>
          <w:p w:rsidR="00F06964" w:rsidRPr="00816657" w:rsidRDefault="001707BB">
            <w:pPr>
              <w:spacing w:line="240" w:lineRule="auto"/>
              <w:rPr>
                <w:color w:val="0C0C0C" w:themeColor="text1"/>
                <w:szCs w:val="20"/>
              </w:rPr>
            </w:pPr>
            <w:r w:rsidRPr="00816657">
              <w:rPr>
                <w:color w:val="0C0C0C" w:themeColor="text1"/>
                <w:szCs w:val="20"/>
              </w:rPr>
              <w:t>Processed for energy</w:t>
            </w:r>
            <w:r>
              <w:rPr>
                <w:color w:val="0C0C0C" w:themeColor="text1"/>
                <w:szCs w:val="20"/>
              </w:rPr>
              <w:t xml:space="preserve"> (blended with other high calorific value wastes to make fuel)</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G</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Organic solvents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Incineration</w:t>
            </w:r>
          </w:p>
        </w:tc>
        <w:tc>
          <w:tcPr>
            <w:tcW w:w="8080" w:type="dxa"/>
            <w:tcBorders>
              <w:top w:val="single" w:sz="4" w:space="0" w:color="808080"/>
              <w:left w:val="nil"/>
              <w:bottom w:val="single" w:sz="4" w:space="0" w:color="808080"/>
            </w:tcBorders>
            <w:vAlign w:val="center"/>
          </w:tcPr>
          <w:p w:rsidR="00F06964" w:rsidRPr="00816657" w:rsidRDefault="001707BB" w:rsidP="00581E62">
            <w:pPr>
              <w:spacing w:line="240" w:lineRule="auto"/>
              <w:rPr>
                <w:color w:val="0C0C0C" w:themeColor="text1"/>
                <w:szCs w:val="20"/>
              </w:rPr>
            </w:pPr>
            <w:r w:rsidRPr="00816657">
              <w:rPr>
                <w:color w:val="0C0C0C" w:themeColor="text1"/>
                <w:szCs w:val="20"/>
              </w:rPr>
              <w:t>Processed for energy</w:t>
            </w:r>
            <w:r>
              <w:rPr>
                <w:color w:val="0C0C0C" w:themeColor="text1"/>
                <w:szCs w:val="20"/>
              </w:rPr>
              <w:t xml:space="preserve"> (blended with other high calorific value wastes to make fuel)</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H</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Pesticides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Recycling &amp; incineration</w:t>
            </w:r>
          </w:p>
        </w:tc>
        <w:tc>
          <w:tcPr>
            <w:tcW w:w="8080" w:type="dxa"/>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Processed for energy</w:t>
            </w:r>
            <w:r>
              <w:rPr>
                <w:color w:val="0C0C0C" w:themeColor="text1"/>
                <w:szCs w:val="20"/>
              </w:rPr>
              <w:t xml:space="preserve"> (blended with other high calorific value wastes to make fuel)</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J</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Oils</w:t>
            </w:r>
          </w:p>
        </w:tc>
        <w:tc>
          <w:tcPr>
            <w:tcW w:w="2409" w:type="dxa"/>
            <w:tcBorders>
              <w:top w:val="single" w:sz="4" w:space="0" w:color="808080"/>
              <w:left w:val="nil"/>
              <w:bottom w:val="single" w:sz="4" w:space="0" w:color="808080"/>
              <w:right w:val="single" w:sz="4" w:space="0" w:color="808080"/>
            </w:tcBorders>
            <w:vAlign w:val="center"/>
          </w:tcPr>
          <w:p w:rsidR="00F06964" w:rsidRPr="00461D1D" w:rsidRDefault="00F06964" w:rsidP="00581E62">
            <w:pPr>
              <w:spacing w:line="240" w:lineRule="auto"/>
              <w:rPr>
                <w:color w:val="0C0C0C" w:themeColor="text1"/>
                <w:szCs w:val="20"/>
              </w:rPr>
            </w:pPr>
            <w:r w:rsidRPr="00461D1D">
              <w:rPr>
                <w:color w:val="0C0C0C" w:themeColor="text1"/>
                <w:szCs w:val="20"/>
              </w:rPr>
              <w:t>CPT</w:t>
            </w:r>
          </w:p>
        </w:tc>
        <w:tc>
          <w:tcPr>
            <w:tcW w:w="8080" w:type="dxa"/>
            <w:tcBorders>
              <w:top w:val="single" w:sz="4" w:space="0" w:color="808080"/>
              <w:left w:val="nil"/>
              <w:bottom w:val="single" w:sz="4" w:space="0" w:color="808080"/>
            </w:tcBorders>
            <w:vAlign w:val="center"/>
          </w:tcPr>
          <w:p w:rsidR="00F06964" w:rsidRPr="00461D1D" w:rsidRDefault="001707BB">
            <w:pPr>
              <w:spacing w:line="240" w:lineRule="auto"/>
              <w:rPr>
                <w:color w:val="0C0C0C" w:themeColor="text1"/>
                <w:szCs w:val="20"/>
              </w:rPr>
            </w:pPr>
            <w:r>
              <w:rPr>
                <w:color w:val="0C0C0C" w:themeColor="text1"/>
                <w:szCs w:val="20"/>
              </w:rPr>
              <w:t>Sent to be r</w:t>
            </w:r>
            <w:r w:rsidR="00F06964">
              <w:rPr>
                <w:color w:val="0C0C0C" w:themeColor="text1"/>
                <w:szCs w:val="20"/>
              </w:rPr>
              <w:t>e</w:t>
            </w:r>
            <w:r>
              <w:rPr>
                <w:color w:val="0C0C0C" w:themeColor="text1"/>
                <w:szCs w:val="20"/>
              </w:rPr>
              <w:t>-refined</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K100</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Animal effluent and residues (+ food processing waste)</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Incineration</w:t>
            </w:r>
          </w:p>
        </w:tc>
        <w:tc>
          <w:tcPr>
            <w:tcW w:w="8080" w:type="dxa"/>
            <w:tcBorders>
              <w:top w:val="single" w:sz="4" w:space="0" w:color="808080"/>
              <w:left w:val="nil"/>
              <w:bottom w:val="single" w:sz="4" w:space="0" w:color="808080"/>
            </w:tcBorders>
            <w:vAlign w:val="center"/>
          </w:tcPr>
          <w:p w:rsidR="00F06964" w:rsidRPr="00816657" w:rsidRDefault="001707BB" w:rsidP="00581E62">
            <w:pPr>
              <w:spacing w:line="240" w:lineRule="auto"/>
              <w:rPr>
                <w:color w:val="0C0C0C" w:themeColor="text1"/>
                <w:szCs w:val="20"/>
              </w:rPr>
            </w:pPr>
            <w:r w:rsidRPr="00816657">
              <w:rPr>
                <w:color w:val="0C0C0C" w:themeColor="text1"/>
                <w:szCs w:val="20"/>
              </w:rPr>
              <w:t>Processed for energy</w:t>
            </w:r>
            <w:r>
              <w:rPr>
                <w:color w:val="0C0C0C" w:themeColor="text1"/>
                <w:szCs w:val="20"/>
              </w:rPr>
              <w:t xml:space="preserve"> (blended with other high calorific value wastes to make fuel)</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Other M</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Other organic chemicals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Recycling</w:t>
            </w:r>
          </w:p>
        </w:tc>
        <w:tc>
          <w:tcPr>
            <w:tcW w:w="8080" w:type="dxa"/>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Sent to CPT</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N120</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Contaminated soils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pPr>
              <w:spacing w:line="240" w:lineRule="auto"/>
              <w:rPr>
                <w:color w:val="0C0C0C" w:themeColor="text1"/>
                <w:szCs w:val="20"/>
              </w:rPr>
            </w:pPr>
            <w:r w:rsidRPr="00816657">
              <w:rPr>
                <w:color w:val="0C0C0C" w:themeColor="text1"/>
                <w:szCs w:val="20"/>
              </w:rPr>
              <w:t>Recycling</w:t>
            </w:r>
          </w:p>
        </w:tc>
        <w:tc>
          <w:tcPr>
            <w:tcW w:w="8080" w:type="dxa"/>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Sent to a soil treatment facility</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N205b</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Other industrial treatment residues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pPr>
              <w:spacing w:line="240" w:lineRule="auto"/>
              <w:rPr>
                <w:color w:val="0C0C0C" w:themeColor="text1"/>
                <w:szCs w:val="20"/>
              </w:rPr>
            </w:pPr>
            <w:r w:rsidRPr="00816657">
              <w:rPr>
                <w:color w:val="0C0C0C" w:themeColor="text1"/>
                <w:szCs w:val="20"/>
              </w:rPr>
              <w:t>Recycling</w:t>
            </w:r>
          </w:p>
        </w:tc>
        <w:tc>
          <w:tcPr>
            <w:tcW w:w="8080" w:type="dxa"/>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Sent to CPT</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N220</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Asbestos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Treatment</w:t>
            </w:r>
          </w:p>
        </w:tc>
        <w:tc>
          <w:tcPr>
            <w:tcW w:w="8080" w:type="dxa"/>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Sent to landfill</w:t>
            </w:r>
            <w:r>
              <w:rPr>
                <w:color w:val="0C0C0C" w:themeColor="text1"/>
                <w:szCs w:val="20"/>
              </w:rPr>
              <w:t xml:space="preserve"> </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Other N</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Other soil/sludges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pPr>
              <w:spacing w:line="240" w:lineRule="auto"/>
              <w:rPr>
                <w:color w:val="0C0C0C" w:themeColor="text1"/>
                <w:szCs w:val="20"/>
              </w:rPr>
            </w:pPr>
            <w:r w:rsidRPr="00816657">
              <w:rPr>
                <w:color w:val="0C0C0C" w:themeColor="text1"/>
                <w:szCs w:val="20"/>
              </w:rPr>
              <w:t>Incineration</w:t>
            </w:r>
          </w:p>
        </w:tc>
        <w:tc>
          <w:tcPr>
            <w:tcW w:w="8080" w:type="dxa"/>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Sent to CPT</w:t>
            </w:r>
          </w:p>
        </w:tc>
      </w:tr>
      <w:tr w:rsidR="00F06964" w:rsidRPr="00816657" w:rsidTr="008A0976">
        <w:tc>
          <w:tcPr>
            <w:tcW w:w="1276" w:type="dxa"/>
            <w:tcBorders>
              <w:top w:val="single" w:sz="4" w:space="0" w:color="808080"/>
              <w:left w:val="nil"/>
              <w:bottom w:val="single" w:sz="4" w:space="0" w:color="808080"/>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R</w:t>
            </w:r>
          </w:p>
        </w:tc>
        <w:tc>
          <w:tcPr>
            <w:tcW w:w="3119" w:type="dxa"/>
            <w:tcBorders>
              <w:top w:val="single" w:sz="4" w:space="0" w:color="808080"/>
              <w:left w:val="nil"/>
              <w:bottom w:val="single" w:sz="4" w:space="0" w:color="808080"/>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Clinical &amp; pharmaceutical</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Recycling</w:t>
            </w:r>
          </w:p>
        </w:tc>
        <w:tc>
          <w:tcPr>
            <w:tcW w:w="8080" w:type="dxa"/>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Sent to a clinical waste facility</w:t>
            </w:r>
          </w:p>
        </w:tc>
      </w:tr>
      <w:tr w:rsidR="00F06964" w:rsidRPr="00816657" w:rsidTr="008A0976">
        <w:tc>
          <w:tcPr>
            <w:tcW w:w="1276" w:type="dxa"/>
            <w:vMerge w:val="restart"/>
            <w:tcBorders>
              <w:top w:val="single" w:sz="4" w:space="0" w:color="808080"/>
              <w:left w:val="nil"/>
              <w:right w:val="nil"/>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Other T</w:t>
            </w:r>
          </w:p>
        </w:tc>
        <w:tc>
          <w:tcPr>
            <w:tcW w:w="3119" w:type="dxa"/>
            <w:vMerge w:val="restart"/>
            <w:tcBorders>
              <w:top w:val="single" w:sz="4" w:space="0" w:color="808080"/>
              <w:left w:val="nil"/>
              <w:right w:val="single" w:sz="4" w:space="0" w:color="808080"/>
            </w:tcBorders>
            <w:shd w:val="clear" w:color="auto" w:fill="auto"/>
            <w:noWrap/>
            <w:vAlign w:val="center"/>
            <w:hideMark/>
          </w:tcPr>
          <w:p w:rsidR="00F06964" w:rsidRPr="00816657" w:rsidRDefault="00F06964" w:rsidP="00581E62">
            <w:pPr>
              <w:spacing w:line="240" w:lineRule="auto"/>
              <w:rPr>
                <w:rFonts w:cs="Times New Roman"/>
                <w:color w:val="000000"/>
                <w:szCs w:val="20"/>
                <w:lang w:eastAsia="en-AU"/>
              </w:rPr>
            </w:pPr>
            <w:r w:rsidRPr="00816657">
              <w:rPr>
                <w:rFonts w:cs="Times New Roman"/>
                <w:color w:val="000000"/>
                <w:szCs w:val="20"/>
                <w:lang w:eastAsia="en-AU"/>
              </w:rPr>
              <w:t>Other miscellaneous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Recycling</w:t>
            </w:r>
          </w:p>
        </w:tc>
        <w:tc>
          <w:tcPr>
            <w:tcW w:w="8080" w:type="dxa"/>
            <w:tcBorders>
              <w:top w:val="single" w:sz="4" w:space="0" w:color="808080"/>
              <w:left w:val="nil"/>
              <w:bottom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Sent to CPT</w:t>
            </w:r>
          </w:p>
        </w:tc>
      </w:tr>
      <w:tr w:rsidR="00F06964" w:rsidRPr="00816657" w:rsidTr="008A0976">
        <w:tc>
          <w:tcPr>
            <w:tcW w:w="1276" w:type="dxa"/>
            <w:vMerge/>
            <w:tcBorders>
              <w:left w:val="nil"/>
              <w:bottom w:val="single" w:sz="4" w:space="0" w:color="808080"/>
              <w:right w:val="nil"/>
            </w:tcBorders>
            <w:shd w:val="clear" w:color="auto" w:fill="auto"/>
            <w:noWrap/>
            <w:vAlign w:val="center"/>
          </w:tcPr>
          <w:p w:rsidR="00F06964" w:rsidRPr="00816657" w:rsidRDefault="00F06964" w:rsidP="00581E62">
            <w:pPr>
              <w:spacing w:line="240" w:lineRule="auto"/>
              <w:rPr>
                <w:rFonts w:cs="Times New Roman"/>
                <w:color w:val="000000"/>
                <w:szCs w:val="20"/>
                <w:lang w:eastAsia="en-AU"/>
              </w:rPr>
            </w:pPr>
          </w:p>
        </w:tc>
        <w:tc>
          <w:tcPr>
            <w:tcW w:w="3119" w:type="dxa"/>
            <w:vMerge/>
            <w:tcBorders>
              <w:left w:val="nil"/>
              <w:bottom w:val="single" w:sz="4" w:space="0" w:color="808080"/>
              <w:right w:val="single" w:sz="4" w:space="0" w:color="808080"/>
            </w:tcBorders>
            <w:shd w:val="clear" w:color="auto" w:fill="auto"/>
            <w:noWrap/>
            <w:vAlign w:val="center"/>
          </w:tcPr>
          <w:p w:rsidR="00F06964" w:rsidRPr="00816657" w:rsidRDefault="00F06964" w:rsidP="00581E62">
            <w:pPr>
              <w:spacing w:line="240" w:lineRule="auto"/>
              <w:rPr>
                <w:rFonts w:cs="Times New Roman"/>
                <w:color w:val="000000"/>
                <w:szCs w:val="20"/>
                <w:lang w:eastAsia="en-AU"/>
              </w:rPr>
            </w:pP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sidRPr="00816657">
              <w:rPr>
                <w:color w:val="0C0C0C" w:themeColor="text1"/>
                <w:szCs w:val="20"/>
              </w:rPr>
              <w:t>Incineration</w:t>
            </w:r>
          </w:p>
        </w:tc>
        <w:tc>
          <w:tcPr>
            <w:tcW w:w="8080" w:type="dxa"/>
            <w:tcBorders>
              <w:top w:val="single" w:sz="4" w:space="0" w:color="808080"/>
              <w:left w:val="nil"/>
              <w:bottom w:val="single" w:sz="4" w:space="0" w:color="808080"/>
            </w:tcBorders>
            <w:vAlign w:val="center"/>
          </w:tcPr>
          <w:p w:rsidR="00F06964" w:rsidRPr="00816657" w:rsidRDefault="001707BB" w:rsidP="00581E62">
            <w:pPr>
              <w:spacing w:line="240" w:lineRule="auto"/>
              <w:rPr>
                <w:color w:val="0C0C0C" w:themeColor="text1"/>
                <w:szCs w:val="20"/>
              </w:rPr>
            </w:pPr>
            <w:r w:rsidRPr="00816657">
              <w:rPr>
                <w:color w:val="0C0C0C" w:themeColor="text1"/>
                <w:szCs w:val="20"/>
              </w:rPr>
              <w:t>Processed for energy</w:t>
            </w:r>
            <w:r>
              <w:rPr>
                <w:color w:val="0C0C0C" w:themeColor="text1"/>
                <w:szCs w:val="20"/>
              </w:rPr>
              <w:t xml:space="preserve"> (blended with other high calorific value wastes to make fuel)</w:t>
            </w:r>
          </w:p>
        </w:tc>
      </w:tr>
      <w:tr w:rsidR="001707BB" w:rsidRPr="00816657" w:rsidTr="008A0976">
        <w:tc>
          <w:tcPr>
            <w:tcW w:w="4395" w:type="dxa"/>
            <w:gridSpan w:val="2"/>
            <w:tcBorders>
              <w:top w:val="single" w:sz="4" w:space="0" w:color="808080"/>
              <w:left w:val="nil"/>
              <w:bottom w:val="single" w:sz="4" w:space="0" w:color="808080"/>
              <w:right w:val="single" w:sz="4" w:space="0" w:color="808080"/>
            </w:tcBorders>
            <w:shd w:val="clear" w:color="auto" w:fill="auto"/>
            <w:noWrap/>
            <w:vAlign w:val="center"/>
          </w:tcPr>
          <w:p w:rsidR="001707BB" w:rsidRPr="007F5BD4" w:rsidRDefault="001707BB" w:rsidP="00581E62">
            <w:pPr>
              <w:spacing w:line="240" w:lineRule="auto"/>
              <w:rPr>
                <w:rFonts w:cs="Times New Roman"/>
                <w:b/>
                <w:color w:val="000000"/>
                <w:szCs w:val="20"/>
                <w:lang w:eastAsia="en-AU"/>
              </w:rPr>
            </w:pPr>
            <w:r w:rsidRPr="007F5BD4">
              <w:rPr>
                <w:rFonts w:cs="Times New Roman"/>
                <w:b/>
                <w:color w:val="000000"/>
                <w:szCs w:val="20"/>
                <w:lang w:eastAsia="en-AU"/>
              </w:rPr>
              <w:t>All waste groups</w:t>
            </w:r>
          </w:p>
        </w:tc>
        <w:tc>
          <w:tcPr>
            <w:tcW w:w="2409" w:type="dxa"/>
            <w:tcBorders>
              <w:top w:val="single" w:sz="4" w:space="0" w:color="808080"/>
              <w:left w:val="nil"/>
              <w:bottom w:val="single" w:sz="4" w:space="0" w:color="808080"/>
              <w:right w:val="single" w:sz="4" w:space="0" w:color="808080"/>
            </w:tcBorders>
            <w:vAlign w:val="center"/>
          </w:tcPr>
          <w:p w:rsidR="001707BB" w:rsidRDefault="001707BB" w:rsidP="00581E62">
            <w:pPr>
              <w:spacing w:line="240" w:lineRule="auto"/>
              <w:rPr>
                <w:color w:val="0C0C0C" w:themeColor="text1"/>
                <w:szCs w:val="20"/>
              </w:rPr>
            </w:pPr>
            <w:r>
              <w:rPr>
                <w:color w:val="0C0C0C" w:themeColor="text1"/>
                <w:szCs w:val="20"/>
              </w:rPr>
              <w:t>Incineration</w:t>
            </w:r>
          </w:p>
        </w:tc>
        <w:tc>
          <w:tcPr>
            <w:tcW w:w="8080" w:type="dxa"/>
            <w:tcBorders>
              <w:top w:val="single" w:sz="4" w:space="0" w:color="808080"/>
              <w:left w:val="nil"/>
              <w:bottom w:val="single" w:sz="4" w:space="0" w:color="808080"/>
            </w:tcBorders>
            <w:vAlign w:val="center"/>
          </w:tcPr>
          <w:p w:rsidR="001707BB" w:rsidRDefault="00644FFC">
            <w:pPr>
              <w:spacing w:line="240" w:lineRule="auto"/>
              <w:rPr>
                <w:color w:val="0C0C0C" w:themeColor="text1"/>
                <w:szCs w:val="20"/>
              </w:rPr>
            </w:pPr>
            <w:r>
              <w:rPr>
                <w:color w:val="0C0C0C" w:themeColor="text1"/>
                <w:szCs w:val="20"/>
              </w:rPr>
              <w:t>I</w:t>
            </w:r>
            <w:r w:rsidR="001707BB">
              <w:rPr>
                <w:color w:val="0C0C0C" w:themeColor="text1"/>
                <w:szCs w:val="20"/>
              </w:rPr>
              <w:t xml:space="preserve">ncineration </w:t>
            </w:r>
            <w:r w:rsidR="006676BF">
              <w:rPr>
                <w:color w:val="0C0C0C" w:themeColor="text1"/>
                <w:szCs w:val="20"/>
              </w:rPr>
              <w:t xml:space="preserve">is </w:t>
            </w:r>
            <w:r>
              <w:rPr>
                <w:color w:val="0C0C0C" w:themeColor="text1"/>
                <w:szCs w:val="20"/>
              </w:rPr>
              <w:t>assume</w:t>
            </w:r>
            <w:r w:rsidR="006676BF">
              <w:rPr>
                <w:color w:val="0C0C0C" w:themeColor="text1"/>
                <w:szCs w:val="20"/>
              </w:rPr>
              <w:t>d</w:t>
            </w:r>
            <w:r>
              <w:rPr>
                <w:color w:val="0C0C0C" w:themeColor="text1"/>
                <w:szCs w:val="20"/>
              </w:rPr>
              <w:t xml:space="preserve"> </w:t>
            </w:r>
            <w:r w:rsidR="006676BF">
              <w:rPr>
                <w:color w:val="0C0C0C" w:themeColor="text1"/>
                <w:szCs w:val="20"/>
              </w:rPr>
              <w:t>to be</w:t>
            </w:r>
            <w:r>
              <w:rPr>
                <w:color w:val="0C0C0C" w:themeColor="text1"/>
                <w:szCs w:val="20"/>
              </w:rPr>
              <w:t xml:space="preserve"> thermal destruction unless </w:t>
            </w:r>
            <w:r w:rsidR="001707BB">
              <w:rPr>
                <w:color w:val="0C0C0C" w:themeColor="text1"/>
                <w:szCs w:val="20"/>
              </w:rPr>
              <w:t>assumed (above) to be sent to CPT or an energy recovery facility</w:t>
            </w:r>
            <w:r>
              <w:rPr>
                <w:color w:val="0C0C0C" w:themeColor="text1"/>
                <w:szCs w:val="20"/>
              </w:rPr>
              <w:t>.</w:t>
            </w:r>
          </w:p>
        </w:tc>
      </w:tr>
      <w:tr w:rsidR="00F06964" w:rsidRPr="00816657" w:rsidTr="008A0976">
        <w:tc>
          <w:tcPr>
            <w:tcW w:w="4395" w:type="dxa"/>
            <w:gridSpan w:val="2"/>
            <w:tcBorders>
              <w:top w:val="single" w:sz="4" w:space="0" w:color="808080"/>
              <w:left w:val="nil"/>
              <w:bottom w:val="single" w:sz="4" w:space="0" w:color="808080"/>
              <w:right w:val="single" w:sz="4" w:space="0" w:color="808080"/>
            </w:tcBorders>
            <w:shd w:val="clear" w:color="auto" w:fill="auto"/>
            <w:noWrap/>
            <w:vAlign w:val="center"/>
          </w:tcPr>
          <w:p w:rsidR="00F06964" w:rsidRPr="007F5BD4" w:rsidRDefault="00F06964" w:rsidP="00581E62">
            <w:pPr>
              <w:spacing w:line="240" w:lineRule="auto"/>
              <w:rPr>
                <w:rFonts w:cs="Times New Roman"/>
                <w:b/>
                <w:color w:val="000000"/>
                <w:szCs w:val="20"/>
                <w:lang w:eastAsia="en-AU"/>
              </w:rPr>
            </w:pPr>
            <w:r w:rsidRPr="007F5BD4">
              <w:rPr>
                <w:rFonts w:cs="Times New Roman"/>
                <w:b/>
                <w:color w:val="000000"/>
                <w:szCs w:val="20"/>
                <w:lang w:eastAsia="en-AU"/>
              </w:rPr>
              <w:t>All waste groups</w:t>
            </w:r>
          </w:p>
        </w:tc>
        <w:tc>
          <w:tcPr>
            <w:tcW w:w="2409" w:type="dxa"/>
            <w:tcBorders>
              <w:top w:val="single" w:sz="4" w:space="0" w:color="808080"/>
              <w:left w:val="nil"/>
              <w:bottom w:val="single" w:sz="4" w:space="0" w:color="808080"/>
              <w:right w:val="single" w:sz="4" w:space="0" w:color="808080"/>
            </w:tcBorders>
            <w:vAlign w:val="center"/>
          </w:tcPr>
          <w:p w:rsidR="00F06964" w:rsidRPr="00816657" w:rsidRDefault="00F06964" w:rsidP="00581E62">
            <w:pPr>
              <w:spacing w:line="240" w:lineRule="auto"/>
              <w:rPr>
                <w:color w:val="0C0C0C" w:themeColor="text1"/>
                <w:szCs w:val="20"/>
              </w:rPr>
            </w:pPr>
            <w:r>
              <w:rPr>
                <w:color w:val="0C0C0C" w:themeColor="text1"/>
                <w:szCs w:val="20"/>
              </w:rPr>
              <w:t xml:space="preserve">Biodegradation </w:t>
            </w:r>
          </w:p>
        </w:tc>
        <w:tc>
          <w:tcPr>
            <w:tcW w:w="8080" w:type="dxa"/>
            <w:tcBorders>
              <w:top w:val="single" w:sz="4" w:space="0" w:color="808080"/>
              <w:left w:val="nil"/>
              <w:bottom w:val="single" w:sz="4" w:space="0" w:color="808080"/>
            </w:tcBorders>
            <w:vAlign w:val="center"/>
          </w:tcPr>
          <w:p w:rsidR="00F06964" w:rsidRPr="00816657" w:rsidRDefault="00B61AFA" w:rsidP="00B61AFA">
            <w:pPr>
              <w:spacing w:line="240" w:lineRule="auto"/>
              <w:rPr>
                <w:color w:val="0C0C0C" w:themeColor="text1"/>
                <w:szCs w:val="20"/>
              </w:rPr>
            </w:pPr>
            <w:r>
              <w:rPr>
                <w:color w:val="0C0C0C" w:themeColor="text1"/>
                <w:szCs w:val="20"/>
              </w:rPr>
              <w:t>Mostly s</w:t>
            </w:r>
            <w:r w:rsidR="00F06964">
              <w:rPr>
                <w:color w:val="0C0C0C" w:themeColor="text1"/>
                <w:szCs w:val="20"/>
              </w:rPr>
              <w:t>ent to composting facilities that are not included in the scope of the capacity assessment. Therefore all tonnages are not included in capacity assessment.</w:t>
            </w:r>
          </w:p>
        </w:tc>
      </w:tr>
    </w:tbl>
    <w:p w:rsidR="00C57DE0" w:rsidRPr="00816657" w:rsidRDefault="00C57DE0" w:rsidP="00C57DE0">
      <w:pPr>
        <w:pStyle w:val="BodyText"/>
      </w:pPr>
    </w:p>
    <w:p w:rsidR="00D72190" w:rsidRPr="00816657" w:rsidRDefault="00D72190">
      <w:pPr>
        <w:spacing w:line="240" w:lineRule="auto"/>
      </w:pPr>
      <w:r w:rsidRPr="00816657">
        <w:br w:type="page"/>
      </w:r>
    </w:p>
    <w:p w:rsidR="001707BB" w:rsidRPr="00816657" w:rsidRDefault="00891830" w:rsidP="00F830D4">
      <w:pPr>
        <w:pStyle w:val="Figures"/>
      </w:pPr>
      <w:bookmarkStart w:id="360" w:name="_Ref409279813"/>
      <w:bookmarkStart w:id="361" w:name="_Toc425849339"/>
      <w:r w:rsidRPr="00816657">
        <w:lastRenderedPageBreak/>
        <w:t xml:space="preserve">Table </w:t>
      </w:r>
      <w:fldSimple w:instr=" SEQ Table \* ARABIC ">
        <w:r w:rsidR="002F3000">
          <w:rPr>
            <w:noProof/>
          </w:rPr>
          <w:t>54</w:t>
        </w:r>
      </w:fldSimple>
      <w:bookmarkEnd w:id="360"/>
      <w:r w:rsidRPr="00816657">
        <w:t xml:space="preserve">: </w:t>
      </w:r>
      <w:r w:rsidRPr="00816657">
        <w:tab/>
        <w:t>Mapping of fate to infrastructure group by waste groups</w:t>
      </w:r>
      <w:bookmarkEnd w:id="361"/>
    </w:p>
    <w:tbl>
      <w:tblPr>
        <w:tblW w:w="14124" w:type="dxa"/>
        <w:tblInd w:w="108" w:type="dxa"/>
        <w:tblLayout w:type="fixed"/>
        <w:tblCellMar>
          <w:left w:w="57" w:type="dxa"/>
          <w:right w:w="57" w:type="dxa"/>
        </w:tblCellMar>
        <w:tblLook w:val="04A0"/>
      </w:tblPr>
      <w:tblGrid>
        <w:gridCol w:w="1153"/>
        <w:gridCol w:w="3140"/>
        <w:gridCol w:w="1326"/>
        <w:gridCol w:w="1701"/>
        <w:gridCol w:w="1417"/>
        <w:gridCol w:w="1843"/>
        <w:gridCol w:w="1843"/>
        <w:gridCol w:w="1701"/>
      </w:tblGrid>
      <w:tr w:rsidR="001707BB" w:rsidRPr="00816657" w:rsidTr="007F5BD4">
        <w:trPr>
          <w:trHeight w:val="313"/>
        </w:trPr>
        <w:tc>
          <w:tcPr>
            <w:tcW w:w="1153" w:type="dxa"/>
            <w:tcBorders>
              <w:top w:val="single" w:sz="6" w:space="0" w:color="808080"/>
              <w:left w:val="nil"/>
              <w:bottom w:val="nil"/>
              <w:right w:val="nil"/>
            </w:tcBorders>
            <w:shd w:val="clear" w:color="auto" w:fill="auto"/>
            <w:vAlign w:val="bottom"/>
          </w:tcPr>
          <w:p w:rsidR="001707BB" w:rsidRPr="00816657" w:rsidRDefault="001707BB" w:rsidP="00581E62">
            <w:pPr>
              <w:spacing w:line="240" w:lineRule="auto"/>
              <w:rPr>
                <w:rFonts w:cs="Times New Roman"/>
                <w:b/>
                <w:bCs/>
                <w:color w:val="000000"/>
                <w:szCs w:val="20"/>
                <w:lang w:eastAsia="en-AU"/>
              </w:rPr>
            </w:pPr>
          </w:p>
        </w:tc>
        <w:tc>
          <w:tcPr>
            <w:tcW w:w="3140" w:type="dxa"/>
            <w:tcBorders>
              <w:top w:val="single" w:sz="6" w:space="0" w:color="808080"/>
              <w:left w:val="nil"/>
              <w:bottom w:val="nil"/>
              <w:right w:val="single" w:sz="4" w:space="0" w:color="808080"/>
            </w:tcBorders>
            <w:shd w:val="clear" w:color="auto" w:fill="auto"/>
            <w:vAlign w:val="bottom"/>
            <w:hideMark/>
          </w:tcPr>
          <w:p w:rsidR="001707BB" w:rsidRPr="00816657" w:rsidRDefault="001707BB" w:rsidP="00581E62">
            <w:pPr>
              <w:spacing w:line="240" w:lineRule="auto"/>
              <w:rPr>
                <w:rFonts w:cs="Times New Roman"/>
                <w:b/>
                <w:bCs/>
                <w:color w:val="000000"/>
                <w:szCs w:val="20"/>
                <w:lang w:eastAsia="en-AU"/>
              </w:rPr>
            </w:pPr>
            <w:r w:rsidRPr="00816657">
              <w:rPr>
                <w:rFonts w:cs="Times New Roman"/>
                <w:b/>
                <w:bCs/>
                <w:color w:val="000000"/>
                <w:szCs w:val="20"/>
                <w:lang w:eastAsia="en-AU"/>
              </w:rPr>
              <w:t>Waste group</w:t>
            </w:r>
          </w:p>
        </w:tc>
        <w:tc>
          <w:tcPr>
            <w:tcW w:w="1326" w:type="dxa"/>
            <w:tcBorders>
              <w:top w:val="single" w:sz="6" w:space="0" w:color="808080"/>
              <w:left w:val="nil"/>
              <w:bottom w:val="single" w:sz="4" w:space="0" w:color="808080"/>
              <w:right w:val="nil"/>
            </w:tcBorders>
            <w:shd w:val="clear" w:color="auto" w:fill="auto"/>
            <w:vAlign w:val="bottom"/>
            <w:hideMark/>
          </w:tcPr>
          <w:p w:rsidR="001707BB" w:rsidRPr="00816657" w:rsidRDefault="001707BB" w:rsidP="00581E62">
            <w:pPr>
              <w:spacing w:line="240" w:lineRule="auto"/>
              <w:rPr>
                <w:rFonts w:cs="Times New Roman"/>
                <w:b/>
                <w:bCs/>
                <w:color w:val="000000"/>
                <w:szCs w:val="20"/>
                <w:lang w:eastAsia="en-AU"/>
              </w:rPr>
            </w:pPr>
            <w:r w:rsidRPr="00816657">
              <w:rPr>
                <w:rFonts w:cs="Times New Roman"/>
                <w:b/>
                <w:bCs/>
                <w:color w:val="000000"/>
                <w:szCs w:val="20"/>
                <w:lang w:eastAsia="en-AU"/>
              </w:rPr>
              <w:t>Recycling</w:t>
            </w:r>
          </w:p>
        </w:tc>
        <w:tc>
          <w:tcPr>
            <w:tcW w:w="1701" w:type="dxa"/>
            <w:tcBorders>
              <w:top w:val="single" w:sz="6" w:space="0" w:color="808080"/>
              <w:left w:val="nil"/>
              <w:bottom w:val="single" w:sz="4" w:space="0" w:color="808080"/>
              <w:right w:val="nil"/>
            </w:tcBorders>
            <w:shd w:val="clear" w:color="auto" w:fill="auto"/>
            <w:vAlign w:val="bottom"/>
            <w:hideMark/>
          </w:tcPr>
          <w:p w:rsidR="001707BB" w:rsidRPr="00816657" w:rsidRDefault="001707BB" w:rsidP="00581E62">
            <w:pPr>
              <w:spacing w:line="240" w:lineRule="auto"/>
              <w:rPr>
                <w:rFonts w:cs="Times New Roman"/>
                <w:b/>
                <w:bCs/>
                <w:color w:val="000000"/>
                <w:szCs w:val="20"/>
                <w:lang w:eastAsia="en-AU"/>
              </w:rPr>
            </w:pPr>
            <w:r w:rsidRPr="00816657">
              <w:rPr>
                <w:rFonts w:cs="Times New Roman"/>
                <w:b/>
                <w:bCs/>
                <w:color w:val="000000"/>
                <w:szCs w:val="20"/>
                <w:lang w:eastAsia="en-AU"/>
              </w:rPr>
              <w:t>Energy recovery</w:t>
            </w:r>
          </w:p>
        </w:tc>
        <w:tc>
          <w:tcPr>
            <w:tcW w:w="1417" w:type="dxa"/>
            <w:tcBorders>
              <w:top w:val="single" w:sz="6" w:space="0" w:color="808080"/>
              <w:left w:val="nil"/>
              <w:bottom w:val="nil"/>
              <w:right w:val="nil"/>
            </w:tcBorders>
            <w:shd w:val="clear" w:color="auto" w:fill="auto"/>
            <w:vAlign w:val="bottom"/>
            <w:hideMark/>
          </w:tcPr>
          <w:p w:rsidR="001707BB" w:rsidRPr="00816657" w:rsidRDefault="001707BB" w:rsidP="00581E62">
            <w:pPr>
              <w:spacing w:line="240" w:lineRule="auto"/>
              <w:rPr>
                <w:rFonts w:cs="Times New Roman"/>
                <w:b/>
                <w:bCs/>
                <w:color w:val="000000"/>
                <w:szCs w:val="20"/>
                <w:lang w:eastAsia="en-AU"/>
              </w:rPr>
            </w:pPr>
            <w:r>
              <w:rPr>
                <w:rFonts w:cs="Times New Roman"/>
                <w:b/>
                <w:bCs/>
                <w:color w:val="000000"/>
                <w:szCs w:val="20"/>
                <w:lang w:eastAsia="en-AU"/>
              </w:rPr>
              <w:t>Treatment</w:t>
            </w:r>
          </w:p>
        </w:tc>
        <w:tc>
          <w:tcPr>
            <w:tcW w:w="1843" w:type="dxa"/>
            <w:tcBorders>
              <w:top w:val="single" w:sz="6" w:space="0" w:color="808080"/>
              <w:left w:val="nil"/>
              <w:bottom w:val="nil"/>
              <w:right w:val="nil"/>
            </w:tcBorders>
            <w:shd w:val="clear" w:color="auto" w:fill="auto"/>
            <w:vAlign w:val="bottom"/>
            <w:hideMark/>
          </w:tcPr>
          <w:p w:rsidR="001707BB" w:rsidRPr="00816657" w:rsidRDefault="001707BB" w:rsidP="00581E62">
            <w:pPr>
              <w:spacing w:line="240" w:lineRule="auto"/>
              <w:rPr>
                <w:rFonts w:cs="Times New Roman"/>
                <w:b/>
                <w:bCs/>
                <w:color w:val="000000"/>
                <w:szCs w:val="20"/>
                <w:lang w:eastAsia="en-AU"/>
              </w:rPr>
            </w:pPr>
            <w:r w:rsidRPr="00816657">
              <w:rPr>
                <w:rFonts w:cs="Times New Roman"/>
                <w:b/>
                <w:bCs/>
                <w:color w:val="000000"/>
                <w:szCs w:val="20"/>
                <w:lang w:eastAsia="en-AU"/>
              </w:rPr>
              <w:t>Landfill</w:t>
            </w:r>
          </w:p>
        </w:tc>
        <w:tc>
          <w:tcPr>
            <w:tcW w:w="1843" w:type="dxa"/>
            <w:tcBorders>
              <w:top w:val="single" w:sz="6" w:space="0" w:color="808080"/>
              <w:left w:val="nil"/>
              <w:bottom w:val="single" w:sz="4" w:space="0" w:color="808080"/>
              <w:right w:val="nil"/>
            </w:tcBorders>
            <w:shd w:val="clear" w:color="auto" w:fill="auto"/>
            <w:vAlign w:val="bottom"/>
            <w:hideMark/>
          </w:tcPr>
          <w:p w:rsidR="001707BB" w:rsidRPr="00816657" w:rsidRDefault="001707BB" w:rsidP="00581E62">
            <w:pPr>
              <w:spacing w:line="240" w:lineRule="auto"/>
              <w:rPr>
                <w:rFonts w:cs="Times New Roman"/>
                <w:b/>
                <w:bCs/>
                <w:color w:val="000000"/>
                <w:szCs w:val="20"/>
                <w:lang w:eastAsia="en-AU"/>
              </w:rPr>
            </w:pPr>
            <w:r>
              <w:rPr>
                <w:rFonts w:cs="Times New Roman"/>
                <w:b/>
                <w:bCs/>
                <w:color w:val="000000"/>
                <w:szCs w:val="20"/>
                <w:lang w:eastAsia="en-AU"/>
              </w:rPr>
              <w:t>Thermal destruction</w:t>
            </w:r>
          </w:p>
        </w:tc>
        <w:tc>
          <w:tcPr>
            <w:tcW w:w="1701" w:type="dxa"/>
            <w:tcBorders>
              <w:top w:val="single" w:sz="6" w:space="0" w:color="808080"/>
              <w:left w:val="nil"/>
              <w:bottom w:val="nil"/>
              <w:right w:val="nil"/>
            </w:tcBorders>
            <w:shd w:val="clear" w:color="auto" w:fill="auto"/>
            <w:vAlign w:val="bottom"/>
            <w:hideMark/>
          </w:tcPr>
          <w:p w:rsidR="001707BB" w:rsidRPr="00816657" w:rsidRDefault="001707BB" w:rsidP="00581E62">
            <w:pPr>
              <w:spacing w:line="240" w:lineRule="auto"/>
              <w:rPr>
                <w:rFonts w:cs="Times New Roman"/>
                <w:b/>
                <w:bCs/>
                <w:color w:val="000000"/>
                <w:szCs w:val="20"/>
                <w:lang w:eastAsia="en-AU"/>
              </w:rPr>
            </w:pPr>
            <w:r w:rsidRPr="00816657">
              <w:rPr>
                <w:rFonts w:cs="Times New Roman"/>
                <w:b/>
                <w:bCs/>
                <w:color w:val="000000"/>
                <w:szCs w:val="20"/>
                <w:lang w:eastAsia="en-AU"/>
              </w:rPr>
              <w:t>Storage or transfer</w:t>
            </w:r>
          </w:p>
        </w:tc>
      </w:tr>
      <w:tr w:rsidR="001707BB" w:rsidRPr="00816657" w:rsidTr="007F5BD4">
        <w:tc>
          <w:tcPr>
            <w:tcW w:w="1153" w:type="dxa"/>
            <w:tcBorders>
              <w:top w:val="single" w:sz="4" w:space="0" w:color="808080"/>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A</w:t>
            </w:r>
          </w:p>
        </w:tc>
        <w:tc>
          <w:tcPr>
            <w:tcW w:w="3140" w:type="dxa"/>
            <w:tcBorders>
              <w:top w:val="single" w:sz="4" w:space="0" w:color="808080"/>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Plating &amp; heat treatment</w:t>
            </w:r>
          </w:p>
        </w:tc>
        <w:tc>
          <w:tcPr>
            <w:tcW w:w="1326" w:type="dxa"/>
            <w:tcBorders>
              <w:top w:val="single" w:sz="4" w:space="0" w:color="808080"/>
              <w:left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vMerge w:val="restart"/>
            <w:tcBorders>
              <w:top w:val="single" w:sz="4" w:space="0" w:color="808080"/>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CPT plant</w:t>
            </w:r>
          </w:p>
        </w:tc>
        <w:tc>
          <w:tcPr>
            <w:tcW w:w="1843" w:type="dxa"/>
            <w:vMerge w:val="restart"/>
            <w:tcBorders>
              <w:top w:val="single" w:sz="4" w:space="0" w:color="808080"/>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xml:space="preserve">Hazwaste landfill fac. </w:t>
            </w:r>
          </w:p>
        </w:tc>
        <w:tc>
          <w:tcPr>
            <w:tcW w:w="1843" w:type="dxa"/>
            <w:tcBorders>
              <w:top w:val="single" w:sz="4" w:space="0" w:color="808080"/>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val="restart"/>
            <w:tcBorders>
              <w:top w:val="single" w:sz="4" w:space="0" w:color="808080"/>
              <w:left w:val="nil"/>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Transfer station or temporary storage fac.</w:t>
            </w: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B</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Acids</w:t>
            </w:r>
          </w:p>
        </w:tc>
        <w:tc>
          <w:tcPr>
            <w:tcW w:w="1326" w:type="dxa"/>
            <w:tcBorders>
              <w:left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Alkalis</w:t>
            </w:r>
          </w:p>
        </w:tc>
        <w:tc>
          <w:tcPr>
            <w:tcW w:w="1326" w:type="dxa"/>
            <w:tcBorders>
              <w:left w:val="single" w:sz="4" w:space="0" w:color="808080"/>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D120</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Mercury; mercury compounds</w:t>
            </w:r>
          </w:p>
        </w:tc>
        <w:tc>
          <w:tcPr>
            <w:tcW w:w="1326"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Mercury fac.</w:t>
            </w:r>
          </w:p>
        </w:tc>
        <w:tc>
          <w:tcPr>
            <w:tcW w:w="1701"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D220</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Lead; lead compounds</w:t>
            </w:r>
          </w:p>
        </w:tc>
        <w:tc>
          <w:tcPr>
            <w:tcW w:w="1326"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Lead fac.</w:t>
            </w:r>
          </w:p>
        </w:tc>
        <w:tc>
          <w:tcPr>
            <w:tcW w:w="1701"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D300</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Non-toxic salts</w:t>
            </w:r>
          </w:p>
        </w:tc>
        <w:tc>
          <w:tcPr>
            <w:tcW w:w="1326"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Other D</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Other inorganic chemicals</w:t>
            </w:r>
          </w:p>
        </w:tc>
        <w:tc>
          <w:tcPr>
            <w:tcW w:w="1326"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E-waste fac.</w:t>
            </w:r>
          </w:p>
        </w:tc>
        <w:tc>
          <w:tcPr>
            <w:tcW w:w="1701"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E</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Reactive chemicals</w:t>
            </w:r>
          </w:p>
        </w:tc>
        <w:tc>
          <w:tcPr>
            <w:tcW w:w="1326"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F</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Paints, resins, inks, organic sludges</w:t>
            </w:r>
          </w:p>
        </w:tc>
        <w:tc>
          <w:tcPr>
            <w:tcW w:w="1326" w:type="dxa"/>
            <w:vMerge w:val="restart"/>
            <w:tcBorders>
              <w:top w:val="nil"/>
              <w:left w:val="nil"/>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Solvents/ paints fac.</w:t>
            </w:r>
          </w:p>
        </w:tc>
        <w:tc>
          <w:tcPr>
            <w:tcW w:w="1701" w:type="dxa"/>
            <w:vMerge w:val="restart"/>
            <w:tcBorders>
              <w:top w:val="nil"/>
              <w:left w:val="nil"/>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Solvents/ paints fac. (ER)</w:t>
            </w:r>
          </w:p>
        </w:tc>
        <w:tc>
          <w:tcPr>
            <w:tcW w:w="1417"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vMerge/>
            <w:tcBorders>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G</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Organic solvents</w:t>
            </w:r>
          </w:p>
        </w:tc>
        <w:tc>
          <w:tcPr>
            <w:tcW w:w="1326" w:type="dxa"/>
            <w:vMerge/>
            <w:tcBorders>
              <w:left w:val="nil"/>
              <w:bottom w:val="single" w:sz="4" w:space="0" w:color="808080"/>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701" w:type="dxa"/>
            <w:vMerge/>
            <w:tcBorders>
              <w:left w:val="nil"/>
              <w:bottom w:val="single" w:sz="4" w:space="0" w:color="808080"/>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417"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H</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Pesticides</w:t>
            </w:r>
          </w:p>
        </w:tc>
        <w:tc>
          <w:tcPr>
            <w:tcW w:w="1326"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Solvents/ paints fac. (ER)</w:t>
            </w:r>
          </w:p>
        </w:tc>
        <w:tc>
          <w:tcPr>
            <w:tcW w:w="1417" w:type="dxa"/>
            <w:vMerge/>
            <w:tcBorders>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p>
        </w:tc>
        <w:tc>
          <w:tcPr>
            <w:tcW w:w="1843" w:type="dxa"/>
            <w:vMerge w:val="restart"/>
            <w:tcBorders>
              <w:top w:val="nil"/>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xml:space="preserve">Hazwaste landfill fac. </w:t>
            </w: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J</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Oils</w:t>
            </w:r>
          </w:p>
        </w:tc>
        <w:tc>
          <w:tcPr>
            <w:tcW w:w="1326"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xml:space="preserve">Oil </w:t>
            </w:r>
            <w:r>
              <w:rPr>
                <w:rFonts w:cs="Times New Roman"/>
                <w:color w:val="000000"/>
                <w:szCs w:val="20"/>
                <w:lang w:eastAsia="en-AU"/>
              </w:rPr>
              <w:t>re-refining</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K100</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Animal effluent and residues (+ food processing waste)</w:t>
            </w:r>
          </w:p>
        </w:tc>
        <w:tc>
          <w:tcPr>
            <w:tcW w:w="1326" w:type="dxa"/>
            <w:vMerge w:val="restart"/>
            <w:tcBorders>
              <w:top w:val="nil"/>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xml:space="preserve">Organics fac. </w:t>
            </w:r>
          </w:p>
        </w:tc>
        <w:tc>
          <w:tcPr>
            <w:tcW w:w="1701"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Solvents/ paints fac. (ER)</w:t>
            </w:r>
          </w:p>
        </w:tc>
        <w:tc>
          <w:tcPr>
            <w:tcW w:w="1417" w:type="dxa"/>
            <w:vMerge w:val="restart"/>
            <w:tcBorders>
              <w:top w:val="nil"/>
              <w:left w:val="nil"/>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CPT plant</w:t>
            </w: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K110</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Grease trap waste</w:t>
            </w:r>
          </w:p>
        </w:tc>
        <w:tc>
          <w:tcPr>
            <w:tcW w:w="1326"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vMerge/>
            <w:tcBorders>
              <w:left w:val="nil"/>
              <w:bottom w:val="single" w:sz="4" w:space="0" w:color="808080"/>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K140 &amp; 190</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Tannery &amp; wool scouring wastes</w:t>
            </w:r>
          </w:p>
        </w:tc>
        <w:tc>
          <w:tcPr>
            <w:tcW w:w="1326" w:type="dxa"/>
            <w:vMerge/>
            <w:tcBorders>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843" w:type="dxa"/>
            <w:vMerge/>
            <w:tcBorders>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p>
        </w:tc>
        <w:tc>
          <w:tcPr>
            <w:tcW w:w="1843" w:type="dxa"/>
            <w:tcBorders>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bottom w:val="single" w:sz="4" w:space="0" w:color="808080"/>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M160a-d</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PFOS, POP-BDEs, HBCD, HCB</w:t>
            </w:r>
          </w:p>
        </w:tc>
        <w:tc>
          <w:tcPr>
            <w:tcW w:w="1326"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843" w:type="dxa"/>
            <w:tcBorders>
              <w:top w:val="nil"/>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843"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POPs fac.</w:t>
            </w:r>
            <w:r>
              <w:rPr>
                <w:rFonts w:cs="Times New Roman"/>
                <w:color w:val="000000"/>
                <w:szCs w:val="20"/>
                <w:lang w:eastAsia="en-AU"/>
              </w:rPr>
              <w:t xml:space="preserve"> (TD)</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Other M</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Other organic chemicals</w:t>
            </w:r>
          </w:p>
        </w:tc>
        <w:tc>
          <w:tcPr>
            <w:tcW w:w="1326" w:type="dxa"/>
            <w:tcBorders>
              <w:top w:val="single" w:sz="4" w:space="0" w:color="808080"/>
              <w:left w:val="single" w:sz="4" w:space="0" w:color="808080"/>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CPT plant</w:t>
            </w:r>
          </w:p>
        </w:tc>
        <w:tc>
          <w:tcPr>
            <w:tcW w:w="1843"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xml:space="preserve">Hazwaste landfill fac. </w:t>
            </w:r>
          </w:p>
        </w:tc>
        <w:tc>
          <w:tcPr>
            <w:tcW w:w="1843" w:type="dxa"/>
            <w:tcBorders>
              <w:top w:val="single" w:sz="4" w:space="0" w:color="808080"/>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val="restart"/>
            <w:tcBorders>
              <w:top w:val="single" w:sz="4" w:space="0" w:color="808080"/>
              <w:left w:val="nil"/>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Transfer station or temporary storage fac.</w:t>
            </w: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N120</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Contaminated soils</w:t>
            </w:r>
          </w:p>
        </w:tc>
        <w:tc>
          <w:tcPr>
            <w:tcW w:w="1326" w:type="dxa"/>
            <w:tcBorders>
              <w:top w:val="single" w:sz="4" w:space="0" w:color="808080"/>
              <w:left w:val="single" w:sz="4" w:space="0" w:color="808080"/>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Soils treatment fac.</w:t>
            </w:r>
          </w:p>
        </w:tc>
        <w:tc>
          <w:tcPr>
            <w:tcW w:w="1843" w:type="dxa"/>
            <w:vMerge w:val="restart"/>
            <w:tcBorders>
              <w:top w:val="nil"/>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r>
              <w:rPr>
                <w:rFonts w:cs="Times New Roman"/>
                <w:color w:val="000000"/>
                <w:szCs w:val="20"/>
                <w:lang w:eastAsia="en-AU"/>
              </w:rPr>
              <w:t>Landfill fac. (NEPM code N, T only)</w:t>
            </w:r>
          </w:p>
        </w:tc>
        <w:tc>
          <w:tcPr>
            <w:tcW w:w="1843" w:type="dxa"/>
            <w:tcBorders>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bottom w:val="single" w:sz="4" w:space="0" w:color="808080"/>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N205a</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Contaminated biosolids</w:t>
            </w:r>
          </w:p>
        </w:tc>
        <w:tc>
          <w:tcPr>
            <w:tcW w:w="1326"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843" w:type="dxa"/>
            <w:vMerge/>
            <w:tcBorders>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p>
        </w:tc>
        <w:tc>
          <w:tcPr>
            <w:tcW w:w="1843"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N205b</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Other industrial treatment residues</w:t>
            </w:r>
          </w:p>
        </w:tc>
        <w:tc>
          <w:tcPr>
            <w:tcW w:w="1326"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CPT plant</w:t>
            </w:r>
          </w:p>
        </w:tc>
        <w:tc>
          <w:tcPr>
            <w:tcW w:w="1843"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xml:space="preserve">Hazwaste landfill fac. </w:t>
            </w:r>
          </w:p>
        </w:tc>
        <w:tc>
          <w:tcPr>
            <w:tcW w:w="1843" w:type="dxa"/>
            <w:tcBorders>
              <w:top w:val="single" w:sz="4" w:space="0" w:color="808080"/>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val="restart"/>
            <w:tcBorders>
              <w:top w:val="single" w:sz="4" w:space="0" w:color="808080"/>
              <w:left w:val="nil"/>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Transfer station or temporary storage fac.</w:t>
            </w: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N220</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Asbestos</w:t>
            </w:r>
          </w:p>
        </w:tc>
        <w:tc>
          <w:tcPr>
            <w:tcW w:w="1326"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843"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Pr>
                <w:rFonts w:cs="Times New Roman"/>
                <w:color w:val="000000"/>
                <w:szCs w:val="20"/>
                <w:lang w:eastAsia="en-AU"/>
              </w:rPr>
              <w:t>Landfill fac. (NEPM code N, T only)</w:t>
            </w:r>
          </w:p>
        </w:tc>
        <w:tc>
          <w:tcPr>
            <w:tcW w:w="1843" w:type="dxa"/>
            <w:tcBorders>
              <w:left w:val="nil"/>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Other N</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Other soil/sludges</w:t>
            </w:r>
          </w:p>
        </w:tc>
        <w:tc>
          <w:tcPr>
            <w:tcW w:w="1326"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Hazwaste packaging fac.</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CPT plant</w:t>
            </w:r>
          </w:p>
        </w:tc>
        <w:tc>
          <w:tcPr>
            <w:tcW w:w="1843" w:type="dxa"/>
            <w:vMerge w:val="restart"/>
            <w:tcBorders>
              <w:top w:val="nil"/>
              <w:left w:val="nil"/>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Hazwaste landfill fac.</w:t>
            </w:r>
          </w:p>
        </w:tc>
        <w:tc>
          <w:tcPr>
            <w:tcW w:w="1843" w:type="dxa"/>
            <w:tcBorders>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R</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Clinical &amp; pharmaceutical</w:t>
            </w:r>
          </w:p>
        </w:tc>
        <w:tc>
          <w:tcPr>
            <w:tcW w:w="1326"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bottom w:val="single" w:sz="4"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Clinical waste fac. (T)</w:t>
            </w:r>
          </w:p>
        </w:tc>
        <w:tc>
          <w:tcPr>
            <w:tcW w:w="1843"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c>
          <w:tcPr>
            <w:tcW w:w="1843" w:type="dxa"/>
            <w:tcBorders>
              <w:top w:val="single" w:sz="4" w:space="0" w:color="808080"/>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Pr>
                <w:rFonts w:cs="Times New Roman"/>
                <w:color w:val="000000"/>
                <w:szCs w:val="20"/>
                <w:lang w:eastAsia="en-AU"/>
              </w:rPr>
              <w:t>Clinical waste fac. (TD</w:t>
            </w:r>
            <w:r w:rsidRPr="00816657">
              <w:rPr>
                <w:rFonts w:cs="Times New Roman"/>
                <w:color w:val="000000"/>
                <w:szCs w:val="20"/>
                <w:lang w:eastAsia="en-AU"/>
              </w:rPr>
              <w:t>)</w:t>
            </w:r>
          </w:p>
        </w:tc>
        <w:tc>
          <w:tcPr>
            <w:tcW w:w="1701" w:type="dxa"/>
            <w:vMerge/>
            <w:tcBorders>
              <w:left w:val="nil"/>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816657" w:rsidTr="007F5BD4">
        <w:tc>
          <w:tcPr>
            <w:tcW w:w="1153" w:type="dxa"/>
            <w:tcBorders>
              <w:top w:val="nil"/>
              <w:left w:val="nil"/>
              <w:bottom w:val="single" w:sz="4"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Other T</w:t>
            </w:r>
          </w:p>
        </w:tc>
        <w:tc>
          <w:tcPr>
            <w:tcW w:w="3140" w:type="dxa"/>
            <w:tcBorders>
              <w:top w:val="nil"/>
              <w:left w:val="nil"/>
              <w:bottom w:val="single" w:sz="4"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Other miscellaneous</w:t>
            </w:r>
          </w:p>
        </w:tc>
        <w:tc>
          <w:tcPr>
            <w:tcW w:w="1326"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xml:space="preserve">Organics fac. </w:t>
            </w:r>
          </w:p>
        </w:tc>
        <w:tc>
          <w:tcPr>
            <w:tcW w:w="1701"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Solvents/paints fac. (ER)</w:t>
            </w:r>
          </w:p>
        </w:tc>
        <w:tc>
          <w:tcPr>
            <w:tcW w:w="1417" w:type="dxa"/>
            <w:tcBorders>
              <w:top w:val="nil"/>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CPT plant</w:t>
            </w:r>
          </w:p>
        </w:tc>
        <w:tc>
          <w:tcPr>
            <w:tcW w:w="1843" w:type="dxa"/>
            <w:vMerge/>
            <w:tcBorders>
              <w:left w:val="nil"/>
              <w:bottom w:val="single" w:sz="4"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p>
        </w:tc>
        <w:tc>
          <w:tcPr>
            <w:tcW w:w="1843" w:type="dxa"/>
            <w:tcBorders>
              <w:top w:val="nil"/>
              <w:left w:val="nil"/>
              <w:bottom w:val="single" w:sz="4" w:space="0" w:color="808080"/>
              <w:right w:val="nil"/>
            </w:tcBorders>
            <w:shd w:val="clear" w:color="auto" w:fill="FFFFFF" w:themeFill="background1"/>
            <w:vAlign w:val="center"/>
            <w:hideMark/>
          </w:tcPr>
          <w:p w:rsidR="001707BB" w:rsidRPr="00816657" w:rsidRDefault="001707BB" w:rsidP="00581E62">
            <w:pPr>
              <w:spacing w:line="240" w:lineRule="auto"/>
              <w:rPr>
                <w:rFonts w:cs="Times New Roman"/>
                <w:color w:val="000000"/>
                <w:szCs w:val="20"/>
                <w:lang w:eastAsia="en-AU"/>
              </w:rPr>
            </w:pPr>
          </w:p>
        </w:tc>
        <w:tc>
          <w:tcPr>
            <w:tcW w:w="1701" w:type="dxa"/>
            <w:vMerge/>
            <w:tcBorders>
              <w:left w:val="nil"/>
              <w:bottom w:val="single" w:sz="4" w:space="0" w:color="808080"/>
              <w:right w:val="nil"/>
            </w:tcBorders>
            <w:shd w:val="clear" w:color="auto" w:fill="D9D9D9" w:themeFill="background1" w:themeFillShade="D9"/>
            <w:vAlign w:val="center"/>
          </w:tcPr>
          <w:p w:rsidR="001707BB" w:rsidRPr="00816657" w:rsidRDefault="001707BB" w:rsidP="00581E62">
            <w:pPr>
              <w:spacing w:line="240" w:lineRule="auto"/>
              <w:rPr>
                <w:rFonts w:cs="Times New Roman"/>
                <w:color w:val="000000"/>
                <w:szCs w:val="20"/>
                <w:lang w:eastAsia="en-AU"/>
              </w:rPr>
            </w:pPr>
          </w:p>
        </w:tc>
      </w:tr>
      <w:tr w:rsidR="001707BB" w:rsidRPr="00DD58CE" w:rsidTr="007F5BD4">
        <w:tc>
          <w:tcPr>
            <w:tcW w:w="1153" w:type="dxa"/>
            <w:tcBorders>
              <w:top w:val="nil"/>
              <w:left w:val="nil"/>
              <w:bottom w:val="single" w:sz="6" w:space="0" w:color="808080"/>
              <w:right w:val="nil"/>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3140" w:type="dxa"/>
            <w:tcBorders>
              <w:top w:val="nil"/>
              <w:left w:val="nil"/>
              <w:bottom w:val="single" w:sz="6" w:space="0" w:color="808080"/>
              <w:right w:val="single" w:sz="4" w:space="0" w:color="808080"/>
            </w:tcBorders>
            <w:shd w:val="clear" w:color="auto" w:fill="auto"/>
            <w:noWrap/>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Lithium-ion batteries</w:t>
            </w:r>
          </w:p>
        </w:tc>
        <w:tc>
          <w:tcPr>
            <w:tcW w:w="1326" w:type="dxa"/>
            <w:tcBorders>
              <w:top w:val="single" w:sz="4" w:space="0" w:color="808080"/>
              <w:left w:val="nil"/>
              <w:bottom w:val="single" w:sz="6" w:space="0" w:color="808080"/>
              <w:right w:val="nil"/>
            </w:tcBorders>
            <w:shd w:val="clear" w:color="auto" w:fill="D9D9D9" w:themeFill="background1" w:themeFillShade="D9"/>
            <w:vAlign w:val="center"/>
            <w:hideMark/>
          </w:tcPr>
          <w:p w:rsidR="001707BB" w:rsidRPr="00816657" w:rsidRDefault="001707BB" w:rsidP="00581E62">
            <w:pPr>
              <w:spacing w:line="240" w:lineRule="auto"/>
              <w:rPr>
                <w:rFonts w:cs="Times New Roman"/>
                <w:color w:val="000000"/>
                <w:szCs w:val="20"/>
                <w:lang w:eastAsia="en-AU"/>
              </w:rPr>
            </w:pPr>
            <w:r w:rsidRPr="00DD58CE">
              <w:rPr>
                <w:rFonts w:cs="Times New Roman"/>
                <w:color w:val="000000"/>
                <w:szCs w:val="20"/>
                <w:lang w:eastAsia="en-AU"/>
              </w:rPr>
              <w:t>E-waste fac.</w:t>
            </w:r>
          </w:p>
        </w:tc>
        <w:tc>
          <w:tcPr>
            <w:tcW w:w="1701" w:type="dxa"/>
            <w:tcBorders>
              <w:top w:val="single" w:sz="4" w:space="0" w:color="808080"/>
              <w:left w:val="nil"/>
              <w:bottom w:val="single" w:sz="6"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417" w:type="dxa"/>
            <w:tcBorders>
              <w:top w:val="single" w:sz="4" w:space="0" w:color="808080"/>
              <w:left w:val="nil"/>
              <w:bottom w:val="single" w:sz="6"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843" w:type="dxa"/>
            <w:tcBorders>
              <w:top w:val="nil"/>
              <w:left w:val="nil"/>
              <w:bottom w:val="single" w:sz="6" w:space="0" w:color="808080"/>
              <w:right w:val="nil"/>
            </w:tcBorders>
            <w:shd w:val="clear" w:color="auto" w:fill="FFFFFF" w:themeFill="background1"/>
            <w:vAlign w:val="center"/>
            <w:hideMark/>
          </w:tcPr>
          <w:p w:rsidR="001707BB" w:rsidRPr="00816657" w:rsidRDefault="001707BB" w:rsidP="00581E62">
            <w:pPr>
              <w:spacing w:line="240" w:lineRule="auto"/>
              <w:rPr>
                <w:rFonts w:cs="Times New Roman"/>
                <w:color w:val="000000"/>
                <w:szCs w:val="20"/>
                <w:lang w:eastAsia="en-AU"/>
              </w:rPr>
            </w:pPr>
          </w:p>
        </w:tc>
        <w:tc>
          <w:tcPr>
            <w:tcW w:w="1843" w:type="dxa"/>
            <w:tcBorders>
              <w:top w:val="single" w:sz="4" w:space="0" w:color="808080"/>
              <w:left w:val="nil"/>
              <w:bottom w:val="single" w:sz="6"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c>
          <w:tcPr>
            <w:tcW w:w="1701" w:type="dxa"/>
            <w:tcBorders>
              <w:top w:val="single" w:sz="4" w:space="0" w:color="808080"/>
              <w:left w:val="nil"/>
              <w:bottom w:val="single" w:sz="6" w:space="0" w:color="808080"/>
              <w:right w:val="nil"/>
            </w:tcBorders>
            <w:shd w:val="clear" w:color="auto" w:fill="auto"/>
            <w:vAlign w:val="center"/>
            <w:hideMark/>
          </w:tcPr>
          <w:p w:rsidR="001707BB" w:rsidRPr="00816657" w:rsidRDefault="001707BB" w:rsidP="00581E62">
            <w:pPr>
              <w:spacing w:line="240" w:lineRule="auto"/>
              <w:rPr>
                <w:rFonts w:cs="Times New Roman"/>
                <w:color w:val="000000"/>
                <w:szCs w:val="20"/>
                <w:lang w:eastAsia="en-AU"/>
              </w:rPr>
            </w:pPr>
            <w:r w:rsidRPr="00816657">
              <w:rPr>
                <w:rFonts w:cs="Times New Roman"/>
                <w:color w:val="000000"/>
                <w:szCs w:val="20"/>
                <w:lang w:eastAsia="en-AU"/>
              </w:rPr>
              <w:t> </w:t>
            </w:r>
          </w:p>
        </w:tc>
      </w:tr>
    </w:tbl>
    <w:p w:rsidR="00CA5534" w:rsidRPr="00816657" w:rsidRDefault="00CA5534">
      <w:pPr>
        <w:spacing w:line="240" w:lineRule="auto"/>
        <w:rPr>
          <w:color w:val="080808"/>
          <w:sz w:val="22"/>
        </w:rPr>
      </w:pPr>
    </w:p>
    <w:p w:rsidR="00F01CDD" w:rsidRPr="00816657" w:rsidRDefault="00F01CDD" w:rsidP="00C57DE0">
      <w:pPr>
        <w:pStyle w:val="BodyText"/>
        <w:sectPr w:rsidR="00F01CDD" w:rsidRPr="00816657" w:rsidSect="00110D18">
          <w:headerReference w:type="even" r:id="rId157"/>
          <w:headerReference w:type="default" r:id="rId158"/>
          <w:footerReference w:type="even" r:id="rId159"/>
          <w:footerReference w:type="default" r:id="rId160"/>
          <w:headerReference w:type="first" r:id="rId161"/>
          <w:footerReference w:type="first" r:id="rId162"/>
          <w:pgSz w:w="16840" w:h="11907" w:orient="landscape" w:code="9"/>
          <w:pgMar w:top="1247" w:right="1134" w:bottom="1077" w:left="1134" w:header="709" w:footer="567" w:gutter="0"/>
          <w:cols w:space="708"/>
          <w:docGrid w:linePitch="360"/>
        </w:sectPr>
      </w:pPr>
    </w:p>
    <w:p w:rsidR="002C52E3" w:rsidRDefault="00CA5534" w:rsidP="007F5BD4">
      <w:pPr>
        <w:pStyle w:val="Heading2"/>
      </w:pPr>
      <w:bookmarkStart w:id="362" w:name="_Ref420062067"/>
      <w:bookmarkStart w:id="363" w:name="_Toc425849172"/>
      <w:bookmarkStart w:id="364" w:name="_Ref419402884"/>
      <w:bookmarkStart w:id="365" w:name="_Toc419449195"/>
      <w:r w:rsidRPr="00CA5534">
        <w:lastRenderedPageBreak/>
        <w:t>Limitations and uncertainty</w:t>
      </w:r>
      <w:bookmarkEnd w:id="362"/>
      <w:bookmarkEnd w:id="363"/>
      <w:r w:rsidR="00D06841">
        <w:t xml:space="preserve"> </w:t>
      </w:r>
      <w:bookmarkEnd w:id="364"/>
      <w:bookmarkEnd w:id="365"/>
    </w:p>
    <w:p w:rsidR="002C52E3" w:rsidRDefault="002C52E3" w:rsidP="007F5BD4">
      <w:pPr>
        <w:pStyle w:val="BodyText"/>
      </w:pPr>
      <w:r>
        <w:t xml:space="preserve">The assessment of projected hazardous waste infrastructure need vs. capacity is </w:t>
      </w:r>
      <w:r w:rsidR="00F830D4">
        <w:t>affected</w:t>
      </w:r>
      <w:r>
        <w:t xml:space="preserve"> by:</w:t>
      </w:r>
    </w:p>
    <w:p w:rsidR="002C52E3" w:rsidRDefault="005C5589" w:rsidP="00F830D4">
      <w:pPr>
        <w:pStyle w:val="ListNumber3"/>
        <w:numPr>
          <w:ilvl w:val="0"/>
          <w:numId w:val="41"/>
        </w:numPr>
        <w:spacing w:before="80"/>
        <w:ind w:left="425" w:hanging="425"/>
        <w:contextualSpacing w:val="0"/>
      </w:pPr>
      <w:r>
        <w:t>t</w:t>
      </w:r>
      <w:r w:rsidR="002C52E3">
        <w:t xml:space="preserve">he </w:t>
      </w:r>
      <w:r w:rsidR="00180464">
        <w:t xml:space="preserve">levels of uncertainty </w:t>
      </w:r>
      <w:r w:rsidR="002C52E3">
        <w:t>of the projected arisings of hazardous waste</w:t>
      </w:r>
      <w:r w:rsidR="00C66A04">
        <w:t>s</w:t>
      </w:r>
    </w:p>
    <w:p w:rsidR="00863628" w:rsidRDefault="005C5589" w:rsidP="00F830D4">
      <w:pPr>
        <w:pStyle w:val="ListNumber3"/>
        <w:numPr>
          <w:ilvl w:val="0"/>
          <w:numId w:val="41"/>
        </w:numPr>
        <w:spacing w:before="80"/>
        <w:ind w:left="425" w:hanging="425"/>
        <w:contextualSpacing w:val="0"/>
      </w:pPr>
      <w:r>
        <w:t>t</w:t>
      </w:r>
      <w:r w:rsidR="00863628">
        <w:t xml:space="preserve">he </w:t>
      </w:r>
      <w:r w:rsidR="00180464">
        <w:t xml:space="preserve">levels of uncertainty </w:t>
      </w:r>
      <w:r w:rsidR="00863628">
        <w:t xml:space="preserve">of the </w:t>
      </w:r>
      <w:r w:rsidR="00C66A04">
        <w:t xml:space="preserve">assumed </w:t>
      </w:r>
      <w:r w:rsidR="00863628">
        <w:t>fate proportion</w:t>
      </w:r>
      <w:r w:rsidR="00C66A04">
        <w:t>s</w:t>
      </w:r>
      <w:r w:rsidR="00863628">
        <w:t xml:space="preserve"> and allocation to infrastructure (</w:t>
      </w:r>
      <w:r w:rsidR="00C66A04">
        <w:t>i.e. how much of each waste group</w:t>
      </w:r>
      <w:r w:rsidR="005D5468">
        <w:t>’s</w:t>
      </w:r>
      <w:r w:rsidR="00C66A04">
        <w:t xml:space="preserve"> arisings will be managed by what infrastructure)</w:t>
      </w:r>
      <w:r w:rsidR="00D06841">
        <w:t xml:space="preserve"> </w:t>
      </w:r>
      <w:r w:rsidR="00863628">
        <w:t xml:space="preserve"> </w:t>
      </w:r>
    </w:p>
    <w:p w:rsidR="002C52E3" w:rsidRDefault="005C5589" w:rsidP="00F830D4">
      <w:pPr>
        <w:pStyle w:val="ListNumber3"/>
        <w:numPr>
          <w:ilvl w:val="0"/>
          <w:numId w:val="41"/>
        </w:numPr>
        <w:spacing w:before="80"/>
        <w:ind w:left="425" w:hanging="425"/>
        <w:contextualSpacing w:val="0"/>
      </w:pPr>
      <w:proofErr w:type="gramStart"/>
      <w:r>
        <w:t>t</w:t>
      </w:r>
      <w:r w:rsidR="002C52E3">
        <w:t>he</w:t>
      </w:r>
      <w:proofErr w:type="gramEnd"/>
      <w:r w:rsidR="002C52E3">
        <w:t xml:space="preserve"> </w:t>
      </w:r>
      <w:r w:rsidR="00180464">
        <w:t xml:space="preserve">limitations and levels of uncertainty </w:t>
      </w:r>
      <w:r w:rsidR="002C52E3">
        <w:t xml:space="preserve">of the assessment of </w:t>
      </w:r>
      <w:r w:rsidR="007E44F7">
        <w:t xml:space="preserve">the </w:t>
      </w:r>
      <w:r w:rsidR="00C66A04">
        <w:t xml:space="preserve">current </w:t>
      </w:r>
      <w:r w:rsidR="00E05622">
        <w:t xml:space="preserve">hazardous waste </w:t>
      </w:r>
      <w:r w:rsidR="002C52E3">
        <w:t xml:space="preserve">infrastructure </w:t>
      </w:r>
      <w:r w:rsidR="00E05622">
        <w:t>cap</w:t>
      </w:r>
      <w:r w:rsidR="00C66A04">
        <w:t>a</w:t>
      </w:r>
      <w:r w:rsidR="00E05622">
        <w:t>city.</w:t>
      </w:r>
      <w:r w:rsidR="002C52E3">
        <w:t xml:space="preserve"> </w:t>
      </w:r>
    </w:p>
    <w:p w:rsidR="00347D84" w:rsidRDefault="00347D84" w:rsidP="007F5BD4">
      <w:pPr>
        <w:pStyle w:val="BodyText"/>
      </w:pPr>
    </w:p>
    <w:p w:rsidR="002C52E3" w:rsidRDefault="00DA61B6" w:rsidP="007F5BD4">
      <w:pPr>
        <w:pStyle w:val="BodyText"/>
      </w:pPr>
      <w:r>
        <w:t xml:space="preserve">These three dimensions of uncertainty are </w:t>
      </w:r>
      <w:r w:rsidR="007E44F7">
        <w:t xml:space="preserve">discussed below. </w:t>
      </w:r>
    </w:p>
    <w:p w:rsidR="0059182A" w:rsidRDefault="0059182A" w:rsidP="007F5BD4">
      <w:pPr>
        <w:pStyle w:val="BodyText"/>
      </w:pPr>
    </w:p>
    <w:p w:rsidR="00E05622" w:rsidRPr="00710586" w:rsidRDefault="004B62AA" w:rsidP="007F5BD4">
      <w:pPr>
        <w:pStyle w:val="Heading3"/>
      </w:pPr>
      <w:r w:rsidRPr="002C1946">
        <w:t>Uncertainty in projections of hazardous waste arisings</w:t>
      </w:r>
      <w:r w:rsidR="00D06841">
        <w:t xml:space="preserve"> </w:t>
      </w:r>
    </w:p>
    <w:p w:rsidR="00AC0044" w:rsidRDefault="00F775AB" w:rsidP="007F5BD4">
      <w:pPr>
        <w:pStyle w:val="BodyText"/>
      </w:pPr>
      <w:r>
        <w:t>The level</w:t>
      </w:r>
      <w:r w:rsidR="00AA680B">
        <w:t>s</w:t>
      </w:r>
      <w:r>
        <w:t xml:space="preserve"> of uncertainty of the projected arisings of hazardous wastes </w:t>
      </w:r>
      <w:r w:rsidR="00AA680B">
        <w:t>are</w:t>
      </w:r>
      <w:r>
        <w:t xml:space="preserve"> discussed in Section </w:t>
      </w:r>
      <w:r w:rsidR="006D07F5">
        <w:fldChar w:fldCharType="begin"/>
      </w:r>
      <w:r>
        <w:instrText xml:space="preserve"> REF _Ref419465158 \r \h </w:instrText>
      </w:r>
      <w:r w:rsidR="006D07F5">
        <w:fldChar w:fldCharType="separate"/>
      </w:r>
      <w:r w:rsidR="002F3000">
        <w:t>2.5</w:t>
      </w:r>
      <w:r w:rsidR="006D07F5">
        <w:fldChar w:fldCharType="end"/>
      </w:r>
      <w:r>
        <w:t xml:space="preserve">. The use of </w:t>
      </w:r>
      <w:r w:rsidR="005C5589">
        <w:t>h</w:t>
      </w:r>
      <w:r>
        <w:t xml:space="preserve">igh, </w:t>
      </w:r>
      <w:r w:rsidR="005C5589">
        <w:t>b</w:t>
      </w:r>
      <w:r>
        <w:t xml:space="preserve">est and </w:t>
      </w:r>
      <w:r w:rsidR="005C5589">
        <w:t>l</w:t>
      </w:r>
      <w:r>
        <w:t xml:space="preserve">ow scenarios </w:t>
      </w:r>
      <w:r w:rsidR="00AC0044">
        <w:t>reflects the levels of uncertainty and provides for a significant range in the projections.</w:t>
      </w:r>
    </w:p>
    <w:p w:rsidR="00AC0044" w:rsidRDefault="00AA680B" w:rsidP="00AA680B">
      <w:pPr>
        <w:pStyle w:val="BodyText"/>
        <w:tabs>
          <w:tab w:val="left" w:pos="2696"/>
        </w:tabs>
      </w:pPr>
      <w:r>
        <w:tab/>
      </w:r>
    </w:p>
    <w:p w:rsidR="00E2466F" w:rsidRPr="00CA5534" w:rsidRDefault="00E2466F" w:rsidP="007F5BD4">
      <w:pPr>
        <w:pStyle w:val="BodyText"/>
      </w:pPr>
      <w:r w:rsidRPr="00CA5534">
        <w:t xml:space="preserve">The </w:t>
      </w:r>
      <w:r w:rsidR="00AC0044">
        <w:t xml:space="preserve">projected </w:t>
      </w:r>
      <w:r w:rsidRPr="00CA5534">
        <w:t xml:space="preserve">arisings </w:t>
      </w:r>
      <w:r w:rsidR="00AC0044">
        <w:t>(</w:t>
      </w:r>
      <w:r w:rsidRPr="00CA5534">
        <w:t xml:space="preserve">and </w:t>
      </w:r>
      <w:r w:rsidR="00AC0044">
        <w:t xml:space="preserve">fate) </w:t>
      </w:r>
      <w:r w:rsidRPr="00CA5534">
        <w:t>of ‘new</w:t>
      </w:r>
      <w:r w:rsidR="00F950BF">
        <w:t>’</w:t>
      </w:r>
      <w:r w:rsidRPr="00CA5534">
        <w:t xml:space="preserve"> hazardous wastes</w:t>
      </w:r>
      <w:r w:rsidR="00AC0044">
        <w:t xml:space="preserve"> such as PFOS</w:t>
      </w:r>
      <w:r w:rsidR="005C5589">
        <w:t xml:space="preserve"> wastes</w:t>
      </w:r>
      <w:r w:rsidR="00AC0044">
        <w:t xml:space="preserve"> or contaminated biosolids </w:t>
      </w:r>
      <w:r w:rsidR="005C5589">
        <w:t xml:space="preserve">wastes </w:t>
      </w:r>
      <w:r w:rsidR="00AC0044">
        <w:t xml:space="preserve">are particularly </w:t>
      </w:r>
      <w:r w:rsidRPr="00CA5534">
        <w:t>uncertain</w:t>
      </w:r>
      <w:r w:rsidR="00AC0044">
        <w:t xml:space="preserve"> as there is little or no historical arisings data to inform the</w:t>
      </w:r>
      <w:r w:rsidR="00F950BF">
        <w:t xml:space="preserve"> baseline or trend of the </w:t>
      </w:r>
      <w:r w:rsidR="00AC0044">
        <w:t xml:space="preserve">projection. </w:t>
      </w:r>
      <w:r w:rsidR="00F13351">
        <w:t xml:space="preserve">The range </w:t>
      </w:r>
      <w:r w:rsidR="00F950BF">
        <w:t xml:space="preserve">between </w:t>
      </w:r>
      <w:r w:rsidR="005C5589">
        <w:t>high, b</w:t>
      </w:r>
      <w:r w:rsidR="00F13351">
        <w:t>est and</w:t>
      </w:r>
      <w:r w:rsidR="005C5589">
        <w:t xml:space="preserve"> l</w:t>
      </w:r>
      <w:r w:rsidR="00F13351">
        <w:t xml:space="preserve">ow scenarios is </w:t>
      </w:r>
      <w:r w:rsidR="00F950BF">
        <w:t xml:space="preserve">greater </w:t>
      </w:r>
      <w:r w:rsidR="00F13351">
        <w:t>for these waste</w:t>
      </w:r>
      <w:r w:rsidR="00F950BF">
        <w:t xml:space="preserve">s, </w:t>
      </w:r>
      <w:r w:rsidR="00F13351">
        <w:t>reflecting the increased uncertainty.</w:t>
      </w:r>
    </w:p>
    <w:p w:rsidR="002815CA" w:rsidRPr="00AA680B" w:rsidRDefault="002815CA" w:rsidP="00AA680B">
      <w:pPr>
        <w:pStyle w:val="BodyText"/>
      </w:pPr>
    </w:p>
    <w:p w:rsidR="002815CA" w:rsidRPr="00AA680B" w:rsidRDefault="00F13351" w:rsidP="00AA680B">
      <w:pPr>
        <w:pStyle w:val="BodyText"/>
      </w:pPr>
      <w:r w:rsidRPr="00AA680B">
        <w:t xml:space="preserve">The </w:t>
      </w:r>
      <w:r w:rsidR="00FF77D8" w:rsidRPr="00AA680B">
        <w:t xml:space="preserve">availability and </w:t>
      </w:r>
      <w:r w:rsidRPr="00AA680B">
        <w:t>quality of t</w:t>
      </w:r>
      <w:r w:rsidR="002815CA" w:rsidRPr="00AA680B">
        <w:t xml:space="preserve">he supporting </w:t>
      </w:r>
      <w:r w:rsidR="00DA61B6" w:rsidRPr="00AA680B">
        <w:t xml:space="preserve">jurisdictional </w:t>
      </w:r>
      <w:r w:rsidR="002815CA" w:rsidRPr="00AA680B">
        <w:t>tracking system data</w:t>
      </w:r>
      <w:r w:rsidRPr="00AA680B">
        <w:t xml:space="preserve"> used to determine the baseline (starting point) for</w:t>
      </w:r>
      <w:r w:rsidR="00F950BF" w:rsidRPr="00AA680B">
        <w:t xml:space="preserve"> the projection are</w:t>
      </w:r>
      <w:r w:rsidRPr="00AA680B">
        <w:t xml:space="preserve"> variable</w:t>
      </w:r>
      <w:r w:rsidR="00F950BF" w:rsidRPr="00AA680B">
        <w:t xml:space="preserve">, see analysis in </w:t>
      </w:r>
      <w:fldSimple w:instr=" REF _Ref408311113 \h  \* MERGEFORMAT ">
        <w:r w:rsidR="002F3000" w:rsidRPr="00816657">
          <w:t xml:space="preserve">Table </w:t>
        </w:r>
        <w:r w:rsidR="002F3000">
          <w:t>5</w:t>
        </w:r>
      </w:fldSimple>
      <w:r w:rsidR="002815CA" w:rsidRPr="00AA680B">
        <w:t>.</w:t>
      </w:r>
    </w:p>
    <w:p w:rsidR="00AA680B" w:rsidRDefault="00AA680B" w:rsidP="008C0AE0">
      <w:pPr>
        <w:pStyle w:val="BodyText"/>
      </w:pPr>
    </w:p>
    <w:p w:rsidR="00E05622" w:rsidRDefault="00E2466F" w:rsidP="007F5BD4">
      <w:pPr>
        <w:pStyle w:val="Heading3"/>
      </w:pPr>
      <w:r>
        <w:t>Uncertainty in the assumed fate proportions and mapping to infrastructure</w:t>
      </w:r>
    </w:p>
    <w:p w:rsidR="00F950BF" w:rsidRDefault="00F950BF" w:rsidP="00E05622">
      <w:pPr>
        <w:spacing w:after="120" w:line="240" w:lineRule="auto"/>
        <w:outlineLvl w:val="2"/>
        <w:rPr>
          <w:sz w:val="22"/>
        </w:rPr>
      </w:pPr>
      <w:r>
        <w:rPr>
          <w:sz w:val="22"/>
        </w:rPr>
        <w:t>Steps 1 and 2 of the assessment method, discussed above, outline the method of deter</w:t>
      </w:r>
      <w:r w:rsidR="004A1C99">
        <w:rPr>
          <w:sz w:val="22"/>
        </w:rPr>
        <w:t xml:space="preserve">mining </w:t>
      </w:r>
      <w:r>
        <w:rPr>
          <w:sz w:val="22"/>
        </w:rPr>
        <w:t xml:space="preserve">the fate proportions </w:t>
      </w:r>
      <w:r w:rsidR="004A1C99">
        <w:rPr>
          <w:sz w:val="22"/>
        </w:rPr>
        <w:t xml:space="preserve">of waste arisings </w:t>
      </w:r>
      <w:r>
        <w:rPr>
          <w:sz w:val="22"/>
        </w:rPr>
        <w:t>and mapping the proportions to the infrastructure groups.</w:t>
      </w:r>
    </w:p>
    <w:p w:rsidR="00E05622" w:rsidRDefault="00E05622" w:rsidP="007F5BD4">
      <w:pPr>
        <w:pStyle w:val="BodyText"/>
        <w:rPr>
          <w:rFonts w:ascii="Arial Rounded MT Bold" w:hAnsi="Arial Rounded MT Bold" w:cs="Arial"/>
          <w:color w:val="0000FF"/>
        </w:rPr>
      </w:pPr>
      <w:r w:rsidRPr="00CA5534">
        <w:t>Th</w:t>
      </w:r>
      <w:r w:rsidR="004A1C99">
        <w:t>e</w:t>
      </w:r>
      <w:r w:rsidRPr="00CA5534">
        <w:t xml:space="preserve"> assessment of the adequacy of infrastructure relies on </w:t>
      </w:r>
      <w:r w:rsidR="004A1C99">
        <w:t xml:space="preserve">fate proportion </w:t>
      </w:r>
      <w:r w:rsidRPr="00CA5534">
        <w:t>data from only three states</w:t>
      </w:r>
      <w:r w:rsidR="005C5589">
        <w:t xml:space="preserve"> (NSW, Qld, Vic)</w:t>
      </w:r>
      <w:r w:rsidRPr="00CA5534">
        <w:t>. It assumes the proportions of waste</w:t>
      </w:r>
      <w:r w:rsidR="004A1C99">
        <w:t xml:space="preserve"> fate </w:t>
      </w:r>
      <w:r w:rsidR="004A1C99" w:rsidRPr="00AA680B">
        <w:t>and</w:t>
      </w:r>
      <w:r w:rsidR="004A1C99">
        <w:t xml:space="preserve"> the receiving </w:t>
      </w:r>
      <w:r w:rsidRPr="00CA5534">
        <w:t>infrastructure group</w:t>
      </w:r>
      <w:r w:rsidR="004A1C99">
        <w:t>s</w:t>
      </w:r>
      <w:r w:rsidRPr="00CA5534">
        <w:t xml:space="preserve"> remain constant over time. In reality, changing market conditions, innovation and policy efforts are likely to change these proportions</w:t>
      </w:r>
      <w:r w:rsidR="004A1C99">
        <w:t xml:space="preserve"> and potentially the infrastructure that manage </w:t>
      </w:r>
      <w:r w:rsidR="005C5589">
        <w:t>the wastes</w:t>
      </w:r>
      <w:r w:rsidRPr="00CA5534">
        <w:t>.</w:t>
      </w:r>
      <w:r w:rsidRPr="00E05622">
        <w:rPr>
          <w:rFonts w:ascii="Arial Rounded MT Bold" w:hAnsi="Arial Rounded MT Bold" w:cs="Arial"/>
          <w:color w:val="0000FF"/>
        </w:rPr>
        <w:t xml:space="preserve"> </w:t>
      </w:r>
    </w:p>
    <w:p w:rsidR="00AA680B" w:rsidRDefault="00AA680B" w:rsidP="007F5BD4">
      <w:pPr>
        <w:pStyle w:val="BodyText"/>
        <w:rPr>
          <w:rFonts w:ascii="Arial Rounded MT Bold" w:hAnsi="Arial Rounded MT Bold" w:cs="Arial"/>
          <w:color w:val="0000FF"/>
        </w:rPr>
      </w:pPr>
    </w:p>
    <w:p w:rsidR="0059182A" w:rsidRDefault="001164F8" w:rsidP="007F5BD4">
      <w:pPr>
        <w:pStyle w:val="BodyText"/>
      </w:pPr>
      <w:r>
        <w:t xml:space="preserve">This project has attempted to reduce uncertainty related to changes in the fate of waste groups by consulting with DoE and jurisdictional EPA (or equivalent) staff regarding </w:t>
      </w:r>
      <w:r w:rsidR="0059182A">
        <w:t xml:space="preserve">likely </w:t>
      </w:r>
      <w:r>
        <w:t>changes in the</w:t>
      </w:r>
      <w:r w:rsidR="0059182A">
        <w:t xml:space="preserve"> management requirements of hazardous wastes (see </w:t>
      </w:r>
      <w:r w:rsidR="006D07F5">
        <w:fldChar w:fldCharType="begin"/>
      </w:r>
      <w:r w:rsidR="0059182A">
        <w:instrText xml:space="preserve"> REF _Ref408325695 \r \h </w:instrText>
      </w:r>
      <w:r w:rsidR="006D07F5">
        <w:fldChar w:fldCharType="separate"/>
      </w:r>
      <w:r w:rsidR="002F3000">
        <w:t>A.2</w:t>
      </w:r>
      <w:r w:rsidR="006D07F5">
        <w:fldChar w:fldCharType="end"/>
      </w:r>
      <w:r w:rsidR="0059182A">
        <w:t>).</w:t>
      </w:r>
    </w:p>
    <w:p w:rsidR="001164F8" w:rsidRDefault="00D06841" w:rsidP="007F5BD4">
      <w:pPr>
        <w:pStyle w:val="BodyText"/>
      </w:pPr>
      <w:r>
        <w:t xml:space="preserve">  </w:t>
      </w:r>
    </w:p>
    <w:p w:rsidR="00CA5534" w:rsidRPr="004D172F" w:rsidRDefault="002815CA" w:rsidP="007F5BD4">
      <w:pPr>
        <w:pStyle w:val="Heading3"/>
      </w:pPr>
      <w:r w:rsidRPr="002C1946">
        <w:t xml:space="preserve">Limitations and uncertainty </w:t>
      </w:r>
      <w:r w:rsidR="005B411E" w:rsidRPr="00C05318">
        <w:t xml:space="preserve">of </w:t>
      </w:r>
      <w:r w:rsidRPr="00710586">
        <w:t xml:space="preserve">the infrastructure </w:t>
      </w:r>
      <w:r w:rsidRPr="00FC029F">
        <w:t xml:space="preserve">capacity </w:t>
      </w:r>
      <w:r w:rsidR="00F130D5" w:rsidRPr="008E6EDC">
        <w:t>estimates</w:t>
      </w:r>
    </w:p>
    <w:p w:rsidR="00FF4C3A" w:rsidRPr="007F5BD4" w:rsidRDefault="005B411E" w:rsidP="007F5BD4">
      <w:pPr>
        <w:pStyle w:val="BodyText"/>
      </w:pPr>
      <w:r>
        <w:t>The following</w:t>
      </w:r>
      <w:r w:rsidR="00AA680B">
        <w:t xml:space="preserve"> factors</w:t>
      </w:r>
      <w:r>
        <w:t xml:space="preserve"> limit </w:t>
      </w:r>
      <w:r w:rsidR="00940CA0">
        <w:t>and</w:t>
      </w:r>
      <w:r>
        <w:t xml:space="preserve"> impact on the levels of certainty </w:t>
      </w:r>
      <w:r w:rsidR="00AA680B">
        <w:t>in</w:t>
      </w:r>
      <w:r>
        <w:t xml:space="preserve"> the infrastructure capacity estimates: </w:t>
      </w:r>
    </w:p>
    <w:p w:rsidR="00DB4A5B" w:rsidRDefault="00DB4A5B">
      <w:pPr>
        <w:numPr>
          <w:ilvl w:val="0"/>
          <w:numId w:val="28"/>
        </w:numPr>
        <w:spacing w:before="80" w:line="240" w:lineRule="auto"/>
        <w:rPr>
          <w:sz w:val="22"/>
        </w:rPr>
      </w:pPr>
      <w:r w:rsidRPr="00DB4A5B">
        <w:rPr>
          <w:b/>
          <w:sz w:val="22"/>
        </w:rPr>
        <w:t>Capacity database coverage</w:t>
      </w:r>
      <w:r w:rsidR="00DD529A" w:rsidRPr="00DB4A5B">
        <w:rPr>
          <w:sz w:val="22"/>
        </w:rPr>
        <w:t xml:space="preserve">. </w:t>
      </w:r>
    </w:p>
    <w:p w:rsidR="00DB4A5B" w:rsidRDefault="00AA680B" w:rsidP="007F5BD4">
      <w:pPr>
        <w:spacing w:before="80" w:line="240" w:lineRule="auto"/>
        <w:ind w:left="360"/>
        <w:rPr>
          <w:sz w:val="22"/>
        </w:rPr>
      </w:pPr>
      <w:r>
        <w:rPr>
          <w:sz w:val="22"/>
        </w:rPr>
        <w:t>Some h</w:t>
      </w:r>
      <w:r w:rsidR="00940CA0" w:rsidRPr="00DB4A5B">
        <w:rPr>
          <w:sz w:val="22"/>
        </w:rPr>
        <w:t xml:space="preserve">azardous wastes that </w:t>
      </w:r>
      <w:r w:rsidR="00940CA0" w:rsidRPr="00AA680B">
        <w:rPr>
          <w:sz w:val="22"/>
        </w:rPr>
        <w:t xml:space="preserve">are </w:t>
      </w:r>
      <w:r w:rsidR="00940CA0" w:rsidRPr="00AA680B">
        <w:rPr>
          <w:sz w:val="22"/>
          <w:u w:val="single"/>
        </w:rPr>
        <w:t>included</w:t>
      </w:r>
      <w:r w:rsidR="00940CA0" w:rsidRPr="007F5BD4">
        <w:rPr>
          <w:sz w:val="22"/>
        </w:rPr>
        <w:t xml:space="preserve"> in the waste group arisings </w:t>
      </w:r>
      <w:r w:rsidR="00684317">
        <w:rPr>
          <w:sz w:val="22"/>
        </w:rPr>
        <w:t>are</w:t>
      </w:r>
      <w:r w:rsidR="00940CA0" w:rsidRPr="007F5BD4">
        <w:rPr>
          <w:sz w:val="22"/>
        </w:rPr>
        <w:t xml:space="preserve"> </w:t>
      </w:r>
      <w:r w:rsidR="00CA5534" w:rsidRPr="007F5BD4">
        <w:rPr>
          <w:sz w:val="22"/>
        </w:rPr>
        <w:t xml:space="preserve">managed by facilities </w:t>
      </w:r>
      <w:r>
        <w:rPr>
          <w:sz w:val="22"/>
          <w:u w:val="single"/>
        </w:rPr>
        <w:t>excluded</w:t>
      </w:r>
      <w:r w:rsidR="00CA5534" w:rsidRPr="007F5BD4">
        <w:rPr>
          <w:sz w:val="22"/>
        </w:rPr>
        <w:t xml:space="preserve"> </w:t>
      </w:r>
      <w:r>
        <w:rPr>
          <w:sz w:val="22"/>
        </w:rPr>
        <w:t xml:space="preserve">from the </w:t>
      </w:r>
      <w:r w:rsidR="00CA5534" w:rsidRPr="007F5BD4">
        <w:rPr>
          <w:sz w:val="22"/>
        </w:rPr>
        <w:t>infrastructure database</w:t>
      </w:r>
      <w:r w:rsidR="00940CA0" w:rsidRPr="00DB4A5B">
        <w:rPr>
          <w:sz w:val="22"/>
        </w:rPr>
        <w:t xml:space="preserve">. </w:t>
      </w:r>
      <w:r>
        <w:rPr>
          <w:sz w:val="22"/>
        </w:rPr>
        <w:t xml:space="preserve">As </w:t>
      </w:r>
      <w:r w:rsidR="00FF2EC7">
        <w:rPr>
          <w:sz w:val="22"/>
        </w:rPr>
        <w:t>detailed</w:t>
      </w:r>
      <w:r>
        <w:rPr>
          <w:sz w:val="22"/>
        </w:rPr>
        <w:t xml:space="preserve"> in </w:t>
      </w:r>
      <w:r w:rsidRPr="00DB4A5B">
        <w:rPr>
          <w:sz w:val="22"/>
        </w:rPr>
        <w:t xml:space="preserve">Section </w:t>
      </w:r>
      <w:r w:rsidR="006D07F5" w:rsidRPr="00C05318">
        <w:rPr>
          <w:sz w:val="22"/>
        </w:rPr>
        <w:fldChar w:fldCharType="begin"/>
      </w:r>
      <w:r w:rsidRPr="00DB4A5B">
        <w:rPr>
          <w:sz w:val="22"/>
        </w:rPr>
        <w:instrText xml:space="preserve"> REF _Ref419488697 \r \h </w:instrText>
      </w:r>
      <w:r w:rsidR="006D07F5" w:rsidRPr="00C05318">
        <w:rPr>
          <w:sz w:val="22"/>
        </w:rPr>
      </w:r>
      <w:r w:rsidR="006D07F5" w:rsidRPr="00C05318">
        <w:rPr>
          <w:sz w:val="22"/>
        </w:rPr>
        <w:fldChar w:fldCharType="separate"/>
      </w:r>
      <w:r w:rsidR="002F3000">
        <w:rPr>
          <w:sz w:val="22"/>
        </w:rPr>
        <w:t>3</w:t>
      </w:r>
      <w:r w:rsidR="006D07F5" w:rsidRPr="00C05318">
        <w:rPr>
          <w:sz w:val="22"/>
        </w:rPr>
        <w:fldChar w:fldCharType="end"/>
      </w:r>
      <w:r w:rsidRPr="00DB4A5B">
        <w:rPr>
          <w:sz w:val="22"/>
        </w:rPr>
        <w:t xml:space="preserve">, </w:t>
      </w:r>
      <w:r w:rsidR="00684317">
        <w:rPr>
          <w:sz w:val="22"/>
        </w:rPr>
        <w:t xml:space="preserve">many </w:t>
      </w:r>
      <w:r>
        <w:rPr>
          <w:sz w:val="22"/>
        </w:rPr>
        <w:t>landfills</w:t>
      </w:r>
      <w:r w:rsidR="005C5589" w:rsidRPr="00DB4A5B">
        <w:rPr>
          <w:sz w:val="22"/>
        </w:rPr>
        <w:t xml:space="preserve"> </w:t>
      </w:r>
      <w:r w:rsidR="00684317">
        <w:rPr>
          <w:sz w:val="22"/>
        </w:rPr>
        <w:t xml:space="preserve">that accept </w:t>
      </w:r>
      <w:r w:rsidR="00490266" w:rsidRPr="00DB4A5B">
        <w:rPr>
          <w:sz w:val="22"/>
        </w:rPr>
        <w:t>low level contaminated soils, asbestos and tyres</w:t>
      </w:r>
      <w:r>
        <w:rPr>
          <w:sz w:val="22"/>
        </w:rPr>
        <w:t>, for example,</w:t>
      </w:r>
      <w:r w:rsidR="00490266" w:rsidRPr="00DB4A5B">
        <w:rPr>
          <w:sz w:val="22"/>
        </w:rPr>
        <w:t xml:space="preserve"> are not included in the scope of the infrastructure database</w:t>
      </w:r>
      <w:r w:rsidR="00CA5534" w:rsidRPr="00DB4A5B">
        <w:rPr>
          <w:sz w:val="22"/>
        </w:rPr>
        <w:t xml:space="preserve">. </w:t>
      </w:r>
    </w:p>
    <w:p w:rsidR="00725DFC" w:rsidRDefault="00AA680B" w:rsidP="007F5BD4">
      <w:pPr>
        <w:spacing w:before="80" w:line="240" w:lineRule="auto"/>
        <w:ind w:left="360"/>
        <w:rPr>
          <w:sz w:val="22"/>
        </w:rPr>
      </w:pPr>
      <w:r>
        <w:rPr>
          <w:sz w:val="22"/>
        </w:rPr>
        <w:t>Some h</w:t>
      </w:r>
      <w:r w:rsidR="00FB4F22" w:rsidRPr="00DB4A5B">
        <w:rPr>
          <w:sz w:val="22"/>
        </w:rPr>
        <w:t xml:space="preserve">azardous wastes that </w:t>
      </w:r>
      <w:r w:rsidR="00FB4F22" w:rsidRPr="00AA680B">
        <w:rPr>
          <w:sz w:val="22"/>
        </w:rPr>
        <w:t xml:space="preserve">are </w:t>
      </w:r>
      <w:r w:rsidR="00FB4F22" w:rsidRPr="00DB4A5B">
        <w:rPr>
          <w:sz w:val="22"/>
          <w:u w:val="single"/>
        </w:rPr>
        <w:t>included</w:t>
      </w:r>
      <w:r w:rsidR="00FB4F22" w:rsidRPr="00DB4A5B">
        <w:rPr>
          <w:sz w:val="22"/>
        </w:rPr>
        <w:t xml:space="preserve"> in the waste group arisings are managed by infrastructure</w:t>
      </w:r>
      <w:r w:rsidR="005C5589" w:rsidRPr="00DB4A5B">
        <w:rPr>
          <w:sz w:val="22"/>
        </w:rPr>
        <w:t xml:space="preserve"> groups</w:t>
      </w:r>
      <w:r w:rsidR="00FB4F22" w:rsidRPr="00DB4A5B">
        <w:rPr>
          <w:sz w:val="22"/>
        </w:rPr>
        <w:t xml:space="preserve"> </w:t>
      </w:r>
      <w:r w:rsidR="00FB4F22" w:rsidRPr="00DB4A5B">
        <w:rPr>
          <w:sz w:val="22"/>
          <w:u w:val="single"/>
        </w:rPr>
        <w:t>with limited coverage</w:t>
      </w:r>
      <w:r w:rsidR="00FB4F22" w:rsidRPr="00DB4A5B">
        <w:rPr>
          <w:sz w:val="22"/>
        </w:rPr>
        <w:t xml:space="preserve"> in the infrastructure capacity database. As </w:t>
      </w:r>
      <w:r w:rsidR="00FF2EC7">
        <w:rPr>
          <w:sz w:val="22"/>
        </w:rPr>
        <w:t>detailed</w:t>
      </w:r>
      <w:r w:rsidR="00FB4F22" w:rsidRPr="00DB4A5B">
        <w:rPr>
          <w:sz w:val="22"/>
        </w:rPr>
        <w:t xml:space="preserve"> in Section </w:t>
      </w:r>
      <w:r w:rsidR="006D07F5" w:rsidRPr="00C05318">
        <w:rPr>
          <w:sz w:val="22"/>
        </w:rPr>
        <w:fldChar w:fldCharType="begin"/>
      </w:r>
      <w:r w:rsidR="00FB4F22" w:rsidRPr="00DB4A5B">
        <w:rPr>
          <w:sz w:val="22"/>
        </w:rPr>
        <w:instrText xml:space="preserve"> REF _Ref419488697 \r \h </w:instrText>
      </w:r>
      <w:r w:rsidR="006D07F5" w:rsidRPr="00C05318">
        <w:rPr>
          <w:sz w:val="22"/>
        </w:rPr>
      </w:r>
      <w:r w:rsidR="006D07F5" w:rsidRPr="00C05318">
        <w:rPr>
          <w:sz w:val="22"/>
        </w:rPr>
        <w:fldChar w:fldCharType="separate"/>
      </w:r>
      <w:r w:rsidR="002F3000">
        <w:rPr>
          <w:sz w:val="22"/>
        </w:rPr>
        <w:t>3</w:t>
      </w:r>
      <w:r w:rsidR="006D07F5" w:rsidRPr="00C05318">
        <w:rPr>
          <w:sz w:val="22"/>
        </w:rPr>
        <w:fldChar w:fldCharType="end"/>
      </w:r>
      <w:r w:rsidR="00FB4F22" w:rsidRPr="00DB4A5B">
        <w:rPr>
          <w:sz w:val="22"/>
        </w:rPr>
        <w:t>, the database has limited coverage hazardous waste organics</w:t>
      </w:r>
      <w:r w:rsidR="00490266" w:rsidRPr="00DB4A5B">
        <w:rPr>
          <w:sz w:val="22"/>
        </w:rPr>
        <w:t xml:space="preserve"> recycling</w:t>
      </w:r>
      <w:r w:rsidR="00FB4F22" w:rsidRPr="00DB4A5B">
        <w:rPr>
          <w:sz w:val="22"/>
        </w:rPr>
        <w:t xml:space="preserve"> facilities, POP thermal destruction facilities and transfer and storage facilities. </w:t>
      </w:r>
    </w:p>
    <w:p w:rsidR="00FB4F22" w:rsidRPr="00725DFC" w:rsidRDefault="00FF2EC7" w:rsidP="007F5BD4">
      <w:pPr>
        <w:shd w:val="clear" w:color="auto" w:fill="FFFFFF" w:themeFill="background1"/>
        <w:spacing w:before="80" w:line="240" w:lineRule="auto"/>
        <w:ind w:left="360"/>
        <w:rPr>
          <w:sz w:val="22"/>
        </w:rPr>
      </w:pPr>
      <w:r>
        <w:rPr>
          <w:sz w:val="22"/>
        </w:rPr>
        <w:lastRenderedPageBreak/>
        <w:t>T</w:t>
      </w:r>
      <w:r w:rsidR="00490266">
        <w:rPr>
          <w:sz w:val="22"/>
        </w:rPr>
        <w:t>h</w:t>
      </w:r>
      <w:r w:rsidR="00DB4A5B">
        <w:rPr>
          <w:sz w:val="22"/>
        </w:rPr>
        <w:t xml:space="preserve">is </w:t>
      </w:r>
      <w:r w:rsidR="00725DFC">
        <w:rPr>
          <w:sz w:val="22"/>
        </w:rPr>
        <w:t>result</w:t>
      </w:r>
      <w:r w:rsidR="00DB4A5B">
        <w:rPr>
          <w:sz w:val="22"/>
        </w:rPr>
        <w:t>s</w:t>
      </w:r>
      <w:r w:rsidR="00725DFC">
        <w:rPr>
          <w:sz w:val="22"/>
        </w:rPr>
        <w:t xml:space="preserve"> in an under-estimation of the capacity </w:t>
      </w:r>
      <w:r>
        <w:rPr>
          <w:sz w:val="22"/>
        </w:rPr>
        <w:t xml:space="preserve">of </w:t>
      </w:r>
      <w:r w:rsidR="00725DFC">
        <w:rPr>
          <w:sz w:val="22"/>
        </w:rPr>
        <w:t>these infrastructure groups and an inaccurate estimate of the period when the</w:t>
      </w:r>
      <w:r w:rsidR="00F130D5" w:rsidRPr="00725DFC">
        <w:rPr>
          <w:sz w:val="22"/>
        </w:rPr>
        <w:t xml:space="preserve"> </w:t>
      </w:r>
      <w:r w:rsidR="00725DFC">
        <w:rPr>
          <w:sz w:val="22"/>
        </w:rPr>
        <w:t xml:space="preserve">capacity of these groups will be exceeded. </w:t>
      </w:r>
      <w:fldSimple w:instr=" REF _Ref419490747 \h  \* MERGEFORMAT ">
        <w:r w:rsidR="002F3000" w:rsidRPr="002F3000">
          <w:rPr>
            <w:rFonts w:asciiTheme="minorHAnsi" w:hAnsiTheme="minorHAnsi" w:cs="Calibri"/>
            <w:noProof/>
            <w:color w:val="auto"/>
            <w:sz w:val="22"/>
          </w:rPr>
          <w:t>Figure 39</w:t>
        </w:r>
      </w:fldSimple>
      <w:r w:rsidR="00BE0391" w:rsidRPr="007F5BD4">
        <w:rPr>
          <w:color w:val="auto"/>
          <w:sz w:val="22"/>
        </w:rPr>
        <w:t xml:space="preserve"> </w:t>
      </w:r>
      <w:r w:rsidR="00725DFC" w:rsidRPr="007F5BD4">
        <w:rPr>
          <w:color w:val="auto"/>
          <w:sz w:val="22"/>
        </w:rPr>
        <w:t>illustrate</w:t>
      </w:r>
      <w:r w:rsidR="00BE0391" w:rsidRPr="007F5BD4">
        <w:rPr>
          <w:color w:val="auto"/>
          <w:sz w:val="22"/>
        </w:rPr>
        <w:t>s</w:t>
      </w:r>
      <w:r w:rsidR="00725DFC" w:rsidRPr="007F5BD4">
        <w:rPr>
          <w:color w:val="auto"/>
          <w:sz w:val="22"/>
        </w:rPr>
        <w:t xml:space="preserve"> which inf</w:t>
      </w:r>
      <w:r w:rsidR="00490266" w:rsidRPr="007F5BD4">
        <w:rPr>
          <w:color w:val="auto"/>
          <w:sz w:val="22"/>
        </w:rPr>
        <w:t>rastructure groups</w:t>
      </w:r>
      <w:r w:rsidR="00BE0391" w:rsidRPr="007F5BD4">
        <w:rPr>
          <w:color w:val="auto"/>
          <w:sz w:val="22"/>
        </w:rPr>
        <w:t xml:space="preserve"> are out of the capacity assessment scope or </w:t>
      </w:r>
      <w:r w:rsidR="00490266" w:rsidRPr="007F5BD4">
        <w:rPr>
          <w:color w:val="auto"/>
          <w:sz w:val="22"/>
        </w:rPr>
        <w:t xml:space="preserve">have limited </w:t>
      </w:r>
      <w:r w:rsidR="00725DFC" w:rsidRPr="007F5BD4">
        <w:rPr>
          <w:color w:val="auto"/>
          <w:sz w:val="22"/>
        </w:rPr>
        <w:t>coverage</w:t>
      </w:r>
      <w:r w:rsidR="00BE0391" w:rsidRPr="007F5BD4">
        <w:rPr>
          <w:color w:val="auto"/>
          <w:sz w:val="22"/>
        </w:rPr>
        <w:t xml:space="preserve">. </w:t>
      </w:r>
      <w:fldSimple w:instr=" REF _Ref421043373 \h  \* MERGEFORMAT ">
        <w:r w:rsidR="002F3000" w:rsidRPr="002F3000">
          <w:rPr>
            <w:rFonts w:asciiTheme="minorHAnsi" w:hAnsiTheme="minorHAnsi" w:cs="Calibri"/>
            <w:noProof/>
            <w:color w:val="auto"/>
            <w:sz w:val="22"/>
          </w:rPr>
          <w:t>Table 55</w:t>
        </w:r>
      </w:fldSimple>
      <w:r w:rsidR="00293BA9" w:rsidRPr="007F5BD4">
        <w:rPr>
          <w:color w:val="auto"/>
          <w:sz w:val="22"/>
        </w:rPr>
        <w:t xml:space="preserve"> </w:t>
      </w:r>
      <w:r w:rsidR="00BE0391" w:rsidRPr="007F5BD4">
        <w:rPr>
          <w:color w:val="auto"/>
          <w:sz w:val="22"/>
        </w:rPr>
        <w:t xml:space="preserve">and </w:t>
      </w:r>
      <w:fldSimple w:instr=" REF _Ref421043400 \h  \* MERGEFORMAT ">
        <w:r w:rsidR="002F3000" w:rsidRPr="002F3000">
          <w:rPr>
            <w:rFonts w:asciiTheme="minorHAnsi" w:hAnsiTheme="minorHAnsi" w:cs="Calibri"/>
            <w:noProof/>
            <w:color w:val="auto"/>
            <w:sz w:val="22"/>
          </w:rPr>
          <w:t>Figure 40</w:t>
        </w:r>
      </w:fldSimple>
      <w:r w:rsidR="00293BA9" w:rsidRPr="007F5BD4">
        <w:rPr>
          <w:color w:val="auto"/>
          <w:sz w:val="22"/>
        </w:rPr>
        <w:t xml:space="preserve"> </w:t>
      </w:r>
      <w:r w:rsidR="00725DFC" w:rsidRPr="007F5BD4">
        <w:rPr>
          <w:color w:val="auto"/>
          <w:sz w:val="22"/>
        </w:rPr>
        <w:t>deta</w:t>
      </w:r>
      <w:r w:rsidR="00725DFC">
        <w:rPr>
          <w:sz w:val="22"/>
        </w:rPr>
        <w:t xml:space="preserve">ils which </w:t>
      </w:r>
      <w:r w:rsidR="003A6FBB">
        <w:rPr>
          <w:sz w:val="22"/>
        </w:rPr>
        <w:t xml:space="preserve">waste groups </w:t>
      </w:r>
      <w:r w:rsidR="008A20E0">
        <w:rPr>
          <w:sz w:val="22"/>
        </w:rPr>
        <w:t xml:space="preserve">are </w:t>
      </w:r>
      <w:r w:rsidR="00BE0391">
        <w:rPr>
          <w:sz w:val="22"/>
        </w:rPr>
        <w:t>mos</w:t>
      </w:r>
      <w:r w:rsidR="008A20E0">
        <w:rPr>
          <w:sz w:val="22"/>
        </w:rPr>
        <w:t>t affected by these limitations.</w:t>
      </w:r>
      <w:r w:rsidR="00BE0391">
        <w:rPr>
          <w:sz w:val="22"/>
        </w:rPr>
        <w:t xml:space="preserve"> </w:t>
      </w:r>
    </w:p>
    <w:p w:rsidR="0059182A" w:rsidRDefault="0059182A" w:rsidP="0059182A">
      <w:pPr>
        <w:numPr>
          <w:ilvl w:val="0"/>
          <w:numId w:val="28"/>
        </w:numPr>
        <w:spacing w:before="80" w:line="240" w:lineRule="auto"/>
        <w:rPr>
          <w:sz w:val="22"/>
        </w:rPr>
      </w:pPr>
      <w:r>
        <w:rPr>
          <w:b/>
          <w:sz w:val="22"/>
        </w:rPr>
        <w:t xml:space="preserve">Capacity data quality. </w:t>
      </w:r>
      <w:r>
        <w:rPr>
          <w:sz w:val="22"/>
        </w:rPr>
        <w:t xml:space="preserve">The infrastructure capacity data collated in this report is of varying accuracy. </w:t>
      </w:r>
      <w:fldSimple w:instr=" REF _Ref419493187 \h  \* MERGEFORMAT ">
        <w:r w:rsidR="002F3000" w:rsidRPr="002F3000">
          <w:rPr>
            <w:rFonts w:asciiTheme="minorHAnsi" w:hAnsiTheme="minorHAnsi" w:cs="Calibri"/>
            <w:noProof/>
            <w:color w:val="auto"/>
            <w:sz w:val="22"/>
          </w:rPr>
          <w:t>Table 51</w:t>
        </w:r>
      </w:fldSimple>
      <w:r w:rsidRPr="007F5BD4">
        <w:rPr>
          <w:color w:val="auto"/>
          <w:sz w:val="22"/>
        </w:rPr>
        <w:t xml:space="preserve"> details the proportions of what is assumed to be high, moderate, and low quality data for each infrastru</w:t>
      </w:r>
      <w:r>
        <w:rPr>
          <w:sz w:val="22"/>
        </w:rPr>
        <w:t>cture group.</w:t>
      </w:r>
    </w:p>
    <w:p w:rsidR="00AE22A0" w:rsidRPr="007F5BD4" w:rsidRDefault="0059182A" w:rsidP="00AE22A0">
      <w:pPr>
        <w:numPr>
          <w:ilvl w:val="0"/>
          <w:numId w:val="28"/>
        </w:numPr>
        <w:spacing w:before="80" w:line="240" w:lineRule="auto"/>
        <w:rPr>
          <w:sz w:val="22"/>
        </w:rPr>
      </w:pPr>
      <w:r w:rsidRPr="00FB7B7C">
        <w:rPr>
          <w:b/>
          <w:sz w:val="22"/>
        </w:rPr>
        <w:t xml:space="preserve">Infrastructure </w:t>
      </w:r>
      <w:r w:rsidR="0069009E" w:rsidRPr="00FB7B7C">
        <w:rPr>
          <w:b/>
          <w:sz w:val="22"/>
        </w:rPr>
        <w:t>gro</w:t>
      </w:r>
      <w:r w:rsidRPr="00FB7B7C">
        <w:rPr>
          <w:b/>
          <w:sz w:val="22"/>
        </w:rPr>
        <w:t>up</w:t>
      </w:r>
      <w:r w:rsidR="00D67590">
        <w:rPr>
          <w:b/>
          <w:sz w:val="22"/>
        </w:rPr>
        <w:t xml:space="preserve"> capacity</w:t>
      </w:r>
      <w:r w:rsidR="0069009E" w:rsidRPr="00FB7B7C">
        <w:rPr>
          <w:b/>
          <w:sz w:val="22"/>
        </w:rPr>
        <w:t xml:space="preserve"> overlap. </w:t>
      </w:r>
      <w:r w:rsidR="0069009E" w:rsidRPr="00FB7B7C">
        <w:rPr>
          <w:sz w:val="22"/>
        </w:rPr>
        <w:t xml:space="preserve">As discussed in Section </w:t>
      </w:r>
      <w:r w:rsidR="006D07F5" w:rsidRPr="00C05318">
        <w:rPr>
          <w:sz w:val="22"/>
        </w:rPr>
        <w:fldChar w:fldCharType="begin"/>
      </w:r>
      <w:r w:rsidR="0069009E" w:rsidRPr="00FB7B7C">
        <w:rPr>
          <w:sz w:val="22"/>
        </w:rPr>
        <w:instrText xml:space="preserve"> REF _Ref419197816 \r \h </w:instrText>
      </w:r>
      <w:r w:rsidR="006D07F5" w:rsidRPr="00C05318">
        <w:rPr>
          <w:sz w:val="22"/>
        </w:rPr>
      </w:r>
      <w:r w:rsidR="006D07F5" w:rsidRPr="00C05318">
        <w:rPr>
          <w:sz w:val="22"/>
        </w:rPr>
        <w:fldChar w:fldCharType="separate"/>
      </w:r>
      <w:r w:rsidR="002F3000">
        <w:rPr>
          <w:sz w:val="22"/>
        </w:rPr>
        <w:t>3.2</w:t>
      </w:r>
      <w:r w:rsidR="006D07F5" w:rsidRPr="00C05318">
        <w:rPr>
          <w:sz w:val="22"/>
        </w:rPr>
        <w:fldChar w:fldCharType="end"/>
      </w:r>
      <w:r w:rsidR="00FF2EC7">
        <w:rPr>
          <w:sz w:val="22"/>
        </w:rPr>
        <w:t>,</w:t>
      </w:r>
      <w:r w:rsidR="0069009E" w:rsidRPr="00FB7B7C">
        <w:rPr>
          <w:sz w:val="22"/>
        </w:rPr>
        <w:t xml:space="preserve"> </w:t>
      </w:r>
      <w:r w:rsidR="00234408" w:rsidRPr="00FB7B7C">
        <w:rPr>
          <w:sz w:val="22"/>
        </w:rPr>
        <w:t xml:space="preserve">hazardous waste </w:t>
      </w:r>
      <w:proofErr w:type="gramStart"/>
      <w:r w:rsidR="0069009E" w:rsidRPr="00FB7B7C">
        <w:rPr>
          <w:sz w:val="22"/>
        </w:rPr>
        <w:t xml:space="preserve">infrastructure </w:t>
      </w:r>
      <w:r w:rsidR="00234408" w:rsidRPr="00FB7B7C">
        <w:rPr>
          <w:sz w:val="22"/>
        </w:rPr>
        <w:t>were</w:t>
      </w:r>
      <w:proofErr w:type="gramEnd"/>
      <w:r w:rsidR="0069009E" w:rsidRPr="00FB7B7C">
        <w:rPr>
          <w:color w:val="080808"/>
          <w:sz w:val="22"/>
        </w:rPr>
        <w:t xml:space="preserve"> grouped by</w:t>
      </w:r>
      <w:r w:rsidR="00FF2EC7">
        <w:rPr>
          <w:color w:val="080808"/>
          <w:sz w:val="22"/>
        </w:rPr>
        <w:t xml:space="preserve"> both</w:t>
      </w:r>
      <w:r w:rsidR="0069009E" w:rsidRPr="00FB7B7C">
        <w:rPr>
          <w:color w:val="080808"/>
          <w:sz w:val="22"/>
        </w:rPr>
        <w:t xml:space="preserve"> wastes received </w:t>
      </w:r>
      <w:r w:rsidR="0069009E" w:rsidRPr="00FF2EC7">
        <w:rPr>
          <w:color w:val="080808"/>
          <w:sz w:val="22"/>
        </w:rPr>
        <w:t>and</w:t>
      </w:r>
      <w:r w:rsidR="0069009E" w:rsidRPr="00FB7B7C">
        <w:rPr>
          <w:color w:val="080808"/>
          <w:sz w:val="22"/>
        </w:rPr>
        <w:t xml:space="preserve"> primary function</w:t>
      </w:r>
      <w:r w:rsidR="0069009E" w:rsidRPr="00464591">
        <w:rPr>
          <w:color w:val="080808"/>
          <w:sz w:val="22"/>
          <w:vertAlign w:val="superscript"/>
        </w:rPr>
        <w:footnoteReference w:id="33"/>
      </w:r>
      <w:r w:rsidR="0069009E" w:rsidRPr="00FB7B7C">
        <w:rPr>
          <w:color w:val="080808"/>
          <w:sz w:val="22"/>
        </w:rPr>
        <w:t>. There is some overlap in the functions provided by</w:t>
      </w:r>
      <w:r w:rsidR="008A250B">
        <w:rPr>
          <w:color w:val="080808"/>
          <w:sz w:val="22"/>
        </w:rPr>
        <w:t xml:space="preserve"> the</w:t>
      </w:r>
      <w:r w:rsidR="0069009E" w:rsidRPr="00FB7B7C">
        <w:rPr>
          <w:color w:val="080808"/>
          <w:sz w:val="22"/>
        </w:rPr>
        <w:t xml:space="preserve"> </w:t>
      </w:r>
      <w:r w:rsidR="00234408" w:rsidRPr="00FB7B7C">
        <w:rPr>
          <w:color w:val="080808"/>
          <w:sz w:val="22"/>
        </w:rPr>
        <w:t xml:space="preserve">infrastructure included the </w:t>
      </w:r>
      <w:r w:rsidR="0069009E" w:rsidRPr="00FB7B7C">
        <w:rPr>
          <w:color w:val="080808"/>
          <w:sz w:val="22"/>
        </w:rPr>
        <w:t xml:space="preserve">groups. </w:t>
      </w:r>
      <w:r w:rsidR="00FF2EC7">
        <w:rPr>
          <w:color w:val="080808"/>
          <w:sz w:val="22"/>
        </w:rPr>
        <w:t>Some</w:t>
      </w:r>
      <w:r w:rsidR="00AE22A0" w:rsidRPr="00AE22A0">
        <w:rPr>
          <w:color w:val="080808"/>
          <w:sz w:val="22"/>
        </w:rPr>
        <w:t xml:space="preserve"> group</w:t>
      </w:r>
      <w:r w:rsidR="00FF2EC7">
        <w:rPr>
          <w:color w:val="080808"/>
          <w:sz w:val="22"/>
        </w:rPr>
        <w:t>s</w:t>
      </w:r>
      <w:r w:rsidR="00AE22A0" w:rsidRPr="00AE22A0">
        <w:rPr>
          <w:color w:val="080808"/>
          <w:sz w:val="22"/>
        </w:rPr>
        <w:t xml:space="preserve"> </w:t>
      </w:r>
      <w:r w:rsidR="00FF2EC7">
        <w:rPr>
          <w:color w:val="080808"/>
          <w:sz w:val="22"/>
        </w:rPr>
        <w:t>may</w:t>
      </w:r>
      <w:r w:rsidR="00AE22A0" w:rsidRPr="00AE22A0">
        <w:rPr>
          <w:color w:val="080808"/>
          <w:sz w:val="22"/>
        </w:rPr>
        <w:t xml:space="preserve"> provide capacity for more than the primary function identified</w:t>
      </w:r>
      <w:r w:rsidR="00FF2EC7">
        <w:rPr>
          <w:color w:val="080808"/>
          <w:sz w:val="22"/>
        </w:rPr>
        <w:t xml:space="preserve"> – for example,</w:t>
      </w:r>
      <w:r w:rsidR="00AE22A0" w:rsidRPr="00AE22A0">
        <w:rPr>
          <w:color w:val="080808"/>
          <w:sz w:val="22"/>
        </w:rPr>
        <w:t xml:space="preserve"> </w:t>
      </w:r>
      <w:r w:rsidR="00FF2EC7">
        <w:rPr>
          <w:color w:val="080808"/>
          <w:sz w:val="22"/>
        </w:rPr>
        <w:t>o</w:t>
      </w:r>
      <w:r w:rsidR="00AE22A0" w:rsidRPr="00AE22A0">
        <w:rPr>
          <w:color w:val="080808"/>
          <w:sz w:val="22"/>
        </w:rPr>
        <w:t>il re-refining facilities often have a transfer and storage capacity</w:t>
      </w:r>
      <w:r w:rsidR="00FF2EC7">
        <w:rPr>
          <w:color w:val="080808"/>
          <w:sz w:val="22"/>
        </w:rPr>
        <w:t xml:space="preserve">. In these cases, </w:t>
      </w:r>
      <w:r w:rsidR="00AE22A0" w:rsidRPr="00AE22A0">
        <w:rPr>
          <w:color w:val="080808"/>
          <w:sz w:val="22"/>
        </w:rPr>
        <w:t xml:space="preserve">the capacity of the primary function is </w:t>
      </w:r>
      <w:r w:rsidR="00AE22A0" w:rsidRPr="00FF2EC7">
        <w:rPr>
          <w:color w:val="080808"/>
          <w:sz w:val="22"/>
        </w:rPr>
        <w:t>over estimated</w:t>
      </w:r>
      <w:r w:rsidR="00AE22A0" w:rsidRPr="00AE22A0">
        <w:rPr>
          <w:color w:val="080808"/>
          <w:sz w:val="22"/>
        </w:rPr>
        <w:t xml:space="preserve">. It follows that where the capacity of an infrastructure group is included within other groups (e.g. transfer station and temp storage capacity is provided by many other groups) the capacity of the group is </w:t>
      </w:r>
      <w:r w:rsidR="00AE22A0" w:rsidRPr="00FF2EC7">
        <w:rPr>
          <w:color w:val="080808"/>
          <w:sz w:val="22"/>
        </w:rPr>
        <w:t>under estimated</w:t>
      </w:r>
      <w:r w:rsidR="00AE22A0" w:rsidRPr="00AE22A0">
        <w:rPr>
          <w:color w:val="080808"/>
          <w:sz w:val="22"/>
        </w:rPr>
        <w:t xml:space="preserve">. </w:t>
      </w:r>
      <w:r w:rsidR="00FF2EC7">
        <w:rPr>
          <w:color w:val="080808"/>
          <w:sz w:val="22"/>
        </w:rPr>
        <w:t>R</w:t>
      </w:r>
      <w:r w:rsidR="00AE22A0" w:rsidRPr="00AE22A0">
        <w:rPr>
          <w:color w:val="080808"/>
          <w:sz w:val="22"/>
        </w:rPr>
        <w:t>emov</w:t>
      </w:r>
      <w:r w:rsidR="00FF2EC7">
        <w:rPr>
          <w:color w:val="080808"/>
          <w:sz w:val="22"/>
        </w:rPr>
        <w:t>al of</w:t>
      </w:r>
      <w:r w:rsidR="00AE22A0" w:rsidRPr="00AE22A0">
        <w:rPr>
          <w:color w:val="080808"/>
          <w:sz w:val="22"/>
        </w:rPr>
        <w:t xml:space="preserve"> this ‘overlap’ in infrastructure group capacity</w:t>
      </w:r>
      <w:r w:rsidR="00FF2EC7">
        <w:rPr>
          <w:color w:val="080808"/>
          <w:sz w:val="22"/>
        </w:rPr>
        <w:t xml:space="preserve"> would require </w:t>
      </w:r>
      <w:r w:rsidR="00AE22A0" w:rsidRPr="00AE22A0">
        <w:rPr>
          <w:color w:val="080808"/>
          <w:sz w:val="22"/>
        </w:rPr>
        <w:t xml:space="preserve">data on: </w:t>
      </w:r>
    </w:p>
    <w:p w:rsidR="003629B1" w:rsidRPr="007F5BD4" w:rsidRDefault="00FF2EC7" w:rsidP="00FF2EC7">
      <w:pPr>
        <w:pStyle w:val="Bullet2"/>
      </w:pPr>
      <w:r>
        <w:t xml:space="preserve">the </w:t>
      </w:r>
      <w:r w:rsidR="003629B1">
        <w:t xml:space="preserve">types of infrastructure on site </w:t>
      </w:r>
    </w:p>
    <w:p w:rsidR="00AE22A0" w:rsidRPr="007F5BD4" w:rsidRDefault="00FF2EC7" w:rsidP="00FF2EC7">
      <w:pPr>
        <w:pStyle w:val="Bullet2"/>
      </w:pPr>
      <w:r w:rsidRPr="00AE22A0">
        <w:rPr>
          <w:color w:val="080808"/>
        </w:rPr>
        <w:t xml:space="preserve">the </w:t>
      </w:r>
      <w:r w:rsidR="00AE22A0" w:rsidRPr="00AE22A0">
        <w:rPr>
          <w:color w:val="080808"/>
        </w:rPr>
        <w:t>types of wastes receive</w:t>
      </w:r>
      <w:r w:rsidR="00AE22A0">
        <w:rPr>
          <w:color w:val="080808"/>
        </w:rPr>
        <w:t>d</w:t>
      </w:r>
      <w:r w:rsidR="00AE22A0" w:rsidRPr="00AE22A0">
        <w:rPr>
          <w:color w:val="080808"/>
        </w:rPr>
        <w:t xml:space="preserve"> (at a detailed level</w:t>
      </w:r>
      <w:r w:rsidR="00AE22A0">
        <w:rPr>
          <w:color w:val="080808"/>
        </w:rPr>
        <w:t>,</w:t>
      </w:r>
      <w:r w:rsidR="00AE22A0" w:rsidRPr="00AE22A0">
        <w:rPr>
          <w:color w:val="080808"/>
        </w:rPr>
        <w:t xml:space="preserve"> i.e. NEPM 75</w:t>
      </w:r>
      <w:r w:rsidR="00AE22A0">
        <w:rPr>
          <w:color w:val="080808"/>
        </w:rPr>
        <w:t xml:space="preserve"> level</w:t>
      </w:r>
      <w:r w:rsidR="00AE22A0" w:rsidRPr="00AE22A0">
        <w:rPr>
          <w:color w:val="080808"/>
        </w:rPr>
        <w:t>)</w:t>
      </w:r>
    </w:p>
    <w:p w:rsidR="00AE22A0" w:rsidRPr="007F5BD4" w:rsidRDefault="00FF2EC7" w:rsidP="00FF2EC7">
      <w:pPr>
        <w:pStyle w:val="Bullet2"/>
      </w:pPr>
      <w:r w:rsidRPr="00AE22A0">
        <w:rPr>
          <w:color w:val="080808"/>
        </w:rPr>
        <w:t xml:space="preserve">the </w:t>
      </w:r>
      <w:r w:rsidR="00AE22A0" w:rsidRPr="00AE22A0">
        <w:rPr>
          <w:color w:val="080808"/>
        </w:rPr>
        <w:t>amounts of each waste received</w:t>
      </w:r>
    </w:p>
    <w:p w:rsidR="00AE22A0" w:rsidRPr="007F5BD4" w:rsidRDefault="00FF2EC7" w:rsidP="00FF2EC7">
      <w:pPr>
        <w:pStyle w:val="Bullet2"/>
      </w:pPr>
      <w:proofErr w:type="gramStart"/>
      <w:r w:rsidRPr="00AE22A0">
        <w:rPr>
          <w:color w:val="080808"/>
        </w:rPr>
        <w:t>the</w:t>
      </w:r>
      <w:proofErr w:type="gramEnd"/>
      <w:r w:rsidRPr="00AE22A0">
        <w:rPr>
          <w:color w:val="080808"/>
        </w:rPr>
        <w:t xml:space="preserve"> </w:t>
      </w:r>
      <w:r w:rsidR="00AE22A0" w:rsidRPr="00AE22A0">
        <w:rPr>
          <w:color w:val="080808"/>
        </w:rPr>
        <w:t>proportions of the fate of each waste (i.e. how much went to recycli</w:t>
      </w:r>
      <w:r w:rsidR="00AE22A0">
        <w:rPr>
          <w:color w:val="080808"/>
        </w:rPr>
        <w:t xml:space="preserve">ng, </w:t>
      </w:r>
      <w:r w:rsidR="007C6856">
        <w:rPr>
          <w:color w:val="080808"/>
        </w:rPr>
        <w:t>energy recovery</w:t>
      </w:r>
      <w:r w:rsidR="00AE22A0">
        <w:rPr>
          <w:color w:val="080808"/>
        </w:rPr>
        <w:t xml:space="preserve">, </w:t>
      </w:r>
      <w:r w:rsidR="007C6856">
        <w:rPr>
          <w:color w:val="080808"/>
        </w:rPr>
        <w:t>thermal destruction</w:t>
      </w:r>
      <w:r w:rsidR="00AE22A0">
        <w:rPr>
          <w:color w:val="080808"/>
        </w:rPr>
        <w:t>, disposal</w:t>
      </w:r>
      <w:r w:rsidR="00ED41D3">
        <w:rPr>
          <w:color w:val="080808"/>
        </w:rPr>
        <w:t xml:space="preserve"> and transfer)</w:t>
      </w:r>
      <w:r w:rsidR="00AE22A0">
        <w:rPr>
          <w:color w:val="080808"/>
        </w:rPr>
        <w:t>.</w:t>
      </w:r>
    </w:p>
    <w:p w:rsidR="00240BED" w:rsidRPr="007F5BD4" w:rsidRDefault="00AE22A0" w:rsidP="007F5BD4">
      <w:pPr>
        <w:spacing w:before="80" w:line="240" w:lineRule="auto"/>
        <w:ind w:left="426"/>
        <w:rPr>
          <w:sz w:val="22"/>
        </w:rPr>
      </w:pPr>
      <w:r w:rsidRPr="00AE22A0">
        <w:rPr>
          <w:color w:val="080808"/>
          <w:sz w:val="22"/>
        </w:rPr>
        <w:t xml:space="preserve">With this information, the capacity of each site could be allocated </w:t>
      </w:r>
      <w:r>
        <w:rPr>
          <w:color w:val="080808"/>
          <w:sz w:val="22"/>
        </w:rPr>
        <w:t xml:space="preserve">to a </w:t>
      </w:r>
      <w:r w:rsidRPr="00AE22A0">
        <w:rPr>
          <w:color w:val="080808"/>
          <w:sz w:val="22"/>
        </w:rPr>
        <w:t>number infrastructure groups and the overlap removed, greatly increasing the accuracy of the capacity estimates.</w:t>
      </w:r>
      <w:r w:rsidR="00234408" w:rsidRPr="00FB7B7C">
        <w:rPr>
          <w:color w:val="080808"/>
          <w:sz w:val="22"/>
        </w:rPr>
        <w:t xml:space="preserve"> </w:t>
      </w:r>
      <w:r w:rsidR="00FF2EC7">
        <w:rPr>
          <w:color w:val="080808"/>
          <w:sz w:val="22"/>
        </w:rPr>
        <w:t>The</w:t>
      </w:r>
      <w:r w:rsidR="00FB7B7C" w:rsidRPr="00FB7B7C">
        <w:rPr>
          <w:color w:val="080808"/>
          <w:sz w:val="22"/>
        </w:rPr>
        <w:t xml:space="preserve"> information </w:t>
      </w:r>
      <w:r w:rsidR="00ED41D3">
        <w:rPr>
          <w:color w:val="080808"/>
          <w:sz w:val="22"/>
        </w:rPr>
        <w:t>gathered</w:t>
      </w:r>
      <w:r w:rsidR="00FC3BD5">
        <w:rPr>
          <w:color w:val="080808"/>
          <w:sz w:val="22"/>
        </w:rPr>
        <w:t xml:space="preserve"> through industry consultation</w:t>
      </w:r>
      <w:r w:rsidR="00FF2EC7">
        <w:rPr>
          <w:color w:val="080808"/>
          <w:sz w:val="22"/>
        </w:rPr>
        <w:t xml:space="preserve"> – which was already a significant impost on company’s time – </w:t>
      </w:r>
      <w:r w:rsidR="00FB7B7C" w:rsidRPr="00FB7B7C">
        <w:rPr>
          <w:color w:val="080808"/>
          <w:sz w:val="22"/>
        </w:rPr>
        <w:t>enabled grouping of each site by primary function</w:t>
      </w:r>
      <w:r w:rsidR="00D842BC">
        <w:rPr>
          <w:color w:val="080808"/>
          <w:sz w:val="22"/>
        </w:rPr>
        <w:t xml:space="preserve"> only</w:t>
      </w:r>
      <w:r w:rsidR="00FB7B7C" w:rsidRPr="00FB7B7C">
        <w:rPr>
          <w:color w:val="080808"/>
          <w:sz w:val="22"/>
        </w:rPr>
        <w:t xml:space="preserve">. </w:t>
      </w:r>
    </w:p>
    <w:p w:rsidR="0059182A" w:rsidRPr="00FB7B7C" w:rsidRDefault="00ED41D3" w:rsidP="007F5BD4">
      <w:pPr>
        <w:spacing w:before="80" w:line="240" w:lineRule="auto"/>
        <w:ind w:left="360"/>
        <w:rPr>
          <w:sz w:val="22"/>
        </w:rPr>
      </w:pPr>
      <w:r>
        <w:rPr>
          <w:color w:val="080808"/>
          <w:sz w:val="22"/>
        </w:rPr>
        <w:t>F</w:t>
      </w:r>
      <w:r w:rsidR="00FB7B7C" w:rsidRPr="00CC60DC">
        <w:rPr>
          <w:color w:val="080808"/>
          <w:sz w:val="22"/>
        </w:rPr>
        <w:t xml:space="preserve">or infrastructure </w:t>
      </w:r>
      <w:r w:rsidR="00D842BC" w:rsidRPr="00CC60DC">
        <w:rPr>
          <w:color w:val="080808"/>
          <w:sz w:val="22"/>
        </w:rPr>
        <w:t xml:space="preserve">groups </w:t>
      </w:r>
      <w:r w:rsidR="00FB7B7C" w:rsidRPr="00CC60DC">
        <w:rPr>
          <w:color w:val="080808"/>
          <w:sz w:val="22"/>
        </w:rPr>
        <w:t xml:space="preserve">of particular interest, such as POPs destruction, it is recommended that DoE follow-up </w:t>
      </w:r>
      <w:r w:rsidR="00D842BC" w:rsidRPr="00CC60DC">
        <w:rPr>
          <w:color w:val="080808"/>
          <w:sz w:val="22"/>
        </w:rPr>
        <w:t xml:space="preserve">with </w:t>
      </w:r>
      <w:r w:rsidR="00FC2879" w:rsidRPr="00CC60DC">
        <w:rPr>
          <w:color w:val="080808"/>
          <w:sz w:val="22"/>
        </w:rPr>
        <w:t xml:space="preserve">sites included in infrastructure groups flagged as having some POPs destruction capacity </w:t>
      </w:r>
      <w:r w:rsidR="00FB7B7C" w:rsidRPr="00CC60DC">
        <w:rPr>
          <w:color w:val="080808"/>
          <w:sz w:val="22"/>
        </w:rPr>
        <w:t xml:space="preserve">to </w:t>
      </w:r>
      <w:r w:rsidR="00D55ADC" w:rsidRPr="007F5BD4">
        <w:rPr>
          <w:color w:val="080808"/>
          <w:sz w:val="22"/>
        </w:rPr>
        <w:t xml:space="preserve">better </w:t>
      </w:r>
      <w:r w:rsidR="00FB7B7C" w:rsidRPr="00CC60DC">
        <w:rPr>
          <w:color w:val="080808"/>
          <w:sz w:val="22"/>
        </w:rPr>
        <w:t xml:space="preserve">determine the </w:t>
      </w:r>
      <w:r w:rsidR="00023770">
        <w:rPr>
          <w:color w:val="080808"/>
          <w:sz w:val="22"/>
        </w:rPr>
        <w:t xml:space="preserve">specific </w:t>
      </w:r>
      <w:r w:rsidR="00FB7B7C" w:rsidRPr="00CC60DC">
        <w:rPr>
          <w:color w:val="080808"/>
          <w:sz w:val="22"/>
        </w:rPr>
        <w:t>potential POPs destruction</w:t>
      </w:r>
      <w:r w:rsidR="00FC2879" w:rsidRPr="00CC60DC">
        <w:rPr>
          <w:color w:val="080808"/>
          <w:sz w:val="22"/>
        </w:rPr>
        <w:t xml:space="preserve"> capacity </w:t>
      </w:r>
      <w:r w:rsidR="00FC3BD5" w:rsidRPr="00CC60DC">
        <w:rPr>
          <w:color w:val="080808"/>
          <w:sz w:val="22"/>
        </w:rPr>
        <w:t>of each site</w:t>
      </w:r>
      <w:r w:rsidR="00FB7B7C" w:rsidRPr="00CC60DC">
        <w:rPr>
          <w:color w:val="080808"/>
          <w:sz w:val="22"/>
        </w:rPr>
        <w:t>.</w:t>
      </w:r>
      <w:r w:rsidR="00B52E19">
        <w:rPr>
          <w:color w:val="080808"/>
          <w:sz w:val="22"/>
        </w:rPr>
        <w:t xml:space="preserve"> </w:t>
      </w:r>
    </w:p>
    <w:p w:rsidR="00CA5534" w:rsidRPr="00CA5534" w:rsidRDefault="00FF2EC7" w:rsidP="00CA5534">
      <w:pPr>
        <w:numPr>
          <w:ilvl w:val="0"/>
          <w:numId w:val="28"/>
        </w:numPr>
        <w:spacing w:before="80" w:line="240" w:lineRule="auto"/>
        <w:rPr>
          <w:sz w:val="22"/>
        </w:rPr>
      </w:pPr>
      <w:r>
        <w:rPr>
          <w:b/>
          <w:sz w:val="22"/>
        </w:rPr>
        <w:t>D</w:t>
      </w:r>
      <w:r w:rsidR="002B3855">
        <w:rPr>
          <w:b/>
          <w:sz w:val="22"/>
        </w:rPr>
        <w:t>iffuse infrastructure groups</w:t>
      </w:r>
      <w:r w:rsidR="00DB4A5B">
        <w:rPr>
          <w:b/>
          <w:sz w:val="22"/>
        </w:rPr>
        <w:t xml:space="preserve">. </w:t>
      </w:r>
      <w:r w:rsidR="00CA5534" w:rsidRPr="00CA5534">
        <w:rPr>
          <w:sz w:val="22"/>
        </w:rPr>
        <w:t xml:space="preserve">The infrastructure database </w:t>
      </w:r>
      <w:r w:rsidR="00347D84">
        <w:rPr>
          <w:sz w:val="22"/>
        </w:rPr>
        <w:t xml:space="preserve">may be </w:t>
      </w:r>
      <w:r w:rsidR="00CA5534" w:rsidRPr="00CA5534">
        <w:rPr>
          <w:sz w:val="22"/>
        </w:rPr>
        <w:t>incomplete</w:t>
      </w:r>
      <w:r w:rsidR="00347D84">
        <w:rPr>
          <w:sz w:val="22"/>
        </w:rPr>
        <w:t xml:space="preserve"> for</w:t>
      </w:r>
      <w:r>
        <w:rPr>
          <w:sz w:val="22"/>
        </w:rPr>
        <w:t xml:space="preserve"> some</w:t>
      </w:r>
      <w:r w:rsidR="00347D84">
        <w:rPr>
          <w:sz w:val="22"/>
        </w:rPr>
        <w:t xml:space="preserve"> infrastructure groups that are within the scope of the database</w:t>
      </w:r>
      <w:r>
        <w:rPr>
          <w:sz w:val="22"/>
        </w:rPr>
        <w:t xml:space="preserve"> due to overlooked</w:t>
      </w:r>
      <w:r w:rsidR="003D2622">
        <w:rPr>
          <w:sz w:val="22"/>
        </w:rPr>
        <w:t xml:space="preserve"> sites</w:t>
      </w:r>
      <w:r w:rsidR="00347D84">
        <w:rPr>
          <w:sz w:val="22"/>
        </w:rPr>
        <w:t xml:space="preserve">. Whilst this project has added some additional sites to the database, for diffuse infrastructure </w:t>
      </w:r>
      <w:r w:rsidR="00B201A6">
        <w:rPr>
          <w:sz w:val="22"/>
        </w:rPr>
        <w:t>groups</w:t>
      </w:r>
      <w:r w:rsidR="00347D84">
        <w:rPr>
          <w:sz w:val="22"/>
        </w:rPr>
        <w:t xml:space="preserve"> such as waste organics </w:t>
      </w:r>
      <w:r w:rsidR="00B201A6">
        <w:rPr>
          <w:sz w:val="22"/>
        </w:rPr>
        <w:t>or solvent recycling facilities</w:t>
      </w:r>
      <w:r>
        <w:rPr>
          <w:sz w:val="22"/>
        </w:rPr>
        <w:t xml:space="preserve">, </w:t>
      </w:r>
      <w:r w:rsidR="00B201A6">
        <w:rPr>
          <w:sz w:val="22"/>
        </w:rPr>
        <w:t xml:space="preserve">it is likely that </w:t>
      </w:r>
      <w:r>
        <w:rPr>
          <w:sz w:val="22"/>
        </w:rPr>
        <w:t xml:space="preserve">some </w:t>
      </w:r>
      <w:r w:rsidR="00B201A6">
        <w:rPr>
          <w:sz w:val="22"/>
        </w:rPr>
        <w:t>small operations have not been identified</w:t>
      </w:r>
      <w:r w:rsidR="00BE0391">
        <w:rPr>
          <w:sz w:val="22"/>
        </w:rPr>
        <w:t xml:space="preserve"> </w:t>
      </w:r>
      <w:r>
        <w:rPr>
          <w:sz w:val="22"/>
        </w:rPr>
        <w:t>so</w:t>
      </w:r>
      <w:r w:rsidR="00BE0391">
        <w:rPr>
          <w:sz w:val="22"/>
        </w:rPr>
        <w:t xml:space="preserve"> their capacity </w:t>
      </w:r>
      <w:r>
        <w:rPr>
          <w:sz w:val="22"/>
        </w:rPr>
        <w:t>is missing</w:t>
      </w:r>
      <w:r w:rsidR="00B201A6">
        <w:rPr>
          <w:sz w:val="22"/>
        </w:rPr>
        <w:t>.</w:t>
      </w:r>
    </w:p>
    <w:p w:rsidR="005B411E" w:rsidRDefault="005B411E" w:rsidP="007F5BD4">
      <w:pPr>
        <w:pStyle w:val="BodyText"/>
        <w:rPr>
          <w:b/>
        </w:rPr>
      </w:pPr>
    </w:p>
    <w:p w:rsidR="004E5467" w:rsidRDefault="00F736AC" w:rsidP="007F5BD4">
      <w:pPr>
        <w:pStyle w:val="BodyText"/>
      </w:pPr>
      <w:r>
        <w:t>For each infrastructure group t</w:t>
      </w:r>
      <w:r w:rsidR="004E5467">
        <w:t>he</w:t>
      </w:r>
      <w:r w:rsidR="00B52E19">
        <w:t xml:space="preserve"> </w:t>
      </w:r>
      <w:r w:rsidR="004E5467">
        <w:t>limitations and uncertaint</w:t>
      </w:r>
      <w:r w:rsidR="00B52E19">
        <w:t>ies</w:t>
      </w:r>
      <w:r w:rsidR="004E5467">
        <w:t xml:space="preserve"> of the capacity </w:t>
      </w:r>
      <w:r w:rsidR="00B52E19">
        <w:t>estimate</w:t>
      </w:r>
      <w:r>
        <w:t xml:space="preserve">s discussed above </w:t>
      </w:r>
      <w:r w:rsidR="00D21288">
        <w:t xml:space="preserve">are </w:t>
      </w:r>
      <w:r>
        <w:t xml:space="preserve">assessed in </w:t>
      </w:r>
      <w:r w:rsidR="006D07F5">
        <w:fldChar w:fldCharType="begin"/>
      </w:r>
      <w:r w:rsidR="000011C5">
        <w:instrText xml:space="preserve"> REF _Ref421043440 \h </w:instrText>
      </w:r>
      <w:r w:rsidR="006D07F5">
        <w:fldChar w:fldCharType="separate"/>
      </w:r>
      <w:r w:rsidR="002F3000">
        <w:t xml:space="preserve">Table </w:t>
      </w:r>
      <w:r w:rsidR="002F3000">
        <w:rPr>
          <w:noProof/>
        </w:rPr>
        <w:t>56</w:t>
      </w:r>
      <w:r w:rsidR="006D07F5">
        <w:fldChar w:fldCharType="end"/>
      </w:r>
      <w:r w:rsidR="00B52E19">
        <w:t>.</w:t>
      </w:r>
      <w:r>
        <w:t xml:space="preserve"> An overall </w:t>
      </w:r>
      <w:r w:rsidR="00607C7B">
        <w:t xml:space="preserve">assessment of </w:t>
      </w:r>
      <w:r>
        <w:t xml:space="preserve">uncertainty </w:t>
      </w:r>
      <w:r w:rsidR="004C7FF4">
        <w:t xml:space="preserve">for </w:t>
      </w:r>
      <w:r>
        <w:t>capacity estimate</w:t>
      </w:r>
      <w:r w:rsidR="004C7FF4">
        <w:t>s</w:t>
      </w:r>
      <w:r>
        <w:t xml:space="preserve"> is provided for each group (</w:t>
      </w:r>
      <w:r w:rsidR="00D21288">
        <w:t>from low through to very high</w:t>
      </w:r>
      <w:r>
        <w:t>)</w:t>
      </w:r>
      <w:r w:rsidR="00B52E19">
        <w:t>.</w:t>
      </w:r>
      <w:r w:rsidR="00D21288">
        <w:t xml:space="preserve"> </w:t>
      </w:r>
      <w:r w:rsidR="0005491C">
        <w:t xml:space="preserve">This overall assessment of capacity uncertainty is an important consideration when </w:t>
      </w:r>
      <w:r w:rsidR="0005491C" w:rsidRPr="0005491C">
        <w:t xml:space="preserve">assessing the period when </w:t>
      </w:r>
      <w:r w:rsidR="00D67590">
        <w:t xml:space="preserve">the </w:t>
      </w:r>
      <w:r w:rsidR="0005491C" w:rsidRPr="0005491C">
        <w:t xml:space="preserve">waste group projections </w:t>
      </w:r>
      <w:r w:rsidR="0005491C">
        <w:t xml:space="preserve">are likely to </w:t>
      </w:r>
      <w:r w:rsidR="0005491C" w:rsidRPr="0005491C">
        <w:t>exceed the inf</w:t>
      </w:r>
      <w:r w:rsidR="0005491C">
        <w:t xml:space="preserve">rastructure </w:t>
      </w:r>
      <w:r w:rsidR="0005491C" w:rsidRPr="0005491C">
        <w:t>group capacity</w:t>
      </w:r>
      <w:r w:rsidR="00FF2EC7">
        <w:t>,</w:t>
      </w:r>
      <w:r w:rsidR="0005491C">
        <w:t xml:space="preserve"> and is included assessment in Section </w:t>
      </w:r>
      <w:r w:rsidR="006D07F5">
        <w:fldChar w:fldCharType="begin"/>
      </w:r>
      <w:r w:rsidR="0005491C">
        <w:instrText xml:space="preserve"> REF _Ref419908003 \r \h </w:instrText>
      </w:r>
      <w:r w:rsidR="006D07F5">
        <w:fldChar w:fldCharType="separate"/>
      </w:r>
      <w:r w:rsidR="002F3000">
        <w:t>4.3</w:t>
      </w:r>
      <w:r w:rsidR="006D07F5">
        <w:fldChar w:fldCharType="end"/>
      </w:r>
    </w:p>
    <w:p w:rsidR="00CC60DC" w:rsidRDefault="00CC60DC" w:rsidP="007F5BD4">
      <w:pPr>
        <w:pStyle w:val="BodyText"/>
      </w:pPr>
    </w:p>
    <w:p w:rsidR="00CC60DC" w:rsidRDefault="00CC60DC" w:rsidP="007F5BD4">
      <w:pPr>
        <w:pStyle w:val="BodyText"/>
      </w:pPr>
    </w:p>
    <w:p w:rsidR="00CC60DC" w:rsidRDefault="00CC60DC" w:rsidP="007F5BD4">
      <w:pPr>
        <w:pStyle w:val="BodyText"/>
      </w:pPr>
    </w:p>
    <w:p w:rsidR="004E5467" w:rsidRDefault="004E5467" w:rsidP="007F5BD4">
      <w:pPr>
        <w:pStyle w:val="BodyText"/>
        <w:sectPr w:rsidR="004E5467" w:rsidSect="007F5BD4">
          <w:headerReference w:type="default" r:id="rId163"/>
          <w:footerReference w:type="default" r:id="rId164"/>
          <w:pgSz w:w="11907" w:h="16840" w:code="9"/>
          <w:pgMar w:top="1560" w:right="1135" w:bottom="1134" w:left="1304" w:header="709" w:footer="709" w:gutter="0"/>
          <w:cols w:space="708"/>
          <w:docGrid w:linePitch="360"/>
        </w:sectPr>
      </w:pPr>
    </w:p>
    <w:p w:rsidR="004B3465" w:rsidRDefault="00CA5534" w:rsidP="00FF2EC7">
      <w:pPr>
        <w:pStyle w:val="Figures"/>
      </w:pPr>
      <w:bookmarkStart w:id="366" w:name="_Ref419490747"/>
      <w:bookmarkStart w:id="367" w:name="_Toc425849257"/>
      <w:r w:rsidRPr="00CA5534">
        <w:lastRenderedPageBreak/>
        <w:t xml:space="preserve">Figure </w:t>
      </w:r>
      <w:r w:rsidR="006D07F5" w:rsidRPr="00576F7A">
        <w:fldChar w:fldCharType="begin"/>
      </w:r>
      <w:r w:rsidRPr="00CA5534">
        <w:instrText xml:space="preserve"> SEQ Figure \* ARABIC </w:instrText>
      </w:r>
      <w:r w:rsidR="006D07F5" w:rsidRPr="00576F7A">
        <w:fldChar w:fldCharType="separate"/>
      </w:r>
      <w:r w:rsidR="002F3000">
        <w:rPr>
          <w:noProof/>
        </w:rPr>
        <w:t>39</w:t>
      </w:r>
      <w:r w:rsidR="006D07F5" w:rsidRPr="00576F7A">
        <w:fldChar w:fldCharType="end"/>
      </w:r>
      <w:bookmarkEnd w:id="366"/>
      <w:r w:rsidRPr="00CA5534">
        <w:t>:</w:t>
      </w:r>
      <w:r w:rsidR="00576F7A">
        <w:tab/>
      </w:r>
      <w:r w:rsidR="00FA63D3">
        <w:t>H</w:t>
      </w:r>
      <w:r w:rsidR="00FA63D3" w:rsidRPr="00CA5534">
        <w:t xml:space="preserve">azardous waste </w:t>
      </w:r>
      <w:proofErr w:type="gramStart"/>
      <w:r w:rsidR="00FA63D3">
        <w:t>groups</w:t>
      </w:r>
      <w:proofErr w:type="gramEnd"/>
      <w:r w:rsidR="00FA63D3">
        <w:t xml:space="preserve"> </w:t>
      </w:r>
      <w:r w:rsidR="00FA63D3" w:rsidRPr="00CA5534">
        <w:t>arisings</w:t>
      </w:r>
      <w:r w:rsidR="00FA63D3">
        <w:t>,</w:t>
      </w:r>
      <w:r w:rsidR="00FA63D3" w:rsidRPr="00CA5534">
        <w:t xml:space="preserve"> </w:t>
      </w:r>
      <w:r w:rsidR="00FA63D3">
        <w:t xml:space="preserve">coverage in </w:t>
      </w:r>
      <w:r w:rsidR="00FA63D3" w:rsidRPr="00CA5534">
        <w:t>capacity database</w:t>
      </w:r>
      <w:r w:rsidR="00FA63D3">
        <w:t>, and</w:t>
      </w:r>
      <w:r w:rsidR="00FA63D3" w:rsidRPr="00CA5534">
        <w:t xml:space="preserve"> extent of </w:t>
      </w:r>
      <w:r w:rsidR="00FA63D3">
        <w:t>assessment</w:t>
      </w:r>
      <w:bookmarkStart w:id="368" w:name="_Toc419449196"/>
      <w:bookmarkEnd w:id="367"/>
    </w:p>
    <w:p w:rsidR="005E3D0E" w:rsidRDefault="005E3D0E" w:rsidP="007F5BD4">
      <w:pPr>
        <w:keepNext/>
        <w:ind w:left="992" w:right="-142" w:firstLine="1"/>
      </w:pPr>
      <w:r w:rsidRPr="00CA5534">
        <w:rPr>
          <w:rFonts w:asciiTheme="minorHAnsi" w:hAnsiTheme="minorHAnsi" w:cs="Calibri"/>
          <w:b/>
          <w:noProof/>
          <w:color w:val="0000FF"/>
          <w:sz w:val="22"/>
          <w:lang w:eastAsia="en-AU"/>
        </w:rPr>
        <w:drawing>
          <wp:anchor distT="0" distB="0" distL="114300" distR="114300" simplePos="0" relativeHeight="251650560" behindDoc="0" locked="0" layoutInCell="1" allowOverlap="1">
            <wp:simplePos x="0" y="0"/>
            <wp:positionH relativeFrom="column">
              <wp:posOffset>-314325</wp:posOffset>
            </wp:positionH>
            <wp:positionV relativeFrom="paragraph">
              <wp:posOffset>99060</wp:posOffset>
            </wp:positionV>
            <wp:extent cx="6447155" cy="5281295"/>
            <wp:effectExtent l="0" t="0" r="0" b="0"/>
            <wp:wrapSquare wrapText="bothSides"/>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 groups coverage.emf"/>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47155" cy="5281295"/>
                    </a:xfrm>
                    <a:prstGeom prst="rect">
                      <a:avLst/>
                    </a:prstGeom>
                  </pic:spPr>
                </pic:pic>
              </a:graphicData>
            </a:graphic>
          </wp:anchor>
        </w:drawing>
      </w:r>
    </w:p>
    <w:p w:rsidR="005E3D0E" w:rsidRDefault="005E3D0E" w:rsidP="007F5BD4">
      <w:pPr>
        <w:keepNext/>
        <w:ind w:left="992" w:right="-142" w:firstLine="1"/>
      </w:pPr>
    </w:p>
    <w:p w:rsidR="005E3D0E" w:rsidRDefault="005E3D0E" w:rsidP="007F5BD4">
      <w:pPr>
        <w:keepNext/>
        <w:ind w:left="992" w:right="-142" w:firstLine="1"/>
      </w:pPr>
    </w:p>
    <w:p w:rsidR="005E3D0E" w:rsidRDefault="005E3D0E" w:rsidP="007F5BD4">
      <w:pPr>
        <w:keepNext/>
        <w:ind w:left="992" w:right="-142" w:firstLine="1"/>
      </w:pPr>
    </w:p>
    <w:p w:rsidR="00FA63D3" w:rsidRDefault="00FA63D3">
      <w:pPr>
        <w:keepNext/>
        <w:ind w:left="992" w:right="-142" w:firstLine="1"/>
        <w:sectPr w:rsidR="00FA63D3" w:rsidSect="007F5BD4">
          <w:pgSz w:w="11907" w:h="16840" w:code="9"/>
          <w:pgMar w:top="1560" w:right="1135" w:bottom="1134" w:left="1304" w:header="709" w:footer="709" w:gutter="0"/>
          <w:cols w:space="708"/>
          <w:docGrid w:linePitch="360"/>
        </w:sectPr>
      </w:pPr>
    </w:p>
    <w:p w:rsidR="00FC7A7F" w:rsidRPr="00655F62" w:rsidRDefault="00FC7A7F" w:rsidP="00655F62">
      <w:pPr>
        <w:pStyle w:val="Figures"/>
      </w:pPr>
      <w:bookmarkStart w:id="369" w:name="_Ref421043373"/>
      <w:bookmarkStart w:id="370" w:name="_Toc425849340"/>
      <w:bookmarkStart w:id="371" w:name="_Ref419737701"/>
      <w:r w:rsidRPr="00655F62">
        <w:lastRenderedPageBreak/>
        <w:t xml:space="preserve">Table </w:t>
      </w:r>
      <w:fldSimple w:instr=" SEQ Table \* ARABIC ">
        <w:r w:rsidR="002F3000">
          <w:rPr>
            <w:noProof/>
          </w:rPr>
          <w:t>55</w:t>
        </w:r>
      </w:fldSimple>
      <w:bookmarkEnd w:id="369"/>
      <w:r w:rsidR="00576F7A" w:rsidRPr="00655F62">
        <w:t>:</w:t>
      </w:r>
      <w:r w:rsidRPr="00655F62">
        <w:tab/>
        <w:t>Waste groups allocation to infrastructure groups and national average fate proportions</w:t>
      </w:r>
      <w:bookmarkEnd w:id="370"/>
      <w:r w:rsidRPr="00655F62">
        <w:t xml:space="preserve"> </w:t>
      </w:r>
    </w:p>
    <w:p w:rsidR="00FC7A7F" w:rsidRDefault="00CA15EC" w:rsidP="007F5BD4">
      <w:pPr>
        <w:pStyle w:val="BodyText"/>
        <w:rPr>
          <w:noProof/>
        </w:rPr>
      </w:pPr>
      <w:r w:rsidRPr="00CA15EC">
        <w:rPr>
          <w:noProof/>
          <w:lang w:eastAsia="en-AU"/>
        </w:rPr>
        <w:drawing>
          <wp:inline distT="0" distB="0" distL="0" distR="0">
            <wp:extent cx="8911988" cy="562140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8902267" cy="5615276"/>
                    </a:xfrm>
                    <a:prstGeom prst="rect">
                      <a:avLst/>
                    </a:prstGeom>
                  </pic:spPr>
                </pic:pic>
              </a:graphicData>
            </a:graphic>
          </wp:inline>
        </w:drawing>
      </w:r>
    </w:p>
    <w:p w:rsidR="004B3465" w:rsidRPr="00576F7A" w:rsidRDefault="004B3465" w:rsidP="00655F62">
      <w:pPr>
        <w:pStyle w:val="Figures"/>
      </w:pPr>
      <w:bookmarkStart w:id="372" w:name="_Ref421043400"/>
      <w:bookmarkStart w:id="373" w:name="_Toc425849258"/>
      <w:r w:rsidRPr="00CA5534">
        <w:lastRenderedPageBreak/>
        <w:t xml:space="preserve">Figure </w:t>
      </w:r>
      <w:r w:rsidR="006D07F5" w:rsidRPr="00576F7A">
        <w:fldChar w:fldCharType="begin"/>
      </w:r>
      <w:r w:rsidRPr="00CA5534">
        <w:instrText xml:space="preserve"> SEQ Figure \* ARABIC </w:instrText>
      </w:r>
      <w:r w:rsidR="006D07F5" w:rsidRPr="00576F7A">
        <w:fldChar w:fldCharType="separate"/>
      </w:r>
      <w:r w:rsidR="002F3000">
        <w:rPr>
          <w:noProof/>
        </w:rPr>
        <w:t>40</w:t>
      </w:r>
      <w:r w:rsidR="006D07F5" w:rsidRPr="00576F7A">
        <w:fldChar w:fldCharType="end"/>
      </w:r>
      <w:bookmarkEnd w:id="372"/>
      <w:r w:rsidR="00576F7A">
        <w:t>:</w:t>
      </w:r>
      <w:r w:rsidRPr="00CA5534">
        <w:tab/>
      </w:r>
      <w:r>
        <w:t>Proportions of w</w:t>
      </w:r>
      <w:r w:rsidRPr="00CA5534">
        <w:t xml:space="preserve">aste groups </w:t>
      </w:r>
      <w:r>
        <w:t>sent to infrast</w:t>
      </w:r>
      <w:r w:rsidR="006A64D5">
        <w:t>r</w:t>
      </w:r>
      <w:r>
        <w:t>uc</w:t>
      </w:r>
      <w:r w:rsidR="006A64D5">
        <w:t>t</w:t>
      </w:r>
      <w:r>
        <w:t xml:space="preserve">ure </w:t>
      </w:r>
      <w:r w:rsidR="006A64D5">
        <w:t>that has</w:t>
      </w:r>
      <w:r>
        <w:t xml:space="preserve"> full (green), limited (yellow) or no coverage (red) in </w:t>
      </w:r>
      <w:r w:rsidR="006A64D5">
        <w:t xml:space="preserve">the infrastructure </w:t>
      </w:r>
      <w:r>
        <w:t xml:space="preserve">capacity </w:t>
      </w:r>
      <w:r w:rsidR="006A64D5">
        <w:t>database</w:t>
      </w:r>
      <w:bookmarkEnd w:id="373"/>
      <w:r>
        <w:t xml:space="preserve"> </w:t>
      </w:r>
    </w:p>
    <w:p w:rsidR="00FC7A7F" w:rsidRDefault="006A64D5" w:rsidP="004B3465">
      <w:pPr>
        <w:keepNext/>
        <w:ind w:left="992" w:right="-142" w:firstLine="1"/>
        <w:rPr>
          <w:noProof/>
          <w:lang w:eastAsia="en-AU"/>
        </w:rPr>
      </w:pPr>
      <w:r w:rsidRPr="003C38FB">
        <w:rPr>
          <w:noProof/>
          <w:lang w:eastAsia="en-AU"/>
        </w:rPr>
        <w:drawing>
          <wp:anchor distT="0" distB="0" distL="114300" distR="114300" simplePos="0" relativeHeight="251652608" behindDoc="0" locked="0" layoutInCell="1" allowOverlap="1">
            <wp:simplePos x="0" y="0"/>
            <wp:positionH relativeFrom="column">
              <wp:posOffset>1066165</wp:posOffset>
            </wp:positionH>
            <wp:positionV relativeFrom="paragraph">
              <wp:posOffset>10795</wp:posOffset>
            </wp:positionV>
            <wp:extent cx="7208520" cy="55289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27" t="9560" r="853" b="11090"/>
                    <a:stretch/>
                  </pic:blipFill>
                  <pic:spPr bwMode="auto">
                    <a:xfrm>
                      <a:off x="0" y="0"/>
                      <a:ext cx="7208520" cy="55289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C7A7F" w:rsidRDefault="00FC7A7F" w:rsidP="004B3465">
      <w:pPr>
        <w:keepNext/>
        <w:ind w:left="992" w:right="-142" w:firstLine="1"/>
        <w:rPr>
          <w:noProof/>
          <w:lang w:eastAsia="en-AU"/>
        </w:rPr>
      </w:pPr>
    </w:p>
    <w:p w:rsidR="00FC7A7F" w:rsidRDefault="00FC7A7F" w:rsidP="004B3465">
      <w:pPr>
        <w:keepNext/>
        <w:ind w:left="992" w:right="-142" w:firstLine="1"/>
        <w:rPr>
          <w:noProof/>
          <w:lang w:eastAsia="en-AU"/>
        </w:rPr>
      </w:pPr>
    </w:p>
    <w:p w:rsidR="00FC7A7F" w:rsidRDefault="00FC7A7F" w:rsidP="004B3465">
      <w:pPr>
        <w:keepNext/>
        <w:ind w:left="992" w:right="-142" w:firstLine="1"/>
        <w:rPr>
          <w:noProof/>
          <w:lang w:eastAsia="en-AU"/>
        </w:rPr>
      </w:pPr>
    </w:p>
    <w:p w:rsidR="00FC7A7F" w:rsidRDefault="00FC7A7F" w:rsidP="004B3465">
      <w:pPr>
        <w:keepNext/>
        <w:ind w:left="992" w:right="-142" w:firstLine="1"/>
        <w:rPr>
          <w:noProof/>
          <w:lang w:eastAsia="en-AU"/>
        </w:rPr>
      </w:pPr>
    </w:p>
    <w:p w:rsidR="004B3465" w:rsidRDefault="004B3465" w:rsidP="004B3465">
      <w:pPr>
        <w:keepNext/>
        <w:ind w:left="992" w:right="-142" w:firstLine="1"/>
      </w:pPr>
    </w:p>
    <w:p w:rsidR="004B3465" w:rsidRDefault="004B3465" w:rsidP="004B3465">
      <w:pPr>
        <w:keepNext/>
        <w:ind w:left="992" w:right="-142" w:firstLine="1"/>
      </w:pPr>
    </w:p>
    <w:p w:rsidR="004B3465" w:rsidRDefault="004B3465" w:rsidP="007F5BD4">
      <w:pPr>
        <w:pStyle w:val="BodyText"/>
      </w:pPr>
    </w:p>
    <w:p w:rsidR="004B3465" w:rsidRDefault="004B3465" w:rsidP="007F5BD4">
      <w:pPr>
        <w:pStyle w:val="BodyText"/>
      </w:pPr>
    </w:p>
    <w:p w:rsidR="003C38FB" w:rsidRDefault="003C38FB" w:rsidP="007F5BD4">
      <w:pPr>
        <w:pStyle w:val="BodyText"/>
      </w:pPr>
    </w:p>
    <w:p w:rsidR="003C38FB" w:rsidRDefault="003C38FB" w:rsidP="007F5BD4">
      <w:pPr>
        <w:pStyle w:val="BodyText"/>
      </w:pPr>
    </w:p>
    <w:p w:rsidR="003C38FB" w:rsidRDefault="003C38FB">
      <w:pPr>
        <w:spacing w:line="240" w:lineRule="auto"/>
        <w:rPr>
          <w:rFonts w:asciiTheme="minorHAnsi" w:hAnsiTheme="minorHAnsi" w:cs="Calibri"/>
          <w:b/>
          <w:color w:val="0000FF"/>
          <w:sz w:val="22"/>
        </w:rPr>
      </w:pPr>
      <w:r>
        <w:br w:type="page"/>
      </w:r>
    </w:p>
    <w:p w:rsidR="00CC60DC" w:rsidRDefault="00CC60DC" w:rsidP="00655F62">
      <w:pPr>
        <w:pStyle w:val="Figures"/>
      </w:pPr>
      <w:bookmarkStart w:id="374" w:name="_Ref421043440"/>
      <w:bookmarkStart w:id="375" w:name="_Toc425849341"/>
      <w:r>
        <w:lastRenderedPageBreak/>
        <w:t xml:space="preserve">Table </w:t>
      </w:r>
      <w:fldSimple w:instr=" SEQ Table \* ARABIC ">
        <w:r w:rsidR="002F3000">
          <w:rPr>
            <w:noProof/>
          </w:rPr>
          <w:t>56</w:t>
        </w:r>
      </w:fldSimple>
      <w:bookmarkEnd w:id="371"/>
      <w:bookmarkEnd w:id="374"/>
      <w:r w:rsidR="00655F62">
        <w:t>:</w:t>
      </w:r>
      <w:r w:rsidR="00655F62">
        <w:tab/>
      </w:r>
      <w:r>
        <w:t xml:space="preserve">Infrastructure capacity estimates assessment of </w:t>
      </w:r>
      <w:r w:rsidRPr="00CA5534">
        <w:t>uncertainty</w:t>
      </w:r>
      <w:bookmarkEnd w:id="375"/>
      <w:r w:rsidRPr="00CA5534">
        <w:t xml:space="preserve"> </w:t>
      </w:r>
    </w:p>
    <w:tbl>
      <w:tblPr>
        <w:tblW w:w="14221" w:type="dxa"/>
        <w:tblInd w:w="108" w:type="dxa"/>
        <w:tblLook w:val="04A0"/>
      </w:tblPr>
      <w:tblGrid>
        <w:gridCol w:w="3828"/>
        <w:gridCol w:w="2037"/>
        <w:gridCol w:w="1701"/>
        <w:gridCol w:w="3207"/>
        <w:gridCol w:w="1648"/>
        <w:gridCol w:w="1800"/>
      </w:tblGrid>
      <w:tr w:rsidR="00EA112D" w:rsidRPr="00EA112D" w:rsidTr="007F5BD4">
        <w:trPr>
          <w:trHeight w:val="750"/>
        </w:trPr>
        <w:tc>
          <w:tcPr>
            <w:tcW w:w="3828" w:type="dxa"/>
            <w:vMerge w:val="restart"/>
            <w:tcBorders>
              <w:top w:val="nil"/>
              <w:left w:val="nil"/>
              <w:bottom w:val="single" w:sz="8" w:space="0" w:color="808080"/>
              <w:right w:val="nil"/>
            </w:tcBorders>
            <w:shd w:val="clear" w:color="auto" w:fill="auto"/>
            <w:vAlign w:val="bottom"/>
            <w:hideMark/>
          </w:tcPr>
          <w:bookmarkEnd w:id="368"/>
          <w:p w:rsidR="00EA112D" w:rsidRPr="00EA112D" w:rsidRDefault="00EA112D" w:rsidP="007F5BD4">
            <w:pPr>
              <w:spacing w:line="240" w:lineRule="auto"/>
              <w:jc w:val="center"/>
              <w:rPr>
                <w:rFonts w:cs="Times New Roman"/>
                <w:b/>
                <w:bCs/>
                <w:color w:val="000000"/>
                <w:szCs w:val="20"/>
                <w:lang w:eastAsia="en-AU"/>
              </w:rPr>
            </w:pPr>
            <w:r w:rsidRPr="00EA112D">
              <w:rPr>
                <w:rFonts w:cs="Times New Roman"/>
                <w:b/>
                <w:bCs/>
                <w:color w:val="000000"/>
                <w:szCs w:val="20"/>
                <w:lang w:eastAsia="en-AU"/>
              </w:rPr>
              <w:t>Hazardous waste infrastructure group</w:t>
            </w:r>
          </w:p>
        </w:tc>
        <w:tc>
          <w:tcPr>
            <w:tcW w:w="2037" w:type="dxa"/>
            <w:vMerge w:val="restart"/>
            <w:tcBorders>
              <w:top w:val="nil"/>
              <w:left w:val="nil"/>
              <w:bottom w:val="single" w:sz="8" w:space="0" w:color="808080"/>
              <w:right w:val="nil"/>
            </w:tcBorders>
            <w:shd w:val="clear" w:color="auto" w:fill="auto"/>
            <w:vAlign w:val="bottom"/>
            <w:hideMark/>
          </w:tcPr>
          <w:p w:rsidR="00EA112D" w:rsidRPr="00EA112D" w:rsidRDefault="00EA112D">
            <w:pPr>
              <w:spacing w:line="240" w:lineRule="auto"/>
              <w:jc w:val="center"/>
              <w:rPr>
                <w:rFonts w:cs="Times New Roman"/>
                <w:b/>
                <w:bCs/>
                <w:color w:val="auto"/>
                <w:szCs w:val="20"/>
                <w:lang w:eastAsia="en-AU"/>
              </w:rPr>
            </w:pPr>
            <w:r w:rsidRPr="00EA112D">
              <w:rPr>
                <w:rFonts w:cs="Times New Roman"/>
                <w:b/>
                <w:bCs/>
                <w:color w:val="auto"/>
                <w:szCs w:val="20"/>
                <w:lang w:eastAsia="en-AU"/>
              </w:rPr>
              <w:t>1. Coverage in capacity database</w:t>
            </w:r>
          </w:p>
        </w:tc>
        <w:tc>
          <w:tcPr>
            <w:tcW w:w="1701" w:type="dxa"/>
            <w:vMerge w:val="restart"/>
            <w:tcBorders>
              <w:top w:val="nil"/>
              <w:left w:val="nil"/>
              <w:bottom w:val="single" w:sz="8" w:space="0" w:color="808080"/>
              <w:right w:val="nil"/>
            </w:tcBorders>
            <w:shd w:val="clear" w:color="auto" w:fill="auto"/>
            <w:vAlign w:val="bottom"/>
            <w:hideMark/>
          </w:tcPr>
          <w:p w:rsidR="00EA112D" w:rsidRPr="00EA112D" w:rsidRDefault="00EA112D">
            <w:pPr>
              <w:spacing w:line="240" w:lineRule="auto"/>
              <w:jc w:val="center"/>
              <w:rPr>
                <w:rFonts w:cs="Times New Roman"/>
                <w:b/>
                <w:bCs/>
                <w:color w:val="auto"/>
                <w:szCs w:val="20"/>
                <w:lang w:eastAsia="en-AU"/>
              </w:rPr>
            </w:pPr>
            <w:r w:rsidRPr="00EA112D">
              <w:rPr>
                <w:rFonts w:cs="Times New Roman"/>
                <w:b/>
                <w:bCs/>
                <w:color w:val="auto"/>
                <w:szCs w:val="20"/>
                <w:lang w:eastAsia="en-AU"/>
              </w:rPr>
              <w:t>2. Ind. response</w:t>
            </w:r>
            <w:r w:rsidR="00D06841">
              <w:rPr>
                <w:rFonts w:cs="Times New Roman"/>
                <w:b/>
                <w:bCs/>
                <w:color w:val="auto"/>
                <w:szCs w:val="20"/>
                <w:lang w:eastAsia="en-AU"/>
              </w:rPr>
              <w:t xml:space="preserve"> </w:t>
            </w:r>
            <w:r w:rsidRPr="00EA112D">
              <w:rPr>
                <w:rFonts w:cs="Times New Roman"/>
                <w:b/>
                <w:bCs/>
                <w:color w:val="auto"/>
                <w:szCs w:val="20"/>
                <w:lang w:eastAsia="en-AU"/>
              </w:rPr>
              <w:t>for capacity data</w:t>
            </w:r>
          </w:p>
        </w:tc>
        <w:tc>
          <w:tcPr>
            <w:tcW w:w="3207" w:type="dxa"/>
            <w:vMerge w:val="restart"/>
            <w:tcBorders>
              <w:top w:val="nil"/>
              <w:left w:val="nil"/>
              <w:bottom w:val="single" w:sz="8" w:space="0" w:color="808080"/>
              <w:right w:val="nil"/>
            </w:tcBorders>
            <w:shd w:val="clear" w:color="auto" w:fill="auto"/>
            <w:vAlign w:val="bottom"/>
            <w:hideMark/>
          </w:tcPr>
          <w:p w:rsidR="006A64D5" w:rsidRDefault="00EA112D" w:rsidP="006A64D5">
            <w:pPr>
              <w:spacing w:line="240" w:lineRule="auto"/>
              <w:jc w:val="center"/>
              <w:rPr>
                <w:rFonts w:cs="Times New Roman"/>
                <w:b/>
                <w:bCs/>
                <w:color w:val="auto"/>
                <w:szCs w:val="20"/>
                <w:lang w:eastAsia="en-AU"/>
              </w:rPr>
            </w:pPr>
            <w:r w:rsidRPr="00EA112D">
              <w:rPr>
                <w:rFonts w:cs="Times New Roman"/>
                <w:b/>
                <w:bCs/>
                <w:color w:val="auto"/>
                <w:szCs w:val="20"/>
                <w:lang w:eastAsia="en-AU"/>
              </w:rPr>
              <w:t>3. Inf</w:t>
            </w:r>
            <w:r w:rsidR="006A64D5">
              <w:rPr>
                <w:rFonts w:cs="Times New Roman"/>
                <w:b/>
                <w:bCs/>
                <w:color w:val="auto"/>
                <w:szCs w:val="20"/>
                <w:lang w:eastAsia="en-AU"/>
              </w:rPr>
              <w:t>rastructure</w:t>
            </w:r>
            <w:r w:rsidRPr="00EA112D">
              <w:rPr>
                <w:rFonts w:cs="Times New Roman"/>
                <w:b/>
                <w:bCs/>
                <w:color w:val="auto"/>
                <w:szCs w:val="20"/>
                <w:lang w:eastAsia="en-AU"/>
              </w:rPr>
              <w:t xml:space="preserve"> grouping overlap? (Y/N) </w:t>
            </w:r>
          </w:p>
          <w:p w:rsidR="006A64D5" w:rsidRDefault="00EA112D" w:rsidP="006A64D5">
            <w:pPr>
              <w:spacing w:line="240" w:lineRule="auto"/>
              <w:jc w:val="center"/>
              <w:rPr>
                <w:rFonts w:cs="Times New Roman"/>
                <w:b/>
                <w:bCs/>
                <w:color w:val="auto"/>
                <w:szCs w:val="20"/>
                <w:lang w:eastAsia="en-AU"/>
              </w:rPr>
            </w:pPr>
            <w:r w:rsidRPr="00EA112D">
              <w:rPr>
                <w:rFonts w:cs="Times New Roman"/>
                <w:b/>
                <w:bCs/>
                <w:color w:val="auto"/>
                <w:szCs w:val="20"/>
                <w:lang w:eastAsia="en-AU"/>
              </w:rPr>
              <w:t xml:space="preserve">Implication? </w:t>
            </w:r>
          </w:p>
          <w:p w:rsidR="00EA112D" w:rsidRPr="00EA112D" w:rsidRDefault="00EA112D" w:rsidP="006A64D5">
            <w:pPr>
              <w:spacing w:line="240" w:lineRule="auto"/>
              <w:jc w:val="center"/>
              <w:rPr>
                <w:rFonts w:cs="Times New Roman"/>
                <w:b/>
                <w:bCs/>
                <w:color w:val="auto"/>
                <w:szCs w:val="20"/>
                <w:lang w:eastAsia="en-AU"/>
              </w:rPr>
            </w:pPr>
            <w:r w:rsidRPr="00EA112D">
              <w:rPr>
                <w:rFonts w:cs="Times New Roman"/>
                <w:b/>
                <w:bCs/>
                <w:color w:val="auto"/>
                <w:szCs w:val="20"/>
                <w:lang w:eastAsia="en-AU"/>
              </w:rPr>
              <w:t>(</w:t>
            </w:r>
            <w:r w:rsidR="00067B49">
              <w:rPr>
                <w:rFonts w:cs="Times New Roman"/>
                <w:b/>
                <w:bCs/>
                <w:color w:val="auto"/>
                <w:szCs w:val="20"/>
                <w:lang w:eastAsia="en-AU"/>
              </w:rPr>
              <w:t>cap</w:t>
            </w:r>
            <w:r w:rsidR="006A64D5">
              <w:rPr>
                <w:rFonts w:cs="Times New Roman"/>
                <w:b/>
                <w:bCs/>
                <w:color w:val="auto"/>
                <w:szCs w:val="20"/>
                <w:lang w:eastAsia="en-AU"/>
              </w:rPr>
              <w:t>acity</w:t>
            </w:r>
            <w:r w:rsidR="00067B49">
              <w:rPr>
                <w:rFonts w:cs="Times New Roman"/>
                <w:b/>
                <w:bCs/>
                <w:color w:val="auto"/>
                <w:szCs w:val="20"/>
                <w:lang w:eastAsia="en-AU"/>
              </w:rPr>
              <w:t xml:space="preserve"> </w:t>
            </w:r>
            <w:r w:rsidRPr="00EA112D">
              <w:rPr>
                <w:rFonts w:cs="Times New Roman"/>
                <w:b/>
                <w:bCs/>
                <w:color w:val="auto"/>
                <w:szCs w:val="20"/>
                <w:lang w:eastAsia="en-AU"/>
              </w:rPr>
              <w:t>over</w:t>
            </w:r>
            <w:r w:rsidR="006A64D5">
              <w:rPr>
                <w:rFonts w:cs="Times New Roman"/>
                <w:b/>
                <w:bCs/>
                <w:color w:val="auto"/>
                <w:szCs w:val="20"/>
                <w:lang w:eastAsia="en-AU"/>
              </w:rPr>
              <w:t xml:space="preserve"> or </w:t>
            </w:r>
            <w:r w:rsidRPr="00EA112D">
              <w:rPr>
                <w:rFonts w:cs="Times New Roman"/>
                <w:b/>
                <w:bCs/>
                <w:color w:val="auto"/>
                <w:szCs w:val="20"/>
                <w:lang w:eastAsia="en-AU"/>
              </w:rPr>
              <w:t>under est</w:t>
            </w:r>
            <w:r w:rsidR="006A64D5">
              <w:rPr>
                <w:rFonts w:cs="Times New Roman"/>
                <w:b/>
                <w:bCs/>
                <w:color w:val="auto"/>
                <w:szCs w:val="20"/>
                <w:lang w:eastAsia="en-AU"/>
              </w:rPr>
              <w:t>imate</w:t>
            </w:r>
            <w:r w:rsidRPr="00EA112D">
              <w:rPr>
                <w:rFonts w:cs="Times New Roman"/>
                <w:b/>
                <w:bCs/>
                <w:color w:val="auto"/>
                <w:szCs w:val="20"/>
                <w:lang w:eastAsia="en-AU"/>
              </w:rPr>
              <w:t>)</w:t>
            </w:r>
            <w:r w:rsidR="00455058">
              <w:rPr>
                <w:rStyle w:val="FootnoteReference"/>
                <w:rFonts w:cs="Times New Roman"/>
                <w:b/>
                <w:bCs/>
                <w:color w:val="auto"/>
                <w:szCs w:val="20"/>
                <w:lang w:eastAsia="en-AU"/>
              </w:rPr>
              <w:footnoteReference w:id="34"/>
            </w:r>
          </w:p>
        </w:tc>
        <w:tc>
          <w:tcPr>
            <w:tcW w:w="1648" w:type="dxa"/>
            <w:vMerge w:val="restart"/>
            <w:tcBorders>
              <w:top w:val="nil"/>
              <w:left w:val="nil"/>
              <w:bottom w:val="single" w:sz="8" w:space="0" w:color="808080"/>
              <w:right w:val="nil"/>
            </w:tcBorders>
            <w:shd w:val="clear" w:color="auto" w:fill="auto"/>
            <w:vAlign w:val="bottom"/>
            <w:hideMark/>
          </w:tcPr>
          <w:p w:rsidR="006A64D5" w:rsidRDefault="00EA112D">
            <w:pPr>
              <w:spacing w:line="240" w:lineRule="auto"/>
              <w:jc w:val="center"/>
              <w:rPr>
                <w:rFonts w:cs="Times New Roman"/>
                <w:b/>
                <w:bCs/>
                <w:color w:val="auto"/>
                <w:szCs w:val="20"/>
                <w:lang w:eastAsia="en-AU"/>
              </w:rPr>
            </w:pPr>
            <w:r w:rsidRPr="00EA112D">
              <w:rPr>
                <w:rFonts w:cs="Times New Roman"/>
                <w:b/>
                <w:bCs/>
                <w:color w:val="auto"/>
                <w:szCs w:val="20"/>
                <w:lang w:eastAsia="en-AU"/>
              </w:rPr>
              <w:t xml:space="preserve">4. </w:t>
            </w:r>
            <w:r w:rsidR="00F736AC">
              <w:rPr>
                <w:rFonts w:cs="Times New Roman"/>
                <w:b/>
                <w:bCs/>
                <w:color w:val="auto"/>
                <w:szCs w:val="20"/>
                <w:lang w:eastAsia="en-AU"/>
              </w:rPr>
              <w:t xml:space="preserve">Very </w:t>
            </w:r>
            <w:r w:rsidR="00A45CDA">
              <w:rPr>
                <w:rFonts w:cs="Times New Roman"/>
                <w:b/>
                <w:bCs/>
                <w:color w:val="auto"/>
                <w:szCs w:val="20"/>
                <w:lang w:eastAsia="en-AU"/>
              </w:rPr>
              <w:t>d</w:t>
            </w:r>
            <w:r w:rsidRPr="00EA112D">
              <w:rPr>
                <w:rFonts w:cs="Times New Roman"/>
                <w:b/>
                <w:bCs/>
                <w:color w:val="auto"/>
                <w:szCs w:val="20"/>
                <w:lang w:eastAsia="en-AU"/>
              </w:rPr>
              <w:t xml:space="preserve">iffuse inf. group? </w:t>
            </w:r>
          </w:p>
          <w:p w:rsidR="00EA112D" w:rsidRPr="00EA112D" w:rsidRDefault="00EA112D">
            <w:pPr>
              <w:spacing w:line="240" w:lineRule="auto"/>
              <w:jc w:val="center"/>
              <w:rPr>
                <w:rFonts w:cs="Times New Roman"/>
                <w:b/>
                <w:bCs/>
                <w:color w:val="auto"/>
                <w:szCs w:val="20"/>
                <w:lang w:eastAsia="en-AU"/>
              </w:rPr>
            </w:pPr>
            <w:r w:rsidRPr="00EA112D">
              <w:rPr>
                <w:rFonts w:cs="Times New Roman"/>
                <w:b/>
                <w:bCs/>
                <w:color w:val="auto"/>
                <w:szCs w:val="20"/>
                <w:lang w:eastAsia="en-AU"/>
              </w:rPr>
              <w:t>(Y/N)</w:t>
            </w:r>
          </w:p>
        </w:tc>
        <w:tc>
          <w:tcPr>
            <w:tcW w:w="1800" w:type="dxa"/>
            <w:vMerge w:val="restart"/>
            <w:tcBorders>
              <w:top w:val="nil"/>
              <w:left w:val="nil"/>
              <w:bottom w:val="single" w:sz="8" w:space="0" w:color="808080"/>
              <w:right w:val="nil"/>
            </w:tcBorders>
            <w:shd w:val="clear" w:color="auto" w:fill="auto"/>
            <w:vAlign w:val="bottom"/>
            <w:hideMark/>
          </w:tcPr>
          <w:p w:rsidR="00EA112D" w:rsidRPr="00EA112D" w:rsidRDefault="00EA112D" w:rsidP="006A64D5">
            <w:pPr>
              <w:spacing w:line="240" w:lineRule="auto"/>
              <w:jc w:val="center"/>
              <w:rPr>
                <w:rFonts w:cs="Times New Roman"/>
                <w:b/>
                <w:bCs/>
                <w:color w:val="auto"/>
                <w:szCs w:val="20"/>
                <w:lang w:eastAsia="en-AU"/>
              </w:rPr>
            </w:pPr>
            <w:r w:rsidRPr="00EA112D">
              <w:rPr>
                <w:rFonts w:cs="Times New Roman"/>
                <w:b/>
                <w:bCs/>
                <w:color w:val="auto"/>
                <w:szCs w:val="20"/>
                <w:lang w:eastAsia="en-AU"/>
              </w:rPr>
              <w:t>Uncertainty of inf</w:t>
            </w:r>
            <w:r w:rsidR="006A64D5">
              <w:rPr>
                <w:rFonts w:cs="Times New Roman"/>
                <w:b/>
                <w:bCs/>
                <w:color w:val="auto"/>
                <w:szCs w:val="20"/>
                <w:lang w:eastAsia="en-AU"/>
              </w:rPr>
              <w:t>rastructure</w:t>
            </w:r>
            <w:r w:rsidRPr="00EA112D">
              <w:rPr>
                <w:rFonts w:cs="Times New Roman"/>
                <w:b/>
                <w:bCs/>
                <w:color w:val="auto"/>
                <w:szCs w:val="20"/>
                <w:lang w:eastAsia="en-AU"/>
              </w:rPr>
              <w:t xml:space="preserve"> capacity estimate</w:t>
            </w:r>
          </w:p>
        </w:tc>
      </w:tr>
      <w:tr w:rsidR="00EA112D" w:rsidRPr="00EA112D" w:rsidTr="006A64D5">
        <w:trPr>
          <w:trHeight w:val="402"/>
        </w:trPr>
        <w:tc>
          <w:tcPr>
            <w:tcW w:w="3828" w:type="dxa"/>
            <w:vMerge/>
            <w:tcBorders>
              <w:top w:val="nil"/>
              <w:left w:val="nil"/>
              <w:bottom w:val="single" w:sz="8" w:space="0" w:color="808080"/>
              <w:right w:val="nil"/>
            </w:tcBorders>
            <w:vAlign w:val="center"/>
            <w:hideMark/>
          </w:tcPr>
          <w:p w:rsidR="00EA112D" w:rsidRPr="00EA112D" w:rsidRDefault="00EA112D" w:rsidP="00EA112D">
            <w:pPr>
              <w:spacing w:line="240" w:lineRule="auto"/>
              <w:rPr>
                <w:rFonts w:cs="Times New Roman"/>
                <w:b/>
                <w:bCs/>
                <w:color w:val="000000"/>
                <w:szCs w:val="20"/>
                <w:lang w:eastAsia="en-AU"/>
              </w:rPr>
            </w:pPr>
          </w:p>
        </w:tc>
        <w:tc>
          <w:tcPr>
            <w:tcW w:w="2037" w:type="dxa"/>
            <w:vMerge/>
            <w:tcBorders>
              <w:top w:val="nil"/>
              <w:left w:val="nil"/>
              <w:bottom w:val="single" w:sz="8" w:space="0" w:color="808080"/>
              <w:right w:val="nil"/>
            </w:tcBorders>
            <w:vAlign w:val="center"/>
            <w:hideMark/>
          </w:tcPr>
          <w:p w:rsidR="00EA112D" w:rsidRPr="00EA112D" w:rsidRDefault="00EA112D" w:rsidP="00EA112D">
            <w:pPr>
              <w:spacing w:line="240" w:lineRule="auto"/>
              <w:rPr>
                <w:rFonts w:cs="Times New Roman"/>
                <w:b/>
                <w:bCs/>
                <w:color w:val="auto"/>
                <w:szCs w:val="20"/>
                <w:lang w:eastAsia="en-AU"/>
              </w:rPr>
            </w:pPr>
          </w:p>
        </w:tc>
        <w:tc>
          <w:tcPr>
            <w:tcW w:w="1701" w:type="dxa"/>
            <w:vMerge/>
            <w:tcBorders>
              <w:top w:val="nil"/>
              <w:left w:val="nil"/>
              <w:bottom w:val="single" w:sz="8" w:space="0" w:color="808080"/>
              <w:right w:val="nil"/>
            </w:tcBorders>
            <w:vAlign w:val="center"/>
            <w:hideMark/>
          </w:tcPr>
          <w:p w:rsidR="00EA112D" w:rsidRPr="00EA112D" w:rsidRDefault="00EA112D" w:rsidP="00EA112D">
            <w:pPr>
              <w:spacing w:line="240" w:lineRule="auto"/>
              <w:rPr>
                <w:rFonts w:cs="Times New Roman"/>
                <w:b/>
                <w:bCs/>
                <w:color w:val="auto"/>
                <w:szCs w:val="20"/>
                <w:lang w:eastAsia="en-AU"/>
              </w:rPr>
            </w:pPr>
          </w:p>
        </w:tc>
        <w:tc>
          <w:tcPr>
            <w:tcW w:w="3207" w:type="dxa"/>
            <w:vMerge/>
            <w:tcBorders>
              <w:top w:val="nil"/>
              <w:left w:val="nil"/>
              <w:bottom w:val="single" w:sz="8" w:space="0" w:color="808080"/>
              <w:right w:val="nil"/>
            </w:tcBorders>
            <w:vAlign w:val="center"/>
            <w:hideMark/>
          </w:tcPr>
          <w:p w:rsidR="00EA112D" w:rsidRPr="00EA112D" w:rsidRDefault="00EA112D" w:rsidP="00EA112D">
            <w:pPr>
              <w:spacing w:line="240" w:lineRule="auto"/>
              <w:rPr>
                <w:rFonts w:cs="Times New Roman"/>
                <w:b/>
                <w:bCs/>
                <w:color w:val="auto"/>
                <w:szCs w:val="20"/>
                <w:lang w:eastAsia="en-AU"/>
              </w:rPr>
            </w:pPr>
          </w:p>
        </w:tc>
        <w:tc>
          <w:tcPr>
            <w:tcW w:w="1648" w:type="dxa"/>
            <w:vMerge/>
            <w:tcBorders>
              <w:top w:val="nil"/>
              <w:left w:val="nil"/>
              <w:bottom w:val="single" w:sz="8" w:space="0" w:color="808080"/>
              <w:right w:val="nil"/>
            </w:tcBorders>
            <w:vAlign w:val="center"/>
            <w:hideMark/>
          </w:tcPr>
          <w:p w:rsidR="00EA112D" w:rsidRPr="00EA112D" w:rsidRDefault="00EA112D" w:rsidP="00EA112D">
            <w:pPr>
              <w:spacing w:line="240" w:lineRule="auto"/>
              <w:rPr>
                <w:rFonts w:cs="Times New Roman"/>
                <w:b/>
                <w:bCs/>
                <w:color w:val="auto"/>
                <w:szCs w:val="20"/>
                <w:lang w:eastAsia="en-AU"/>
              </w:rPr>
            </w:pPr>
          </w:p>
        </w:tc>
        <w:tc>
          <w:tcPr>
            <w:tcW w:w="1800" w:type="dxa"/>
            <w:vMerge/>
            <w:tcBorders>
              <w:top w:val="nil"/>
              <w:left w:val="nil"/>
              <w:bottom w:val="single" w:sz="8" w:space="0" w:color="808080"/>
              <w:right w:val="nil"/>
            </w:tcBorders>
            <w:vAlign w:val="center"/>
            <w:hideMark/>
          </w:tcPr>
          <w:p w:rsidR="00EA112D" w:rsidRPr="00EA112D" w:rsidRDefault="00EA112D" w:rsidP="00EA112D">
            <w:pPr>
              <w:spacing w:line="240" w:lineRule="auto"/>
              <w:rPr>
                <w:rFonts w:cs="Times New Roman"/>
                <w:b/>
                <w:bCs/>
                <w:color w:val="auto"/>
                <w:szCs w:val="20"/>
                <w:lang w:eastAsia="en-AU"/>
              </w:rPr>
            </w:pPr>
          </w:p>
        </w:tc>
      </w:tr>
      <w:tr w:rsidR="00EA112D" w:rsidRPr="00EA112D" w:rsidTr="007F5BD4">
        <w:trPr>
          <w:trHeight w:val="255"/>
        </w:trPr>
        <w:tc>
          <w:tcPr>
            <w:tcW w:w="5865" w:type="dxa"/>
            <w:gridSpan w:val="2"/>
            <w:tcBorders>
              <w:top w:val="single" w:sz="8" w:space="0" w:color="808080"/>
              <w:left w:val="nil"/>
              <w:bottom w:val="single" w:sz="8" w:space="0" w:color="D9D9D9"/>
              <w:right w:val="nil"/>
            </w:tcBorders>
            <w:shd w:val="clear" w:color="000000" w:fill="C5D9F1"/>
            <w:noWrap/>
            <w:vAlign w:val="center"/>
            <w:hideMark/>
          </w:tcPr>
          <w:p w:rsidR="00EA112D" w:rsidRPr="00EA112D" w:rsidRDefault="00EA112D" w:rsidP="00EA112D">
            <w:pPr>
              <w:spacing w:line="240" w:lineRule="auto"/>
              <w:rPr>
                <w:rFonts w:cs="Times New Roman"/>
                <w:b/>
                <w:bCs/>
                <w:color w:val="000000"/>
                <w:szCs w:val="20"/>
                <w:lang w:eastAsia="en-AU"/>
              </w:rPr>
            </w:pPr>
            <w:r w:rsidRPr="00EA112D">
              <w:rPr>
                <w:rFonts w:cs="Times New Roman"/>
                <w:b/>
                <w:bCs/>
                <w:color w:val="000000"/>
                <w:szCs w:val="20"/>
                <w:lang w:eastAsia="en-AU"/>
              </w:rPr>
              <w:t>Recovery: recycling and energy recovery (ER)</w:t>
            </w:r>
          </w:p>
        </w:tc>
        <w:tc>
          <w:tcPr>
            <w:tcW w:w="1701" w:type="dxa"/>
            <w:tcBorders>
              <w:top w:val="nil"/>
              <w:left w:val="nil"/>
              <w:bottom w:val="single" w:sz="8" w:space="0" w:color="D9D9D9"/>
              <w:right w:val="nil"/>
            </w:tcBorders>
            <w:shd w:val="clear" w:color="000000" w:fill="C5D9F1"/>
            <w:noWrap/>
            <w:vAlign w:val="center"/>
            <w:hideMark/>
          </w:tcPr>
          <w:p w:rsidR="00EA112D" w:rsidRPr="00EA112D" w:rsidRDefault="00EA112D" w:rsidP="00EA112D">
            <w:pPr>
              <w:spacing w:line="240" w:lineRule="auto"/>
              <w:rPr>
                <w:rFonts w:cs="Times New Roman"/>
                <w:b/>
                <w:bCs/>
                <w:color w:val="000000"/>
                <w:szCs w:val="20"/>
                <w:lang w:eastAsia="en-AU"/>
              </w:rPr>
            </w:pPr>
            <w:r w:rsidRPr="00EA112D">
              <w:rPr>
                <w:rFonts w:cs="Times New Roman"/>
                <w:b/>
                <w:bCs/>
                <w:color w:val="000000"/>
                <w:szCs w:val="20"/>
                <w:lang w:eastAsia="en-AU"/>
              </w:rPr>
              <w:t> </w:t>
            </w:r>
          </w:p>
        </w:tc>
        <w:tc>
          <w:tcPr>
            <w:tcW w:w="3207" w:type="dxa"/>
            <w:tcBorders>
              <w:top w:val="nil"/>
              <w:left w:val="nil"/>
              <w:bottom w:val="single" w:sz="8" w:space="0" w:color="D9D9D9"/>
              <w:right w:val="nil"/>
            </w:tcBorders>
            <w:shd w:val="clear" w:color="000000" w:fill="C5D9F1"/>
            <w:noWrap/>
            <w:vAlign w:val="center"/>
            <w:hideMark/>
          </w:tcPr>
          <w:p w:rsidR="00EA112D" w:rsidRPr="00EA112D" w:rsidRDefault="00EA112D" w:rsidP="00EA112D">
            <w:pPr>
              <w:spacing w:line="240" w:lineRule="auto"/>
              <w:rPr>
                <w:rFonts w:cs="Times New Roman"/>
                <w:b/>
                <w:bCs/>
                <w:color w:val="000000"/>
                <w:szCs w:val="20"/>
                <w:lang w:eastAsia="en-AU"/>
              </w:rPr>
            </w:pPr>
            <w:r w:rsidRPr="00EA112D">
              <w:rPr>
                <w:rFonts w:cs="Times New Roman"/>
                <w:b/>
                <w:bCs/>
                <w:color w:val="000000"/>
                <w:szCs w:val="20"/>
                <w:lang w:eastAsia="en-AU"/>
              </w:rPr>
              <w:t> </w:t>
            </w:r>
          </w:p>
        </w:tc>
        <w:tc>
          <w:tcPr>
            <w:tcW w:w="1648" w:type="dxa"/>
            <w:tcBorders>
              <w:top w:val="nil"/>
              <w:left w:val="nil"/>
              <w:bottom w:val="single" w:sz="8" w:space="0" w:color="D9D9D9"/>
              <w:right w:val="nil"/>
            </w:tcBorders>
            <w:shd w:val="clear" w:color="000000" w:fill="C5D9F1"/>
            <w:noWrap/>
            <w:vAlign w:val="center"/>
            <w:hideMark/>
          </w:tcPr>
          <w:p w:rsidR="00EA112D" w:rsidRPr="00EA112D" w:rsidRDefault="00EA112D" w:rsidP="00EA112D">
            <w:pPr>
              <w:spacing w:line="240" w:lineRule="auto"/>
              <w:rPr>
                <w:rFonts w:cs="Times New Roman"/>
                <w:b/>
                <w:bCs/>
                <w:color w:val="000000"/>
                <w:szCs w:val="20"/>
                <w:lang w:eastAsia="en-AU"/>
              </w:rPr>
            </w:pPr>
            <w:r w:rsidRPr="00EA112D">
              <w:rPr>
                <w:rFonts w:cs="Times New Roman"/>
                <w:b/>
                <w:bCs/>
                <w:color w:val="000000"/>
                <w:szCs w:val="20"/>
                <w:lang w:eastAsia="en-AU"/>
              </w:rPr>
              <w:t> </w:t>
            </w:r>
          </w:p>
        </w:tc>
        <w:tc>
          <w:tcPr>
            <w:tcW w:w="1800" w:type="dxa"/>
            <w:tcBorders>
              <w:top w:val="nil"/>
              <w:left w:val="nil"/>
              <w:bottom w:val="single" w:sz="8" w:space="0" w:color="D9D9D9"/>
              <w:right w:val="single" w:sz="8" w:space="0" w:color="808080"/>
            </w:tcBorders>
            <w:shd w:val="clear" w:color="000000" w:fill="C5D9F1"/>
            <w:noWrap/>
            <w:vAlign w:val="center"/>
            <w:hideMark/>
          </w:tcPr>
          <w:p w:rsidR="00EA112D" w:rsidRPr="00EA112D" w:rsidRDefault="00EA112D" w:rsidP="00EA112D">
            <w:pPr>
              <w:spacing w:line="240" w:lineRule="auto"/>
              <w:rPr>
                <w:rFonts w:cs="Times New Roman"/>
                <w:b/>
                <w:bCs/>
                <w:color w:val="000000"/>
                <w:szCs w:val="20"/>
                <w:lang w:eastAsia="en-AU"/>
              </w:rPr>
            </w:pPr>
            <w:r w:rsidRPr="00EA112D">
              <w:rPr>
                <w:rFonts w:cs="Times New Roman"/>
                <w:b/>
                <w:bCs/>
                <w:color w:val="000000"/>
                <w:szCs w:val="20"/>
                <w:lang w:eastAsia="en-AU"/>
              </w:rPr>
              <w:t> </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Hazwaste packaging facility</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42%</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N</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Moderate</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E-waste facility</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58%</w:t>
            </w:r>
          </w:p>
        </w:tc>
        <w:tc>
          <w:tcPr>
            <w:tcW w:w="3207" w:type="dxa"/>
            <w:tcBorders>
              <w:top w:val="nil"/>
              <w:left w:val="nil"/>
              <w:bottom w:val="single" w:sz="8" w:space="0" w:color="D9D9D9"/>
              <w:right w:val="nil"/>
            </w:tcBorders>
            <w:shd w:val="clear" w:color="auto" w:fill="auto"/>
            <w:vAlign w:val="center"/>
            <w:hideMark/>
          </w:tcPr>
          <w:p w:rsidR="00EA112D" w:rsidRPr="00EA112D" w:rsidRDefault="00BF2A84" w:rsidP="00EA112D">
            <w:pPr>
              <w:spacing w:line="240" w:lineRule="auto"/>
              <w:jc w:val="center"/>
              <w:rPr>
                <w:rFonts w:cs="Times New Roman"/>
                <w:color w:val="000000"/>
                <w:szCs w:val="20"/>
                <w:lang w:eastAsia="en-AU"/>
              </w:rPr>
            </w:pPr>
            <w:r>
              <w:rPr>
                <w:rFonts w:cs="Times New Roman"/>
                <w:color w:val="000000"/>
                <w:szCs w:val="20"/>
                <w:lang w:eastAsia="en-AU"/>
              </w:rPr>
              <w:t>Y, over est.</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Moderate</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Oil re-refining facility</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80%</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 over est.</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Moderate</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Lead facility</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75%</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N</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Low</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Mercury facility</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50%</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N</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Low</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Solvents/paints facility</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60%</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 , under est.</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High</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Solvents/paints facility (energy recovery)</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100%</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 over est.</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Low</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 xml:space="preserve">Spent </w:t>
            </w:r>
            <w:r w:rsidR="00061B2C">
              <w:rPr>
                <w:rFonts w:cs="Times New Roman"/>
                <w:color w:val="000000"/>
                <w:szCs w:val="20"/>
                <w:lang w:eastAsia="en-AU"/>
              </w:rPr>
              <w:t>pot</w:t>
            </w:r>
            <w:r w:rsidRPr="00EA112D">
              <w:rPr>
                <w:rFonts w:cs="Times New Roman"/>
                <w:color w:val="000000"/>
                <w:szCs w:val="20"/>
                <w:lang w:eastAsia="en-AU"/>
              </w:rPr>
              <w:t>lining facility</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80%</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N</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Low</w:t>
            </w:r>
          </w:p>
        </w:tc>
      </w:tr>
      <w:tr w:rsidR="00EA112D" w:rsidRPr="00EA112D" w:rsidTr="007F5BD4">
        <w:trPr>
          <w:trHeight w:val="255"/>
        </w:trPr>
        <w:tc>
          <w:tcPr>
            <w:tcW w:w="3828" w:type="dxa"/>
            <w:tcBorders>
              <w:top w:val="nil"/>
              <w:left w:val="nil"/>
              <w:bottom w:val="nil"/>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Organics facility (NEPM code K wastes)</w:t>
            </w:r>
          </w:p>
        </w:tc>
        <w:tc>
          <w:tcPr>
            <w:tcW w:w="2037" w:type="dxa"/>
            <w:tcBorders>
              <w:top w:val="nil"/>
              <w:left w:val="nil"/>
              <w:bottom w:val="nil"/>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Limited</w:t>
            </w:r>
          </w:p>
        </w:tc>
        <w:tc>
          <w:tcPr>
            <w:tcW w:w="1701" w:type="dxa"/>
            <w:tcBorders>
              <w:top w:val="nil"/>
              <w:left w:val="nil"/>
              <w:bottom w:val="nil"/>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18%</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 over est.</w:t>
            </w:r>
          </w:p>
        </w:tc>
        <w:tc>
          <w:tcPr>
            <w:tcW w:w="1648" w:type="dxa"/>
            <w:tcBorders>
              <w:top w:val="nil"/>
              <w:left w:val="nil"/>
              <w:bottom w:val="nil"/>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w:t>
            </w:r>
          </w:p>
        </w:tc>
        <w:tc>
          <w:tcPr>
            <w:tcW w:w="1800" w:type="dxa"/>
            <w:tcBorders>
              <w:top w:val="nil"/>
              <w:left w:val="nil"/>
              <w:bottom w:val="nil"/>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Very high</w:t>
            </w:r>
          </w:p>
        </w:tc>
      </w:tr>
      <w:tr w:rsidR="00EA112D" w:rsidRPr="00EA112D" w:rsidTr="007F5BD4">
        <w:trPr>
          <w:trHeight w:val="255"/>
        </w:trPr>
        <w:tc>
          <w:tcPr>
            <w:tcW w:w="3828" w:type="dxa"/>
            <w:tcBorders>
              <w:top w:val="nil"/>
              <w:left w:val="nil"/>
              <w:bottom w:val="nil"/>
              <w:right w:val="nil"/>
            </w:tcBorders>
            <w:shd w:val="clear" w:color="000000" w:fill="C5D9F1"/>
            <w:noWrap/>
            <w:vAlign w:val="center"/>
            <w:hideMark/>
          </w:tcPr>
          <w:p w:rsidR="00EA112D" w:rsidRPr="00EA112D" w:rsidRDefault="00EA112D" w:rsidP="00EA112D">
            <w:pPr>
              <w:spacing w:line="240" w:lineRule="auto"/>
              <w:rPr>
                <w:rFonts w:cs="Times New Roman"/>
                <w:b/>
                <w:bCs/>
                <w:color w:val="000000"/>
                <w:szCs w:val="20"/>
                <w:lang w:eastAsia="en-AU"/>
              </w:rPr>
            </w:pPr>
            <w:r w:rsidRPr="00EA112D">
              <w:rPr>
                <w:rFonts w:cs="Times New Roman"/>
                <w:b/>
                <w:bCs/>
                <w:color w:val="000000"/>
                <w:szCs w:val="20"/>
                <w:lang w:eastAsia="en-AU"/>
              </w:rPr>
              <w:t xml:space="preserve">Treatment </w:t>
            </w:r>
          </w:p>
        </w:tc>
        <w:tc>
          <w:tcPr>
            <w:tcW w:w="2037" w:type="dxa"/>
            <w:tcBorders>
              <w:top w:val="nil"/>
              <w:left w:val="nil"/>
              <w:bottom w:val="nil"/>
              <w:right w:val="nil"/>
            </w:tcBorders>
            <w:shd w:val="clear" w:color="000000" w:fill="C5D9F1"/>
            <w:vAlign w:val="center"/>
            <w:hideMark/>
          </w:tcPr>
          <w:p w:rsidR="00EA112D" w:rsidRPr="00EA112D" w:rsidRDefault="00EA112D" w:rsidP="00EA112D">
            <w:pPr>
              <w:spacing w:line="240" w:lineRule="auto"/>
              <w:jc w:val="center"/>
              <w:rPr>
                <w:rFonts w:cs="Times New Roman"/>
                <w:b/>
                <w:bCs/>
                <w:color w:val="000000"/>
                <w:szCs w:val="20"/>
                <w:lang w:eastAsia="en-AU"/>
              </w:rPr>
            </w:pPr>
            <w:r w:rsidRPr="00EA112D">
              <w:rPr>
                <w:rFonts w:cs="Times New Roman"/>
                <w:b/>
                <w:bCs/>
                <w:color w:val="000000"/>
                <w:szCs w:val="20"/>
                <w:lang w:eastAsia="en-AU"/>
              </w:rPr>
              <w:t> </w:t>
            </w:r>
          </w:p>
        </w:tc>
        <w:tc>
          <w:tcPr>
            <w:tcW w:w="1701" w:type="dxa"/>
            <w:tcBorders>
              <w:top w:val="nil"/>
              <w:left w:val="nil"/>
              <w:bottom w:val="nil"/>
              <w:right w:val="nil"/>
            </w:tcBorders>
            <w:shd w:val="clear" w:color="000000" w:fill="C5D9F1"/>
            <w:vAlign w:val="center"/>
            <w:hideMark/>
          </w:tcPr>
          <w:p w:rsidR="00EA112D" w:rsidRPr="00EA112D" w:rsidRDefault="00EA112D" w:rsidP="00EA112D">
            <w:pPr>
              <w:spacing w:line="240" w:lineRule="auto"/>
              <w:jc w:val="center"/>
              <w:rPr>
                <w:rFonts w:cs="Times New Roman"/>
                <w:b/>
                <w:bCs/>
                <w:color w:val="000000"/>
                <w:szCs w:val="20"/>
                <w:lang w:eastAsia="en-AU"/>
              </w:rPr>
            </w:pPr>
            <w:r w:rsidRPr="00EA112D">
              <w:rPr>
                <w:rFonts w:cs="Times New Roman"/>
                <w:b/>
                <w:bCs/>
                <w:color w:val="000000"/>
                <w:szCs w:val="20"/>
                <w:lang w:eastAsia="en-AU"/>
              </w:rPr>
              <w:t> </w:t>
            </w:r>
          </w:p>
        </w:tc>
        <w:tc>
          <w:tcPr>
            <w:tcW w:w="3207" w:type="dxa"/>
            <w:tcBorders>
              <w:top w:val="nil"/>
              <w:left w:val="nil"/>
              <w:bottom w:val="nil"/>
              <w:right w:val="nil"/>
            </w:tcBorders>
            <w:shd w:val="clear" w:color="000000" w:fill="C5D9F1"/>
            <w:vAlign w:val="center"/>
            <w:hideMark/>
          </w:tcPr>
          <w:p w:rsidR="00EA112D" w:rsidRPr="00EA112D" w:rsidRDefault="00EA112D" w:rsidP="00EA112D">
            <w:pPr>
              <w:spacing w:line="240" w:lineRule="auto"/>
              <w:jc w:val="center"/>
              <w:rPr>
                <w:rFonts w:cs="Times New Roman"/>
                <w:b/>
                <w:bCs/>
                <w:color w:val="000000"/>
                <w:szCs w:val="20"/>
                <w:lang w:eastAsia="en-AU"/>
              </w:rPr>
            </w:pPr>
            <w:r w:rsidRPr="00EA112D">
              <w:rPr>
                <w:rFonts w:cs="Times New Roman"/>
                <w:b/>
                <w:bCs/>
                <w:color w:val="000000"/>
                <w:szCs w:val="20"/>
                <w:lang w:eastAsia="en-AU"/>
              </w:rPr>
              <w:t> </w:t>
            </w:r>
          </w:p>
        </w:tc>
        <w:tc>
          <w:tcPr>
            <w:tcW w:w="1648" w:type="dxa"/>
            <w:tcBorders>
              <w:top w:val="nil"/>
              <w:left w:val="nil"/>
              <w:bottom w:val="nil"/>
              <w:right w:val="nil"/>
            </w:tcBorders>
            <w:shd w:val="clear" w:color="000000" w:fill="C5D9F1"/>
            <w:vAlign w:val="center"/>
            <w:hideMark/>
          </w:tcPr>
          <w:p w:rsidR="00EA112D" w:rsidRPr="00EA112D" w:rsidRDefault="00EA112D" w:rsidP="00EA112D">
            <w:pPr>
              <w:spacing w:line="240" w:lineRule="auto"/>
              <w:jc w:val="center"/>
              <w:rPr>
                <w:rFonts w:cs="Times New Roman"/>
                <w:b/>
                <w:bCs/>
                <w:color w:val="000000"/>
                <w:szCs w:val="20"/>
                <w:lang w:eastAsia="en-AU"/>
              </w:rPr>
            </w:pPr>
            <w:r w:rsidRPr="00EA112D">
              <w:rPr>
                <w:rFonts w:cs="Times New Roman"/>
                <w:b/>
                <w:bCs/>
                <w:color w:val="000000"/>
                <w:szCs w:val="20"/>
                <w:lang w:eastAsia="en-AU"/>
              </w:rPr>
              <w:t> </w:t>
            </w:r>
          </w:p>
        </w:tc>
        <w:tc>
          <w:tcPr>
            <w:tcW w:w="1800" w:type="dxa"/>
            <w:tcBorders>
              <w:top w:val="nil"/>
              <w:left w:val="nil"/>
              <w:bottom w:val="nil"/>
              <w:right w:val="single" w:sz="8" w:space="0" w:color="808080"/>
            </w:tcBorders>
            <w:shd w:val="clear" w:color="000000" w:fill="C5D9F1"/>
            <w:vAlign w:val="center"/>
            <w:hideMark/>
          </w:tcPr>
          <w:p w:rsidR="00EA112D" w:rsidRPr="007657B6" w:rsidRDefault="00EA112D" w:rsidP="007F5BD4">
            <w:pPr>
              <w:spacing w:line="240" w:lineRule="auto"/>
              <w:rPr>
                <w:rFonts w:cs="Times New Roman"/>
                <w:b/>
                <w:bCs/>
                <w:color w:val="000000"/>
                <w:szCs w:val="20"/>
                <w:lang w:eastAsia="en-AU"/>
              </w:rPr>
            </w:pPr>
            <w:r w:rsidRPr="007657B6">
              <w:rPr>
                <w:rFonts w:cs="Times New Roman"/>
                <w:b/>
                <w:bCs/>
                <w:color w:val="000000"/>
                <w:szCs w:val="20"/>
                <w:lang w:eastAsia="en-AU"/>
              </w:rPr>
              <w:t> </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Chemical or physical treatment plant</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73%</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 over est.</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Moderate</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Clinical waste facility (treatment)</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30%</w:t>
            </w:r>
          </w:p>
        </w:tc>
        <w:tc>
          <w:tcPr>
            <w:tcW w:w="3207" w:type="dxa"/>
            <w:tcBorders>
              <w:top w:val="nil"/>
              <w:left w:val="nil"/>
              <w:bottom w:val="single" w:sz="8" w:space="0" w:color="D9D9D9"/>
              <w:right w:val="nil"/>
            </w:tcBorders>
            <w:shd w:val="clear" w:color="auto" w:fill="auto"/>
            <w:vAlign w:val="center"/>
            <w:hideMark/>
          </w:tcPr>
          <w:p w:rsidR="00EA112D" w:rsidRPr="00EA112D" w:rsidRDefault="001E44CE" w:rsidP="00EA112D">
            <w:pPr>
              <w:spacing w:line="240" w:lineRule="auto"/>
              <w:jc w:val="center"/>
              <w:rPr>
                <w:rFonts w:cs="Times New Roman"/>
                <w:color w:val="000000"/>
                <w:szCs w:val="20"/>
                <w:lang w:eastAsia="en-AU"/>
              </w:rPr>
            </w:pPr>
            <w:r w:rsidRPr="00EA112D">
              <w:rPr>
                <w:rFonts w:cs="Times New Roman"/>
                <w:color w:val="000000"/>
                <w:szCs w:val="20"/>
                <w:lang w:eastAsia="en-AU"/>
              </w:rPr>
              <w:t>Y , under est</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9B5ADD" w:rsidP="007F5BD4">
            <w:pPr>
              <w:spacing w:line="240" w:lineRule="auto"/>
              <w:rPr>
                <w:rFonts w:cs="Times New Roman"/>
                <w:b/>
                <w:color w:val="000000"/>
                <w:szCs w:val="20"/>
                <w:lang w:eastAsia="en-AU"/>
              </w:rPr>
            </w:pPr>
            <w:r w:rsidRPr="007F5BD4">
              <w:rPr>
                <w:rFonts w:cs="Times New Roman"/>
                <w:b/>
                <w:color w:val="000000"/>
                <w:szCs w:val="20"/>
                <w:lang w:eastAsia="en-AU"/>
              </w:rPr>
              <w:t>High</w:t>
            </w:r>
          </w:p>
        </w:tc>
      </w:tr>
      <w:tr w:rsidR="00EA112D" w:rsidRPr="00EA112D" w:rsidTr="007F5BD4">
        <w:trPr>
          <w:trHeight w:val="255"/>
        </w:trPr>
        <w:tc>
          <w:tcPr>
            <w:tcW w:w="3828" w:type="dxa"/>
            <w:tcBorders>
              <w:top w:val="nil"/>
              <w:left w:val="nil"/>
              <w:bottom w:val="nil"/>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Soils treatment facility</w:t>
            </w:r>
          </w:p>
        </w:tc>
        <w:tc>
          <w:tcPr>
            <w:tcW w:w="2037" w:type="dxa"/>
            <w:tcBorders>
              <w:top w:val="nil"/>
              <w:left w:val="nil"/>
              <w:bottom w:val="nil"/>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nil"/>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67%</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 , over est.</w:t>
            </w:r>
          </w:p>
        </w:tc>
        <w:tc>
          <w:tcPr>
            <w:tcW w:w="1648" w:type="dxa"/>
            <w:tcBorders>
              <w:top w:val="nil"/>
              <w:left w:val="nil"/>
              <w:bottom w:val="nil"/>
              <w:right w:val="nil"/>
            </w:tcBorders>
            <w:shd w:val="clear" w:color="auto" w:fill="auto"/>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Y</w:t>
            </w:r>
          </w:p>
        </w:tc>
        <w:tc>
          <w:tcPr>
            <w:tcW w:w="1800" w:type="dxa"/>
            <w:tcBorders>
              <w:top w:val="nil"/>
              <w:left w:val="nil"/>
              <w:bottom w:val="nil"/>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Moderate</w:t>
            </w:r>
          </w:p>
        </w:tc>
      </w:tr>
      <w:tr w:rsidR="00EA112D" w:rsidRPr="00EA112D" w:rsidTr="007F5BD4">
        <w:trPr>
          <w:trHeight w:val="255"/>
        </w:trPr>
        <w:tc>
          <w:tcPr>
            <w:tcW w:w="5865" w:type="dxa"/>
            <w:gridSpan w:val="2"/>
            <w:tcBorders>
              <w:top w:val="nil"/>
              <w:left w:val="nil"/>
              <w:bottom w:val="nil"/>
              <w:right w:val="nil"/>
            </w:tcBorders>
            <w:shd w:val="clear" w:color="000000" w:fill="C5D9F1"/>
            <w:noWrap/>
            <w:vAlign w:val="center"/>
            <w:hideMark/>
          </w:tcPr>
          <w:p w:rsidR="00EA112D" w:rsidRPr="00EA112D" w:rsidRDefault="00EA112D" w:rsidP="00EA112D">
            <w:pPr>
              <w:spacing w:line="240" w:lineRule="auto"/>
              <w:rPr>
                <w:rFonts w:cs="Times New Roman"/>
                <w:b/>
                <w:bCs/>
                <w:color w:val="000000"/>
                <w:szCs w:val="20"/>
                <w:lang w:eastAsia="en-AU"/>
              </w:rPr>
            </w:pPr>
            <w:r w:rsidRPr="00EA112D">
              <w:rPr>
                <w:rFonts w:cs="Times New Roman"/>
                <w:b/>
                <w:bCs/>
                <w:color w:val="000000"/>
                <w:szCs w:val="20"/>
                <w:lang w:eastAsia="en-AU"/>
              </w:rPr>
              <w:t>Disposal: landfill, thermal destruction (TD)</w:t>
            </w:r>
          </w:p>
        </w:tc>
        <w:tc>
          <w:tcPr>
            <w:tcW w:w="1701" w:type="dxa"/>
            <w:tcBorders>
              <w:top w:val="nil"/>
              <w:left w:val="nil"/>
              <w:bottom w:val="nil"/>
              <w:right w:val="nil"/>
            </w:tcBorders>
            <w:shd w:val="clear" w:color="000000" w:fill="C5D9F1"/>
            <w:vAlign w:val="center"/>
            <w:hideMark/>
          </w:tcPr>
          <w:p w:rsidR="00EA112D" w:rsidRPr="00EA112D" w:rsidRDefault="00EA112D" w:rsidP="00EA112D">
            <w:pPr>
              <w:spacing w:line="240" w:lineRule="auto"/>
              <w:jc w:val="center"/>
              <w:rPr>
                <w:rFonts w:cs="Times New Roman"/>
                <w:b/>
                <w:bCs/>
                <w:color w:val="000000"/>
                <w:szCs w:val="20"/>
                <w:lang w:eastAsia="en-AU"/>
              </w:rPr>
            </w:pPr>
            <w:r w:rsidRPr="00EA112D">
              <w:rPr>
                <w:rFonts w:cs="Times New Roman"/>
                <w:b/>
                <w:bCs/>
                <w:color w:val="000000"/>
                <w:szCs w:val="20"/>
                <w:lang w:eastAsia="en-AU"/>
              </w:rPr>
              <w:t> </w:t>
            </w:r>
          </w:p>
        </w:tc>
        <w:tc>
          <w:tcPr>
            <w:tcW w:w="3207" w:type="dxa"/>
            <w:tcBorders>
              <w:top w:val="nil"/>
              <w:left w:val="nil"/>
              <w:bottom w:val="nil"/>
              <w:right w:val="nil"/>
            </w:tcBorders>
            <w:shd w:val="clear" w:color="000000" w:fill="C5D9F1"/>
            <w:vAlign w:val="center"/>
            <w:hideMark/>
          </w:tcPr>
          <w:p w:rsidR="00EA112D" w:rsidRPr="00EA112D" w:rsidRDefault="00EA112D" w:rsidP="00EA112D">
            <w:pPr>
              <w:spacing w:line="240" w:lineRule="auto"/>
              <w:jc w:val="center"/>
              <w:rPr>
                <w:rFonts w:cs="Times New Roman"/>
                <w:b/>
                <w:bCs/>
                <w:color w:val="000000"/>
                <w:szCs w:val="20"/>
                <w:lang w:eastAsia="en-AU"/>
              </w:rPr>
            </w:pPr>
            <w:r w:rsidRPr="00EA112D">
              <w:rPr>
                <w:rFonts w:cs="Times New Roman"/>
                <w:b/>
                <w:bCs/>
                <w:color w:val="000000"/>
                <w:szCs w:val="20"/>
                <w:lang w:eastAsia="en-AU"/>
              </w:rPr>
              <w:t> </w:t>
            </w:r>
          </w:p>
        </w:tc>
        <w:tc>
          <w:tcPr>
            <w:tcW w:w="1648" w:type="dxa"/>
            <w:tcBorders>
              <w:top w:val="nil"/>
              <w:left w:val="nil"/>
              <w:bottom w:val="nil"/>
              <w:right w:val="nil"/>
            </w:tcBorders>
            <w:shd w:val="clear" w:color="000000" w:fill="C5D9F1"/>
            <w:vAlign w:val="center"/>
            <w:hideMark/>
          </w:tcPr>
          <w:p w:rsidR="00EA112D" w:rsidRPr="00EA112D" w:rsidRDefault="00EA112D" w:rsidP="00EA112D">
            <w:pPr>
              <w:spacing w:line="240" w:lineRule="auto"/>
              <w:jc w:val="center"/>
              <w:rPr>
                <w:rFonts w:cs="Times New Roman"/>
                <w:b/>
                <w:bCs/>
                <w:color w:val="000000"/>
                <w:szCs w:val="20"/>
                <w:lang w:eastAsia="en-AU"/>
              </w:rPr>
            </w:pPr>
            <w:r w:rsidRPr="00EA112D">
              <w:rPr>
                <w:rFonts w:cs="Times New Roman"/>
                <w:b/>
                <w:bCs/>
                <w:color w:val="000000"/>
                <w:szCs w:val="20"/>
                <w:lang w:eastAsia="en-AU"/>
              </w:rPr>
              <w:t> </w:t>
            </w:r>
          </w:p>
        </w:tc>
        <w:tc>
          <w:tcPr>
            <w:tcW w:w="1800" w:type="dxa"/>
            <w:tcBorders>
              <w:top w:val="nil"/>
              <w:left w:val="nil"/>
              <w:bottom w:val="nil"/>
              <w:right w:val="single" w:sz="8" w:space="0" w:color="808080"/>
            </w:tcBorders>
            <w:shd w:val="clear" w:color="000000" w:fill="C5D9F1"/>
            <w:vAlign w:val="center"/>
            <w:hideMark/>
          </w:tcPr>
          <w:p w:rsidR="00EA112D" w:rsidRPr="007657B6" w:rsidRDefault="00EA112D" w:rsidP="007F5BD4">
            <w:pPr>
              <w:spacing w:line="240" w:lineRule="auto"/>
              <w:rPr>
                <w:rFonts w:cs="Times New Roman"/>
                <w:b/>
                <w:bCs/>
                <w:color w:val="000000"/>
                <w:szCs w:val="20"/>
                <w:lang w:eastAsia="en-AU"/>
              </w:rPr>
            </w:pPr>
            <w:r w:rsidRPr="007657B6">
              <w:rPr>
                <w:rFonts w:cs="Times New Roman"/>
                <w:b/>
                <w:bCs/>
                <w:color w:val="000000"/>
                <w:szCs w:val="20"/>
                <w:lang w:eastAsia="en-AU"/>
              </w:rPr>
              <w:t> </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 xml:space="preserve">Hazardous waste landfill </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38%</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 under est.</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High</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Hazardous waste landfill (NEPM code N, T)</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Na</w:t>
            </w:r>
          </w:p>
        </w:tc>
        <w:tc>
          <w:tcPr>
            <w:tcW w:w="1701"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Na</w:t>
            </w:r>
          </w:p>
        </w:tc>
        <w:tc>
          <w:tcPr>
            <w:tcW w:w="320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Na</w:t>
            </w:r>
          </w:p>
        </w:tc>
        <w:tc>
          <w:tcPr>
            <w:tcW w:w="164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Na</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Na</w:t>
            </w:r>
          </w:p>
        </w:tc>
      </w:tr>
      <w:tr w:rsidR="00EA112D" w:rsidRPr="00EA112D" w:rsidTr="007F5BD4">
        <w:trPr>
          <w:trHeight w:val="255"/>
        </w:trPr>
        <w:tc>
          <w:tcPr>
            <w:tcW w:w="3828"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POPs facility (thermal destruction)</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Limited</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100%</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 under est.</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Very high</w:t>
            </w:r>
          </w:p>
        </w:tc>
      </w:tr>
      <w:tr w:rsidR="00EA112D" w:rsidRPr="00EA112D" w:rsidTr="007F5BD4">
        <w:trPr>
          <w:trHeight w:val="255"/>
        </w:trPr>
        <w:tc>
          <w:tcPr>
            <w:tcW w:w="3828" w:type="dxa"/>
            <w:tcBorders>
              <w:top w:val="nil"/>
              <w:left w:val="nil"/>
              <w:bottom w:val="nil"/>
              <w:right w:val="nil"/>
            </w:tcBorders>
            <w:shd w:val="clear" w:color="auto" w:fill="auto"/>
            <w:noWrap/>
            <w:vAlign w:val="center"/>
            <w:hideMark/>
          </w:tcPr>
          <w:p w:rsidR="00EA112D" w:rsidRPr="00EA112D" w:rsidRDefault="00EA112D" w:rsidP="00EA112D">
            <w:pPr>
              <w:spacing w:line="240" w:lineRule="auto"/>
              <w:rPr>
                <w:rFonts w:cs="Times New Roman"/>
                <w:color w:val="000000"/>
                <w:szCs w:val="20"/>
                <w:lang w:eastAsia="en-AU"/>
              </w:rPr>
            </w:pPr>
            <w:r w:rsidRPr="00EA112D">
              <w:rPr>
                <w:rFonts w:cs="Times New Roman"/>
                <w:color w:val="000000"/>
                <w:szCs w:val="20"/>
                <w:lang w:eastAsia="en-AU"/>
              </w:rPr>
              <w:t>Clinical waste facility (thermal destruction)</w:t>
            </w:r>
          </w:p>
        </w:tc>
        <w:tc>
          <w:tcPr>
            <w:tcW w:w="2037" w:type="dxa"/>
            <w:tcBorders>
              <w:top w:val="nil"/>
              <w:left w:val="nil"/>
              <w:bottom w:val="single" w:sz="8" w:space="0" w:color="D9D9D9"/>
              <w:right w:val="nil"/>
            </w:tcBorders>
            <w:shd w:val="clear" w:color="auto" w:fill="auto"/>
            <w:noWrap/>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Full</w:t>
            </w:r>
          </w:p>
        </w:tc>
        <w:tc>
          <w:tcPr>
            <w:tcW w:w="1701"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100%</w:t>
            </w:r>
          </w:p>
        </w:tc>
        <w:tc>
          <w:tcPr>
            <w:tcW w:w="3207"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 over est.</w:t>
            </w:r>
          </w:p>
        </w:tc>
        <w:tc>
          <w:tcPr>
            <w:tcW w:w="1648" w:type="dxa"/>
            <w:tcBorders>
              <w:top w:val="nil"/>
              <w:left w:val="nil"/>
              <w:bottom w:val="single" w:sz="8" w:space="0" w:color="D9D9D9"/>
              <w:right w:val="nil"/>
            </w:tcBorders>
            <w:shd w:val="clear" w:color="auto" w:fill="auto"/>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N</w:t>
            </w:r>
          </w:p>
        </w:tc>
        <w:tc>
          <w:tcPr>
            <w:tcW w:w="1800" w:type="dxa"/>
            <w:tcBorders>
              <w:top w:val="nil"/>
              <w:left w:val="nil"/>
              <w:bottom w:val="single" w:sz="8" w:space="0" w:color="D9D9D9"/>
              <w:right w:val="single" w:sz="8" w:space="0" w:color="808080"/>
            </w:tcBorders>
            <w:shd w:val="clear" w:color="auto" w:fill="auto"/>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Low</w:t>
            </w:r>
          </w:p>
        </w:tc>
      </w:tr>
      <w:tr w:rsidR="00F736AC" w:rsidRPr="00EA112D" w:rsidTr="007F5BD4">
        <w:trPr>
          <w:trHeight w:val="255"/>
        </w:trPr>
        <w:tc>
          <w:tcPr>
            <w:tcW w:w="3828" w:type="dxa"/>
            <w:tcBorders>
              <w:top w:val="nil"/>
              <w:left w:val="nil"/>
              <w:bottom w:val="single" w:sz="8" w:space="0" w:color="808080"/>
              <w:right w:val="nil"/>
            </w:tcBorders>
            <w:shd w:val="clear" w:color="000000" w:fill="C5D9F1"/>
            <w:noWrap/>
            <w:vAlign w:val="center"/>
            <w:hideMark/>
          </w:tcPr>
          <w:p w:rsidR="00EA112D" w:rsidRPr="00EA112D" w:rsidRDefault="00EA112D" w:rsidP="00EA112D">
            <w:pPr>
              <w:spacing w:line="240" w:lineRule="auto"/>
              <w:rPr>
                <w:rFonts w:cs="Times New Roman"/>
                <w:b/>
                <w:bCs/>
                <w:color w:val="000000"/>
                <w:szCs w:val="20"/>
                <w:lang w:eastAsia="en-AU"/>
              </w:rPr>
            </w:pPr>
            <w:r w:rsidRPr="00EA112D">
              <w:rPr>
                <w:rFonts w:cs="Times New Roman"/>
                <w:b/>
                <w:bCs/>
                <w:color w:val="000000"/>
                <w:szCs w:val="20"/>
                <w:lang w:eastAsia="en-AU"/>
              </w:rPr>
              <w:t>Transfer station or temporary storage fac.</w:t>
            </w:r>
          </w:p>
        </w:tc>
        <w:tc>
          <w:tcPr>
            <w:tcW w:w="2037" w:type="dxa"/>
            <w:tcBorders>
              <w:top w:val="single" w:sz="8" w:space="0" w:color="D9D9D9"/>
              <w:left w:val="single" w:sz="8" w:space="0" w:color="D9D9D9"/>
              <w:bottom w:val="single" w:sz="8" w:space="0" w:color="808080"/>
            </w:tcBorders>
            <w:shd w:val="clear" w:color="000000" w:fill="FFFFFF"/>
            <w:noWrap/>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Limited</w:t>
            </w:r>
          </w:p>
        </w:tc>
        <w:tc>
          <w:tcPr>
            <w:tcW w:w="1701" w:type="dxa"/>
            <w:tcBorders>
              <w:top w:val="single" w:sz="8" w:space="0" w:color="D9D9D9"/>
              <w:bottom w:val="single" w:sz="8" w:space="0" w:color="808080"/>
            </w:tcBorders>
            <w:shd w:val="clear" w:color="000000" w:fill="FFFFFF"/>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66%</w:t>
            </w:r>
          </w:p>
        </w:tc>
        <w:tc>
          <w:tcPr>
            <w:tcW w:w="3207" w:type="dxa"/>
            <w:tcBorders>
              <w:top w:val="single" w:sz="8" w:space="0" w:color="D9D9D9"/>
              <w:bottom w:val="single" w:sz="8" w:space="0" w:color="808080"/>
            </w:tcBorders>
            <w:shd w:val="clear" w:color="000000" w:fill="FFFFFF"/>
            <w:vAlign w:val="center"/>
            <w:hideMark/>
          </w:tcPr>
          <w:p w:rsidR="00EA112D" w:rsidRPr="00EA112D" w:rsidRDefault="00EA112D" w:rsidP="00EA112D">
            <w:pPr>
              <w:spacing w:line="240" w:lineRule="auto"/>
              <w:jc w:val="center"/>
              <w:rPr>
                <w:rFonts w:cs="Times New Roman"/>
                <w:color w:val="000000"/>
                <w:szCs w:val="20"/>
                <w:lang w:eastAsia="en-AU"/>
              </w:rPr>
            </w:pPr>
            <w:r w:rsidRPr="00EA112D">
              <w:rPr>
                <w:rFonts w:cs="Times New Roman"/>
                <w:color w:val="000000"/>
                <w:szCs w:val="20"/>
                <w:lang w:eastAsia="en-AU"/>
              </w:rPr>
              <w:t>Y, under est.</w:t>
            </w:r>
          </w:p>
        </w:tc>
        <w:tc>
          <w:tcPr>
            <w:tcW w:w="1648" w:type="dxa"/>
            <w:tcBorders>
              <w:top w:val="single" w:sz="8" w:space="0" w:color="D9D9D9"/>
              <w:bottom w:val="single" w:sz="8" w:space="0" w:color="808080"/>
            </w:tcBorders>
            <w:shd w:val="clear" w:color="000000" w:fill="FFFFFF"/>
            <w:vAlign w:val="center"/>
            <w:hideMark/>
          </w:tcPr>
          <w:p w:rsidR="00EA112D" w:rsidRPr="00EA112D" w:rsidRDefault="00EA112D" w:rsidP="00EA112D">
            <w:pPr>
              <w:spacing w:line="240" w:lineRule="auto"/>
              <w:jc w:val="center"/>
              <w:rPr>
                <w:rFonts w:cs="Times New Roman"/>
                <w:color w:val="181818"/>
                <w:szCs w:val="20"/>
                <w:lang w:eastAsia="en-AU"/>
              </w:rPr>
            </w:pPr>
            <w:r w:rsidRPr="00EA112D">
              <w:rPr>
                <w:rFonts w:cs="Times New Roman"/>
                <w:color w:val="181818"/>
                <w:szCs w:val="20"/>
                <w:lang w:eastAsia="en-AU"/>
              </w:rPr>
              <w:t>Y</w:t>
            </w:r>
          </w:p>
        </w:tc>
        <w:tc>
          <w:tcPr>
            <w:tcW w:w="1800" w:type="dxa"/>
            <w:tcBorders>
              <w:top w:val="single" w:sz="8" w:space="0" w:color="D9D9D9"/>
              <w:bottom w:val="single" w:sz="8" w:space="0" w:color="808080"/>
              <w:right w:val="single" w:sz="8" w:space="0" w:color="808080"/>
            </w:tcBorders>
            <w:shd w:val="clear" w:color="000000" w:fill="FFFFFF"/>
            <w:noWrap/>
            <w:vAlign w:val="center"/>
            <w:hideMark/>
          </w:tcPr>
          <w:p w:rsidR="00EA112D" w:rsidRPr="007F5BD4" w:rsidRDefault="00EA112D" w:rsidP="007F5BD4">
            <w:pPr>
              <w:spacing w:line="240" w:lineRule="auto"/>
              <w:rPr>
                <w:rFonts w:cs="Times New Roman"/>
                <w:b/>
                <w:color w:val="000000"/>
                <w:szCs w:val="20"/>
                <w:lang w:eastAsia="en-AU"/>
              </w:rPr>
            </w:pPr>
            <w:r w:rsidRPr="007F5BD4">
              <w:rPr>
                <w:rFonts w:cs="Times New Roman"/>
                <w:b/>
                <w:color w:val="000000"/>
                <w:szCs w:val="20"/>
                <w:lang w:eastAsia="en-AU"/>
              </w:rPr>
              <w:t>Very high</w:t>
            </w:r>
          </w:p>
        </w:tc>
      </w:tr>
    </w:tbl>
    <w:p w:rsidR="008A6574" w:rsidRDefault="008A6574" w:rsidP="007F5BD4">
      <w:pPr>
        <w:pStyle w:val="BodyText"/>
      </w:pPr>
    </w:p>
    <w:p w:rsidR="008A6574" w:rsidRPr="007F5BD4" w:rsidRDefault="008A6574" w:rsidP="007F5BD4">
      <w:pPr>
        <w:pStyle w:val="BodyText"/>
      </w:pPr>
      <w:r>
        <w:br w:type="page"/>
      </w:r>
    </w:p>
    <w:p w:rsidR="008A1AC9" w:rsidRPr="00816657" w:rsidRDefault="00CB571C" w:rsidP="000143BC">
      <w:pPr>
        <w:pStyle w:val="Heading2"/>
      </w:pPr>
      <w:bookmarkStart w:id="376" w:name="_Ref419908003"/>
      <w:bookmarkStart w:id="377" w:name="_Toc425849173"/>
      <w:r>
        <w:lastRenderedPageBreak/>
        <w:t>N</w:t>
      </w:r>
      <w:r w:rsidR="000C3AC6" w:rsidRPr="00816657">
        <w:t xml:space="preserve">ational </w:t>
      </w:r>
      <w:r w:rsidR="008518C5" w:rsidRPr="00816657">
        <w:t xml:space="preserve">assessment </w:t>
      </w:r>
      <w:r w:rsidR="000C3AC6" w:rsidRPr="00816657">
        <w:t xml:space="preserve">by </w:t>
      </w:r>
      <w:r w:rsidR="006622AD">
        <w:t>infrastructure</w:t>
      </w:r>
      <w:r w:rsidR="008A1AC9" w:rsidRPr="00816657">
        <w:t xml:space="preserve"> group</w:t>
      </w:r>
      <w:bookmarkEnd w:id="353"/>
      <w:bookmarkEnd w:id="376"/>
      <w:bookmarkEnd w:id="377"/>
    </w:p>
    <w:p w:rsidR="006622AD" w:rsidRDefault="00715857" w:rsidP="00715857">
      <w:pPr>
        <w:pStyle w:val="BodyText"/>
      </w:pPr>
      <w:r w:rsidRPr="00816657">
        <w:t>A national assessment of potential capacity</w:t>
      </w:r>
      <w:r w:rsidR="006622AD">
        <w:t xml:space="preserve"> of each infrastructure groups</w:t>
      </w:r>
      <w:r w:rsidRPr="00816657">
        <w:t xml:space="preserve"> against estimated arisings is given in </w:t>
      </w:r>
      <w:r w:rsidR="006D07F5" w:rsidRPr="00816657">
        <w:fldChar w:fldCharType="begin"/>
      </w:r>
      <w:r w:rsidRPr="00816657">
        <w:instrText xml:space="preserve"> REF _Ref409383397 \h </w:instrText>
      </w:r>
      <w:r w:rsidR="006D07F5" w:rsidRPr="00816657">
        <w:fldChar w:fldCharType="separate"/>
      </w:r>
      <w:r w:rsidR="002F3000" w:rsidRPr="00816657">
        <w:t xml:space="preserve">Table </w:t>
      </w:r>
      <w:r w:rsidR="002F3000">
        <w:rPr>
          <w:noProof/>
        </w:rPr>
        <w:t>57</w:t>
      </w:r>
      <w:r w:rsidR="006D07F5" w:rsidRPr="00816657">
        <w:fldChar w:fldCharType="end"/>
      </w:r>
      <w:r w:rsidRPr="00816657">
        <w:t xml:space="preserve">. </w:t>
      </w:r>
      <w:r w:rsidR="006622AD">
        <w:t>The table includes the following for each infrastructure group:</w:t>
      </w:r>
    </w:p>
    <w:p w:rsidR="006622AD" w:rsidRDefault="006622AD" w:rsidP="00FA3E44">
      <w:pPr>
        <w:pStyle w:val="Bullet1"/>
        <w:spacing w:before="0"/>
      </w:pPr>
      <w:r>
        <w:t xml:space="preserve">The potential capacity of the infrastructure included in the group and </w:t>
      </w:r>
      <w:r w:rsidR="001D4C0B">
        <w:t>the</w:t>
      </w:r>
      <w:r>
        <w:t xml:space="preserve"> </w:t>
      </w:r>
      <w:r w:rsidR="001D4C0B">
        <w:t xml:space="preserve">uncertainty for </w:t>
      </w:r>
      <w:r>
        <w:t>th</w:t>
      </w:r>
      <w:r w:rsidR="001D4C0B">
        <w:t>e</w:t>
      </w:r>
      <w:r>
        <w:t xml:space="preserve"> capacity estimates (from low to very high)</w:t>
      </w:r>
    </w:p>
    <w:p w:rsidR="006622AD" w:rsidRDefault="006622AD" w:rsidP="00FA3E44">
      <w:pPr>
        <w:pStyle w:val="Bullet1"/>
        <w:spacing w:before="0"/>
      </w:pPr>
      <w:r>
        <w:t xml:space="preserve">The estimated arisings in </w:t>
      </w:r>
      <w:r w:rsidRPr="007F5BD4">
        <w:rPr>
          <w:u w:val="single"/>
        </w:rPr>
        <w:t>2015</w:t>
      </w:r>
      <w:r>
        <w:t xml:space="preserve"> of the waste</w:t>
      </w:r>
      <w:r w:rsidR="001D4C0B">
        <w:t>s</w:t>
      </w:r>
      <w:r>
        <w:t xml:space="preserve"> that </w:t>
      </w:r>
      <w:r w:rsidR="001D4C0B">
        <w:t>are</w:t>
      </w:r>
      <w:r>
        <w:t xml:space="preserve"> assume</w:t>
      </w:r>
      <w:r w:rsidR="001D4C0B">
        <w:t>d</w:t>
      </w:r>
      <w:r>
        <w:t xml:space="preserve"> to be sent to the infrastructure group</w:t>
      </w:r>
    </w:p>
    <w:p w:rsidR="00715857" w:rsidRDefault="006622AD" w:rsidP="00FA3E44">
      <w:pPr>
        <w:pStyle w:val="Bullet1"/>
        <w:spacing w:before="0"/>
      </w:pPr>
      <w:r>
        <w:t xml:space="preserve">The </w:t>
      </w:r>
      <w:r w:rsidR="00715857" w:rsidRPr="00816657">
        <w:t>year in which estimated arisings exceed estimated capacity. This value is given for all three scenarios (best, high and low estimates).</w:t>
      </w:r>
    </w:p>
    <w:p w:rsidR="008C01B9" w:rsidRPr="00816657" w:rsidRDefault="006622AD" w:rsidP="00FA3E44">
      <w:pPr>
        <w:pStyle w:val="Bullet1"/>
        <w:spacing w:before="0"/>
      </w:pPr>
      <w:r>
        <w:t xml:space="preserve">A discussion of the assessment </w:t>
      </w:r>
      <w:r w:rsidR="001D4C0B">
        <w:t>and</w:t>
      </w:r>
      <w:r>
        <w:t xml:space="preserve"> any specific recommendations</w:t>
      </w:r>
      <w:r w:rsidR="008C01B9">
        <w:t>.</w:t>
      </w:r>
    </w:p>
    <w:p w:rsidR="00715857" w:rsidRPr="00816657" w:rsidRDefault="00715857" w:rsidP="00715857">
      <w:pPr>
        <w:pStyle w:val="BodyText"/>
      </w:pPr>
      <w:r w:rsidRPr="00816657">
        <w:t xml:space="preserve"> </w:t>
      </w:r>
    </w:p>
    <w:p w:rsidR="00FC7A7F" w:rsidRDefault="00062CFF" w:rsidP="00655F62">
      <w:pPr>
        <w:pStyle w:val="Figures"/>
      </w:pPr>
      <w:bookmarkStart w:id="378" w:name="_Ref409383397"/>
      <w:bookmarkStart w:id="379" w:name="_Toc425849342"/>
      <w:r w:rsidRPr="00816657">
        <w:t xml:space="preserve">Table </w:t>
      </w:r>
      <w:fldSimple w:instr=" SEQ Table \* ARABIC ">
        <w:r w:rsidR="002F3000">
          <w:rPr>
            <w:noProof/>
          </w:rPr>
          <w:t>57</w:t>
        </w:r>
      </w:fldSimple>
      <w:bookmarkEnd w:id="378"/>
      <w:r w:rsidRPr="00816657">
        <w:t xml:space="preserve">: </w:t>
      </w:r>
      <w:r w:rsidRPr="00816657">
        <w:tab/>
        <w:t>National assessment of projected arisings vs</w:t>
      </w:r>
      <w:r w:rsidR="00823652" w:rsidRPr="00816657">
        <w:t>.</w:t>
      </w:r>
      <w:r w:rsidRPr="00816657">
        <w:t xml:space="preserve"> infrastructure capacity</w:t>
      </w:r>
      <w:bookmarkEnd w:id="379"/>
      <w:r w:rsidRPr="00816657">
        <w:t xml:space="preserve"> </w:t>
      </w:r>
    </w:p>
    <w:tbl>
      <w:tblPr>
        <w:tblW w:w="15310" w:type="dxa"/>
        <w:tblInd w:w="-176" w:type="dxa"/>
        <w:tblLayout w:type="fixed"/>
        <w:tblLook w:val="04A0"/>
      </w:tblPr>
      <w:tblGrid>
        <w:gridCol w:w="1970"/>
        <w:gridCol w:w="724"/>
        <w:gridCol w:w="992"/>
        <w:gridCol w:w="709"/>
        <w:gridCol w:w="709"/>
        <w:gridCol w:w="142"/>
        <w:gridCol w:w="567"/>
        <w:gridCol w:w="141"/>
        <w:gridCol w:w="567"/>
        <w:gridCol w:w="8789"/>
      </w:tblGrid>
      <w:tr w:rsidR="00FC7A7F" w:rsidRPr="001711AE" w:rsidTr="00C109D3">
        <w:trPr>
          <w:cantSplit/>
          <w:trHeight w:val="1755"/>
          <w:tblHeader/>
        </w:trPr>
        <w:tc>
          <w:tcPr>
            <w:tcW w:w="1970" w:type="dxa"/>
            <w:tcBorders>
              <w:top w:val="nil"/>
              <w:left w:val="nil"/>
              <w:bottom w:val="single" w:sz="4" w:space="0" w:color="808080"/>
              <w:right w:val="nil"/>
            </w:tcBorders>
            <w:shd w:val="clear" w:color="000000" w:fill="C5D9F1"/>
            <w:vAlign w:val="center"/>
            <w:hideMark/>
          </w:tcPr>
          <w:p w:rsidR="00FC7A7F" w:rsidRPr="007F5BD4" w:rsidRDefault="00FC7A7F" w:rsidP="001711AE">
            <w:pPr>
              <w:spacing w:line="240" w:lineRule="auto"/>
              <w:jc w:val="center"/>
              <w:rPr>
                <w:rFonts w:cs="Times New Roman"/>
                <w:b/>
                <w:bCs/>
                <w:color w:val="000000"/>
                <w:sz w:val="18"/>
                <w:szCs w:val="18"/>
                <w:lang w:eastAsia="en-AU"/>
              </w:rPr>
            </w:pPr>
            <w:r>
              <w:rPr>
                <w:b/>
                <w:bCs/>
                <w:color w:val="000000"/>
                <w:szCs w:val="20"/>
              </w:rPr>
              <w:t>Infrastructure group</w:t>
            </w:r>
          </w:p>
        </w:tc>
        <w:tc>
          <w:tcPr>
            <w:tcW w:w="724" w:type="dxa"/>
            <w:tcBorders>
              <w:top w:val="nil"/>
              <w:left w:val="single" w:sz="4" w:space="0" w:color="BFBFBF"/>
              <w:bottom w:val="single" w:sz="4" w:space="0" w:color="808080"/>
              <w:right w:val="nil"/>
            </w:tcBorders>
            <w:shd w:val="clear" w:color="000000" w:fill="C5D9F1"/>
            <w:textDirection w:val="btLr"/>
            <w:vAlign w:val="center"/>
            <w:hideMark/>
          </w:tcPr>
          <w:p w:rsidR="00FC7A7F" w:rsidRPr="007F5BD4" w:rsidRDefault="00FC7A7F" w:rsidP="0074160C">
            <w:pPr>
              <w:spacing w:line="240" w:lineRule="auto"/>
              <w:ind w:left="113" w:right="113"/>
              <w:rPr>
                <w:rFonts w:cs="Times New Roman"/>
                <w:b/>
                <w:bCs/>
                <w:color w:val="000000"/>
                <w:sz w:val="18"/>
                <w:szCs w:val="18"/>
                <w:lang w:eastAsia="en-AU"/>
              </w:rPr>
            </w:pPr>
            <w:r>
              <w:rPr>
                <w:b/>
                <w:bCs/>
                <w:color w:val="000000"/>
                <w:szCs w:val="20"/>
              </w:rPr>
              <w:t>Potential capacity (kt/yr.)</w:t>
            </w:r>
          </w:p>
        </w:tc>
        <w:tc>
          <w:tcPr>
            <w:tcW w:w="992" w:type="dxa"/>
            <w:tcBorders>
              <w:top w:val="nil"/>
              <w:left w:val="nil"/>
              <w:bottom w:val="single" w:sz="4" w:space="0" w:color="808080"/>
              <w:right w:val="single" w:sz="4" w:space="0" w:color="BFBFBF"/>
            </w:tcBorders>
            <w:shd w:val="clear" w:color="000000" w:fill="C5D9F1"/>
            <w:textDirection w:val="btLr"/>
            <w:vAlign w:val="center"/>
            <w:hideMark/>
          </w:tcPr>
          <w:p w:rsidR="00FC7A7F" w:rsidRPr="007F5BD4" w:rsidRDefault="00FC7A7F" w:rsidP="0074160C">
            <w:pPr>
              <w:spacing w:line="240" w:lineRule="auto"/>
              <w:ind w:left="113" w:right="113"/>
              <w:rPr>
                <w:rFonts w:cs="Times New Roman"/>
                <w:b/>
                <w:bCs/>
                <w:color w:val="000000"/>
                <w:sz w:val="18"/>
                <w:szCs w:val="18"/>
                <w:lang w:eastAsia="en-AU"/>
              </w:rPr>
            </w:pPr>
            <w:r>
              <w:rPr>
                <w:b/>
                <w:bCs/>
                <w:color w:val="000000"/>
                <w:szCs w:val="20"/>
              </w:rPr>
              <w:t>Capacity est</w:t>
            </w:r>
            <w:r w:rsidR="007E1A56">
              <w:rPr>
                <w:b/>
                <w:bCs/>
                <w:color w:val="000000"/>
                <w:szCs w:val="20"/>
              </w:rPr>
              <w:t>imate</w:t>
            </w:r>
            <w:r>
              <w:rPr>
                <w:b/>
                <w:bCs/>
                <w:color w:val="000000"/>
                <w:szCs w:val="20"/>
              </w:rPr>
              <w:t xml:space="preserve"> uncertainty</w:t>
            </w:r>
            <w:r w:rsidR="007E1A56">
              <w:rPr>
                <w:b/>
                <w:bCs/>
                <w:color w:val="000000"/>
                <w:szCs w:val="20"/>
              </w:rPr>
              <w:t xml:space="preserve"> </w:t>
            </w:r>
            <w:r>
              <w:rPr>
                <w:b/>
                <w:bCs/>
                <w:color w:val="000000"/>
                <w:szCs w:val="20"/>
              </w:rPr>
              <w:br/>
              <w:t>(low - v. high)</w:t>
            </w:r>
          </w:p>
        </w:tc>
        <w:tc>
          <w:tcPr>
            <w:tcW w:w="709" w:type="dxa"/>
            <w:tcBorders>
              <w:top w:val="nil"/>
              <w:left w:val="nil"/>
              <w:bottom w:val="single" w:sz="4" w:space="0" w:color="808080"/>
              <w:right w:val="single" w:sz="4" w:space="0" w:color="BFBFBF"/>
            </w:tcBorders>
            <w:shd w:val="clear" w:color="000000" w:fill="C5D9F1"/>
            <w:textDirection w:val="btLr"/>
            <w:vAlign w:val="center"/>
            <w:hideMark/>
          </w:tcPr>
          <w:p w:rsidR="00FC7A7F" w:rsidRPr="007F5BD4" w:rsidRDefault="007E1A56" w:rsidP="0074160C">
            <w:pPr>
              <w:spacing w:line="240" w:lineRule="auto"/>
              <w:ind w:left="113" w:right="113"/>
              <w:rPr>
                <w:rFonts w:cs="Times New Roman"/>
                <w:b/>
                <w:bCs/>
                <w:color w:val="000000"/>
                <w:sz w:val="18"/>
                <w:szCs w:val="18"/>
                <w:lang w:eastAsia="en-AU"/>
              </w:rPr>
            </w:pPr>
            <w:r>
              <w:rPr>
                <w:b/>
                <w:bCs/>
                <w:color w:val="000000"/>
                <w:szCs w:val="20"/>
              </w:rPr>
              <w:t>Estimated arisings</w:t>
            </w:r>
            <w:r w:rsidR="00AE475C">
              <w:rPr>
                <w:b/>
                <w:bCs/>
                <w:color w:val="000000"/>
                <w:szCs w:val="20"/>
              </w:rPr>
              <w:t xml:space="preserve"> </w:t>
            </w:r>
            <w:r w:rsidR="00FC7A7F">
              <w:rPr>
                <w:b/>
                <w:bCs/>
                <w:color w:val="000000"/>
                <w:szCs w:val="20"/>
              </w:rPr>
              <w:t xml:space="preserve">in </w:t>
            </w:r>
            <w:r w:rsidR="00FC7A7F" w:rsidRPr="00AE475C">
              <w:rPr>
                <w:b/>
                <w:bCs/>
                <w:color w:val="000000"/>
                <w:szCs w:val="20"/>
              </w:rPr>
              <w:t>2015</w:t>
            </w:r>
            <w:r w:rsidR="00AE475C">
              <w:rPr>
                <w:b/>
                <w:bCs/>
                <w:color w:val="000000"/>
                <w:szCs w:val="20"/>
                <w:u w:val="single"/>
              </w:rPr>
              <w:t xml:space="preserve"> </w:t>
            </w:r>
            <w:r w:rsidR="00FC7A7F">
              <w:rPr>
                <w:b/>
                <w:bCs/>
                <w:color w:val="000000"/>
                <w:szCs w:val="20"/>
              </w:rPr>
              <w:t xml:space="preserve">(kt) </w:t>
            </w:r>
          </w:p>
        </w:tc>
        <w:tc>
          <w:tcPr>
            <w:tcW w:w="2126" w:type="dxa"/>
            <w:gridSpan w:val="5"/>
            <w:tcBorders>
              <w:top w:val="nil"/>
              <w:left w:val="nil"/>
              <w:bottom w:val="single" w:sz="4" w:space="0" w:color="808080"/>
              <w:right w:val="single" w:sz="4" w:space="0" w:color="BFBFBF"/>
            </w:tcBorders>
            <w:shd w:val="clear" w:color="000000" w:fill="C5D9F1"/>
            <w:vAlign w:val="center"/>
            <w:hideMark/>
          </w:tcPr>
          <w:p w:rsidR="00FC7A7F" w:rsidRPr="007F5BD4" w:rsidRDefault="00FC7A7F">
            <w:pPr>
              <w:spacing w:line="240" w:lineRule="auto"/>
              <w:jc w:val="center"/>
              <w:rPr>
                <w:rFonts w:cs="Times New Roman"/>
                <w:b/>
                <w:bCs/>
                <w:color w:val="000000"/>
                <w:sz w:val="18"/>
                <w:szCs w:val="18"/>
                <w:lang w:eastAsia="en-AU"/>
              </w:rPr>
            </w:pPr>
            <w:r>
              <w:rPr>
                <w:b/>
                <w:bCs/>
                <w:color w:val="000000"/>
                <w:szCs w:val="20"/>
              </w:rPr>
              <w:t xml:space="preserve">Est. year arisings &gt; capacity </w:t>
            </w:r>
            <w:r>
              <w:rPr>
                <w:b/>
                <w:bCs/>
                <w:color w:val="000000"/>
                <w:szCs w:val="20"/>
              </w:rPr>
              <w:br/>
              <w:t>Best         High         Low</w:t>
            </w:r>
          </w:p>
        </w:tc>
        <w:tc>
          <w:tcPr>
            <w:tcW w:w="8789" w:type="dxa"/>
            <w:tcBorders>
              <w:top w:val="nil"/>
              <w:left w:val="nil"/>
              <w:bottom w:val="single" w:sz="4" w:space="0" w:color="808080"/>
              <w:right w:val="nil"/>
            </w:tcBorders>
            <w:shd w:val="clear" w:color="000000" w:fill="C5D9F1"/>
            <w:vAlign w:val="center"/>
            <w:hideMark/>
          </w:tcPr>
          <w:p w:rsidR="00FC7A7F" w:rsidRPr="007F5BD4" w:rsidRDefault="00FC7A7F">
            <w:pPr>
              <w:spacing w:line="240" w:lineRule="auto"/>
              <w:jc w:val="center"/>
              <w:rPr>
                <w:rFonts w:cs="Times New Roman"/>
                <w:b/>
                <w:bCs/>
                <w:color w:val="000000"/>
                <w:sz w:val="18"/>
                <w:szCs w:val="18"/>
                <w:lang w:eastAsia="en-AU"/>
              </w:rPr>
            </w:pPr>
            <w:r>
              <w:rPr>
                <w:b/>
                <w:bCs/>
                <w:color w:val="000000"/>
                <w:szCs w:val="20"/>
              </w:rPr>
              <w:t>Assessment discussion and recommendations</w:t>
            </w:r>
          </w:p>
        </w:tc>
      </w:tr>
      <w:tr w:rsidR="001711AE" w:rsidRPr="001711AE" w:rsidTr="007F5BD4">
        <w:tc>
          <w:tcPr>
            <w:tcW w:w="15310" w:type="dxa"/>
            <w:gridSpan w:val="10"/>
            <w:tcBorders>
              <w:top w:val="single" w:sz="4" w:space="0" w:color="808080"/>
              <w:left w:val="nil"/>
              <w:bottom w:val="nil"/>
              <w:right w:val="nil"/>
            </w:tcBorders>
            <w:shd w:val="clear" w:color="000000" w:fill="C5D9F1"/>
            <w:noWrap/>
            <w:vAlign w:val="bottom"/>
            <w:hideMark/>
          </w:tcPr>
          <w:p w:rsidR="001711AE" w:rsidRPr="007F5BD4" w:rsidRDefault="001711AE">
            <w:pPr>
              <w:spacing w:line="240" w:lineRule="auto"/>
              <w:rPr>
                <w:rFonts w:cs="Times New Roman"/>
                <w:b/>
                <w:bCs/>
                <w:color w:val="000000"/>
                <w:sz w:val="18"/>
                <w:szCs w:val="18"/>
                <w:lang w:eastAsia="en-AU"/>
              </w:rPr>
            </w:pPr>
            <w:r w:rsidRPr="007F5BD4">
              <w:rPr>
                <w:rFonts w:cs="Times New Roman"/>
                <w:b/>
                <w:bCs/>
                <w:color w:val="000000"/>
                <w:sz w:val="18"/>
                <w:szCs w:val="18"/>
                <w:lang w:eastAsia="en-AU"/>
              </w:rPr>
              <w:t>Recovery: recycling and energy recovery (ER) </w:t>
            </w:r>
          </w:p>
        </w:tc>
      </w:tr>
      <w:tr w:rsidR="00AE475C" w:rsidRPr="001711AE" w:rsidTr="00C109D3">
        <w:tc>
          <w:tcPr>
            <w:tcW w:w="1970" w:type="dxa"/>
            <w:tcBorders>
              <w:top w:val="nil"/>
              <w:left w:val="nil"/>
              <w:bottom w:val="single" w:sz="4" w:space="0" w:color="808080"/>
              <w:right w:val="nil"/>
            </w:tcBorders>
            <w:shd w:val="clear" w:color="auto" w:fill="auto"/>
            <w:noWrap/>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Hazwaste packaging fac.</w:t>
            </w:r>
          </w:p>
        </w:tc>
        <w:tc>
          <w:tcPr>
            <w:tcW w:w="724" w:type="dxa"/>
            <w:tcBorders>
              <w:top w:val="single" w:sz="4" w:space="0" w:color="D9D9D9"/>
              <w:left w:val="single" w:sz="4" w:space="0" w:color="BFBFBF"/>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55</w:t>
            </w:r>
          </w:p>
        </w:tc>
        <w:tc>
          <w:tcPr>
            <w:tcW w:w="992"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Moderate</w:t>
            </w:r>
          </w:p>
        </w:tc>
        <w:tc>
          <w:tcPr>
            <w:tcW w:w="709"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11 to 12</w:t>
            </w:r>
          </w:p>
        </w:tc>
        <w:tc>
          <w:tcPr>
            <w:tcW w:w="709"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709"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708"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C7A7F" w:rsidRPr="007F5BD4" w:rsidRDefault="00FC7A7F" w:rsidP="00110D33">
            <w:pPr>
              <w:spacing w:line="240" w:lineRule="auto"/>
              <w:rPr>
                <w:rFonts w:cs="Times New Roman"/>
                <w:color w:val="000000"/>
                <w:sz w:val="18"/>
                <w:szCs w:val="18"/>
                <w:lang w:eastAsia="en-AU"/>
              </w:rPr>
            </w:pPr>
            <w:r>
              <w:rPr>
                <w:color w:val="000000"/>
                <w:szCs w:val="20"/>
              </w:rPr>
              <w:t>Analysis indicates that under all scenarios over the next 20 years the potential capacity of Australia's current and planned hazardous waste packaging recycling infrastructure will be able to recycle waste arisings. There may be some regional limitations</w:t>
            </w:r>
            <w:r w:rsidR="00110D33">
              <w:rPr>
                <w:color w:val="000000"/>
                <w:szCs w:val="20"/>
              </w:rPr>
              <w:t xml:space="preserve"> (</w:t>
            </w:r>
            <w:r>
              <w:rPr>
                <w:color w:val="000000"/>
                <w:szCs w:val="20"/>
              </w:rPr>
              <w:t>see jurisdictional analysis</w:t>
            </w:r>
            <w:r w:rsidR="00110D33">
              <w:rPr>
                <w:color w:val="000000"/>
                <w:szCs w:val="20"/>
              </w:rPr>
              <w:t xml:space="preserve"> below)</w:t>
            </w:r>
            <w:r>
              <w:rPr>
                <w:color w:val="000000"/>
                <w:szCs w:val="20"/>
              </w:rPr>
              <w:t xml:space="preserve">. The infrastructure capacity assessment for this group has moderate uncertainty due to a low response rate during consultation and the infrastructure group being highly diffuse increasing the probability of capacity not being included in the capacity database. </w:t>
            </w:r>
          </w:p>
        </w:tc>
      </w:tr>
      <w:tr w:rsidR="00AE475C" w:rsidRPr="001711AE" w:rsidTr="00C109D3">
        <w:tc>
          <w:tcPr>
            <w:tcW w:w="1970" w:type="dxa"/>
            <w:tcBorders>
              <w:top w:val="single" w:sz="4" w:space="0" w:color="808080"/>
              <w:left w:val="nil"/>
              <w:bottom w:val="single" w:sz="4" w:space="0" w:color="808080"/>
              <w:right w:val="single" w:sz="4" w:space="0" w:color="BFBFBF"/>
            </w:tcBorders>
            <w:shd w:val="clear" w:color="auto" w:fill="auto"/>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 xml:space="preserve">E-waste fac. </w:t>
            </w:r>
            <w:r>
              <w:rPr>
                <w:color w:val="000000"/>
                <w:szCs w:val="20"/>
              </w:rPr>
              <w:br/>
            </w:r>
            <w:r w:rsidRPr="00012496">
              <w:rPr>
                <w:color w:val="000000"/>
                <w:sz w:val="8"/>
                <w:szCs w:val="8"/>
              </w:rPr>
              <w:br/>
            </w:r>
            <w:r>
              <w:rPr>
                <w:color w:val="000000"/>
                <w:szCs w:val="20"/>
              </w:rPr>
              <w:t>Major physical/chemical and manual disassembly processing facilities</w:t>
            </w:r>
          </w:p>
        </w:tc>
        <w:tc>
          <w:tcPr>
            <w:tcW w:w="724" w:type="dxa"/>
            <w:tcBorders>
              <w:top w:val="nil"/>
              <w:left w:val="nil"/>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161</w:t>
            </w:r>
          </w:p>
        </w:tc>
        <w:tc>
          <w:tcPr>
            <w:tcW w:w="992"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Moderate</w:t>
            </w:r>
          </w:p>
        </w:tc>
        <w:tc>
          <w:tcPr>
            <w:tcW w:w="709" w:type="dxa"/>
            <w:tcBorders>
              <w:top w:val="nil"/>
              <w:left w:val="nil"/>
              <w:bottom w:val="single" w:sz="4" w:space="0" w:color="808080"/>
              <w:right w:val="single" w:sz="4" w:space="0" w:color="BFBFBF"/>
            </w:tcBorders>
            <w:shd w:val="clear" w:color="000000" w:fill="FFFFFF"/>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22 (low) to 24 (high)</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709"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2034</w:t>
            </w:r>
          </w:p>
        </w:tc>
        <w:tc>
          <w:tcPr>
            <w:tcW w:w="708"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C7A7F" w:rsidRPr="007F5BD4" w:rsidRDefault="00FC7A7F" w:rsidP="008F5A72">
            <w:pPr>
              <w:spacing w:line="240" w:lineRule="auto"/>
              <w:rPr>
                <w:rFonts w:cs="Times New Roman"/>
                <w:color w:val="000000"/>
                <w:sz w:val="18"/>
                <w:szCs w:val="18"/>
                <w:lang w:eastAsia="en-AU"/>
              </w:rPr>
            </w:pPr>
            <w:r>
              <w:rPr>
                <w:color w:val="000000"/>
                <w:szCs w:val="20"/>
              </w:rPr>
              <w:t>Analysis indicates that under the best and low scenarios over the next 20 years the potential capacity of Australia's</w:t>
            </w:r>
            <w:r w:rsidR="00110D33">
              <w:rPr>
                <w:color w:val="000000"/>
                <w:szCs w:val="20"/>
              </w:rPr>
              <w:t xml:space="preserve"> current hazardous e</w:t>
            </w:r>
            <w:r>
              <w:rPr>
                <w:color w:val="000000"/>
                <w:szCs w:val="20"/>
              </w:rPr>
              <w:t>-waste (major physical/chemical and manual disassembly processing) infrastructure will be able to recycle waste arisings. Capacity could</w:t>
            </w:r>
            <w:r w:rsidR="00110D33">
              <w:rPr>
                <w:color w:val="000000"/>
                <w:szCs w:val="20"/>
              </w:rPr>
              <w:t xml:space="preserve"> become constrained by 2034 if e</w:t>
            </w:r>
            <w:r>
              <w:rPr>
                <w:color w:val="000000"/>
                <w:szCs w:val="20"/>
              </w:rPr>
              <w:t>-waste arisings grow very strongly. There may be some regional limitations</w:t>
            </w:r>
            <w:r w:rsidR="00110D33">
              <w:rPr>
                <w:color w:val="000000"/>
                <w:szCs w:val="20"/>
              </w:rPr>
              <w:t xml:space="preserve"> (</w:t>
            </w:r>
            <w:r>
              <w:rPr>
                <w:color w:val="000000"/>
                <w:szCs w:val="20"/>
              </w:rPr>
              <w:t>see jurisdictional analysis</w:t>
            </w:r>
            <w:r w:rsidR="00110D33">
              <w:rPr>
                <w:color w:val="000000"/>
                <w:szCs w:val="20"/>
              </w:rPr>
              <w:t>)</w:t>
            </w:r>
            <w:r>
              <w:rPr>
                <w:color w:val="000000"/>
                <w:szCs w:val="20"/>
              </w:rPr>
              <w:t xml:space="preserve">. </w:t>
            </w:r>
            <w:r>
              <w:rPr>
                <w:color w:val="000000"/>
                <w:szCs w:val="20"/>
              </w:rPr>
              <w:br/>
            </w:r>
            <w:r w:rsidRPr="00110D33">
              <w:rPr>
                <w:color w:val="000000"/>
                <w:sz w:val="8"/>
                <w:szCs w:val="8"/>
              </w:rPr>
              <w:br/>
            </w:r>
            <w:r>
              <w:rPr>
                <w:b/>
                <w:bCs/>
                <w:color w:val="000000"/>
                <w:szCs w:val="20"/>
              </w:rPr>
              <w:t>Important:</w:t>
            </w:r>
            <w:r>
              <w:rPr>
                <w:color w:val="000000"/>
                <w:szCs w:val="20"/>
              </w:rPr>
              <w:t xml:space="preserve"> estimates assume </w:t>
            </w:r>
            <w:r w:rsidRPr="00110D33">
              <w:rPr>
                <w:color w:val="000000"/>
                <w:szCs w:val="20"/>
              </w:rPr>
              <w:t>no change</w:t>
            </w:r>
            <w:r>
              <w:rPr>
                <w:color w:val="000000"/>
                <w:szCs w:val="20"/>
              </w:rPr>
              <w:t xml:space="preserve"> in the current estimated proportions of fate of </w:t>
            </w:r>
            <w:r w:rsidR="00110D33">
              <w:rPr>
                <w:color w:val="000000"/>
                <w:szCs w:val="20"/>
              </w:rPr>
              <w:t>e-waste</w:t>
            </w:r>
            <w:r>
              <w:rPr>
                <w:color w:val="000000"/>
                <w:szCs w:val="20"/>
              </w:rPr>
              <w:t xml:space="preserve">, which is mostly landfill. </w:t>
            </w:r>
            <w:r w:rsidR="00FA3E44">
              <w:rPr>
                <w:color w:val="000000"/>
                <w:szCs w:val="20"/>
              </w:rPr>
              <w:t>C</w:t>
            </w:r>
            <w:r>
              <w:rPr>
                <w:color w:val="000000"/>
                <w:szCs w:val="20"/>
              </w:rPr>
              <w:t>hanges to product stewardship</w:t>
            </w:r>
            <w:r w:rsidR="008F5A72">
              <w:rPr>
                <w:color w:val="000000"/>
                <w:szCs w:val="20"/>
              </w:rPr>
              <w:t xml:space="preserve"> agreements</w:t>
            </w:r>
            <w:r>
              <w:rPr>
                <w:color w:val="000000"/>
                <w:szCs w:val="20"/>
              </w:rPr>
              <w:t xml:space="preserve"> or landfill bans on </w:t>
            </w:r>
            <w:r w:rsidR="00110D33">
              <w:rPr>
                <w:color w:val="000000"/>
                <w:szCs w:val="20"/>
              </w:rPr>
              <w:t>e-waste</w:t>
            </w:r>
            <w:r w:rsidR="00FA3E44">
              <w:rPr>
                <w:color w:val="000000"/>
                <w:szCs w:val="20"/>
              </w:rPr>
              <w:t xml:space="preserve"> c</w:t>
            </w:r>
            <w:r>
              <w:rPr>
                <w:color w:val="000000"/>
                <w:szCs w:val="20"/>
              </w:rPr>
              <w:t>ould significantly change these estimates. The infrastructure capacity assessment for this group has moderate uncertainty due</w:t>
            </w:r>
            <w:r w:rsidR="00110D33">
              <w:rPr>
                <w:color w:val="000000"/>
                <w:szCs w:val="20"/>
              </w:rPr>
              <w:t xml:space="preserve"> to: a</w:t>
            </w:r>
            <w:r>
              <w:rPr>
                <w:color w:val="000000"/>
                <w:szCs w:val="20"/>
              </w:rPr>
              <w:t xml:space="preserve"> moderate response rate during consultation</w:t>
            </w:r>
            <w:r w:rsidR="00110D33">
              <w:rPr>
                <w:color w:val="000000"/>
                <w:szCs w:val="20"/>
              </w:rPr>
              <w:t>;</w:t>
            </w:r>
            <w:r>
              <w:rPr>
                <w:color w:val="000000"/>
                <w:szCs w:val="20"/>
              </w:rPr>
              <w:t xml:space="preserve"> and the infrastructure group capacity having some overlap with other functions (such as PCB oil decontamination) resulting in a likely overestimate of the infrastructure group capacity. </w:t>
            </w:r>
          </w:p>
        </w:tc>
      </w:tr>
      <w:tr w:rsidR="00AE475C" w:rsidRPr="001711AE" w:rsidTr="00EF5AE8">
        <w:trPr>
          <w:cantSplit/>
        </w:trPr>
        <w:tc>
          <w:tcPr>
            <w:tcW w:w="1970" w:type="dxa"/>
            <w:tcBorders>
              <w:top w:val="single" w:sz="4" w:space="0" w:color="808080"/>
              <w:left w:val="nil"/>
              <w:bottom w:val="single" w:sz="4" w:space="0" w:color="808080"/>
              <w:right w:val="single" w:sz="4" w:space="0" w:color="BFBFBF"/>
            </w:tcBorders>
            <w:shd w:val="clear" w:color="auto" w:fill="auto"/>
            <w:tcMar>
              <w:top w:w="28" w:type="dxa"/>
              <w:bottom w:w="28" w:type="dxa"/>
            </w:tcMar>
            <w:hideMark/>
          </w:tcPr>
          <w:p w:rsidR="00110D33" w:rsidRDefault="00FC7A7F" w:rsidP="001711AE">
            <w:pPr>
              <w:spacing w:line="240" w:lineRule="auto"/>
              <w:rPr>
                <w:color w:val="000000"/>
                <w:szCs w:val="20"/>
              </w:rPr>
            </w:pPr>
            <w:r>
              <w:rPr>
                <w:color w:val="000000"/>
                <w:szCs w:val="20"/>
              </w:rPr>
              <w:lastRenderedPageBreak/>
              <w:t xml:space="preserve">Oil re-recycling fac. </w:t>
            </w:r>
            <w:r>
              <w:rPr>
                <w:color w:val="000000"/>
                <w:szCs w:val="20"/>
              </w:rPr>
              <w:br/>
            </w:r>
            <w:r>
              <w:rPr>
                <w:color w:val="000000"/>
                <w:szCs w:val="20"/>
              </w:rPr>
              <w:br/>
              <w:t xml:space="preserve">Facilities that </w:t>
            </w:r>
            <w:r>
              <w:rPr>
                <w:color w:val="000000"/>
                <w:szCs w:val="20"/>
                <w:u w:val="single"/>
              </w:rPr>
              <w:t>re-refine</w:t>
            </w:r>
            <w:r>
              <w:rPr>
                <w:color w:val="000000"/>
                <w:szCs w:val="20"/>
              </w:rPr>
              <w:t xml:space="preserve"> waste oil. </w:t>
            </w:r>
          </w:p>
          <w:p w:rsidR="00110D33" w:rsidRPr="00012496" w:rsidRDefault="00110D33" w:rsidP="001711AE">
            <w:pPr>
              <w:spacing w:line="240" w:lineRule="auto"/>
              <w:rPr>
                <w:color w:val="000000"/>
                <w:sz w:val="8"/>
                <w:szCs w:val="8"/>
              </w:rPr>
            </w:pPr>
          </w:p>
          <w:p w:rsidR="00FC7A7F" w:rsidRPr="007F5BD4" w:rsidRDefault="00FC7A7F" w:rsidP="001711AE">
            <w:pPr>
              <w:spacing w:line="240" w:lineRule="auto"/>
              <w:rPr>
                <w:rFonts w:cs="Times New Roman"/>
                <w:color w:val="000000"/>
                <w:sz w:val="18"/>
                <w:szCs w:val="18"/>
                <w:lang w:eastAsia="en-AU"/>
              </w:rPr>
            </w:pPr>
            <w:r>
              <w:rPr>
                <w:color w:val="000000"/>
                <w:szCs w:val="20"/>
              </w:rPr>
              <w:t>Note: facilities that dewatering and filter waste oil (only) are</w:t>
            </w:r>
            <w:r>
              <w:rPr>
                <w:b/>
                <w:bCs/>
                <w:color w:val="000000"/>
                <w:szCs w:val="20"/>
              </w:rPr>
              <w:t xml:space="preserve"> not included</w:t>
            </w:r>
            <w:r>
              <w:rPr>
                <w:color w:val="000000"/>
                <w:szCs w:val="20"/>
              </w:rPr>
              <w:t xml:space="preserve"> in this group as the primary function is assumed to be</w:t>
            </w:r>
            <w:r w:rsidR="00D06841">
              <w:rPr>
                <w:color w:val="000000"/>
                <w:szCs w:val="20"/>
              </w:rPr>
              <w:t xml:space="preserve"> </w:t>
            </w:r>
            <w:r>
              <w:rPr>
                <w:color w:val="000000"/>
                <w:szCs w:val="20"/>
              </w:rPr>
              <w:t>transfer waste oil onto oil re-refining facilities.</w:t>
            </w:r>
          </w:p>
        </w:tc>
        <w:tc>
          <w:tcPr>
            <w:tcW w:w="724" w:type="dxa"/>
            <w:tcBorders>
              <w:top w:val="nil"/>
              <w:left w:val="nil"/>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694</w:t>
            </w:r>
          </w:p>
        </w:tc>
        <w:tc>
          <w:tcPr>
            <w:tcW w:w="992"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Moderate</w:t>
            </w:r>
          </w:p>
        </w:tc>
        <w:tc>
          <w:tcPr>
            <w:tcW w:w="709" w:type="dxa"/>
            <w:tcBorders>
              <w:top w:val="nil"/>
              <w:left w:val="nil"/>
              <w:bottom w:val="single" w:sz="4" w:space="0" w:color="808080"/>
              <w:right w:val="single" w:sz="4" w:space="0" w:color="BFBFBF"/>
            </w:tcBorders>
            <w:shd w:val="clear" w:color="000000" w:fill="FFFFFF"/>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434 (low) to 482 (high)</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2023</w:t>
            </w:r>
          </w:p>
        </w:tc>
        <w:tc>
          <w:tcPr>
            <w:tcW w:w="709"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2020</w:t>
            </w:r>
          </w:p>
        </w:tc>
        <w:tc>
          <w:tcPr>
            <w:tcW w:w="708"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8789" w:type="dxa"/>
            <w:tcBorders>
              <w:top w:val="nil"/>
              <w:left w:val="nil"/>
              <w:bottom w:val="single" w:sz="4" w:space="0" w:color="808080"/>
              <w:right w:val="nil"/>
            </w:tcBorders>
            <w:shd w:val="clear" w:color="000000" w:fill="FFFFFF"/>
            <w:tcMar>
              <w:top w:w="28" w:type="dxa"/>
              <w:bottom w:w="28" w:type="dxa"/>
            </w:tcMar>
            <w:hideMark/>
          </w:tcPr>
          <w:p w:rsidR="00110D33" w:rsidRDefault="00FC7A7F" w:rsidP="007F5BD4">
            <w:pPr>
              <w:spacing w:line="240" w:lineRule="auto"/>
              <w:rPr>
                <w:color w:val="000000"/>
                <w:szCs w:val="20"/>
              </w:rPr>
            </w:pPr>
            <w:r>
              <w:rPr>
                <w:color w:val="000000"/>
                <w:szCs w:val="20"/>
              </w:rPr>
              <w:t xml:space="preserve">Based mainly on projected increases in waste arisings in Qld and WA (mining industry), the best estimate scenario projects that waste oil re-refining capacity in Australia could be </w:t>
            </w:r>
            <w:r w:rsidR="00FA3E44">
              <w:rPr>
                <w:color w:val="000000"/>
                <w:szCs w:val="20"/>
              </w:rPr>
              <w:t>exceeded</w:t>
            </w:r>
            <w:r>
              <w:rPr>
                <w:color w:val="000000"/>
                <w:szCs w:val="20"/>
              </w:rPr>
              <w:t xml:space="preserve"> in 2023 or by 2020 under the high scenario. Changes in the growth </w:t>
            </w:r>
            <w:r w:rsidR="00FA3E44">
              <w:rPr>
                <w:color w:val="000000"/>
                <w:szCs w:val="20"/>
              </w:rPr>
              <w:t xml:space="preserve">rates </w:t>
            </w:r>
            <w:r>
              <w:rPr>
                <w:color w:val="000000"/>
                <w:szCs w:val="20"/>
              </w:rPr>
              <w:t>of mining could significant</w:t>
            </w:r>
            <w:r w:rsidR="00FA3E44">
              <w:rPr>
                <w:color w:val="000000"/>
                <w:szCs w:val="20"/>
              </w:rPr>
              <w:t>ly</w:t>
            </w:r>
            <w:r>
              <w:rPr>
                <w:color w:val="000000"/>
                <w:szCs w:val="20"/>
              </w:rPr>
              <w:t xml:space="preserve"> </w:t>
            </w:r>
            <w:r w:rsidR="00FA3E44">
              <w:rPr>
                <w:color w:val="000000"/>
                <w:szCs w:val="20"/>
              </w:rPr>
              <w:t>affect</w:t>
            </w:r>
            <w:r>
              <w:rPr>
                <w:color w:val="000000"/>
                <w:szCs w:val="20"/>
              </w:rPr>
              <w:t xml:space="preserve"> this assessment. Under a low arisings scenario (</w:t>
            </w:r>
            <w:r w:rsidR="00FA3E44">
              <w:rPr>
                <w:color w:val="000000"/>
                <w:szCs w:val="20"/>
              </w:rPr>
              <w:t xml:space="preserve">in </w:t>
            </w:r>
            <w:r>
              <w:rPr>
                <w:color w:val="000000"/>
                <w:szCs w:val="20"/>
              </w:rPr>
              <w:t xml:space="preserve">which </w:t>
            </w:r>
            <w:r w:rsidR="00FA3E44">
              <w:rPr>
                <w:color w:val="000000"/>
                <w:szCs w:val="20"/>
              </w:rPr>
              <w:t>Qld and WA arisings increase</w:t>
            </w:r>
            <w:r>
              <w:rPr>
                <w:color w:val="000000"/>
                <w:szCs w:val="20"/>
              </w:rPr>
              <w:t xml:space="preserve"> at</w:t>
            </w:r>
            <w:r w:rsidR="00FA3E44">
              <w:rPr>
                <w:color w:val="000000"/>
                <w:szCs w:val="20"/>
              </w:rPr>
              <w:t xml:space="preserve"> the projected rate</w:t>
            </w:r>
            <w:r>
              <w:rPr>
                <w:color w:val="000000"/>
                <w:szCs w:val="20"/>
              </w:rPr>
              <w:t xml:space="preserve"> </w:t>
            </w:r>
            <w:r w:rsidR="00FA3E44">
              <w:rPr>
                <w:color w:val="000000"/>
                <w:szCs w:val="20"/>
              </w:rPr>
              <w:t xml:space="preserve">of </w:t>
            </w:r>
            <w:r>
              <w:rPr>
                <w:color w:val="000000"/>
                <w:szCs w:val="20"/>
              </w:rPr>
              <w:t>national economic growth)</w:t>
            </w:r>
            <w:r w:rsidR="00FA3E44">
              <w:rPr>
                <w:color w:val="000000"/>
                <w:szCs w:val="20"/>
              </w:rPr>
              <w:t>,</w:t>
            </w:r>
            <w:r>
              <w:rPr>
                <w:color w:val="000000"/>
                <w:szCs w:val="20"/>
              </w:rPr>
              <w:t xml:space="preserve"> waste oil re-refining capacity in Australia is sufficient beyond 2034.</w:t>
            </w:r>
            <w:r w:rsidR="00D06841">
              <w:rPr>
                <w:color w:val="000000"/>
                <w:szCs w:val="20"/>
              </w:rPr>
              <w:t xml:space="preserve"> </w:t>
            </w:r>
          </w:p>
          <w:p w:rsidR="00162488" w:rsidRPr="007F5BD4" w:rsidRDefault="00FC7A7F" w:rsidP="00FA3E44">
            <w:pPr>
              <w:spacing w:line="240" w:lineRule="auto"/>
              <w:rPr>
                <w:rFonts w:cs="Times New Roman"/>
                <w:color w:val="000000"/>
                <w:sz w:val="18"/>
                <w:szCs w:val="18"/>
                <w:lang w:eastAsia="en-AU"/>
              </w:rPr>
            </w:pPr>
            <w:r w:rsidRPr="00110D33">
              <w:rPr>
                <w:color w:val="000000"/>
                <w:sz w:val="8"/>
                <w:szCs w:val="8"/>
              </w:rPr>
              <w:br/>
            </w:r>
            <w:r>
              <w:rPr>
                <w:color w:val="000000"/>
                <w:szCs w:val="20"/>
              </w:rPr>
              <w:t>The infrastructure capacity assessment for this group has moderate uncertainty due to the group's capacity having some overlap with the transfer station or temporary storage infr</w:t>
            </w:r>
            <w:r w:rsidR="00FA3E44">
              <w:rPr>
                <w:color w:val="000000"/>
                <w:szCs w:val="20"/>
              </w:rPr>
              <w:t>astructure group resulting in a</w:t>
            </w:r>
            <w:r>
              <w:rPr>
                <w:color w:val="000000"/>
                <w:szCs w:val="20"/>
              </w:rPr>
              <w:t xml:space="preserve"> potential overestimate of the infrastructure group capacity. Offsetting the potential overestimation of this group</w:t>
            </w:r>
            <w:r w:rsidR="00FA3E44">
              <w:rPr>
                <w:color w:val="000000"/>
                <w:szCs w:val="20"/>
              </w:rPr>
              <w:t>’</w:t>
            </w:r>
            <w:r>
              <w:rPr>
                <w:color w:val="000000"/>
                <w:szCs w:val="20"/>
              </w:rPr>
              <w:t xml:space="preserve">s capacity is the allocating of all NEPM J codes recycling tonnages to this group. Some of the J code 'recycling' fate is likely to be </w:t>
            </w:r>
            <w:r w:rsidRPr="00FA3E44">
              <w:rPr>
                <w:i/>
                <w:color w:val="000000"/>
                <w:szCs w:val="20"/>
              </w:rPr>
              <w:t>J120</w:t>
            </w:r>
            <w:r>
              <w:rPr>
                <w:color w:val="000000"/>
                <w:szCs w:val="20"/>
              </w:rPr>
              <w:t xml:space="preserve"> </w:t>
            </w:r>
            <w:r>
              <w:rPr>
                <w:i/>
                <w:iCs/>
                <w:color w:val="000000"/>
                <w:szCs w:val="20"/>
              </w:rPr>
              <w:t>Waste oil/water, hydrocarbons/water mixtures or emulsions</w:t>
            </w:r>
            <w:r>
              <w:rPr>
                <w:color w:val="000000"/>
                <w:szCs w:val="20"/>
              </w:rPr>
              <w:t xml:space="preserve"> that </w:t>
            </w:r>
            <w:r w:rsidR="00FA3E44">
              <w:rPr>
                <w:color w:val="000000"/>
                <w:szCs w:val="20"/>
              </w:rPr>
              <w:t>are</w:t>
            </w:r>
            <w:r>
              <w:rPr>
                <w:color w:val="000000"/>
                <w:szCs w:val="20"/>
              </w:rPr>
              <w:t xml:space="preserve"> taken to facilities that filter and dewater only (</w:t>
            </w:r>
            <w:r w:rsidR="00FA3E44">
              <w:rPr>
                <w:color w:val="000000"/>
                <w:szCs w:val="20"/>
              </w:rPr>
              <w:t>rather than</w:t>
            </w:r>
            <w:r>
              <w:rPr>
                <w:color w:val="000000"/>
                <w:szCs w:val="20"/>
              </w:rPr>
              <w:t xml:space="preserve"> re-refine)</w:t>
            </w:r>
            <w:r w:rsidR="00FA3E44">
              <w:rPr>
                <w:color w:val="000000"/>
                <w:szCs w:val="20"/>
              </w:rPr>
              <w:t>,</w:t>
            </w:r>
            <w:r>
              <w:rPr>
                <w:color w:val="000000"/>
                <w:szCs w:val="20"/>
              </w:rPr>
              <w:t xml:space="preserve"> resulting in an overestimate of arisings of oils sent to re-refining. </w:t>
            </w:r>
            <w:r w:rsidR="00162488" w:rsidRPr="00162488">
              <w:rPr>
                <w:color w:val="000000"/>
                <w:szCs w:val="20"/>
              </w:rPr>
              <w:t>In addition</w:t>
            </w:r>
            <w:r w:rsidR="00FA3E44">
              <w:rPr>
                <w:color w:val="000000"/>
                <w:szCs w:val="20"/>
              </w:rPr>
              <w:t>,</w:t>
            </w:r>
            <w:r w:rsidR="00162488" w:rsidRPr="00162488">
              <w:rPr>
                <w:color w:val="000000"/>
                <w:szCs w:val="20"/>
              </w:rPr>
              <w:t xml:space="preserve"> some waste oil ‘recycling’ may actually be sent for energy recovery which, again, would </w:t>
            </w:r>
            <w:r w:rsidR="00FA3E44">
              <w:rPr>
                <w:color w:val="000000"/>
                <w:szCs w:val="20"/>
              </w:rPr>
              <w:t>yield</w:t>
            </w:r>
            <w:r w:rsidR="00162488" w:rsidRPr="00162488">
              <w:rPr>
                <w:color w:val="000000"/>
                <w:szCs w:val="20"/>
              </w:rPr>
              <w:t xml:space="preserve"> an overestimate of</w:t>
            </w:r>
            <w:r w:rsidR="00FA3E44">
              <w:rPr>
                <w:color w:val="000000"/>
                <w:szCs w:val="20"/>
              </w:rPr>
              <w:t xml:space="preserve"> demand for</w:t>
            </w:r>
            <w:r w:rsidR="00162488" w:rsidRPr="00162488">
              <w:rPr>
                <w:color w:val="000000"/>
                <w:szCs w:val="20"/>
              </w:rPr>
              <w:t xml:space="preserve"> re-refining.</w:t>
            </w:r>
          </w:p>
        </w:tc>
      </w:tr>
      <w:tr w:rsidR="00AE475C" w:rsidRPr="001711AE" w:rsidTr="00C109D3">
        <w:tc>
          <w:tcPr>
            <w:tcW w:w="1970" w:type="dxa"/>
            <w:tcBorders>
              <w:top w:val="single" w:sz="4" w:space="0" w:color="808080"/>
              <w:left w:val="nil"/>
              <w:bottom w:val="single" w:sz="4" w:space="0" w:color="808080"/>
              <w:right w:val="nil"/>
            </w:tcBorders>
            <w:shd w:val="clear" w:color="auto" w:fill="auto"/>
            <w:noWrap/>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Lead fac.</w:t>
            </w:r>
          </w:p>
        </w:tc>
        <w:tc>
          <w:tcPr>
            <w:tcW w:w="724" w:type="dxa"/>
            <w:tcBorders>
              <w:top w:val="nil"/>
              <w:left w:val="single" w:sz="4" w:space="0" w:color="BFBFBF"/>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188</w:t>
            </w:r>
          </w:p>
        </w:tc>
        <w:tc>
          <w:tcPr>
            <w:tcW w:w="992"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Low</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146 to 151</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2031</w:t>
            </w:r>
          </w:p>
        </w:tc>
        <w:tc>
          <w:tcPr>
            <w:tcW w:w="709"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2022</w:t>
            </w:r>
          </w:p>
        </w:tc>
        <w:tc>
          <w:tcPr>
            <w:tcW w:w="708"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8789" w:type="dxa"/>
            <w:tcBorders>
              <w:top w:val="nil"/>
              <w:left w:val="nil"/>
              <w:bottom w:val="single" w:sz="4" w:space="0" w:color="808080"/>
              <w:right w:val="nil"/>
            </w:tcBorders>
            <w:shd w:val="clear" w:color="000000" w:fill="FFFFFF"/>
            <w:tcMar>
              <w:top w:w="28" w:type="dxa"/>
              <w:bottom w:w="28" w:type="dxa"/>
            </w:tcMar>
            <w:hideMark/>
          </w:tcPr>
          <w:p w:rsidR="00FC7A7F" w:rsidRPr="007F5BD4" w:rsidRDefault="00FC7A7F" w:rsidP="00FA3E44">
            <w:pPr>
              <w:spacing w:line="240" w:lineRule="auto"/>
              <w:rPr>
                <w:rFonts w:cs="Times New Roman"/>
                <w:color w:val="000000"/>
                <w:sz w:val="18"/>
                <w:szCs w:val="18"/>
                <w:lang w:eastAsia="en-AU"/>
              </w:rPr>
            </w:pPr>
            <w:r>
              <w:rPr>
                <w:color w:val="000000"/>
                <w:szCs w:val="20"/>
              </w:rPr>
              <w:t>Based on the best estimate projection of arisings increasing at the rate of population growth</w:t>
            </w:r>
            <w:r w:rsidR="00FA3E44">
              <w:rPr>
                <w:color w:val="000000"/>
                <w:szCs w:val="20"/>
              </w:rPr>
              <w:t>,</w:t>
            </w:r>
            <w:r>
              <w:rPr>
                <w:color w:val="000000"/>
                <w:szCs w:val="20"/>
              </w:rPr>
              <w:t xml:space="preserve"> the current and planned lead recycling infrastructure could be met by 2031. Based on the high estimate projection of arisings increasing strongly at 3.5% per annum capacity could be </w:t>
            </w:r>
            <w:r w:rsidR="00FA3E44">
              <w:rPr>
                <w:color w:val="000000"/>
                <w:szCs w:val="20"/>
              </w:rPr>
              <w:t>exceeded</w:t>
            </w:r>
            <w:r>
              <w:rPr>
                <w:color w:val="000000"/>
                <w:szCs w:val="20"/>
              </w:rPr>
              <w:t xml:space="preserve"> in 2022. Under a low scenario of no growth in arisings capacity is not expected to be </w:t>
            </w:r>
            <w:r w:rsidR="00FA3E44">
              <w:rPr>
                <w:color w:val="000000"/>
                <w:szCs w:val="20"/>
              </w:rPr>
              <w:t>exceeded</w:t>
            </w:r>
            <w:r>
              <w:rPr>
                <w:color w:val="000000"/>
                <w:szCs w:val="20"/>
              </w:rPr>
              <w:t xml:space="preserve"> over the next 20 years. There may be some regional limitations</w:t>
            </w:r>
            <w:r w:rsidR="00FA3E44">
              <w:rPr>
                <w:color w:val="000000"/>
                <w:szCs w:val="20"/>
              </w:rPr>
              <w:t xml:space="preserve"> (</w:t>
            </w:r>
            <w:r>
              <w:rPr>
                <w:color w:val="000000"/>
                <w:szCs w:val="20"/>
              </w:rPr>
              <w:t>see jurisdictional analysis</w:t>
            </w:r>
            <w:r w:rsidR="00FA3E44">
              <w:rPr>
                <w:color w:val="000000"/>
                <w:szCs w:val="20"/>
              </w:rPr>
              <w:t>)</w:t>
            </w:r>
            <w:r>
              <w:rPr>
                <w:color w:val="000000"/>
                <w:szCs w:val="20"/>
              </w:rPr>
              <w:t>.</w:t>
            </w:r>
          </w:p>
        </w:tc>
      </w:tr>
      <w:tr w:rsidR="00AE475C" w:rsidRPr="001711AE" w:rsidTr="00C109D3">
        <w:tc>
          <w:tcPr>
            <w:tcW w:w="1970" w:type="dxa"/>
            <w:tcBorders>
              <w:top w:val="single" w:sz="4" w:space="0" w:color="808080"/>
              <w:left w:val="nil"/>
              <w:bottom w:val="single" w:sz="4" w:space="0" w:color="808080"/>
              <w:right w:val="nil"/>
            </w:tcBorders>
            <w:shd w:val="clear" w:color="auto" w:fill="auto"/>
            <w:noWrap/>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Mercury fac.</w:t>
            </w:r>
          </w:p>
        </w:tc>
        <w:tc>
          <w:tcPr>
            <w:tcW w:w="724" w:type="dxa"/>
            <w:tcBorders>
              <w:top w:val="nil"/>
              <w:left w:val="single" w:sz="4" w:space="0" w:color="BFBFBF"/>
              <w:bottom w:val="single" w:sz="4" w:space="0" w:color="808080"/>
              <w:right w:val="nil"/>
            </w:tcBorders>
            <w:shd w:val="clear" w:color="000000" w:fill="FFFFFF"/>
            <w:noWrap/>
            <w:tcMar>
              <w:top w:w="28" w:type="dxa"/>
              <w:left w:w="28" w:type="dxa"/>
              <w:bottom w:w="28" w:type="dxa"/>
              <w:right w:w="28" w:type="dxa"/>
            </w:tcMar>
            <w:hideMark/>
          </w:tcPr>
          <w:p w:rsidR="00FC7A7F" w:rsidRPr="007F5949" w:rsidRDefault="00757282" w:rsidP="00757282">
            <w:pPr>
              <w:spacing w:line="240" w:lineRule="auto"/>
              <w:jc w:val="center"/>
              <w:rPr>
                <w:rFonts w:cs="Times New Roman"/>
                <w:color w:val="FFFFFF" w:themeColor="background1"/>
                <w:sz w:val="18"/>
                <w:szCs w:val="18"/>
                <w:highlight w:val="red"/>
                <w:lang w:eastAsia="en-AU"/>
              </w:rPr>
            </w:pPr>
            <w:r w:rsidRPr="00757282">
              <w:rPr>
                <w:color w:val="0C0C0C" w:themeColor="text1"/>
                <w:szCs w:val="20"/>
                <w:highlight w:val="red"/>
              </w:rPr>
              <w:t>CIC</w:t>
            </w:r>
          </w:p>
        </w:tc>
        <w:tc>
          <w:tcPr>
            <w:tcW w:w="992"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Low</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0.22 to 0.23</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709"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708"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C7A7F" w:rsidRPr="007F5BD4" w:rsidRDefault="00FC7A7F" w:rsidP="006A3B02">
            <w:pPr>
              <w:spacing w:line="240" w:lineRule="auto"/>
              <w:rPr>
                <w:rFonts w:cs="Times New Roman"/>
                <w:color w:val="000000"/>
                <w:sz w:val="18"/>
                <w:szCs w:val="18"/>
                <w:lang w:eastAsia="en-AU"/>
              </w:rPr>
            </w:pPr>
            <w:r>
              <w:rPr>
                <w:color w:val="000000"/>
                <w:szCs w:val="20"/>
              </w:rPr>
              <w:t>Analysis indicates that over the next 20 years the potential capacity of Australia's current mercury waste recycling infrastructure will be able to recycle waste arisings. There may be some regional limitations</w:t>
            </w:r>
            <w:r w:rsidR="00D10257">
              <w:rPr>
                <w:color w:val="000000"/>
                <w:szCs w:val="20"/>
              </w:rPr>
              <w:t xml:space="preserve"> (see jurisdictional analysis)</w:t>
            </w:r>
            <w:r>
              <w:rPr>
                <w:color w:val="000000"/>
                <w:szCs w:val="20"/>
              </w:rPr>
              <w:t xml:space="preserve">. </w:t>
            </w:r>
          </w:p>
        </w:tc>
      </w:tr>
      <w:tr w:rsidR="00AE475C" w:rsidRPr="001711AE" w:rsidTr="00C109D3">
        <w:tc>
          <w:tcPr>
            <w:tcW w:w="1970" w:type="dxa"/>
            <w:tcBorders>
              <w:top w:val="single" w:sz="4" w:space="0" w:color="808080"/>
              <w:left w:val="nil"/>
              <w:bottom w:val="single" w:sz="4" w:space="0" w:color="808080"/>
              <w:right w:val="nil"/>
            </w:tcBorders>
            <w:shd w:val="clear" w:color="auto" w:fill="auto"/>
            <w:noWrap/>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Solvents/paints fac. (Recycling)</w:t>
            </w:r>
          </w:p>
        </w:tc>
        <w:tc>
          <w:tcPr>
            <w:tcW w:w="724" w:type="dxa"/>
            <w:tcBorders>
              <w:top w:val="nil"/>
              <w:left w:val="single" w:sz="4" w:space="0" w:color="BFBFBF"/>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16</w:t>
            </w:r>
          </w:p>
        </w:tc>
        <w:tc>
          <w:tcPr>
            <w:tcW w:w="992"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High</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31 to 32</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BFBFBF"/>
                <w:sz w:val="18"/>
                <w:szCs w:val="18"/>
                <w:lang w:eastAsia="en-AU"/>
              </w:rPr>
            </w:pPr>
            <w:r>
              <w:rPr>
                <w:szCs w:val="20"/>
              </w:rPr>
              <w:t>2015</w:t>
            </w:r>
          </w:p>
        </w:tc>
        <w:tc>
          <w:tcPr>
            <w:tcW w:w="709"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BFBFBF"/>
                <w:sz w:val="18"/>
                <w:szCs w:val="18"/>
                <w:lang w:eastAsia="en-AU"/>
              </w:rPr>
            </w:pPr>
            <w:r>
              <w:rPr>
                <w:szCs w:val="20"/>
              </w:rPr>
              <w:t>2015</w:t>
            </w:r>
          </w:p>
        </w:tc>
        <w:tc>
          <w:tcPr>
            <w:tcW w:w="708"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BFBFBF"/>
                <w:sz w:val="18"/>
                <w:szCs w:val="18"/>
                <w:lang w:eastAsia="en-AU"/>
              </w:rPr>
            </w:pPr>
            <w:r>
              <w:rPr>
                <w:szCs w:val="20"/>
              </w:rPr>
              <w:t>2015</w:t>
            </w:r>
          </w:p>
        </w:tc>
        <w:tc>
          <w:tcPr>
            <w:tcW w:w="8789" w:type="dxa"/>
            <w:tcBorders>
              <w:top w:val="nil"/>
              <w:left w:val="nil"/>
              <w:bottom w:val="single" w:sz="4" w:space="0" w:color="808080"/>
              <w:right w:val="nil"/>
            </w:tcBorders>
            <w:shd w:val="clear" w:color="000000" w:fill="FFFFFF"/>
            <w:tcMar>
              <w:top w:w="28" w:type="dxa"/>
              <w:bottom w:w="28" w:type="dxa"/>
            </w:tcMar>
            <w:hideMark/>
          </w:tcPr>
          <w:p w:rsidR="00FC7A7F" w:rsidRPr="007F5BD4" w:rsidRDefault="00FC7A7F" w:rsidP="00C64304">
            <w:pPr>
              <w:spacing w:line="240" w:lineRule="auto"/>
              <w:rPr>
                <w:rFonts w:cs="Times New Roman"/>
                <w:color w:val="000000"/>
                <w:sz w:val="18"/>
                <w:szCs w:val="18"/>
                <w:lang w:eastAsia="en-AU"/>
              </w:rPr>
            </w:pPr>
            <w:r>
              <w:rPr>
                <w:color w:val="000000"/>
                <w:szCs w:val="20"/>
              </w:rPr>
              <w:t xml:space="preserve">Projections indicate that the current capacity of solvents/paints recycling is being exceeded. </w:t>
            </w:r>
            <w:r w:rsidR="006A3B02">
              <w:rPr>
                <w:color w:val="000000"/>
                <w:szCs w:val="20"/>
              </w:rPr>
              <w:t>This is unlikely to be</w:t>
            </w:r>
            <w:r w:rsidR="00D06841">
              <w:rPr>
                <w:color w:val="000000"/>
                <w:szCs w:val="20"/>
              </w:rPr>
              <w:t xml:space="preserve"> </w:t>
            </w:r>
            <w:r>
              <w:rPr>
                <w:color w:val="000000"/>
                <w:szCs w:val="20"/>
              </w:rPr>
              <w:t xml:space="preserve">accurate due to the high level of uncertainty in the capacity assessment for this group. </w:t>
            </w:r>
            <w:r w:rsidR="006A3B02">
              <w:rPr>
                <w:color w:val="000000"/>
                <w:szCs w:val="20"/>
              </w:rPr>
              <w:t>A</w:t>
            </w:r>
            <w:r>
              <w:rPr>
                <w:color w:val="000000"/>
                <w:szCs w:val="20"/>
              </w:rPr>
              <w:t xml:space="preserve"> number of factors need to be considered: 1. </w:t>
            </w:r>
            <w:r w:rsidR="00C64304">
              <w:rPr>
                <w:color w:val="000000"/>
                <w:szCs w:val="20"/>
              </w:rPr>
              <w:t>It is likely that s</w:t>
            </w:r>
            <w:r w:rsidR="006A3B02">
              <w:rPr>
                <w:color w:val="000000"/>
                <w:szCs w:val="20"/>
              </w:rPr>
              <w:t xml:space="preserve">ome </w:t>
            </w:r>
            <w:r>
              <w:rPr>
                <w:color w:val="000000"/>
                <w:szCs w:val="20"/>
              </w:rPr>
              <w:t xml:space="preserve">materials sent </w:t>
            </w:r>
            <w:r w:rsidR="00C64304">
              <w:rPr>
                <w:color w:val="000000"/>
                <w:szCs w:val="20"/>
              </w:rPr>
              <w:t>to</w:t>
            </w:r>
            <w:r>
              <w:rPr>
                <w:color w:val="000000"/>
                <w:szCs w:val="20"/>
              </w:rPr>
              <w:t xml:space="preserve"> energy recovery </w:t>
            </w:r>
            <w:r w:rsidR="006A3B02">
              <w:rPr>
                <w:color w:val="000000"/>
                <w:szCs w:val="20"/>
              </w:rPr>
              <w:t>are</w:t>
            </w:r>
            <w:r>
              <w:rPr>
                <w:color w:val="000000"/>
                <w:szCs w:val="20"/>
              </w:rPr>
              <w:t xml:space="preserve"> </w:t>
            </w:r>
            <w:r w:rsidR="006A3B02">
              <w:rPr>
                <w:color w:val="000000"/>
                <w:szCs w:val="20"/>
              </w:rPr>
              <w:t xml:space="preserve">recorded </w:t>
            </w:r>
            <w:r>
              <w:rPr>
                <w:color w:val="000000"/>
                <w:szCs w:val="20"/>
              </w:rPr>
              <w:t xml:space="preserve">as </w:t>
            </w:r>
            <w:r w:rsidR="00C64304">
              <w:rPr>
                <w:color w:val="000000"/>
                <w:szCs w:val="20"/>
              </w:rPr>
              <w:t>recycled</w:t>
            </w:r>
            <w:r>
              <w:rPr>
                <w:color w:val="000000"/>
                <w:szCs w:val="20"/>
              </w:rPr>
              <w:t xml:space="preserve"> (resulting in over estimate of arisings to recycling and underestimate to energy recovery), 2. </w:t>
            </w:r>
            <w:r w:rsidR="006A3B02">
              <w:rPr>
                <w:color w:val="000000"/>
                <w:szCs w:val="20"/>
              </w:rPr>
              <w:t>Some</w:t>
            </w:r>
            <w:r>
              <w:rPr>
                <w:color w:val="000000"/>
                <w:szCs w:val="20"/>
              </w:rPr>
              <w:t xml:space="preserve"> solvent/paint recycling capacity is</w:t>
            </w:r>
            <w:r w:rsidR="006A3B02">
              <w:rPr>
                <w:color w:val="000000"/>
                <w:szCs w:val="20"/>
              </w:rPr>
              <w:t xml:space="preserve"> likely to be</w:t>
            </w:r>
            <w:r>
              <w:rPr>
                <w:color w:val="000000"/>
                <w:szCs w:val="20"/>
              </w:rPr>
              <w:t xml:space="preserve"> within the CPT infrastructure group, 3. </w:t>
            </w:r>
            <w:proofErr w:type="gramStart"/>
            <w:r w:rsidR="006A3B02">
              <w:rPr>
                <w:color w:val="000000"/>
                <w:szCs w:val="20"/>
              </w:rPr>
              <w:t>Some</w:t>
            </w:r>
            <w:r>
              <w:rPr>
                <w:color w:val="000000"/>
                <w:szCs w:val="20"/>
              </w:rPr>
              <w:t xml:space="preserve"> smaller operators that recycle solvents/paint </w:t>
            </w:r>
            <w:r w:rsidR="006A3B02">
              <w:rPr>
                <w:color w:val="000000"/>
                <w:szCs w:val="20"/>
              </w:rPr>
              <w:t>may not</w:t>
            </w:r>
            <w:r>
              <w:rPr>
                <w:color w:val="000000"/>
                <w:szCs w:val="20"/>
              </w:rPr>
              <w:t xml:space="preserve"> have not been captured in the infrastructure database.</w:t>
            </w:r>
            <w:proofErr w:type="gramEnd"/>
            <w:r w:rsidR="00D06841">
              <w:rPr>
                <w:color w:val="000000"/>
                <w:szCs w:val="20"/>
              </w:rPr>
              <w:t xml:space="preserve"> </w:t>
            </w:r>
            <w:r>
              <w:rPr>
                <w:color w:val="000000"/>
                <w:szCs w:val="20"/>
              </w:rPr>
              <w:br/>
            </w:r>
            <w:r w:rsidR="00110D33" w:rsidRPr="00110D33">
              <w:rPr>
                <w:color w:val="000000"/>
                <w:sz w:val="8"/>
                <w:szCs w:val="8"/>
              </w:rPr>
              <w:br/>
            </w:r>
            <w:r>
              <w:rPr>
                <w:color w:val="000000"/>
                <w:szCs w:val="20"/>
              </w:rPr>
              <w:lastRenderedPageBreak/>
              <w:t xml:space="preserve">Based on industry consultation and </w:t>
            </w:r>
            <w:r w:rsidR="00C64304">
              <w:rPr>
                <w:color w:val="000000"/>
                <w:szCs w:val="20"/>
              </w:rPr>
              <w:t xml:space="preserve">this assessment, </w:t>
            </w:r>
            <w:r>
              <w:rPr>
                <w:color w:val="000000"/>
                <w:szCs w:val="20"/>
              </w:rPr>
              <w:t>a national shortage of this infrastructure over the next 20 years</w:t>
            </w:r>
            <w:r w:rsidR="00C64304">
              <w:rPr>
                <w:color w:val="000000"/>
                <w:szCs w:val="20"/>
              </w:rPr>
              <w:t xml:space="preserve"> is considered unlikely</w:t>
            </w:r>
            <w:r>
              <w:rPr>
                <w:color w:val="000000"/>
                <w:szCs w:val="20"/>
              </w:rPr>
              <w:t>. There may be some regional limitations</w:t>
            </w:r>
            <w:r w:rsidR="00D10257">
              <w:rPr>
                <w:color w:val="000000"/>
                <w:szCs w:val="20"/>
              </w:rPr>
              <w:t xml:space="preserve"> (see jurisdictional analysis)</w:t>
            </w:r>
            <w:r>
              <w:rPr>
                <w:color w:val="000000"/>
                <w:szCs w:val="20"/>
              </w:rPr>
              <w:t xml:space="preserve">. </w:t>
            </w:r>
          </w:p>
        </w:tc>
      </w:tr>
      <w:tr w:rsidR="00AE475C" w:rsidRPr="001711AE" w:rsidTr="00C109D3">
        <w:tc>
          <w:tcPr>
            <w:tcW w:w="1970" w:type="dxa"/>
            <w:tcBorders>
              <w:top w:val="single" w:sz="4" w:space="0" w:color="808080"/>
              <w:left w:val="nil"/>
              <w:bottom w:val="single" w:sz="4" w:space="0" w:color="808080"/>
              <w:right w:val="single" w:sz="4" w:space="0" w:color="BFBFBF"/>
            </w:tcBorders>
            <w:shd w:val="clear" w:color="auto" w:fill="auto"/>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lastRenderedPageBreak/>
              <w:t>Solvents/paints fac. (Energy Recovery)</w:t>
            </w:r>
          </w:p>
        </w:tc>
        <w:tc>
          <w:tcPr>
            <w:tcW w:w="724" w:type="dxa"/>
            <w:tcBorders>
              <w:top w:val="nil"/>
              <w:left w:val="nil"/>
              <w:bottom w:val="single" w:sz="4" w:space="0" w:color="808080"/>
              <w:right w:val="nil"/>
            </w:tcBorders>
            <w:shd w:val="clear" w:color="000000" w:fill="FFFFFF"/>
            <w:noWrap/>
            <w:tcMar>
              <w:top w:w="28" w:type="dxa"/>
              <w:left w:w="28" w:type="dxa"/>
              <w:bottom w:w="28" w:type="dxa"/>
              <w:right w:w="28" w:type="dxa"/>
            </w:tcMar>
            <w:hideMark/>
          </w:tcPr>
          <w:p w:rsidR="00FC7A7F" w:rsidRPr="00757282" w:rsidRDefault="00757282" w:rsidP="00AE475C">
            <w:pPr>
              <w:spacing w:line="240" w:lineRule="auto"/>
              <w:jc w:val="center"/>
              <w:rPr>
                <w:rFonts w:cs="Times New Roman"/>
                <w:color w:val="0C0C0C" w:themeColor="text1"/>
                <w:sz w:val="18"/>
                <w:szCs w:val="18"/>
                <w:lang w:eastAsia="en-AU"/>
              </w:rPr>
            </w:pPr>
            <w:r>
              <w:rPr>
                <w:color w:val="0C0C0C" w:themeColor="text1"/>
                <w:szCs w:val="20"/>
                <w:highlight w:val="red"/>
              </w:rPr>
              <w:t>CIC</w:t>
            </w:r>
          </w:p>
        </w:tc>
        <w:tc>
          <w:tcPr>
            <w:tcW w:w="992"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Low</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13</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709"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2030</w:t>
            </w:r>
          </w:p>
        </w:tc>
        <w:tc>
          <w:tcPr>
            <w:tcW w:w="708"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C7A7F" w:rsidRPr="007F5BD4" w:rsidRDefault="00FC7A7F" w:rsidP="004058BC">
            <w:pPr>
              <w:spacing w:line="240" w:lineRule="auto"/>
              <w:rPr>
                <w:rFonts w:cs="Times New Roman"/>
                <w:color w:val="000000"/>
                <w:sz w:val="18"/>
                <w:szCs w:val="18"/>
                <w:lang w:eastAsia="en-AU"/>
              </w:rPr>
            </w:pPr>
            <w:r>
              <w:rPr>
                <w:color w:val="000000"/>
                <w:szCs w:val="20"/>
              </w:rPr>
              <w:t xml:space="preserve">Analysis indicates that under the best and low scenarios over the next 20 years the potential capacity of Australia's current solvents/paints energy recovery infrastructure will be able to manage waste arisings. If paints, resins, inks, organic sludges grow very strongly (at 3.8%p.a.) capacity could be </w:t>
            </w:r>
            <w:r w:rsidR="004058BC">
              <w:rPr>
                <w:color w:val="000000"/>
                <w:szCs w:val="20"/>
              </w:rPr>
              <w:t>exceeded</w:t>
            </w:r>
            <w:r>
              <w:rPr>
                <w:color w:val="000000"/>
                <w:szCs w:val="20"/>
              </w:rPr>
              <w:t xml:space="preserve"> by 2030. There may be some regional limitations</w:t>
            </w:r>
            <w:r w:rsidR="00D10257">
              <w:rPr>
                <w:color w:val="000000"/>
                <w:szCs w:val="20"/>
              </w:rPr>
              <w:t xml:space="preserve"> (see jurisdictional analysis)</w:t>
            </w:r>
            <w:r>
              <w:rPr>
                <w:color w:val="000000"/>
                <w:szCs w:val="20"/>
              </w:rPr>
              <w:t>.</w:t>
            </w:r>
            <w:r>
              <w:rPr>
                <w:color w:val="000000"/>
                <w:szCs w:val="20"/>
              </w:rPr>
              <w:br/>
            </w:r>
            <w:r w:rsidR="00110D33" w:rsidRPr="00110D33">
              <w:rPr>
                <w:color w:val="000000"/>
                <w:sz w:val="8"/>
                <w:szCs w:val="8"/>
              </w:rPr>
              <w:br/>
            </w:r>
            <w:r w:rsidR="006A3B02">
              <w:rPr>
                <w:color w:val="000000"/>
                <w:szCs w:val="20"/>
              </w:rPr>
              <w:t>We note above that some</w:t>
            </w:r>
            <w:r>
              <w:rPr>
                <w:color w:val="000000"/>
                <w:szCs w:val="20"/>
              </w:rPr>
              <w:t xml:space="preserve"> solvents/paints recycling tonnages</w:t>
            </w:r>
            <w:r w:rsidR="006A3B02">
              <w:rPr>
                <w:color w:val="000000"/>
                <w:szCs w:val="20"/>
              </w:rPr>
              <w:t xml:space="preserve"> may</w:t>
            </w:r>
            <w:r>
              <w:rPr>
                <w:color w:val="000000"/>
                <w:szCs w:val="20"/>
              </w:rPr>
              <w:t xml:space="preserve"> actually be sent to energy recovery infrastructure. This could result in the infrastructure need exceeding capacity sooner than is estimated here</w:t>
            </w:r>
            <w:r w:rsidR="006A3B02">
              <w:rPr>
                <w:rStyle w:val="FootnoteReference"/>
                <w:color w:val="000000"/>
                <w:szCs w:val="20"/>
              </w:rPr>
              <w:footnoteReference w:id="35"/>
            </w:r>
            <w:r>
              <w:rPr>
                <w:color w:val="000000"/>
                <w:szCs w:val="20"/>
              </w:rPr>
              <w:t xml:space="preserve">. </w:t>
            </w:r>
          </w:p>
        </w:tc>
      </w:tr>
      <w:tr w:rsidR="00AE475C" w:rsidRPr="001711AE" w:rsidTr="00C109D3">
        <w:tc>
          <w:tcPr>
            <w:tcW w:w="1970" w:type="dxa"/>
            <w:tcBorders>
              <w:top w:val="single" w:sz="4" w:space="0" w:color="808080"/>
              <w:left w:val="nil"/>
              <w:bottom w:val="single" w:sz="4" w:space="0" w:color="808080"/>
              <w:right w:val="nil"/>
            </w:tcBorders>
            <w:shd w:val="clear" w:color="auto" w:fill="auto"/>
            <w:noWrap/>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 xml:space="preserve">Spent </w:t>
            </w:r>
            <w:r w:rsidR="00061B2C">
              <w:rPr>
                <w:color w:val="000000"/>
                <w:szCs w:val="20"/>
              </w:rPr>
              <w:t>pot</w:t>
            </w:r>
            <w:r>
              <w:rPr>
                <w:color w:val="000000"/>
                <w:szCs w:val="20"/>
              </w:rPr>
              <w:t>lining fac.</w:t>
            </w:r>
          </w:p>
        </w:tc>
        <w:tc>
          <w:tcPr>
            <w:tcW w:w="724" w:type="dxa"/>
            <w:tcBorders>
              <w:top w:val="nil"/>
              <w:left w:val="single" w:sz="4" w:space="0" w:color="BFBFBF"/>
              <w:bottom w:val="single" w:sz="4" w:space="0" w:color="808080"/>
              <w:right w:val="nil"/>
            </w:tcBorders>
            <w:shd w:val="clear" w:color="000000" w:fill="FFFFFF"/>
            <w:noWrap/>
            <w:tcMar>
              <w:top w:w="28" w:type="dxa"/>
              <w:left w:w="28" w:type="dxa"/>
              <w:bottom w:w="28" w:type="dxa"/>
              <w:right w:w="28" w:type="dxa"/>
            </w:tcMar>
            <w:hideMark/>
          </w:tcPr>
          <w:p w:rsidR="00FC7A7F" w:rsidRPr="00757282" w:rsidRDefault="00757282" w:rsidP="00757282">
            <w:pPr>
              <w:spacing w:line="240" w:lineRule="auto"/>
              <w:jc w:val="center"/>
              <w:rPr>
                <w:rFonts w:cs="Times New Roman"/>
                <w:color w:val="0C0C0C" w:themeColor="text1"/>
                <w:sz w:val="18"/>
                <w:szCs w:val="18"/>
                <w:lang w:eastAsia="en-AU"/>
              </w:rPr>
            </w:pPr>
            <w:r>
              <w:rPr>
                <w:color w:val="0C0C0C" w:themeColor="text1"/>
                <w:szCs w:val="20"/>
                <w:highlight w:val="red"/>
              </w:rPr>
              <w:t>CIC</w:t>
            </w:r>
          </w:p>
        </w:tc>
        <w:tc>
          <w:tcPr>
            <w:tcW w:w="992"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Low</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115</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709"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2017</w:t>
            </w:r>
          </w:p>
        </w:tc>
        <w:tc>
          <w:tcPr>
            <w:tcW w:w="708"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8789" w:type="dxa"/>
            <w:tcBorders>
              <w:top w:val="nil"/>
              <w:left w:val="nil"/>
              <w:bottom w:val="single" w:sz="4" w:space="0" w:color="808080"/>
              <w:right w:val="nil"/>
            </w:tcBorders>
            <w:shd w:val="clear" w:color="000000" w:fill="FFFFFF"/>
            <w:tcMar>
              <w:top w:w="28" w:type="dxa"/>
              <w:bottom w:w="28" w:type="dxa"/>
            </w:tcMar>
            <w:hideMark/>
          </w:tcPr>
          <w:p w:rsidR="00FC7A7F" w:rsidRPr="007F5BD4" w:rsidRDefault="00FC7A7F" w:rsidP="00757282">
            <w:pPr>
              <w:spacing w:line="240" w:lineRule="auto"/>
              <w:rPr>
                <w:rFonts w:cs="Times New Roman"/>
                <w:color w:val="000000"/>
                <w:sz w:val="18"/>
                <w:szCs w:val="18"/>
                <w:lang w:eastAsia="en-AU"/>
              </w:rPr>
            </w:pPr>
            <w:r>
              <w:rPr>
                <w:color w:val="000000"/>
                <w:szCs w:val="20"/>
              </w:rPr>
              <w:t xml:space="preserve">For SPL wastes the current estimated arisings are based on the tonnages of SPL </w:t>
            </w:r>
            <w:r w:rsidRPr="006A3B02">
              <w:rPr>
                <w:color w:val="000000"/>
                <w:szCs w:val="20"/>
              </w:rPr>
              <w:t>recycled</w:t>
            </w:r>
            <w:r>
              <w:rPr>
                <w:color w:val="000000"/>
                <w:szCs w:val="20"/>
              </w:rPr>
              <w:t xml:space="preserve"> in 2014. Waste tracking system data could not be used because much of the SPL recyclin</w:t>
            </w:r>
            <w:r w:rsidR="006A3B02">
              <w:rPr>
                <w:color w:val="000000"/>
                <w:szCs w:val="20"/>
              </w:rPr>
              <w:t>g infrastructure is located on a</w:t>
            </w:r>
            <w:r>
              <w:rPr>
                <w:color w:val="000000"/>
                <w:szCs w:val="20"/>
              </w:rPr>
              <w:t xml:space="preserve">luminium smelting sites (the generation sites) </w:t>
            </w:r>
            <w:r w:rsidR="004058BC">
              <w:rPr>
                <w:color w:val="000000"/>
                <w:szCs w:val="20"/>
              </w:rPr>
              <w:t>so</w:t>
            </w:r>
            <w:r>
              <w:rPr>
                <w:color w:val="000000"/>
                <w:szCs w:val="20"/>
              </w:rPr>
              <w:t xml:space="preserve"> no tracking data is collected. </w:t>
            </w:r>
            <w:r>
              <w:rPr>
                <w:color w:val="000000"/>
                <w:szCs w:val="20"/>
              </w:rPr>
              <w:br/>
            </w:r>
            <w:r w:rsidR="00110D33" w:rsidRPr="00110D33">
              <w:rPr>
                <w:color w:val="000000"/>
                <w:sz w:val="8"/>
                <w:szCs w:val="8"/>
              </w:rPr>
              <w:br/>
            </w:r>
            <w:r>
              <w:rPr>
                <w:color w:val="000000"/>
                <w:szCs w:val="20"/>
              </w:rPr>
              <w:t>Industry estimates around 900</w:t>
            </w:r>
            <w:r w:rsidR="004058BC">
              <w:rPr>
                <w:color w:val="000000"/>
                <w:szCs w:val="20"/>
              </w:rPr>
              <w:t xml:space="preserve"> </w:t>
            </w:r>
            <w:r>
              <w:rPr>
                <w:color w:val="000000"/>
                <w:szCs w:val="20"/>
              </w:rPr>
              <w:t xml:space="preserve">kt of spent </w:t>
            </w:r>
            <w:r w:rsidR="00061B2C">
              <w:rPr>
                <w:color w:val="000000"/>
                <w:szCs w:val="20"/>
              </w:rPr>
              <w:t>pot</w:t>
            </w:r>
            <w:r>
              <w:rPr>
                <w:color w:val="000000"/>
                <w:szCs w:val="20"/>
              </w:rPr>
              <w:t xml:space="preserve">lining are in storage/stockpiles in Australia. The best and low projection scenarios assume that these stockpile remains </w:t>
            </w:r>
            <w:r w:rsidRPr="006A3B02">
              <w:rPr>
                <w:i/>
                <w:color w:val="000000"/>
                <w:szCs w:val="20"/>
              </w:rPr>
              <w:t>in</w:t>
            </w:r>
            <w:r w:rsidR="006A3B02">
              <w:rPr>
                <w:i/>
                <w:color w:val="000000"/>
                <w:szCs w:val="20"/>
              </w:rPr>
              <w:t>-</w:t>
            </w:r>
            <w:r w:rsidRPr="006A3B02">
              <w:rPr>
                <w:i/>
                <w:color w:val="000000"/>
                <w:szCs w:val="20"/>
              </w:rPr>
              <w:t>situ</w:t>
            </w:r>
            <w:r>
              <w:rPr>
                <w:color w:val="000000"/>
                <w:szCs w:val="20"/>
              </w:rPr>
              <w:t xml:space="preserve">. Under these scenarios it is estimated that the current SPL recycling infrastructure capacity will not be </w:t>
            </w:r>
            <w:r w:rsidR="004058BC">
              <w:rPr>
                <w:color w:val="000000"/>
                <w:szCs w:val="20"/>
              </w:rPr>
              <w:t>exceeded</w:t>
            </w:r>
            <w:r>
              <w:rPr>
                <w:color w:val="000000"/>
                <w:szCs w:val="20"/>
              </w:rPr>
              <w:t xml:space="preserve"> over the 20 year projection period. Under the high scenario it is assumed that the SPL stockpile is released </w:t>
            </w:r>
            <w:r w:rsidRPr="006A3B02">
              <w:rPr>
                <w:color w:val="000000"/>
                <w:szCs w:val="20"/>
              </w:rPr>
              <w:t>over a 10 year period (at a rate of 90kt/yr.) beginning in 2017</w:t>
            </w:r>
            <w:r>
              <w:rPr>
                <w:color w:val="000000"/>
                <w:szCs w:val="20"/>
              </w:rPr>
              <w:t xml:space="preserve">. </w:t>
            </w:r>
            <w:r w:rsidR="00757282" w:rsidRPr="00757282">
              <w:rPr>
                <w:color w:val="0C0C0C" w:themeColor="text1"/>
                <w:szCs w:val="20"/>
                <w:highlight w:val="red"/>
              </w:rPr>
              <w:t>CIC</w:t>
            </w:r>
            <w:r w:rsidR="00757282">
              <w:rPr>
                <w:color w:val="0C0C0C" w:themeColor="text1"/>
                <w:szCs w:val="20"/>
                <w:highlight w:val="red"/>
              </w:rPr>
              <w:t>.</w:t>
            </w:r>
            <w:r w:rsidRPr="00757282">
              <w:rPr>
                <w:color w:val="0C0C0C" w:themeColor="text1"/>
                <w:szCs w:val="20"/>
                <w:highlight w:val="red"/>
              </w:rPr>
              <w:t xml:space="preserve"> </w:t>
            </w:r>
          </w:p>
        </w:tc>
      </w:tr>
      <w:tr w:rsidR="00AE475C" w:rsidRPr="001711AE" w:rsidTr="00C109D3">
        <w:tc>
          <w:tcPr>
            <w:tcW w:w="1970" w:type="dxa"/>
            <w:tcBorders>
              <w:top w:val="single" w:sz="4" w:space="0" w:color="808080"/>
              <w:left w:val="nil"/>
              <w:bottom w:val="single" w:sz="4" w:space="0" w:color="808080"/>
              <w:right w:val="single" w:sz="4" w:space="0" w:color="BFBFBF"/>
            </w:tcBorders>
            <w:shd w:val="clear" w:color="auto" w:fill="auto"/>
            <w:tcMar>
              <w:top w:w="28" w:type="dxa"/>
              <w:bottom w:w="28" w:type="dxa"/>
            </w:tcMar>
            <w:hideMark/>
          </w:tcPr>
          <w:p w:rsidR="00012496" w:rsidRDefault="00FC7A7F" w:rsidP="001711AE">
            <w:pPr>
              <w:spacing w:line="240" w:lineRule="auto"/>
              <w:rPr>
                <w:szCs w:val="20"/>
              </w:rPr>
            </w:pPr>
            <w:r>
              <w:rPr>
                <w:szCs w:val="20"/>
              </w:rPr>
              <w:t>Organics fac. (NEPM code K wastes)</w:t>
            </w:r>
            <w:r>
              <w:rPr>
                <w:szCs w:val="20"/>
              </w:rPr>
              <w:br/>
            </w:r>
            <w:r w:rsidRPr="00012496">
              <w:rPr>
                <w:sz w:val="8"/>
                <w:szCs w:val="8"/>
              </w:rPr>
              <w:br/>
            </w:r>
            <w:r>
              <w:rPr>
                <w:szCs w:val="20"/>
              </w:rPr>
              <w:t xml:space="preserve">Facilities that recycle a range of low hazard organic wastes such as grease trap waste, cooking oil, animal effluents, etc. </w:t>
            </w:r>
          </w:p>
          <w:p w:rsidR="00012496" w:rsidRPr="00012496" w:rsidRDefault="00012496" w:rsidP="001711AE">
            <w:pPr>
              <w:spacing w:line="240" w:lineRule="auto"/>
              <w:rPr>
                <w:sz w:val="8"/>
                <w:szCs w:val="8"/>
              </w:rPr>
            </w:pPr>
          </w:p>
          <w:p w:rsidR="00FC7A7F" w:rsidRPr="007F5BD4" w:rsidRDefault="00FC7A7F" w:rsidP="001711AE">
            <w:pPr>
              <w:spacing w:line="240" w:lineRule="auto"/>
              <w:rPr>
                <w:rFonts w:cs="Times New Roman"/>
                <w:color w:val="000000"/>
                <w:sz w:val="18"/>
                <w:szCs w:val="18"/>
                <w:lang w:eastAsia="en-AU"/>
              </w:rPr>
            </w:pPr>
            <w:r>
              <w:rPr>
                <w:szCs w:val="20"/>
              </w:rPr>
              <w:t xml:space="preserve">Composting facilities </w:t>
            </w:r>
            <w:r>
              <w:rPr>
                <w:szCs w:val="20"/>
              </w:rPr>
              <w:lastRenderedPageBreak/>
              <w:t xml:space="preserve">are </w:t>
            </w:r>
            <w:r>
              <w:rPr>
                <w:b/>
                <w:bCs/>
                <w:szCs w:val="20"/>
              </w:rPr>
              <w:t>not included.</w:t>
            </w:r>
          </w:p>
        </w:tc>
        <w:tc>
          <w:tcPr>
            <w:tcW w:w="724" w:type="dxa"/>
            <w:tcBorders>
              <w:top w:val="single" w:sz="4" w:space="0" w:color="D9D9D9"/>
              <w:left w:val="nil"/>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szCs w:val="20"/>
              </w:rPr>
              <w:lastRenderedPageBreak/>
              <w:t>273</w:t>
            </w:r>
          </w:p>
        </w:tc>
        <w:tc>
          <w:tcPr>
            <w:tcW w:w="992"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szCs w:val="20"/>
              </w:rPr>
              <w:t>Very high</w:t>
            </w:r>
          </w:p>
        </w:tc>
        <w:tc>
          <w:tcPr>
            <w:tcW w:w="709"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szCs w:val="20"/>
              </w:rPr>
              <w:t>421 to 445</w:t>
            </w:r>
          </w:p>
        </w:tc>
        <w:tc>
          <w:tcPr>
            <w:tcW w:w="709"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BFBFBF"/>
                <w:sz w:val="18"/>
                <w:szCs w:val="18"/>
                <w:lang w:eastAsia="en-AU"/>
              </w:rPr>
            </w:pPr>
            <w:r>
              <w:rPr>
                <w:szCs w:val="20"/>
              </w:rPr>
              <w:t>2015</w:t>
            </w:r>
          </w:p>
        </w:tc>
        <w:tc>
          <w:tcPr>
            <w:tcW w:w="709"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BFBFBF"/>
                <w:sz w:val="18"/>
                <w:szCs w:val="18"/>
                <w:lang w:eastAsia="en-AU"/>
              </w:rPr>
            </w:pPr>
            <w:r>
              <w:rPr>
                <w:szCs w:val="20"/>
              </w:rPr>
              <w:t>2015</w:t>
            </w:r>
          </w:p>
        </w:tc>
        <w:tc>
          <w:tcPr>
            <w:tcW w:w="708"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BFBFBF"/>
                <w:sz w:val="18"/>
                <w:szCs w:val="18"/>
                <w:lang w:eastAsia="en-AU"/>
              </w:rPr>
            </w:pPr>
            <w:r>
              <w:rPr>
                <w:szCs w:val="20"/>
              </w:rPr>
              <w:t>2015</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C7A7F" w:rsidRPr="007F5BD4" w:rsidRDefault="00FC7A7F" w:rsidP="000A5B03">
            <w:pPr>
              <w:spacing w:line="240" w:lineRule="auto"/>
              <w:rPr>
                <w:rFonts w:cs="Times New Roman"/>
                <w:color w:val="000000"/>
                <w:sz w:val="18"/>
                <w:szCs w:val="18"/>
                <w:lang w:eastAsia="en-AU"/>
              </w:rPr>
            </w:pPr>
            <w:r>
              <w:rPr>
                <w:szCs w:val="20"/>
              </w:rPr>
              <w:t xml:space="preserve">Projections indicate that under all scenarios the current capacity of organics recycling infrastructure (for NEPM K code organics) is being exceeded. </w:t>
            </w:r>
            <w:r w:rsidR="00251BE0">
              <w:rPr>
                <w:szCs w:val="20"/>
              </w:rPr>
              <w:t>This inaccuracy is</w:t>
            </w:r>
            <w:r>
              <w:rPr>
                <w:szCs w:val="20"/>
              </w:rPr>
              <w:t xml:space="preserve"> </w:t>
            </w:r>
            <w:r w:rsidR="00251BE0">
              <w:rPr>
                <w:szCs w:val="20"/>
              </w:rPr>
              <w:t>linked</w:t>
            </w:r>
            <w:r>
              <w:rPr>
                <w:szCs w:val="20"/>
              </w:rPr>
              <w:t xml:space="preserve"> to the very high uncertainty of the capacity assessment. As discussed in Section 4.2, the majority of the arisings of NEPM K code wastes are sent to infrastructure that has limited coverage in the capacity assessment database. To complete a quantitative analysis of projected arisings of NEPM K code organics </w:t>
            </w:r>
            <w:r w:rsidR="000A5B03">
              <w:rPr>
                <w:szCs w:val="20"/>
              </w:rPr>
              <w:t>against</w:t>
            </w:r>
            <w:r>
              <w:rPr>
                <w:szCs w:val="20"/>
              </w:rPr>
              <w:t xml:space="preserve"> infrastructure capacity</w:t>
            </w:r>
            <w:r w:rsidR="000A5B03">
              <w:rPr>
                <w:szCs w:val="20"/>
              </w:rPr>
              <w:t>,</w:t>
            </w:r>
            <w:r>
              <w:rPr>
                <w:szCs w:val="20"/>
              </w:rPr>
              <w:t xml:space="preserve"> </w:t>
            </w:r>
            <w:r w:rsidR="000A5B03">
              <w:rPr>
                <w:szCs w:val="20"/>
              </w:rPr>
              <w:t xml:space="preserve">extensive </w:t>
            </w:r>
            <w:r w:rsidR="00251BE0">
              <w:rPr>
                <w:szCs w:val="20"/>
              </w:rPr>
              <w:t>data</w:t>
            </w:r>
            <w:r w:rsidR="000A5B03">
              <w:rPr>
                <w:szCs w:val="20"/>
              </w:rPr>
              <w:t xml:space="preserve"> would be required</w:t>
            </w:r>
            <w:r w:rsidR="00251BE0">
              <w:rPr>
                <w:szCs w:val="20"/>
              </w:rPr>
              <w:t xml:space="preserve"> on</w:t>
            </w:r>
            <w:r>
              <w:rPr>
                <w:szCs w:val="20"/>
              </w:rPr>
              <w:t xml:space="preserve"> 'non-hazardous waste infrastructure' that </w:t>
            </w:r>
            <w:r w:rsidR="000A5B03">
              <w:rPr>
                <w:szCs w:val="20"/>
              </w:rPr>
              <w:t>accepts</w:t>
            </w:r>
            <w:r>
              <w:rPr>
                <w:szCs w:val="20"/>
              </w:rPr>
              <w:t xml:space="preserve"> only a relatively small amount of low level hazardous wastes as part of much larger non-hazardous waste volume. In addition, some smaller operators that </w:t>
            </w:r>
            <w:r w:rsidR="00251BE0">
              <w:rPr>
                <w:szCs w:val="20"/>
              </w:rPr>
              <w:t xml:space="preserve">specialise in hazardous </w:t>
            </w:r>
            <w:r>
              <w:rPr>
                <w:szCs w:val="20"/>
              </w:rPr>
              <w:t>organic</w:t>
            </w:r>
            <w:r w:rsidR="00251BE0">
              <w:rPr>
                <w:szCs w:val="20"/>
              </w:rPr>
              <w:t xml:space="preserve"> wastes may not be </w:t>
            </w:r>
            <w:r>
              <w:rPr>
                <w:szCs w:val="20"/>
              </w:rPr>
              <w:t>within the infrastructure database</w:t>
            </w:r>
            <w:r w:rsidR="00251BE0">
              <w:rPr>
                <w:szCs w:val="20"/>
              </w:rPr>
              <w:t xml:space="preserve"> </w:t>
            </w:r>
            <w:r>
              <w:rPr>
                <w:szCs w:val="20"/>
              </w:rPr>
              <w:t>due to the diffuse nature of this infrastructure group.</w:t>
            </w:r>
            <w:r>
              <w:rPr>
                <w:szCs w:val="20"/>
              </w:rPr>
              <w:br/>
            </w:r>
            <w:r w:rsidR="00110D33" w:rsidRPr="00110D33">
              <w:rPr>
                <w:color w:val="000000"/>
                <w:sz w:val="8"/>
                <w:szCs w:val="8"/>
              </w:rPr>
              <w:br/>
            </w:r>
            <w:r>
              <w:rPr>
                <w:szCs w:val="20"/>
              </w:rPr>
              <w:lastRenderedPageBreak/>
              <w:t>Based on industry consul</w:t>
            </w:r>
            <w:r w:rsidR="00251BE0">
              <w:rPr>
                <w:szCs w:val="20"/>
              </w:rPr>
              <w:t>tation and our assessment of o</w:t>
            </w:r>
            <w:r>
              <w:rPr>
                <w:szCs w:val="20"/>
              </w:rPr>
              <w:t>rganics recycling infrastructure (for NEPM code N) we do not believe that there is likely to be a national shortage of this infrastructure group over the next 20 years. There may be some regional limitations</w:t>
            </w:r>
            <w:r w:rsidR="00D10257">
              <w:rPr>
                <w:szCs w:val="20"/>
              </w:rPr>
              <w:t xml:space="preserve"> (see jurisdictional analysis)</w:t>
            </w:r>
            <w:r>
              <w:rPr>
                <w:szCs w:val="20"/>
              </w:rPr>
              <w:t xml:space="preserve">. </w:t>
            </w:r>
          </w:p>
        </w:tc>
      </w:tr>
      <w:tr w:rsidR="00FC7A7F" w:rsidRPr="001711AE" w:rsidTr="00FA3E44">
        <w:tc>
          <w:tcPr>
            <w:tcW w:w="15310" w:type="dxa"/>
            <w:gridSpan w:val="10"/>
            <w:tcBorders>
              <w:top w:val="single" w:sz="4" w:space="0" w:color="808080"/>
              <w:left w:val="nil"/>
              <w:bottom w:val="nil"/>
              <w:right w:val="nil"/>
            </w:tcBorders>
            <w:shd w:val="clear" w:color="000000" w:fill="C5D9F1"/>
            <w:noWrap/>
            <w:tcMar>
              <w:top w:w="28" w:type="dxa"/>
              <w:left w:w="28" w:type="dxa"/>
              <w:bottom w:w="28" w:type="dxa"/>
              <w:right w:w="28" w:type="dxa"/>
            </w:tcMar>
            <w:hideMark/>
          </w:tcPr>
          <w:p w:rsidR="00FC7A7F" w:rsidRPr="007F5BD4" w:rsidRDefault="00FC7A7F" w:rsidP="002923A3">
            <w:pPr>
              <w:spacing w:line="240" w:lineRule="auto"/>
              <w:rPr>
                <w:rFonts w:cs="Times New Roman"/>
                <w:b/>
                <w:bCs/>
                <w:color w:val="000000"/>
                <w:sz w:val="18"/>
                <w:szCs w:val="18"/>
                <w:lang w:eastAsia="en-AU"/>
              </w:rPr>
            </w:pPr>
            <w:r>
              <w:rPr>
                <w:b/>
                <w:bCs/>
                <w:color w:val="000000"/>
                <w:szCs w:val="20"/>
              </w:rPr>
              <w:lastRenderedPageBreak/>
              <w:t>Treatment</w:t>
            </w:r>
          </w:p>
        </w:tc>
      </w:tr>
      <w:tr w:rsidR="00FC7A7F" w:rsidRPr="001711AE" w:rsidTr="00C109D3">
        <w:tc>
          <w:tcPr>
            <w:tcW w:w="1970" w:type="dxa"/>
            <w:tcBorders>
              <w:top w:val="nil"/>
              <w:left w:val="nil"/>
              <w:bottom w:val="single" w:sz="4" w:space="0" w:color="808080"/>
              <w:right w:val="single" w:sz="4" w:space="0" w:color="BFBFBF"/>
            </w:tcBorders>
            <w:shd w:val="clear" w:color="auto" w:fill="auto"/>
            <w:noWrap/>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CPT plant</w:t>
            </w:r>
          </w:p>
        </w:tc>
        <w:tc>
          <w:tcPr>
            <w:tcW w:w="724" w:type="dxa"/>
            <w:tcBorders>
              <w:top w:val="single" w:sz="4" w:space="0" w:color="D9D9D9"/>
              <w:left w:val="nil"/>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1559</w:t>
            </w:r>
          </w:p>
        </w:tc>
        <w:tc>
          <w:tcPr>
            <w:tcW w:w="992"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Moderate</w:t>
            </w:r>
          </w:p>
        </w:tc>
        <w:tc>
          <w:tcPr>
            <w:tcW w:w="709"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671 to 734</w:t>
            </w:r>
          </w:p>
        </w:tc>
        <w:tc>
          <w:tcPr>
            <w:tcW w:w="851"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708"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2030</w:t>
            </w:r>
          </w:p>
        </w:tc>
        <w:tc>
          <w:tcPr>
            <w:tcW w:w="567"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C7A7F" w:rsidRPr="007F5BD4" w:rsidRDefault="00FC7A7F" w:rsidP="00307D06">
            <w:pPr>
              <w:spacing w:line="240" w:lineRule="auto"/>
              <w:rPr>
                <w:rFonts w:cs="Times New Roman"/>
                <w:color w:val="000000"/>
                <w:sz w:val="18"/>
                <w:szCs w:val="18"/>
                <w:lang w:eastAsia="en-AU"/>
              </w:rPr>
            </w:pPr>
            <w:r>
              <w:rPr>
                <w:color w:val="000000"/>
                <w:szCs w:val="20"/>
              </w:rPr>
              <w:t>Based on the best and low projections of arisings CPT infrastructure is estimated to be able to meet national demand over the next 20 years.</w:t>
            </w:r>
            <w:r w:rsidR="00D06841">
              <w:rPr>
                <w:color w:val="000000"/>
                <w:szCs w:val="20"/>
              </w:rPr>
              <w:t xml:space="preserve"> </w:t>
            </w:r>
            <w:r>
              <w:rPr>
                <w:color w:val="000000"/>
                <w:szCs w:val="20"/>
              </w:rPr>
              <w:t xml:space="preserve">Based on the high projection of arisings CPT national capacity could be </w:t>
            </w:r>
            <w:r w:rsidR="0074160C">
              <w:rPr>
                <w:color w:val="000000"/>
                <w:szCs w:val="20"/>
              </w:rPr>
              <w:t>exceeded</w:t>
            </w:r>
            <w:r>
              <w:rPr>
                <w:color w:val="000000"/>
                <w:szCs w:val="20"/>
              </w:rPr>
              <w:t xml:space="preserve"> in 2030. For all three scenarios</w:t>
            </w:r>
            <w:r w:rsidR="0074160C">
              <w:rPr>
                <w:color w:val="000000"/>
                <w:szCs w:val="20"/>
              </w:rPr>
              <w:t>,</w:t>
            </w:r>
            <w:r>
              <w:rPr>
                <w:color w:val="000000"/>
                <w:szCs w:val="20"/>
              </w:rPr>
              <w:t xml:space="preserve"> the projections are based on varying degrees of decline in some waste groups, such as </w:t>
            </w:r>
            <w:r w:rsidRPr="0074160C">
              <w:rPr>
                <w:i/>
                <w:color w:val="000000"/>
                <w:szCs w:val="20"/>
              </w:rPr>
              <w:t>B Acids</w:t>
            </w:r>
            <w:r>
              <w:rPr>
                <w:color w:val="000000"/>
                <w:szCs w:val="20"/>
              </w:rPr>
              <w:t xml:space="preserve"> and </w:t>
            </w:r>
            <w:r w:rsidRPr="0074160C">
              <w:rPr>
                <w:i/>
                <w:color w:val="000000"/>
                <w:szCs w:val="20"/>
              </w:rPr>
              <w:t>E Reactive chemicals</w:t>
            </w:r>
            <w:r>
              <w:rPr>
                <w:color w:val="000000"/>
                <w:szCs w:val="20"/>
              </w:rPr>
              <w:t>,</w:t>
            </w:r>
            <w:r w:rsidR="00D06841">
              <w:rPr>
                <w:color w:val="000000"/>
                <w:szCs w:val="20"/>
              </w:rPr>
              <w:t xml:space="preserve"> </w:t>
            </w:r>
            <w:r>
              <w:rPr>
                <w:color w:val="000000"/>
                <w:szCs w:val="20"/>
              </w:rPr>
              <w:t xml:space="preserve">and growth in other waste groups, such as </w:t>
            </w:r>
            <w:r w:rsidRPr="0074160C">
              <w:rPr>
                <w:i/>
                <w:color w:val="000000"/>
                <w:szCs w:val="20"/>
              </w:rPr>
              <w:t>D300 Non-toxic salts</w:t>
            </w:r>
            <w:r>
              <w:rPr>
                <w:color w:val="000000"/>
                <w:szCs w:val="20"/>
              </w:rPr>
              <w:t xml:space="preserve"> and </w:t>
            </w:r>
            <w:r w:rsidRPr="0074160C">
              <w:rPr>
                <w:i/>
                <w:color w:val="000000"/>
                <w:szCs w:val="20"/>
              </w:rPr>
              <w:t>C Alkalis</w:t>
            </w:r>
            <w:r>
              <w:rPr>
                <w:color w:val="000000"/>
                <w:szCs w:val="20"/>
              </w:rPr>
              <w:t xml:space="preserve"> that are projected to increase driven by </w:t>
            </w:r>
            <w:r w:rsidR="00CE68A8">
              <w:rPr>
                <w:color w:val="000000"/>
                <w:szCs w:val="20"/>
              </w:rPr>
              <w:t>oil and gas (C</w:t>
            </w:r>
            <w:r>
              <w:rPr>
                <w:color w:val="000000"/>
                <w:szCs w:val="20"/>
              </w:rPr>
              <w:t>SG) industry developments. There may be some regional limitations</w:t>
            </w:r>
            <w:r w:rsidR="00D10257">
              <w:rPr>
                <w:color w:val="000000"/>
                <w:szCs w:val="20"/>
              </w:rPr>
              <w:t xml:space="preserve"> (see jurisdictional analysis)</w:t>
            </w:r>
            <w:r>
              <w:rPr>
                <w:color w:val="000000"/>
                <w:szCs w:val="20"/>
              </w:rPr>
              <w:t xml:space="preserve">. </w:t>
            </w:r>
            <w:r>
              <w:rPr>
                <w:color w:val="000000"/>
                <w:szCs w:val="20"/>
              </w:rPr>
              <w:br/>
            </w:r>
            <w:r w:rsidR="00110D33" w:rsidRPr="00110D33">
              <w:rPr>
                <w:color w:val="000000"/>
                <w:sz w:val="8"/>
                <w:szCs w:val="8"/>
              </w:rPr>
              <w:br/>
            </w:r>
            <w:r>
              <w:rPr>
                <w:color w:val="000000"/>
                <w:szCs w:val="20"/>
              </w:rPr>
              <w:t>The infrastructure capacity assessment for this group has moderate uncertainty due mainly to the overlap</w:t>
            </w:r>
            <w:r w:rsidR="0074160C">
              <w:rPr>
                <w:color w:val="000000"/>
                <w:szCs w:val="20"/>
              </w:rPr>
              <w:t>ping capacity</w:t>
            </w:r>
            <w:r>
              <w:rPr>
                <w:color w:val="000000"/>
                <w:szCs w:val="20"/>
              </w:rPr>
              <w:t xml:space="preserve"> with other infrastructure groups, such as solvents/paints recycling and transfer station or te</w:t>
            </w:r>
            <w:r w:rsidR="0074160C">
              <w:rPr>
                <w:color w:val="000000"/>
                <w:szCs w:val="20"/>
              </w:rPr>
              <w:t>mporary storage, resulting in a</w:t>
            </w:r>
            <w:r>
              <w:rPr>
                <w:color w:val="000000"/>
                <w:szCs w:val="20"/>
              </w:rPr>
              <w:t xml:space="preserve"> likely overestimate of capacity. Offsetting </w:t>
            </w:r>
            <w:r w:rsidR="00307D06">
              <w:rPr>
                <w:color w:val="000000"/>
                <w:szCs w:val="20"/>
              </w:rPr>
              <w:t>this</w:t>
            </w:r>
            <w:r>
              <w:rPr>
                <w:color w:val="000000"/>
                <w:szCs w:val="20"/>
              </w:rPr>
              <w:t xml:space="preserve"> is uncertainty </w:t>
            </w:r>
            <w:r w:rsidR="00307D06">
              <w:rPr>
                <w:color w:val="000000"/>
                <w:szCs w:val="20"/>
              </w:rPr>
              <w:t>about</w:t>
            </w:r>
            <w:r>
              <w:rPr>
                <w:color w:val="000000"/>
                <w:szCs w:val="20"/>
              </w:rPr>
              <w:t xml:space="preserve"> the amount of CSG industry wastes that will actually leave the development site and be sent to CPT facilit</w:t>
            </w:r>
            <w:r w:rsidR="0074160C">
              <w:rPr>
                <w:color w:val="000000"/>
                <w:szCs w:val="20"/>
              </w:rPr>
              <w:t>ies</w:t>
            </w:r>
            <w:r>
              <w:rPr>
                <w:color w:val="000000"/>
                <w:szCs w:val="20"/>
              </w:rPr>
              <w:t xml:space="preserve">. </w:t>
            </w:r>
          </w:p>
        </w:tc>
      </w:tr>
      <w:tr w:rsidR="00FC7A7F" w:rsidRPr="001711AE" w:rsidTr="00C109D3">
        <w:tc>
          <w:tcPr>
            <w:tcW w:w="1970" w:type="dxa"/>
            <w:tcBorders>
              <w:top w:val="single" w:sz="4" w:space="0" w:color="808080"/>
              <w:left w:val="nil"/>
              <w:bottom w:val="single" w:sz="4" w:space="0" w:color="808080"/>
              <w:right w:val="nil"/>
            </w:tcBorders>
            <w:shd w:val="clear" w:color="auto" w:fill="auto"/>
            <w:noWrap/>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Clinical waste fac. (T)</w:t>
            </w:r>
          </w:p>
        </w:tc>
        <w:tc>
          <w:tcPr>
            <w:tcW w:w="724" w:type="dxa"/>
            <w:tcBorders>
              <w:top w:val="single" w:sz="4" w:space="0" w:color="D9D9D9"/>
              <w:left w:val="single" w:sz="4" w:space="0" w:color="BFBFBF"/>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26</w:t>
            </w:r>
          </w:p>
        </w:tc>
        <w:tc>
          <w:tcPr>
            <w:tcW w:w="992"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High</w:t>
            </w:r>
          </w:p>
        </w:tc>
        <w:tc>
          <w:tcPr>
            <w:tcW w:w="709"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 to 22</w:t>
            </w:r>
          </w:p>
        </w:tc>
        <w:tc>
          <w:tcPr>
            <w:tcW w:w="851"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2026</w:t>
            </w:r>
          </w:p>
        </w:tc>
        <w:tc>
          <w:tcPr>
            <w:tcW w:w="708"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2020</w:t>
            </w:r>
          </w:p>
        </w:tc>
        <w:tc>
          <w:tcPr>
            <w:tcW w:w="567"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44C26" w:rsidRDefault="00F44C26" w:rsidP="00F44C26">
            <w:pPr>
              <w:pStyle w:val="BodyText"/>
              <w:rPr>
                <w:color w:val="000000"/>
                <w:sz w:val="20"/>
                <w:szCs w:val="20"/>
              </w:rPr>
            </w:pPr>
            <w:r w:rsidRPr="007F5BD4">
              <w:rPr>
                <w:color w:val="000000"/>
                <w:sz w:val="20"/>
                <w:szCs w:val="20"/>
              </w:rPr>
              <w:t xml:space="preserve">Based on the current industry projection of arisings increasing at the rate 1.9% per annum and the potential capacity of clinical waste treatment – capacity could be </w:t>
            </w:r>
            <w:r w:rsidR="0074160C">
              <w:rPr>
                <w:color w:val="000000"/>
                <w:sz w:val="20"/>
                <w:szCs w:val="20"/>
              </w:rPr>
              <w:t>exceeded</w:t>
            </w:r>
            <w:r w:rsidRPr="007F5BD4">
              <w:rPr>
                <w:color w:val="000000"/>
                <w:sz w:val="20"/>
                <w:szCs w:val="20"/>
              </w:rPr>
              <w:t xml:space="preserve"> by 2026. Based on the high projection, </w:t>
            </w:r>
            <w:r w:rsidR="0074160C">
              <w:rPr>
                <w:color w:val="000000"/>
                <w:sz w:val="20"/>
                <w:szCs w:val="20"/>
              </w:rPr>
              <w:t>where arisings increase</w:t>
            </w:r>
            <w:r w:rsidRPr="007F5BD4">
              <w:rPr>
                <w:color w:val="000000"/>
                <w:sz w:val="20"/>
                <w:szCs w:val="20"/>
              </w:rPr>
              <w:t xml:space="preserve"> at 3.9% per annum, national capacity could be </w:t>
            </w:r>
            <w:r w:rsidR="00903F10" w:rsidRPr="00903F10">
              <w:rPr>
                <w:color w:val="000000"/>
                <w:sz w:val="20"/>
                <w:szCs w:val="20"/>
              </w:rPr>
              <w:t>exceeded</w:t>
            </w:r>
            <w:r w:rsidR="00903F10">
              <w:rPr>
                <w:color w:val="000000"/>
                <w:szCs w:val="20"/>
              </w:rPr>
              <w:t xml:space="preserve"> </w:t>
            </w:r>
            <w:r w:rsidRPr="007F5BD4">
              <w:rPr>
                <w:color w:val="000000"/>
                <w:sz w:val="20"/>
                <w:szCs w:val="20"/>
              </w:rPr>
              <w:t>in 2020. Under the low scenario where growth is below the current industry projection (-0.1% per annum) national capacity is projected to meet demand over the next 20 years.</w:t>
            </w:r>
            <w:r w:rsidR="00D06841">
              <w:rPr>
                <w:color w:val="000000"/>
                <w:sz w:val="20"/>
                <w:szCs w:val="20"/>
              </w:rPr>
              <w:t xml:space="preserve"> </w:t>
            </w:r>
          </w:p>
          <w:p w:rsidR="0074160C" w:rsidRPr="0074160C" w:rsidRDefault="0074160C" w:rsidP="00F44C26">
            <w:pPr>
              <w:pStyle w:val="BodyText"/>
              <w:rPr>
                <w:color w:val="000000"/>
                <w:sz w:val="8"/>
                <w:szCs w:val="8"/>
              </w:rPr>
            </w:pPr>
          </w:p>
          <w:p w:rsidR="00FC7A7F" w:rsidRPr="007F5BD4" w:rsidRDefault="00F44C26" w:rsidP="00903F10">
            <w:pPr>
              <w:pStyle w:val="BodyText"/>
              <w:rPr>
                <w:rFonts w:cs="Times New Roman"/>
                <w:color w:val="000000"/>
                <w:sz w:val="18"/>
                <w:szCs w:val="18"/>
                <w:lang w:eastAsia="en-AU"/>
              </w:rPr>
            </w:pPr>
            <w:r w:rsidRPr="007F5BD4">
              <w:rPr>
                <w:color w:val="000000"/>
                <w:sz w:val="20"/>
                <w:szCs w:val="20"/>
              </w:rPr>
              <w:t xml:space="preserve">The infrastructure capacity assessment for this group has high uncertainty due to a poor response rate from industry and </w:t>
            </w:r>
            <w:r w:rsidR="0074160C">
              <w:rPr>
                <w:color w:val="000000"/>
                <w:sz w:val="20"/>
                <w:szCs w:val="20"/>
              </w:rPr>
              <w:t>capacity</w:t>
            </w:r>
            <w:r w:rsidR="00903F10">
              <w:rPr>
                <w:color w:val="000000"/>
                <w:sz w:val="20"/>
                <w:szCs w:val="20"/>
              </w:rPr>
              <w:t xml:space="preserve"> overlap</w:t>
            </w:r>
            <w:r w:rsidRPr="007F5BD4">
              <w:rPr>
                <w:color w:val="000000"/>
                <w:sz w:val="20"/>
                <w:szCs w:val="20"/>
              </w:rPr>
              <w:t xml:space="preserve"> with the </w:t>
            </w:r>
            <w:r w:rsidRPr="00CC30F0">
              <w:rPr>
                <w:color w:val="000000"/>
                <w:sz w:val="20"/>
                <w:szCs w:val="20"/>
              </w:rPr>
              <w:t>thermal destruction</w:t>
            </w:r>
            <w:r w:rsidRPr="007F5BD4">
              <w:rPr>
                <w:color w:val="000000"/>
                <w:sz w:val="20"/>
                <w:szCs w:val="20"/>
              </w:rPr>
              <w:t xml:space="preserve"> </w:t>
            </w:r>
            <w:r w:rsidR="00CC30F0">
              <w:rPr>
                <w:color w:val="000000"/>
                <w:sz w:val="20"/>
                <w:szCs w:val="20"/>
              </w:rPr>
              <w:t>infrastructure</w:t>
            </w:r>
            <w:r w:rsidR="00903F10">
              <w:rPr>
                <w:color w:val="000000"/>
                <w:sz w:val="20"/>
                <w:szCs w:val="20"/>
              </w:rPr>
              <w:t xml:space="preserve"> (resulting in a</w:t>
            </w:r>
            <w:r w:rsidRPr="007F5BD4">
              <w:rPr>
                <w:color w:val="000000"/>
                <w:sz w:val="20"/>
                <w:szCs w:val="20"/>
              </w:rPr>
              <w:t xml:space="preserve"> likely under estimate of the infrastructure group capacity). </w:t>
            </w:r>
          </w:p>
        </w:tc>
      </w:tr>
      <w:tr w:rsidR="00FC7A7F" w:rsidRPr="001711AE" w:rsidTr="00C109D3">
        <w:tc>
          <w:tcPr>
            <w:tcW w:w="1970" w:type="dxa"/>
            <w:tcBorders>
              <w:top w:val="single" w:sz="4" w:space="0" w:color="808080"/>
              <w:left w:val="nil"/>
              <w:bottom w:val="single" w:sz="4" w:space="0" w:color="808080"/>
              <w:right w:val="nil"/>
            </w:tcBorders>
            <w:shd w:val="clear" w:color="auto" w:fill="auto"/>
            <w:noWrap/>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Soils treatment fac.</w:t>
            </w:r>
          </w:p>
        </w:tc>
        <w:tc>
          <w:tcPr>
            <w:tcW w:w="724" w:type="dxa"/>
            <w:tcBorders>
              <w:top w:val="single" w:sz="4" w:space="0" w:color="D9D9D9"/>
              <w:left w:val="single" w:sz="4" w:space="0" w:color="BFBFBF"/>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185</w:t>
            </w:r>
          </w:p>
        </w:tc>
        <w:tc>
          <w:tcPr>
            <w:tcW w:w="992"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Moderate</w:t>
            </w:r>
          </w:p>
        </w:tc>
        <w:tc>
          <w:tcPr>
            <w:tcW w:w="709"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 to 59</w:t>
            </w:r>
          </w:p>
        </w:tc>
        <w:tc>
          <w:tcPr>
            <w:tcW w:w="851"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708"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567"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&gt;2034</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C7A7F" w:rsidRPr="007F5BD4" w:rsidRDefault="00FC7A7F" w:rsidP="00903F10">
            <w:pPr>
              <w:spacing w:line="240" w:lineRule="auto"/>
              <w:rPr>
                <w:rFonts w:cs="Times New Roman"/>
                <w:color w:val="000000"/>
                <w:sz w:val="18"/>
                <w:szCs w:val="18"/>
                <w:lang w:eastAsia="en-AU"/>
              </w:rPr>
            </w:pPr>
            <w:r>
              <w:rPr>
                <w:color w:val="000000"/>
                <w:szCs w:val="20"/>
              </w:rPr>
              <w:t>Analysis indicates that under all scenarios over the next 20 years the potential capacity of Australia's current and planned contaminated soils treatment infrastructure will be able to treat waste arisings. There may be some regional limitations</w:t>
            </w:r>
            <w:r w:rsidR="00D10257">
              <w:rPr>
                <w:color w:val="000000"/>
                <w:szCs w:val="20"/>
              </w:rPr>
              <w:t xml:space="preserve"> (see jurisdictional analysis)</w:t>
            </w:r>
            <w:r>
              <w:rPr>
                <w:color w:val="000000"/>
                <w:szCs w:val="20"/>
              </w:rPr>
              <w:t>.</w:t>
            </w:r>
            <w:r w:rsidR="00CC30F0">
              <w:rPr>
                <w:color w:val="000000"/>
                <w:szCs w:val="20"/>
              </w:rPr>
              <w:t xml:space="preserve"> </w:t>
            </w:r>
            <w:r w:rsidR="00903F10">
              <w:rPr>
                <w:color w:val="000000"/>
                <w:szCs w:val="20"/>
              </w:rPr>
              <w:t>Importantly, t</w:t>
            </w:r>
            <w:r w:rsidR="00CC30F0">
              <w:rPr>
                <w:color w:val="000000"/>
                <w:szCs w:val="20"/>
              </w:rPr>
              <w:t xml:space="preserve">hese </w:t>
            </w:r>
            <w:r>
              <w:rPr>
                <w:color w:val="000000"/>
                <w:szCs w:val="20"/>
              </w:rPr>
              <w:t>estimates assume no change in the current</w:t>
            </w:r>
            <w:r w:rsidR="00903F10">
              <w:rPr>
                <w:color w:val="000000"/>
                <w:szCs w:val="20"/>
              </w:rPr>
              <w:t xml:space="preserve"> fate patterns of </w:t>
            </w:r>
            <w:r>
              <w:rPr>
                <w:color w:val="000000"/>
                <w:szCs w:val="20"/>
              </w:rPr>
              <w:t xml:space="preserve">contaminated soil, </w:t>
            </w:r>
            <w:r w:rsidRPr="00CC30F0">
              <w:rPr>
                <w:color w:val="000000"/>
                <w:szCs w:val="20"/>
              </w:rPr>
              <w:t>which is mostly</w:t>
            </w:r>
            <w:r w:rsidR="00903F10">
              <w:rPr>
                <w:color w:val="000000"/>
                <w:szCs w:val="20"/>
              </w:rPr>
              <w:t xml:space="preserve"> sent</w:t>
            </w:r>
            <w:r w:rsidRPr="00CC30F0">
              <w:rPr>
                <w:color w:val="000000"/>
                <w:szCs w:val="20"/>
              </w:rPr>
              <w:t xml:space="preserve"> landfill</w:t>
            </w:r>
            <w:r w:rsidRPr="00E97D4C">
              <w:rPr>
                <w:color w:val="000000"/>
                <w:szCs w:val="20"/>
              </w:rPr>
              <w:t>.</w:t>
            </w:r>
            <w:r>
              <w:rPr>
                <w:color w:val="000000"/>
                <w:szCs w:val="20"/>
              </w:rPr>
              <w:t xml:space="preserve"> Landfill bans on contaminated soils would significantly change these estimates. No jurisdiction noted any intention to ban </w:t>
            </w:r>
            <w:r>
              <w:rPr>
                <w:color w:val="000000"/>
                <w:szCs w:val="20"/>
              </w:rPr>
              <w:lastRenderedPageBreak/>
              <w:t xml:space="preserve">soils from landfill during consultation. </w:t>
            </w:r>
            <w:r>
              <w:rPr>
                <w:color w:val="000000"/>
                <w:szCs w:val="20"/>
              </w:rPr>
              <w:br/>
            </w:r>
            <w:r w:rsidR="00110D33" w:rsidRPr="00110D33">
              <w:rPr>
                <w:color w:val="000000"/>
                <w:sz w:val="8"/>
                <w:szCs w:val="8"/>
              </w:rPr>
              <w:br/>
            </w:r>
            <w:r>
              <w:rPr>
                <w:color w:val="000000"/>
                <w:szCs w:val="20"/>
              </w:rPr>
              <w:t xml:space="preserve">The infrastructure capacity </w:t>
            </w:r>
            <w:proofErr w:type="gramStart"/>
            <w:r>
              <w:rPr>
                <w:color w:val="000000"/>
                <w:szCs w:val="20"/>
              </w:rPr>
              <w:t>assessment for this group has moderate uncertainty due</w:t>
            </w:r>
            <w:r w:rsidR="00903F10">
              <w:rPr>
                <w:color w:val="000000"/>
                <w:szCs w:val="20"/>
              </w:rPr>
              <w:t xml:space="preserve"> to a</w:t>
            </w:r>
            <w:r>
              <w:rPr>
                <w:color w:val="000000"/>
                <w:szCs w:val="20"/>
              </w:rPr>
              <w:t xml:space="preserve"> moderate response rate during consultation, capacity</w:t>
            </w:r>
            <w:r w:rsidR="00903F10">
              <w:rPr>
                <w:color w:val="000000"/>
                <w:szCs w:val="20"/>
              </w:rPr>
              <w:t xml:space="preserve"> overlap</w:t>
            </w:r>
            <w:r>
              <w:rPr>
                <w:color w:val="000000"/>
                <w:szCs w:val="20"/>
              </w:rPr>
              <w:t xml:space="preserve"> with POPs thermal destruction</w:t>
            </w:r>
            <w:r w:rsidR="00903F10">
              <w:rPr>
                <w:color w:val="000000"/>
                <w:szCs w:val="20"/>
              </w:rPr>
              <w:t xml:space="preserve"> infrastructure</w:t>
            </w:r>
            <w:r>
              <w:rPr>
                <w:color w:val="000000"/>
                <w:szCs w:val="20"/>
              </w:rPr>
              <w:t xml:space="preserve">, and </w:t>
            </w:r>
            <w:r w:rsidR="00CC30F0">
              <w:rPr>
                <w:color w:val="000000"/>
                <w:szCs w:val="20"/>
              </w:rPr>
              <w:t>diffuse</w:t>
            </w:r>
            <w:proofErr w:type="gramEnd"/>
            <w:r>
              <w:rPr>
                <w:color w:val="000000"/>
                <w:szCs w:val="20"/>
              </w:rPr>
              <w:t xml:space="preserve"> soil treatment technologies including some 'mobile' </w:t>
            </w:r>
            <w:r w:rsidR="00CC30F0">
              <w:rPr>
                <w:color w:val="000000"/>
                <w:szCs w:val="20"/>
              </w:rPr>
              <w:t>capacity.</w:t>
            </w:r>
          </w:p>
        </w:tc>
      </w:tr>
      <w:tr w:rsidR="00FC7A7F" w:rsidRPr="001711AE" w:rsidTr="00FA3E44">
        <w:tc>
          <w:tcPr>
            <w:tcW w:w="15310" w:type="dxa"/>
            <w:gridSpan w:val="10"/>
            <w:tcBorders>
              <w:top w:val="single" w:sz="4" w:space="0" w:color="808080"/>
              <w:left w:val="nil"/>
              <w:bottom w:val="nil"/>
              <w:right w:val="nil"/>
            </w:tcBorders>
            <w:shd w:val="clear" w:color="000000" w:fill="C5D9F1"/>
            <w:noWrap/>
            <w:tcMar>
              <w:top w:w="28" w:type="dxa"/>
              <w:left w:w="28" w:type="dxa"/>
              <w:bottom w:w="28" w:type="dxa"/>
              <w:right w:w="28" w:type="dxa"/>
            </w:tcMar>
            <w:hideMark/>
          </w:tcPr>
          <w:p w:rsidR="00FC7A7F" w:rsidRPr="007F5BD4" w:rsidRDefault="00FC7A7F" w:rsidP="002923A3">
            <w:pPr>
              <w:spacing w:line="240" w:lineRule="auto"/>
              <w:rPr>
                <w:rFonts w:cs="Times New Roman"/>
                <w:b/>
                <w:bCs/>
                <w:color w:val="000000"/>
                <w:sz w:val="18"/>
                <w:szCs w:val="18"/>
                <w:lang w:eastAsia="en-AU"/>
              </w:rPr>
            </w:pPr>
            <w:r>
              <w:rPr>
                <w:b/>
                <w:bCs/>
                <w:color w:val="000000"/>
                <w:szCs w:val="20"/>
              </w:rPr>
              <w:lastRenderedPageBreak/>
              <w:t>Disposal: landfill, thermal destruction (TD)</w:t>
            </w:r>
          </w:p>
        </w:tc>
      </w:tr>
      <w:tr w:rsidR="00FC7A7F" w:rsidRPr="001711AE" w:rsidTr="00C109D3">
        <w:tc>
          <w:tcPr>
            <w:tcW w:w="1970" w:type="dxa"/>
            <w:tcBorders>
              <w:top w:val="nil"/>
              <w:left w:val="nil"/>
              <w:bottom w:val="single" w:sz="4" w:space="0" w:color="808080"/>
              <w:right w:val="single" w:sz="4" w:space="0" w:color="BFBFBF"/>
            </w:tcBorders>
            <w:shd w:val="clear" w:color="auto" w:fill="auto"/>
            <w:noWrap/>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 xml:space="preserve">Hazwaste landfill fac. </w:t>
            </w:r>
          </w:p>
        </w:tc>
        <w:tc>
          <w:tcPr>
            <w:tcW w:w="724" w:type="dxa"/>
            <w:tcBorders>
              <w:top w:val="single" w:sz="4" w:space="0" w:color="D9D9D9"/>
              <w:left w:val="nil"/>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274</w:t>
            </w:r>
          </w:p>
        </w:tc>
        <w:tc>
          <w:tcPr>
            <w:tcW w:w="992"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High</w:t>
            </w:r>
          </w:p>
        </w:tc>
        <w:tc>
          <w:tcPr>
            <w:tcW w:w="709"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284 to 308</w:t>
            </w:r>
          </w:p>
        </w:tc>
        <w:tc>
          <w:tcPr>
            <w:tcW w:w="851"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2015</w:t>
            </w:r>
          </w:p>
        </w:tc>
        <w:tc>
          <w:tcPr>
            <w:tcW w:w="708"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color w:val="000000"/>
                <w:szCs w:val="20"/>
              </w:rPr>
              <w:t>2015</w:t>
            </w:r>
          </w:p>
        </w:tc>
        <w:tc>
          <w:tcPr>
            <w:tcW w:w="567"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Cs w:val="20"/>
                <w:lang w:eastAsia="en-AU"/>
              </w:rPr>
            </w:pPr>
            <w:r w:rsidRPr="007F5BD4">
              <w:rPr>
                <w:color w:val="000000"/>
                <w:szCs w:val="20"/>
              </w:rPr>
              <w:t>2015</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E434FE" w:rsidRPr="007F5BD4" w:rsidRDefault="00E434FE" w:rsidP="00E434FE">
            <w:pPr>
              <w:pStyle w:val="BodyText"/>
              <w:rPr>
                <w:sz w:val="20"/>
                <w:szCs w:val="20"/>
                <w:lang w:eastAsia="en-AU"/>
              </w:rPr>
            </w:pPr>
            <w:r w:rsidRPr="007F5BD4">
              <w:rPr>
                <w:sz w:val="20"/>
                <w:szCs w:val="20"/>
                <w:lang w:eastAsia="en-AU"/>
              </w:rPr>
              <w:t>This capacity assessment examined hazardous waste landfills</w:t>
            </w:r>
            <w:r w:rsidR="00CC30F0">
              <w:rPr>
                <w:sz w:val="20"/>
                <w:szCs w:val="20"/>
                <w:lang w:eastAsia="en-AU"/>
              </w:rPr>
              <w:t>’ ability</w:t>
            </w:r>
            <w:r w:rsidRPr="007F5BD4">
              <w:rPr>
                <w:sz w:val="20"/>
                <w:szCs w:val="20"/>
                <w:lang w:eastAsia="en-AU"/>
              </w:rPr>
              <w:t xml:space="preserve"> to </w:t>
            </w:r>
            <w:r w:rsidRPr="00CC30F0">
              <w:rPr>
                <w:sz w:val="20"/>
                <w:szCs w:val="20"/>
                <w:lang w:eastAsia="en-AU"/>
              </w:rPr>
              <w:t>accept annual arisings of wastes</w:t>
            </w:r>
            <w:r w:rsidRPr="007F5BD4">
              <w:rPr>
                <w:sz w:val="20"/>
                <w:szCs w:val="20"/>
                <w:lang w:eastAsia="en-AU"/>
              </w:rPr>
              <w:t xml:space="preserve"> – this differs from the usual measure of landfill capacity, which refers to total available airspace. Landfills may be constrained in relation to the rate at which waste is accepted, for example due to limitations of speci</w:t>
            </w:r>
            <w:r w:rsidR="00CC30F0">
              <w:rPr>
                <w:sz w:val="20"/>
                <w:szCs w:val="20"/>
                <w:lang w:eastAsia="en-AU"/>
              </w:rPr>
              <w:t>alist cells, traffic management or</w:t>
            </w:r>
            <w:r w:rsidRPr="007F5BD4">
              <w:rPr>
                <w:sz w:val="20"/>
                <w:szCs w:val="20"/>
                <w:lang w:eastAsia="en-AU"/>
              </w:rPr>
              <w:t xml:space="preserve"> licence limits. These constraints are not common and are understood not to be an issue for the sites included in this group.</w:t>
            </w:r>
            <w:r w:rsidR="00D06841">
              <w:rPr>
                <w:sz w:val="20"/>
                <w:szCs w:val="20"/>
                <w:lang w:eastAsia="en-AU"/>
              </w:rPr>
              <w:t xml:space="preserve">  </w:t>
            </w:r>
          </w:p>
          <w:p w:rsidR="00E434FE" w:rsidRPr="007F5BD4" w:rsidRDefault="00110D33" w:rsidP="00E434FE">
            <w:pPr>
              <w:pStyle w:val="BodyText"/>
              <w:rPr>
                <w:sz w:val="20"/>
                <w:szCs w:val="20"/>
                <w:lang w:eastAsia="en-AU"/>
              </w:rPr>
            </w:pPr>
            <w:r w:rsidRPr="00110D33">
              <w:rPr>
                <w:color w:val="000000"/>
                <w:sz w:val="8"/>
                <w:szCs w:val="8"/>
              </w:rPr>
              <w:br/>
            </w:r>
            <w:r w:rsidR="00E434FE" w:rsidRPr="007F5BD4">
              <w:rPr>
                <w:sz w:val="20"/>
                <w:szCs w:val="20"/>
                <w:lang w:eastAsia="en-AU"/>
              </w:rPr>
              <w:t xml:space="preserve">The seven hazardous waste landfills surveyed for this project reported an </w:t>
            </w:r>
            <w:r w:rsidR="00E434FE" w:rsidRPr="00CC30F0">
              <w:rPr>
                <w:sz w:val="20"/>
                <w:szCs w:val="20"/>
                <w:lang w:eastAsia="en-AU"/>
              </w:rPr>
              <w:t>annual capacity</w:t>
            </w:r>
            <w:r w:rsidR="00E434FE" w:rsidRPr="007F5BD4">
              <w:rPr>
                <w:sz w:val="20"/>
                <w:szCs w:val="20"/>
                <w:lang w:eastAsia="en-AU"/>
              </w:rPr>
              <w:t xml:space="preserve"> that modelling indicates is constrained under all scenarios.</w:t>
            </w:r>
            <w:r w:rsidR="00D06841">
              <w:rPr>
                <w:sz w:val="20"/>
                <w:szCs w:val="20"/>
                <w:lang w:eastAsia="en-AU"/>
              </w:rPr>
              <w:t xml:space="preserve"> </w:t>
            </w:r>
            <w:r w:rsidR="00E434FE" w:rsidRPr="007F5BD4">
              <w:rPr>
                <w:sz w:val="20"/>
                <w:szCs w:val="20"/>
                <w:lang w:eastAsia="en-AU"/>
              </w:rPr>
              <w:t>For all three scenarios</w:t>
            </w:r>
            <w:r w:rsidR="00CC30F0">
              <w:rPr>
                <w:sz w:val="20"/>
                <w:szCs w:val="20"/>
                <w:lang w:eastAsia="en-AU"/>
              </w:rPr>
              <w:t>,</w:t>
            </w:r>
            <w:r w:rsidR="00E434FE" w:rsidRPr="007F5BD4">
              <w:rPr>
                <w:sz w:val="20"/>
                <w:szCs w:val="20"/>
                <w:lang w:eastAsia="en-AU"/>
              </w:rPr>
              <w:t xml:space="preserve"> </w:t>
            </w:r>
            <w:r w:rsidR="00CC30F0">
              <w:rPr>
                <w:sz w:val="20"/>
                <w:szCs w:val="20"/>
                <w:lang w:eastAsia="en-AU"/>
              </w:rPr>
              <w:t>declines are projected</w:t>
            </w:r>
            <w:r w:rsidR="00E434FE" w:rsidRPr="007F5BD4">
              <w:rPr>
                <w:sz w:val="20"/>
                <w:szCs w:val="20"/>
                <w:lang w:eastAsia="en-AU"/>
              </w:rPr>
              <w:t xml:space="preserve"> </w:t>
            </w:r>
            <w:r w:rsidR="00CC30F0">
              <w:rPr>
                <w:sz w:val="20"/>
                <w:szCs w:val="20"/>
                <w:lang w:eastAsia="en-AU"/>
              </w:rPr>
              <w:t xml:space="preserve">for </w:t>
            </w:r>
            <w:r w:rsidR="00E434FE" w:rsidRPr="007F5BD4">
              <w:rPr>
                <w:sz w:val="20"/>
                <w:szCs w:val="20"/>
                <w:lang w:eastAsia="en-AU"/>
              </w:rPr>
              <w:t xml:space="preserve">some waste groups, such as </w:t>
            </w:r>
            <w:r w:rsidR="00E434FE" w:rsidRPr="00CC30F0">
              <w:rPr>
                <w:i/>
                <w:sz w:val="20"/>
                <w:szCs w:val="20"/>
                <w:lang w:eastAsia="en-AU"/>
              </w:rPr>
              <w:t>B Acids</w:t>
            </w:r>
            <w:r w:rsidR="00E434FE" w:rsidRPr="007F5BD4">
              <w:rPr>
                <w:sz w:val="20"/>
                <w:szCs w:val="20"/>
                <w:lang w:eastAsia="en-AU"/>
              </w:rPr>
              <w:t xml:space="preserve"> and </w:t>
            </w:r>
            <w:r w:rsidR="00E434FE" w:rsidRPr="00CC30F0">
              <w:rPr>
                <w:i/>
                <w:sz w:val="20"/>
                <w:szCs w:val="20"/>
                <w:lang w:eastAsia="en-AU"/>
              </w:rPr>
              <w:t>E Reactive chemicals</w:t>
            </w:r>
            <w:r w:rsidR="00E434FE" w:rsidRPr="007F5BD4">
              <w:rPr>
                <w:sz w:val="20"/>
                <w:szCs w:val="20"/>
                <w:lang w:eastAsia="en-AU"/>
              </w:rPr>
              <w:t>,</w:t>
            </w:r>
            <w:r w:rsidR="00D06841">
              <w:rPr>
                <w:sz w:val="20"/>
                <w:szCs w:val="20"/>
                <w:lang w:eastAsia="en-AU"/>
              </w:rPr>
              <w:t xml:space="preserve"> </w:t>
            </w:r>
            <w:r w:rsidR="00E434FE" w:rsidRPr="007F5BD4">
              <w:rPr>
                <w:sz w:val="20"/>
                <w:szCs w:val="20"/>
                <w:lang w:eastAsia="en-AU"/>
              </w:rPr>
              <w:t xml:space="preserve">and growth in other waste groups, such as </w:t>
            </w:r>
            <w:r w:rsidR="00E434FE" w:rsidRPr="00CC30F0">
              <w:rPr>
                <w:i/>
                <w:sz w:val="20"/>
                <w:szCs w:val="20"/>
                <w:lang w:eastAsia="en-AU"/>
              </w:rPr>
              <w:t>D300 Non-toxic salts</w:t>
            </w:r>
            <w:r w:rsidR="00E434FE" w:rsidRPr="007F5BD4">
              <w:rPr>
                <w:sz w:val="20"/>
                <w:szCs w:val="20"/>
                <w:lang w:eastAsia="en-AU"/>
              </w:rPr>
              <w:t xml:space="preserve"> and </w:t>
            </w:r>
            <w:r w:rsidR="00E434FE" w:rsidRPr="00CC30F0">
              <w:rPr>
                <w:i/>
                <w:sz w:val="20"/>
                <w:szCs w:val="20"/>
                <w:lang w:eastAsia="en-AU"/>
              </w:rPr>
              <w:t>C Alkalis</w:t>
            </w:r>
            <w:r w:rsidR="00E434FE" w:rsidRPr="007F5BD4">
              <w:rPr>
                <w:sz w:val="20"/>
                <w:szCs w:val="20"/>
                <w:lang w:eastAsia="en-AU"/>
              </w:rPr>
              <w:t xml:space="preserve"> that are projected to increase driven by the Oil and Gas (GSG) industry developments. We believe the modelling assessment for this infrastructure group is </w:t>
            </w:r>
            <w:r w:rsidR="00CC30F0">
              <w:rPr>
                <w:sz w:val="20"/>
                <w:szCs w:val="20"/>
                <w:lang w:eastAsia="en-AU"/>
              </w:rPr>
              <w:t>in</w:t>
            </w:r>
            <w:r w:rsidR="00E434FE" w:rsidRPr="007F5BD4">
              <w:rPr>
                <w:sz w:val="20"/>
                <w:szCs w:val="20"/>
                <w:lang w:eastAsia="en-AU"/>
              </w:rPr>
              <w:t xml:space="preserve">correct. The response rate from site operators was only 43%, meaning infrastructure group averages were used, and generally the responses provided data only on wastes currently received with little information on the potential annual acceptance rate. This is understandable as, unlike other infrastructure types, landfills are usually able to cater to varying capacity demands (within reason) and </w:t>
            </w:r>
            <w:r w:rsidR="00CC30F0">
              <w:rPr>
                <w:sz w:val="20"/>
                <w:szCs w:val="20"/>
                <w:lang w:eastAsia="en-AU"/>
              </w:rPr>
              <w:t>a</w:t>
            </w:r>
            <w:r w:rsidR="00E434FE" w:rsidRPr="007F5BD4">
              <w:rPr>
                <w:sz w:val="20"/>
                <w:szCs w:val="20"/>
                <w:lang w:eastAsia="en-AU"/>
              </w:rPr>
              <w:t xml:space="preserve"> site</w:t>
            </w:r>
            <w:r w:rsidR="00CC30F0">
              <w:rPr>
                <w:sz w:val="20"/>
                <w:szCs w:val="20"/>
                <w:lang w:eastAsia="en-AU"/>
              </w:rPr>
              <w:t>’</w:t>
            </w:r>
            <w:r w:rsidR="00E434FE" w:rsidRPr="007F5BD4">
              <w:rPr>
                <w:sz w:val="20"/>
                <w:szCs w:val="20"/>
                <w:lang w:eastAsia="en-AU"/>
              </w:rPr>
              <w:t>s potential annual capacity can be difficult to define.</w:t>
            </w:r>
          </w:p>
          <w:p w:rsidR="00CC30F0" w:rsidRPr="00CC30F0" w:rsidRDefault="00CC30F0" w:rsidP="00CC30F0">
            <w:pPr>
              <w:spacing w:line="240" w:lineRule="auto"/>
              <w:rPr>
                <w:color w:val="000000"/>
                <w:sz w:val="8"/>
                <w:szCs w:val="8"/>
              </w:rPr>
            </w:pPr>
          </w:p>
          <w:p w:rsidR="00162488" w:rsidRPr="00110D33" w:rsidRDefault="00FC7A7F" w:rsidP="001731D9">
            <w:pPr>
              <w:spacing w:line="240" w:lineRule="auto"/>
              <w:rPr>
                <w:color w:val="000000"/>
                <w:szCs w:val="20"/>
              </w:rPr>
            </w:pPr>
            <w:r w:rsidRPr="007F5BD4">
              <w:rPr>
                <w:color w:val="000000"/>
                <w:szCs w:val="20"/>
              </w:rPr>
              <w:t xml:space="preserve">Perhaps more important than the above analysis are industry comments regarding the </w:t>
            </w:r>
            <w:r w:rsidRPr="007F5BD4">
              <w:rPr>
                <w:color w:val="000000"/>
                <w:szCs w:val="20"/>
                <w:u w:val="single"/>
              </w:rPr>
              <w:t>expected life</w:t>
            </w:r>
            <w:r w:rsidRPr="007F5BD4">
              <w:rPr>
                <w:color w:val="000000"/>
                <w:szCs w:val="20"/>
              </w:rPr>
              <w:t xml:space="preserve"> of the landfill sites. As discussed in note 2 below, this is not the same as the potential capacity estimates analysed above. Landfill operators were asked how much waste could be received at the site before the sites airspace was consumed. Where the operator responded, they all responded with an estimate of the expected year of closure or simply stated that the site had more than 20 years capacity remaining. None of the sites surveyed in this category responded with a definitive response of planned closure within the new 20 years. However, responses were generally vague on this issue and it is recommended that more detailed investigation of the likely closure date of the landfills in this category be completed. Given the small number of sites and the extreme difficultly some jurisdictions have experienced in establishing new </w:t>
            </w:r>
            <w:r w:rsidRPr="007F5BD4">
              <w:rPr>
                <w:color w:val="000000"/>
                <w:szCs w:val="20"/>
              </w:rPr>
              <w:lastRenderedPageBreak/>
              <w:t>hazardous waste landfills</w:t>
            </w:r>
            <w:r w:rsidR="00CC30F0">
              <w:rPr>
                <w:color w:val="000000"/>
                <w:szCs w:val="20"/>
              </w:rPr>
              <w:t>,</w:t>
            </w:r>
            <w:r w:rsidRPr="007F5BD4">
              <w:rPr>
                <w:color w:val="000000"/>
                <w:szCs w:val="20"/>
              </w:rPr>
              <w:t xml:space="preserve"> it is important to better understand the risk profile of each site in terms of its likelihood of closure due to: a lack of airspace, regulatory non</w:t>
            </w:r>
            <w:r w:rsidR="00E434FE">
              <w:rPr>
                <w:color w:val="000000"/>
                <w:szCs w:val="20"/>
              </w:rPr>
              <w:t>-</w:t>
            </w:r>
            <w:r w:rsidRPr="007F5BD4">
              <w:rPr>
                <w:color w:val="000000"/>
                <w:szCs w:val="20"/>
              </w:rPr>
              <w:t xml:space="preserve"> compliance, community concern, and sudden airspace consumption due to extreme weather events such as cyclone or fire.</w:t>
            </w:r>
            <w:r w:rsidRPr="007F5BD4">
              <w:rPr>
                <w:color w:val="000000"/>
                <w:szCs w:val="20"/>
              </w:rPr>
              <w:br/>
            </w:r>
            <w:r w:rsidR="00110D33" w:rsidRPr="00110D33">
              <w:rPr>
                <w:color w:val="000000"/>
                <w:sz w:val="8"/>
                <w:szCs w:val="8"/>
              </w:rPr>
              <w:br/>
            </w:r>
            <w:r w:rsidR="001731D9">
              <w:rPr>
                <w:bCs/>
                <w:color w:val="000000"/>
                <w:szCs w:val="20"/>
              </w:rPr>
              <w:t>It is recommended that</w:t>
            </w:r>
            <w:r w:rsidRPr="007F5BD4">
              <w:rPr>
                <w:b/>
                <w:bCs/>
                <w:color w:val="000000"/>
                <w:szCs w:val="20"/>
              </w:rPr>
              <w:t xml:space="preserve"> </w:t>
            </w:r>
            <w:r w:rsidRPr="007F5BD4">
              <w:rPr>
                <w:color w:val="000000"/>
                <w:szCs w:val="20"/>
              </w:rPr>
              <w:t>DoE work with the jurisdiction</w:t>
            </w:r>
            <w:r w:rsidR="001731D9">
              <w:rPr>
                <w:color w:val="000000"/>
                <w:szCs w:val="20"/>
              </w:rPr>
              <w:t>s</w:t>
            </w:r>
            <w:r w:rsidRPr="007F5BD4">
              <w:rPr>
                <w:color w:val="000000"/>
                <w:szCs w:val="20"/>
              </w:rPr>
              <w:t xml:space="preserve"> to complete a detailed assessment of the likely </w:t>
            </w:r>
            <w:r w:rsidR="001731D9">
              <w:rPr>
                <w:color w:val="000000"/>
                <w:szCs w:val="20"/>
              </w:rPr>
              <w:t>closure year of the identified h</w:t>
            </w:r>
            <w:r w:rsidRPr="007F5BD4">
              <w:rPr>
                <w:color w:val="000000"/>
                <w:szCs w:val="20"/>
              </w:rPr>
              <w:t>az</w:t>
            </w:r>
            <w:r w:rsidR="001731D9">
              <w:rPr>
                <w:color w:val="000000"/>
                <w:szCs w:val="20"/>
              </w:rPr>
              <w:t xml:space="preserve">ardous </w:t>
            </w:r>
            <w:r w:rsidRPr="007F5BD4">
              <w:rPr>
                <w:color w:val="000000"/>
                <w:szCs w:val="20"/>
              </w:rPr>
              <w:t xml:space="preserve">waste landfill facility infrastructure including a risk assessment of </w:t>
            </w:r>
            <w:r w:rsidR="00CC30F0">
              <w:rPr>
                <w:color w:val="000000"/>
                <w:szCs w:val="20"/>
              </w:rPr>
              <w:t>site</w:t>
            </w:r>
            <w:r w:rsidRPr="007F5BD4">
              <w:rPr>
                <w:color w:val="000000"/>
                <w:szCs w:val="20"/>
              </w:rPr>
              <w:t xml:space="preserve"> capacity being impacted by issues such as extreme weather events. </w:t>
            </w:r>
          </w:p>
        </w:tc>
      </w:tr>
      <w:tr w:rsidR="00FC7A7F" w:rsidRPr="001711AE" w:rsidTr="00C109D3">
        <w:tc>
          <w:tcPr>
            <w:tcW w:w="1970" w:type="dxa"/>
            <w:tcBorders>
              <w:top w:val="single" w:sz="4" w:space="0" w:color="808080"/>
              <w:left w:val="nil"/>
              <w:bottom w:val="single" w:sz="4" w:space="0" w:color="808080"/>
              <w:right w:val="single" w:sz="4" w:space="0" w:color="BFBFBF"/>
            </w:tcBorders>
            <w:shd w:val="clear" w:color="auto" w:fill="auto"/>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szCs w:val="20"/>
              </w:rPr>
              <w:lastRenderedPageBreak/>
              <w:t xml:space="preserve">Landfill fac. (NEPM code N, T). </w:t>
            </w:r>
            <w:r>
              <w:rPr>
                <w:szCs w:val="20"/>
              </w:rPr>
              <w:br/>
            </w:r>
            <w:r>
              <w:rPr>
                <w:szCs w:val="20"/>
              </w:rPr>
              <w:br/>
              <w:t xml:space="preserve">Landfill facilities that are generally only licensed to dispose low level contaminated soils, asbestos, and tyres (NEPM 15 codes N and T). </w:t>
            </w:r>
          </w:p>
        </w:tc>
        <w:tc>
          <w:tcPr>
            <w:tcW w:w="724" w:type="dxa"/>
            <w:tcBorders>
              <w:top w:val="single" w:sz="4" w:space="0" w:color="D9D9D9"/>
              <w:left w:val="nil"/>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auto"/>
                <w:sz w:val="18"/>
                <w:szCs w:val="18"/>
                <w:lang w:eastAsia="en-AU"/>
              </w:rPr>
            </w:pPr>
            <w:r>
              <w:rPr>
                <w:szCs w:val="20"/>
              </w:rPr>
              <w:t>761</w:t>
            </w:r>
          </w:p>
        </w:tc>
        <w:tc>
          <w:tcPr>
            <w:tcW w:w="992" w:type="dxa"/>
            <w:tcBorders>
              <w:top w:val="single" w:sz="4" w:space="0" w:color="D9D9D9"/>
              <w:left w:val="nil"/>
              <w:bottom w:val="single" w:sz="4" w:space="0" w:color="808080"/>
              <w:right w:val="single" w:sz="4" w:space="0" w:color="BFBFBF"/>
            </w:tcBorders>
            <w:shd w:val="clear" w:color="000000" w:fill="FFFFFF"/>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szCs w:val="20"/>
              </w:rPr>
              <w:t>Na (out of scope)</w:t>
            </w:r>
          </w:p>
        </w:tc>
        <w:tc>
          <w:tcPr>
            <w:tcW w:w="709" w:type="dxa"/>
            <w:tcBorders>
              <w:top w:val="single" w:sz="4" w:space="0" w:color="D9D9D9"/>
              <w:left w:val="nil"/>
              <w:bottom w:val="single" w:sz="4" w:space="0" w:color="808080"/>
              <w:right w:val="single" w:sz="4" w:space="0" w:color="BFBFBF"/>
            </w:tcBorders>
            <w:shd w:val="clear" w:color="000000" w:fill="FFFFFF"/>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000000"/>
                <w:sz w:val="18"/>
                <w:szCs w:val="18"/>
                <w:lang w:eastAsia="en-AU"/>
              </w:rPr>
            </w:pPr>
            <w:r>
              <w:rPr>
                <w:szCs w:val="20"/>
              </w:rPr>
              <w:t>1176</w:t>
            </w:r>
            <w:r>
              <w:rPr>
                <w:szCs w:val="20"/>
              </w:rPr>
              <w:br/>
              <w:t xml:space="preserve"> to 3580</w:t>
            </w:r>
          </w:p>
        </w:tc>
        <w:tc>
          <w:tcPr>
            <w:tcW w:w="851"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BFBFBF"/>
                <w:sz w:val="18"/>
                <w:szCs w:val="18"/>
                <w:lang w:eastAsia="en-AU"/>
              </w:rPr>
            </w:pPr>
            <w:r>
              <w:rPr>
                <w:szCs w:val="20"/>
              </w:rPr>
              <w:t>2015</w:t>
            </w:r>
          </w:p>
        </w:tc>
        <w:tc>
          <w:tcPr>
            <w:tcW w:w="708"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BFBFBF"/>
                <w:sz w:val="18"/>
                <w:szCs w:val="18"/>
                <w:lang w:eastAsia="en-AU"/>
              </w:rPr>
            </w:pPr>
            <w:r>
              <w:rPr>
                <w:szCs w:val="20"/>
              </w:rPr>
              <w:t>2015</w:t>
            </w:r>
          </w:p>
        </w:tc>
        <w:tc>
          <w:tcPr>
            <w:tcW w:w="567"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AE475C">
            <w:pPr>
              <w:spacing w:line="240" w:lineRule="auto"/>
              <w:jc w:val="center"/>
              <w:rPr>
                <w:rFonts w:cs="Times New Roman"/>
                <w:color w:val="BFBFBF"/>
                <w:sz w:val="18"/>
                <w:szCs w:val="18"/>
                <w:lang w:eastAsia="en-AU"/>
              </w:rPr>
            </w:pPr>
            <w:r>
              <w:rPr>
                <w:szCs w:val="20"/>
              </w:rPr>
              <w:t>2015</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C7A7F" w:rsidRPr="007F5BD4" w:rsidRDefault="00CC30F0" w:rsidP="00AC0FB5">
            <w:pPr>
              <w:spacing w:line="240" w:lineRule="auto"/>
              <w:rPr>
                <w:rFonts w:cs="Times New Roman"/>
                <w:color w:val="000000"/>
                <w:sz w:val="18"/>
                <w:szCs w:val="18"/>
                <w:lang w:eastAsia="en-AU"/>
              </w:rPr>
            </w:pPr>
            <w:r>
              <w:rPr>
                <w:szCs w:val="20"/>
              </w:rPr>
              <w:t>T</w:t>
            </w:r>
            <w:r w:rsidR="00FC7A7F">
              <w:rPr>
                <w:szCs w:val="20"/>
              </w:rPr>
              <w:t>his infrastructure group is not in the scope of hazardous waste database (see Section 3.2). The 27 sites included in the capacity estimate provided adjacent appear to be included in error. As discussed in Section 3.2</w:t>
            </w:r>
            <w:r>
              <w:rPr>
                <w:szCs w:val="20"/>
              </w:rPr>
              <w:t>,</w:t>
            </w:r>
            <w:r w:rsidR="00FC7A7F">
              <w:rPr>
                <w:szCs w:val="20"/>
              </w:rPr>
              <w:t xml:space="preserve"> a significant number of landfills are licensed to take </w:t>
            </w:r>
            <w:r>
              <w:rPr>
                <w:szCs w:val="20"/>
              </w:rPr>
              <w:t xml:space="preserve">hazardous wastes only in </w:t>
            </w:r>
            <w:r w:rsidR="00FC7A7F">
              <w:rPr>
                <w:szCs w:val="20"/>
              </w:rPr>
              <w:t xml:space="preserve">NEPM codes N and T that are not included in the infrastructure database. For example, 16 of the 27 landfill in this category are in Victoria and zero landfills in the category are identified in NSW. </w:t>
            </w:r>
            <w:r>
              <w:rPr>
                <w:szCs w:val="20"/>
              </w:rPr>
              <w:t xml:space="preserve">The infrastructure database therefore represents an unknown portion of total capacity for these materials. </w:t>
            </w:r>
            <w:r w:rsidR="00FC7A7F">
              <w:rPr>
                <w:szCs w:val="20"/>
              </w:rPr>
              <w:t>To complete a quantitative analysis of projected arisings of NEPM code N and T wastes versus licensed infrastructure capacity would require a significant expansion of the</w:t>
            </w:r>
            <w:r w:rsidR="00AC0FB5">
              <w:rPr>
                <w:szCs w:val="20"/>
              </w:rPr>
              <w:t xml:space="preserve"> scope of the</w:t>
            </w:r>
            <w:r w:rsidR="00FC7A7F">
              <w:rPr>
                <w:szCs w:val="20"/>
              </w:rPr>
              <w:t xml:space="preserve"> hazardous waste capacity database to</w:t>
            </w:r>
            <w:r w:rsidR="00AC0FB5">
              <w:rPr>
                <w:szCs w:val="20"/>
              </w:rPr>
              <w:t xml:space="preserve"> cover</w:t>
            </w:r>
            <w:r w:rsidR="00FC7A7F">
              <w:rPr>
                <w:szCs w:val="20"/>
              </w:rPr>
              <w:t xml:space="preserve"> 'non-hazardous waste infrastructure' </w:t>
            </w:r>
            <w:r w:rsidR="00AC0FB5">
              <w:rPr>
                <w:szCs w:val="20"/>
              </w:rPr>
              <w:t>accepting</w:t>
            </w:r>
            <w:r w:rsidR="00FC7A7F">
              <w:rPr>
                <w:szCs w:val="20"/>
              </w:rPr>
              <w:t xml:space="preserve"> only a relatively small amount of low level hazardous wastes as part of much larger non-hazardous waste volume.</w:t>
            </w:r>
            <w:r w:rsidR="00FC7A7F">
              <w:rPr>
                <w:szCs w:val="20"/>
              </w:rPr>
              <w:br/>
            </w:r>
            <w:r w:rsidR="00110D33" w:rsidRPr="00110D33">
              <w:rPr>
                <w:color w:val="000000"/>
                <w:sz w:val="8"/>
                <w:szCs w:val="8"/>
              </w:rPr>
              <w:br/>
            </w:r>
            <w:r w:rsidR="00FC7A7F">
              <w:rPr>
                <w:szCs w:val="20"/>
              </w:rPr>
              <w:t>Landfill</w:t>
            </w:r>
            <w:r w:rsidR="00AC0FB5">
              <w:rPr>
                <w:szCs w:val="20"/>
              </w:rPr>
              <w:t>s</w:t>
            </w:r>
            <w:r w:rsidR="00FC7A7F">
              <w:rPr>
                <w:szCs w:val="20"/>
              </w:rPr>
              <w:t xml:space="preserve"> that </w:t>
            </w:r>
            <w:r w:rsidR="00AC0FB5">
              <w:rPr>
                <w:szCs w:val="20"/>
              </w:rPr>
              <w:t xml:space="preserve">accept </w:t>
            </w:r>
            <w:r w:rsidR="00FC7A7F">
              <w:rPr>
                <w:szCs w:val="20"/>
              </w:rPr>
              <w:t xml:space="preserve">mostly municipal waste are often also able to </w:t>
            </w:r>
            <w:r w:rsidR="00AC0FB5">
              <w:rPr>
                <w:szCs w:val="20"/>
              </w:rPr>
              <w:t>take</w:t>
            </w:r>
            <w:r w:rsidR="00FC7A7F">
              <w:rPr>
                <w:szCs w:val="20"/>
              </w:rPr>
              <w:t xml:space="preserve"> low level contaminated soil and asbestos. Based on industry consultation and our assessment of landfill infrastructure for NEPM code</w:t>
            </w:r>
            <w:r w:rsidR="00AC0FB5">
              <w:rPr>
                <w:szCs w:val="20"/>
              </w:rPr>
              <w:t>s</w:t>
            </w:r>
            <w:r w:rsidR="00FC7A7F">
              <w:rPr>
                <w:szCs w:val="20"/>
              </w:rPr>
              <w:t xml:space="preserve"> N and T only</w:t>
            </w:r>
            <w:r w:rsidR="00AC0FB5">
              <w:rPr>
                <w:szCs w:val="20"/>
              </w:rPr>
              <w:t>,</w:t>
            </w:r>
            <w:r w:rsidR="00FC7A7F">
              <w:rPr>
                <w:szCs w:val="20"/>
              </w:rPr>
              <w:t xml:space="preserve"> we do not believe there is likely to be a national shortage of this infrastructure group over the next 20 years. There may be some regional limitations</w:t>
            </w:r>
            <w:r w:rsidR="00D10257">
              <w:rPr>
                <w:szCs w:val="20"/>
              </w:rPr>
              <w:t xml:space="preserve"> (see jurisdictional analysis)</w:t>
            </w:r>
            <w:r w:rsidR="00FC7A7F">
              <w:rPr>
                <w:szCs w:val="20"/>
              </w:rPr>
              <w:t>.</w:t>
            </w:r>
          </w:p>
        </w:tc>
      </w:tr>
      <w:tr w:rsidR="00430ADB" w:rsidRPr="00430ADB" w:rsidTr="002923A3">
        <w:tc>
          <w:tcPr>
            <w:tcW w:w="1970" w:type="dxa"/>
            <w:tcBorders>
              <w:top w:val="single" w:sz="4" w:space="0" w:color="808080"/>
              <w:left w:val="nil"/>
              <w:bottom w:val="single" w:sz="4" w:space="0" w:color="808080"/>
              <w:right w:val="single" w:sz="4" w:space="0" w:color="BFBFBF"/>
            </w:tcBorders>
            <w:shd w:val="clear" w:color="auto" w:fill="auto"/>
            <w:tcMar>
              <w:top w:w="28" w:type="dxa"/>
              <w:bottom w:w="28" w:type="dxa"/>
            </w:tcMar>
            <w:hideMark/>
          </w:tcPr>
          <w:p w:rsidR="00FC7A7F" w:rsidRPr="002923A3" w:rsidRDefault="00FC7A7F" w:rsidP="001711AE">
            <w:pPr>
              <w:spacing w:line="240" w:lineRule="auto"/>
              <w:rPr>
                <w:rFonts w:cs="Times New Roman"/>
                <w:color w:val="auto"/>
                <w:sz w:val="18"/>
                <w:szCs w:val="18"/>
                <w:lang w:eastAsia="en-AU"/>
              </w:rPr>
            </w:pPr>
            <w:r w:rsidRPr="002923A3">
              <w:rPr>
                <w:color w:val="auto"/>
                <w:szCs w:val="20"/>
              </w:rPr>
              <w:t>POPs fac. (TD)</w:t>
            </w:r>
            <w:r w:rsidRPr="002923A3">
              <w:rPr>
                <w:color w:val="auto"/>
                <w:szCs w:val="20"/>
              </w:rPr>
              <w:br/>
            </w:r>
            <w:r w:rsidRPr="002923A3">
              <w:rPr>
                <w:color w:val="auto"/>
                <w:szCs w:val="20"/>
              </w:rPr>
              <w:br/>
              <w:t>Contains company specific information</w:t>
            </w:r>
          </w:p>
        </w:tc>
        <w:tc>
          <w:tcPr>
            <w:tcW w:w="724" w:type="dxa"/>
            <w:tcBorders>
              <w:top w:val="single" w:sz="4" w:space="0" w:color="D9D9D9"/>
              <w:left w:val="nil"/>
              <w:bottom w:val="single" w:sz="4" w:space="0" w:color="808080"/>
              <w:right w:val="nil"/>
            </w:tcBorders>
            <w:shd w:val="clear" w:color="auto" w:fill="auto"/>
            <w:noWrap/>
            <w:tcMar>
              <w:top w:w="28" w:type="dxa"/>
              <w:left w:w="28" w:type="dxa"/>
              <w:bottom w:w="28" w:type="dxa"/>
              <w:right w:w="28" w:type="dxa"/>
            </w:tcMar>
            <w:hideMark/>
          </w:tcPr>
          <w:p w:rsidR="00FC7A7F" w:rsidRPr="002923A3" w:rsidRDefault="00757282" w:rsidP="00AE475C">
            <w:pPr>
              <w:spacing w:line="240" w:lineRule="auto"/>
              <w:jc w:val="center"/>
              <w:rPr>
                <w:rFonts w:cs="Times New Roman"/>
                <w:color w:val="auto"/>
                <w:sz w:val="18"/>
                <w:szCs w:val="18"/>
                <w:lang w:eastAsia="en-AU"/>
              </w:rPr>
            </w:pPr>
            <w:r w:rsidRPr="002D3096">
              <w:rPr>
                <w:rFonts w:cs="Times New Roman"/>
                <w:color w:val="auto"/>
                <w:szCs w:val="18"/>
                <w:highlight w:val="red"/>
                <w:lang w:eastAsia="en-AU"/>
              </w:rPr>
              <w:t>CIC</w:t>
            </w:r>
          </w:p>
        </w:tc>
        <w:tc>
          <w:tcPr>
            <w:tcW w:w="992" w:type="dxa"/>
            <w:tcBorders>
              <w:top w:val="single" w:sz="4" w:space="0" w:color="D9D9D9"/>
              <w:left w:val="nil"/>
              <w:bottom w:val="single" w:sz="4" w:space="0" w:color="808080"/>
              <w:right w:val="single" w:sz="4" w:space="0" w:color="BFBFBF"/>
            </w:tcBorders>
            <w:shd w:val="clear" w:color="auto" w:fill="auto"/>
            <w:noWrap/>
            <w:tcMar>
              <w:top w:w="28" w:type="dxa"/>
              <w:left w:w="28" w:type="dxa"/>
              <w:bottom w:w="28" w:type="dxa"/>
              <w:right w:w="28" w:type="dxa"/>
            </w:tcMar>
            <w:hideMark/>
          </w:tcPr>
          <w:p w:rsidR="00FC7A7F" w:rsidRPr="002923A3" w:rsidRDefault="00FC7A7F" w:rsidP="00AE475C">
            <w:pPr>
              <w:spacing w:line="240" w:lineRule="auto"/>
              <w:jc w:val="center"/>
              <w:rPr>
                <w:rFonts w:cs="Times New Roman"/>
                <w:color w:val="auto"/>
                <w:sz w:val="18"/>
                <w:szCs w:val="18"/>
                <w:lang w:eastAsia="en-AU"/>
              </w:rPr>
            </w:pPr>
            <w:r w:rsidRPr="002923A3">
              <w:rPr>
                <w:color w:val="auto"/>
                <w:szCs w:val="20"/>
              </w:rPr>
              <w:t>Very high</w:t>
            </w:r>
          </w:p>
        </w:tc>
        <w:tc>
          <w:tcPr>
            <w:tcW w:w="709" w:type="dxa"/>
            <w:tcBorders>
              <w:top w:val="single" w:sz="4" w:space="0" w:color="D9D9D9"/>
              <w:left w:val="nil"/>
              <w:bottom w:val="single" w:sz="4" w:space="0" w:color="808080"/>
              <w:right w:val="single" w:sz="4" w:space="0" w:color="BFBFBF"/>
            </w:tcBorders>
            <w:shd w:val="clear" w:color="auto" w:fill="auto"/>
            <w:noWrap/>
            <w:tcMar>
              <w:top w:w="28" w:type="dxa"/>
              <w:left w:w="28" w:type="dxa"/>
              <w:bottom w:w="28" w:type="dxa"/>
              <w:right w:w="28" w:type="dxa"/>
            </w:tcMar>
            <w:hideMark/>
          </w:tcPr>
          <w:p w:rsidR="00FC7A7F" w:rsidRPr="002923A3" w:rsidRDefault="00FC7A7F" w:rsidP="00AE475C">
            <w:pPr>
              <w:spacing w:line="240" w:lineRule="auto"/>
              <w:jc w:val="center"/>
              <w:rPr>
                <w:rFonts w:cs="Times New Roman"/>
                <w:color w:val="auto"/>
                <w:sz w:val="18"/>
                <w:szCs w:val="18"/>
                <w:lang w:eastAsia="en-AU"/>
              </w:rPr>
            </w:pPr>
            <w:r w:rsidRPr="002923A3">
              <w:rPr>
                <w:color w:val="auto"/>
                <w:szCs w:val="20"/>
              </w:rPr>
              <w:t>2.5 to 5</w:t>
            </w:r>
          </w:p>
        </w:tc>
        <w:tc>
          <w:tcPr>
            <w:tcW w:w="851" w:type="dxa"/>
            <w:gridSpan w:val="2"/>
            <w:tcBorders>
              <w:top w:val="single" w:sz="4" w:space="0" w:color="D9D9D9"/>
              <w:left w:val="nil"/>
              <w:bottom w:val="single" w:sz="4" w:space="0" w:color="808080"/>
              <w:right w:val="single" w:sz="4" w:space="0" w:color="BFBFBF"/>
            </w:tcBorders>
            <w:shd w:val="clear" w:color="auto" w:fill="auto"/>
            <w:noWrap/>
            <w:tcMar>
              <w:top w:w="28" w:type="dxa"/>
              <w:left w:w="28" w:type="dxa"/>
              <w:bottom w:w="28" w:type="dxa"/>
              <w:right w:w="28" w:type="dxa"/>
            </w:tcMar>
            <w:hideMark/>
          </w:tcPr>
          <w:p w:rsidR="00FC7A7F" w:rsidRPr="002923A3" w:rsidRDefault="00FC7A7F" w:rsidP="00AE475C">
            <w:pPr>
              <w:spacing w:line="240" w:lineRule="auto"/>
              <w:jc w:val="center"/>
              <w:rPr>
                <w:rFonts w:cs="Times New Roman"/>
                <w:color w:val="auto"/>
                <w:sz w:val="18"/>
                <w:szCs w:val="18"/>
                <w:lang w:eastAsia="en-AU"/>
              </w:rPr>
            </w:pPr>
            <w:r w:rsidRPr="002923A3">
              <w:rPr>
                <w:color w:val="auto"/>
                <w:szCs w:val="20"/>
              </w:rPr>
              <w:t>2015</w:t>
            </w:r>
          </w:p>
        </w:tc>
        <w:tc>
          <w:tcPr>
            <w:tcW w:w="708" w:type="dxa"/>
            <w:gridSpan w:val="2"/>
            <w:tcBorders>
              <w:top w:val="single" w:sz="4" w:space="0" w:color="D9D9D9"/>
              <w:left w:val="nil"/>
              <w:bottom w:val="single" w:sz="4" w:space="0" w:color="808080"/>
              <w:right w:val="single" w:sz="4" w:space="0" w:color="BFBFBF"/>
            </w:tcBorders>
            <w:shd w:val="clear" w:color="auto" w:fill="auto"/>
            <w:noWrap/>
            <w:tcMar>
              <w:top w:w="28" w:type="dxa"/>
              <w:left w:w="28" w:type="dxa"/>
              <w:bottom w:w="28" w:type="dxa"/>
              <w:right w:w="28" w:type="dxa"/>
            </w:tcMar>
            <w:hideMark/>
          </w:tcPr>
          <w:p w:rsidR="00FC7A7F" w:rsidRPr="002923A3" w:rsidRDefault="00FC7A7F" w:rsidP="00AE475C">
            <w:pPr>
              <w:spacing w:line="240" w:lineRule="auto"/>
              <w:jc w:val="center"/>
              <w:rPr>
                <w:rFonts w:cs="Times New Roman"/>
                <w:color w:val="auto"/>
                <w:sz w:val="18"/>
                <w:szCs w:val="18"/>
                <w:lang w:eastAsia="en-AU"/>
              </w:rPr>
            </w:pPr>
            <w:r w:rsidRPr="002923A3">
              <w:rPr>
                <w:color w:val="auto"/>
                <w:szCs w:val="20"/>
              </w:rPr>
              <w:t>2015</w:t>
            </w:r>
          </w:p>
        </w:tc>
        <w:tc>
          <w:tcPr>
            <w:tcW w:w="567" w:type="dxa"/>
            <w:tcBorders>
              <w:top w:val="single" w:sz="4" w:space="0" w:color="D9D9D9"/>
              <w:left w:val="nil"/>
              <w:bottom w:val="single" w:sz="4" w:space="0" w:color="808080"/>
              <w:right w:val="single" w:sz="4" w:space="0" w:color="BFBFBF"/>
            </w:tcBorders>
            <w:shd w:val="clear" w:color="auto" w:fill="auto"/>
            <w:noWrap/>
            <w:tcMar>
              <w:top w:w="28" w:type="dxa"/>
              <w:left w:w="28" w:type="dxa"/>
              <w:bottom w:w="28" w:type="dxa"/>
              <w:right w:w="28" w:type="dxa"/>
            </w:tcMar>
            <w:hideMark/>
          </w:tcPr>
          <w:p w:rsidR="00FC7A7F" w:rsidRPr="002923A3" w:rsidRDefault="00FC7A7F" w:rsidP="00AE475C">
            <w:pPr>
              <w:spacing w:line="240" w:lineRule="auto"/>
              <w:jc w:val="center"/>
              <w:rPr>
                <w:rFonts w:cs="Times New Roman"/>
                <w:color w:val="auto"/>
                <w:sz w:val="18"/>
                <w:szCs w:val="18"/>
                <w:lang w:eastAsia="en-AU"/>
              </w:rPr>
            </w:pPr>
            <w:r w:rsidRPr="002923A3">
              <w:rPr>
                <w:color w:val="auto"/>
                <w:szCs w:val="20"/>
              </w:rPr>
              <w:t>2015</w:t>
            </w:r>
          </w:p>
        </w:tc>
        <w:tc>
          <w:tcPr>
            <w:tcW w:w="8789" w:type="dxa"/>
            <w:tcBorders>
              <w:top w:val="single" w:sz="4" w:space="0" w:color="D9D9D9"/>
              <w:left w:val="nil"/>
              <w:bottom w:val="single" w:sz="4" w:space="0" w:color="808080"/>
              <w:right w:val="nil"/>
            </w:tcBorders>
            <w:shd w:val="clear" w:color="auto" w:fill="auto"/>
            <w:tcMar>
              <w:top w:w="28" w:type="dxa"/>
              <w:bottom w:w="28" w:type="dxa"/>
            </w:tcMar>
            <w:hideMark/>
          </w:tcPr>
          <w:p w:rsidR="00FC7A7F" w:rsidRPr="002923A3" w:rsidRDefault="00FC7A7F" w:rsidP="00757282">
            <w:pPr>
              <w:spacing w:line="240" w:lineRule="auto"/>
              <w:rPr>
                <w:color w:val="auto"/>
                <w:szCs w:val="20"/>
              </w:rPr>
            </w:pPr>
            <w:r w:rsidRPr="002923A3">
              <w:rPr>
                <w:color w:val="auto"/>
                <w:szCs w:val="20"/>
              </w:rPr>
              <w:t>The projection</w:t>
            </w:r>
            <w:r w:rsidR="00430ADB" w:rsidRPr="002923A3">
              <w:rPr>
                <w:color w:val="auto"/>
                <w:szCs w:val="20"/>
              </w:rPr>
              <w:t>s</w:t>
            </w:r>
            <w:r w:rsidRPr="002923A3">
              <w:rPr>
                <w:color w:val="auto"/>
                <w:szCs w:val="20"/>
              </w:rPr>
              <w:t xml:space="preserve"> for POPs are more complex than any other projection group and are detailed in Appendix 5.</w:t>
            </w:r>
            <w:r w:rsidRPr="00757282">
              <w:rPr>
                <w:color w:val="0C0C0C" w:themeColor="text1"/>
                <w:szCs w:val="20"/>
              </w:rPr>
              <w:t xml:space="preserve"> </w:t>
            </w:r>
            <w:r w:rsidR="00757282" w:rsidRPr="00757282">
              <w:rPr>
                <w:color w:val="0C0C0C" w:themeColor="text1"/>
                <w:szCs w:val="20"/>
                <w:highlight w:val="red"/>
              </w:rPr>
              <w:t>CIC</w:t>
            </w:r>
            <w:r w:rsidRPr="002923A3">
              <w:rPr>
                <w:color w:val="FFFFFF" w:themeColor="background1"/>
                <w:szCs w:val="20"/>
              </w:rPr>
              <w:br/>
            </w:r>
            <w:r w:rsidR="00110D33" w:rsidRPr="002923A3">
              <w:rPr>
                <w:color w:val="FFFFFF" w:themeColor="background1"/>
                <w:sz w:val="8"/>
                <w:szCs w:val="8"/>
              </w:rPr>
              <w:br/>
            </w:r>
            <w:r w:rsidRPr="002923A3">
              <w:rPr>
                <w:color w:val="auto"/>
                <w:szCs w:val="20"/>
              </w:rPr>
              <w:t xml:space="preserve">Whilst this may identify a gap in Australia's POPs thermal destruction </w:t>
            </w:r>
            <w:proofErr w:type="gramStart"/>
            <w:r w:rsidRPr="002923A3">
              <w:rPr>
                <w:color w:val="auto"/>
                <w:szCs w:val="20"/>
              </w:rPr>
              <w:t>capacity,</w:t>
            </w:r>
            <w:proofErr w:type="gramEnd"/>
            <w:r w:rsidRPr="002923A3">
              <w:rPr>
                <w:color w:val="auto"/>
                <w:szCs w:val="20"/>
              </w:rPr>
              <w:t xml:space="preserve"> the capacity assessment uncertainty for this group is very high. The following three issues need to be considered that will all result in an under estimate of the POPs destruction capacity:</w:t>
            </w:r>
            <w:r w:rsidR="00D06841" w:rsidRPr="002923A3">
              <w:rPr>
                <w:color w:val="auto"/>
                <w:szCs w:val="20"/>
              </w:rPr>
              <w:t xml:space="preserve"> </w:t>
            </w:r>
            <w:r w:rsidRPr="002923A3">
              <w:rPr>
                <w:color w:val="auto"/>
                <w:szCs w:val="20"/>
              </w:rPr>
              <w:br/>
            </w:r>
            <w:r w:rsidRPr="002923A3">
              <w:rPr>
                <w:b/>
                <w:bCs/>
                <w:color w:val="auto"/>
                <w:szCs w:val="20"/>
              </w:rPr>
              <w:t>1. POPs TD capacity within Clinical waste TD facilities.</w:t>
            </w:r>
            <w:r w:rsidRPr="002923A3">
              <w:rPr>
                <w:color w:val="auto"/>
                <w:szCs w:val="20"/>
              </w:rPr>
              <w:t xml:space="preserve"> </w:t>
            </w:r>
            <w:r w:rsidR="003B34D2" w:rsidRPr="002923A3">
              <w:rPr>
                <w:color w:val="auto"/>
                <w:szCs w:val="20"/>
              </w:rPr>
              <w:t>SteriHealth</w:t>
            </w:r>
            <w:r w:rsidRPr="002923A3">
              <w:rPr>
                <w:color w:val="auto"/>
                <w:szCs w:val="20"/>
              </w:rPr>
              <w:t xml:space="preserve"> currently have a research and development approval that allows them to treat PCB contaminated oil from the Tullamarine landfill leachate at their Clinical waste TD facility in Laverton, Melbourne. SteriHealth aims to provide POPs destruction services to the market following works approval from EPA. SteriHealth did not state the </w:t>
            </w:r>
            <w:r w:rsidRPr="002923A3">
              <w:rPr>
                <w:color w:val="auto"/>
                <w:szCs w:val="20"/>
              </w:rPr>
              <w:lastRenderedPageBreak/>
              <w:t xml:space="preserve">potential tonnages of POPs that could be destroyed at the facility. TPI </w:t>
            </w:r>
            <w:r w:rsidR="00430ADB" w:rsidRPr="002923A3">
              <w:rPr>
                <w:color w:val="auto"/>
                <w:szCs w:val="20"/>
              </w:rPr>
              <w:t>(2014)</w:t>
            </w:r>
            <w:r w:rsidRPr="002923A3">
              <w:rPr>
                <w:color w:val="auto"/>
                <w:szCs w:val="20"/>
              </w:rPr>
              <w:t xml:space="preserve"> state</w:t>
            </w:r>
            <w:r w:rsidR="00430ADB" w:rsidRPr="002923A3">
              <w:rPr>
                <w:color w:val="auto"/>
                <w:szCs w:val="20"/>
              </w:rPr>
              <w:t>d</w:t>
            </w:r>
            <w:r w:rsidRPr="002923A3">
              <w:rPr>
                <w:color w:val="auto"/>
                <w:szCs w:val="20"/>
              </w:rPr>
              <w:t xml:space="preserve"> that SteriHealth recently successfully treated around 2000 litres of PCB contaminated oil during trials at the site. </w:t>
            </w:r>
            <w:r w:rsidRPr="002923A3">
              <w:rPr>
                <w:color w:val="auto"/>
                <w:szCs w:val="20"/>
              </w:rPr>
              <w:br/>
            </w:r>
            <w:r w:rsidRPr="002923A3">
              <w:rPr>
                <w:b/>
                <w:bCs/>
                <w:color w:val="auto"/>
                <w:szCs w:val="20"/>
              </w:rPr>
              <w:t>2. POPs TD capacity within Soils treatment facilities.</w:t>
            </w:r>
            <w:r w:rsidRPr="002923A3">
              <w:rPr>
                <w:color w:val="auto"/>
                <w:szCs w:val="20"/>
              </w:rPr>
              <w:t xml:space="preserve"> The RENEX pyrolysis rotary kiln that is being commissioned in Dandenong Melbourne will be aiming to treat POPs contaminated soils and liquids. The kiln with operate at 600 degrees C and the gases will then be incinerated at 1100-1200 degrees C, enabling the destruction of chlorinated organics such as PCBs. Renex have state</w:t>
            </w:r>
            <w:r w:rsidR="00430ADB" w:rsidRPr="002923A3">
              <w:rPr>
                <w:color w:val="auto"/>
                <w:szCs w:val="20"/>
              </w:rPr>
              <w:t xml:space="preserve">d a potential capacity of </w:t>
            </w:r>
            <w:r w:rsidR="00757282" w:rsidRPr="00757282">
              <w:rPr>
                <w:color w:val="auto"/>
                <w:szCs w:val="20"/>
                <w:highlight w:val="red"/>
              </w:rPr>
              <w:t>CIC</w:t>
            </w:r>
            <w:r w:rsidRPr="002923A3">
              <w:rPr>
                <w:color w:val="auto"/>
                <w:szCs w:val="20"/>
              </w:rPr>
              <w:t>,</w:t>
            </w:r>
            <w:r w:rsidR="00D06841" w:rsidRPr="002923A3">
              <w:rPr>
                <w:color w:val="auto"/>
                <w:szCs w:val="20"/>
              </w:rPr>
              <w:t xml:space="preserve"> </w:t>
            </w:r>
            <w:r w:rsidRPr="002923A3">
              <w:rPr>
                <w:color w:val="auto"/>
                <w:szCs w:val="20"/>
              </w:rPr>
              <w:t>however, it is unknown what tonnage of POP contaminated soils and liquids could be processed at the plant.</w:t>
            </w:r>
            <w:r w:rsidR="00D06841" w:rsidRPr="002923A3">
              <w:rPr>
                <w:color w:val="auto"/>
                <w:szCs w:val="20"/>
              </w:rPr>
              <w:t xml:space="preserve"> </w:t>
            </w:r>
            <w:r w:rsidRPr="002923A3">
              <w:rPr>
                <w:color w:val="auto"/>
                <w:szCs w:val="20"/>
              </w:rPr>
              <w:br/>
            </w:r>
            <w:r w:rsidRPr="002923A3">
              <w:rPr>
                <w:b/>
                <w:bCs/>
                <w:color w:val="auto"/>
                <w:szCs w:val="20"/>
              </w:rPr>
              <w:t>3. POPs TD capacity within cement kilns.</w:t>
            </w:r>
            <w:r w:rsidRPr="002923A3">
              <w:rPr>
                <w:color w:val="auto"/>
                <w:szCs w:val="20"/>
              </w:rPr>
              <w:t xml:space="preserve"> Cement kiln infrastructure is not included in the capacity database scope. We understand that cement kilns in Australia are currently destroying some POPs including PFOS. The capacity of Australia's cement kilns to destroy POPs needs detailed assessment to enable a comparison of arisings to destruction capacity. Until this assessment is completed any analysis of additional capacity that is required under any of the projection scenarios will be inaccurate.</w:t>
            </w:r>
            <w:r w:rsidRPr="002923A3">
              <w:rPr>
                <w:color w:val="auto"/>
                <w:szCs w:val="20"/>
              </w:rPr>
              <w:br/>
            </w:r>
            <w:r w:rsidR="00110D33" w:rsidRPr="002923A3">
              <w:rPr>
                <w:color w:val="auto"/>
                <w:sz w:val="8"/>
                <w:szCs w:val="8"/>
              </w:rPr>
              <w:br/>
            </w:r>
            <w:r w:rsidR="00140A37" w:rsidRPr="002923A3">
              <w:rPr>
                <w:color w:val="auto"/>
                <w:szCs w:val="20"/>
              </w:rPr>
              <w:t xml:space="preserve">It is recommended that </w:t>
            </w:r>
            <w:r w:rsidRPr="002923A3">
              <w:rPr>
                <w:color w:val="auto"/>
                <w:szCs w:val="20"/>
              </w:rPr>
              <w:t>DoE</w:t>
            </w:r>
            <w:r w:rsidR="00D06841" w:rsidRPr="002923A3">
              <w:rPr>
                <w:color w:val="auto"/>
                <w:szCs w:val="20"/>
              </w:rPr>
              <w:t xml:space="preserve"> </w:t>
            </w:r>
            <w:r w:rsidRPr="002923A3">
              <w:rPr>
                <w:color w:val="auto"/>
                <w:szCs w:val="20"/>
              </w:rPr>
              <w:t xml:space="preserve">follow-up with sites included in infrastructure groups flagged as having some POPs destruction capacity to better determine the potential POPs destruction capacity of each site. </w:t>
            </w:r>
          </w:p>
        </w:tc>
      </w:tr>
      <w:tr w:rsidR="00FC7A7F" w:rsidRPr="001711AE" w:rsidTr="00C109D3">
        <w:tc>
          <w:tcPr>
            <w:tcW w:w="1970" w:type="dxa"/>
            <w:tcBorders>
              <w:top w:val="nil"/>
              <w:left w:val="nil"/>
              <w:bottom w:val="nil"/>
              <w:right w:val="nil"/>
            </w:tcBorders>
            <w:shd w:val="clear" w:color="auto" w:fill="auto"/>
            <w:noWrap/>
            <w:tcMar>
              <w:top w:w="28" w:type="dxa"/>
              <w:bottom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lastRenderedPageBreak/>
              <w:t>Clinical waste fac. (TD)</w:t>
            </w:r>
          </w:p>
        </w:tc>
        <w:tc>
          <w:tcPr>
            <w:tcW w:w="724" w:type="dxa"/>
            <w:tcBorders>
              <w:top w:val="single" w:sz="4" w:space="0" w:color="D9D9D9"/>
              <w:left w:val="single" w:sz="4" w:space="0" w:color="BFBFBF"/>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jc w:val="right"/>
              <w:rPr>
                <w:rFonts w:cs="Times New Roman"/>
                <w:color w:val="000000"/>
                <w:sz w:val="18"/>
                <w:szCs w:val="18"/>
                <w:lang w:eastAsia="en-AU"/>
              </w:rPr>
            </w:pPr>
            <w:r>
              <w:rPr>
                <w:color w:val="000000"/>
                <w:szCs w:val="20"/>
              </w:rPr>
              <w:t>30</w:t>
            </w:r>
          </w:p>
        </w:tc>
        <w:tc>
          <w:tcPr>
            <w:tcW w:w="992"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Low</w:t>
            </w:r>
          </w:p>
        </w:tc>
        <w:tc>
          <w:tcPr>
            <w:tcW w:w="709"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jc w:val="right"/>
              <w:rPr>
                <w:rFonts w:cs="Times New Roman"/>
                <w:color w:val="000000"/>
                <w:sz w:val="18"/>
                <w:szCs w:val="18"/>
                <w:lang w:eastAsia="en-AU"/>
              </w:rPr>
            </w:pPr>
            <w:r>
              <w:rPr>
                <w:color w:val="000000"/>
                <w:szCs w:val="20"/>
              </w:rPr>
              <w:t>25 to 26</w:t>
            </w:r>
          </w:p>
        </w:tc>
        <w:tc>
          <w:tcPr>
            <w:tcW w:w="851"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jc w:val="right"/>
              <w:rPr>
                <w:rFonts w:cs="Times New Roman"/>
                <w:color w:val="000000"/>
                <w:sz w:val="18"/>
                <w:szCs w:val="18"/>
                <w:lang w:eastAsia="en-AU"/>
              </w:rPr>
            </w:pPr>
            <w:r>
              <w:rPr>
                <w:color w:val="000000"/>
                <w:szCs w:val="20"/>
              </w:rPr>
              <w:t>2024</w:t>
            </w:r>
          </w:p>
        </w:tc>
        <w:tc>
          <w:tcPr>
            <w:tcW w:w="708" w:type="dxa"/>
            <w:gridSpan w:val="2"/>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jc w:val="right"/>
              <w:rPr>
                <w:rFonts w:cs="Times New Roman"/>
                <w:color w:val="000000"/>
                <w:sz w:val="18"/>
                <w:szCs w:val="18"/>
                <w:lang w:eastAsia="en-AU"/>
              </w:rPr>
            </w:pPr>
            <w:r>
              <w:rPr>
                <w:color w:val="000000"/>
                <w:szCs w:val="20"/>
              </w:rPr>
              <w:t>2019</w:t>
            </w:r>
          </w:p>
        </w:tc>
        <w:tc>
          <w:tcPr>
            <w:tcW w:w="567" w:type="dxa"/>
            <w:tcBorders>
              <w:top w:val="single" w:sz="4" w:space="0" w:color="D9D9D9"/>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&gt;2034</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C7A7F" w:rsidRPr="007F5BD4" w:rsidRDefault="00FC7A7F" w:rsidP="003F52B6">
            <w:pPr>
              <w:spacing w:line="240" w:lineRule="auto"/>
              <w:rPr>
                <w:rFonts w:cs="Times New Roman"/>
                <w:color w:val="000000"/>
                <w:sz w:val="18"/>
                <w:szCs w:val="18"/>
                <w:lang w:eastAsia="en-AU"/>
              </w:rPr>
            </w:pPr>
            <w:r>
              <w:rPr>
                <w:color w:val="000000"/>
                <w:szCs w:val="20"/>
              </w:rPr>
              <w:t>Based on the industry projection</w:t>
            </w:r>
            <w:r w:rsidR="003F52B6">
              <w:rPr>
                <w:color w:val="000000"/>
                <w:szCs w:val="20"/>
              </w:rPr>
              <w:t>s</w:t>
            </w:r>
            <w:r>
              <w:rPr>
                <w:color w:val="000000"/>
                <w:szCs w:val="20"/>
              </w:rPr>
              <w:t xml:space="preserve"> of arisings increasing at 1.9% per annum</w:t>
            </w:r>
            <w:r w:rsidR="003F52B6">
              <w:rPr>
                <w:color w:val="000000"/>
                <w:szCs w:val="20"/>
              </w:rPr>
              <w:t>,</w:t>
            </w:r>
            <w:r>
              <w:rPr>
                <w:color w:val="000000"/>
                <w:szCs w:val="20"/>
              </w:rPr>
              <w:t xml:space="preserve"> the current and planned national capacity </w:t>
            </w:r>
            <w:r w:rsidR="003F52B6">
              <w:rPr>
                <w:color w:val="000000"/>
                <w:szCs w:val="20"/>
              </w:rPr>
              <w:t xml:space="preserve">for thermal destruction of clinical waste </w:t>
            </w:r>
            <w:r>
              <w:rPr>
                <w:color w:val="000000"/>
                <w:szCs w:val="20"/>
              </w:rPr>
              <w:t xml:space="preserve">could be </w:t>
            </w:r>
            <w:r w:rsidR="003F52B6">
              <w:rPr>
                <w:color w:val="000000"/>
                <w:szCs w:val="20"/>
              </w:rPr>
              <w:t>exceeded</w:t>
            </w:r>
            <w:r>
              <w:rPr>
                <w:color w:val="000000"/>
                <w:szCs w:val="20"/>
              </w:rPr>
              <w:t xml:space="preserve"> by 2024. </w:t>
            </w:r>
            <w:r w:rsidR="003F52B6">
              <w:rPr>
                <w:color w:val="000000"/>
                <w:szCs w:val="20"/>
              </w:rPr>
              <w:t>Under</w:t>
            </w:r>
            <w:r>
              <w:rPr>
                <w:color w:val="000000"/>
                <w:szCs w:val="20"/>
              </w:rPr>
              <w:t xml:space="preserve"> the high projection, </w:t>
            </w:r>
            <w:r w:rsidR="003F52B6">
              <w:rPr>
                <w:color w:val="000000"/>
                <w:szCs w:val="20"/>
              </w:rPr>
              <w:t>with</w:t>
            </w:r>
            <w:r>
              <w:rPr>
                <w:color w:val="000000"/>
                <w:szCs w:val="20"/>
              </w:rPr>
              <w:t xml:space="preserve"> arisings increasing at 3.9% per annum, capacity could be </w:t>
            </w:r>
            <w:r w:rsidR="003F52B6">
              <w:rPr>
                <w:color w:val="000000"/>
                <w:szCs w:val="20"/>
              </w:rPr>
              <w:t>exceeded</w:t>
            </w:r>
            <w:r>
              <w:rPr>
                <w:color w:val="000000"/>
                <w:szCs w:val="20"/>
              </w:rPr>
              <w:t xml:space="preserve"> in 2019. Under the low scenario capacity </w:t>
            </w:r>
            <w:r w:rsidR="00CF76E1">
              <w:rPr>
                <w:color w:val="000000"/>
                <w:szCs w:val="20"/>
              </w:rPr>
              <w:t>meet</w:t>
            </w:r>
            <w:r w:rsidR="003F52B6">
              <w:rPr>
                <w:color w:val="000000"/>
                <w:szCs w:val="20"/>
              </w:rPr>
              <w:t>s</w:t>
            </w:r>
            <w:r>
              <w:rPr>
                <w:color w:val="000000"/>
                <w:szCs w:val="20"/>
              </w:rPr>
              <w:t xml:space="preserve"> demand over the next 20 years.</w:t>
            </w:r>
            <w:r w:rsidR="00D06841">
              <w:rPr>
                <w:color w:val="000000"/>
                <w:szCs w:val="20"/>
              </w:rPr>
              <w:t xml:space="preserve"> </w:t>
            </w:r>
            <w:r>
              <w:rPr>
                <w:color w:val="000000"/>
                <w:szCs w:val="20"/>
              </w:rPr>
              <w:t>There may be some regional exceptions/limitations</w:t>
            </w:r>
            <w:r w:rsidR="00D10257">
              <w:rPr>
                <w:color w:val="000000"/>
                <w:szCs w:val="20"/>
              </w:rPr>
              <w:t xml:space="preserve"> (see jurisdictional analysis)</w:t>
            </w:r>
            <w:r>
              <w:rPr>
                <w:color w:val="000000"/>
                <w:szCs w:val="20"/>
              </w:rPr>
              <w:t xml:space="preserve">. </w:t>
            </w:r>
          </w:p>
        </w:tc>
      </w:tr>
      <w:tr w:rsidR="00FC7A7F" w:rsidRPr="001711AE" w:rsidTr="00C109D3">
        <w:trPr>
          <w:trHeight w:val="335"/>
        </w:trPr>
        <w:tc>
          <w:tcPr>
            <w:tcW w:w="1970" w:type="dxa"/>
            <w:tcBorders>
              <w:top w:val="single" w:sz="4" w:space="0" w:color="808080"/>
              <w:left w:val="nil"/>
              <w:bottom w:val="single" w:sz="4" w:space="0" w:color="808080"/>
              <w:right w:val="nil"/>
            </w:tcBorders>
            <w:shd w:val="clear" w:color="000000" w:fill="C5D9F1"/>
            <w:tcMar>
              <w:top w:w="28" w:type="dxa"/>
              <w:bottom w:w="28" w:type="dxa"/>
            </w:tcMar>
            <w:hideMark/>
          </w:tcPr>
          <w:p w:rsidR="00FC7A7F" w:rsidRPr="007F5BD4" w:rsidRDefault="00FC7A7F" w:rsidP="001711AE">
            <w:pPr>
              <w:spacing w:line="240" w:lineRule="auto"/>
              <w:rPr>
                <w:rFonts w:cs="Times New Roman"/>
                <w:b/>
                <w:bCs/>
                <w:color w:val="000000"/>
                <w:sz w:val="18"/>
                <w:szCs w:val="18"/>
                <w:lang w:eastAsia="en-AU"/>
              </w:rPr>
            </w:pPr>
            <w:r>
              <w:rPr>
                <w:b/>
                <w:bCs/>
                <w:color w:val="000000"/>
                <w:szCs w:val="20"/>
              </w:rPr>
              <w:t xml:space="preserve">Transfer station or </w:t>
            </w:r>
            <w:r>
              <w:rPr>
                <w:b/>
                <w:bCs/>
                <w:color w:val="000000"/>
                <w:szCs w:val="20"/>
              </w:rPr>
              <w:br/>
              <w:t>temporary storage fac.</w:t>
            </w:r>
          </w:p>
        </w:tc>
        <w:tc>
          <w:tcPr>
            <w:tcW w:w="724" w:type="dxa"/>
            <w:tcBorders>
              <w:top w:val="nil"/>
              <w:left w:val="single" w:sz="4" w:space="0" w:color="BFBFBF"/>
              <w:bottom w:val="single" w:sz="4" w:space="0" w:color="808080"/>
              <w:right w:val="nil"/>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jc w:val="right"/>
              <w:rPr>
                <w:rFonts w:cs="Times New Roman"/>
                <w:color w:val="000000"/>
                <w:sz w:val="18"/>
                <w:szCs w:val="18"/>
                <w:lang w:eastAsia="en-AU"/>
              </w:rPr>
            </w:pPr>
            <w:r>
              <w:rPr>
                <w:color w:val="000000"/>
                <w:szCs w:val="20"/>
              </w:rPr>
              <w:t>335</w:t>
            </w:r>
          </w:p>
        </w:tc>
        <w:tc>
          <w:tcPr>
            <w:tcW w:w="992"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rPr>
                <w:rFonts w:cs="Times New Roman"/>
                <w:color w:val="000000"/>
                <w:sz w:val="18"/>
                <w:szCs w:val="18"/>
                <w:lang w:eastAsia="en-AU"/>
              </w:rPr>
            </w:pPr>
            <w:r>
              <w:rPr>
                <w:color w:val="000000"/>
                <w:szCs w:val="20"/>
              </w:rPr>
              <w:t>Very high</w:t>
            </w:r>
          </w:p>
        </w:tc>
        <w:tc>
          <w:tcPr>
            <w:tcW w:w="709"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jc w:val="right"/>
              <w:rPr>
                <w:rFonts w:cs="Times New Roman"/>
                <w:color w:val="000000"/>
                <w:sz w:val="18"/>
                <w:szCs w:val="18"/>
                <w:lang w:eastAsia="en-AU"/>
              </w:rPr>
            </w:pPr>
            <w:r>
              <w:rPr>
                <w:color w:val="000000"/>
                <w:szCs w:val="20"/>
              </w:rPr>
              <w:t>608 to 809</w:t>
            </w:r>
          </w:p>
        </w:tc>
        <w:tc>
          <w:tcPr>
            <w:tcW w:w="851"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jc w:val="right"/>
              <w:rPr>
                <w:rFonts w:cs="Times New Roman"/>
                <w:color w:val="BFBFBF"/>
                <w:sz w:val="18"/>
                <w:szCs w:val="18"/>
                <w:lang w:eastAsia="en-AU"/>
              </w:rPr>
            </w:pPr>
            <w:r>
              <w:rPr>
                <w:szCs w:val="20"/>
              </w:rPr>
              <w:t>2015</w:t>
            </w:r>
          </w:p>
        </w:tc>
        <w:tc>
          <w:tcPr>
            <w:tcW w:w="708" w:type="dxa"/>
            <w:gridSpan w:val="2"/>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jc w:val="right"/>
              <w:rPr>
                <w:rFonts w:cs="Times New Roman"/>
                <w:color w:val="BFBFBF"/>
                <w:sz w:val="18"/>
                <w:szCs w:val="18"/>
                <w:lang w:eastAsia="en-AU"/>
              </w:rPr>
            </w:pPr>
            <w:r>
              <w:rPr>
                <w:szCs w:val="20"/>
              </w:rPr>
              <w:t>2015</w:t>
            </w:r>
          </w:p>
        </w:tc>
        <w:tc>
          <w:tcPr>
            <w:tcW w:w="567" w:type="dxa"/>
            <w:tcBorders>
              <w:top w:val="nil"/>
              <w:left w:val="nil"/>
              <w:bottom w:val="single" w:sz="4" w:space="0" w:color="808080"/>
              <w:right w:val="single" w:sz="4" w:space="0" w:color="BFBFBF"/>
            </w:tcBorders>
            <w:shd w:val="clear" w:color="000000" w:fill="FFFFFF"/>
            <w:noWrap/>
            <w:tcMar>
              <w:top w:w="28" w:type="dxa"/>
              <w:left w:w="28" w:type="dxa"/>
              <w:bottom w:w="28" w:type="dxa"/>
              <w:right w:w="28" w:type="dxa"/>
            </w:tcMar>
            <w:hideMark/>
          </w:tcPr>
          <w:p w:rsidR="00FC7A7F" w:rsidRPr="007F5BD4" w:rsidRDefault="00FC7A7F" w:rsidP="001711AE">
            <w:pPr>
              <w:spacing w:line="240" w:lineRule="auto"/>
              <w:jc w:val="right"/>
              <w:rPr>
                <w:rFonts w:cs="Times New Roman"/>
                <w:color w:val="BFBFBF"/>
                <w:sz w:val="18"/>
                <w:szCs w:val="18"/>
                <w:lang w:eastAsia="en-AU"/>
              </w:rPr>
            </w:pPr>
            <w:r>
              <w:rPr>
                <w:szCs w:val="20"/>
              </w:rPr>
              <w:t>2015</w:t>
            </w:r>
          </w:p>
        </w:tc>
        <w:tc>
          <w:tcPr>
            <w:tcW w:w="8789" w:type="dxa"/>
            <w:tcBorders>
              <w:top w:val="single" w:sz="4" w:space="0" w:color="D9D9D9"/>
              <w:left w:val="nil"/>
              <w:bottom w:val="single" w:sz="4" w:space="0" w:color="808080"/>
              <w:right w:val="nil"/>
            </w:tcBorders>
            <w:shd w:val="clear" w:color="000000" w:fill="FFFFFF"/>
            <w:tcMar>
              <w:top w:w="28" w:type="dxa"/>
              <w:bottom w:w="28" w:type="dxa"/>
            </w:tcMar>
            <w:hideMark/>
          </w:tcPr>
          <w:p w:rsidR="00FC7A7F" w:rsidRPr="007F5BD4" w:rsidRDefault="00FC7A7F" w:rsidP="00140A37">
            <w:pPr>
              <w:spacing w:after="240" w:line="240" w:lineRule="auto"/>
              <w:rPr>
                <w:rFonts w:cs="Times New Roman"/>
                <w:color w:val="000000"/>
                <w:sz w:val="18"/>
                <w:szCs w:val="18"/>
                <w:lang w:eastAsia="en-AU"/>
              </w:rPr>
            </w:pPr>
            <w:r>
              <w:rPr>
                <w:color w:val="000000"/>
                <w:szCs w:val="20"/>
              </w:rPr>
              <w:t>Projections indicate that under all scenarios the current national transfer/temporary storage capacity of hazardous waste infrastructure is exceeded. We do not believe these projections are</w:t>
            </w:r>
            <w:r w:rsidR="00D06841">
              <w:rPr>
                <w:color w:val="000000"/>
                <w:szCs w:val="20"/>
              </w:rPr>
              <w:t xml:space="preserve"> </w:t>
            </w:r>
            <w:r>
              <w:rPr>
                <w:color w:val="000000"/>
                <w:szCs w:val="20"/>
              </w:rPr>
              <w:t>accurate due mainly to the capacity database having limited coverage of this group. Rawtec (2014</w:t>
            </w:r>
            <w:r w:rsidR="00430ADB">
              <w:rPr>
                <w:color w:val="000000"/>
                <w:szCs w:val="20"/>
              </w:rPr>
              <w:t xml:space="preserve"> p.8</w:t>
            </w:r>
            <w:r>
              <w:rPr>
                <w:color w:val="000000"/>
                <w:szCs w:val="20"/>
              </w:rPr>
              <w:t xml:space="preserve">) </w:t>
            </w:r>
            <w:r w:rsidR="00430ADB">
              <w:rPr>
                <w:color w:val="000000"/>
                <w:szCs w:val="20"/>
              </w:rPr>
              <w:t>states</w:t>
            </w:r>
            <w:r>
              <w:rPr>
                <w:color w:val="000000"/>
                <w:szCs w:val="20"/>
              </w:rPr>
              <w:t xml:space="preserve"> the following regarding the scope of this infrastructure group: "Some intermediate storage facilities are included in this dataset. It is recognised that there are other facilities which deal with hazardous wastes that are not included in the dataset, such as smaller storage facilities and transfer stations".  This infrastructure group is also not the focus of this project.</w:t>
            </w:r>
            <w:r>
              <w:rPr>
                <w:color w:val="000000"/>
                <w:szCs w:val="20"/>
              </w:rPr>
              <w:br/>
            </w:r>
            <w:r w:rsidR="00FA3E44" w:rsidRPr="00110D33">
              <w:rPr>
                <w:color w:val="000000"/>
                <w:sz w:val="8"/>
                <w:szCs w:val="8"/>
              </w:rPr>
              <w:br/>
            </w:r>
            <w:r>
              <w:rPr>
                <w:color w:val="000000"/>
                <w:szCs w:val="20"/>
              </w:rPr>
              <w:t xml:space="preserve">We surveyed industry asking them to flag any major transport constraints. Very long transport distances particularly in WA </w:t>
            </w:r>
            <w:r w:rsidR="003B34D2">
              <w:rPr>
                <w:color w:val="000000"/>
                <w:szCs w:val="20"/>
              </w:rPr>
              <w:t>were</w:t>
            </w:r>
            <w:r>
              <w:rPr>
                <w:color w:val="000000"/>
                <w:szCs w:val="20"/>
              </w:rPr>
              <w:t xml:space="preserve"> raised several times as a major barrier to treating/reco</w:t>
            </w:r>
            <w:r w:rsidR="00430ADB">
              <w:rPr>
                <w:color w:val="000000"/>
                <w:szCs w:val="20"/>
              </w:rPr>
              <w:t xml:space="preserve">vering hazardous waste. </w:t>
            </w:r>
            <w:r w:rsidR="00430ADB">
              <w:rPr>
                <w:color w:val="000000"/>
                <w:szCs w:val="20"/>
              </w:rPr>
              <w:lastRenderedPageBreak/>
              <w:t>WA has seven</w:t>
            </w:r>
            <w:r>
              <w:rPr>
                <w:color w:val="000000"/>
                <w:szCs w:val="20"/>
              </w:rPr>
              <w:t xml:space="preserve"> of the 43 transfer station facilities in the database. For such a large state this appears low when compar</w:t>
            </w:r>
            <w:r w:rsidR="00430ADB">
              <w:rPr>
                <w:color w:val="000000"/>
                <w:szCs w:val="20"/>
              </w:rPr>
              <w:t>ed with Vic, for example, with eight</w:t>
            </w:r>
            <w:r>
              <w:rPr>
                <w:color w:val="000000"/>
                <w:szCs w:val="20"/>
              </w:rPr>
              <w:t xml:space="preserve"> transfer sites.</w:t>
            </w:r>
            <w:r w:rsidR="00D06841">
              <w:rPr>
                <w:color w:val="000000"/>
                <w:szCs w:val="20"/>
              </w:rPr>
              <w:t xml:space="preserve"> </w:t>
            </w:r>
            <w:r>
              <w:rPr>
                <w:color w:val="000000"/>
                <w:szCs w:val="20"/>
              </w:rPr>
              <w:t>If not already being undertaken, further investigation of strategic locations for transfer station facilities in WA is recommended. Consultation with industry on establishing joint venture transfer stations to consolidate wastes from a range of waste companies and generators should be explored for WA and potentially Qld (to reduce costs of CGS waste transport).</w:t>
            </w:r>
            <w:r w:rsidR="00D06841">
              <w:rPr>
                <w:color w:val="000000"/>
                <w:szCs w:val="20"/>
              </w:rPr>
              <w:t xml:space="preserve"> </w:t>
            </w:r>
            <w:r>
              <w:rPr>
                <w:color w:val="000000"/>
                <w:szCs w:val="20"/>
              </w:rPr>
              <w:br/>
            </w:r>
            <w:r w:rsidR="00FA3E44" w:rsidRPr="00110D33">
              <w:rPr>
                <w:color w:val="000000"/>
                <w:sz w:val="8"/>
                <w:szCs w:val="8"/>
              </w:rPr>
              <w:br/>
            </w:r>
            <w:r w:rsidR="00140A37" w:rsidRPr="00140A37">
              <w:rPr>
                <w:bCs/>
                <w:color w:val="000000"/>
                <w:szCs w:val="20"/>
              </w:rPr>
              <w:t>It is recommended that</w:t>
            </w:r>
            <w:r>
              <w:rPr>
                <w:color w:val="000000"/>
                <w:szCs w:val="20"/>
              </w:rPr>
              <w:t xml:space="preserve"> DoE and/or WA and Qld state governments </w:t>
            </w:r>
            <w:r w:rsidR="001731D9">
              <w:rPr>
                <w:color w:val="000000"/>
                <w:szCs w:val="20"/>
              </w:rPr>
              <w:t xml:space="preserve">should </w:t>
            </w:r>
            <w:r>
              <w:rPr>
                <w:color w:val="000000"/>
                <w:szCs w:val="20"/>
              </w:rPr>
              <w:t>complete a detailed assessment and consultation with industry regarding the need for and (where required) best location</w:t>
            </w:r>
            <w:r w:rsidR="00430ADB">
              <w:rPr>
                <w:color w:val="000000"/>
                <w:szCs w:val="20"/>
              </w:rPr>
              <w:t>(</w:t>
            </w:r>
            <w:r>
              <w:rPr>
                <w:color w:val="000000"/>
                <w:szCs w:val="20"/>
              </w:rPr>
              <w:t>s</w:t>
            </w:r>
            <w:r w:rsidR="00430ADB">
              <w:rPr>
                <w:color w:val="000000"/>
                <w:szCs w:val="20"/>
              </w:rPr>
              <w:t>)</w:t>
            </w:r>
            <w:r>
              <w:rPr>
                <w:color w:val="000000"/>
                <w:szCs w:val="20"/>
              </w:rPr>
              <w:t xml:space="preserve"> for additional hazardous waste transfer station/temporary storage infrastructure. </w:t>
            </w:r>
          </w:p>
        </w:tc>
      </w:tr>
    </w:tbl>
    <w:p w:rsidR="00FC7A7F" w:rsidRPr="007F5BD4" w:rsidRDefault="00FC7A7F" w:rsidP="00FC7A7F">
      <w:pPr>
        <w:pStyle w:val="BodyText"/>
        <w:rPr>
          <w:color w:val="0000FF" w:themeColor="text2"/>
          <w:sz w:val="20"/>
        </w:rPr>
      </w:pPr>
      <w:r w:rsidRPr="007F5BD4">
        <w:rPr>
          <w:color w:val="0000FF" w:themeColor="text2"/>
          <w:sz w:val="20"/>
        </w:rPr>
        <w:lastRenderedPageBreak/>
        <w:t xml:space="preserve">Notes: </w:t>
      </w:r>
      <w:r w:rsidRPr="007F5BD4">
        <w:rPr>
          <w:color w:val="0000FF" w:themeColor="text2"/>
          <w:sz w:val="20"/>
        </w:rPr>
        <w:tab/>
      </w:r>
      <w:r w:rsidRPr="007F5BD4">
        <w:rPr>
          <w:color w:val="0000FF" w:themeColor="text2"/>
          <w:sz w:val="20"/>
        </w:rPr>
        <w:tab/>
      </w:r>
      <w:r w:rsidRPr="007F5BD4">
        <w:rPr>
          <w:color w:val="0000FF" w:themeColor="text2"/>
          <w:sz w:val="20"/>
        </w:rPr>
        <w:tab/>
      </w:r>
      <w:r w:rsidRPr="007F5BD4">
        <w:rPr>
          <w:color w:val="0000FF" w:themeColor="text2"/>
          <w:sz w:val="20"/>
        </w:rPr>
        <w:tab/>
      </w:r>
      <w:r w:rsidRPr="007F5BD4">
        <w:rPr>
          <w:color w:val="0000FF" w:themeColor="text2"/>
          <w:sz w:val="20"/>
        </w:rPr>
        <w:tab/>
      </w:r>
      <w:r w:rsidRPr="007F5BD4">
        <w:rPr>
          <w:color w:val="0000FF" w:themeColor="text2"/>
          <w:sz w:val="20"/>
        </w:rPr>
        <w:tab/>
      </w:r>
      <w:r w:rsidRPr="007F5BD4">
        <w:rPr>
          <w:color w:val="0000FF" w:themeColor="text2"/>
          <w:sz w:val="20"/>
        </w:rPr>
        <w:tab/>
      </w:r>
      <w:r w:rsidRPr="007F5BD4">
        <w:rPr>
          <w:color w:val="0000FF" w:themeColor="text2"/>
          <w:sz w:val="20"/>
        </w:rPr>
        <w:tab/>
      </w:r>
    </w:p>
    <w:p w:rsidR="00FC7A7F" w:rsidRPr="007F5BD4" w:rsidRDefault="00FC7A7F" w:rsidP="00FC7A7F">
      <w:pPr>
        <w:pStyle w:val="BodyText"/>
        <w:rPr>
          <w:i/>
          <w:color w:val="0000FF" w:themeColor="text2"/>
          <w:sz w:val="20"/>
        </w:rPr>
      </w:pPr>
      <w:r w:rsidRPr="007F5BD4">
        <w:rPr>
          <w:i/>
          <w:color w:val="0000FF" w:themeColor="text2"/>
          <w:sz w:val="20"/>
        </w:rPr>
        <w:t>1. Analysis assumes that the current national average proportions of fate (i.e. how much is recovered, disposed) remain static. This limits the quantitate analysis for wastes that are currently disposed but could be recovered in higher proportion in future. Consultation with government stakeholders about expected changes in regulation has been completed as well as discussing likely future trends with industry during consultation.</w:t>
      </w:r>
      <w:r w:rsidRPr="007F5BD4">
        <w:rPr>
          <w:i/>
          <w:color w:val="0000FF" w:themeColor="text2"/>
          <w:sz w:val="20"/>
        </w:rPr>
        <w:tab/>
      </w:r>
    </w:p>
    <w:p w:rsidR="006D2345" w:rsidRDefault="00FC7A7F" w:rsidP="00FC7A7F">
      <w:pPr>
        <w:pStyle w:val="BodyText"/>
        <w:sectPr w:rsidR="006D2345" w:rsidSect="007F5BD4">
          <w:headerReference w:type="default" r:id="rId167"/>
          <w:footerReference w:type="default" r:id="rId168"/>
          <w:pgSz w:w="16840" w:h="11907" w:orient="landscape" w:code="9"/>
          <w:pgMar w:top="1418" w:right="964" w:bottom="1135" w:left="1134" w:header="709" w:footer="709" w:gutter="0"/>
          <w:cols w:space="708"/>
          <w:docGrid w:linePitch="360"/>
        </w:sectPr>
      </w:pPr>
      <w:r w:rsidRPr="007F5BD4">
        <w:rPr>
          <w:i/>
          <w:color w:val="0000FF" w:themeColor="text2"/>
          <w:sz w:val="20"/>
        </w:rPr>
        <w:t>2. Landfill 'potential capacity' refers to the potential tonnages that the site can landfill in a year. It does not refer to the amount of waste the site can receive before closure. Where the potential capacity is exceeded, it indicates that the landfill/s would need to increase capabilities to dispose more waste each year. This may require amendment to the sites EPA licence.</w:t>
      </w:r>
      <w:r w:rsidR="00D06841">
        <w:rPr>
          <w:color w:val="0000FF" w:themeColor="text2"/>
          <w:sz w:val="20"/>
        </w:rPr>
        <w:t xml:space="preserve"> </w:t>
      </w:r>
      <w:r w:rsidRPr="007F5BD4">
        <w:rPr>
          <w:color w:val="0000FF" w:themeColor="text2"/>
        </w:rPr>
        <w:tab/>
      </w:r>
      <w:r w:rsidRPr="007F5BD4">
        <w:rPr>
          <w:color w:val="0000FF" w:themeColor="text2"/>
        </w:rPr>
        <w:tab/>
      </w:r>
      <w:r w:rsidRPr="007F5BD4">
        <w:rPr>
          <w:color w:val="0000FF" w:themeColor="text2"/>
        </w:rPr>
        <w:tab/>
      </w:r>
      <w:r w:rsidRPr="007F5BD4">
        <w:rPr>
          <w:color w:val="0000FF" w:themeColor="text2"/>
        </w:rPr>
        <w:tab/>
      </w:r>
      <w:r w:rsidRPr="007F5BD4">
        <w:rPr>
          <w:color w:val="0000FF" w:themeColor="text2"/>
        </w:rPr>
        <w:tab/>
      </w:r>
      <w:r w:rsidRPr="007F5BD4">
        <w:rPr>
          <w:color w:val="0000FF" w:themeColor="text2"/>
        </w:rPr>
        <w:tab/>
      </w:r>
      <w:r>
        <w:tab/>
      </w:r>
    </w:p>
    <w:p w:rsidR="00823652" w:rsidRPr="00816657" w:rsidRDefault="00823652" w:rsidP="00823652">
      <w:pPr>
        <w:pStyle w:val="Heading2"/>
      </w:pPr>
      <w:bookmarkStart w:id="380" w:name="_Toc420525942"/>
      <w:bookmarkStart w:id="381" w:name="_Toc420569693"/>
      <w:bookmarkStart w:id="382" w:name="_Toc420680778"/>
      <w:bookmarkStart w:id="383" w:name="_Toc420879270"/>
      <w:bookmarkStart w:id="384" w:name="_Toc420959497"/>
      <w:bookmarkStart w:id="385" w:name="_Toc421034153"/>
      <w:bookmarkStart w:id="386" w:name="_Toc421042301"/>
      <w:bookmarkStart w:id="387" w:name="_Toc421043501"/>
      <w:bookmarkStart w:id="388" w:name="_Toc421048484"/>
      <w:bookmarkStart w:id="389" w:name="_Toc421054600"/>
      <w:bookmarkStart w:id="390" w:name="_Toc421086298"/>
      <w:bookmarkStart w:id="391" w:name="_Toc421126673"/>
      <w:bookmarkStart w:id="392" w:name="_Toc408308731"/>
      <w:bookmarkStart w:id="393" w:name="_Ref420967492"/>
      <w:bookmarkStart w:id="394" w:name="_Toc425849174"/>
      <w:bookmarkEnd w:id="380"/>
      <w:bookmarkEnd w:id="381"/>
      <w:bookmarkEnd w:id="382"/>
      <w:bookmarkEnd w:id="383"/>
      <w:bookmarkEnd w:id="384"/>
      <w:bookmarkEnd w:id="385"/>
      <w:bookmarkEnd w:id="386"/>
      <w:bookmarkEnd w:id="387"/>
      <w:bookmarkEnd w:id="388"/>
      <w:bookmarkEnd w:id="389"/>
      <w:bookmarkEnd w:id="390"/>
      <w:bookmarkEnd w:id="391"/>
      <w:r w:rsidRPr="00816657">
        <w:lastRenderedPageBreak/>
        <w:t xml:space="preserve">Jurisdictional assessment by </w:t>
      </w:r>
      <w:bookmarkEnd w:id="392"/>
      <w:r w:rsidR="003A6FBB">
        <w:t>waste groups</w:t>
      </w:r>
      <w:bookmarkEnd w:id="393"/>
      <w:bookmarkEnd w:id="394"/>
      <w:r w:rsidR="003A6FBB">
        <w:t xml:space="preserve"> </w:t>
      </w:r>
    </w:p>
    <w:p w:rsidR="001D4C0B" w:rsidRDefault="00823652" w:rsidP="001D4C0B">
      <w:pPr>
        <w:pStyle w:val="BodyText"/>
      </w:pPr>
      <w:r w:rsidRPr="00170F40">
        <w:t>A</w:t>
      </w:r>
      <w:r w:rsidR="00992BFF">
        <w:t>n</w:t>
      </w:r>
      <w:r w:rsidRPr="00170F40">
        <w:t xml:space="preserve"> assessment of potential capacity</w:t>
      </w:r>
      <w:r w:rsidR="00992BFF">
        <w:t xml:space="preserve"> in each jurisdiction</w:t>
      </w:r>
      <w:r w:rsidRPr="00170F40">
        <w:t xml:space="preserve"> against estimated </w:t>
      </w:r>
      <w:r w:rsidR="002B1FBC">
        <w:t xml:space="preserve">wastes </w:t>
      </w:r>
      <w:r w:rsidR="00992BFF">
        <w:t>arising</w:t>
      </w:r>
      <w:r w:rsidR="002B1FBC">
        <w:t xml:space="preserve"> </w:t>
      </w:r>
      <w:r w:rsidRPr="00170F40">
        <w:t xml:space="preserve">is given </w:t>
      </w:r>
      <w:r w:rsidR="00D72038">
        <w:t xml:space="preserve">in the tables </w:t>
      </w:r>
      <w:r w:rsidRPr="00170F40">
        <w:t>overleaf</w:t>
      </w:r>
      <w:r w:rsidR="00D06841">
        <w:t xml:space="preserve"> </w:t>
      </w:r>
      <w:r w:rsidR="006D07F5">
        <w:fldChar w:fldCharType="begin"/>
      </w:r>
      <w:r w:rsidR="00170F40">
        <w:instrText xml:space="preserve"> REF _Ref409389114 \h </w:instrText>
      </w:r>
      <w:r w:rsidR="006D07F5">
        <w:fldChar w:fldCharType="separate"/>
      </w:r>
      <w:r w:rsidR="002F3000" w:rsidRPr="00816657">
        <w:t xml:space="preserve">Table </w:t>
      </w:r>
      <w:r w:rsidR="002F3000">
        <w:rPr>
          <w:noProof/>
        </w:rPr>
        <w:t>59</w:t>
      </w:r>
      <w:r w:rsidR="006D07F5">
        <w:fldChar w:fldCharType="end"/>
      </w:r>
      <w:r w:rsidR="007835E4">
        <w:t xml:space="preserve"> </w:t>
      </w:r>
      <w:r w:rsidR="007835E4" w:rsidRPr="007F5BD4">
        <w:rPr>
          <w:color w:val="auto"/>
        </w:rPr>
        <w:t xml:space="preserve">to </w:t>
      </w:r>
      <w:fldSimple w:instr=" REF _Ref420495416 \h  \* MERGEFORMAT ">
        <w:r w:rsidR="002F3000" w:rsidRPr="002F3000">
          <w:rPr>
            <w:rFonts w:asciiTheme="minorHAnsi" w:hAnsiTheme="minorHAnsi" w:cs="Calibri"/>
            <w:color w:val="auto"/>
          </w:rPr>
          <w:t>Table 66</w:t>
        </w:r>
      </w:fldSimple>
      <w:r w:rsidRPr="007F5BD4">
        <w:rPr>
          <w:color w:val="auto"/>
        </w:rPr>
        <w:t xml:space="preserve">. </w:t>
      </w:r>
      <w:r w:rsidR="00992BFF">
        <w:rPr>
          <w:color w:val="auto"/>
        </w:rPr>
        <w:t>Each</w:t>
      </w:r>
      <w:r w:rsidR="001D4C0B" w:rsidRPr="007F5BD4">
        <w:rPr>
          <w:color w:val="auto"/>
        </w:rPr>
        <w:t xml:space="preserve"> </w:t>
      </w:r>
      <w:r w:rsidR="001D4C0B">
        <w:t>table includes the following for each infrastructure group:</w:t>
      </w:r>
    </w:p>
    <w:p w:rsidR="001D4C0B" w:rsidRDefault="00992BFF" w:rsidP="001D4C0B">
      <w:pPr>
        <w:pStyle w:val="Bullet1"/>
      </w:pPr>
      <w:r>
        <w:t xml:space="preserve">the </w:t>
      </w:r>
      <w:r w:rsidR="001D4C0B">
        <w:t>potential capacity of the infrastructure included in the group</w:t>
      </w:r>
    </w:p>
    <w:p w:rsidR="001D4C0B" w:rsidRDefault="00992BFF" w:rsidP="001D4C0B">
      <w:pPr>
        <w:pStyle w:val="Bullet1"/>
      </w:pPr>
      <w:r>
        <w:t xml:space="preserve">the </w:t>
      </w:r>
      <w:r w:rsidR="001D4C0B">
        <w:t>estimated</w:t>
      </w:r>
      <w:r>
        <w:t xml:space="preserve"> 2015 arisings</w:t>
      </w:r>
      <w:r w:rsidR="001D4C0B">
        <w:t xml:space="preserve"> assumed to be sent to </w:t>
      </w:r>
      <w:r w:rsidR="002B1FBC">
        <w:t xml:space="preserve">each </w:t>
      </w:r>
      <w:r w:rsidR="001D4C0B">
        <w:t>infrastructure group</w:t>
      </w:r>
    </w:p>
    <w:p w:rsidR="001D4C0B" w:rsidRDefault="00992BFF" w:rsidP="001D4C0B">
      <w:pPr>
        <w:pStyle w:val="Bullet1"/>
      </w:pPr>
      <w:r>
        <w:t xml:space="preserve">the </w:t>
      </w:r>
      <w:r w:rsidR="001D4C0B" w:rsidRPr="00816657">
        <w:t xml:space="preserve">year in which estimated </w:t>
      </w:r>
      <w:r w:rsidR="002B1FBC">
        <w:t xml:space="preserve">waste </w:t>
      </w:r>
      <w:r>
        <w:t>arisings</w:t>
      </w:r>
      <w:r w:rsidR="002B1FBC">
        <w:t xml:space="preserve"> </w:t>
      </w:r>
      <w:r w:rsidR="001D4C0B" w:rsidRPr="00816657">
        <w:t>exceed estimated capacity</w:t>
      </w:r>
      <w:r>
        <w:t xml:space="preserve"> under </w:t>
      </w:r>
      <w:r w:rsidR="001D4C0B" w:rsidRPr="00816657">
        <w:t>best, high and low estimates</w:t>
      </w:r>
    </w:p>
    <w:p w:rsidR="001D4C0B" w:rsidRDefault="00992BFF" w:rsidP="001D4C0B">
      <w:pPr>
        <w:pStyle w:val="Bullet1"/>
      </w:pPr>
      <w:proofErr w:type="gramStart"/>
      <w:r>
        <w:t>a</w:t>
      </w:r>
      <w:proofErr w:type="gramEnd"/>
      <w:r w:rsidR="001D4C0B">
        <w:t xml:space="preserve"> discussion.</w:t>
      </w:r>
      <w:r w:rsidR="00D06841">
        <w:t xml:space="preserve"> </w:t>
      </w:r>
    </w:p>
    <w:p w:rsidR="002923A3" w:rsidRDefault="002923A3" w:rsidP="002923A3">
      <w:pPr>
        <w:pStyle w:val="BodyText"/>
      </w:pPr>
    </w:p>
    <w:p w:rsidR="002923A3" w:rsidRDefault="002923A3" w:rsidP="002923A3">
      <w:pPr>
        <w:pStyle w:val="BodyText"/>
      </w:pPr>
      <w:r w:rsidRPr="007F5BD4">
        <w:t>In the public version of this report, the data for infrastructure groups that are serviced by less than three sites have been removed to protect commercial confidentialities.</w:t>
      </w:r>
    </w:p>
    <w:p w:rsidR="007C6856" w:rsidRPr="00C05318" w:rsidRDefault="007C6856" w:rsidP="007F5BD4">
      <w:pPr>
        <w:pStyle w:val="BodyText"/>
      </w:pPr>
    </w:p>
    <w:p w:rsidR="007C0243" w:rsidRPr="00816657" w:rsidRDefault="00083D93" w:rsidP="007F5BD4">
      <w:pPr>
        <w:pStyle w:val="Heading3"/>
      </w:pPr>
      <w:r>
        <w:t xml:space="preserve">Limitations of </w:t>
      </w:r>
      <w:r w:rsidR="002636A5">
        <w:t xml:space="preserve">using national average fate </w:t>
      </w:r>
      <w:r w:rsidR="00180AB0">
        <w:t xml:space="preserve">proportions for </w:t>
      </w:r>
      <w:r w:rsidR="002636A5">
        <w:t>hazardous wastes</w:t>
      </w:r>
      <w:r w:rsidR="00D06841">
        <w:t xml:space="preserve"> </w:t>
      </w:r>
    </w:p>
    <w:p w:rsidR="00083D93" w:rsidRDefault="00AB50C7">
      <w:pPr>
        <w:pStyle w:val="BodyText"/>
      </w:pPr>
      <w:r>
        <w:t>The u</w:t>
      </w:r>
      <w:r w:rsidRPr="00AB50C7">
        <w:t>ncertainty in the assumed fate proportions and mapping to infrastructure</w:t>
      </w:r>
      <w:r>
        <w:t xml:space="preserve">, discussed in </w:t>
      </w:r>
      <w:fldSimple w:instr=" REF _Ref420062067 \r \h  \* MERGEFORMAT ">
        <w:r w:rsidR="002F3000">
          <w:t>4.2</w:t>
        </w:r>
      </w:fldSimple>
      <w:r>
        <w:t xml:space="preserve">, is particularly important for the jurisdictional assessment. </w:t>
      </w:r>
      <w:r w:rsidR="00083D93" w:rsidRPr="00816657">
        <w:t xml:space="preserve">The fate </w:t>
      </w:r>
      <w:r w:rsidR="00083D93">
        <w:t xml:space="preserve">proportions </w:t>
      </w:r>
      <w:r w:rsidR="00083D93" w:rsidRPr="00816657">
        <w:t xml:space="preserve">of 2012-13 waste arisings </w:t>
      </w:r>
      <w:r w:rsidR="00ED1362">
        <w:t xml:space="preserve">have been determined from jurisdictional tracking system data </w:t>
      </w:r>
      <w:r w:rsidR="00083D93" w:rsidRPr="00816657">
        <w:t>for NSW, Qld and Vic</w:t>
      </w:r>
      <w:r w:rsidR="00083D93">
        <w:t xml:space="preserve"> </w:t>
      </w:r>
      <w:r w:rsidR="00083D93" w:rsidRPr="00992BFF">
        <w:t>only</w:t>
      </w:r>
      <w:r w:rsidR="00083D93" w:rsidRPr="00816657">
        <w:t xml:space="preserve"> and </w:t>
      </w:r>
      <w:r w:rsidR="00083D93">
        <w:t>are included</w:t>
      </w:r>
      <w:r w:rsidR="00083D93" w:rsidRPr="00816657">
        <w:t xml:space="preserve"> </w:t>
      </w:r>
      <w:fldSimple w:instr=" REF _Ref419143857 \h  \* MERGEFORMAT ">
        <w:r w:rsidR="002F3000" w:rsidRPr="00816657">
          <w:t xml:space="preserve">Figure </w:t>
        </w:r>
        <w:r w:rsidR="002F3000">
          <w:rPr>
            <w:noProof/>
          </w:rPr>
          <w:t>36</w:t>
        </w:r>
      </w:fldSimple>
      <w:r w:rsidR="00922F8E">
        <w:t xml:space="preserve"> </w:t>
      </w:r>
      <w:r w:rsidR="00083D93" w:rsidRPr="00816657">
        <w:t xml:space="preserve">to </w:t>
      </w:r>
      <w:r w:rsidR="006D07F5">
        <w:fldChar w:fldCharType="begin"/>
      </w:r>
      <w:r w:rsidR="00992BFF">
        <w:instrText xml:space="preserve"> REF _Ref421281439 \h </w:instrText>
      </w:r>
      <w:r w:rsidR="006D07F5">
        <w:fldChar w:fldCharType="separate"/>
      </w:r>
      <w:r w:rsidR="002F3000" w:rsidRPr="00816657">
        <w:t xml:space="preserve">Figure </w:t>
      </w:r>
      <w:r w:rsidR="002F3000">
        <w:rPr>
          <w:noProof/>
        </w:rPr>
        <w:t>38</w:t>
      </w:r>
      <w:r w:rsidR="006D07F5">
        <w:fldChar w:fldCharType="end"/>
      </w:r>
      <w:r w:rsidR="00083D93" w:rsidRPr="00816657">
        <w:t xml:space="preserve"> </w:t>
      </w:r>
      <w:r w:rsidR="00083D93">
        <w:t xml:space="preserve">(above). </w:t>
      </w:r>
      <w:r w:rsidR="00922F8E">
        <w:t xml:space="preserve">The national average of the fate proportions is assumed to be the </w:t>
      </w:r>
      <w:r w:rsidR="00083D93" w:rsidRPr="00816657">
        <w:t xml:space="preserve">combined </w:t>
      </w:r>
      <w:r w:rsidR="00E236FE">
        <w:t xml:space="preserve">weighted </w:t>
      </w:r>
      <w:r w:rsidR="00922F8E">
        <w:t xml:space="preserve">average of the </w:t>
      </w:r>
      <w:r w:rsidR="00083D93">
        <w:t xml:space="preserve">NSW, Qld and Vic </w:t>
      </w:r>
      <w:r w:rsidR="00922F8E">
        <w:t>fate proportions</w:t>
      </w:r>
      <w:r w:rsidR="00083D93" w:rsidRPr="00816657">
        <w:t xml:space="preserve">. </w:t>
      </w:r>
      <w:fldSimple w:instr=" REF _Ref421043373 \h  \* MERGEFORMAT ">
        <w:r w:rsidR="002F3000" w:rsidRPr="002F3000">
          <w:rPr>
            <w:rFonts w:asciiTheme="minorHAnsi" w:hAnsiTheme="minorHAnsi" w:cs="Calibri"/>
            <w:noProof/>
            <w:color w:val="auto"/>
          </w:rPr>
          <w:t>Table 55</w:t>
        </w:r>
      </w:fldSimple>
      <w:r w:rsidR="002B1FBC" w:rsidRPr="007F5BD4">
        <w:rPr>
          <w:color w:val="auto"/>
        </w:rPr>
        <w:t xml:space="preserve"> </w:t>
      </w:r>
      <w:r w:rsidR="00E236FE" w:rsidRPr="007F5BD4">
        <w:rPr>
          <w:color w:val="auto"/>
        </w:rPr>
        <w:t>(i</w:t>
      </w:r>
      <w:r w:rsidR="00E236FE">
        <w:t xml:space="preserve">n Section </w:t>
      </w:r>
      <w:fldSimple w:instr=" REF _Ref419402884 \r \h  \* MERGEFORMAT ">
        <w:r w:rsidR="002F3000">
          <w:t>4.2</w:t>
        </w:r>
      </w:fldSimple>
      <w:r w:rsidR="00E236FE">
        <w:t>) shows the national average fate proportions mapped to</w:t>
      </w:r>
      <w:r w:rsidR="00992BFF">
        <w:t xml:space="preserve"> the</w:t>
      </w:r>
      <w:r w:rsidR="00E236FE">
        <w:t xml:space="preserve"> infrastructure groups</w:t>
      </w:r>
      <w:r w:rsidR="00D17F44">
        <w:t xml:space="preserve"> likely to receive the waste</w:t>
      </w:r>
      <w:r w:rsidR="00E236FE">
        <w:t xml:space="preserve">. For </w:t>
      </w:r>
      <w:r w:rsidR="00833396">
        <w:t xml:space="preserve">the ACT, NT, </w:t>
      </w:r>
      <w:r w:rsidR="00833396" w:rsidRPr="007F5BD4">
        <w:t xml:space="preserve">SA, </w:t>
      </w:r>
      <w:proofErr w:type="gramStart"/>
      <w:r w:rsidR="00833396" w:rsidRPr="007F5BD4">
        <w:t>Tas</w:t>
      </w:r>
      <w:proofErr w:type="gramEnd"/>
      <w:r w:rsidR="00833396" w:rsidRPr="007F5BD4">
        <w:t xml:space="preserve"> </w:t>
      </w:r>
      <w:r w:rsidR="00833396">
        <w:t>and WA</w:t>
      </w:r>
      <w:r w:rsidR="00E236FE" w:rsidRPr="00992BFF">
        <w:t>,</w:t>
      </w:r>
      <w:r w:rsidR="00E236FE">
        <w:t xml:space="preserve"> </w:t>
      </w:r>
      <w:r w:rsidR="00E236FE" w:rsidRPr="00816657">
        <w:t>the weighted average proportions</w:t>
      </w:r>
      <w:r w:rsidR="00E236FE">
        <w:t xml:space="preserve"> shown in</w:t>
      </w:r>
      <w:r w:rsidR="00992BFF">
        <w:t xml:space="preserve"> </w:t>
      </w:r>
      <w:r w:rsidR="006D07F5">
        <w:fldChar w:fldCharType="begin"/>
      </w:r>
      <w:r w:rsidR="00992BFF">
        <w:instrText xml:space="preserve"> REF _Ref421197046 \h </w:instrText>
      </w:r>
      <w:r w:rsidR="006D07F5">
        <w:fldChar w:fldCharType="separate"/>
      </w:r>
      <w:r w:rsidR="002F3000">
        <w:t>T</w:t>
      </w:r>
      <w:r w:rsidR="002F3000" w:rsidRPr="001D2480">
        <w:t xml:space="preserve">able </w:t>
      </w:r>
      <w:r w:rsidR="002F3000">
        <w:rPr>
          <w:noProof/>
        </w:rPr>
        <w:t>43</w:t>
      </w:r>
      <w:r w:rsidR="006D07F5">
        <w:fldChar w:fldCharType="end"/>
      </w:r>
      <w:r w:rsidR="00E236FE">
        <w:t xml:space="preserve"> </w:t>
      </w:r>
      <w:r w:rsidR="00E236FE" w:rsidRPr="00816657">
        <w:t>were applied</w:t>
      </w:r>
      <w:r w:rsidR="00D17F44">
        <w:t xml:space="preserve"> to </w:t>
      </w:r>
      <w:r w:rsidR="002B1FBC">
        <w:t xml:space="preserve">the estimated </w:t>
      </w:r>
      <w:r w:rsidR="00333DBB">
        <w:t>arisings</w:t>
      </w:r>
      <w:r w:rsidR="002B1FBC">
        <w:t xml:space="preserve"> </w:t>
      </w:r>
      <w:r w:rsidR="00D17F44">
        <w:t>data for the jurisdiction</w:t>
      </w:r>
      <w:r w:rsidR="00E236FE" w:rsidRPr="00816657">
        <w:t>.</w:t>
      </w:r>
      <w:r w:rsidR="00E236FE">
        <w:t xml:space="preserve"> </w:t>
      </w:r>
    </w:p>
    <w:p w:rsidR="00E236FE" w:rsidRDefault="00E236FE" w:rsidP="00083D93">
      <w:pPr>
        <w:pStyle w:val="BodyText"/>
      </w:pPr>
    </w:p>
    <w:p w:rsidR="00FB5BA5" w:rsidRDefault="00833396" w:rsidP="00833396">
      <w:pPr>
        <w:pStyle w:val="BodyText"/>
      </w:pPr>
      <w:r>
        <w:t>In reality, waste in the ACT, NT,</w:t>
      </w:r>
      <w:r w:rsidR="002B1FBC">
        <w:t xml:space="preserve"> </w:t>
      </w:r>
      <w:r w:rsidR="00D17F44" w:rsidRPr="007F5BD4">
        <w:t xml:space="preserve">SA, </w:t>
      </w:r>
      <w:proofErr w:type="gramStart"/>
      <w:r w:rsidR="00D17F44" w:rsidRPr="007F5BD4">
        <w:t>Tas</w:t>
      </w:r>
      <w:proofErr w:type="gramEnd"/>
      <w:r w:rsidR="00D17F44" w:rsidRPr="007F5BD4">
        <w:t xml:space="preserve"> </w:t>
      </w:r>
      <w:r>
        <w:t>and WA</w:t>
      </w:r>
      <w:r w:rsidR="00D17F44">
        <w:t xml:space="preserve"> may be </w:t>
      </w:r>
      <w:r w:rsidR="00586DE2">
        <w:t>managed</w:t>
      </w:r>
      <w:r>
        <w:t xml:space="preserve"> in a different suite of</w:t>
      </w:r>
      <w:r w:rsidR="00586DE2">
        <w:t xml:space="preserve"> infrastructure</w:t>
      </w:r>
      <w:r w:rsidR="00E236FE">
        <w:t xml:space="preserve">. </w:t>
      </w:r>
      <w:r>
        <w:t xml:space="preserve">We note, for example, that </w:t>
      </w:r>
      <w:r w:rsidR="006D07F5">
        <w:fldChar w:fldCharType="begin"/>
      </w:r>
      <w:r w:rsidR="00C318B4">
        <w:instrText xml:space="preserve"> REF _Ref421054015 \h </w:instrText>
      </w:r>
      <w:r w:rsidR="006D07F5">
        <w:fldChar w:fldCharType="separate"/>
      </w:r>
      <w:r w:rsidR="002F3000" w:rsidRPr="00D72038">
        <w:t xml:space="preserve">Table </w:t>
      </w:r>
      <w:r w:rsidR="002F3000">
        <w:rPr>
          <w:noProof/>
        </w:rPr>
        <w:t>63</w:t>
      </w:r>
      <w:r w:rsidR="006D07F5">
        <w:fldChar w:fldCharType="end"/>
      </w:r>
      <w:r w:rsidR="00C318B4">
        <w:t xml:space="preserve"> </w:t>
      </w:r>
      <w:r w:rsidR="00FB5BA5">
        <w:t xml:space="preserve">shows that in </w:t>
      </w:r>
      <w:r w:rsidR="00E236FE">
        <w:t>SA</w:t>
      </w:r>
      <w:r w:rsidR="00C318B4">
        <w:t xml:space="preserve"> in 2015 an</w:t>
      </w:r>
      <w:r w:rsidR="00586DE2">
        <w:t xml:space="preserve"> </w:t>
      </w:r>
      <w:r w:rsidR="00E236FE">
        <w:t xml:space="preserve">estimated </w:t>
      </w:r>
      <w:r w:rsidR="00C318B4">
        <w:t xml:space="preserve">tonnage </w:t>
      </w:r>
      <w:r w:rsidR="00586DE2">
        <w:t xml:space="preserve">of 2.2kt of </w:t>
      </w:r>
      <w:r>
        <w:t xml:space="preserve">clinical </w:t>
      </w:r>
      <w:r w:rsidR="00586DE2">
        <w:t>waste is sent to thermal destruction</w:t>
      </w:r>
      <w:r>
        <w:t xml:space="preserve"> </w:t>
      </w:r>
      <w:r w:rsidR="00FB5BA5">
        <w:t>based on the</w:t>
      </w:r>
      <w:r>
        <w:t xml:space="preserve"> estimated</w:t>
      </w:r>
      <w:r w:rsidR="00FB5BA5">
        <w:t xml:space="preserve"> national average</w:t>
      </w:r>
      <w:r>
        <w:t xml:space="preserve"> proportions (</w:t>
      </w:r>
      <w:r w:rsidR="00FB5BA5">
        <w:t>see</w:t>
      </w:r>
      <w:r w:rsidR="00C318B4">
        <w:t xml:space="preserve"> </w:t>
      </w:r>
      <w:fldSimple w:instr=" REF _Ref421043373 \h  \* MERGEFORMAT ">
        <w:r w:rsidR="002F3000" w:rsidRPr="002F3000">
          <w:rPr>
            <w:rFonts w:asciiTheme="minorHAnsi" w:hAnsiTheme="minorHAnsi" w:cs="Calibri"/>
            <w:noProof/>
            <w:color w:val="auto"/>
          </w:rPr>
          <w:t>Table 55</w:t>
        </w:r>
      </w:fldSimple>
      <w:r>
        <w:rPr>
          <w:color w:val="auto"/>
        </w:rPr>
        <w:t>)</w:t>
      </w:r>
      <w:r w:rsidR="00FB5BA5">
        <w:t>.</w:t>
      </w:r>
      <w:r>
        <w:t xml:space="preserve"> The current </w:t>
      </w:r>
      <w:r w:rsidR="00586DE2">
        <w:t>potential capacity of thermal destruction</w:t>
      </w:r>
      <w:r>
        <w:t xml:space="preserve"> infrastructure for clinical waste</w:t>
      </w:r>
      <w:r w:rsidR="00586DE2">
        <w:t xml:space="preserve"> in SA</w:t>
      </w:r>
      <w:r>
        <w:t xml:space="preserve"> is 1kt/yr. I</w:t>
      </w:r>
      <w:r w:rsidR="00586DE2">
        <w:t>ndustry ha</w:t>
      </w:r>
      <w:r w:rsidR="001800F0">
        <w:t>s</w:t>
      </w:r>
      <w:r w:rsidR="00586DE2">
        <w:t xml:space="preserve"> commented that current capacity is </w:t>
      </w:r>
      <w:r w:rsidR="00586DE2" w:rsidRPr="00833396">
        <w:t>underutilised</w:t>
      </w:r>
      <w:r w:rsidR="00FB5BA5">
        <w:t>.</w:t>
      </w:r>
      <w:r w:rsidR="001800F0">
        <w:t xml:space="preserve"> </w:t>
      </w:r>
      <w:r w:rsidR="00754F2A">
        <w:t xml:space="preserve">The </w:t>
      </w:r>
      <w:r>
        <w:t xml:space="preserve">numerical </w:t>
      </w:r>
      <w:r w:rsidR="00754F2A">
        <w:t xml:space="preserve">assessment that clinical waste thermal destruction capacity is </w:t>
      </w:r>
      <w:r w:rsidR="00C318B4">
        <w:t xml:space="preserve">oversupplied </w:t>
      </w:r>
      <w:r w:rsidR="003329FA">
        <w:t>in SA</w:t>
      </w:r>
      <w:r>
        <w:t xml:space="preserve"> is </w:t>
      </w:r>
      <w:proofErr w:type="gramStart"/>
      <w:r>
        <w:t>incorrect,</w:t>
      </w:r>
      <w:proofErr w:type="gramEnd"/>
      <w:r>
        <w:t xml:space="preserve"> suggesting </w:t>
      </w:r>
      <w:r w:rsidR="001800F0">
        <w:t xml:space="preserve">that the </w:t>
      </w:r>
      <w:r>
        <w:t xml:space="preserve">proportion </w:t>
      </w:r>
      <w:r w:rsidR="001800F0">
        <w:t xml:space="preserve">of clinical waste sent to thermal destruction is lower than the </w:t>
      </w:r>
      <w:r>
        <w:t>national average value.</w:t>
      </w:r>
    </w:p>
    <w:p w:rsidR="009638EA" w:rsidRDefault="009638EA" w:rsidP="00083D93">
      <w:pPr>
        <w:pStyle w:val="BodyText"/>
      </w:pPr>
    </w:p>
    <w:p w:rsidR="00B850A8" w:rsidRDefault="00140A37" w:rsidP="007F5BD4">
      <w:pPr>
        <w:pStyle w:val="BodyText"/>
      </w:pPr>
      <w:r w:rsidRPr="00140A37">
        <w:t>It is recommended that</w:t>
      </w:r>
      <w:r w:rsidR="003629B1">
        <w:rPr>
          <w:b/>
        </w:rPr>
        <w:t xml:space="preserve"> </w:t>
      </w:r>
      <w:r w:rsidR="003629B1">
        <w:t xml:space="preserve">DoE </w:t>
      </w:r>
      <w:r w:rsidR="001731D9">
        <w:t xml:space="preserve">should </w:t>
      </w:r>
      <w:r w:rsidR="003629B1">
        <w:t xml:space="preserve">work with the jurisdictions to improve hazardous waste tracking system data and ensure that the fate </w:t>
      </w:r>
      <w:r w:rsidR="00B850A8">
        <w:t xml:space="preserve">proportions </w:t>
      </w:r>
      <w:r w:rsidR="003629B1">
        <w:t>of hazardous wastes can be derived from the tracking system data.</w:t>
      </w:r>
    </w:p>
    <w:p w:rsidR="00B850A8" w:rsidRDefault="00B850A8" w:rsidP="007F5BD4">
      <w:pPr>
        <w:pStyle w:val="BodyText"/>
      </w:pPr>
    </w:p>
    <w:p w:rsidR="00A00C92" w:rsidRDefault="002636A5" w:rsidP="007F5BD4">
      <w:pPr>
        <w:pStyle w:val="Heading3"/>
      </w:pPr>
      <w:r>
        <w:t>Assessment of NEPM data for net interstate movements of hazardous wastes</w:t>
      </w:r>
    </w:p>
    <w:p w:rsidR="003219B1" w:rsidRDefault="003F2FC5" w:rsidP="007F5BD4">
      <w:pPr>
        <w:pStyle w:val="BodyText"/>
      </w:pPr>
      <w:r>
        <w:t>The NEPM data is published</w:t>
      </w:r>
      <w:r w:rsidR="00244D8C">
        <w:t xml:space="preserve"> in </w:t>
      </w:r>
      <w:r w:rsidR="00244D8C" w:rsidRPr="007F5BD4">
        <w:rPr>
          <w:i/>
        </w:rPr>
        <w:t xml:space="preserve">National Environment Protection Council </w:t>
      </w:r>
      <w:r w:rsidR="006C06DF">
        <w:rPr>
          <w:i/>
        </w:rPr>
        <w:t>A</w:t>
      </w:r>
      <w:r w:rsidR="00244D8C" w:rsidRPr="007F5BD4">
        <w:rPr>
          <w:i/>
        </w:rPr>
        <w:t xml:space="preserve">nnual </w:t>
      </w:r>
      <w:r w:rsidR="006C06DF">
        <w:rPr>
          <w:i/>
        </w:rPr>
        <w:t>R</w:t>
      </w:r>
      <w:r w:rsidR="00244D8C" w:rsidRPr="007F5BD4">
        <w:rPr>
          <w:i/>
        </w:rPr>
        <w:t>eport</w:t>
      </w:r>
      <w:r w:rsidR="00244D8C">
        <w:t xml:space="preserve">. The NEPM data illustrates which jurisdictions are importing and exporting which types of </w:t>
      </w:r>
      <w:r w:rsidR="00244D8C" w:rsidRPr="007F5BD4">
        <w:rPr>
          <w:color w:val="auto"/>
        </w:rPr>
        <w:t xml:space="preserve">wastes, which </w:t>
      </w:r>
      <w:r w:rsidR="007103EA" w:rsidRPr="007F5BD4">
        <w:rPr>
          <w:color w:val="auto"/>
        </w:rPr>
        <w:t xml:space="preserve">is important as it </w:t>
      </w:r>
      <w:r w:rsidR="00244D8C" w:rsidRPr="007F5BD4">
        <w:rPr>
          <w:color w:val="auto"/>
        </w:rPr>
        <w:t xml:space="preserve">has a direct impact on the need for infrastructure capacity in a jurisdiction. </w:t>
      </w:r>
      <w:fldSimple w:instr=" REF _Ref420507756 \h  \* MERGEFORMAT ">
        <w:r w:rsidR="002F3000" w:rsidRPr="002F3000">
          <w:rPr>
            <w:rFonts w:asciiTheme="minorHAnsi" w:hAnsiTheme="minorHAnsi" w:cs="Calibri"/>
            <w:noProof/>
            <w:color w:val="auto"/>
          </w:rPr>
          <w:t>Figure 41</w:t>
        </w:r>
      </w:fldSimple>
      <w:r w:rsidR="00244D8C" w:rsidRPr="007F5BD4">
        <w:rPr>
          <w:color w:val="auto"/>
        </w:rPr>
        <w:t xml:space="preserve"> and </w:t>
      </w:r>
      <w:r w:rsidR="006D07F5">
        <w:rPr>
          <w:color w:val="auto"/>
        </w:rPr>
        <w:fldChar w:fldCharType="begin"/>
      </w:r>
      <w:r w:rsidR="007C04C9">
        <w:rPr>
          <w:color w:val="auto"/>
        </w:rPr>
        <w:instrText xml:space="preserve"> REF _Ref421282404 \h </w:instrText>
      </w:r>
      <w:r w:rsidR="006D07F5">
        <w:rPr>
          <w:color w:val="auto"/>
        </w:rPr>
      </w:r>
      <w:r w:rsidR="006D07F5">
        <w:rPr>
          <w:color w:val="auto"/>
        </w:rPr>
        <w:fldChar w:fldCharType="separate"/>
      </w:r>
      <w:r w:rsidR="002F3000" w:rsidRPr="00816657">
        <w:t xml:space="preserve">Table </w:t>
      </w:r>
      <w:r w:rsidR="002F3000">
        <w:rPr>
          <w:noProof/>
        </w:rPr>
        <w:t>58</w:t>
      </w:r>
      <w:r w:rsidR="006D07F5">
        <w:rPr>
          <w:color w:val="auto"/>
        </w:rPr>
        <w:fldChar w:fldCharType="end"/>
      </w:r>
      <w:r w:rsidR="007C04C9">
        <w:rPr>
          <w:color w:val="auto"/>
        </w:rPr>
        <w:t xml:space="preserve"> show</w:t>
      </w:r>
      <w:r w:rsidR="00833396">
        <w:rPr>
          <w:color w:val="auto"/>
        </w:rPr>
        <w:t xml:space="preserve"> the NE</w:t>
      </w:r>
      <w:r w:rsidR="00244D8C" w:rsidRPr="007F5BD4">
        <w:rPr>
          <w:color w:val="auto"/>
        </w:rPr>
        <w:t>P</w:t>
      </w:r>
      <w:r w:rsidR="00833396">
        <w:rPr>
          <w:color w:val="auto"/>
        </w:rPr>
        <w:t>M</w:t>
      </w:r>
      <w:r w:rsidR="00244D8C" w:rsidRPr="007F5BD4">
        <w:rPr>
          <w:color w:val="auto"/>
        </w:rPr>
        <w:t xml:space="preserve"> data for the 2012-13 </w:t>
      </w:r>
      <w:proofErr w:type="gramStart"/>
      <w:r w:rsidR="00244D8C" w:rsidRPr="007F5BD4">
        <w:rPr>
          <w:color w:val="auto"/>
        </w:rPr>
        <w:t>period</w:t>
      </w:r>
      <w:proofErr w:type="gramEnd"/>
      <w:r w:rsidR="007C04C9">
        <w:rPr>
          <w:color w:val="auto"/>
        </w:rPr>
        <w:t xml:space="preserve"> for each jurisdiction, illustrating </w:t>
      </w:r>
      <w:r w:rsidR="00244D8C" w:rsidRPr="007F5BD4">
        <w:rPr>
          <w:color w:val="auto"/>
        </w:rPr>
        <w:t>firstly the total imports and exports</w:t>
      </w:r>
      <w:r w:rsidR="00833396">
        <w:t>,</w:t>
      </w:r>
      <w:r w:rsidR="00244D8C">
        <w:t xml:space="preserve"> then the </w:t>
      </w:r>
      <w:r w:rsidR="007103EA">
        <w:t>net imports/exports</w:t>
      </w:r>
      <w:r w:rsidR="00244D8C">
        <w:t xml:space="preserve"> by NEPM 15 waste code. </w:t>
      </w:r>
      <w:r w:rsidR="007103EA">
        <w:t xml:space="preserve">The NEPM 2012-13 data for each jurisdiction is discussed in </w:t>
      </w:r>
      <w:r w:rsidR="00726992">
        <w:t>each of the jurisdictions’ tables that follow.</w:t>
      </w:r>
    </w:p>
    <w:p w:rsidR="00833396" w:rsidRDefault="00833396">
      <w:pPr>
        <w:spacing w:line="240" w:lineRule="auto"/>
        <w:rPr>
          <w:color w:val="080808"/>
          <w:sz w:val="22"/>
        </w:rPr>
      </w:pPr>
      <w:r>
        <w:br w:type="page"/>
      </w:r>
    </w:p>
    <w:p w:rsidR="003219B1" w:rsidRPr="00833396" w:rsidRDefault="003219B1" w:rsidP="007F5BD4">
      <w:pPr>
        <w:pStyle w:val="BodyText"/>
        <w:rPr>
          <w:sz w:val="2"/>
          <w:szCs w:val="2"/>
        </w:rPr>
      </w:pPr>
    </w:p>
    <w:p w:rsidR="003219B1" w:rsidRPr="007F5BD4" w:rsidRDefault="003F2FC5" w:rsidP="00655F62">
      <w:pPr>
        <w:pStyle w:val="Figures"/>
      </w:pPr>
      <w:bookmarkStart w:id="395" w:name="_Ref420507756"/>
      <w:bookmarkStart w:id="396" w:name="_Toc425849259"/>
      <w:r w:rsidRPr="007F5BD4">
        <w:t xml:space="preserve">Figure </w:t>
      </w:r>
      <w:r w:rsidR="006D07F5" w:rsidRPr="00576F7A">
        <w:fldChar w:fldCharType="begin"/>
      </w:r>
      <w:r w:rsidRPr="007F5BD4">
        <w:instrText xml:space="preserve"> SEQ Figure \* ARABIC </w:instrText>
      </w:r>
      <w:r w:rsidR="006D07F5" w:rsidRPr="00576F7A">
        <w:fldChar w:fldCharType="separate"/>
      </w:r>
      <w:r w:rsidR="002F3000">
        <w:rPr>
          <w:noProof/>
        </w:rPr>
        <w:t>41</w:t>
      </w:r>
      <w:r w:rsidR="006D07F5" w:rsidRPr="00576F7A">
        <w:fldChar w:fldCharType="end"/>
      </w:r>
      <w:bookmarkEnd w:id="395"/>
      <w:r w:rsidR="00576F7A">
        <w:t>:</w:t>
      </w:r>
      <w:r w:rsidR="00576F7A">
        <w:tab/>
      </w:r>
      <w:r>
        <w:t>NEPM 2012-13 total imports and exports by jurisdiction</w:t>
      </w:r>
      <w:bookmarkEnd w:id="396"/>
    </w:p>
    <w:p w:rsidR="003219B1" w:rsidRDefault="003219B1" w:rsidP="007F5BD4">
      <w:pPr>
        <w:pStyle w:val="BodyText"/>
      </w:pPr>
      <w:r>
        <w:rPr>
          <w:noProof/>
          <w:lang w:eastAsia="en-AU"/>
        </w:rPr>
        <w:drawing>
          <wp:inline distT="0" distB="0" distL="0" distR="0">
            <wp:extent cx="5943600" cy="352615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9" cstate="print"/>
                    <a:stretch>
                      <a:fillRect/>
                    </a:stretch>
                  </pic:blipFill>
                  <pic:spPr>
                    <a:xfrm>
                      <a:off x="0" y="0"/>
                      <a:ext cx="5943600" cy="3526155"/>
                    </a:xfrm>
                    <a:prstGeom prst="rect">
                      <a:avLst/>
                    </a:prstGeom>
                  </pic:spPr>
                </pic:pic>
              </a:graphicData>
            </a:graphic>
          </wp:inline>
        </w:drawing>
      </w:r>
    </w:p>
    <w:p w:rsidR="003219B1" w:rsidRDefault="003219B1" w:rsidP="007F5BD4">
      <w:pPr>
        <w:pStyle w:val="BodyText"/>
      </w:pPr>
    </w:p>
    <w:p w:rsidR="007C04C9" w:rsidRDefault="007C04C9" w:rsidP="007C04C9">
      <w:pPr>
        <w:pStyle w:val="Figures"/>
      </w:pPr>
      <w:bookmarkStart w:id="397" w:name="_Ref421282404"/>
      <w:bookmarkStart w:id="398" w:name="_Ref421282398"/>
      <w:bookmarkStart w:id="399" w:name="_Toc425849343"/>
      <w:r w:rsidRPr="00816657">
        <w:t xml:space="preserve">Table </w:t>
      </w:r>
      <w:fldSimple w:instr=" SEQ Table \* ARABIC ">
        <w:r w:rsidR="002F3000">
          <w:rPr>
            <w:noProof/>
          </w:rPr>
          <w:t>58</w:t>
        </w:r>
      </w:fldSimple>
      <w:bookmarkEnd w:id="397"/>
      <w:r>
        <w:t>:</w:t>
      </w:r>
      <w:r>
        <w:tab/>
        <w:t>NEPM 2012-13 net imports/exports by jurisdiction and NEMP 15 code</w:t>
      </w:r>
      <w:bookmarkEnd w:id="398"/>
      <w:bookmarkEnd w:id="399"/>
      <w:r>
        <w:tab/>
      </w:r>
    </w:p>
    <w:p w:rsidR="003219B1" w:rsidRDefault="006676BF" w:rsidP="007F5BD4">
      <w:pPr>
        <w:pStyle w:val="BodyText"/>
      </w:pPr>
      <w:r w:rsidRPr="006676BF">
        <w:rPr>
          <w:noProof/>
          <w:lang w:eastAsia="en-AU"/>
        </w:rPr>
        <w:drawing>
          <wp:inline distT="0" distB="0" distL="0" distR="0">
            <wp:extent cx="5950424" cy="3365000"/>
            <wp:effectExtent l="0" t="0" r="0" b="698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5951479" cy="3365596"/>
                    </a:xfrm>
                    <a:prstGeom prst="rect">
                      <a:avLst/>
                    </a:prstGeom>
                  </pic:spPr>
                </pic:pic>
              </a:graphicData>
            </a:graphic>
          </wp:inline>
        </w:drawing>
      </w:r>
    </w:p>
    <w:p w:rsidR="003219B1" w:rsidRDefault="003219B1" w:rsidP="007F5BD4">
      <w:pPr>
        <w:pStyle w:val="BodyText"/>
      </w:pPr>
    </w:p>
    <w:p w:rsidR="003219B1" w:rsidRDefault="003219B1" w:rsidP="007F5BD4">
      <w:pPr>
        <w:pStyle w:val="BodyText"/>
      </w:pPr>
    </w:p>
    <w:p w:rsidR="003219B1" w:rsidRDefault="003219B1" w:rsidP="007F5BD4">
      <w:pPr>
        <w:pStyle w:val="BodyText"/>
      </w:pPr>
    </w:p>
    <w:p w:rsidR="00E8447B" w:rsidRPr="00816657" w:rsidRDefault="00E8447B" w:rsidP="007F5BD4">
      <w:pPr>
        <w:pStyle w:val="BodyText"/>
      </w:pPr>
      <w:r w:rsidRPr="00816657">
        <w:br w:type="page"/>
      </w:r>
    </w:p>
    <w:p w:rsidR="00457BB8" w:rsidRDefault="00823652" w:rsidP="00655F62">
      <w:pPr>
        <w:pStyle w:val="Figures"/>
        <w:rPr>
          <w:color w:val="FFFFFF" w:themeColor="background1"/>
        </w:rPr>
      </w:pPr>
      <w:bookmarkStart w:id="400" w:name="_Ref409389114"/>
      <w:bookmarkStart w:id="401" w:name="_Ref409455945"/>
      <w:bookmarkStart w:id="402" w:name="_Toc425849344"/>
      <w:r w:rsidRPr="00816657">
        <w:lastRenderedPageBreak/>
        <w:t xml:space="preserve">Table </w:t>
      </w:r>
      <w:fldSimple w:instr=" SEQ Table \* ARABIC ">
        <w:r w:rsidR="002F3000">
          <w:rPr>
            <w:noProof/>
          </w:rPr>
          <w:t>59</w:t>
        </w:r>
      </w:fldSimple>
      <w:bookmarkEnd w:id="400"/>
      <w:r w:rsidR="00655F62">
        <w:t>:</w:t>
      </w:r>
      <w:r w:rsidR="002923A3">
        <w:tab/>
      </w:r>
      <w:r w:rsidR="00D72038" w:rsidRPr="00E97D4C">
        <w:rPr>
          <w:color w:val="0000FF" w:themeColor="accent1"/>
          <w:shd w:val="clear" w:color="auto" w:fill="FFFFFF" w:themeFill="background1"/>
        </w:rPr>
        <w:t>ACT</w:t>
      </w:r>
      <w:r w:rsidRPr="00E97D4C">
        <w:rPr>
          <w:color w:val="0000FF" w:themeColor="accent1"/>
          <w:shd w:val="clear" w:color="auto" w:fill="FFFFFF" w:themeFill="background1"/>
        </w:rPr>
        <w:t xml:space="preserve"> assessment of projected </w:t>
      </w:r>
      <w:r w:rsidR="0013571C" w:rsidRPr="00E97D4C">
        <w:rPr>
          <w:color w:val="0000FF" w:themeColor="accent1"/>
          <w:shd w:val="clear" w:color="auto" w:fill="FFFFFF" w:themeFill="background1"/>
        </w:rPr>
        <w:t xml:space="preserve">arisings </w:t>
      </w:r>
      <w:r w:rsidRPr="00E97D4C">
        <w:rPr>
          <w:color w:val="0000FF" w:themeColor="accent1"/>
          <w:shd w:val="clear" w:color="auto" w:fill="FFFFFF" w:themeFill="background1"/>
        </w:rPr>
        <w:t>vs. infrastructure capacity</w:t>
      </w:r>
      <w:bookmarkEnd w:id="401"/>
      <w:bookmarkEnd w:id="402"/>
    </w:p>
    <w:p w:rsidR="00176087" w:rsidRPr="00816657" w:rsidRDefault="002D3096" w:rsidP="007F5BD4">
      <w:pPr>
        <w:pStyle w:val="BodyText"/>
      </w:pPr>
      <w:r w:rsidRPr="002D3096">
        <w:rPr>
          <w:noProof/>
          <w:lang w:eastAsia="en-AU"/>
        </w:rPr>
        <w:drawing>
          <wp:inline distT="0" distB="0" distL="0" distR="0">
            <wp:extent cx="5979459" cy="878194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9506" cy="8782014"/>
                    </a:xfrm>
                    <a:prstGeom prst="rect">
                      <a:avLst/>
                    </a:prstGeom>
                    <a:noFill/>
                    <a:ln>
                      <a:noFill/>
                    </a:ln>
                  </pic:spPr>
                </pic:pic>
              </a:graphicData>
            </a:graphic>
          </wp:inline>
        </w:drawing>
      </w:r>
    </w:p>
    <w:p w:rsidR="00457BB8" w:rsidRDefault="00D72038" w:rsidP="00457BB8">
      <w:pPr>
        <w:pStyle w:val="Figures"/>
        <w:rPr>
          <w:noProof/>
        </w:rPr>
      </w:pPr>
      <w:bookmarkStart w:id="403" w:name="_Toc425849345"/>
      <w:r w:rsidRPr="00FC029F">
        <w:rPr>
          <w:noProof/>
        </w:rPr>
        <w:lastRenderedPageBreak/>
        <w:t xml:space="preserve">Table </w:t>
      </w:r>
      <w:r w:rsidR="006D07F5">
        <w:rPr>
          <w:noProof/>
        </w:rPr>
        <w:fldChar w:fldCharType="begin"/>
      </w:r>
      <w:r w:rsidR="0013571C">
        <w:rPr>
          <w:noProof/>
        </w:rPr>
        <w:instrText xml:space="preserve"> SEQ Table \* ARABIC </w:instrText>
      </w:r>
      <w:r w:rsidR="006D07F5">
        <w:rPr>
          <w:noProof/>
        </w:rPr>
        <w:fldChar w:fldCharType="separate"/>
      </w:r>
      <w:r w:rsidR="002F3000">
        <w:rPr>
          <w:noProof/>
        </w:rPr>
        <w:t>60</w:t>
      </w:r>
      <w:r w:rsidR="006D07F5">
        <w:rPr>
          <w:noProof/>
        </w:rPr>
        <w:fldChar w:fldCharType="end"/>
      </w:r>
      <w:r w:rsidR="00655F62">
        <w:rPr>
          <w:noProof/>
        </w:rPr>
        <w:t>:</w:t>
      </w:r>
      <w:r w:rsidR="00655F62">
        <w:rPr>
          <w:noProof/>
        </w:rPr>
        <w:tab/>
      </w:r>
      <w:r w:rsidRPr="00E97D4C">
        <w:rPr>
          <w:color w:val="0000FF" w:themeColor="accent1"/>
          <w:shd w:val="clear" w:color="auto" w:fill="FFFFFF" w:themeFill="background1"/>
        </w:rPr>
        <w:t xml:space="preserve">NSW </w:t>
      </w:r>
      <w:r w:rsidR="006C06DF" w:rsidRPr="00E97D4C">
        <w:rPr>
          <w:color w:val="0000FF" w:themeColor="accent1"/>
          <w:shd w:val="clear" w:color="auto" w:fill="FFFFFF" w:themeFill="background1"/>
        </w:rPr>
        <w:t xml:space="preserve">assessment of projected </w:t>
      </w:r>
      <w:r w:rsidR="00333DBB" w:rsidRPr="00E97D4C">
        <w:rPr>
          <w:color w:val="0000FF" w:themeColor="accent1"/>
          <w:shd w:val="clear" w:color="auto" w:fill="FFFFFF" w:themeFill="background1"/>
        </w:rPr>
        <w:t>arisings</w:t>
      </w:r>
      <w:r w:rsidR="006C06DF" w:rsidRPr="00E97D4C">
        <w:rPr>
          <w:color w:val="0000FF" w:themeColor="accent1"/>
          <w:shd w:val="clear" w:color="auto" w:fill="FFFFFF" w:themeFill="background1"/>
        </w:rPr>
        <w:t xml:space="preserve"> vs. infrastructure capacity</w:t>
      </w:r>
      <w:bookmarkEnd w:id="403"/>
    </w:p>
    <w:p w:rsidR="00333DBB" w:rsidRDefault="002D3096" w:rsidP="00457BB8">
      <w:pPr>
        <w:pStyle w:val="BodyText"/>
      </w:pPr>
      <w:r w:rsidRPr="002D3096">
        <w:rPr>
          <w:noProof/>
          <w:lang w:eastAsia="en-AU"/>
        </w:rPr>
        <w:drawing>
          <wp:inline distT="0" distB="0" distL="0" distR="0">
            <wp:extent cx="5977265" cy="8780444"/>
            <wp:effectExtent l="0" t="0" r="444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1756" cy="8787041"/>
                    </a:xfrm>
                    <a:prstGeom prst="rect">
                      <a:avLst/>
                    </a:prstGeom>
                    <a:noFill/>
                    <a:ln>
                      <a:noFill/>
                    </a:ln>
                  </pic:spPr>
                </pic:pic>
              </a:graphicData>
            </a:graphic>
          </wp:inline>
        </w:drawing>
      </w:r>
    </w:p>
    <w:p w:rsidR="00D72038" w:rsidRDefault="00D72038" w:rsidP="00333DBB">
      <w:pPr>
        <w:pStyle w:val="Figures"/>
        <w:rPr>
          <w:noProof/>
          <w:lang w:eastAsia="en-AU"/>
        </w:rPr>
      </w:pPr>
      <w:bookmarkStart w:id="404" w:name="_Toc425849346"/>
      <w:r w:rsidRPr="00FC029F">
        <w:lastRenderedPageBreak/>
        <w:t xml:space="preserve">Table </w:t>
      </w:r>
      <w:fldSimple w:instr=" SEQ Table \* ARABIC ">
        <w:r w:rsidR="002F3000">
          <w:rPr>
            <w:noProof/>
          </w:rPr>
          <w:t>61</w:t>
        </w:r>
      </w:fldSimple>
      <w:r w:rsidRPr="007F5BD4">
        <w:t>:</w:t>
      </w:r>
      <w:r w:rsidR="00655F62">
        <w:tab/>
      </w:r>
      <w:r w:rsidRPr="00E97D4C">
        <w:rPr>
          <w:color w:val="0000FF" w:themeColor="accent1"/>
          <w:shd w:val="clear" w:color="auto" w:fill="FFFFFF" w:themeFill="background1"/>
        </w:rPr>
        <w:t xml:space="preserve">NT </w:t>
      </w:r>
      <w:r w:rsidR="006C06DF" w:rsidRPr="00E97D4C">
        <w:rPr>
          <w:color w:val="0000FF" w:themeColor="accent1"/>
          <w:shd w:val="clear" w:color="auto" w:fill="FFFFFF" w:themeFill="background1"/>
        </w:rPr>
        <w:t xml:space="preserve">assessment of projected </w:t>
      </w:r>
      <w:r w:rsidR="00333DBB" w:rsidRPr="00E97D4C">
        <w:rPr>
          <w:color w:val="0000FF" w:themeColor="accent1"/>
          <w:shd w:val="clear" w:color="auto" w:fill="FFFFFF" w:themeFill="background1"/>
        </w:rPr>
        <w:t>arisings</w:t>
      </w:r>
      <w:r w:rsidR="006C06DF" w:rsidRPr="00E97D4C">
        <w:rPr>
          <w:color w:val="0000FF" w:themeColor="accent1"/>
          <w:shd w:val="clear" w:color="auto" w:fill="FFFFFF" w:themeFill="background1"/>
        </w:rPr>
        <w:t xml:space="preserve"> vs. infrastructure capacity</w:t>
      </w:r>
      <w:bookmarkEnd w:id="404"/>
    </w:p>
    <w:p w:rsidR="00BC5145" w:rsidRDefault="002300BE" w:rsidP="00457BB8">
      <w:pPr>
        <w:pStyle w:val="BodyText"/>
      </w:pPr>
      <w:r w:rsidRPr="002300BE">
        <w:rPr>
          <w:noProof/>
          <w:lang w:eastAsia="en-AU"/>
        </w:rPr>
        <w:drawing>
          <wp:inline distT="0" distB="0" distL="0" distR="0">
            <wp:extent cx="5962265" cy="8758410"/>
            <wp:effectExtent l="0" t="0" r="635" b="508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4698" cy="8761984"/>
                    </a:xfrm>
                    <a:prstGeom prst="rect">
                      <a:avLst/>
                    </a:prstGeom>
                    <a:noFill/>
                    <a:ln>
                      <a:noFill/>
                    </a:ln>
                  </pic:spPr>
                </pic:pic>
              </a:graphicData>
            </a:graphic>
          </wp:inline>
        </w:drawing>
      </w:r>
    </w:p>
    <w:p w:rsidR="00D72038" w:rsidRPr="00D72038" w:rsidRDefault="00D72038" w:rsidP="00655F62">
      <w:pPr>
        <w:pStyle w:val="Figures"/>
      </w:pPr>
      <w:bookmarkStart w:id="405" w:name="_Toc425849347"/>
      <w:r w:rsidRPr="00D72038">
        <w:lastRenderedPageBreak/>
        <w:t xml:space="preserve">Table </w:t>
      </w:r>
      <w:r w:rsidR="006D07F5" w:rsidRPr="008E6EDC">
        <w:fldChar w:fldCharType="begin"/>
      </w:r>
      <w:r w:rsidRPr="00D72038">
        <w:instrText xml:space="preserve"> SEQ Table \* ARABIC </w:instrText>
      </w:r>
      <w:r w:rsidR="006D07F5" w:rsidRPr="008E6EDC">
        <w:fldChar w:fldCharType="separate"/>
      </w:r>
      <w:r w:rsidR="002F3000">
        <w:rPr>
          <w:noProof/>
        </w:rPr>
        <w:t>62</w:t>
      </w:r>
      <w:r w:rsidR="006D07F5" w:rsidRPr="008E6EDC">
        <w:fldChar w:fldCharType="end"/>
      </w:r>
      <w:r w:rsidR="00655F62">
        <w:t>:</w:t>
      </w:r>
      <w:r w:rsidR="00655F62">
        <w:tab/>
      </w:r>
      <w:r w:rsidRPr="00E97D4C">
        <w:rPr>
          <w:color w:val="0000FF" w:themeColor="accent1"/>
          <w:shd w:val="clear" w:color="auto" w:fill="FFFFFF" w:themeFill="background1"/>
        </w:rPr>
        <w:t xml:space="preserve">Qld </w:t>
      </w:r>
      <w:r w:rsidR="006C06DF" w:rsidRPr="00E97D4C">
        <w:rPr>
          <w:color w:val="0000FF" w:themeColor="accent1"/>
          <w:shd w:val="clear" w:color="auto" w:fill="FFFFFF" w:themeFill="background1"/>
        </w:rPr>
        <w:t xml:space="preserve">assessment of projected </w:t>
      </w:r>
      <w:r w:rsidR="00333DBB" w:rsidRPr="00E97D4C">
        <w:rPr>
          <w:color w:val="0000FF" w:themeColor="accent1"/>
          <w:shd w:val="clear" w:color="auto" w:fill="FFFFFF" w:themeFill="background1"/>
        </w:rPr>
        <w:t>arisings</w:t>
      </w:r>
      <w:r w:rsidR="006C06DF" w:rsidRPr="00E97D4C">
        <w:rPr>
          <w:color w:val="0000FF" w:themeColor="accent1"/>
          <w:shd w:val="clear" w:color="auto" w:fill="FFFFFF" w:themeFill="background1"/>
        </w:rPr>
        <w:t xml:space="preserve"> vs. infrastructure capacity</w:t>
      </w:r>
      <w:bookmarkEnd w:id="405"/>
    </w:p>
    <w:p w:rsidR="00D72038" w:rsidRDefault="002300BE" w:rsidP="007F5BD4">
      <w:pPr>
        <w:pStyle w:val="BodyText"/>
      </w:pPr>
      <w:r w:rsidRPr="002300BE">
        <w:rPr>
          <w:noProof/>
          <w:lang w:eastAsia="en-AU"/>
        </w:rPr>
        <w:drawing>
          <wp:inline distT="0" distB="0" distL="0" distR="0">
            <wp:extent cx="5932267" cy="8714342"/>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50" cy="8726362"/>
                    </a:xfrm>
                    <a:prstGeom prst="rect">
                      <a:avLst/>
                    </a:prstGeom>
                    <a:noFill/>
                    <a:ln>
                      <a:noFill/>
                    </a:ln>
                  </pic:spPr>
                </pic:pic>
              </a:graphicData>
            </a:graphic>
          </wp:inline>
        </w:drawing>
      </w:r>
    </w:p>
    <w:p w:rsidR="00D72038" w:rsidRPr="00D72038" w:rsidRDefault="00D72038" w:rsidP="00655F62">
      <w:pPr>
        <w:pStyle w:val="Figures"/>
      </w:pPr>
      <w:bookmarkStart w:id="406" w:name="_Ref421054015"/>
      <w:bookmarkStart w:id="407" w:name="_Toc425849348"/>
      <w:r w:rsidRPr="00D72038">
        <w:lastRenderedPageBreak/>
        <w:t xml:space="preserve">Table </w:t>
      </w:r>
      <w:r w:rsidR="006D07F5" w:rsidRPr="008E6EDC">
        <w:fldChar w:fldCharType="begin"/>
      </w:r>
      <w:r w:rsidRPr="00D72038">
        <w:instrText xml:space="preserve"> SEQ Table \* ARABIC </w:instrText>
      </w:r>
      <w:r w:rsidR="006D07F5" w:rsidRPr="008E6EDC">
        <w:fldChar w:fldCharType="separate"/>
      </w:r>
      <w:r w:rsidR="002F3000">
        <w:rPr>
          <w:noProof/>
        </w:rPr>
        <w:t>63</w:t>
      </w:r>
      <w:r w:rsidR="006D07F5" w:rsidRPr="008E6EDC">
        <w:fldChar w:fldCharType="end"/>
      </w:r>
      <w:bookmarkEnd w:id="406"/>
      <w:r w:rsidR="00655F62">
        <w:t>:</w:t>
      </w:r>
      <w:r w:rsidR="00655F62">
        <w:tab/>
      </w:r>
      <w:r w:rsidRPr="00E97D4C">
        <w:rPr>
          <w:color w:val="0000FF" w:themeColor="accent1"/>
          <w:shd w:val="clear" w:color="auto" w:fill="FFFFFF" w:themeFill="background1"/>
        </w:rPr>
        <w:t xml:space="preserve">SA </w:t>
      </w:r>
      <w:r w:rsidR="006C06DF" w:rsidRPr="00E97D4C">
        <w:rPr>
          <w:color w:val="0000FF" w:themeColor="accent1"/>
          <w:shd w:val="clear" w:color="auto" w:fill="FFFFFF" w:themeFill="background1"/>
        </w:rPr>
        <w:t xml:space="preserve">assessment of projected </w:t>
      </w:r>
      <w:r w:rsidR="00333DBB" w:rsidRPr="00E97D4C">
        <w:rPr>
          <w:color w:val="0000FF" w:themeColor="accent1"/>
          <w:shd w:val="clear" w:color="auto" w:fill="FFFFFF" w:themeFill="background1"/>
        </w:rPr>
        <w:t>arisings</w:t>
      </w:r>
      <w:r w:rsidR="006C06DF" w:rsidRPr="00E97D4C">
        <w:rPr>
          <w:color w:val="0000FF" w:themeColor="accent1"/>
          <w:shd w:val="clear" w:color="auto" w:fill="FFFFFF" w:themeFill="background1"/>
        </w:rPr>
        <w:t xml:space="preserve"> vs. infrastructure capacity</w:t>
      </w:r>
      <w:bookmarkEnd w:id="407"/>
    </w:p>
    <w:p w:rsidR="00D72038" w:rsidRPr="007F5BD4" w:rsidRDefault="002D3096" w:rsidP="007F5BD4">
      <w:pPr>
        <w:pStyle w:val="BodyText"/>
      </w:pPr>
      <w:r w:rsidRPr="002D3096">
        <w:rPr>
          <w:noProof/>
          <w:lang w:eastAsia="en-AU"/>
        </w:rPr>
        <w:drawing>
          <wp:inline distT="0" distB="0" distL="0" distR="0">
            <wp:extent cx="6049010" cy="8739021"/>
            <wp:effectExtent l="0" t="0" r="889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9010" cy="8739021"/>
                    </a:xfrm>
                    <a:prstGeom prst="rect">
                      <a:avLst/>
                    </a:prstGeom>
                    <a:noFill/>
                    <a:ln>
                      <a:noFill/>
                    </a:ln>
                  </pic:spPr>
                </pic:pic>
              </a:graphicData>
            </a:graphic>
          </wp:inline>
        </w:drawing>
      </w:r>
    </w:p>
    <w:p w:rsidR="00D72038" w:rsidRPr="00D72038" w:rsidRDefault="00D72038" w:rsidP="00655F62">
      <w:pPr>
        <w:pStyle w:val="Figures"/>
      </w:pPr>
      <w:bookmarkStart w:id="408" w:name="_Toc425849349"/>
      <w:r>
        <w:lastRenderedPageBreak/>
        <w:t>T</w:t>
      </w:r>
      <w:r w:rsidRPr="00D72038">
        <w:t xml:space="preserve">able </w:t>
      </w:r>
      <w:r w:rsidR="006D07F5" w:rsidRPr="008E6EDC">
        <w:fldChar w:fldCharType="begin"/>
      </w:r>
      <w:r w:rsidRPr="00D72038">
        <w:instrText xml:space="preserve"> SEQ Table \* ARABIC </w:instrText>
      </w:r>
      <w:r w:rsidR="006D07F5" w:rsidRPr="008E6EDC">
        <w:fldChar w:fldCharType="separate"/>
      </w:r>
      <w:r w:rsidR="002F3000">
        <w:rPr>
          <w:noProof/>
        </w:rPr>
        <w:t>64</w:t>
      </w:r>
      <w:r w:rsidR="006D07F5" w:rsidRPr="008E6EDC">
        <w:fldChar w:fldCharType="end"/>
      </w:r>
      <w:r w:rsidR="00655F62">
        <w:t>:</w:t>
      </w:r>
      <w:r w:rsidR="00655F62">
        <w:tab/>
      </w:r>
      <w:proofErr w:type="gramStart"/>
      <w:r w:rsidRPr="00E97D4C">
        <w:rPr>
          <w:color w:val="0000FF" w:themeColor="accent1"/>
          <w:shd w:val="clear" w:color="auto" w:fill="FFFFFF" w:themeFill="background1"/>
        </w:rPr>
        <w:t>Tas</w:t>
      </w:r>
      <w:proofErr w:type="gramEnd"/>
      <w:r w:rsidRPr="00E97D4C">
        <w:rPr>
          <w:color w:val="0000FF" w:themeColor="accent1"/>
          <w:shd w:val="clear" w:color="auto" w:fill="FFFFFF" w:themeFill="background1"/>
        </w:rPr>
        <w:t xml:space="preserve"> </w:t>
      </w:r>
      <w:r w:rsidR="006C06DF" w:rsidRPr="00E97D4C">
        <w:rPr>
          <w:color w:val="0000FF" w:themeColor="accent1"/>
          <w:shd w:val="clear" w:color="auto" w:fill="FFFFFF" w:themeFill="background1"/>
        </w:rPr>
        <w:t xml:space="preserve">assessment of projected </w:t>
      </w:r>
      <w:r w:rsidR="00333DBB" w:rsidRPr="00E97D4C">
        <w:rPr>
          <w:color w:val="0000FF" w:themeColor="accent1"/>
          <w:shd w:val="clear" w:color="auto" w:fill="FFFFFF" w:themeFill="background1"/>
        </w:rPr>
        <w:t>arisings</w:t>
      </w:r>
      <w:r w:rsidR="006C06DF" w:rsidRPr="00E97D4C">
        <w:rPr>
          <w:color w:val="0000FF" w:themeColor="accent1"/>
          <w:shd w:val="clear" w:color="auto" w:fill="FFFFFF" w:themeFill="background1"/>
        </w:rPr>
        <w:t xml:space="preserve"> vs. infrastructure capacity</w:t>
      </w:r>
      <w:bookmarkEnd w:id="408"/>
    </w:p>
    <w:p w:rsidR="00D72038" w:rsidRPr="007F5BD4" w:rsidRDefault="002D3096" w:rsidP="007F5BD4">
      <w:pPr>
        <w:pStyle w:val="BodyText"/>
      </w:pPr>
      <w:r w:rsidRPr="002D3096">
        <w:rPr>
          <w:noProof/>
          <w:lang w:eastAsia="en-AU"/>
        </w:rPr>
        <w:drawing>
          <wp:inline distT="0" distB="0" distL="0" distR="0">
            <wp:extent cx="6047179" cy="8736376"/>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531" cy="8751331"/>
                    </a:xfrm>
                    <a:prstGeom prst="rect">
                      <a:avLst/>
                    </a:prstGeom>
                    <a:noFill/>
                    <a:ln>
                      <a:noFill/>
                    </a:ln>
                  </pic:spPr>
                </pic:pic>
              </a:graphicData>
            </a:graphic>
          </wp:inline>
        </w:drawing>
      </w:r>
    </w:p>
    <w:p w:rsidR="00D72038" w:rsidRPr="00D72038" w:rsidRDefault="00D72038" w:rsidP="00655F62">
      <w:pPr>
        <w:pStyle w:val="Figures"/>
      </w:pPr>
      <w:bookmarkStart w:id="409" w:name="_Toc425849350"/>
      <w:r w:rsidRPr="00D72038">
        <w:lastRenderedPageBreak/>
        <w:t xml:space="preserve">Table </w:t>
      </w:r>
      <w:r w:rsidR="006D07F5" w:rsidRPr="008E6EDC">
        <w:fldChar w:fldCharType="begin"/>
      </w:r>
      <w:r w:rsidRPr="00D72038">
        <w:instrText xml:space="preserve"> SEQ Table \* ARABIC </w:instrText>
      </w:r>
      <w:r w:rsidR="006D07F5" w:rsidRPr="008E6EDC">
        <w:fldChar w:fldCharType="separate"/>
      </w:r>
      <w:r w:rsidR="002F3000">
        <w:rPr>
          <w:noProof/>
        </w:rPr>
        <w:t>65</w:t>
      </w:r>
      <w:r w:rsidR="006D07F5" w:rsidRPr="008E6EDC">
        <w:fldChar w:fldCharType="end"/>
      </w:r>
      <w:r w:rsidR="00655F62">
        <w:t>:</w:t>
      </w:r>
      <w:r w:rsidR="00655F62">
        <w:tab/>
      </w:r>
      <w:r w:rsidRPr="00E97D4C">
        <w:rPr>
          <w:color w:val="0000FF" w:themeColor="accent1"/>
          <w:shd w:val="clear" w:color="auto" w:fill="FFFFFF" w:themeFill="background1"/>
        </w:rPr>
        <w:t xml:space="preserve">Vic </w:t>
      </w:r>
      <w:r w:rsidR="006C06DF" w:rsidRPr="00E97D4C">
        <w:rPr>
          <w:color w:val="0000FF" w:themeColor="accent1"/>
          <w:shd w:val="clear" w:color="auto" w:fill="FFFFFF" w:themeFill="background1"/>
        </w:rPr>
        <w:t xml:space="preserve">assessment of projected </w:t>
      </w:r>
      <w:r w:rsidR="00333DBB" w:rsidRPr="00E97D4C">
        <w:rPr>
          <w:color w:val="0000FF" w:themeColor="accent1"/>
          <w:shd w:val="clear" w:color="auto" w:fill="FFFFFF" w:themeFill="background1"/>
        </w:rPr>
        <w:t>arisings</w:t>
      </w:r>
      <w:r w:rsidR="006C06DF" w:rsidRPr="00E97D4C">
        <w:rPr>
          <w:color w:val="0000FF" w:themeColor="accent1"/>
          <w:shd w:val="clear" w:color="auto" w:fill="FFFFFF" w:themeFill="background1"/>
        </w:rPr>
        <w:t xml:space="preserve"> vs. infrastructure capacity</w:t>
      </w:r>
      <w:bookmarkEnd w:id="409"/>
    </w:p>
    <w:p w:rsidR="00D72038" w:rsidRDefault="002300BE" w:rsidP="007F5BD4">
      <w:pPr>
        <w:pStyle w:val="BodyText"/>
      </w:pPr>
      <w:r w:rsidRPr="002300BE">
        <w:rPr>
          <w:noProof/>
          <w:lang w:eastAsia="en-AU"/>
        </w:rPr>
        <w:drawing>
          <wp:inline distT="0" distB="0" distL="0" distR="0">
            <wp:extent cx="6049010" cy="8739021"/>
            <wp:effectExtent l="0" t="0" r="8890" b="508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9010" cy="8739021"/>
                    </a:xfrm>
                    <a:prstGeom prst="rect">
                      <a:avLst/>
                    </a:prstGeom>
                    <a:noFill/>
                    <a:ln>
                      <a:noFill/>
                    </a:ln>
                  </pic:spPr>
                </pic:pic>
              </a:graphicData>
            </a:graphic>
          </wp:inline>
        </w:drawing>
      </w:r>
    </w:p>
    <w:p w:rsidR="00D72038" w:rsidRPr="00D72038" w:rsidRDefault="00D72038" w:rsidP="00655F62">
      <w:pPr>
        <w:pStyle w:val="Figures"/>
      </w:pPr>
      <w:bookmarkStart w:id="410" w:name="_Ref420495416"/>
      <w:bookmarkStart w:id="411" w:name="_Toc425849351"/>
      <w:r w:rsidRPr="00D72038">
        <w:lastRenderedPageBreak/>
        <w:t xml:space="preserve">Table </w:t>
      </w:r>
      <w:r w:rsidR="006D07F5" w:rsidRPr="008E6EDC">
        <w:fldChar w:fldCharType="begin"/>
      </w:r>
      <w:r w:rsidRPr="00D72038">
        <w:instrText xml:space="preserve"> SEQ Table \* ARABIC </w:instrText>
      </w:r>
      <w:r w:rsidR="006D07F5" w:rsidRPr="008E6EDC">
        <w:fldChar w:fldCharType="separate"/>
      </w:r>
      <w:r w:rsidR="002F3000">
        <w:rPr>
          <w:noProof/>
        </w:rPr>
        <w:t>66</w:t>
      </w:r>
      <w:r w:rsidR="006D07F5" w:rsidRPr="008E6EDC">
        <w:fldChar w:fldCharType="end"/>
      </w:r>
      <w:bookmarkEnd w:id="410"/>
      <w:r w:rsidR="00655F62">
        <w:t>:</w:t>
      </w:r>
      <w:r w:rsidR="00655F62">
        <w:tab/>
      </w:r>
      <w:r w:rsidRPr="00E97D4C">
        <w:rPr>
          <w:color w:val="0000FF" w:themeColor="accent1"/>
          <w:shd w:val="clear" w:color="auto" w:fill="FFFFFF" w:themeFill="background1"/>
        </w:rPr>
        <w:t xml:space="preserve">WA </w:t>
      </w:r>
      <w:r w:rsidR="006C06DF" w:rsidRPr="00E97D4C">
        <w:rPr>
          <w:color w:val="0000FF" w:themeColor="accent1"/>
          <w:shd w:val="clear" w:color="auto" w:fill="FFFFFF" w:themeFill="background1"/>
        </w:rPr>
        <w:t xml:space="preserve">assessment of projected </w:t>
      </w:r>
      <w:r w:rsidR="00333DBB" w:rsidRPr="00E97D4C">
        <w:rPr>
          <w:color w:val="0000FF" w:themeColor="accent1"/>
          <w:shd w:val="clear" w:color="auto" w:fill="FFFFFF" w:themeFill="background1"/>
        </w:rPr>
        <w:t>arisings</w:t>
      </w:r>
      <w:r w:rsidR="006C06DF" w:rsidRPr="00E97D4C">
        <w:rPr>
          <w:color w:val="0000FF" w:themeColor="accent1"/>
          <w:shd w:val="clear" w:color="auto" w:fill="FFFFFF" w:themeFill="background1"/>
        </w:rPr>
        <w:t xml:space="preserve"> vs. infrastructure capacity</w:t>
      </w:r>
      <w:bookmarkEnd w:id="411"/>
    </w:p>
    <w:p w:rsidR="003D7EAE" w:rsidRDefault="002300BE" w:rsidP="007F5BD4">
      <w:pPr>
        <w:pStyle w:val="BodyText"/>
      </w:pPr>
      <w:r w:rsidRPr="002300BE">
        <w:rPr>
          <w:noProof/>
          <w:lang w:eastAsia="en-AU"/>
        </w:rPr>
        <w:drawing>
          <wp:inline distT="0" distB="0" distL="0" distR="0">
            <wp:extent cx="6049010" cy="8739021"/>
            <wp:effectExtent l="0" t="0" r="8890" b="508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9010" cy="8739021"/>
                    </a:xfrm>
                    <a:prstGeom prst="rect">
                      <a:avLst/>
                    </a:prstGeom>
                    <a:noFill/>
                    <a:ln>
                      <a:noFill/>
                    </a:ln>
                  </pic:spPr>
                </pic:pic>
              </a:graphicData>
            </a:graphic>
          </wp:inline>
        </w:drawing>
      </w:r>
    </w:p>
    <w:p w:rsidR="002300BE" w:rsidRDefault="002300BE" w:rsidP="007F5BD4">
      <w:pPr>
        <w:pStyle w:val="BodyText"/>
      </w:pPr>
    </w:p>
    <w:p w:rsidR="005F6187" w:rsidRPr="00816657" w:rsidRDefault="00F93853" w:rsidP="00F93853">
      <w:pPr>
        <w:pStyle w:val="Heading1"/>
      </w:pPr>
      <w:bookmarkStart w:id="412" w:name="_Toc420525944"/>
      <w:bookmarkStart w:id="413" w:name="_Toc420569695"/>
      <w:bookmarkStart w:id="414" w:name="_Toc420680780"/>
      <w:bookmarkStart w:id="415" w:name="_Toc420879272"/>
      <w:bookmarkStart w:id="416" w:name="_Toc420959499"/>
      <w:bookmarkStart w:id="417" w:name="_Toc421034155"/>
      <w:bookmarkStart w:id="418" w:name="_Toc421042303"/>
      <w:bookmarkStart w:id="419" w:name="_Toc421043503"/>
      <w:bookmarkStart w:id="420" w:name="_Toc421048486"/>
      <w:bookmarkStart w:id="421" w:name="_Toc421054602"/>
      <w:bookmarkStart w:id="422" w:name="_Toc421086300"/>
      <w:bookmarkStart w:id="423" w:name="_Toc421126675"/>
      <w:bookmarkStart w:id="424" w:name="_Toc420525945"/>
      <w:bookmarkStart w:id="425" w:name="_Toc420569696"/>
      <w:bookmarkStart w:id="426" w:name="_Toc420680781"/>
      <w:bookmarkStart w:id="427" w:name="_Toc420879273"/>
      <w:bookmarkStart w:id="428" w:name="_Toc420959500"/>
      <w:bookmarkStart w:id="429" w:name="_Toc421034156"/>
      <w:bookmarkStart w:id="430" w:name="_Toc421042304"/>
      <w:bookmarkStart w:id="431" w:name="_Toc421043504"/>
      <w:bookmarkStart w:id="432" w:name="_Toc421048487"/>
      <w:bookmarkStart w:id="433" w:name="_Toc421054603"/>
      <w:bookmarkStart w:id="434" w:name="_Toc421086301"/>
      <w:bookmarkStart w:id="435" w:name="_Toc421126676"/>
      <w:bookmarkStart w:id="436" w:name="_Toc420525946"/>
      <w:bookmarkStart w:id="437" w:name="_Toc420569697"/>
      <w:bookmarkStart w:id="438" w:name="_Toc420680782"/>
      <w:bookmarkStart w:id="439" w:name="_Toc420879274"/>
      <w:bookmarkStart w:id="440" w:name="_Toc420959501"/>
      <w:bookmarkStart w:id="441" w:name="_Toc421034157"/>
      <w:bookmarkStart w:id="442" w:name="_Toc421042305"/>
      <w:bookmarkStart w:id="443" w:name="_Toc421043505"/>
      <w:bookmarkStart w:id="444" w:name="_Toc421048488"/>
      <w:bookmarkStart w:id="445" w:name="_Toc421054604"/>
      <w:bookmarkStart w:id="446" w:name="_Toc421086302"/>
      <w:bookmarkStart w:id="447" w:name="_Toc421126677"/>
      <w:bookmarkStart w:id="448" w:name="_Toc408308733"/>
      <w:bookmarkStart w:id="449" w:name="_Toc425849175"/>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816657">
        <w:t>Conclusions</w:t>
      </w:r>
      <w:bookmarkEnd w:id="448"/>
      <w:r w:rsidR="007C6856">
        <w:t xml:space="preserve"> and recommendations</w:t>
      </w:r>
      <w:bookmarkEnd w:id="449"/>
      <w:r w:rsidR="007911AD">
        <w:t xml:space="preserve"> </w:t>
      </w:r>
    </w:p>
    <w:p w:rsidR="00C727C2" w:rsidRPr="00C727C2" w:rsidRDefault="00C727C2" w:rsidP="00C727C2">
      <w:pPr>
        <w:pStyle w:val="Heading2"/>
      </w:pPr>
      <w:bookmarkStart w:id="450" w:name="_Toc425849176"/>
      <w:r w:rsidRPr="00C727C2">
        <w:t>Uncertainty in assessing need vs capacity</w:t>
      </w:r>
      <w:bookmarkEnd w:id="450"/>
    </w:p>
    <w:p w:rsidR="00C727C2" w:rsidRPr="00C727C2" w:rsidRDefault="00C727C2" w:rsidP="00C727C2">
      <w:pPr>
        <w:spacing w:line="240" w:lineRule="auto"/>
        <w:rPr>
          <w:color w:val="080808"/>
          <w:sz w:val="22"/>
        </w:rPr>
      </w:pPr>
      <w:r w:rsidRPr="00C727C2">
        <w:rPr>
          <w:color w:val="080808"/>
          <w:sz w:val="22"/>
        </w:rPr>
        <w:t xml:space="preserve">Future scenarios are inherently uncertain. The arisings of hazardous waste are influenced by industrial markets, development activities, social licences, government regulations and technological innovations that are all unpredictable. The infrastructure servicing this waste is difficult to characterise, changeable and information on its activities is limited and hard to obtain. The ‘language’ of the jurisdictional data (e.g. NEPM codes) differs from that of the industry, creating problems and uncertainties in matching the two. As a result of these uncertainties, the key conclusions of this analysis, which are given below, should be taken as indicative. The various dimensions of the uncertainty included in the assessment are discussed in detail in Section </w:t>
      </w:r>
      <w:r w:rsidR="006D07F5" w:rsidRPr="00C727C2">
        <w:rPr>
          <w:color w:val="080808"/>
          <w:sz w:val="22"/>
        </w:rPr>
        <w:fldChar w:fldCharType="begin"/>
      </w:r>
      <w:r w:rsidRPr="00C727C2">
        <w:rPr>
          <w:color w:val="080808"/>
          <w:sz w:val="22"/>
        </w:rPr>
        <w:instrText xml:space="preserve"> REF _Ref419458961 \r \h </w:instrText>
      </w:r>
      <w:r w:rsidR="006D07F5" w:rsidRPr="00C727C2">
        <w:rPr>
          <w:color w:val="080808"/>
          <w:sz w:val="22"/>
        </w:rPr>
      </w:r>
      <w:r w:rsidR="006D07F5" w:rsidRPr="00C727C2">
        <w:rPr>
          <w:color w:val="080808"/>
          <w:sz w:val="22"/>
        </w:rPr>
        <w:fldChar w:fldCharType="separate"/>
      </w:r>
      <w:r w:rsidR="002F3000">
        <w:rPr>
          <w:color w:val="080808"/>
          <w:sz w:val="22"/>
        </w:rPr>
        <w:t>4</w:t>
      </w:r>
      <w:r w:rsidR="006D07F5" w:rsidRPr="00C727C2">
        <w:rPr>
          <w:color w:val="080808"/>
          <w:sz w:val="22"/>
        </w:rPr>
        <w:fldChar w:fldCharType="end"/>
      </w:r>
      <w:r w:rsidRPr="00C727C2">
        <w:rPr>
          <w:color w:val="080808"/>
          <w:sz w:val="22"/>
        </w:rPr>
        <w:t xml:space="preserve">. </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b/>
          <w:color w:val="080808"/>
          <w:sz w:val="22"/>
        </w:rPr>
        <w:t xml:space="preserve">Recommendation 1: </w:t>
      </w:r>
      <w:r w:rsidRPr="00C727C2">
        <w:rPr>
          <w:color w:val="080808"/>
          <w:sz w:val="22"/>
        </w:rPr>
        <w:t>DoE should work with the jurisdictions to improve hazardous waste tracking system data so that fate is consistently recorded and categorised.</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51" w:name="_Toc425849177"/>
      <w:r w:rsidRPr="00C727C2">
        <w:t>Hazwaste packaging recycling facilities</w:t>
      </w:r>
      <w:bookmarkEnd w:id="451"/>
    </w:p>
    <w:p w:rsidR="00C727C2" w:rsidRPr="00C727C2" w:rsidRDefault="00C727C2" w:rsidP="00C727C2">
      <w:pPr>
        <w:spacing w:line="240" w:lineRule="auto"/>
        <w:rPr>
          <w:color w:val="000000"/>
          <w:sz w:val="22"/>
          <w:szCs w:val="20"/>
        </w:rPr>
      </w:pPr>
      <w:r w:rsidRPr="00C727C2">
        <w:rPr>
          <w:color w:val="000000"/>
          <w:sz w:val="22"/>
          <w:szCs w:val="20"/>
        </w:rPr>
        <w:t xml:space="preserve">The national assessment indicates that under all scenarios over the next 20 years the potential capacity of Australia's current and planned hazardous waste packaging recycling infrastructure will be able to recycle waste arisings. The infrastructure capacity assessment for this group has moderate uncertainty due to a low response rate during consultation and the infrastructure group being highly diffuse increasing the probability of capacity not being included in the capacity database. </w:t>
      </w:r>
    </w:p>
    <w:p w:rsidR="00C727C2" w:rsidRPr="00C727C2" w:rsidRDefault="00C727C2" w:rsidP="00C727C2">
      <w:pPr>
        <w:spacing w:line="240" w:lineRule="auto"/>
        <w:rPr>
          <w:color w:val="000000"/>
          <w:sz w:val="22"/>
          <w:szCs w:val="20"/>
        </w:rPr>
      </w:pPr>
    </w:p>
    <w:p w:rsidR="00C727C2" w:rsidRPr="00C727C2" w:rsidRDefault="00C727C2" w:rsidP="00C727C2">
      <w:pPr>
        <w:spacing w:line="240" w:lineRule="auto"/>
        <w:rPr>
          <w:color w:val="080808"/>
          <w:sz w:val="22"/>
        </w:rPr>
      </w:pPr>
      <w:r w:rsidRPr="00C727C2">
        <w:rPr>
          <w:color w:val="080808"/>
          <w:sz w:val="22"/>
        </w:rPr>
        <w:t xml:space="preserve">A shortfall in current capacity to recycle hazardous waste packaging is apparent in Qld. Contaminated containers are voluminous and cannot be cost-effectively transported. Some survey respondents commented on a broader need for improved recovery options for small hazardous waste packaging and small packages of waste hazardous goods, however, planned infrastructure included in the potential capacity should provide the capacity and coverage required. </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52" w:name="_Toc425849178"/>
      <w:r w:rsidRPr="00C727C2">
        <w:t>E-waste major physical/chemical &amp; disassembly facilities</w:t>
      </w:r>
      <w:bookmarkEnd w:id="452"/>
    </w:p>
    <w:p w:rsidR="00C727C2" w:rsidRPr="00C727C2" w:rsidRDefault="00C727C2" w:rsidP="00C727C2">
      <w:pPr>
        <w:spacing w:line="240" w:lineRule="auto"/>
        <w:rPr>
          <w:color w:val="000000"/>
          <w:sz w:val="22"/>
          <w:szCs w:val="20"/>
        </w:rPr>
      </w:pPr>
      <w:r w:rsidRPr="00C727C2">
        <w:rPr>
          <w:color w:val="000000"/>
          <w:sz w:val="22"/>
          <w:szCs w:val="20"/>
        </w:rPr>
        <w:t xml:space="preserve">The national assessment indicates that under the best and low scenarios over the next 20 years the potential capacity of Australia's current hazardous e-waste (major physical/chemical and manual disassembly processing) infrastructure will be able to recycle waste arisings. Capacity could become constrained by 2034 if e-waste arisings grow very strongly. </w:t>
      </w:r>
    </w:p>
    <w:p w:rsidR="00C727C2" w:rsidRPr="00C727C2" w:rsidRDefault="00C727C2" w:rsidP="00C727C2">
      <w:pPr>
        <w:spacing w:line="240" w:lineRule="auto"/>
        <w:rPr>
          <w:color w:val="000000"/>
          <w:sz w:val="22"/>
          <w:szCs w:val="20"/>
        </w:rPr>
      </w:pPr>
    </w:p>
    <w:p w:rsidR="00C727C2" w:rsidRPr="00C727C2" w:rsidRDefault="00C727C2" w:rsidP="00C727C2">
      <w:pPr>
        <w:spacing w:line="240" w:lineRule="auto"/>
        <w:rPr>
          <w:color w:val="000000"/>
          <w:sz w:val="22"/>
          <w:szCs w:val="20"/>
        </w:rPr>
      </w:pPr>
      <w:r w:rsidRPr="00C727C2">
        <w:rPr>
          <w:color w:val="000000"/>
          <w:sz w:val="22"/>
          <w:szCs w:val="20"/>
        </w:rPr>
        <w:t>It must be noted that estimates assume no change to the current estimated proportions of fate of e-waste, which is mostly landfill. Changes to product stewardship agreements or landfill bans on e-waste would significantly change these estimates. The infrastructure capacity assessment for this group has moderate uncertainty due moderate response rate during consultation and the infrastructure group capacity having some overlap with other functions (such as PCB oil decontamination) resulting in a likely overestimate of the infrastructure group capacity.</w:t>
      </w:r>
    </w:p>
    <w:p w:rsidR="00C727C2" w:rsidRPr="00C727C2" w:rsidRDefault="00C727C2" w:rsidP="00C727C2">
      <w:pPr>
        <w:spacing w:line="240" w:lineRule="auto"/>
        <w:rPr>
          <w:color w:val="000000"/>
          <w:sz w:val="22"/>
          <w:szCs w:val="20"/>
        </w:rPr>
      </w:pPr>
    </w:p>
    <w:p w:rsidR="00C727C2" w:rsidRPr="00C727C2" w:rsidRDefault="00C727C2" w:rsidP="00C727C2">
      <w:pPr>
        <w:spacing w:line="240" w:lineRule="auto"/>
        <w:rPr>
          <w:color w:val="080808"/>
          <w:sz w:val="22"/>
        </w:rPr>
      </w:pPr>
      <w:proofErr w:type="gramStart"/>
      <w:r w:rsidRPr="00C727C2">
        <w:rPr>
          <w:color w:val="080808"/>
          <w:sz w:val="22"/>
        </w:rPr>
        <w:t>A shortfall in current capacity to apparent in NT and WA.</w:t>
      </w:r>
      <w:proofErr w:type="gramEnd"/>
      <w:r w:rsidRPr="00C727C2">
        <w:rPr>
          <w:color w:val="080808"/>
          <w:sz w:val="22"/>
        </w:rPr>
        <w:t xml:space="preserve"> </w:t>
      </w:r>
      <w:proofErr w:type="gramStart"/>
      <w:r w:rsidRPr="00C727C2">
        <w:rPr>
          <w:color w:val="080808"/>
          <w:sz w:val="22"/>
        </w:rPr>
        <w:t>e-waste</w:t>
      </w:r>
      <w:proofErr w:type="gramEnd"/>
      <w:r w:rsidRPr="00C727C2">
        <w:rPr>
          <w:color w:val="080808"/>
          <w:sz w:val="22"/>
        </w:rPr>
        <w:t xml:space="preserve"> in these jurisdictions is likely sent interstate or is sent to landfill.</w:t>
      </w:r>
    </w:p>
    <w:p w:rsidR="00C727C2" w:rsidRPr="00C727C2" w:rsidRDefault="00C727C2" w:rsidP="00C727C2">
      <w:pPr>
        <w:spacing w:line="240" w:lineRule="auto"/>
        <w:rPr>
          <w:color w:val="080808"/>
          <w:sz w:val="22"/>
        </w:rPr>
      </w:pPr>
    </w:p>
    <w:p w:rsidR="002300BE" w:rsidRDefault="002300BE" w:rsidP="00C727C2">
      <w:pPr>
        <w:pStyle w:val="Heading3"/>
      </w:pPr>
    </w:p>
    <w:p w:rsidR="002300BE" w:rsidRDefault="002300BE" w:rsidP="00C727C2">
      <w:pPr>
        <w:pStyle w:val="Heading3"/>
      </w:pPr>
    </w:p>
    <w:p w:rsidR="00C727C2" w:rsidRPr="00C727C2" w:rsidRDefault="00C727C2" w:rsidP="00C727C2">
      <w:pPr>
        <w:pStyle w:val="Heading3"/>
      </w:pPr>
      <w:r w:rsidRPr="00C727C2">
        <w:t>Lithium-ion batteries infrastructure</w:t>
      </w:r>
    </w:p>
    <w:p w:rsidR="00870BAF" w:rsidRDefault="00870BAF" w:rsidP="00870BAF">
      <w:pPr>
        <w:pStyle w:val="BodyText"/>
      </w:pPr>
      <w:r>
        <w:lastRenderedPageBreak/>
        <w:t>The potential arisings of lithium-ion batteries, which are not currently regulated as hazardous wastes, a</w:t>
      </w:r>
      <w:r w:rsidRPr="00803950">
        <w:t>re assessed</w:t>
      </w:r>
      <w:r>
        <w:t xml:space="preserve"> is this report</w:t>
      </w:r>
      <w:r w:rsidRPr="00803950">
        <w:t xml:space="preserve"> </w:t>
      </w:r>
      <w:r>
        <w:t xml:space="preserve">due </w:t>
      </w:r>
      <w:r w:rsidRPr="00803950">
        <w:t xml:space="preserve">their potential to have a significant impact on hazardous </w:t>
      </w:r>
      <w:r>
        <w:t xml:space="preserve">and non-hazardous </w:t>
      </w:r>
      <w:r w:rsidRPr="00803950">
        <w:t xml:space="preserve">waste infrastructure. </w:t>
      </w:r>
      <w:r>
        <w:t>Waste l</w:t>
      </w:r>
      <w:r w:rsidRPr="00803950">
        <w:t>ithium-ion batter</w:t>
      </w:r>
      <w:r>
        <w:t xml:space="preserve">ies are projected to increase at an </w:t>
      </w:r>
      <w:r w:rsidRPr="00816657">
        <w:t xml:space="preserve">average growth rate </w:t>
      </w:r>
      <w:r>
        <w:t xml:space="preserve">of </w:t>
      </w:r>
      <w:r w:rsidRPr="00816657">
        <w:t>12% per year</w:t>
      </w:r>
      <w:r>
        <w:t xml:space="preserve"> (under best estimate scenario), and</w:t>
      </w:r>
      <w:r w:rsidRPr="00803950">
        <w:t xml:space="preserve"> if not appropriately managed</w:t>
      </w:r>
      <w:r>
        <w:t>, represent</w:t>
      </w:r>
      <w:r w:rsidRPr="00803950">
        <w:t xml:space="preserve"> a safety hazard due to risks of causing explosions and or fire (ABRI 2014).</w:t>
      </w:r>
      <w:r>
        <w:t xml:space="preserve"> </w:t>
      </w:r>
    </w:p>
    <w:p w:rsidR="00870BAF" w:rsidRDefault="00870BAF" w:rsidP="00870BAF">
      <w:pPr>
        <w:pStyle w:val="BodyText"/>
      </w:pPr>
    </w:p>
    <w:p w:rsidR="00870BAF" w:rsidRDefault="00870BAF" w:rsidP="00870BAF">
      <w:pPr>
        <w:pStyle w:val="BodyText"/>
      </w:pPr>
      <w:r>
        <w:t>Whilst this assessment does not indicate a shortfall in the overall e-waste processing capacity in Australia, at the time of writing there are no e-waste facilities with lithium-ion recycling capacity. All lithium-ion batteries that are recovered are exported overseas for recycling. In addition, Australia has no specific lithium-ion battery collection/transfer infrastructure (lithium-ion batteries that are recovered are collected with other battery types). The collection of potentially flammable lithium-ion batteries without appropriate infrastructure could create a fire hazard within the collection infrastructure for other batteries.</w:t>
      </w:r>
    </w:p>
    <w:p w:rsidR="00870BAF" w:rsidRDefault="00870BAF" w:rsidP="00870BAF">
      <w:pPr>
        <w:pStyle w:val="BodyText"/>
      </w:pPr>
    </w:p>
    <w:p w:rsidR="00C727C2" w:rsidRPr="00870BAF" w:rsidRDefault="00870BAF" w:rsidP="00870BAF">
      <w:pPr>
        <w:spacing w:line="240" w:lineRule="auto"/>
        <w:rPr>
          <w:color w:val="080808"/>
          <w:sz w:val="22"/>
        </w:rPr>
      </w:pPr>
      <w:r w:rsidRPr="00870BAF">
        <w:rPr>
          <w:b/>
          <w:sz w:val="22"/>
        </w:rPr>
        <w:t xml:space="preserve">Recommendation 2: </w:t>
      </w:r>
      <w:r w:rsidRPr="00870BAF">
        <w:rPr>
          <w:sz w:val="22"/>
        </w:rPr>
        <w:t>The potential hazards posed by lithium-ion batteries, and the best means of managing these hazards, needs further assessment. Following the assessment of hazard, assessment of the collection and processing infrastructure needs for lithium-ion batteries in Australia should be completed.</w:t>
      </w:r>
      <w:r w:rsidR="00C727C2" w:rsidRPr="00870BAF">
        <w:rPr>
          <w:color w:val="080808"/>
          <w:sz w:val="22"/>
        </w:rPr>
        <w:t xml:space="preserve">   </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53" w:name="_Toc425849179"/>
      <w:r w:rsidRPr="00C727C2">
        <w:t>Oil re-refining facilities</w:t>
      </w:r>
      <w:bookmarkEnd w:id="453"/>
    </w:p>
    <w:p w:rsidR="00C727C2" w:rsidRPr="00C727C2" w:rsidRDefault="00C727C2" w:rsidP="00C727C2">
      <w:pPr>
        <w:spacing w:line="240" w:lineRule="auto"/>
        <w:rPr>
          <w:color w:val="000000"/>
          <w:sz w:val="22"/>
          <w:szCs w:val="20"/>
        </w:rPr>
      </w:pPr>
      <w:r w:rsidRPr="00C727C2">
        <w:rPr>
          <w:color w:val="000000"/>
          <w:sz w:val="22"/>
          <w:szCs w:val="20"/>
        </w:rPr>
        <w:t xml:space="preserve">At a national level, based on projected increases in waste oil arisings in Qld and WA (from the mining industry), the best estimate scenario projects that waste oil re-refining capacity in Australia could be exceeded in 2023 or by 2020 under the high scenario. Changes in the rates of growth of the mining industry in Qld and WA could have a significant impact on this assessment. Under a low arisings scenario (which includes Qld and WA arisings increasing at national rate of economic growth) waste oil re-refining capacity in Australia is likely to be sufficient beyond 2034. </w:t>
      </w:r>
      <w:r w:rsidRPr="00C727C2">
        <w:rPr>
          <w:color w:val="000000"/>
          <w:sz w:val="22"/>
          <w:szCs w:val="20"/>
        </w:rPr>
        <w:br/>
      </w:r>
      <w:r w:rsidRPr="00C727C2">
        <w:rPr>
          <w:color w:val="000000"/>
          <w:sz w:val="22"/>
          <w:szCs w:val="20"/>
        </w:rPr>
        <w:br/>
        <w:t xml:space="preserve">The infrastructure capacity assessment for this group has moderate uncertainty due to the group's capacity having some overlap with the transfer station or temporary storage infrastructure group resulting in a potential overestimate of the infrastructure group capacity. </w:t>
      </w:r>
    </w:p>
    <w:p w:rsidR="00C727C2" w:rsidRPr="00C727C2" w:rsidRDefault="00C727C2" w:rsidP="00C727C2">
      <w:pPr>
        <w:spacing w:line="240" w:lineRule="auto"/>
        <w:rPr>
          <w:color w:val="000000"/>
          <w:sz w:val="22"/>
          <w:szCs w:val="20"/>
        </w:rPr>
      </w:pPr>
    </w:p>
    <w:p w:rsidR="00C727C2" w:rsidRPr="00C727C2" w:rsidRDefault="00C727C2" w:rsidP="00C727C2">
      <w:pPr>
        <w:spacing w:line="240" w:lineRule="auto"/>
        <w:rPr>
          <w:color w:val="000000"/>
          <w:sz w:val="22"/>
          <w:szCs w:val="20"/>
        </w:rPr>
      </w:pPr>
      <w:r w:rsidRPr="00C727C2">
        <w:rPr>
          <w:color w:val="000000"/>
          <w:sz w:val="22"/>
          <w:szCs w:val="20"/>
        </w:rPr>
        <w:t xml:space="preserve">Offsetting the potential overestimation of this group’s capacity is the allocating of </w:t>
      </w:r>
      <w:r w:rsidRPr="00C727C2">
        <w:rPr>
          <w:color w:val="000000"/>
          <w:sz w:val="22"/>
          <w:szCs w:val="20"/>
          <w:u w:val="single"/>
        </w:rPr>
        <w:t>all</w:t>
      </w:r>
      <w:r w:rsidRPr="00C727C2">
        <w:rPr>
          <w:color w:val="000000"/>
          <w:sz w:val="22"/>
          <w:szCs w:val="20"/>
        </w:rPr>
        <w:t xml:space="preserve"> NEPM J codes recycling tonnages to this group. Some of the J code 'recycling' tonnage is likely to be </w:t>
      </w:r>
      <w:r w:rsidRPr="00C727C2">
        <w:rPr>
          <w:i/>
          <w:color w:val="000000"/>
          <w:sz w:val="22"/>
          <w:szCs w:val="20"/>
        </w:rPr>
        <w:t>J120</w:t>
      </w:r>
      <w:r w:rsidRPr="00C727C2">
        <w:rPr>
          <w:color w:val="000000"/>
          <w:sz w:val="22"/>
          <w:szCs w:val="20"/>
        </w:rPr>
        <w:t xml:space="preserve"> </w:t>
      </w:r>
      <w:r w:rsidRPr="00C727C2">
        <w:rPr>
          <w:i/>
          <w:iCs/>
          <w:color w:val="000000"/>
          <w:sz w:val="22"/>
          <w:szCs w:val="20"/>
        </w:rPr>
        <w:t>Waste oil/water, hydrocarbons/water mixtures or emulsions</w:t>
      </w:r>
      <w:r w:rsidRPr="00C727C2">
        <w:rPr>
          <w:color w:val="000000"/>
          <w:sz w:val="22"/>
          <w:szCs w:val="20"/>
        </w:rPr>
        <w:t xml:space="preserve"> that is taken to facilities that are filtering and dewatering only (not re-refining) resulting in an overestimate of the arisings of oils being sent to re-refining. In addition some waste oils ‘recycling’ may actually be sent for energy recovery which, again, would result in an overestimate of waste oil re-refining demand. </w:t>
      </w:r>
    </w:p>
    <w:p w:rsidR="00C727C2" w:rsidRPr="00C727C2" w:rsidRDefault="00C727C2" w:rsidP="00C727C2">
      <w:pPr>
        <w:spacing w:line="240" w:lineRule="auto"/>
        <w:rPr>
          <w:color w:val="000000"/>
          <w:sz w:val="22"/>
          <w:szCs w:val="20"/>
        </w:rPr>
      </w:pPr>
    </w:p>
    <w:p w:rsidR="00C727C2" w:rsidRPr="00C727C2" w:rsidRDefault="00C727C2" w:rsidP="00C727C2">
      <w:pPr>
        <w:spacing w:line="240" w:lineRule="auto"/>
        <w:rPr>
          <w:color w:val="080808"/>
          <w:sz w:val="22"/>
        </w:rPr>
      </w:pPr>
      <w:r w:rsidRPr="00C727C2">
        <w:rPr>
          <w:color w:val="080808"/>
          <w:sz w:val="22"/>
        </w:rPr>
        <w:t xml:space="preserve">No re-refining capacity was identified in the ACT or NT, from which waste oils are likely transported interstate. Qld oil re-refining capacity could be currently constrained locally. However, almost all of the transfer station and temporary storage capacity in Qld is for waste oil prior to transport to re-refining or some alternative in Qld or interstate, suggesting that Qld should be able to manage waste oil arisings. WA’s oil re-refining capacity could be constrained by 2027 or 2024 if mining sector grows very strongly. Vic, NSW, SA, </w:t>
      </w:r>
      <w:proofErr w:type="gramStart"/>
      <w:r w:rsidRPr="00C727C2">
        <w:rPr>
          <w:color w:val="080808"/>
          <w:sz w:val="22"/>
        </w:rPr>
        <w:t>Tas</w:t>
      </w:r>
      <w:proofErr w:type="gramEnd"/>
      <w:r w:rsidRPr="00C727C2">
        <w:rPr>
          <w:color w:val="080808"/>
          <w:sz w:val="22"/>
        </w:rPr>
        <w:t xml:space="preserve"> oil re-refining capacity should be sufficient.</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color w:val="080808"/>
          <w:sz w:val="22"/>
        </w:rPr>
        <w:t xml:space="preserve">The Product Stewardship for Oil Program was introduced by the Australian Government in 2001. It provides a financial incentive (of 50 cents/litre) for industry to re-refine waste oil for sale. There appears to be some uncertainty as to what activities and materials are eligible, and it is possible that some subsidies are being expended on mixtures of oil and water and potentially storage and transfer activities. </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b/>
          <w:color w:val="080808"/>
          <w:sz w:val="22"/>
        </w:rPr>
        <w:lastRenderedPageBreak/>
        <w:t>Recommendation 3:</w:t>
      </w:r>
      <w:r w:rsidRPr="00C727C2">
        <w:rPr>
          <w:color w:val="080808"/>
          <w:sz w:val="22"/>
        </w:rPr>
        <w:t xml:space="preserve"> DoE should assess waste oil infrastructure to clarify which sites are providing re-refining of oils for sale that qualify them for the product stewardship payment.</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54" w:name="_Toc425849180"/>
      <w:r w:rsidRPr="00C727C2">
        <w:t>Lead recycling facilities</w:t>
      </w:r>
      <w:bookmarkEnd w:id="454"/>
      <w:r w:rsidRPr="00C727C2">
        <w:t xml:space="preserve"> </w:t>
      </w:r>
    </w:p>
    <w:p w:rsidR="00C727C2" w:rsidRPr="00C727C2" w:rsidRDefault="00C727C2" w:rsidP="00C727C2">
      <w:pPr>
        <w:spacing w:line="240" w:lineRule="auto"/>
        <w:rPr>
          <w:color w:val="000000"/>
          <w:sz w:val="22"/>
          <w:szCs w:val="20"/>
        </w:rPr>
      </w:pPr>
      <w:r w:rsidRPr="00C727C2">
        <w:rPr>
          <w:color w:val="000000"/>
          <w:sz w:val="22"/>
          <w:szCs w:val="20"/>
        </w:rPr>
        <w:t xml:space="preserve">At a national level, based on the best estimate projection of arisings increasing at the rate of population growth the current and planned lead recycling infrastructure could be exceeded by 2031. Based on the high estimate projection of arisings increasing strongly at 3.5% per annum capacity could be met in 2022. Under a low scenario of no growth in arisings capacity is not expected to be exceeded over the next 20 years. </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color w:val="080808"/>
          <w:sz w:val="22"/>
        </w:rPr>
        <w:t>Recycling capacity for lead acid batteries is all located in NSW, so lead acid batteries are transported from other jurisdictions to NSW or exported overseas under an export permit. Developments in WA should see less lead acid batteries transported from WA to NSW.</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55" w:name="_Toc425849181"/>
      <w:r w:rsidRPr="00C727C2">
        <w:t>Mercury recycling facilities</w:t>
      </w:r>
      <w:bookmarkEnd w:id="455"/>
    </w:p>
    <w:p w:rsidR="00C727C2" w:rsidRPr="00C727C2" w:rsidRDefault="00C727C2" w:rsidP="00C727C2">
      <w:pPr>
        <w:spacing w:line="240" w:lineRule="auto"/>
        <w:rPr>
          <w:color w:val="000000"/>
          <w:sz w:val="22"/>
          <w:szCs w:val="20"/>
        </w:rPr>
      </w:pPr>
      <w:r w:rsidRPr="00C727C2">
        <w:rPr>
          <w:color w:val="000000"/>
          <w:sz w:val="22"/>
          <w:szCs w:val="20"/>
        </w:rPr>
        <w:t>At a national level, the assessment indicates that under all scenarios over the next 20 years the potential capacity of Australia's current mercury waste recycling infrastructure will be able to recycle waste arisings.</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color w:val="080808"/>
          <w:sz w:val="22"/>
        </w:rPr>
        <w:t>Mercury processing capacity was identified in Vic (the majority) and a small amount in NSW. All other jurisdictions are likely transferring mercury wastes to Vic and NSW.</w:t>
      </w:r>
    </w:p>
    <w:p w:rsidR="00C727C2" w:rsidRPr="00C727C2" w:rsidRDefault="00C727C2" w:rsidP="00C727C2">
      <w:pPr>
        <w:spacing w:line="240" w:lineRule="auto"/>
        <w:rPr>
          <w:color w:val="080808"/>
          <w:sz w:val="22"/>
        </w:rPr>
      </w:pPr>
    </w:p>
    <w:p w:rsidR="002300BE" w:rsidRDefault="00C727C2" w:rsidP="00C727C2">
      <w:pPr>
        <w:spacing w:line="240" w:lineRule="auto"/>
        <w:rPr>
          <w:color w:val="080808"/>
          <w:sz w:val="22"/>
          <w:shd w:val="clear" w:color="auto" w:fill="FF0000"/>
        </w:rPr>
      </w:pPr>
      <w:r w:rsidRPr="00C727C2">
        <w:rPr>
          <w:color w:val="080808"/>
          <w:sz w:val="22"/>
        </w:rPr>
        <w:t xml:space="preserve">CMA Ecocycle </w:t>
      </w:r>
      <w:proofErr w:type="gramStart"/>
      <w:r w:rsidRPr="00C727C2">
        <w:rPr>
          <w:color w:val="080808"/>
          <w:sz w:val="22"/>
        </w:rPr>
        <w:t>are</w:t>
      </w:r>
      <w:proofErr w:type="gramEnd"/>
      <w:r w:rsidRPr="00C727C2">
        <w:rPr>
          <w:color w:val="080808"/>
          <w:sz w:val="22"/>
        </w:rPr>
        <w:t xml:space="preserve"> the main provider of mercury infrastructure with transfer facilities located around Australia and a processing facility in Melbourne.</w:t>
      </w:r>
      <w:r w:rsidR="002300BE">
        <w:rPr>
          <w:color w:val="080808"/>
          <w:sz w:val="22"/>
        </w:rPr>
        <w:t xml:space="preserve"> </w:t>
      </w:r>
      <w:proofErr w:type="gramStart"/>
      <w:r w:rsidR="002300BE" w:rsidRPr="002300BE">
        <w:rPr>
          <w:color w:val="080808"/>
          <w:sz w:val="22"/>
          <w:shd w:val="clear" w:color="auto" w:fill="FF0000"/>
        </w:rPr>
        <w:t>CIC</w:t>
      </w:r>
      <w:r w:rsidR="002300BE">
        <w:rPr>
          <w:color w:val="080808"/>
          <w:sz w:val="22"/>
          <w:shd w:val="clear" w:color="auto" w:fill="FF0000"/>
        </w:rPr>
        <w:t>.</w:t>
      </w:r>
      <w:proofErr w:type="gramEnd"/>
      <w:r w:rsidR="002300BE">
        <w:rPr>
          <w:color w:val="080808"/>
          <w:sz w:val="22"/>
          <w:shd w:val="clear" w:color="auto" w:fill="FF0000"/>
        </w:rPr>
        <w:t xml:space="preserve"> </w:t>
      </w:r>
    </w:p>
    <w:p w:rsidR="00C727C2" w:rsidRPr="00C727C2" w:rsidRDefault="00C727C2" w:rsidP="00C727C2">
      <w:pPr>
        <w:spacing w:line="240" w:lineRule="auto"/>
        <w:rPr>
          <w:color w:val="FFFFFF" w:themeColor="background1"/>
          <w:sz w:val="22"/>
          <w:shd w:val="clear" w:color="auto" w:fill="FF0000"/>
        </w:rPr>
      </w:pPr>
    </w:p>
    <w:p w:rsidR="00C727C2" w:rsidRDefault="00C727C2" w:rsidP="00C727C2">
      <w:pPr>
        <w:spacing w:line="240" w:lineRule="auto"/>
        <w:rPr>
          <w:b/>
          <w:color w:val="FFFFFF" w:themeColor="background1"/>
          <w:sz w:val="22"/>
          <w:shd w:val="clear" w:color="auto" w:fill="FF0000"/>
        </w:rPr>
      </w:pPr>
      <w:r w:rsidRPr="00C727C2">
        <w:rPr>
          <w:b/>
          <w:color w:val="FFFFFF" w:themeColor="background1"/>
          <w:sz w:val="22"/>
          <w:shd w:val="clear" w:color="auto" w:fill="FF0000"/>
        </w:rPr>
        <w:t>Recommendation 4:</w:t>
      </w:r>
      <w:r w:rsidR="002300BE">
        <w:rPr>
          <w:b/>
          <w:color w:val="FFFFFF" w:themeColor="background1"/>
          <w:sz w:val="22"/>
          <w:shd w:val="clear" w:color="auto" w:fill="FF0000"/>
        </w:rPr>
        <w:t xml:space="preserve"> CIC</w:t>
      </w:r>
    </w:p>
    <w:p w:rsidR="002300BE" w:rsidRPr="00E97D4C" w:rsidRDefault="002300BE" w:rsidP="00C727C2">
      <w:pPr>
        <w:spacing w:line="240" w:lineRule="auto"/>
        <w:rPr>
          <w:color w:val="FF0000"/>
          <w:sz w:val="22"/>
          <w:shd w:val="clear" w:color="auto" w:fill="FF0000"/>
        </w:rPr>
      </w:pP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00000"/>
          <w:sz w:val="22"/>
          <w:szCs w:val="20"/>
        </w:rPr>
      </w:pPr>
      <w:r w:rsidRPr="00C727C2">
        <w:rPr>
          <w:b/>
          <w:color w:val="000000"/>
          <w:sz w:val="22"/>
          <w:szCs w:val="20"/>
        </w:rPr>
        <w:t xml:space="preserve">Recommendation 5: </w:t>
      </w:r>
      <w:r w:rsidRPr="00C727C2">
        <w:rPr>
          <w:color w:val="000000"/>
          <w:sz w:val="22"/>
          <w:szCs w:val="20"/>
        </w:rPr>
        <w:t xml:space="preserve">State and territory governments should require financial assurances from companies that process and store wastes to avoid the risk of ‘orphaned’ stockpiles. </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56" w:name="_Toc425849182"/>
      <w:r w:rsidRPr="00C727C2">
        <w:t>Solvents/paints recycling facilities</w:t>
      </w:r>
      <w:bookmarkEnd w:id="456"/>
      <w:r w:rsidRPr="00C727C2">
        <w:t xml:space="preserve"> </w:t>
      </w:r>
    </w:p>
    <w:p w:rsidR="00C727C2" w:rsidRPr="00C727C2" w:rsidRDefault="00C727C2" w:rsidP="00C727C2">
      <w:pPr>
        <w:spacing w:line="240" w:lineRule="auto"/>
        <w:rPr>
          <w:color w:val="000000"/>
          <w:sz w:val="22"/>
          <w:szCs w:val="20"/>
        </w:rPr>
      </w:pPr>
      <w:r w:rsidRPr="00C727C2">
        <w:rPr>
          <w:color w:val="000000"/>
          <w:sz w:val="22"/>
          <w:szCs w:val="20"/>
        </w:rPr>
        <w:t>At a national level, the assessment indicates that under all scenarios the current capacity of solvents/paints recycling is being exceeded. This is unlikely to be accurate due to the high level of uncertainty in the capacity assessment for this group. A number of factors need to be considered:</w:t>
      </w:r>
    </w:p>
    <w:p w:rsidR="00C727C2" w:rsidRPr="00C727C2" w:rsidRDefault="00C727C2" w:rsidP="00E97D4C">
      <w:pPr>
        <w:numPr>
          <w:ilvl w:val="0"/>
          <w:numId w:val="75"/>
        </w:numPr>
        <w:spacing w:before="80" w:line="240" w:lineRule="auto"/>
        <w:rPr>
          <w:sz w:val="22"/>
        </w:rPr>
      </w:pPr>
      <w:r w:rsidRPr="00C727C2">
        <w:rPr>
          <w:color w:val="000000"/>
          <w:sz w:val="22"/>
          <w:szCs w:val="20"/>
        </w:rPr>
        <w:t>It is likely that some materials sent to energy recovery are recorded as recycled (resulting in over estimate of arisings to recycling and underestimate to energy recovery)</w:t>
      </w:r>
    </w:p>
    <w:p w:rsidR="00C727C2" w:rsidRPr="00C727C2" w:rsidRDefault="00C727C2" w:rsidP="00E97D4C">
      <w:pPr>
        <w:numPr>
          <w:ilvl w:val="0"/>
          <w:numId w:val="75"/>
        </w:numPr>
        <w:spacing w:before="80" w:line="240" w:lineRule="auto"/>
        <w:rPr>
          <w:sz w:val="22"/>
        </w:rPr>
      </w:pPr>
      <w:r w:rsidRPr="00C727C2">
        <w:rPr>
          <w:color w:val="000000"/>
          <w:sz w:val="22"/>
          <w:szCs w:val="20"/>
        </w:rPr>
        <w:t>Some solvent/paint recycling capacity is likely to be within the CPT infrastructure group</w:t>
      </w:r>
    </w:p>
    <w:p w:rsidR="00C727C2" w:rsidRPr="00C727C2" w:rsidRDefault="00C727C2" w:rsidP="00E97D4C">
      <w:pPr>
        <w:numPr>
          <w:ilvl w:val="0"/>
          <w:numId w:val="75"/>
        </w:numPr>
        <w:spacing w:before="80" w:line="240" w:lineRule="auto"/>
        <w:rPr>
          <w:sz w:val="22"/>
        </w:rPr>
      </w:pPr>
      <w:proofErr w:type="gramStart"/>
      <w:r w:rsidRPr="00C727C2">
        <w:rPr>
          <w:color w:val="000000"/>
          <w:sz w:val="22"/>
          <w:szCs w:val="20"/>
        </w:rPr>
        <w:t>Some smaller operators that recycle solvents/paint may not have not been captured in the infrastructure database.</w:t>
      </w:r>
      <w:proofErr w:type="gramEnd"/>
      <w:r w:rsidRPr="00C727C2">
        <w:rPr>
          <w:sz w:val="22"/>
        </w:rPr>
        <w:t xml:space="preserve"> </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color w:val="000000"/>
          <w:sz w:val="22"/>
          <w:szCs w:val="20"/>
        </w:rPr>
        <w:t>Based on industry consultation and this assessment, a national shortage of this infrastructure over the next 20 years is considered unlikely</w:t>
      </w:r>
      <w:r w:rsidRPr="00C727C2">
        <w:rPr>
          <w:color w:val="080808"/>
          <w:sz w:val="22"/>
        </w:rPr>
        <w:t xml:space="preserve">. Solvent/paints recycling infrastructure was identified in all jurisdictions apart from ACT, SA, </w:t>
      </w:r>
      <w:proofErr w:type="gramStart"/>
      <w:r w:rsidRPr="00C727C2">
        <w:rPr>
          <w:color w:val="080808"/>
          <w:sz w:val="22"/>
        </w:rPr>
        <w:t>Tas</w:t>
      </w:r>
      <w:proofErr w:type="gramEnd"/>
      <w:r w:rsidRPr="00C727C2">
        <w:rPr>
          <w:color w:val="080808"/>
          <w:sz w:val="22"/>
        </w:rPr>
        <w:t xml:space="preserve"> and NT. In these jurisdictions, solvents/paint waste is sent interstate, managed within other infrastructure groups or taken to sites not identified in the capacity database.</w:t>
      </w:r>
    </w:p>
    <w:p w:rsidR="00C727C2" w:rsidRDefault="00C727C2" w:rsidP="00C727C2">
      <w:pPr>
        <w:spacing w:line="240" w:lineRule="auto"/>
        <w:rPr>
          <w:color w:val="080808"/>
          <w:sz w:val="22"/>
        </w:rPr>
      </w:pPr>
    </w:p>
    <w:p w:rsid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57" w:name="_Toc425849183"/>
      <w:r w:rsidRPr="00C727C2">
        <w:lastRenderedPageBreak/>
        <w:t>Solvents/paints energy recovery facilities</w:t>
      </w:r>
      <w:bookmarkEnd w:id="457"/>
    </w:p>
    <w:p w:rsidR="00C727C2" w:rsidRPr="00C727C2" w:rsidRDefault="00C727C2" w:rsidP="00C727C2">
      <w:pPr>
        <w:spacing w:line="240" w:lineRule="auto"/>
        <w:rPr>
          <w:color w:val="000000"/>
          <w:sz w:val="22"/>
          <w:szCs w:val="20"/>
        </w:rPr>
      </w:pPr>
      <w:r w:rsidRPr="00C727C2">
        <w:rPr>
          <w:color w:val="000000"/>
          <w:sz w:val="22"/>
          <w:szCs w:val="20"/>
        </w:rPr>
        <w:t xml:space="preserve">At a national level, the assessment indicates that under the best and low scenarios over the next 20 years the potential capacity of Australia's current solvents/paints energy recovery infrastructure will be able to manage waste arisings. If paints, resins, inks, organic sludges grow very strongly (at 3.8%p.a.) capacity could be exceeded by 2030. </w:t>
      </w:r>
    </w:p>
    <w:p w:rsidR="00C727C2" w:rsidRPr="00C727C2" w:rsidRDefault="00C727C2" w:rsidP="00C727C2">
      <w:pPr>
        <w:spacing w:line="240" w:lineRule="auto"/>
        <w:rPr>
          <w:color w:val="000000"/>
          <w:sz w:val="22"/>
          <w:szCs w:val="20"/>
        </w:rPr>
      </w:pPr>
      <w:r w:rsidRPr="00C727C2">
        <w:rPr>
          <w:color w:val="000000"/>
          <w:sz w:val="22"/>
          <w:szCs w:val="20"/>
        </w:rPr>
        <w:br/>
        <w:t>It is noted some solvents/paints recycling tonnages may actually be sent to energy recovery infrastructure. This could result in the infrastructure need exceeding capacity sooner than is estimated here.</w:t>
      </w:r>
    </w:p>
    <w:p w:rsidR="00C727C2" w:rsidRPr="00C727C2" w:rsidRDefault="00C727C2" w:rsidP="00C727C2">
      <w:pPr>
        <w:spacing w:line="240" w:lineRule="auto"/>
        <w:rPr>
          <w:color w:val="000000"/>
          <w:sz w:val="22"/>
          <w:szCs w:val="20"/>
        </w:rPr>
      </w:pPr>
    </w:p>
    <w:p w:rsidR="00C727C2" w:rsidRPr="00C727C2" w:rsidRDefault="00C727C2" w:rsidP="00C727C2">
      <w:pPr>
        <w:spacing w:line="240" w:lineRule="auto"/>
        <w:rPr>
          <w:color w:val="000000"/>
          <w:sz w:val="22"/>
          <w:szCs w:val="20"/>
        </w:rPr>
      </w:pPr>
      <w:r w:rsidRPr="00C727C2">
        <w:rPr>
          <w:color w:val="000000"/>
          <w:sz w:val="22"/>
          <w:szCs w:val="20"/>
        </w:rPr>
        <w:t xml:space="preserve">Victoria has the only facility (GeoCycle) that recovers paints, resins, inks, organic sludges for the purposes of energy recovery. Other jurisdictions are likely to send these wastes to Victoria. </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58" w:name="_Toc425849184"/>
      <w:r w:rsidRPr="00C727C2">
        <w:t>Spent potlining recycling facilities</w:t>
      </w:r>
      <w:bookmarkEnd w:id="458"/>
      <w:r w:rsidRPr="00C727C2">
        <w:t xml:space="preserve"> </w:t>
      </w:r>
    </w:p>
    <w:p w:rsidR="00C727C2" w:rsidRDefault="00C727C2" w:rsidP="00C727C2">
      <w:pPr>
        <w:spacing w:line="240" w:lineRule="auto"/>
        <w:rPr>
          <w:color w:val="000000"/>
          <w:sz w:val="22"/>
          <w:szCs w:val="20"/>
        </w:rPr>
      </w:pPr>
      <w:r w:rsidRPr="00C727C2">
        <w:rPr>
          <w:color w:val="000000"/>
          <w:sz w:val="22"/>
          <w:szCs w:val="20"/>
        </w:rPr>
        <w:t xml:space="preserve">For SPL wastes the current estimated arisings are based on the tonnages of SPL recycled in 2014. Waste tracking system data could not be used because much of the SPL recycling infrastructure is located on aluminium smelting sites (the generation sites) so no tracking data is collected. </w:t>
      </w:r>
      <w:r w:rsidRPr="00C727C2">
        <w:rPr>
          <w:color w:val="000000"/>
          <w:sz w:val="22"/>
          <w:szCs w:val="20"/>
        </w:rPr>
        <w:br/>
      </w:r>
      <w:r w:rsidRPr="00C727C2">
        <w:rPr>
          <w:color w:val="000000"/>
          <w:sz w:val="22"/>
          <w:szCs w:val="20"/>
        </w:rPr>
        <w:br/>
        <w:t>Industry estimates around 900 kt of spent potlining are in storage/stockpiles in NSW and Vic (</w:t>
      </w:r>
      <w:r w:rsidRPr="00C727C2">
        <w:rPr>
          <w:color w:val="080808"/>
          <w:sz w:val="22"/>
        </w:rPr>
        <w:t>sufficient to more than half fill the Melbourne Cricket Ground</w:t>
      </w:r>
      <w:r w:rsidRPr="00C727C2">
        <w:rPr>
          <w:color w:val="000000"/>
          <w:sz w:val="22"/>
          <w:szCs w:val="20"/>
        </w:rPr>
        <w:t xml:space="preserve">. The best and low projection scenarios assume that </w:t>
      </w:r>
      <w:proofErr w:type="gramStart"/>
      <w:r w:rsidRPr="00C727C2">
        <w:rPr>
          <w:color w:val="000000"/>
          <w:sz w:val="22"/>
          <w:szCs w:val="20"/>
        </w:rPr>
        <w:t>these stockpile</w:t>
      </w:r>
      <w:proofErr w:type="gramEnd"/>
      <w:r w:rsidRPr="00C727C2">
        <w:rPr>
          <w:color w:val="000000"/>
          <w:sz w:val="22"/>
          <w:szCs w:val="20"/>
        </w:rPr>
        <w:t xml:space="preserve"> remains </w:t>
      </w:r>
      <w:r w:rsidRPr="00C727C2">
        <w:rPr>
          <w:i/>
          <w:color w:val="000000"/>
          <w:sz w:val="22"/>
          <w:szCs w:val="20"/>
        </w:rPr>
        <w:t>in situ</w:t>
      </w:r>
      <w:r w:rsidRPr="00C727C2">
        <w:rPr>
          <w:color w:val="000000"/>
          <w:sz w:val="22"/>
          <w:szCs w:val="20"/>
        </w:rPr>
        <w:t xml:space="preserve">. Under these scenarios it is estimated that the current SPL recycling infrastructure capacity will not be exceeded over the 20 year projection period. Under the high scenario it is assumed that the SPL stockpile is released over a 10 year period (at a rate of 90kt/yr.) beginning in 2017. </w:t>
      </w:r>
      <w:proofErr w:type="gramStart"/>
      <w:r w:rsidR="002300BE" w:rsidRPr="002300BE">
        <w:rPr>
          <w:color w:val="000000"/>
          <w:sz w:val="22"/>
          <w:szCs w:val="20"/>
          <w:shd w:val="clear" w:color="auto" w:fill="FF0000"/>
        </w:rPr>
        <w:t>CIC.</w:t>
      </w:r>
      <w:proofErr w:type="gramEnd"/>
      <w:r w:rsidR="002300BE">
        <w:rPr>
          <w:color w:val="000000"/>
          <w:sz w:val="22"/>
          <w:szCs w:val="20"/>
        </w:rPr>
        <w:t xml:space="preserve"> </w:t>
      </w:r>
    </w:p>
    <w:p w:rsidR="002300BE" w:rsidRDefault="002300BE" w:rsidP="00C727C2">
      <w:pPr>
        <w:spacing w:line="240" w:lineRule="auto"/>
        <w:rPr>
          <w:color w:val="000000"/>
          <w:sz w:val="22"/>
          <w:szCs w:val="20"/>
        </w:rPr>
      </w:pPr>
    </w:p>
    <w:p w:rsidR="00C727C2" w:rsidRPr="00C727C2" w:rsidRDefault="00C727C2" w:rsidP="00C727C2">
      <w:pPr>
        <w:spacing w:line="240" w:lineRule="auto"/>
        <w:rPr>
          <w:color w:val="080808"/>
          <w:sz w:val="22"/>
        </w:rPr>
      </w:pPr>
      <w:r w:rsidRPr="00C727C2">
        <w:rPr>
          <w:color w:val="080808"/>
          <w:sz w:val="22"/>
        </w:rPr>
        <w:t>The storage of large quantities of spent potlining from aluminium smelting should be a social concern, especially given the recent decline of this industry. The three current operators able to process this waste report sufficient capacity to process the stockpile over a 10-15 year period. A mismatch between demand and capacity could cause inappropriate treatment or demand for exports. A nationally coordinated negotiation with the industry is recommended.</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b/>
          <w:color w:val="080808"/>
          <w:sz w:val="22"/>
        </w:rPr>
      </w:pPr>
      <w:r w:rsidRPr="00C727C2">
        <w:rPr>
          <w:b/>
          <w:color w:val="080808"/>
          <w:sz w:val="22"/>
        </w:rPr>
        <w:t>Recommendation 6:</w:t>
      </w:r>
      <w:r w:rsidRPr="00C727C2">
        <w:rPr>
          <w:color w:val="080808"/>
          <w:sz w:val="22"/>
        </w:rPr>
        <w:t xml:space="preserve"> DoE should consult with the aluminium industry and NSW, Vic, Qld, Tas State Governments to develop a nationally agreed approach to the management of spent potlining stockpiles that ensures their eventual removal and ongoing recovery or treatment.</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59" w:name="_Toc425849185"/>
      <w:r w:rsidRPr="00C727C2">
        <w:t>Organics recycling (NEPM K code wastes) facilities</w:t>
      </w:r>
      <w:bookmarkEnd w:id="459"/>
      <w:r w:rsidRPr="00C727C2">
        <w:t xml:space="preserve"> </w:t>
      </w:r>
    </w:p>
    <w:p w:rsidR="00C727C2" w:rsidRPr="00C727C2" w:rsidRDefault="00C727C2" w:rsidP="00C727C2">
      <w:pPr>
        <w:spacing w:line="240" w:lineRule="auto"/>
        <w:rPr>
          <w:color w:val="080808"/>
          <w:sz w:val="22"/>
          <w:szCs w:val="20"/>
        </w:rPr>
      </w:pPr>
      <w:r w:rsidRPr="00C727C2">
        <w:rPr>
          <w:color w:val="080808"/>
          <w:sz w:val="22"/>
          <w:szCs w:val="20"/>
        </w:rPr>
        <w:t xml:space="preserve">At a national level projections indicate that under all scenarios the current capacity of hazardous waste organics recycling infrastructure (for NEPM K code organics) is being exceeded. This inaccuracy is linked to the very high uncertainty of the capacity assessment. </w:t>
      </w:r>
    </w:p>
    <w:p w:rsidR="00C727C2" w:rsidRPr="00C727C2" w:rsidRDefault="00C727C2" w:rsidP="00C727C2">
      <w:pPr>
        <w:spacing w:line="240" w:lineRule="auto"/>
        <w:rPr>
          <w:color w:val="080808"/>
          <w:sz w:val="22"/>
          <w:szCs w:val="20"/>
        </w:rPr>
      </w:pPr>
    </w:p>
    <w:p w:rsidR="00C727C2" w:rsidRPr="00C727C2" w:rsidRDefault="00C727C2" w:rsidP="00C727C2">
      <w:pPr>
        <w:spacing w:line="240" w:lineRule="auto"/>
        <w:rPr>
          <w:color w:val="080808"/>
          <w:sz w:val="22"/>
          <w:szCs w:val="20"/>
        </w:rPr>
      </w:pPr>
      <w:r w:rsidRPr="00C727C2">
        <w:rPr>
          <w:color w:val="080808"/>
          <w:sz w:val="22"/>
          <w:szCs w:val="20"/>
        </w:rPr>
        <w:t xml:space="preserve">As discussed in Section 4.2, the majority of the arisings of NEPM K code wastes are sent to infrastructure that has limited coverage in the capacity assessment database. To complete a quantitative analysis of projected arisings of NEPM K code organics against infrastructure capacity, extensive data would be required on 'non-hazardous waste infrastructure' that accepts only a relatively small amount of low level hazardous wastes as part of much larger non-hazardous waste volume. </w:t>
      </w:r>
    </w:p>
    <w:p w:rsidR="00C727C2" w:rsidRPr="00C727C2" w:rsidRDefault="00C727C2" w:rsidP="00C727C2">
      <w:pPr>
        <w:spacing w:line="240" w:lineRule="auto"/>
        <w:rPr>
          <w:color w:val="080808"/>
          <w:sz w:val="22"/>
          <w:szCs w:val="20"/>
        </w:rPr>
      </w:pPr>
    </w:p>
    <w:p w:rsidR="00C727C2" w:rsidRPr="00C727C2" w:rsidRDefault="00C727C2" w:rsidP="00C727C2">
      <w:pPr>
        <w:spacing w:line="240" w:lineRule="auto"/>
        <w:rPr>
          <w:color w:val="080808"/>
          <w:sz w:val="22"/>
          <w:szCs w:val="20"/>
        </w:rPr>
      </w:pPr>
      <w:r w:rsidRPr="00C727C2">
        <w:rPr>
          <w:color w:val="080808"/>
          <w:sz w:val="22"/>
          <w:szCs w:val="20"/>
        </w:rPr>
        <w:t>In addition, some smaller operators that specialise in hazardous organic wastes may not be within the infrastructure database due to the diffuse nature of this infrastructure group. Capacity within this group was identified in Vic and NSW only.</w:t>
      </w:r>
      <w:r w:rsidRPr="00C727C2">
        <w:rPr>
          <w:color w:val="080808"/>
          <w:sz w:val="22"/>
          <w:szCs w:val="20"/>
        </w:rPr>
        <w:br/>
      </w:r>
      <w:r w:rsidRPr="00C727C2">
        <w:rPr>
          <w:color w:val="080808"/>
          <w:sz w:val="22"/>
          <w:szCs w:val="20"/>
        </w:rPr>
        <w:br/>
      </w:r>
      <w:r w:rsidRPr="00C727C2">
        <w:rPr>
          <w:color w:val="080808"/>
          <w:sz w:val="22"/>
          <w:szCs w:val="20"/>
        </w:rPr>
        <w:lastRenderedPageBreak/>
        <w:t xml:space="preserve">Based on industry consultation and our assessment of organics recycling infrastructure, no national shortage of capacity in this infrastructure group is considered likely over the next 20 years. </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60" w:name="_Toc425849186"/>
      <w:r w:rsidRPr="00C727C2">
        <w:t>Chemical and physical treatment (CPT) plant facilities</w:t>
      </w:r>
      <w:bookmarkEnd w:id="460"/>
      <w:r w:rsidRPr="00C727C2">
        <w:t xml:space="preserve"> </w:t>
      </w:r>
    </w:p>
    <w:p w:rsidR="00C727C2" w:rsidRPr="00C727C2" w:rsidRDefault="00C727C2" w:rsidP="00C727C2">
      <w:pPr>
        <w:spacing w:line="240" w:lineRule="auto"/>
        <w:rPr>
          <w:color w:val="080808"/>
          <w:sz w:val="22"/>
          <w:lang w:eastAsia="en-AU"/>
        </w:rPr>
      </w:pPr>
      <w:r w:rsidRPr="00C727C2">
        <w:rPr>
          <w:color w:val="080808"/>
          <w:sz w:val="22"/>
          <w:lang w:eastAsia="en-AU"/>
        </w:rPr>
        <w:t>CPT plants are the archetypal hazardous waste facility, treating a range of waste types using a range of processes. Many of these operations are currently suffering from falling demand as manufacturing activity declines.</w:t>
      </w:r>
    </w:p>
    <w:p w:rsidR="00C727C2" w:rsidRPr="00C727C2" w:rsidRDefault="00C727C2" w:rsidP="00C727C2">
      <w:pPr>
        <w:spacing w:line="240" w:lineRule="auto"/>
        <w:rPr>
          <w:color w:val="000000"/>
          <w:sz w:val="22"/>
          <w:szCs w:val="20"/>
        </w:rPr>
      </w:pPr>
    </w:p>
    <w:p w:rsidR="00C727C2" w:rsidRPr="00C727C2" w:rsidRDefault="00C727C2" w:rsidP="00C727C2">
      <w:pPr>
        <w:spacing w:line="240" w:lineRule="auto"/>
        <w:rPr>
          <w:color w:val="000000"/>
          <w:sz w:val="22"/>
          <w:szCs w:val="20"/>
        </w:rPr>
      </w:pPr>
      <w:r w:rsidRPr="00C727C2">
        <w:rPr>
          <w:color w:val="000000"/>
          <w:sz w:val="22"/>
          <w:szCs w:val="20"/>
        </w:rPr>
        <w:t xml:space="preserve">At a national level based on the best and low projections of arisings CPT infrastructure is estimated to be able to meet national demand over the next 20 years. Based on the high projection of arisings CPT national capacity could be exceeded in 2030. For all three scenarios the projections are based on varying degrees of decline in some waste groups, such as </w:t>
      </w:r>
      <w:r w:rsidRPr="00C727C2">
        <w:rPr>
          <w:i/>
          <w:color w:val="000000"/>
          <w:sz w:val="22"/>
          <w:szCs w:val="20"/>
        </w:rPr>
        <w:t>B Acids</w:t>
      </w:r>
      <w:r w:rsidRPr="00C727C2">
        <w:rPr>
          <w:color w:val="000000"/>
          <w:sz w:val="22"/>
          <w:szCs w:val="20"/>
        </w:rPr>
        <w:t xml:space="preserve"> and </w:t>
      </w:r>
      <w:r w:rsidRPr="00C727C2">
        <w:rPr>
          <w:i/>
          <w:color w:val="000000"/>
          <w:sz w:val="22"/>
          <w:szCs w:val="20"/>
        </w:rPr>
        <w:t>E Reactive chemicals</w:t>
      </w:r>
      <w:r w:rsidRPr="00C727C2">
        <w:rPr>
          <w:color w:val="000000"/>
          <w:sz w:val="22"/>
          <w:szCs w:val="20"/>
        </w:rPr>
        <w:t xml:space="preserve">, and growth in other waste groups, such as </w:t>
      </w:r>
      <w:r w:rsidRPr="00C727C2">
        <w:rPr>
          <w:i/>
          <w:color w:val="000000"/>
          <w:sz w:val="22"/>
          <w:szCs w:val="20"/>
        </w:rPr>
        <w:t>D300 Non-toxic salts</w:t>
      </w:r>
      <w:r w:rsidRPr="00C727C2">
        <w:rPr>
          <w:color w:val="000000"/>
          <w:sz w:val="22"/>
          <w:szCs w:val="20"/>
        </w:rPr>
        <w:t xml:space="preserve"> and </w:t>
      </w:r>
      <w:r w:rsidRPr="00C727C2">
        <w:rPr>
          <w:i/>
          <w:color w:val="000000"/>
          <w:sz w:val="22"/>
          <w:szCs w:val="20"/>
        </w:rPr>
        <w:t>C Alkalis</w:t>
      </w:r>
      <w:r w:rsidRPr="00C727C2">
        <w:rPr>
          <w:color w:val="000000"/>
          <w:sz w:val="22"/>
          <w:szCs w:val="20"/>
        </w:rPr>
        <w:t xml:space="preserve"> that are projected to increase driven by the oil and gas (CSG) industry developments. </w:t>
      </w:r>
    </w:p>
    <w:p w:rsidR="00C727C2" w:rsidRPr="00C727C2" w:rsidRDefault="00C727C2" w:rsidP="00C727C2">
      <w:pPr>
        <w:spacing w:line="240" w:lineRule="auto"/>
        <w:rPr>
          <w:color w:val="000000"/>
          <w:sz w:val="22"/>
          <w:szCs w:val="20"/>
        </w:rPr>
      </w:pPr>
      <w:r w:rsidRPr="00C727C2">
        <w:rPr>
          <w:color w:val="000000"/>
          <w:sz w:val="22"/>
          <w:szCs w:val="20"/>
        </w:rPr>
        <w:br/>
        <w:t>The infrastructure capacity assessment for this group has moderate uncertainty due mainly to the overlapping capacity with other infrastructure groups, such as solvents/paints recycling and transfer station or temporary storage, resulting in a likely overestimate of capacity. Offsetting this is uncertainty about the amount of CSG industry wastes that will actually leave the development site and be sent to CPT facilities.</w:t>
      </w:r>
    </w:p>
    <w:p w:rsidR="00C727C2" w:rsidRPr="00C727C2" w:rsidRDefault="00C727C2" w:rsidP="00C727C2">
      <w:pPr>
        <w:spacing w:line="240" w:lineRule="auto"/>
        <w:rPr>
          <w:color w:val="080808"/>
          <w:sz w:val="22"/>
          <w:lang w:eastAsia="en-AU"/>
        </w:rPr>
      </w:pPr>
    </w:p>
    <w:p w:rsidR="00C727C2" w:rsidRPr="00C727C2" w:rsidRDefault="00C727C2" w:rsidP="00C727C2">
      <w:pPr>
        <w:spacing w:line="240" w:lineRule="auto"/>
        <w:rPr>
          <w:color w:val="080808"/>
          <w:sz w:val="22"/>
          <w:lang w:eastAsia="en-AU"/>
        </w:rPr>
      </w:pPr>
      <w:r w:rsidRPr="00C727C2">
        <w:rPr>
          <w:color w:val="080808"/>
          <w:sz w:val="22"/>
          <w:lang w:eastAsia="en-AU"/>
        </w:rPr>
        <w:t>Whilst modelling suggests that current capacity is adequate nationally over the projection period, demand for processing wastes such as non-toxic salts and alkalis is likely to increase with activity in the mining and oil and gas industries. Some relocation of processing capacity and expertise is likely to be needed shifting CPT capacity from the traditional heavy industry hubs located close to capital cities and ports to the more remote locations of oil, CSG and other mining operations.</w:t>
      </w:r>
    </w:p>
    <w:p w:rsidR="00C727C2" w:rsidRPr="00C727C2" w:rsidRDefault="00C727C2" w:rsidP="00C727C2">
      <w:pPr>
        <w:spacing w:line="240" w:lineRule="auto"/>
        <w:rPr>
          <w:color w:val="080808"/>
          <w:sz w:val="22"/>
          <w:lang w:eastAsia="en-AU"/>
        </w:rPr>
      </w:pPr>
    </w:p>
    <w:p w:rsidR="00C727C2" w:rsidRPr="00C727C2" w:rsidRDefault="00C727C2" w:rsidP="00C727C2">
      <w:pPr>
        <w:spacing w:line="240" w:lineRule="auto"/>
        <w:rPr>
          <w:color w:val="080808"/>
          <w:sz w:val="22"/>
        </w:rPr>
      </w:pPr>
      <w:r w:rsidRPr="00C727C2">
        <w:rPr>
          <w:color w:val="080808"/>
          <w:sz w:val="22"/>
          <w:lang w:eastAsia="en-AU"/>
        </w:rPr>
        <w:t xml:space="preserve">In the best estimate, current capacity in Qld would be fully subscribed by </w:t>
      </w:r>
      <w:proofErr w:type="gramStart"/>
      <w:r w:rsidRPr="00C727C2">
        <w:rPr>
          <w:color w:val="080808"/>
          <w:sz w:val="22"/>
          <w:lang w:eastAsia="en-AU"/>
        </w:rPr>
        <w:t>2025,</w:t>
      </w:r>
      <w:proofErr w:type="gramEnd"/>
      <w:r w:rsidRPr="00C727C2">
        <w:rPr>
          <w:color w:val="080808"/>
          <w:sz w:val="22"/>
          <w:lang w:eastAsia="en-AU"/>
        </w:rPr>
        <w:t xml:space="preserve"> or 2022 if mining industry wastes grow strongly. Qld also appears to have a particular need for processing infrastructure for CSG </w:t>
      </w:r>
      <w:r w:rsidRPr="00C727C2">
        <w:rPr>
          <w:color w:val="080808"/>
          <w:sz w:val="22"/>
        </w:rPr>
        <w:t xml:space="preserve">industry wastes, preferably in the location of these operations. </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color w:val="080808"/>
          <w:sz w:val="22"/>
        </w:rPr>
        <w:t xml:space="preserve">The ACT, NT, SA could have an undersupply of local CPT capacity. This assessment is based on the national average percentages of waste sent to CPT, and is therefore uncertain. It is likely that wastes are being exported to Vic and NSW from these jurisdictions. </w:t>
      </w:r>
    </w:p>
    <w:p w:rsidR="00C727C2" w:rsidRPr="00C727C2" w:rsidRDefault="00C727C2" w:rsidP="00C727C2">
      <w:pPr>
        <w:spacing w:line="240" w:lineRule="auto"/>
        <w:rPr>
          <w:color w:val="080808"/>
          <w:sz w:val="22"/>
          <w:lang w:eastAsia="en-AU"/>
        </w:rPr>
      </w:pPr>
    </w:p>
    <w:p w:rsidR="00C727C2" w:rsidRPr="00C727C2" w:rsidRDefault="00C727C2" w:rsidP="00C727C2">
      <w:pPr>
        <w:spacing w:line="240" w:lineRule="auto"/>
        <w:rPr>
          <w:color w:val="080808"/>
          <w:sz w:val="22"/>
        </w:rPr>
      </w:pPr>
      <w:proofErr w:type="gramStart"/>
      <w:r w:rsidRPr="00C727C2">
        <w:rPr>
          <w:color w:val="080808"/>
          <w:sz w:val="22"/>
        </w:rPr>
        <w:t>Tas</w:t>
      </w:r>
      <w:proofErr w:type="gramEnd"/>
      <w:r w:rsidRPr="00C727C2">
        <w:rPr>
          <w:color w:val="080808"/>
          <w:sz w:val="22"/>
        </w:rPr>
        <w:t xml:space="preserve">, in particular, appears to have a shortage of CPT capacity. Again, this is based on the national average of the percentage of wastes sent to CPT for treatment. However, with </w:t>
      </w:r>
      <w:r w:rsidR="002300BE" w:rsidRPr="002300BE">
        <w:rPr>
          <w:color w:val="080808"/>
          <w:sz w:val="22"/>
          <w:shd w:val="clear" w:color="auto" w:fill="FF0000"/>
        </w:rPr>
        <w:t>CIC</w:t>
      </w:r>
      <w:r w:rsidRPr="00E97D4C">
        <w:rPr>
          <w:color w:val="FF0000"/>
          <w:sz w:val="22"/>
        </w:rPr>
        <w:t xml:space="preserve"> </w:t>
      </w:r>
      <w:r w:rsidRPr="00C727C2">
        <w:rPr>
          <w:color w:val="080808"/>
          <w:sz w:val="22"/>
        </w:rPr>
        <w:t xml:space="preserve">of CPT capacity identified, estimated arisings of 68kt, and recorded exports to the mainland in 2012/13 data of 12 </w:t>
      </w:r>
      <w:proofErr w:type="gramStart"/>
      <w:r w:rsidRPr="00C727C2">
        <w:rPr>
          <w:color w:val="080808"/>
          <w:sz w:val="22"/>
        </w:rPr>
        <w:t>kt,</w:t>
      </w:r>
      <w:proofErr w:type="gramEnd"/>
      <w:r w:rsidRPr="00C727C2">
        <w:rPr>
          <w:color w:val="080808"/>
          <w:sz w:val="22"/>
        </w:rPr>
        <w:t xml:space="preserve"> are evidence that Tas needs additional CPT capacity. </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b/>
          <w:color w:val="080808"/>
          <w:sz w:val="22"/>
        </w:rPr>
        <w:t xml:space="preserve">Recommendation 7: </w:t>
      </w:r>
      <w:r w:rsidRPr="00C727C2">
        <w:rPr>
          <w:color w:val="080808"/>
          <w:sz w:val="22"/>
        </w:rPr>
        <w:t>DoE and/or NSW and Qld EPAs should consult with the coal seam gas industry to develop a strategic plan for managing its wastes, including an evaluation of local chemical and physical treatment infrastructure vs transport to existing urban sites.</w:t>
      </w:r>
    </w:p>
    <w:p w:rsidR="00C727C2" w:rsidRPr="00C727C2" w:rsidRDefault="00C727C2" w:rsidP="00C727C2">
      <w:pPr>
        <w:spacing w:line="240" w:lineRule="auto"/>
        <w:rPr>
          <w:b/>
          <w:color w:val="080808"/>
          <w:sz w:val="22"/>
        </w:rPr>
      </w:pPr>
    </w:p>
    <w:p w:rsidR="00C727C2" w:rsidRPr="00C727C2" w:rsidRDefault="00C727C2" w:rsidP="00C727C2">
      <w:pPr>
        <w:spacing w:line="240" w:lineRule="auto"/>
        <w:rPr>
          <w:color w:val="080808"/>
          <w:sz w:val="22"/>
        </w:rPr>
      </w:pPr>
      <w:r w:rsidRPr="00C727C2">
        <w:rPr>
          <w:b/>
          <w:color w:val="080808"/>
          <w:sz w:val="22"/>
        </w:rPr>
        <w:t xml:space="preserve">Recommendation 8: </w:t>
      </w:r>
      <w:r w:rsidRPr="00C727C2">
        <w:rPr>
          <w:color w:val="080808"/>
          <w:sz w:val="22"/>
        </w:rPr>
        <w:t>DoE and/or Tas EPA should further investigate the supply of chemical and physical treatment capacity for hazardous waste in Tasmania.</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61" w:name="_Toc425849187"/>
      <w:r w:rsidRPr="00C727C2">
        <w:t>Clinical waste treatment facilities</w:t>
      </w:r>
      <w:bookmarkEnd w:id="461"/>
      <w:r w:rsidRPr="00C727C2">
        <w:t xml:space="preserve"> </w:t>
      </w:r>
    </w:p>
    <w:p w:rsidR="00C727C2" w:rsidRPr="00C727C2" w:rsidRDefault="00C727C2" w:rsidP="00C727C2">
      <w:pPr>
        <w:spacing w:line="240" w:lineRule="auto"/>
        <w:rPr>
          <w:color w:val="080808"/>
          <w:sz w:val="22"/>
        </w:rPr>
      </w:pPr>
      <w:r w:rsidRPr="00C727C2">
        <w:rPr>
          <w:color w:val="080808"/>
          <w:sz w:val="22"/>
        </w:rPr>
        <w:t xml:space="preserve">Based on the current industry projection of arisings increasing at the rate 1.9% per annum and the potential capacity of clinical waste treatment – capacity could be exceeded by 2026. Based on the high </w:t>
      </w:r>
      <w:r w:rsidRPr="00C727C2">
        <w:rPr>
          <w:color w:val="080808"/>
          <w:sz w:val="22"/>
        </w:rPr>
        <w:lastRenderedPageBreak/>
        <w:t xml:space="preserve">projection, where arisings increase at 3.9% per annum, national capacity could be exceeded in 2020. Under the low scenario where growth is below the current industry projection (-0.1% per annum) national capacity is projected to meet demand over the next 20 years. </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color w:val="080808"/>
          <w:sz w:val="22"/>
        </w:rPr>
        <w:t xml:space="preserve">The infrastructure capacity assessment for this group has high uncertainty due to a poor response rate from industry and capacity overlap with the thermal destruction infrastructure (resulting in a likely under estimate of the infrastructure group capacity). </w:t>
      </w:r>
    </w:p>
    <w:p w:rsidR="00C727C2" w:rsidRPr="00C727C2" w:rsidRDefault="00C727C2" w:rsidP="00C727C2">
      <w:pPr>
        <w:spacing w:line="240" w:lineRule="auto"/>
        <w:rPr>
          <w:color w:val="080808"/>
          <w:sz w:val="22"/>
        </w:rPr>
      </w:pPr>
      <w:r w:rsidRPr="00C727C2">
        <w:rPr>
          <w:color w:val="080808"/>
          <w:sz w:val="22"/>
        </w:rPr>
        <w:tab/>
      </w:r>
    </w:p>
    <w:p w:rsidR="00C727C2" w:rsidRPr="00C727C2" w:rsidRDefault="00C727C2" w:rsidP="00C727C2">
      <w:pPr>
        <w:spacing w:line="240" w:lineRule="auto"/>
        <w:rPr>
          <w:color w:val="080808"/>
          <w:sz w:val="22"/>
        </w:rPr>
      </w:pPr>
      <w:r w:rsidRPr="00C727C2">
        <w:rPr>
          <w:color w:val="080808"/>
          <w:sz w:val="22"/>
        </w:rPr>
        <w:t xml:space="preserve">ACT, NT, SA, Vic, and WA all appear to have sufficient clinical waste treatment capacity. NSW, Qld, and </w:t>
      </w:r>
      <w:proofErr w:type="gramStart"/>
      <w:r w:rsidRPr="00C727C2">
        <w:rPr>
          <w:color w:val="080808"/>
          <w:sz w:val="22"/>
        </w:rPr>
        <w:t>Tas</w:t>
      </w:r>
      <w:proofErr w:type="gramEnd"/>
      <w:r w:rsidRPr="00C727C2">
        <w:rPr>
          <w:color w:val="080808"/>
          <w:sz w:val="22"/>
        </w:rPr>
        <w:t xml:space="preserve"> all appear to have insufficient local supply of clinical waste treatment capacity and are likely to be exporting significant quantities interstate.</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62" w:name="_Toc425849188"/>
      <w:r w:rsidRPr="00C727C2">
        <w:t>Contaminated soils treatment facilities</w:t>
      </w:r>
      <w:bookmarkEnd w:id="462"/>
      <w:r w:rsidRPr="00C727C2">
        <w:t xml:space="preserve"> </w:t>
      </w:r>
    </w:p>
    <w:p w:rsidR="00C727C2" w:rsidRPr="00C727C2" w:rsidRDefault="00C727C2" w:rsidP="00C727C2">
      <w:pPr>
        <w:spacing w:line="240" w:lineRule="auto"/>
        <w:rPr>
          <w:color w:val="000000"/>
          <w:sz w:val="22"/>
          <w:szCs w:val="20"/>
        </w:rPr>
      </w:pPr>
      <w:r w:rsidRPr="00C727C2">
        <w:rPr>
          <w:color w:val="000000"/>
          <w:sz w:val="22"/>
          <w:szCs w:val="20"/>
        </w:rPr>
        <w:t xml:space="preserve">Analysis indicates that under all scenarios over the next 20 years the potential capacity of Australia's current and planned contaminated soils treatment infrastructure will be able to treat waste arisings. </w:t>
      </w:r>
    </w:p>
    <w:p w:rsidR="00C727C2" w:rsidRPr="00C727C2" w:rsidRDefault="00C727C2" w:rsidP="00C727C2">
      <w:pPr>
        <w:spacing w:line="240" w:lineRule="auto"/>
        <w:rPr>
          <w:color w:val="000000"/>
          <w:sz w:val="22"/>
          <w:szCs w:val="20"/>
        </w:rPr>
      </w:pPr>
    </w:p>
    <w:p w:rsidR="00C727C2" w:rsidRPr="00C727C2" w:rsidRDefault="00C727C2" w:rsidP="00C727C2">
      <w:pPr>
        <w:spacing w:line="240" w:lineRule="auto"/>
        <w:rPr>
          <w:color w:val="000000"/>
          <w:sz w:val="22"/>
          <w:szCs w:val="20"/>
        </w:rPr>
      </w:pPr>
      <w:r w:rsidRPr="00C727C2">
        <w:rPr>
          <w:color w:val="000000"/>
          <w:sz w:val="22"/>
          <w:szCs w:val="20"/>
        </w:rPr>
        <w:t>Importantly, these estimates assume no change to the current fate patterns of contaminated soil, which, based solely on Victorian data, is estimated to be 89% landfill. If the treatment proportions are higher in other jurisdictions, the above assessment of no national capacity constraints would be affected.</w:t>
      </w:r>
      <w:r w:rsidRPr="00C727C2">
        <w:rPr>
          <w:color w:val="000000"/>
          <w:sz w:val="22"/>
          <w:szCs w:val="20"/>
        </w:rPr>
        <w:br/>
      </w:r>
      <w:r w:rsidRPr="00C727C2">
        <w:rPr>
          <w:color w:val="000000"/>
          <w:sz w:val="22"/>
          <w:szCs w:val="20"/>
        </w:rPr>
        <w:br/>
        <w:t xml:space="preserve">The infrastructure capacity </w:t>
      </w:r>
      <w:proofErr w:type="gramStart"/>
      <w:r w:rsidRPr="00C727C2">
        <w:rPr>
          <w:color w:val="000000"/>
          <w:sz w:val="22"/>
          <w:szCs w:val="20"/>
        </w:rPr>
        <w:t>assessment for this group has moderate uncertainty due to a moderate response rate during consultation, capacity overlap with POPs thermal destruction infrastructure, and diffuse</w:t>
      </w:r>
      <w:proofErr w:type="gramEnd"/>
      <w:r w:rsidRPr="00C727C2">
        <w:rPr>
          <w:color w:val="000000"/>
          <w:sz w:val="22"/>
          <w:szCs w:val="20"/>
        </w:rPr>
        <w:t xml:space="preserve"> soil treatment technologies including some 'mobile' capacity. One soil treatment facility was identified in Qld, NSW, WA, and Vic in the capacity database. Given the range of treatment technologies/techniques for contaminated soils treatment this number appears low. </w:t>
      </w:r>
    </w:p>
    <w:p w:rsidR="00C727C2" w:rsidRPr="00C727C2" w:rsidRDefault="00C727C2" w:rsidP="00C727C2">
      <w:pPr>
        <w:spacing w:line="240" w:lineRule="auto"/>
        <w:rPr>
          <w:color w:val="000000"/>
          <w:sz w:val="22"/>
          <w:szCs w:val="20"/>
        </w:rPr>
      </w:pPr>
    </w:p>
    <w:p w:rsidR="00C727C2" w:rsidRPr="00C727C2" w:rsidRDefault="00C727C2" w:rsidP="00C727C2">
      <w:pPr>
        <w:pStyle w:val="Heading2"/>
      </w:pPr>
      <w:bookmarkStart w:id="463" w:name="_Toc425849189"/>
      <w:r w:rsidRPr="00C727C2">
        <w:t>Hazardous waste landfill facilities</w:t>
      </w:r>
      <w:bookmarkEnd w:id="463"/>
      <w:r w:rsidRPr="00C727C2">
        <w:t xml:space="preserve"> </w:t>
      </w:r>
    </w:p>
    <w:p w:rsidR="00C727C2" w:rsidRPr="00C727C2" w:rsidRDefault="00C727C2" w:rsidP="00C727C2">
      <w:pPr>
        <w:spacing w:line="240" w:lineRule="auto"/>
        <w:rPr>
          <w:color w:val="080808"/>
          <w:sz w:val="22"/>
          <w:lang w:eastAsia="en-AU"/>
        </w:rPr>
      </w:pPr>
      <w:r w:rsidRPr="00C727C2">
        <w:rPr>
          <w:color w:val="080808"/>
          <w:sz w:val="22"/>
          <w:lang w:eastAsia="en-AU"/>
        </w:rPr>
        <w:t xml:space="preserve">This project capacity assessment examined hazardous waste landfills capacity to accept annual arisings of wastes – this differs from the usual measure of landfill capacity, which refers to total available airspace. Landfills may be constrained in relation to the rate at which waste is accepted, for example due to limitations of specialist cells, traffic management, licence limits. These constraints are not common and are understood not to be an issue for the sites included in this group.  </w:t>
      </w:r>
    </w:p>
    <w:p w:rsidR="00C727C2" w:rsidRPr="00C727C2" w:rsidRDefault="00C727C2" w:rsidP="00C727C2">
      <w:pPr>
        <w:spacing w:line="240" w:lineRule="auto"/>
        <w:rPr>
          <w:color w:val="080808"/>
          <w:sz w:val="22"/>
          <w:lang w:eastAsia="en-AU"/>
        </w:rPr>
      </w:pPr>
    </w:p>
    <w:p w:rsidR="00C727C2" w:rsidRPr="00C727C2" w:rsidRDefault="00C727C2" w:rsidP="00C727C2">
      <w:pPr>
        <w:spacing w:line="240" w:lineRule="auto"/>
        <w:rPr>
          <w:color w:val="080808"/>
          <w:sz w:val="22"/>
          <w:lang w:eastAsia="en-AU"/>
        </w:rPr>
      </w:pPr>
      <w:r w:rsidRPr="00C727C2">
        <w:rPr>
          <w:color w:val="080808"/>
          <w:sz w:val="22"/>
          <w:lang w:eastAsia="en-AU"/>
        </w:rPr>
        <w:t xml:space="preserve">The seven hazardous waste landfills surveyed for this project reported an annual capacity that modelling indicates is constrained under all scenarios. For all three scenarios, declines are projected for some waste groups, such as </w:t>
      </w:r>
      <w:r w:rsidRPr="00C727C2">
        <w:rPr>
          <w:i/>
          <w:color w:val="080808"/>
          <w:sz w:val="22"/>
          <w:lang w:eastAsia="en-AU"/>
        </w:rPr>
        <w:t>B Acids</w:t>
      </w:r>
      <w:r w:rsidRPr="00C727C2">
        <w:rPr>
          <w:color w:val="080808"/>
          <w:sz w:val="22"/>
          <w:lang w:eastAsia="en-AU"/>
        </w:rPr>
        <w:t xml:space="preserve"> and </w:t>
      </w:r>
      <w:r w:rsidRPr="00C727C2">
        <w:rPr>
          <w:i/>
          <w:color w:val="080808"/>
          <w:sz w:val="22"/>
          <w:lang w:eastAsia="en-AU"/>
        </w:rPr>
        <w:t>E Reactive chemicals</w:t>
      </w:r>
      <w:r w:rsidRPr="00C727C2">
        <w:rPr>
          <w:color w:val="080808"/>
          <w:sz w:val="22"/>
          <w:lang w:eastAsia="en-AU"/>
        </w:rPr>
        <w:t xml:space="preserve">, and growth in other waste groups, such as </w:t>
      </w:r>
      <w:r w:rsidRPr="00C727C2">
        <w:rPr>
          <w:i/>
          <w:color w:val="080808"/>
          <w:sz w:val="22"/>
          <w:lang w:eastAsia="en-AU"/>
        </w:rPr>
        <w:t>D300 Non-toxic salts</w:t>
      </w:r>
      <w:r w:rsidRPr="00C727C2">
        <w:rPr>
          <w:color w:val="080808"/>
          <w:sz w:val="22"/>
          <w:lang w:eastAsia="en-AU"/>
        </w:rPr>
        <w:t xml:space="preserve"> and </w:t>
      </w:r>
      <w:r w:rsidRPr="00C727C2">
        <w:rPr>
          <w:i/>
          <w:color w:val="080808"/>
          <w:sz w:val="22"/>
          <w:lang w:eastAsia="en-AU"/>
        </w:rPr>
        <w:t>C Alkalis</w:t>
      </w:r>
      <w:r w:rsidRPr="00C727C2">
        <w:rPr>
          <w:color w:val="080808"/>
          <w:sz w:val="22"/>
          <w:lang w:eastAsia="en-AU"/>
        </w:rPr>
        <w:t xml:space="preserve"> that are projected to increase driven by the Oil and Gas (GSG) industry developments. We believe the modelling assessment for this infrastructure group is incorrect. The response rate from site operators was only 43%, meaning infrastructure group averages were used, and generally the responses provided data only on wastes currently received with little information on the potential annual acceptance rate. This is understandable as, unlike other infrastructure types, landfills are usually able to cater to varying capacity demands (within reason) and a site’s potential annual capacity can be difficult to define.</w:t>
      </w:r>
    </w:p>
    <w:p w:rsidR="00C727C2" w:rsidRPr="00C727C2" w:rsidRDefault="00C727C2" w:rsidP="00C727C2">
      <w:pPr>
        <w:spacing w:line="240" w:lineRule="auto"/>
        <w:rPr>
          <w:color w:val="080808"/>
          <w:sz w:val="22"/>
          <w:lang w:eastAsia="en-AU"/>
        </w:rPr>
      </w:pPr>
    </w:p>
    <w:p w:rsidR="00C727C2" w:rsidRPr="00C727C2" w:rsidRDefault="00C727C2" w:rsidP="00C727C2">
      <w:pPr>
        <w:spacing w:line="240" w:lineRule="auto"/>
        <w:rPr>
          <w:color w:val="080808"/>
          <w:sz w:val="22"/>
          <w:lang w:eastAsia="en-AU"/>
        </w:rPr>
      </w:pPr>
      <w:r w:rsidRPr="00C727C2">
        <w:rPr>
          <w:color w:val="080808"/>
          <w:sz w:val="22"/>
          <w:lang w:eastAsia="en-AU"/>
        </w:rPr>
        <w:t xml:space="preserve">Recognising the limitations of the capacity assessment modelling for landfills, operators were also queried about total airspace availability. The responses suggested no impending capacity constraints in jurisdictions that have a hazardous waste landfill (all jurisdictions except SA and Act). However, in most jurisdictions a single dedicated hazardous waste landfill accepts the majority of waste types (other than low level contaminated soils, asbestos and tyres). </w:t>
      </w:r>
    </w:p>
    <w:p w:rsidR="00C727C2" w:rsidRPr="00C727C2" w:rsidRDefault="00C727C2" w:rsidP="00C727C2">
      <w:pPr>
        <w:spacing w:line="240" w:lineRule="auto"/>
        <w:rPr>
          <w:color w:val="080808"/>
          <w:sz w:val="22"/>
          <w:lang w:eastAsia="en-AU"/>
        </w:rPr>
      </w:pPr>
    </w:p>
    <w:p w:rsidR="00C727C2" w:rsidRPr="00C727C2" w:rsidRDefault="00C727C2" w:rsidP="00C727C2">
      <w:pPr>
        <w:spacing w:line="240" w:lineRule="auto"/>
        <w:rPr>
          <w:color w:val="080808"/>
          <w:sz w:val="22"/>
          <w:lang w:eastAsia="en-AU"/>
        </w:rPr>
      </w:pPr>
      <w:r w:rsidRPr="00C727C2">
        <w:rPr>
          <w:color w:val="080808"/>
          <w:sz w:val="22"/>
          <w:lang w:eastAsia="en-AU"/>
        </w:rPr>
        <w:lastRenderedPageBreak/>
        <w:t>SA may need to establish a hazardous waste landfill or transport wastes significant distances. Industry representatives raised concerns about the transport distances for hazardous waste disposal and commented on this issue for WA in particular, suggesting additional sites or appropriate transfer facilities are required there.</w:t>
      </w:r>
    </w:p>
    <w:p w:rsidR="00C727C2" w:rsidRPr="00C727C2" w:rsidRDefault="00C727C2" w:rsidP="00C727C2">
      <w:pPr>
        <w:spacing w:line="240" w:lineRule="auto"/>
        <w:rPr>
          <w:color w:val="080808"/>
          <w:sz w:val="22"/>
          <w:lang w:eastAsia="en-AU"/>
        </w:rPr>
      </w:pPr>
    </w:p>
    <w:p w:rsidR="00C727C2" w:rsidRPr="00C727C2" w:rsidRDefault="00C727C2" w:rsidP="00C727C2">
      <w:pPr>
        <w:spacing w:line="240" w:lineRule="auto"/>
        <w:rPr>
          <w:color w:val="080808"/>
          <w:sz w:val="22"/>
          <w:lang w:eastAsia="en-AU"/>
        </w:rPr>
      </w:pPr>
      <w:r w:rsidRPr="00C727C2">
        <w:rPr>
          <w:color w:val="080808"/>
          <w:sz w:val="22"/>
          <w:lang w:eastAsia="en-AU"/>
        </w:rPr>
        <w:t xml:space="preserve">The capacity of Australia’s hazardous waste landfills could be impacted by ‘new’ hazardous waste arisings that need to be sent to these specialist landfills. Increases in landfilling capacity requirements from </w:t>
      </w:r>
      <w:r w:rsidRPr="00C727C2">
        <w:rPr>
          <w:color w:val="000000"/>
          <w:sz w:val="22"/>
          <w:szCs w:val="20"/>
        </w:rPr>
        <w:t xml:space="preserve">CSG </w:t>
      </w:r>
      <w:r w:rsidRPr="00C727C2">
        <w:rPr>
          <w:color w:val="080808"/>
          <w:sz w:val="22"/>
          <w:lang w:eastAsia="en-AU"/>
        </w:rPr>
        <w:t>wastes, fly ash from energy from waste operations, and potentially POPs contaminated wastes (that are not sent for thermal destruction as assumed in this assessment) need to be considered in future planning for hazardous waste landfill capacity.</w:t>
      </w:r>
    </w:p>
    <w:p w:rsidR="00C727C2" w:rsidRPr="00C727C2" w:rsidRDefault="00C727C2" w:rsidP="00C727C2">
      <w:pPr>
        <w:spacing w:line="240" w:lineRule="auto"/>
        <w:rPr>
          <w:color w:val="080808"/>
          <w:sz w:val="22"/>
          <w:lang w:eastAsia="en-AU"/>
        </w:rPr>
      </w:pPr>
    </w:p>
    <w:p w:rsidR="00C727C2" w:rsidRPr="00C727C2" w:rsidRDefault="00C727C2" w:rsidP="00C727C2">
      <w:pPr>
        <w:spacing w:line="240" w:lineRule="auto"/>
        <w:rPr>
          <w:color w:val="080808"/>
          <w:sz w:val="22"/>
          <w:lang w:eastAsia="en-AU"/>
        </w:rPr>
      </w:pPr>
      <w:r w:rsidRPr="00C727C2">
        <w:rPr>
          <w:color w:val="080808"/>
          <w:sz w:val="22"/>
          <w:lang w:eastAsia="en-AU"/>
        </w:rPr>
        <w:t>In addition to the above, given the significant time required and the political difficulty in establishing a new hazardous waste landfill, the risks associated with extreme weather events causing surges of hazardous waste quantities, or risks of legal challenges – it is recommended that DoE liaise with the jurisdictions about the risk profiles and anticipated closure dates of their specialist hazardous waste landfills.</w:t>
      </w:r>
    </w:p>
    <w:p w:rsidR="00C727C2" w:rsidRPr="00C727C2" w:rsidRDefault="00C727C2" w:rsidP="00C727C2">
      <w:pPr>
        <w:spacing w:line="240" w:lineRule="auto"/>
        <w:rPr>
          <w:color w:val="080808"/>
          <w:sz w:val="22"/>
          <w:lang w:eastAsia="en-AU"/>
        </w:rPr>
      </w:pPr>
    </w:p>
    <w:p w:rsidR="00C727C2" w:rsidRPr="00C727C2" w:rsidRDefault="00C727C2" w:rsidP="00C727C2">
      <w:pPr>
        <w:spacing w:line="240" w:lineRule="auto"/>
        <w:rPr>
          <w:color w:val="080808"/>
          <w:sz w:val="22"/>
          <w:lang w:eastAsia="en-AU"/>
        </w:rPr>
      </w:pPr>
      <w:r w:rsidRPr="00C727C2">
        <w:rPr>
          <w:b/>
          <w:color w:val="080808"/>
          <w:sz w:val="22"/>
          <w:lang w:eastAsia="en-AU"/>
        </w:rPr>
        <w:t xml:space="preserve">Recommendation 9: </w:t>
      </w:r>
      <w:r w:rsidRPr="00C727C2">
        <w:rPr>
          <w:color w:val="080808"/>
          <w:sz w:val="22"/>
          <w:lang w:eastAsia="en-AU"/>
        </w:rPr>
        <w:t xml:space="preserve">DoE should work with the jurisdictions to assess the likely closure year of hazardous waste landfill facilities and examine the risk that these sites’ capacities may be affected by issues such as extreme weather events and ‘new’ hazardous waste arisings. </w:t>
      </w:r>
    </w:p>
    <w:p w:rsidR="00C727C2" w:rsidRPr="00C727C2" w:rsidRDefault="00C727C2" w:rsidP="00C727C2">
      <w:pPr>
        <w:spacing w:line="240" w:lineRule="auto"/>
        <w:rPr>
          <w:color w:val="080808"/>
          <w:sz w:val="22"/>
          <w:lang w:eastAsia="en-AU"/>
        </w:rPr>
      </w:pPr>
    </w:p>
    <w:p w:rsidR="00C727C2" w:rsidRPr="00C727C2" w:rsidRDefault="00C727C2" w:rsidP="00C727C2">
      <w:pPr>
        <w:pStyle w:val="Heading2"/>
      </w:pPr>
      <w:bookmarkStart w:id="464" w:name="_Toc425849190"/>
      <w:r w:rsidRPr="00C727C2">
        <w:t>Landfill facilities (NEPM code N, T)</w:t>
      </w:r>
      <w:bookmarkEnd w:id="464"/>
    </w:p>
    <w:p w:rsidR="00C727C2" w:rsidRPr="00C727C2" w:rsidRDefault="00C727C2" w:rsidP="00C727C2">
      <w:pPr>
        <w:spacing w:line="240" w:lineRule="auto"/>
        <w:rPr>
          <w:color w:val="080808"/>
          <w:sz w:val="22"/>
          <w:szCs w:val="20"/>
        </w:rPr>
      </w:pPr>
      <w:r w:rsidRPr="00C727C2">
        <w:rPr>
          <w:color w:val="080808"/>
          <w:sz w:val="22"/>
          <w:szCs w:val="20"/>
        </w:rPr>
        <w:t>This infrastructure group is not in the scope of hazardous waste database (see Section 3.2) and a quantitative assessment of arisings vs capacity is not possible. To complete a quantitative analysis of projected arisings of NEPM code N and T wastes versus licensed infrastructure capacity would require a significant expansion of the scope of the hazardous waste capacity database to cover 'non-hazardous waste infrastructure' accepting only a relatively small amount of low level hazardous wastes as part of much larger non-hazardous waste volume.</w:t>
      </w:r>
      <w:r w:rsidRPr="00C727C2">
        <w:rPr>
          <w:color w:val="080808"/>
          <w:sz w:val="22"/>
          <w:szCs w:val="20"/>
        </w:rPr>
        <w:br/>
      </w:r>
      <w:r w:rsidRPr="00C727C2">
        <w:rPr>
          <w:color w:val="080808"/>
          <w:sz w:val="22"/>
          <w:szCs w:val="20"/>
        </w:rPr>
        <w:br/>
        <w:t xml:space="preserve">General or municipal waste landfills are often also able to landfill low level contaminated soil, asbestos, and tyres. In Victoria tyres can be disposed to any landfill as long as they are shredded first. This is understood to be the case nation-wide. </w:t>
      </w:r>
    </w:p>
    <w:p w:rsidR="00C727C2" w:rsidRPr="00C727C2" w:rsidRDefault="00C727C2" w:rsidP="00C727C2">
      <w:pPr>
        <w:spacing w:line="240" w:lineRule="auto"/>
        <w:rPr>
          <w:color w:val="080808"/>
          <w:sz w:val="22"/>
          <w:szCs w:val="20"/>
        </w:rPr>
      </w:pPr>
    </w:p>
    <w:p w:rsidR="00C727C2" w:rsidRPr="00C727C2" w:rsidRDefault="00C727C2" w:rsidP="00C727C2">
      <w:pPr>
        <w:spacing w:line="240" w:lineRule="auto"/>
        <w:rPr>
          <w:color w:val="080808"/>
          <w:sz w:val="22"/>
          <w:szCs w:val="20"/>
        </w:rPr>
      </w:pPr>
      <w:r w:rsidRPr="00C727C2">
        <w:rPr>
          <w:color w:val="080808"/>
          <w:sz w:val="22"/>
          <w:szCs w:val="20"/>
        </w:rPr>
        <w:t>Whilst this infrastructure group is not clearly defined as ‘hazardous waste infrastructure’ the capacity of these landfills to take a selection of hazardous wastes is important. Landfill facilities are assumed to receive 89% of contaminated soils, 96% of waste asbestos, and 100% of contaminated biosolids</w:t>
      </w:r>
      <w:r w:rsidRPr="00C727C2">
        <w:rPr>
          <w:color w:val="080808"/>
          <w:sz w:val="22"/>
          <w:szCs w:val="20"/>
          <w:vertAlign w:val="superscript"/>
        </w:rPr>
        <w:footnoteReference w:id="36"/>
      </w:r>
      <w:r w:rsidRPr="00C727C2">
        <w:rPr>
          <w:color w:val="080808"/>
          <w:sz w:val="22"/>
          <w:szCs w:val="20"/>
        </w:rPr>
        <w:t xml:space="preserve">. Based on industry and government consultation, a national shortage of this type of infrastructure over the next 20 years is considered unlikely. </w:t>
      </w:r>
    </w:p>
    <w:p w:rsidR="00C727C2" w:rsidRPr="00C727C2" w:rsidRDefault="00C727C2" w:rsidP="00C727C2">
      <w:pPr>
        <w:spacing w:line="240" w:lineRule="auto"/>
        <w:rPr>
          <w:color w:val="080808"/>
          <w:sz w:val="22"/>
          <w:szCs w:val="20"/>
        </w:rPr>
      </w:pPr>
    </w:p>
    <w:p w:rsidR="00C727C2" w:rsidRPr="00C727C2" w:rsidRDefault="00C727C2" w:rsidP="00C727C2">
      <w:pPr>
        <w:pStyle w:val="Heading3"/>
      </w:pPr>
      <w:r w:rsidRPr="00C727C2">
        <w:t xml:space="preserve">Landfills for asbestos disposal </w:t>
      </w:r>
    </w:p>
    <w:p w:rsidR="00C727C2" w:rsidRPr="00C727C2" w:rsidRDefault="00C727C2" w:rsidP="00C727C2">
      <w:pPr>
        <w:spacing w:line="240" w:lineRule="auto"/>
        <w:rPr>
          <w:color w:val="080808"/>
          <w:sz w:val="22"/>
        </w:rPr>
      </w:pPr>
      <w:r w:rsidRPr="00C727C2">
        <w:rPr>
          <w:color w:val="080808"/>
          <w:sz w:val="22"/>
        </w:rPr>
        <w:t xml:space="preserve">Unlike most wastes, it is commonly accepted that the most appropriate fate for asbestos waste is landfill, where it can be safely removed from the environment for the long term. Across Australia, state and local governments are working towards a gradual rationalisation in the number of landfills in order to minimise the environmental and human health risks that landfills can create. As small regional landfills close they are often replaced with transfer stations that consolidate waste and enable higher rates of resource recovery, reduce long term liabilities and risks, and transport bulk waste loads to a regional landfill. </w:t>
      </w:r>
    </w:p>
    <w:p w:rsidR="00C727C2" w:rsidRPr="00C727C2" w:rsidRDefault="00C727C2" w:rsidP="00C727C2">
      <w:pPr>
        <w:spacing w:line="240" w:lineRule="auto"/>
        <w:rPr>
          <w:color w:val="080808"/>
          <w:sz w:val="22"/>
        </w:rPr>
      </w:pPr>
      <w:r w:rsidRPr="00C727C2">
        <w:rPr>
          <w:color w:val="080808"/>
          <w:sz w:val="22"/>
        </w:rPr>
        <w:lastRenderedPageBreak/>
        <w:t>However, few transfer stations in Australia accept asbestos. This creates a potentially serious problem of lack of local access to disposal options for waste asbestos. Consultation suggests this is a current issue and it is likely to worsen.</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65" w:name="_Toc425849191"/>
      <w:r w:rsidRPr="00C727C2">
        <w:t>POPs thermal destruction facilities</w:t>
      </w:r>
      <w:bookmarkEnd w:id="465"/>
      <w:r w:rsidRPr="00C727C2">
        <w:t xml:space="preserve"> </w:t>
      </w:r>
    </w:p>
    <w:p w:rsidR="00C727C2" w:rsidRPr="002300BE" w:rsidRDefault="002300BE" w:rsidP="00C727C2">
      <w:pPr>
        <w:spacing w:line="240" w:lineRule="auto"/>
        <w:rPr>
          <w:color w:val="auto"/>
          <w:sz w:val="22"/>
          <w:highlight w:val="red"/>
          <w:lang w:eastAsia="en-AU"/>
        </w:rPr>
      </w:pPr>
      <w:proofErr w:type="gramStart"/>
      <w:r w:rsidRPr="002300BE">
        <w:rPr>
          <w:color w:val="auto"/>
          <w:sz w:val="22"/>
          <w:highlight w:val="red"/>
          <w:lang w:eastAsia="en-AU"/>
        </w:rPr>
        <w:t>CIC</w:t>
      </w:r>
      <w:r>
        <w:rPr>
          <w:color w:val="auto"/>
          <w:sz w:val="22"/>
          <w:highlight w:val="red"/>
          <w:lang w:eastAsia="en-AU"/>
        </w:rPr>
        <w:t>.</w:t>
      </w:r>
      <w:proofErr w:type="gramEnd"/>
    </w:p>
    <w:p w:rsidR="00C727C2" w:rsidRPr="00C727C2" w:rsidRDefault="00C727C2" w:rsidP="00C727C2">
      <w:pPr>
        <w:spacing w:line="240" w:lineRule="auto"/>
        <w:rPr>
          <w:color w:val="auto"/>
          <w:sz w:val="22"/>
        </w:rPr>
      </w:pPr>
    </w:p>
    <w:p w:rsidR="00C727C2" w:rsidRPr="00C727C2" w:rsidRDefault="00C727C2" w:rsidP="00C727C2">
      <w:pPr>
        <w:spacing w:line="240" w:lineRule="auto"/>
        <w:rPr>
          <w:color w:val="auto"/>
          <w:sz w:val="22"/>
        </w:rPr>
      </w:pPr>
      <w:r w:rsidRPr="00C727C2">
        <w:rPr>
          <w:color w:val="auto"/>
          <w:sz w:val="22"/>
        </w:rPr>
        <w:t xml:space="preserve">Whilst there appears to be a major gap in Australia's POPs thermal destruction capacity, the capacity assessment uncertainty for this group is very high. The following three issues need to be considered that all result in an under estimate of the POPs destruction capacity: </w:t>
      </w:r>
    </w:p>
    <w:p w:rsidR="00C727C2" w:rsidRPr="00C727C2" w:rsidRDefault="00C727C2" w:rsidP="00C727C2">
      <w:pPr>
        <w:spacing w:line="240" w:lineRule="auto"/>
        <w:rPr>
          <w:color w:val="auto"/>
          <w:sz w:val="22"/>
        </w:rPr>
      </w:pPr>
      <w:r w:rsidRPr="00C727C2">
        <w:rPr>
          <w:color w:val="auto"/>
          <w:sz w:val="22"/>
        </w:rPr>
        <w:br/>
      </w:r>
      <w:r w:rsidRPr="00C727C2">
        <w:rPr>
          <w:bCs/>
          <w:color w:val="auto"/>
          <w:sz w:val="22"/>
        </w:rPr>
        <w:t>1. POPs TD capacity within Clinical waste TD facilities.</w:t>
      </w:r>
      <w:r w:rsidRPr="00C727C2">
        <w:rPr>
          <w:color w:val="auto"/>
          <w:sz w:val="22"/>
        </w:rPr>
        <w:t xml:space="preserve"> SteriHealth currently have a research and development approval that allows them to treat PCB contaminated oil from the Tullamarine landfill leachate at their Clinical waste TD facility in Laverton, Melbourne. SteriHealth aims to provide POPs destruction services to the market following works approval from EPA. SteriHealth did not state the potential tonnages of POPs that could be destroyed at the facility. TPI (2014), states that SteriHealth recently successfully treated around 2000 litres of PCB contaminated oil during trials at the site. </w:t>
      </w:r>
    </w:p>
    <w:p w:rsidR="00C727C2" w:rsidRPr="00C727C2" w:rsidRDefault="00C727C2" w:rsidP="00C727C2">
      <w:pPr>
        <w:spacing w:line="240" w:lineRule="auto"/>
        <w:rPr>
          <w:color w:val="auto"/>
          <w:sz w:val="22"/>
        </w:rPr>
      </w:pPr>
      <w:r w:rsidRPr="00C727C2">
        <w:rPr>
          <w:color w:val="auto"/>
          <w:sz w:val="22"/>
        </w:rPr>
        <w:br/>
      </w:r>
      <w:r w:rsidRPr="00C727C2">
        <w:rPr>
          <w:bCs/>
          <w:color w:val="auto"/>
          <w:sz w:val="22"/>
        </w:rPr>
        <w:t>2. POPs TD capacity within Soils treatment facilities.</w:t>
      </w:r>
      <w:r w:rsidRPr="00C727C2">
        <w:rPr>
          <w:color w:val="auto"/>
          <w:sz w:val="22"/>
        </w:rPr>
        <w:t xml:space="preserve"> The RENEX pyrolysis rotary kiln that is being commissioned in Dandenong Melbourne will be aiming to treat POPs contaminated soils and liquids. The kiln with operate at 600 degrees C and the gases will then be incinerated at 1100-1200 degrees C, enabling the destruction of chlorinated organics such as PCBs. </w:t>
      </w:r>
      <w:r w:rsidR="002300BE" w:rsidRPr="002300BE">
        <w:rPr>
          <w:color w:val="auto"/>
          <w:sz w:val="22"/>
          <w:shd w:val="clear" w:color="auto" w:fill="FF0000"/>
        </w:rPr>
        <w:t>CIC</w:t>
      </w:r>
      <w:r w:rsidR="002300BE">
        <w:rPr>
          <w:color w:val="auto"/>
          <w:sz w:val="22"/>
        </w:rPr>
        <w:t>,</w:t>
      </w:r>
      <w:r w:rsidRPr="00E97D4C">
        <w:rPr>
          <w:color w:val="FF0000"/>
          <w:sz w:val="22"/>
        </w:rPr>
        <w:t xml:space="preserve"> </w:t>
      </w:r>
      <w:r w:rsidRPr="00C727C2">
        <w:rPr>
          <w:color w:val="auto"/>
          <w:sz w:val="22"/>
        </w:rPr>
        <w:t xml:space="preserve">however, it is unknown what tonnage of POP contaminated soils and liquids could be processed at the plant. </w:t>
      </w:r>
    </w:p>
    <w:p w:rsidR="00C727C2" w:rsidRPr="00C727C2" w:rsidRDefault="00C727C2" w:rsidP="00C727C2">
      <w:pPr>
        <w:spacing w:line="240" w:lineRule="auto"/>
        <w:rPr>
          <w:color w:val="FFFFFF" w:themeColor="background1"/>
          <w:sz w:val="22"/>
        </w:rPr>
      </w:pPr>
      <w:r w:rsidRPr="00C727C2">
        <w:rPr>
          <w:color w:val="auto"/>
          <w:sz w:val="22"/>
        </w:rPr>
        <w:br/>
      </w:r>
      <w:r w:rsidRPr="00C727C2">
        <w:rPr>
          <w:bCs/>
          <w:color w:val="auto"/>
          <w:sz w:val="22"/>
        </w:rPr>
        <w:t>3. POPs TD capacity within cement kilns.</w:t>
      </w:r>
      <w:r w:rsidRPr="00C727C2">
        <w:rPr>
          <w:color w:val="auto"/>
          <w:sz w:val="22"/>
        </w:rPr>
        <w:t xml:space="preserve"> Cement kiln infrastructure is not included in the capacity database scope. We understand that cement kilns in Australia are currently destroying some POPs including PFOS. The capacity of Australia's cement kilns to destroy POPs needs detailed assessment to enable a comparison of arisings to destruction capacity. Until this assessment is completed any analysis of additional capacity that is required under any of the projection scenarios will be inaccurate.</w:t>
      </w:r>
      <w:r w:rsidRPr="00C727C2">
        <w:rPr>
          <w:color w:val="auto"/>
          <w:sz w:val="22"/>
        </w:rPr>
        <w:br/>
      </w:r>
      <w:r w:rsidRPr="00C727C2">
        <w:rPr>
          <w:color w:val="auto"/>
          <w:sz w:val="22"/>
        </w:rPr>
        <w:br/>
      </w:r>
      <w:r w:rsidRPr="00C727C2">
        <w:rPr>
          <w:b/>
          <w:bCs/>
          <w:color w:val="auto"/>
          <w:sz w:val="22"/>
        </w:rPr>
        <w:t xml:space="preserve">Recommendation 10: </w:t>
      </w:r>
      <w:r w:rsidRPr="00C727C2">
        <w:rPr>
          <w:color w:val="auto"/>
          <w:sz w:val="22"/>
        </w:rPr>
        <w:t>DoE should undertake work to quantify the Australia’s POPs destruction capacity, including at sites excluded from the scope of the infrastructure database used in this project.</w:t>
      </w:r>
      <w:r w:rsidRPr="00C727C2">
        <w:rPr>
          <w:color w:val="FFFFFF" w:themeColor="background1"/>
          <w:sz w:val="22"/>
        </w:rPr>
        <w:t xml:space="preserve"> </w:t>
      </w:r>
    </w:p>
    <w:p w:rsidR="00C727C2" w:rsidRDefault="00C727C2" w:rsidP="00C727C2">
      <w:pPr>
        <w:spacing w:line="240" w:lineRule="auto"/>
        <w:rPr>
          <w:b/>
          <w:color w:val="auto"/>
          <w:sz w:val="22"/>
        </w:rPr>
      </w:pPr>
    </w:p>
    <w:p w:rsidR="00C76D4C" w:rsidRDefault="00C76D4C" w:rsidP="00C727C2">
      <w:pPr>
        <w:spacing w:line="240" w:lineRule="auto"/>
        <w:rPr>
          <w:b/>
          <w:color w:val="auto"/>
          <w:sz w:val="22"/>
        </w:rPr>
      </w:pPr>
    </w:p>
    <w:p w:rsidR="00C727C2" w:rsidRPr="00C727C2" w:rsidRDefault="00C727C2" w:rsidP="00C727C2">
      <w:pPr>
        <w:pStyle w:val="Heading3"/>
      </w:pPr>
      <w:r w:rsidRPr="00C727C2">
        <w:t>POPs contaminated biosolids</w:t>
      </w:r>
    </w:p>
    <w:p w:rsidR="00870BAF" w:rsidRDefault="00870BAF" w:rsidP="00870BAF">
      <w:pPr>
        <w:pStyle w:val="BodyText"/>
      </w:pPr>
      <w:r>
        <w:rPr>
          <w:color w:val="auto"/>
        </w:rPr>
        <w:t xml:space="preserve">An important issue to note regarding the projected need for POP thermal destruction infrastructure is the impact of POP contaminated biosolids. As noted above, the scenarios for projected need for this infrastructure group vary significantly (from around 28,000 to 182,000 tonnes in 2034).  </w:t>
      </w:r>
      <w:r>
        <w:t xml:space="preserve">The high estimate of 182,000 tonnes is mostly POP contaminated biosolids (around 170,000 tonnes of PFOS and HBCD contaminated biosolids). </w:t>
      </w:r>
    </w:p>
    <w:p w:rsidR="00870BAF" w:rsidRDefault="00870BAF" w:rsidP="00870BAF">
      <w:pPr>
        <w:pStyle w:val="BodyText"/>
      </w:pPr>
    </w:p>
    <w:p w:rsidR="00870BAF" w:rsidRDefault="00870BAF" w:rsidP="00870BAF">
      <w:pPr>
        <w:pStyle w:val="BodyText"/>
      </w:pPr>
      <w:r>
        <w:rPr>
          <w:b/>
          <w:color w:val="auto"/>
        </w:rPr>
        <w:t xml:space="preserve">Recommendation 11:  </w:t>
      </w:r>
      <w:r>
        <w:t>If not already underway, DoE, water authorities, and EPAs should work to complete:</w:t>
      </w:r>
    </w:p>
    <w:p w:rsidR="00870BAF" w:rsidRPr="00617794" w:rsidRDefault="00870BAF" w:rsidP="00870BAF">
      <w:pPr>
        <w:pStyle w:val="Bullet1"/>
        <w:rPr>
          <w:color w:val="auto"/>
        </w:rPr>
      </w:pPr>
      <w:r>
        <w:t>analysis of the current levels of POP contamination in Australian biosolids</w:t>
      </w:r>
    </w:p>
    <w:p w:rsidR="00870BAF" w:rsidRPr="00617794" w:rsidRDefault="00870BAF" w:rsidP="00870BAF">
      <w:pPr>
        <w:pStyle w:val="Bullet1"/>
        <w:rPr>
          <w:color w:val="auto"/>
        </w:rPr>
      </w:pPr>
      <w:r>
        <w:t>an assessment of the required management of POP contaminated biosolids (based on the levels of contamination identified and assuming Australia ratifies the Stockholm Convention for newly listed POPs)</w:t>
      </w:r>
    </w:p>
    <w:p w:rsidR="00870BAF" w:rsidRPr="00617794" w:rsidRDefault="00870BAF" w:rsidP="00870BAF">
      <w:pPr>
        <w:pStyle w:val="Bullet1"/>
        <w:rPr>
          <w:color w:val="auto"/>
        </w:rPr>
      </w:pPr>
      <w:proofErr w:type="gramStart"/>
      <w:r>
        <w:t>a</w:t>
      </w:r>
      <w:proofErr w:type="gramEnd"/>
      <w:r>
        <w:t xml:space="preserve"> set of recommendations for any additional infrastructure that Australia will likely require for POPs thermal destruction.  </w:t>
      </w:r>
    </w:p>
    <w:p w:rsidR="00870BAF" w:rsidRDefault="00870BAF" w:rsidP="00C727C2">
      <w:pPr>
        <w:spacing w:line="240" w:lineRule="auto"/>
        <w:rPr>
          <w:color w:val="auto"/>
          <w:sz w:val="22"/>
        </w:rPr>
      </w:pPr>
    </w:p>
    <w:p w:rsidR="00C727C2" w:rsidRPr="00C727C2" w:rsidRDefault="00C727C2" w:rsidP="00C727C2">
      <w:pPr>
        <w:pStyle w:val="Heading2"/>
      </w:pPr>
      <w:bookmarkStart w:id="466" w:name="_Toc425849192"/>
      <w:r w:rsidRPr="00C727C2">
        <w:lastRenderedPageBreak/>
        <w:t>Clinical waste thermal destruction facilities</w:t>
      </w:r>
      <w:bookmarkEnd w:id="466"/>
    </w:p>
    <w:p w:rsidR="00C727C2" w:rsidRPr="00C727C2" w:rsidRDefault="00C727C2" w:rsidP="00C727C2">
      <w:pPr>
        <w:spacing w:line="240" w:lineRule="auto"/>
        <w:rPr>
          <w:color w:val="080808"/>
          <w:sz w:val="22"/>
        </w:rPr>
      </w:pPr>
      <w:r w:rsidRPr="00C727C2">
        <w:rPr>
          <w:color w:val="000000"/>
          <w:sz w:val="22"/>
          <w:szCs w:val="20"/>
        </w:rPr>
        <w:t>Based on the industry projections of arisings increasing at 1.9% per annum, the current and planned national capacity for thermal destruction of clinical waste could be exceeded by 2024. Under the high projection, with arisings increasing at 3.9% per annum, capacity could be exceeded in 2019. Under the low scenario capacity meets demand over the next 20 years</w:t>
      </w:r>
      <w:r w:rsidRPr="00C727C2">
        <w:rPr>
          <w:color w:val="080808"/>
          <w:sz w:val="22"/>
        </w:rPr>
        <w:t xml:space="preserve">. </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color w:val="080808"/>
          <w:sz w:val="22"/>
        </w:rPr>
        <w:t xml:space="preserve">ACT, NSW, NT, Qld, and </w:t>
      </w:r>
      <w:proofErr w:type="gramStart"/>
      <w:r w:rsidRPr="00C727C2">
        <w:rPr>
          <w:color w:val="080808"/>
          <w:sz w:val="22"/>
        </w:rPr>
        <w:t>Tas</w:t>
      </w:r>
      <w:proofErr w:type="gramEnd"/>
      <w:r w:rsidRPr="00C727C2">
        <w:rPr>
          <w:color w:val="080808"/>
          <w:sz w:val="22"/>
        </w:rPr>
        <w:t xml:space="preserve"> may each be undersupplied with this type of infrastructure. However, apart from Qld, this is based on assumed proportions of clinical waste sent to thermal destruction. In these jurisdictions clinical wastes are probably being exported or landfilled, potentially following autoclave treatment.</w:t>
      </w:r>
    </w:p>
    <w:p w:rsidR="00C727C2" w:rsidRPr="00C727C2" w:rsidRDefault="00C727C2" w:rsidP="00C727C2">
      <w:pPr>
        <w:spacing w:line="240" w:lineRule="auto"/>
        <w:rPr>
          <w:color w:val="080808"/>
          <w:sz w:val="22"/>
        </w:rPr>
      </w:pPr>
    </w:p>
    <w:p w:rsidR="00C727C2" w:rsidRPr="00C727C2" w:rsidRDefault="00C727C2" w:rsidP="00C727C2">
      <w:pPr>
        <w:spacing w:line="240" w:lineRule="auto"/>
        <w:rPr>
          <w:color w:val="080808"/>
          <w:sz w:val="22"/>
        </w:rPr>
      </w:pPr>
      <w:r w:rsidRPr="00C727C2">
        <w:rPr>
          <w:color w:val="080808"/>
          <w:sz w:val="22"/>
        </w:rPr>
        <w:t xml:space="preserve">In SA the assessment finds capacity is currently constrained. This is incorrect and likely to be the result of assuming the percentage of clinical waste sent for destruction based on other jurisdictions. Industry representatives commented that there is spare capacity for clinical waste thermal destruction in SA. </w:t>
      </w:r>
    </w:p>
    <w:p w:rsidR="00C727C2" w:rsidRPr="00C727C2" w:rsidRDefault="00C727C2" w:rsidP="00C727C2">
      <w:pPr>
        <w:tabs>
          <w:tab w:val="left" w:pos="3868"/>
        </w:tabs>
        <w:spacing w:line="240" w:lineRule="auto"/>
        <w:rPr>
          <w:color w:val="080808"/>
          <w:sz w:val="22"/>
        </w:rPr>
      </w:pPr>
      <w:r w:rsidRPr="00C727C2">
        <w:rPr>
          <w:color w:val="080808"/>
          <w:sz w:val="22"/>
        </w:rPr>
        <w:t>Vic and WA appear to have sufficient clinical waste thermal destruction capacity under all scenarios.</w:t>
      </w:r>
    </w:p>
    <w:p w:rsidR="00C727C2" w:rsidRPr="00C727C2" w:rsidRDefault="00C727C2" w:rsidP="00C727C2">
      <w:pPr>
        <w:spacing w:line="240" w:lineRule="auto"/>
        <w:rPr>
          <w:color w:val="080808"/>
          <w:sz w:val="22"/>
        </w:rPr>
      </w:pPr>
    </w:p>
    <w:p w:rsidR="00C727C2" w:rsidRPr="00C727C2" w:rsidRDefault="00C727C2" w:rsidP="00C727C2">
      <w:pPr>
        <w:pStyle w:val="Heading2"/>
      </w:pPr>
      <w:bookmarkStart w:id="467" w:name="_Toc425849193"/>
      <w:r w:rsidRPr="00C727C2">
        <w:t>Transfer station or temporary storage facilities</w:t>
      </w:r>
      <w:bookmarkEnd w:id="467"/>
    </w:p>
    <w:p w:rsidR="00C727C2" w:rsidRPr="00C727C2" w:rsidRDefault="00C727C2" w:rsidP="00C727C2">
      <w:pPr>
        <w:spacing w:line="240" w:lineRule="auto"/>
        <w:rPr>
          <w:color w:val="000000"/>
          <w:sz w:val="22"/>
          <w:szCs w:val="20"/>
        </w:rPr>
      </w:pPr>
      <w:r w:rsidRPr="00C727C2">
        <w:rPr>
          <w:color w:val="000000"/>
          <w:sz w:val="22"/>
          <w:szCs w:val="20"/>
        </w:rPr>
        <w:t xml:space="preserve">Projections indicate that under all scenarios the current national transfer/temporary storage capacity of hazardous waste infrastructure is exceeded. This is inaccurate, and attributable to the capacity database having limited coverage of this group. Rawtec (2014 p.8) states that: "Some intermediate storage facilities are included in this dataset. It is recognised that there are other facilities which deal with hazardous wastes that are not included in the dataset, such as smaller storage facilities and transfer stations". </w:t>
      </w:r>
    </w:p>
    <w:p w:rsidR="00C727C2" w:rsidRPr="00C727C2" w:rsidRDefault="00C727C2" w:rsidP="00C727C2">
      <w:pPr>
        <w:spacing w:line="240" w:lineRule="auto"/>
        <w:rPr>
          <w:color w:val="000000"/>
          <w:sz w:val="22"/>
          <w:szCs w:val="20"/>
        </w:rPr>
      </w:pPr>
      <w:r w:rsidRPr="00C727C2">
        <w:rPr>
          <w:color w:val="000000"/>
          <w:sz w:val="22"/>
          <w:szCs w:val="20"/>
        </w:rPr>
        <w:br/>
        <w:t xml:space="preserve">Recognising the limitations of the database for this infrastructure group, during the industry consultation program industry representatives were asked to flag any major transport constraints. </w:t>
      </w:r>
    </w:p>
    <w:p w:rsidR="00C727C2" w:rsidRPr="00C727C2" w:rsidRDefault="00C727C2" w:rsidP="00C727C2">
      <w:pPr>
        <w:spacing w:line="240" w:lineRule="auto"/>
        <w:rPr>
          <w:color w:val="000000"/>
          <w:sz w:val="22"/>
          <w:szCs w:val="20"/>
        </w:rPr>
      </w:pPr>
    </w:p>
    <w:p w:rsidR="00C727C2" w:rsidRPr="00C727C2" w:rsidRDefault="00C727C2" w:rsidP="00C727C2">
      <w:pPr>
        <w:spacing w:line="240" w:lineRule="auto"/>
        <w:rPr>
          <w:color w:val="000000"/>
          <w:sz w:val="22"/>
          <w:szCs w:val="20"/>
        </w:rPr>
      </w:pPr>
      <w:r w:rsidRPr="00C727C2">
        <w:rPr>
          <w:color w:val="000000"/>
          <w:sz w:val="22"/>
          <w:szCs w:val="20"/>
        </w:rPr>
        <w:t>Very long transport distances, particularly in WA, were raised several times as a major barrier to managing hazardous waste. WA has seven of the 43 transfer station facilities in the database. For such a large state this appears low when compared with Vic, for example, with eight transfer sites. Problematic transport distances are also likely to be a problem in Qld (with just seven sites) and a growing CSG industry.</w:t>
      </w:r>
    </w:p>
    <w:p w:rsidR="00C727C2" w:rsidRPr="00C727C2" w:rsidRDefault="00C727C2" w:rsidP="00C727C2">
      <w:pPr>
        <w:spacing w:line="240" w:lineRule="auto"/>
        <w:rPr>
          <w:color w:val="000000"/>
          <w:sz w:val="22"/>
          <w:szCs w:val="20"/>
        </w:rPr>
      </w:pPr>
    </w:p>
    <w:p w:rsidR="00C016A6" w:rsidRPr="00816657" w:rsidRDefault="00C727C2" w:rsidP="00C727C2">
      <w:pPr>
        <w:spacing w:line="240" w:lineRule="auto"/>
      </w:pPr>
      <w:r w:rsidRPr="00C727C2">
        <w:rPr>
          <w:color w:val="000000"/>
          <w:sz w:val="22"/>
          <w:szCs w:val="20"/>
        </w:rPr>
        <w:t xml:space="preserve">If not already being undertaken, further investigation of strategic locations for transfer station facilities in WA, Qld and NT </w:t>
      </w:r>
      <w:proofErr w:type="gramStart"/>
      <w:r w:rsidRPr="00C727C2">
        <w:rPr>
          <w:color w:val="000000"/>
          <w:sz w:val="22"/>
          <w:szCs w:val="20"/>
        </w:rPr>
        <w:t>is</w:t>
      </w:r>
      <w:proofErr w:type="gramEnd"/>
      <w:r w:rsidRPr="00C727C2">
        <w:rPr>
          <w:color w:val="000000"/>
          <w:sz w:val="22"/>
          <w:szCs w:val="20"/>
        </w:rPr>
        <w:t xml:space="preserve"> recommended. Consultation with industry on establishing joint venture transfer stations to consolidate wastes from a range of mining sites/generators should be explored for WA and potentially Qld (for CSG waste generators). </w:t>
      </w:r>
      <w:r w:rsidRPr="00C727C2">
        <w:rPr>
          <w:color w:val="000000"/>
          <w:sz w:val="22"/>
          <w:szCs w:val="20"/>
        </w:rPr>
        <w:br/>
      </w:r>
      <w:r w:rsidRPr="00C727C2">
        <w:rPr>
          <w:color w:val="000000"/>
          <w:sz w:val="22"/>
          <w:szCs w:val="20"/>
        </w:rPr>
        <w:br/>
      </w:r>
      <w:r w:rsidRPr="00C727C2">
        <w:rPr>
          <w:b/>
          <w:bCs/>
          <w:color w:val="000000"/>
          <w:sz w:val="22"/>
          <w:szCs w:val="20"/>
        </w:rPr>
        <w:t>Recommendation 1</w:t>
      </w:r>
      <w:r>
        <w:rPr>
          <w:b/>
          <w:bCs/>
          <w:color w:val="000000"/>
          <w:sz w:val="22"/>
          <w:szCs w:val="20"/>
        </w:rPr>
        <w:t>2</w:t>
      </w:r>
      <w:r w:rsidRPr="00C727C2">
        <w:rPr>
          <w:b/>
          <w:bCs/>
          <w:color w:val="000000"/>
          <w:sz w:val="22"/>
          <w:szCs w:val="20"/>
        </w:rPr>
        <w:t>:</w:t>
      </w:r>
      <w:r w:rsidRPr="00C727C2">
        <w:rPr>
          <w:color w:val="000000"/>
          <w:sz w:val="22"/>
          <w:szCs w:val="20"/>
        </w:rPr>
        <w:t xml:space="preserve"> DoE and/or WA and Qld State Governments should complete a detailed assessment and consultation with industry on the need for and, if required, the best location(s) for additional infrastructure for hazardous waste transfer or temporary storage</w:t>
      </w:r>
    </w:p>
    <w:p w:rsidR="005F6187" w:rsidRPr="00816657" w:rsidRDefault="005F6187" w:rsidP="000D18A0">
      <w:pPr>
        <w:pStyle w:val="BodyText"/>
        <w:sectPr w:rsidR="005F6187" w:rsidRPr="00816657" w:rsidSect="007F5BD4">
          <w:headerReference w:type="default" r:id="rId179"/>
          <w:footerReference w:type="default" r:id="rId180"/>
          <w:pgSz w:w="11907" w:h="16840" w:code="9"/>
          <w:pgMar w:top="1418" w:right="1077" w:bottom="1134" w:left="1304" w:header="709" w:footer="709" w:gutter="0"/>
          <w:cols w:space="708"/>
          <w:docGrid w:linePitch="360"/>
        </w:sectPr>
      </w:pPr>
    </w:p>
    <w:p w:rsidR="00A16765" w:rsidRPr="00816657" w:rsidRDefault="00C016A6" w:rsidP="004E655F">
      <w:pPr>
        <w:pStyle w:val="Heading1"/>
        <w:numPr>
          <w:ilvl w:val="0"/>
          <w:numId w:val="0"/>
        </w:numPr>
        <w:ind w:left="851" w:hanging="851"/>
      </w:pPr>
      <w:bookmarkStart w:id="468" w:name="_Toc408308734"/>
      <w:bookmarkStart w:id="469" w:name="_Toc425849194"/>
      <w:r w:rsidRPr="00816657">
        <w:lastRenderedPageBreak/>
        <w:t>References</w:t>
      </w:r>
      <w:bookmarkEnd w:id="468"/>
      <w:bookmarkEnd w:id="469"/>
    </w:p>
    <w:p w:rsidR="00C016A6"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ABC news (2014) </w:t>
      </w:r>
      <w:proofErr w:type="gramStart"/>
      <w:r w:rsidRPr="00816657">
        <w:rPr>
          <w:rFonts w:asciiTheme="minorHAnsi" w:hAnsiTheme="minorHAnsi" w:cs="Times New Roman"/>
          <w:i/>
          <w:color w:val="000000"/>
          <w:lang w:eastAsia="en-AU"/>
        </w:rPr>
        <w:t>T</w:t>
      </w:r>
      <w:r w:rsidRPr="00816657">
        <w:rPr>
          <w:rFonts w:asciiTheme="minorHAnsi" w:hAnsiTheme="minorHAnsi" w:cs="Times New Roman"/>
          <w:i/>
          <w:iCs/>
          <w:color w:val="000000"/>
          <w:lang w:eastAsia="en-AU"/>
        </w:rPr>
        <w:t>he</w:t>
      </w:r>
      <w:proofErr w:type="gramEnd"/>
      <w:r w:rsidRPr="00816657">
        <w:rPr>
          <w:rFonts w:asciiTheme="minorHAnsi" w:hAnsiTheme="minorHAnsi" w:cs="Times New Roman"/>
          <w:i/>
          <w:iCs/>
          <w:color w:val="000000"/>
          <w:lang w:eastAsia="en-AU"/>
        </w:rPr>
        <w:t xml:space="preserve"> coal seam gas rush</w:t>
      </w:r>
      <w:r w:rsidRPr="00816657">
        <w:rPr>
          <w:rFonts w:asciiTheme="minorHAnsi" w:hAnsiTheme="minorHAnsi" w:cs="Times New Roman"/>
          <w:color w:val="000000"/>
          <w:lang w:eastAsia="en-AU"/>
        </w:rPr>
        <w:t xml:space="preserve">, available from: </w:t>
      </w:r>
      <w:hyperlink r:id="rId181" w:anchor="sources" w:history="1">
        <w:r w:rsidRPr="00816657">
          <w:rPr>
            <w:rStyle w:val="Hyperlink"/>
            <w:rFonts w:asciiTheme="minorHAnsi" w:hAnsiTheme="minorHAnsi" w:cs="Times New Roman"/>
            <w:lang w:eastAsia="en-AU"/>
          </w:rPr>
          <w:t>http://www.abc.net.au/news/specials/coal-seam-gas-by-the-numbers/#sources</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ABS (Australian Bureau of Statistics 2011) Data on the imports of articles made from ABS plastics products and PUR foam products that may contain POP-BDEs, 1988 - 2011 (unpublished)</w:t>
      </w:r>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ABS (Australian Bureau of Statistics 2013) </w:t>
      </w:r>
      <w:r w:rsidRPr="00816657">
        <w:rPr>
          <w:rFonts w:asciiTheme="minorHAnsi" w:hAnsiTheme="minorHAnsi" w:cs="Times New Roman"/>
          <w:i/>
          <w:iCs/>
          <w:color w:val="000000"/>
          <w:lang w:eastAsia="en-AU"/>
        </w:rPr>
        <w:t>3222.0 - Population Projections, Australia, 2012 (base) to 2101,</w:t>
      </w:r>
      <w:r w:rsidRPr="00816657">
        <w:rPr>
          <w:rFonts w:asciiTheme="minorHAnsi" w:hAnsiTheme="minorHAnsi" w:cs="Times New Roman"/>
          <w:color w:val="000000"/>
          <w:lang w:eastAsia="en-AU"/>
        </w:rPr>
        <w:t xml:space="preserve"> available from: </w:t>
      </w:r>
      <w:hyperlink r:id="rId182" w:history="1">
        <w:r w:rsidRPr="00816657">
          <w:rPr>
            <w:rStyle w:val="Hyperlink"/>
            <w:rFonts w:asciiTheme="minorHAnsi" w:hAnsiTheme="minorHAnsi" w:cs="Times New Roman"/>
            <w:lang w:eastAsia="en-AU"/>
          </w:rPr>
          <w:t>http://www.abs.gov.au/AUSSTATS/abs@.nsf/DetailsPage/3222.02012%20(base)%20to%202101?OpenDocument</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ABS (Australian Bureau of Statistics 2014) </w:t>
      </w:r>
      <w:r w:rsidRPr="00816657">
        <w:rPr>
          <w:rFonts w:asciiTheme="minorHAnsi" w:hAnsiTheme="minorHAnsi" w:cs="Times New Roman"/>
          <w:i/>
          <w:iCs/>
          <w:color w:val="000000"/>
          <w:lang w:eastAsia="en-AU"/>
        </w:rPr>
        <w:t>Mineral and Petroleum Exploration</w:t>
      </w:r>
      <w:r w:rsidR="00FC53D6" w:rsidRPr="00816657">
        <w:rPr>
          <w:rFonts w:asciiTheme="minorHAnsi" w:hAnsiTheme="minorHAnsi" w:cs="Times New Roman"/>
          <w:iCs/>
          <w:color w:val="000000"/>
          <w:lang w:eastAsia="en-AU"/>
        </w:rPr>
        <w:t>, available from:</w:t>
      </w:r>
      <w:r w:rsidRPr="00816657">
        <w:rPr>
          <w:rFonts w:asciiTheme="minorHAnsi" w:hAnsiTheme="minorHAnsi" w:cs="Times New Roman"/>
          <w:color w:val="000000"/>
          <w:lang w:eastAsia="en-AU"/>
        </w:rPr>
        <w:t xml:space="preserve"> </w:t>
      </w:r>
      <w:hyperlink r:id="rId183" w:history="1">
        <w:r w:rsidRPr="00816657">
          <w:rPr>
            <w:rStyle w:val="Hyperlink"/>
            <w:rFonts w:asciiTheme="minorHAnsi" w:hAnsiTheme="minorHAnsi" w:cs="Times New Roman"/>
            <w:lang w:eastAsia="en-AU"/>
          </w:rPr>
          <w:t>http://www.abs.gov.au/ausstats/abs@.nsf/mf/8412.0?OpenDocument</w:t>
        </w:r>
      </w:hyperlink>
      <w:r w:rsidRPr="00816657">
        <w:rPr>
          <w:rFonts w:asciiTheme="minorHAnsi" w:hAnsiTheme="minorHAnsi" w:cs="Times New Roman"/>
          <w:color w:val="000000"/>
          <w:lang w:eastAsia="en-AU"/>
        </w:rPr>
        <w:t>.</w:t>
      </w:r>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Australian Construction Industry Forum (ACIF), </w:t>
      </w:r>
      <w:r w:rsidR="00FC53D6" w:rsidRPr="00816657">
        <w:rPr>
          <w:rFonts w:asciiTheme="minorHAnsi" w:hAnsiTheme="minorHAnsi" w:cs="Times New Roman"/>
          <w:color w:val="000000"/>
          <w:lang w:eastAsia="en-AU"/>
        </w:rPr>
        <w:t>available from:</w:t>
      </w:r>
      <w:r w:rsidR="00F954D8" w:rsidRPr="00816657">
        <w:rPr>
          <w:rFonts w:asciiTheme="minorHAnsi" w:hAnsiTheme="minorHAnsi" w:cs="Times New Roman"/>
          <w:color w:val="000000"/>
          <w:lang w:eastAsia="en-AU"/>
        </w:rPr>
        <w:t xml:space="preserve"> </w:t>
      </w:r>
      <w:hyperlink r:id="rId184" w:history="1">
        <w:r w:rsidRPr="00816657">
          <w:rPr>
            <w:rStyle w:val="Hyperlink"/>
            <w:rFonts w:asciiTheme="minorHAnsi" w:hAnsiTheme="minorHAnsi" w:cs="Times New Roman"/>
            <w:lang w:eastAsia="en-AU"/>
          </w:rPr>
          <w:t>https://www.acif.com.au/forecasts/dashboard</w:t>
        </w:r>
      </w:hyperlink>
    </w:p>
    <w:p w:rsidR="00122C00" w:rsidRPr="00816657" w:rsidRDefault="00FC53D6"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Alcoa</w:t>
      </w:r>
      <w:r w:rsidR="00122C00" w:rsidRPr="00816657">
        <w:rPr>
          <w:rFonts w:asciiTheme="minorHAnsi" w:hAnsiTheme="minorHAnsi" w:cs="Times New Roman"/>
          <w:color w:val="000000"/>
          <w:lang w:eastAsia="en-AU"/>
        </w:rPr>
        <w:t xml:space="preserve"> </w:t>
      </w:r>
      <w:r w:rsidRPr="00816657">
        <w:rPr>
          <w:rFonts w:asciiTheme="minorHAnsi" w:hAnsiTheme="minorHAnsi" w:cs="Times New Roman"/>
          <w:color w:val="000000"/>
          <w:lang w:eastAsia="en-AU"/>
        </w:rPr>
        <w:t>(</w:t>
      </w:r>
      <w:r w:rsidR="00122C00" w:rsidRPr="00816657">
        <w:rPr>
          <w:rFonts w:asciiTheme="minorHAnsi" w:hAnsiTheme="minorHAnsi" w:cs="Times New Roman"/>
          <w:color w:val="000000"/>
          <w:lang w:eastAsia="en-AU"/>
        </w:rPr>
        <w:t>Feb 2014</w:t>
      </w:r>
      <w:r w:rsidRPr="00816657">
        <w:rPr>
          <w:rFonts w:asciiTheme="minorHAnsi" w:hAnsiTheme="minorHAnsi" w:cs="Times New Roman"/>
          <w:color w:val="000000"/>
          <w:lang w:eastAsia="en-AU"/>
        </w:rPr>
        <w:t xml:space="preserve">) </w:t>
      </w:r>
      <w:r w:rsidRPr="00816657">
        <w:rPr>
          <w:rFonts w:asciiTheme="minorHAnsi" w:hAnsiTheme="minorHAnsi" w:cs="Times New Roman"/>
          <w:i/>
          <w:iCs/>
          <w:color w:val="000000"/>
          <w:lang w:eastAsia="en-AU"/>
        </w:rPr>
        <w:t xml:space="preserve">Alcoa to Close Point Henry </w:t>
      </w:r>
      <w:r w:rsidR="00960A71" w:rsidRPr="00816657">
        <w:rPr>
          <w:rFonts w:asciiTheme="minorHAnsi" w:hAnsiTheme="minorHAnsi" w:cs="Times New Roman"/>
          <w:i/>
          <w:iCs/>
          <w:color w:val="000000"/>
          <w:lang w:eastAsia="en-AU"/>
        </w:rPr>
        <w:t>Aluminium</w:t>
      </w:r>
      <w:r w:rsidRPr="00816657">
        <w:rPr>
          <w:rFonts w:asciiTheme="minorHAnsi" w:hAnsiTheme="minorHAnsi" w:cs="Times New Roman"/>
          <w:i/>
          <w:iCs/>
          <w:color w:val="000000"/>
          <w:lang w:eastAsia="en-AU"/>
        </w:rPr>
        <w:t xml:space="preserve"> Smelter and Rolling Mills in Australia</w:t>
      </w:r>
      <w:r w:rsidRPr="00816657">
        <w:rPr>
          <w:rFonts w:asciiTheme="minorHAnsi" w:hAnsiTheme="minorHAnsi" w:cs="Times New Roman"/>
          <w:iCs/>
          <w:color w:val="000000"/>
          <w:lang w:eastAsia="en-AU"/>
        </w:rPr>
        <w:t>,</w:t>
      </w:r>
      <w:r w:rsidR="00122C00" w:rsidRPr="00816657">
        <w:rPr>
          <w:rFonts w:asciiTheme="minorHAnsi" w:hAnsiTheme="minorHAnsi" w:cs="Times New Roman"/>
          <w:color w:val="000000"/>
          <w:lang w:eastAsia="en-AU"/>
        </w:rPr>
        <w:t xml:space="preserve"> </w:t>
      </w:r>
      <w:r w:rsidRPr="00816657">
        <w:rPr>
          <w:rFonts w:asciiTheme="minorHAnsi" w:hAnsiTheme="minorHAnsi" w:cs="Times New Roman"/>
          <w:color w:val="000000"/>
          <w:lang w:eastAsia="en-AU"/>
        </w:rPr>
        <w:t>available from:</w:t>
      </w:r>
      <w:r w:rsidR="00122C00" w:rsidRPr="00816657">
        <w:rPr>
          <w:rFonts w:asciiTheme="minorHAnsi" w:hAnsiTheme="minorHAnsi" w:cs="Times New Roman"/>
          <w:color w:val="000000"/>
          <w:lang w:eastAsia="en-AU"/>
        </w:rPr>
        <w:t xml:space="preserve"> </w:t>
      </w:r>
      <w:hyperlink r:id="rId185" w:history="1">
        <w:r w:rsidRPr="00816657">
          <w:rPr>
            <w:rStyle w:val="Hyperlink"/>
            <w:rFonts w:asciiTheme="minorHAnsi" w:hAnsiTheme="minorHAnsi" w:cs="Times New Roman"/>
            <w:lang w:eastAsia="en-AU"/>
          </w:rPr>
          <w:t>https://www.alcoa.com/australia/en/news/releases/PTH.asp</w:t>
        </w:r>
      </w:hyperlink>
      <w:r w:rsidRPr="00816657">
        <w:rPr>
          <w:rFonts w:asciiTheme="minorHAnsi" w:hAnsiTheme="minorHAnsi" w:cs="Times New Roman"/>
          <w:color w:val="000000"/>
          <w:lang w:eastAsia="en-AU"/>
        </w:rPr>
        <w:t xml:space="preserve"> </w:t>
      </w:r>
      <w:r w:rsidR="00122C00" w:rsidRPr="00816657">
        <w:rPr>
          <w:rFonts w:asciiTheme="minorHAnsi" w:hAnsiTheme="minorHAnsi" w:cs="Times New Roman"/>
          <w:color w:val="000000"/>
          <w:lang w:eastAsia="en-AU"/>
        </w:rPr>
        <w:t>(observed 7 Oct 2014)</w:t>
      </w:r>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AMTA (Australian Mobile Telecommunications Association 2012) </w:t>
      </w:r>
      <w:r w:rsidRPr="00816657">
        <w:rPr>
          <w:rFonts w:asciiTheme="minorHAnsi" w:hAnsiTheme="minorHAnsi" w:cs="Times New Roman"/>
          <w:i/>
          <w:iCs/>
          <w:color w:val="000000"/>
          <w:lang w:eastAsia="en-AU"/>
        </w:rPr>
        <w:t xml:space="preserve">MobileMuster The official recycling program of the mobile phone industry 2010-11 Annual Report, </w:t>
      </w:r>
      <w:r w:rsidRPr="00816657">
        <w:rPr>
          <w:rFonts w:asciiTheme="minorHAnsi" w:hAnsiTheme="minorHAnsi" w:cs="Times New Roman"/>
          <w:color w:val="000000"/>
          <w:lang w:eastAsia="en-AU"/>
        </w:rPr>
        <w:t xml:space="preserve">available from: </w:t>
      </w:r>
      <w:hyperlink r:id="rId186" w:history="1">
        <w:r w:rsidRPr="00816657">
          <w:rPr>
            <w:rStyle w:val="Hyperlink"/>
            <w:rFonts w:asciiTheme="minorHAnsi" w:hAnsiTheme="minorHAnsi" w:cs="Times New Roman"/>
            <w:lang w:eastAsia="en-AU"/>
          </w:rPr>
          <w:t>http://www.mobilemuster.com.au/</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Australian &amp; New Zealand Biosolids Partnership - 2013 survey</w:t>
      </w:r>
      <w:r w:rsidR="00FC53D6" w:rsidRPr="00816657">
        <w:rPr>
          <w:rFonts w:asciiTheme="minorHAnsi" w:hAnsiTheme="minorHAnsi" w:cs="Times New Roman"/>
          <w:color w:val="000000"/>
          <w:lang w:eastAsia="en-AU"/>
        </w:rPr>
        <w:t xml:space="preserve">, Available from: </w:t>
      </w:r>
      <w:hyperlink r:id="rId187" w:history="1">
        <w:r w:rsidR="00FC53D6" w:rsidRPr="00816657">
          <w:rPr>
            <w:rStyle w:val="Hyperlink"/>
            <w:rFonts w:asciiTheme="minorHAnsi" w:hAnsiTheme="minorHAnsi" w:cs="Times New Roman"/>
            <w:lang w:eastAsia="en-AU"/>
          </w:rPr>
          <w:t>http://www.biosolids.com.au/bs-australia.php</w:t>
        </w:r>
      </w:hyperlink>
      <w:r w:rsidR="00FC53D6" w:rsidRPr="00816657">
        <w:rPr>
          <w:rFonts w:asciiTheme="minorHAnsi" w:hAnsiTheme="minorHAnsi" w:cs="Times New Roman"/>
          <w:color w:val="000000"/>
          <w:lang w:eastAsia="en-AU"/>
        </w:rPr>
        <w:t xml:space="preserve"> </w:t>
      </w:r>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APMF (Australian Paint Manufacturers Federation 2013) </w:t>
      </w:r>
      <w:r w:rsidRPr="00816657">
        <w:rPr>
          <w:rFonts w:asciiTheme="minorHAnsi" w:hAnsiTheme="minorHAnsi" w:cs="Times New Roman"/>
          <w:i/>
          <w:iCs/>
          <w:color w:val="000000"/>
          <w:lang w:eastAsia="en-AU"/>
        </w:rPr>
        <w:t xml:space="preserve">Annual Report 2013, </w:t>
      </w:r>
      <w:r w:rsidRPr="00816657">
        <w:rPr>
          <w:rFonts w:asciiTheme="minorHAnsi" w:hAnsiTheme="minorHAnsi" w:cs="Times New Roman"/>
          <w:color w:val="000000"/>
          <w:lang w:eastAsia="en-AU"/>
        </w:rPr>
        <w:t xml:space="preserve">available from: </w:t>
      </w:r>
      <w:hyperlink r:id="rId188" w:history="1">
        <w:r w:rsidRPr="00816657">
          <w:rPr>
            <w:rStyle w:val="Hyperlink"/>
            <w:rFonts w:asciiTheme="minorHAnsi" w:hAnsiTheme="minorHAnsi" w:cs="Times New Roman"/>
            <w:lang w:eastAsia="en-AU"/>
          </w:rPr>
          <w:t>http://www.apmf.asn.au/2013%20ANNUAL%20REPORT.pdf</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Australian Government (2012) </w:t>
      </w:r>
      <w:r w:rsidRPr="00816657">
        <w:rPr>
          <w:rFonts w:asciiTheme="minorHAnsi" w:hAnsiTheme="minorHAnsi" w:cs="Times New Roman"/>
          <w:i/>
          <w:iCs/>
          <w:color w:val="000000"/>
          <w:lang w:eastAsia="en-AU"/>
        </w:rPr>
        <w:t>Budget 2012-13, Economic Outlook</w:t>
      </w:r>
      <w:r w:rsidRPr="00816657">
        <w:rPr>
          <w:rFonts w:asciiTheme="minorHAnsi" w:hAnsiTheme="minorHAnsi" w:cs="Times New Roman"/>
          <w:color w:val="000000"/>
          <w:lang w:eastAsia="en-AU"/>
        </w:rPr>
        <w:t xml:space="preserve">, available from: </w:t>
      </w:r>
      <w:hyperlink r:id="rId189" w:history="1">
        <w:r w:rsidRPr="00816657">
          <w:rPr>
            <w:rStyle w:val="Hyperlink"/>
            <w:rFonts w:asciiTheme="minorHAnsi" w:hAnsiTheme="minorHAnsi" w:cs="Times New Roman"/>
            <w:lang w:eastAsia="en-AU"/>
          </w:rPr>
          <w:t>http://www.budget.gov.au/2012-13/content/myefo/html/02_part_2-04.htm</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Australian Government (2010) </w:t>
      </w:r>
      <w:r w:rsidRPr="00816657">
        <w:rPr>
          <w:rFonts w:asciiTheme="minorHAnsi" w:hAnsiTheme="minorHAnsi" w:cs="Times New Roman"/>
          <w:i/>
          <w:iCs/>
          <w:color w:val="000000"/>
          <w:lang w:eastAsia="en-AU"/>
        </w:rPr>
        <w:t xml:space="preserve">Australia to 2050: future challenges, </w:t>
      </w:r>
      <w:r w:rsidRPr="00816657">
        <w:rPr>
          <w:rFonts w:asciiTheme="minorHAnsi" w:hAnsiTheme="minorHAnsi" w:cs="Times New Roman"/>
          <w:color w:val="000000"/>
          <w:lang w:eastAsia="en-AU"/>
        </w:rPr>
        <w:t xml:space="preserve">available from: </w:t>
      </w:r>
      <w:hyperlink r:id="rId190" w:history="1">
        <w:r w:rsidRPr="00816657">
          <w:rPr>
            <w:rStyle w:val="Hyperlink"/>
            <w:rFonts w:asciiTheme="minorHAnsi" w:hAnsiTheme="minorHAnsi" w:cs="Times New Roman"/>
            <w:lang w:eastAsia="en-AU"/>
          </w:rPr>
          <w:t>http://archive.treasury.gov.au/igr/igr2010/Overview/pdf/IGR_2010_Overview.pdf</w:t>
        </w:r>
      </w:hyperlink>
    </w:p>
    <w:p w:rsidR="00122C00" w:rsidRPr="00816657" w:rsidRDefault="00122C00" w:rsidP="00FE2403">
      <w:pPr>
        <w:pStyle w:val="BodyText"/>
        <w:spacing w:after="120"/>
        <w:rPr>
          <w:rFonts w:asciiTheme="minorHAnsi" w:hAnsiTheme="minorHAnsi" w:cs="Times New Roman"/>
          <w:color w:val="auto"/>
          <w:lang w:eastAsia="en-AU"/>
        </w:rPr>
      </w:pPr>
      <w:r w:rsidRPr="00816657">
        <w:rPr>
          <w:rFonts w:asciiTheme="minorHAnsi" w:hAnsiTheme="minorHAnsi" w:cs="Times New Roman"/>
          <w:color w:val="auto"/>
          <w:lang w:eastAsia="en-AU"/>
        </w:rPr>
        <w:t xml:space="preserve">Battery University (2014) </w:t>
      </w:r>
      <w:r w:rsidRPr="00816657">
        <w:rPr>
          <w:rFonts w:asciiTheme="minorHAnsi" w:hAnsiTheme="minorHAnsi" w:cs="Times New Roman"/>
          <w:i/>
          <w:iCs/>
          <w:color w:val="auto"/>
          <w:lang w:eastAsia="en-AU"/>
        </w:rPr>
        <w:t>BU-1203: Electric Vehicle</w:t>
      </w:r>
      <w:r w:rsidRPr="00816657">
        <w:rPr>
          <w:rFonts w:asciiTheme="minorHAnsi" w:hAnsiTheme="minorHAnsi" w:cs="Times New Roman"/>
          <w:color w:val="auto"/>
          <w:lang w:eastAsia="en-AU"/>
        </w:rPr>
        <w:t xml:space="preserve">, </w:t>
      </w:r>
      <w:r w:rsidR="00FC53D6" w:rsidRPr="00816657">
        <w:rPr>
          <w:rFonts w:asciiTheme="minorHAnsi" w:hAnsiTheme="minorHAnsi" w:cs="Times New Roman"/>
          <w:color w:val="auto"/>
          <w:lang w:eastAsia="en-AU"/>
        </w:rPr>
        <w:t xml:space="preserve">available </w:t>
      </w:r>
      <w:r w:rsidRPr="00816657">
        <w:rPr>
          <w:rFonts w:asciiTheme="minorHAnsi" w:hAnsiTheme="minorHAnsi" w:cs="Times New Roman"/>
          <w:color w:val="auto"/>
          <w:lang w:eastAsia="en-AU"/>
        </w:rPr>
        <w:t xml:space="preserve">from: </w:t>
      </w:r>
      <w:hyperlink r:id="rId191" w:history="1">
        <w:r w:rsidRPr="00816657">
          <w:rPr>
            <w:rStyle w:val="Hyperlink"/>
            <w:rFonts w:asciiTheme="minorHAnsi" w:hAnsiTheme="minorHAnsi" w:cs="Times New Roman"/>
            <w:lang w:eastAsia="en-AU"/>
          </w:rPr>
          <w:t>http://batteryuniversity.com/learn/article/electric_vehicle</w:t>
        </w:r>
      </w:hyperlink>
      <w:r w:rsidR="00FC53D6" w:rsidRPr="00816657">
        <w:rPr>
          <w:rFonts w:asciiTheme="minorHAnsi" w:hAnsiTheme="minorHAnsi"/>
        </w:rPr>
        <w:t xml:space="preserve"> (</w:t>
      </w:r>
      <w:r w:rsidR="00FC53D6" w:rsidRPr="00816657">
        <w:rPr>
          <w:rFonts w:asciiTheme="minorHAnsi" w:hAnsiTheme="minorHAnsi" w:cs="Times New Roman"/>
          <w:color w:val="auto"/>
          <w:lang w:eastAsia="en-AU"/>
        </w:rPr>
        <w:t>downloaded November 2014)</w:t>
      </w:r>
    </w:p>
    <w:p w:rsidR="00122C00" w:rsidRPr="00816657" w:rsidRDefault="00122C00" w:rsidP="00FE2403">
      <w:pPr>
        <w:pStyle w:val="BodyText"/>
        <w:spacing w:after="120"/>
        <w:rPr>
          <w:rFonts w:asciiTheme="minorHAnsi" w:hAnsiTheme="minorHAnsi" w:cs="Times New Roman"/>
          <w:color w:val="auto"/>
          <w:lang w:eastAsia="en-AU"/>
        </w:rPr>
      </w:pPr>
      <w:r w:rsidRPr="00816657">
        <w:rPr>
          <w:rFonts w:asciiTheme="minorHAnsi" w:hAnsiTheme="minorHAnsi" w:cs="Times New Roman"/>
          <w:color w:val="auto"/>
          <w:lang w:eastAsia="en-AU"/>
        </w:rPr>
        <w:t>Baylis R, Roskill Information Services (2012) V</w:t>
      </w:r>
      <w:r w:rsidRPr="00816657">
        <w:rPr>
          <w:rFonts w:asciiTheme="minorHAnsi" w:hAnsiTheme="minorHAnsi" w:cs="Times New Roman"/>
          <w:i/>
          <w:color w:val="auto"/>
          <w:lang w:eastAsia="en-AU"/>
        </w:rPr>
        <w:t>ehicle electrification and other lithium end-uses: How big and how quickly?</w:t>
      </w:r>
      <w:r w:rsidRPr="00816657">
        <w:rPr>
          <w:rFonts w:asciiTheme="minorHAnsi" w:hAnsiTheme="minorHAnsi" w:cs="Times New Roman"/>
          <w:i/>
          <w:iCs/>
          <w:color w:val="auto"/>
          <w:lang w:eastAsia="en-AU"/>
        </w:rPr>
        <w:t xml:space="preserve"> </w:t>
      </w:r>
      <w:r w:rsidRPr="00816657">
        <w:rPr>
          <w:rFonts w:asciiTheme="minorHAnsi" w:hAnsiTheme="minorHAnsi" w:cs="Times New Roman"/>
          <w:iCs/>
          <w:color w:val="auto"/>
          <w:lang w:eastAsia="en-AU"/>
        </w:rPr>
        <w:t xml:space="preserve">Presentation to the </w:t>
      </w:r>
      <w:r w:rsidRPr="00816657">
        <w:rPr>
          <w:rFonts w:asciiTheme="minorHAnsi" w:hAnsiTheme="minorHAnsi" w:cs="Times New Roman"/>
          <w:color w:val="auto"/>
          <w:lang w:eastAsia="en-AU"/>
        </w:rPr>
        <w:t>4th Lithium Supply &amp; Markets Conference</w:t>
      </w:r>
      <w:r w:rsidRPr="00816657">
        <w:rPr>
          <w:rFonts w:asciiTheme="minorHAnsi" w:hAnsiTheme="minorHAnsi" w:cs="Times New Roman"/>
          <w:i/>
          <w:iCs/>
          <w:color w:val="auto"/>
          <w:lang w:eastAsia="en-AU"/>
        </w:rPr>
        <w:t>, Buenos Aires, 23-25 January</w:t>
      </w:r>
      <w:r w:rsidRPr="00816657">
        <w:rPr>
          <w:rFonts w:asciiTheme="minorHAnsi" w:hAnsiTheme="minorHAnsi" w:cs="Times New Roman"/>
          <w:iCs/>
          <w:color w:val="auto"/>
          <w:lang w:eastAsia="en-AU"/>
        </w:rPr>
        <w:t>, a</w:t>
      </w:r>
      <w:r w:rsidRPr="00816657">
        <w:rPr>
          <w:rFonts w:asciiTheme="minorHAnsi" w:hAnsiTheme="minorHAnsi" w:cs="Times New Roman"/>
          <w:color w:val="auto"/>
          <w:lang w:eastAsia="en-AU"/>
        </w:rPr>
        <w:t xml:space="preserve">vailable from: </w:t>
      </w:r>
      <w:hyperlink r:id="rId192" w:history="1">
        <w:r w:rsidRPr="00816657">
          <w:rPr>
            <w:rStyle w:val="Hyperlink"/>
            <w:rFonts w:asciiTheme="minorHAnsi" w:hAnsiTheme="minorHAnsi" w:cs="Times New Roman"/>
            <w:lang w:eastAsia="en-AU"/>
          </w:rPr>
          <w:t>http://www.metalbulletin.com/events/details/6516/4th-lithium-supply-and-markets/presentations.html</w:t>
        </w:r>
      </w:hyperlink>
    </w:p>
    <w:p w:rsidR="00122C00" w:rsidRPr="00816657" w:rsidRDefault="00122C00" w:rsidP="00FE2403">
      <w:pPr>
        <w:pStyle w:val="BodyText"/>
        <w:spacing w:after="120"/>
        <w:rPr>
          <w:rFonts w:asciiTheme="minorHAnsi" w:hAnsiTheme="minorHAnsi"/>
        </w:rPr>
      </w:pPr>
      <w:r w:rsidRPr="00816657">
        <w:rPr>
          <w:rFonts w:asciiTheme="minorHAnsi" w:hAnsiTheme="minorHAnsi" w:cs="Times New Roman"/>
          <w:color w:val="000000"/>
          <w:lang w:eastAsia="en-AU"/>
        </w:rPr>
        <w:t xml:space="preserve">BE &amp; REC (Blue Environment and Randell Environmental Consulting 2013) </w:t>
      </w:r>
      <w:r w:rsidRPr="00816657">
        <w:rPr>
          <w:rFonts w:asciiTheme="minorHAnsi" w:hAnsiTheme="minorHAnsi" w:cs="Times New Roman"/>
          <w:i/>
          <w:iCs/>
          <w:color w:val="000000"/>
          <w:lang w:eastAsia="en-AU"/>
        </w:rPr>
        <w:t xml:space="preserve">Waste Generation and Resource Recovery in Australia, Reporting Period 2010-11, </w:t>
      </w:r>
      <w:r w:rsidRPr="00816657">
        <w:rPr>
          <w:rFonts w:asciiTheme="minorHAnsi" w:hAnsiTheme="minorHAnsi" w:cs="Times New Roman"/>
          <w:color w:val="000000"/>
          <w:lang w:eastAsia="en-AU"/>
        </w:rPr>
        <w:t xml:space="preserve">prepared for the Department of the Environment, available from: </w:t>
      </w:r>
      <w:hyperlink r:id="rId193" w:history="1">
        <w:r w:rsidRPr="00816657">
          <w:rPr>
            <w:rStyle w:val="Hyperlink"/>
            <w:rFonts w:asciiTheme="minorHAnsi" w:hAnsiTheme="minorHAnsi" w:cs="Times New Roman"/>
            <w:lang w:eastAsia="en-AU"/>
          </w:rPr>
          <w:t>http://www.environment.gov.au/resource/waste-generation-and-resource-recovery-australia-report-and-data-workbooks</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Belot H (2014) Up to 150,000 tonnes of asbestos waste headed to West Belconnen, </w:t>
      </w:r>
      <w:r w:rsidRPr="00816657">
        <w:rPr>
          <w:rFonts w:asciiTheme="minorHAnsi" w:hAnsiTheme="minorHAnsi" w:cs="Times New Roman"/>
          <w:i/>
          <w:iCs/>
          <w:color w:val="000000"/>
          <w:lang w:eastAsia="en-AU"/>
        </w:rPr>
        <w:t>Canberra Times</w:t>
      </w:r>
      <w:r w:rsidRPr="00816657">
        <w:rPr>
          <w:rFonts w:asciiTheme="minorHAnsi" w:hAnsiTheme="minorHAnsi" w:cs="Times New Roman"/>
          <w:color w:val="000000"/>
          <w:lang w:eastAsia="en-AU"/>
        </w:rPr>
        <w:t xml:space="preserve">, </w:t>
      </w:r>
      <w:proofErr w:type="gramStart"/>
      <w:r w:rsidRPr="00816657">
        <w:rPr>
          <w:rFonts w:asciiTheme="minorHAnsi" w:hAnsiTheme="minorHAnsi" w:cs="Times New Roman"/>
          <w:color w:val="000000"/>
          <w:lang w:eastAsia="en-AU"/>
        </w:rPr>
        <w:t>18</w:t>
      </w:r>
      <w:proofErr w:type="gramEnd"/>
      <w:r w:rsidRPr="00816657">
        <w:rPr>
          <w:rFonts w:asciiTheme="minorHAnsi" w:hAnsiTheme="minorHAnsi" w:cs="Times New Roman"/>
          <w:color w:val="000000"/>
          <w:lang w:eastAsia="en-AU"/>
        </w:rPr>
        <w:t xml:space="preserve"> November, available from: </w:t>
      </w:r>
      <w:hyperlink r:id="rId194" w:anchor="ixzz3JyBJcv15" w:history="1">
        <w:r w:rsidRPr="00816657">
          <w:rPr>
            <w:rStyle w:val="Hyperlink"/>
            <w:rFonts w:asciiTheme="minorHAnsi" w:hAnsiTheme="minorHAnsi" w:cs="Times New Roman"/>
            <w:lang w:eastAsia="en-AU"/>
          </w:rPr>
          <w:t>http://www.canberratimes.com.au/act-news/up-to-150000-tonnes-of-asbestos-waste-headed-to-west-belconnen-20141118-11kt97.html#ixzz3JyBJcv15</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BREE (Bureau of Resources and Energy Economics 2012)</w:t>
      </w:r>
      <w:r w:rsidRPr="00816657">
        <w:rPr>
          <w:rFonts w:asciiTheme="minorHAnsi" w:hAnsiTheme="minorHAnsi" w:cs="Times New Roman"/>
          <w:i/>
          <w:iCs/>
          <w:color w:val="000000"/>
          <w:lang w:eastAsia="en-AU"/>
        </w:rPr>
        <w:t xml:space="preserve"> Australian energy projections to 2049-50, </w:t>
      </w:r>
      <w:r w:rsidR="00917D0E" w:rsidRPr="00816657">
        <w:rPr>
          <w:rFonts w:asciiTheme="minorHAnsi" w:hAnsiTheme="minorHAnsi" w:cs="Times New Roman"/>
          <w:color w:val="000000"/>
          <w:lang w:eastAsia="en-AU"/>
        </w:rPr>
        <w:t>available</w:t>
      </w:r>
      <w:r w:rsidRPr="00816657">
        <w:rPr>
          <w:rFonts w:asciiTheme="minorHAnsi" w:hAnsiTheme="minorHAnsi" w:cs="Times New Roman"/>
          <w:color w:val="000000"/>
          <w:lang w:eastAsia="en-AU"/>
        </w:rPr>
        <w:t xml:space="preserve"> from: </w:t>
      </w:r>
      <w:hyperlink r:id="rId195" w:history="1">
        <w:r w:rsidRPr="00816657">
          <w:rPr>
            <w:rStyle w:val="Hyperlink"/>
            <w:rFonts w:asciiTheme="minorHAnsi" w:hAnsiTheme="minorHAnsi" w:cs="Times New Roman"/>
            <w:lang w:eastAsia="en-AU"/>
          </w:rPr>
          <w:t>http://www.bree.gov.au/publications/australian-energy-projections-2049%E2%80%9350</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lastRenderedPageBreak/>
        <w:t xml:space="preserve">Clarke HG, Smith PL and Pitman AJ (2011) </w:t>
      </w:r>
      <w:r w:rsidRPr="00816657">
        <w:rPr>
          <w:rFonts w:asciiTheme="minorHAnsi" w:hAnsiTheme="minorHAnsi" w:cs="Times New Roman"/>
          <w:i/>
          <w:color w:val="000000"/>
          <w:lang w:eastAsia="en-AU"/>
        </w:rPr>
        <w:t>R</w:t>
      </w:r>
      <w:r w:rsidRPr="00816657">
        <w:rPr>
          <w:rFonts w:asciiTheme="minorHAnsi" w:hAnsiTheme="minorHAnsi" w:cs="Times New Roman"/>
          <w:i/>
          <w:iCs/>
          <w:color w:val="000000"/>
          <w:lang w:eastAsia="en-AU"/>
        </w:rPr>
        <w:t xml:space="preserve">egional signatures of future fire weather over eastern Australia from global climate models. </w:t>
      </w:r>
      <w:r w:rsidRPr="00816657">
        <w:rPr>
          <w:rFonts w:asciiTheme="minorHAnsi" w:hAnsiTheme="minorHAnsi" w:cs="Times New Roman"/>
          <w:iCs/>
          <w:color w:val="000000"/>
          <w:lang w:eastAsia="en-AU"/>
        </w:rPr>
        <w:t>International Journal of Wildland Fire 20, 550–562</w:t>
      </w:r>
      <w:r w:rsidRPr="00816657">
        <w:rPr>
          <w:rFonts w:asciiTheme="minorHAnsi" w:hAnsiTheme="minorHAnsi" w:cs="Times New Roman"/>
          <w:i/>
          <w:iCs/>
          <w:color w:val="000000"/>
          <w:lang w:eastAsia="en-AU"/>
        </w:rPr>
        <w:t>,</w:t>
      </w:r>
      <w:r w:rsidRPr="00816657">
        <w:rPr>
          <w:rFonts w:asciiTheme="minorHAnsi" w:hAnsiTheme="minorHAnsi" w:cs="Times New Roman"/>
          <w:color w:val="000000"/>
          <w:lang w:eastAsia="en-AU"/>
        </w:rPr>
        <w:t xml:space="preserve"> available at: </w:t>
      </w:r>
      <w:hyperlink r:id="rId196" w:history="1">
        <w:r w:rsidRPr="00816657">
          <w:rPr>
            <w:rStyle w:val="Hyperlink"/>
            <w:rFonts w:asciiTheme="minorHAnsi" w:hAnsiTheme="minorHAnsi" w:cs="Times New Roman"/>
            <w:lang w:eastAsia="en-AU"/>
          </w:rPr>
          <w:t>http://dx.doi.org/10.1071/WF10070</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Climate Commission (2013) </w:t>
      </w:r>
      <w:proofErr w:type="gramStart"/>
      <w:r w:rsidRPr="00816657">
        <w:rPr>
          <w:rFonts w:asciiTheme="minorHAnsi" w:hAnsiTheme="minorHAnsi" w:cs="Times New Roman"/>
          <w:i/>
          <w:color w:val="000000"/>
          <w:lang w:eastAsia="en-AU"/>
        </w:rPr>
        <w:t>T</w:t>
      </w:r>
      <w:r w:rsidRPr="00816657">
        <w:rPr>
          <w:rFonts w:asciiTheme="minorHAnsi" w:hAnsiTheme="minorHAnsi" w:cs="Times New Roman"/>
          <w:i/>
          <w:iCs/>
          <w:color w:val="000000"/>
          <w:lang w:eastAsia="en-AU"/>
        </w:rPr>
        <w:t>he</w:t>
      </w:r>
      <w:proofErr w:type="gramEnd"/>
      <w:r w:rsidRPr="00816657">
        <w:rPr>
          <w:rFonts w:asciiTheme="minorHAnsi" w:hAnsiTheme="minorHAnsi" w:cs="Times New Roman"/>
          <w:i/>
          <w:iCs/>
          <w:color w:val="000000"/>
          <w:lang w:eastAsia="en-AU"/>
        </w:rPr>
        <w:t xml:space="preserve"> critical decade: extreme weather,</w:t>
      </w:r>
      <w:r w:rsidRPr="00816657">
        <w:rPr>
          <w:rFonts w:asciiTheme="minorHAnsi" w:hAnsiTheme="minorHAnsi" w:cs="Times New Roman"/>
          <w:color w:val="000000"/>
          <w:lang w:eastAsia="en-AU"/>
        </w:rPr>
        <w:t xml:space="preserve"> </w:t>
      </w:r>
      <w:r w:rsidR="00BB1256" w:rsidRPr="00816657">
        <w:rPr>
          <w:rFonts w:asciiTheme="minorHAnsi" w:hAnsiTheme="minorHAnsi" w:cs="Times New Roman"/>
          <w:color w:val="000000"/>
          <w:lang w:eastAsia="en-AU"/>
        </w:rPr>
        <w:t>available</w:t>
      </w:r>
      <w:r w:rsidRPr="00816657">
        <w:rPr>
          <w:rFonts w:asciiTheme="minorHAnsi" w:hAnsiTheme="minorHAnsi" w:cs="Times New Roman"/>
          <w:color w:val="000000"/>
          <w:lang w:eastAsia="en-AU"/>
        </w:rPr>
        <w:t xml:space="preserve"> at: </w:t>
      </w:r>
      <w:hyperlink r:id="rId197" w:history="1">
        <w:r w:rsidRPr="00816657">
          <w:rPr>
            <w:rStyle w:val="Hyperlink"/>
            <w:rFonts w:asciiTheme="minorHAnsi" w:hAnsiTheme="minorHAnsi" w:cs="Times New Roman"/>
            <w:lang w:eastAsia="en-AU"/>
          </w:rPr>
          <w:t>http://climatecommission.angrygoats.net/wp-content/uploads/ExtremeWeatherReport_web.pdf</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Deloitte Access Economics, 2011, </w:t>
      </w:r>
      <w:r w:rsidRPr="00816657">
        <w:rPr>
          <w:rFonts w:asciiTheme="minorHAnsi" w:hAnsiTheme="minorHAnsi" w:cs="Times New Roman"/>
          <w:i/>
          <w:iCs/>
          <w:color w:val="000000"/>
          <w:lang w:eastAsia="en-AU"/>
        </w:rPr>
        <w:t>Long Term Economic and Demographic Projections, ADF Posture Review</w:t>
      </w:r>
      <w:r w:rsidRPr="00816657">
        <w:rPr>
          <w:rFonts w:asciiTheme="minorHAnsi" w:hAnsiTheme="minorHAnsi" w:cs="Times New Roman"/>
          <w:color w:val="000000"/>
          <w:lang w:eastAsia="en-AU"/>
        </w:rPr>
        <w:t xml:space="preserve">, prepared for the Department of Defence, November, available at: </w:t>
      </w:r>
      <w:hyperlink r:id="rId198" w:history="1">
        <w:r w:rsidRPr="00816657">
          <w:rPr>
            <w:rStyle w:val="Hyperlink"/>
            <w:rFonts w:asciiTheme="minorHAnsi" w:hAnsiTheme="minorHAnsi" w:cs="Times New Roman"/>
            <w:lang w:eastAsia="en-AU"/>
          </w:rPr>
          <w:t>http://www.defence.gov.au/oscdf/adf-posture-review/docs/interim/AttachD.pdf</w:t>
        </w:r>
      </w:hyperlink>
    </w:p>
    <w:p w:rsidR="00122C00" w:rsidRPr="00816657" w:rsidRDefault="00122C00"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DoE (Department of the Environment 2012) </w:t>
      </w:r>
      <w:r w:rsidRPr="00816657">
        <w:rPr>
          <w:rFonts w:asciiTheme="minorHAnsi" w:hAnsiTheme="minorHAnsi" w:cs="Times New Roman"/>
          <w:i/>
          <w:iCs/>
          <w:color w:val="000000"/>
          <w:lang w:eastAsia="en-AU"/>
        </w:rPr>
        <w:t xml:space="preserve">Industrial Processes Emissions Projections, </w:t>
      </w:r>
      <w:r w:rsidRPr="00816657">
        <w:rPr>
          <w:rFonts w:asciiTheme="minorHAnsi" w:hAnsiTheme="minorHAnsi" w:cs="Times New Roman"/>
          <w:color w:val="000000"/>
          <w:lang w:eastAsia="en-AU"/>
        </w:rPr>
        <w:t xml:space="preserve">available from: </w:t>
      </w:r>
      <w:hyperlink r:id="rId199" w:history="1">
        <w:r w:rsidRPr="00816657">
          <w:rPr>
            <w:rStyle w:val="Hyperlink"/>
            <w:rFonts w:asciiTheme="minorHAnsi" w:hAnsiTheme="minorHAnsi" w:cs="Times New Roman"/>
            <w:lang w:eastAsia="en-AU"/>
          </w:rPr>
          <w:t>http://www.climatechange.gov.au/sites/climatechange/files/files/climate-change/projections/aep-industrial.pdf</w:t>
        </w:r>
      </w:hyperlink>
    </w:p>
    <w:p w:rsidR="00122C00" w:rsidRPr="00816657" w:rsidRDefault="00122C00" w:rsidP="00FE2403">
      <w:pPr>
        <w:pStyle w:val="BodyText"/>
        <w:spacing w:after="120"/>
        <w:rPr>
          <w:rFonts w:asciiTheme="minorHAnsi" w:hAnsiTheme="minorHAnsi" w:cs="Times New Roman"/>
          <w:i/>
          <w:iCs/>
          <w:color w:val="000000"/>
          <w:lang w:eastAsia="en-AU"/>
        </w:rPr>
      </w:pPr>
      <w:r w:rsidRPr="00816657">
        <w:rPr>
          <w:rFonts w:asciiTheme="minorHAnsi" w:hAnsiTheme="minorHAnsi" w:cs="Times New Roman"/>
          <w:color w:val="000000"/>
          <w:lang w:eastAsia="en-AU"/>
        </w:rPr>
        <w:t xml:space="preserve">DoE (Department of the Environment 2012) </w:t>
      </w:r>
      <w:r w:rsidRPr="00816657">
        <w:rPr>
          <w:rFonts w:asciiTheme="minorHAnsi" w:hAnsiTheme="minorHAnsi" w:cs="Times New Roman"/>
          <w:i/>
          <w:iCs/>
          <w:color w:val="000000"/>
          <w:lang w:eastAsia="en-AU"/>
        </w:rPr>
        <w:t>Waste Emissions Projections</w:t>
      </w:r>
      <w:r w:rsidR="00917D0E" w:rsidRPr="00816657">
        <w:rPr>
          <w:rFonts w:asciiTheme="minorHAnsi" w:hAnsiTheme="minorHAnsi" w:cs="Times New Roman"/>
          <w:iCs/>
          <w:color w:val="000000"/>
          <w:lang w:eastAsia="en-AU"/>
        </w:rPr>
        <w:t xml:space="preserve">, available from: </w:t>
      </w:r>
      <w:hyperlink r:id="rId200" w:history="1">
        <w:r w:rsidR="00917D0E" w:rsidRPr="00816657">
          <w:rPr>
            <w:rStyle w:val="Hyperlink"/>
            <w:rFonts w:asciiTheme="minorHAnsi" w:hAnsiTheme="minorHAnsi" w:cs="Times New Roman"/>
            <w:iCs/>
            <w:lang w:eastAsia="en-AU"/>
          </w:rPr>
          <w:t>http://www.climatechange.gov.au/sites/climatechange/files/files/climate-change/projections/aep-waste.pdf</w:t>
        </w:r>
      </w:hyperlink>
    </w:p>
    <w:p w:rsidR="00122C00"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DoE (</w:t>
      </w:r>
      <w:r w:rsidR="00FE2403" w:rsidRPr="00816657">
        <w:rPr>
          <w:rFonts w:asciiTheme="minorHAnsi" w:hAnsiTheme="minorHAnsi" w:cs="Times New Roman"/>
          <w:color w:val="000000"/>
          <w:lang w:eastAsia="en-AU"/>
        </w:rPr>
        <w:t>Department of the environment</w:t>
      </w:r>
      <w:r w:rsidRPr="00816657">
        <w:rPr>
          <w:rFonts w:asciiTheme="minorHAnsi" w:hAnsiTheme="minorHAnsi" w:cs="Times New Roman"/>
          <w:color w:val="000000"/>
          <w:lang w:eastAsia="en-AU"/>
        </w:rPr>
        <w:t xml:space="preserve"> DoE), </w:t>
      </w:r>
      <w:r w:rsidRPr="00816657">
        <w:rPr>
          <w:rFonts w:asciiTheme="minorHAnsi" w:hAnsiTheme="minorHAnsi" w:cs="Times New Roman"/>
          <w:i/>
          <w:iCs/>
          <w:color w:val="000000"/>
          <w:lang w:eastAsia="en-AU"/>
        </w:rPr>
        <w:t>National Television and Computer Recycling Scheme,</w:t>
      </w:r>
      <w:r w:rsidRPr="00816657">
        <w:rPr>
          <w:rFonts w:asciiTheme="minorHAnsi" w:hAnsiTheme="minorHAnsi" w:cs="Times New Roman"/>
          <w:color w:val="000000"/>
          <w:lang w:eastAsia="en-AU"/>
        </w:rPr>
        <w:t xml:space="preserve"> </w:t>
      </w:r>
      <w:r w:rsidR="00917D0E" w:rsidRPr="00816657">
        <w:rPr>
          <w:rFonts w:asciiTheme="minorHAnsi" w:hAnsiTheme="minorHAnsi" w:cs="Times New Roman"/>
          <w:color w:val="000000"/>
          <w:lang w:eastAsia="en-AU"/>
        </w:rPr>
        <w:t xml:space="preserve">available </w:t>
      </w:r>
      <w:r w:rsidRPr="00816657">
        <w:rPr>
          <w:rFonts w:asciiTheme="minorHAnsi" w:hAnsiTheme="minorHAnsi" w:cs="Times New Roman"/>
          <w:color w:val="000000"/>
          <w:lang w:eastAsia="en-AU"/>
        </w:rPr>
        <w:t>from:</w:t>
      </w:r>
      <w:r w:rsidR="00F954D8" w:rsidRPr="00816657">
        <w:rPr>
          <w:rFonts w:asciiTheme="minorHAnsi" w:hAnsiTheme="minorHAnsi" w:cs="Times New Roman"/>
          <w:color w:val="000000"/>
          <w:lang w:eastAsia="en-AU"/>
        </w:rPr>
        <w:t xml:space="preserve"> </w:t>
      </w:r>
      <w:hyperlink r:id="rId201" w:history="1">
        <w:r w:rsidRPr="00816657">
          <w:rPr>
            <w:rStyle w:val="Hyperlink"/>
            <w:rFonts w:asciiTheme="minorHAnsi" w:hAnsiTheme="minorHAnsi" w:cs="Times New Roman"/>
            <w:lang w:eastAsia="en-AU"/>
          </w:rPr>
          <w:t>http://www.environment.gov.au/settlements/waste/ewaste/about.html</w:t>
        </w:r>
      </w:hyperlink>
      <w:r w:rsidR="00917D0E" w:rsidRPr="00816657">
        <w:rPr>
          <w:rFonts w:asciiTheme="minorHAnsi" w:hAnsiTheme="minorHAnsi" w:cs="Times New Roman"/>
          <w:color w:val="000000"/>
          <w:lang w:eastAsia="en-AU"/>
        </w:rPr>
        <w:t xml:space="preserve"> (downloaded January 2013)</w:t>
      </w:r>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DoE (</w:t>
      </w:r>
      <w:r w:rsidR="00FE2403" w:rsidRPr="00816657">
        <w:rPr>
          <w:rFonts w:asciiTheme="minorHAnsi" w:hAnsiTheme="minorHAnsi" w:cs="Times New Roman"/>
          <w:color w:val="000000"/>
          <w:lang w:eastAsia="en-AU"/>
        </w:rPr>
        <w:t>Department of the environment</w:t>
      </w:r>
      <w:r w:rsidRPr="00816657">
        <w:rPr>
          <w:rFonts w:asciiTheme="minorHAnsi" w:hAnsiTheme="minorHAnsi" w:cs="Times New Roman"/>
          <w:color w:val="000000"/>
          <w:lang w:eastAsia="en-AU"/>
        </w:rPr>
        <w:t xml:space="preserve"> 2013) </w:t>
      </w:r>
      <w:r w:rsidRPr="00816657">
        <w:rPr>
          <w:rFonts w:asciiTheme="minorHAnsi" w:hAnsiTheme="minorHAnsi" w:cs="Times New Roman"/>
          <w:i/>
          <w:iCs/>
          <w:color w:val="000000"/>
          <w:lang w:eastAsia="en-AU"/>
        </w:rPr>
        <w:t>National Waste Reporting 2013, Factsheet - Biosolids Profile</w:t>
      </w:r>
      <w:r w:rsidRPr="00816657">
        <w:rPr>
          <w:rFonts w:asciiTheme="minorHAnsi" w:hAnsiTheme="minorHAnsi" w:cs="Times New Roman"/>
          <w:color w:val="000000"/>
          <w:lang w:eastAsia="en-AU"/>
        </w:rPr>
        <w:t xml:space="preserve">, available from: </w:t>
      </w:r>
      <w:hyperlink r:id="rId202" w:history="1">
        <w:r w:rsidRPr="00816657">
          <w:rPr>
            <w:rStyle w:val="Hyperlink"/>
            <w:rFonts w:asciiTheme="minorHAnsi" w:hAnsiTheme="minorHAnsi" w:cs="Times New Roman"/>
            <w:lang w:eastAsia="en-AU"/>
          </w:rPr>
          <w:t>http://www.environment.gov.au/system/files/resources/0a517ed7-74cb-418b-9319-7624491e4921/files/factsheet-biosolids.pdf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DoE (</w:t>
      </w:r>
      <w:r w:rsidR="00FE2403" w:rsidRPr="00816657">
        <w:rPr>
          <w:rFonts w:asciiTheme="minorHAnsi" w:hAnsiTheme="minorHAnsi" w:cs="Times New Roman"/>
          <w:color w:val="000000"/>
          <w:lang w:eastAsia="en-AU"/>
        </w:rPr>
        <w:t>Department of the environment</w:t>
      </w:r>
      <w:r w:rsidRPr="00816657">
        <w:rPr>
          <w:rFonts w:asciiTheme="minorHAnsi" w:hAnsiTheme="minorHAnsi" w:cs="Times New Roman"/>
          <w:color w:val="000000"/>
          <w:lang w:eastAsia="en-AU"/>
        </w:rPr>
        <w:t xml:space="preserve"> 2014) </w:t>
      </w:r>
      <w:r w:rsidRPr="00816657">
        <w:rPr>
          <w:rFonts w:asciiTheme="minorHAnsi" w:hAnsiTheme="minorHAnsi" w:cs="Times New Roman"/>
          <w:i/>
          <w:iCs/>
          <w:color w:val="000000"/>
          <w:lang w:eastAsia="en-AU"/>
        </w:rPr>
        <w:t xml:space="preserve">National Television and Computer Recycling Scheme Outcomes 2012–13 February 2014, </w:t>
      </w:r>
      <w:r w:rsidRPr="00816657">
        <w:rPr>
          <w:rFonts w:asciiTheme="minorHAnsi" w:hAnsiTheme="minorHAnsi" w:cs="Times New Roman"/>
          <w:color w:val="000000"/>
          <w:lang w:eastAsia="en-AU"/>
        </w:rPr>
        <w:t xml:space="preserve">available from: </w:t>
      </w:r>
      <w:hyperlink r:id="rId203" w:history="1">
        <w:r w:rsidRPr="00816657">
          <w:rPr>
            <w:rStyle w:val="Hyperlink"/>
            <w:rFonts w:asciiTheme="minorHAnsi" w:hAnsiTheme="minorHAnsi" w:cs="Times New Roman"/>
            <w:lang w:eastAsia="en-AU"/>
          </w:rPr>
          <w:t>http://www.environment.gov.au/system/files/resources/bf250125-bf51-42ce-9611-6784e2498ecd/files/scheme-outcomes-2012-13.pdf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DoE (Department of the Environment 2014), </w:t>
      </w:r>
      <w:r w:rsidRPr="00816657">
        <w:rPr>
          <w:rFonts w:asciiTheme="minorHAnsi" w:hAnsiTheme="minorHAnsi" w:cs="Times New Roman"/>
          <w:i/>
          <w:iCs/>
          <w:color w:val="000000"/>
          <w:lang w:eastAsia="en-AU"/>
        </w:rPr>
        <w:t>Co-produced water - risks to aquatic ecosystems</w:t>
      </w:r>
      <w:r w:rsidRPr="00816657">
        <w:rPr>
          <w:rFonts w:asciiTheme="minorHAnsi" w:hAnsiTheme="minorHAnsi" w:cs="Times New Roman"/>
          <w:color w:val="000000"/>
          <w:lang w:eastAsia="en-AU"/>
        </w:rPr>
        <w:t xml:space="preserve">, </w:t>
      </w:r>
      <w:r w:rsidR="00917D0E" w:rsidRPr="00816657">
        <w:rPr>
          <w:rFonts w:asciiTheme="minorHAnsi" w:hAnsiTheme="minorHAnsi" w:cs="Times New Roman"/>
          <w:color w:val="000000"/>
          <w:lang w:eastAsia="en-AU"/>
        </w:rPr>
        <w:t xml:space="preserve">available from: </w:t>
      </w:r>
      <w:hyperlink r:id="rId204" w:history="1">
        <w:r w:rsidRPr="00816657">
          <w:rPr>
            <w:rStyle w:val="Hyperlink"/>
            <w:rFonts w:asciiTheme="minorHAnsi" w:hAnsiTheme="minorHAnsi" w:cs="Times New Roman"/>
            <w:lang w:eastAsia="en-AU"/>
          </w:rPr>
          <w:t>http://iesc.environment.gov.au/pubs/background-review-co-produced-water.pdf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DNRE (Department of Natural Resources and Environment Victoria, 2002) </w:t>
      </w:r>
      <w:r w:rsidRPr="00816657">
        <w:rPr>
          <w:rFonts w:asciiTheme="minorHAnsi" w:hAnsiTheme="minorHAnsi" w:cs="Times New Roman"/>
          <w:i/>
          <w:iCs/>
          <w:color w:val="000000"/>
          <w:lang w:eastAsia="en-AU"/>
        </w:rPr>
        <w:t xml:space="preserve">Moving </w:t>
      </w:r>
      <w:proofErr w:type="gramStart"/>
      <w:r w:rsidRPr="00816657">
        <w:rPr>
          <w:rFonts w:asciiTheme="minorHAnsi" w:hAnsiTheme="minorHAnsi" w:cs="Times New Roman"/>
          <w:i/>
          <w:iCs/>
          <w:color w:val="000000"/>
          <w:lang w:eastAsia="en-AU"/>
        </w:rPr>
        <w:t>Towards</w:t>
      </w:r>
      <w:proofErr w:type="gramEnd"/>
      <w:r w:rsidRPr="00816657">
        <w:rPr>
          <w:rFonts w:asciiTheme="minorHAnsi" w:hAnsiTheme="minorHAnsi" w:cs="Times New Roman"/>
          <w:i/>
          <w:iCs/>
          <w:color w:val="000000"/>
          <w:lang w:eastAsia="en-AU"/>
        </w:rPr>
        <w:t xml:space="preserve"> Sustainable Biosolids Management</w:t>
      </w:r>
      <w:r w:rsidRPr="00816657">
        <w:rPr>
          <w:rFonts w:asciiTheme="minorHAnsi" w:hAnsiTheme="minorHAnsi" w:cs="Times New Roman"/>
          <w:color w:val="000000"/>
          <w:lang w:eastAsia="en-AU"/>
        </w:rPr>
        <w:t xml:space="preserve">, available from: </w:t>
      </w:r>
      <w:hyperlink r:id="rId205" w:history="1">
        <w:r w:rsidRPr="00816657">
          <w:rPr>
            <w:rStyle w:val="Hyperlink"/>
            <w:rFonts w:asciiTheme="minorHAnsi" w:hAnsiTheme="minorHAnsi" w:cs="Times New Roman"/>
            <w:lang w:eastAsia="en-AU"/>
          </w:rPr>
          <w:t>ftp://seav.vic.gov.au/renewable_energy_old/resources/bioenergy/Moving_towards_Sustainable_Biosolids_management.pdf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ENVIRON (2013) </w:t>
      </w:r>
      <w:r w:rsidRPr="00816657">
        <w:rPr>
          <w:rFonts w:asciiTheme="minorHAnsi" w:hAnsiTheme="minorHAnsi" w:cs="Times New Roman"/>
          <w:i/>
          <w:iCs/>
          <w:color w:val="000000"/>
          <w:lang w:eastAsia="en-AU"/>
        </w:rPr>
        <w:t>Brominated Flame Retardant Research: A Pilot Study of E-waste Plastic Sorting in New Zealand</w:t>
      </w:r>
      <w:r w:rsidRPr="00816657">
        <w:rPr>
          <w:rFonts w:asciiTheme="minorHAnsi" w:hAnsiTheme="minorHAnsi" w:cs="Times New Roman"/>
          <w:color w:val="000000"/>
          <w:lang w:eastAsia="en-AU"/>
        </w:rPr>
        <w:t xml:space="preserve">, available from: </w:t>
      </w:r>
      <w:hyperlink r:id="rId206" w:history="1">
        <w:r w:rsidRPr="00816657">
          <w:rPr>
            <w:rStyle w:val="Hyperlink"/>
            <w:rFonts w:asciiTheme="minorHAnsi" w:hAnsiTheme="minorHAnsi" w:cs="Times New Roman"/>
            <w:lang w:eastAsia="en-AU"/>
          </w:rPr>
          <w:t>http://www.mfe.govt.nz/publications/waste/bromide-flame-retardant-waste/pilot-study-e-waste-plastic-sorting.pdf</w:t>
        </w:r>
      </w:hyperlink>
    </w:p>
    <w:p w:rsidR="0020390A" w:rsidRPr="0020390A" w:rsidRDefault="0020390A" w:rsidP="00FE2403">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EPA Vic (2004) </w:t>
      </w:r>
      <w:r>
        <w:rPr>
          <w:rFonts w:asciiTheme="minorHAnsi" w:hAnsiTheme="minorHAnsi" w:cs="Times New Roman"/>
          <w:i/>
          <w:color w:val="000000"/>
          <w:lang w:eastAsia="en-AU"/>
        </w:rPr>
        <w:t xml:space="preserve">Guidelines for Environmental Management: Biosolids Land Application, </w:t>
      </w:r>
      <w:r>
        <w:rPr>
          <w:rFonts w:asciiTheme="minorHAnsi" w:hAnsiTheme="minorHAnsi" w:cs="Times New Roman"/>
          <w:color w:val="000000"/>
          <w:lang w:eastAsia="en-AU"/>
        </w:rPr>
        <w:t xml:space="preserve">publication 943, available from: </w:t>
      </w:r>
      <w:hyperlink r:id="rId207" w:history="1">
        <w:r w:rsidRPr="008D7F01">
          <w:rPr>
            <w:rStyle w:val="Hyperlink"/>
            <w:rFonts w:asciiTheme="minorHAnsi" w:hAnsiTheme="minorHAnsi" w:cs="Times New Roman"/>
            <w:lang w:eastAsia="en-AU"/>
          </w:rPr>
          <w:t>http://www.epa.vic.gov.au/~/media/Publications/943.pdf</w:t>
        </w:r>
      </w:hyperlink>
      <w:r>
        <w:rPr>
          <w:rFonts w:asciiTheme="minorHAnsi" w:hAnsiTheme="minorHAnsi" w:cs="Times New Roman"/>
          <w:color w:val="000000"/>
          <w:lang w:eastAsia="en-AU"/>
        </w:rPr>
        <w:t xml:space="preserve"> </w:t>
      </w:r>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EPHC (Environment Protection and Heritage Council, 2009) </w:t>
      </w:r>
      <w:r w:rsidRPr="00816657">
        <w:rPr>
          <w:rFonts w:asciiTheme="minorHAnsi" w:hAnsiTheme="minorHAnsi" w:cs="Times New Roman"/>
          <w:i/>
          <w:iCs/>
          <w:color w:val="000000"/>
          <w:lang w:eastAsia="en-AU"/>
        </w:rPr>
        <w:t>Decision Regulatory Impact Statement: Televisions and Computers</w:t>
      </w:r>
      <w:r w:rsidRPr="00816657">
        <w:rPr>
          <w:rFonts w:asciiTheme="minorHAnsi" w:hAnsiTheme="minorHAnsi" w:cs="Times New Roman"/>
          <w:color w:val="000000"/>
          <w:lang w:eastAsia="en-AU"/>
        </w:rPr>
        <w:t xml:space="preserve">, October, available from: </w:t>
      </w:r>
      <w:hyperlink r:id="rId208" w:history="1">
        <w:r w:rsidRPr="00816657">
          <w:rPr>
            <w:rStyle w:val="Hyperlink"/>
            <w:rFonts w:asciiTheme="minorHAnsi" w:hAnsiTheme="minorHAnsi" w:cs="Times New Roman"/>
            <w:lang w:eastAsia="en-AU"/>
          </w:rPr>
          <w:t>http://www.ephc.gov.au/sites/default/files/PS_TV_Comp__Decision_RIS__Televisions_and_Computers__200911_0.pdf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ESWI (2011) </w:t>
      </w:r>
      <w:r w:rsidRPr="00816657">
        <w:rPr>
          <w:rFonts w:asciiTheme="minorHAnsi" w:hAnsiTheme="minorHAnsi" w:cs="Times New Roman"/>
          <w:i/>
          <w:iCs/>
          <w:color w:val="000000"/>
          <w:lang w:eastAsia="en-AU"/>
        </w:rPr>
        <w:t>Final Report, Study on waste related issues of newly listed POPs and candidate POPs</w:t>
      </w:r>
      <w:r w:rsidRPr="00816657">
        <w:rPr>
          <w:rFonts w:asciiTheme="minorHAnsi" w:hAnsiTheme="minorHAnsi" w:cs="Times New Roman"/>
          <w:color w:val="000000"/>
          <w:lang w:eastAsia="en-AU"/>
        </w:rPr>
        <w:t xml:space="preserve">, available from: </w:t>
      </w:r>
      <w:hyperlink r:id="rId209" w:history="1">
        <w:r w:rsidRPr="00816657">
          <w:rPr>
            <w:rStyle w:val="Hyperlink"/>
            <w:rFonts w:asciiTheme="minorHAnsi" w:hAnsiTheme="minorHAnsi" w:cs="Times New Roman"/>
            <w:lang w:eastAsia="en-AU"/>
          </w:rPr>
          <w:t>http://ec.europa.eu/environment/waste/studies/pdf/POP_Waste_2011.pdf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Hyder Consulting (2012) </w:t>
      </w:r>
      <w:r w:rsidRPr="00816657">
        <w:rPr>
          <w:rFonts w:asciiTheme="minorHAnsi" w:hAnsiTheme="minorHAnsi" w:cs="Times New Roman"/>
          <w:i/>
          <w:iCs/>
          <w:color w:val="000000"/>
          <w:lang w:eastAsia="en-AU"/>
        </w:rPr>
        <w:t xml:space="preserve">Study into domestic and international fate of end- of-life tyres, </w:t>
      </w:r>
      <w:r w:rsidRPr="00816657">
        <w:rPr>
          <w:rFonts w:asciiTheme="minorHAnsi" w:hAnsiTheme="minorHAnsi" w:cs="Times New Roman"/>
          <w:color w:val="000000"/>
          <w:lang w:eastAsia="en-AU"/>
        </w:rPr>
        <w:t xml:space="preserve">prepared for Environment Protection and Heritage Council, May 2012, available from: </w:t>
      </w:r>
      <w:hyperlink r:id="rId210" w:history="1">
        <w:r w:rsidRPr="00816657">
          <w:rPr>
            <w:rStyle w:val="Hyperlink"/>
            <w:rFonts w:asciiTheme="minorHAnsi" w:hAnsiTheme="minorHAnsi" w:cs="Times New Roman"/>
            <w:lang w:eastAsia="en-AU"/>
          </w:rPr>
          <w:t>http://www.scew.gov.au/sites/www.scew.gov.au/files/resources/023a5607-0964-47e0-92cd-78fc0e6bb14e/files/hyder-end-life-tyres.pdf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IBIS World market research, 2014</w:t>
      </w:r>
      <w:r w:rsidR="00917D0E" w:rsidRPr="00816657">
        <w:rPr>
          <w:rFonts w:asciiTheme="minorHAnsi" w:hAnsiTheme="minorHAnsi" w:cs="Times New Roman"/>
          <w:color w:val="000000"/>
          <w:lang w:eastAsia="en-AU"/>
        </w:rPr>
        <w:t xml:space="preserve">, available from: </w:t>
      </w:r>
      <w:hyperlink r:id="rId211" w:history="1">
        <w:r w:rsidR="00917D0E" w:rsidRPr="00816657">
          <w:rPr>
            <w:rStyle w:val="Hyperlink"/>
            <w:rFonts w:asciiTheme="minorHAnsi" w:hAnsiTheme="minorHAnsi" w:cs="Times New Roman"/>
            <w:lang w:eastAsia="en-AU"/>
          </w:rPr>
          <w:t>http://www.ibisworld.com.au</w:t>
        </w:r>
      </w:hyperlink>
      <w:r w:rsidR="00917D0E" w:rsidRPr="00816657">
        <w:rPr>
          <w:rFonts w:asciiTheme="minorHAnsi" w:hAnsiTheme="minorHAnsi" w:cs="Times New Roman"/>
          <w:color w:val="000000"/>
          <w:lang w:eastAsia="en-AU"/>
        </w:rPr>
        <w:t xml:space="preserve"> </w:t>
      </w:r>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Insight economics</w:t>
      </w:r>
      <w:r w:rsidR="00917D0E" w:rsidRPr="00816657">
        <w:rPr>
          <w:rFonts w:asciiTheme="minorHAnsi" w:hAnsiTheme="minorHAnsi" w:cs="Times New Roman"/>
          <w:color w:val="000000"/>
          <w:lang w:eastAsia="en-AU"/>
        </w:rPr>
        <w:t xml:space="preserve"> (2013)</w:t>
      </w:r>
      <w:r w:rsidRPr="00816657">
        <w:rPr>
          <w:rFonts w:asciiTheme="minorHAnsi" w:hAnsiTheme="minorHAnsi" w:cs="Times New Roman"/>
          <w:color w:val="000000"/>
          <w:lang w:eastAsia="en-AU"/>
        </w:rPr>
        <w:t>,</w:t>
      </w:r>
      <w:r w:rsidRPr="00816657">
        <w:rPr>
          <w:rFonts w:asciiTheme="minorHAnsi" w:hAnsiTheme="minorHAnsi" w:cs="Times New Roman"/>
          <w:i/>
          <w:iCs/>
          <w:color w:val="000000"/>
          <w:lang w:eastAsia="en-AU"/>
        </w:rPr>
        <w:t xml:space="preserve"> Modelling the Australian Workforce and Productivity Agency Scenarios for South</w:t>
      </w:r>
      <w:r w:rsidR="00917D0E" w:rsidRPr="00816657">
        <w:rPr>
          <w:rFonts w:asciiTheme="minorHAnsi" w:hAnsiTheme="minorHAnsi" w:cs="Times New Roman"/>
          <w:i/>
          <w:iCs/>
          <w:color w:val="000000"/>
          <w:lang w:eastAsia="en-AU"/>
        </w:rPr>
        <w:t xml:space="preserve"> </w:t>
      </w:r>
      <w:r w:rsidRPr="00816657">
        <w:rPr>
          <w:rFonts w:asciiTheme="minorHAnsi" w:hAnsiTheme="minorHAnsi" w:cs="Times New Roman"/>
          <w:i/>
          <w:iCs/>
          <w:color w:val="000000"/>
          <w:lang w:eastAsia="en-AU"/>
        </w:rPr>
        <w:t>Australia</w:t>
      </w:r>
      <w:r w:rsidRPr="00816657">
        <w:rPr>
          <w:rFonts w:asciiTheme="minorHAnsi" w:hAnsiTheme="minorHAnsi" w:cs="Times New Roman"/>
          <w:iCs/>
          <w:color w:val="000000"/>
          <w:lang w:eastAsia="en-AU"/>
        </w:rPr>
        <w:t xml:space="preserve">, </w:t>
      </w:r>
      <w:r w:rsidR="00917D0E" w:rsidRPr="00816657">
        <w:rPr>
          <w:rFonts w:asciiTheme="minorHAnsi" w:hAnsiTheme="minorHAnsi" w:cs="Times New Roman"/>
          <w:color w:val="000000"/>
          <w:lang w:eastAsia="en-AU"/>
        </w:rPr>
        <w:t>available</w:t>
      </w:r>
      <w:r w:rsidRPr="00816657">
        <w:rPr>
          <w:rFonts w:asciiTheme="minorHAnsi" w:hAnsiTheme="minorHAnsi" w:cs="Times New Roman"/>
          <w:color w:val="000000"/>
          <w:lang w:eastAsia="en-AU"/>
        </w:rPr>
        <w:t xml:space="preserve"> from: </w:t>
      </w:r>
      <w:hyperlink r:id="rId212" w:history="1">
        <w:r w:rsidRPr="00816657">
          <w:rPr>
            <w:rStyle w:val="Hyperlink"/>
            <w:rFonts w:asciiTheme="minorHAnsi" w:hAnsiTheme="minorHAnsi" w:cs="Times New Roman"/>
            <w:lang w:eastAsia="en-AU"/>
          </w:rPr>
          <w:t>http://www.premier.sa.gov.au/ecostat/Modelling_AWPA_Scenarios_for_SA.pdf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Infrastructure NSW,</w:t>
      </w:r>
      <w:r w:rsidRPr="00816657">
        <w:rPr>
          <w:rFonts w:asciiTheme="minorHAnsi" w:hAnsiTheme="minorHAnsi" w:cs="Times New Roman"/>
          <w:i/>
          <w:iCs/>
          <w:color w:val="000000"/>
          <w:lang w:eastAsia="en-AU"/>
        </w:rPr>
        <w:t xml:space="preserve"> State Infrastructure Strategy, Chapter 13,</w:t>
      </w:r>
      <w:r w:rsidRPr="00816657">
        <w:rPr>
          <w:rFonts w:asciiTheme="minorHAnsi" w:hAnsiTheme="minorHAnsi" w:cs="Times New Roman"/>
          <w:color w:val="000000"/>
          <w:lang w:eastAsia="en-AU"/>
        </w:rPr>
        <w:t xml:space="preserve"> </w:t>
      </w:r>
      <w:r w:rsidR="00917D0E" w:rsidRPr="00816657">
        <w:rPr>
          <w:rFonts w:asciiTheme="minorHAnsi" w:hAnsiTheme="minorHAnsi" w:cs="Times New Roman"/>
          <w:color w:val="000000"/>
          <w:lang w:eastAsia="en-AU"/>
        </w:rPr>
        <w:t>available</w:t>
      </w:r>
      <w:r w:rsidRPr="00816657">
        <w:rPr>
          <w:rFonts w:asciiTheme="minorHAnsi" w:hAnsiTheme="minorHAnsi" w:cs="Times New Roman"/>
          <w:color w:val="000000"/>
          <w:lang w:eastAsia="en-AU"/>
        </w:rPr>
        <w:t xml:space="preserve"> at: </w:t>
      </w:r>
      <w:hyperlink r:id="rId213" w:history="1">
        <w:r w:rsidRPr="00816657">
          <w:rPr>
            <w:rStyle w:val="Hyperlink"/>
            <w:rFonts w:asciiTheme="minorHAnsi" w:hAnsiTheme="minorHAnsi" w:cs="Times New Roman"/>
            <w:lang w:eastAsia="en-AU"/>
          </w:rPr>
          <w:t>http://www.infrastructure.nsw.gov.au/media/17000/sis_report_section13.0_print.pdf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JCP Investment Partners (2012) </w:t>
      </w:r>
      <w:r w:rsidRPr="00816657">
        <w:rPr>
          <w:rFonts w:asciiTheme="minorHAnsi" w:hAnsiTheme="minorHAnsi" w:cs="Times New Roman"/>
          <w:i/>
          <w:iCs/>
          <w:color w:val="000000"/>
          <w:lang w:eastAsia="en-AU"/>
        </w:rPr>
        <w:t>The Aluminium Market Outlook</w:t>
      </w:r>
      <w:r w:rsidRPr="00816657">
        <w:rPr>
          <w:rFonts w:asciiTheme="minorHAnsi" w:hAnsiTheme="minorHAnsi" w:cs="Times New Roman"/>
          <w:color w:val="000000"/>
          <w:lang w:eastAsia="en-AU"/>
        </w:rPr>
        <w:t xml:space="preserve">, August, available from: </w:t>
      </w:r>
      <w:hyperlink r:id="rId214" w:history="1">
        <w:r w:rsidRPr="00816657">
          <w:rPr>
            <w:rStyle w:val="Hyperlink"/>
            <w:rFonts w:asciiTheme="minorHAnsi" w:hAnsiTheme="minorHAnsi" w:cs="Times New Roman"/>
            <w:lang w:eastAsia="en-AU"/>
          </w:rPr>
          <w:t>http://jcpip.com.au/docs/jcp-investment-partners-the-aluminium-market-outlook-august-2012.pdf</w:t>
        </w:r>
      </w:hyperlink>
    </w:p>
    <w:p w:rsidR="00F7065E" w:rsidRPr="00816657" w:rsidRDefault="00F7065E" w:rsidP="00FE2403">
      <w:pPr>
        <w:pStyle w:val="BodyText"/>
        <w:spacing w:after="120"/>
        <w:rPr>
          <w:rFonts w:asciiTheme="minorHAnsi" w:hAnsiTheme="minorHAnsi" w:cs="Times New Roman"/>
          <w:color w:val="auto"/>
          <w:lang w:eastAsia="en-AU"/>
        </w:rPr>
      </w:pPr>
      <w:r w:rsidRPr="00816657">
        <w:rPr>
          <w:rFonts w:asciiTheme="minorHAnsi" w:hAnsiTheme="minorHAnsi" w:cs="Times New Roman"/>
          <w:color w:val="auto"/>
          <w:lang w:eastAsia="en-AU"/>
        </w:rPr>
        <w:t>Lewis H, CEO Australian Battery Recycling Initiative (</w:t>
      </w:r>
      <w:r w:rsidR="00803950">
        <w:rPr>
          <w:rFonts w:asciiTheme="minorHAnsi" w:hAnsiTheme="minorHAnsi" w:cs="Times New Roman"/>
          <w:color w:val="auto"/>
          <w:lang w:eastAsia="en-AU"/>
        </w:rPr>
        <w:t xml:space="preserve">ABRI </w:t>
      </w:r>
      <w:r w:rsidRPr="00816657">
        <w:rPr>
          <w:rFonts w:asciiTheme="minorHAnsi" w:hAnsiTheme="minorHAnsi" w:cs="Times New Roman"/>
          <w:color w:val="auto"/>
          <w:lang w:eastAsia="en-AU"/>
        </w:rPr>
        <w:t xml:space="preserve">2014) Battery stewardship and recycling update, presentation to </w:t>
      </w:r>
      <w:r w:rsidRPr="00816657">
        <w:rPr>
          <w:rFonts w:asciiTheme="minorHAnsi" w:hAnsiTheme="minorHAnsi" w:cs="Times New Roman"/>
          <w:i/>
          <w:iCs/>
          <w:color w:val="auto"/>
          <w:lang w:eastAsia="en-AU"/>
        </w:rPr>
        <w:t>Waste Expo 2014</w:t>
      </w:r>
      <w:r w:rsidRPr="00816657">
        <w:rPr>
          <w:rFonts w:asciiTheme="minorHAnsi" w:hAnsiTheme="minorHAnsi" w:cs="Times New Roman"/>
          <w:color w:val="auto"/>
          <w:lang w:eastAsia="en-AU"/>
        </w:rPr>
        <w:t>, Melbourne, 16 May 2014</w:t>
      </w:r>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LCA (Lighting Council Australia 2013) </w:t>
      </w:r>
      <w:proofErr w:type="gramStart"/>
      <w:r w:rsidRPr="00816657">
        <w:rPr>
          <w:rFonts w:asciiTheme="minorHAnsi" w:hAnsiTheme="minorHAnsi" w:cs="Times New Roman"/>
          <w:i/>
          <w:iCs/>
          <w:color w:val="000000"/>
          <w:lang w:eastAsia="en-AU"/>
        </w:rPr>
        <w:t>Why</w:t>
      </w:r>
      <w:proofErr w:type="gramEnd"/>
      <w:r w:rsidRPr="00816657">
        <w:rPr>
          <w:rFonts w:asciiTheme="minorHAnsi" w:hAnsiTheme="minorHAnsi" w:cs="Times New Roman"/>
          <w:i/>
          <w:iCs/>
          <w:color w:val="000000"/>
          <w:lang w:eastAsia="en-AU"/>
        </w:rPr>
        <w:t xml:space="preserve"> should we Recycle our Waste Lighting?</w:t>
      </w:r>
      <w:r w:rsidRPr="00816657">
        <w:rPr>
          <w:rFonts w:asciiTheme="minorHAnsi" w:hAnsiTheme="minorHAnsi" w:cs="Times New Roman"/>
          <w:color w:val="000000"/>
          <w:lang w:eastAsia="en-AU"/>
        </w:rPr>
        <w:t xml:space="preserve"> </w:t>
      </w:r>
      <w:r w:rsidR="00917D0E" w:rsidRPr="00816657">
        <w:rPr>
          <w:rFonts w:asciiTheme="minorHAnsi" w:hAnsiTheme="minorHAnsi" w:cs="Times New Roman"/>
          <w:color w:val="000000"/>
          <w:lang w:eastAsia="en-AU"/>
        </w:rPr>
        <w:t xml:space="preserve">Available from: </w:t>
      </w:r>
      <w:hyperlink r:id="rId215" w:history="1">
        <w:r w:rsidRPr="00816657">
          <w:rPr>
            <w:rStyle w:val="Hyperlink"/>
            <w:rFonts w:asciiTheme="minorHAnsi" w:hAnsiTheme="minorHAnsi" w:cs="Times New Roman"/>
            <w:lang w:eastAsia="en-AU"/>
          </w:rPr>
          <w:t>http://www.fluorocycle.org.au/why-recycle.php</w:t>
        </w:r>
      </w:hyperlink>
      <w:r w:rsidR="00917D0E" w:rsidRPr="00816657">
        <w:rPr>
          <w:rFonts w:asciiTheme="minorHAnsi" w:hAnsiTheme="minorHAnsi" w:cs="Times New Roman"/>
          <w:color w:val="000000"/>
          <w:lang w:eastAsia="en-AU"/>
        </w:rPr>
        <w:t xml:space="preserve"> (downloaded January 2013)</w:t>
      </w:r>
    </w:p>
    <w:p w:rsidR="00122C00" w:rsidRPr="00816657" w:rsidRDefault="00F7065E" w:rsidP="00FE2403">
      <w:pPr>
        <w:pStyle w:val="BodyText"/>
        <w:spacing w:after="120"/>
        <w:rPr>
          <w:rFonts w:asciiTheme="minorHAnsi" w:hAnsiTheme="minorHAnsi" w:cs="Times New Roman"/>
          <w:i/>
          <w:iCs/>
          <w:color w:val="000000"/>
          <w:lang w:eastAsia="en-AU"/>
        </w:rPr>
      </w:pPr>
      <w:r w:rsidRPr="00816657">
        <w:rPr>
          <w:rFonts w:asciiTheme="minorHAnsi" w:hAnsiTheme="minorHAnsi" w:cs="Times New Roman"/>
          <w:color w:val="000000"/>
          <w:lang w:eastAsia="en-AU"/>
        </w:rPr>
        <w:t xml:space="preserve">Marsden Jacob Associates &amp; Sustainable Resource Use (2014) </w:t>
      </w:r>
      <w:r w:rsidRPr="00816657">
        <w:rPr>
          <w:rFonts w:asciiTheme="minorHAnsi" w:hAnsiTheme="minorHAnsi" w:cs="Times New Roman"/>
          <w:i/>
          <w:iCs/>
          <w:color w:val="000000"/>
          <w:lang w:eastAsia="en-AU"/>
        </w:rPr>
        <w:t>Estimate of the cost of hazardous waste in Australia, Final Report</w:t>
      </w:r>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Melbourne Water (2010) </w:t>
      </w:r>
      <w:r w:rsidRPr="00816657">
        <w:rPr>
          <w:rFonts w:asciiTheme="minorHAnsi" w:hAnsiTheme="minorHAnsi" w:cs="Times New Roman"/>
          <w:i/>
          <w:iCs/>
          <w:color w:val="000000"/>
          <w:lang w:eastAsia="en-AU"/>
        </w:rPr>
        <w:t>Expressions of Interest: Implementation of a research and development project for energy, nutrient, metal, fuel or chemical extraction, geotechnical reuse, building material extender, decontamination, stabilisation, or other conversion leading to 'Beneficial Use' of biosolids.</w:t>
      </w:r>
      <w:r w:rsidRPr="00816657">
        <w:rPr>
          <w:rFonts w:asciiTheme="minorHAnsi" w:hAnsiTheme="minorHAnsi" w:cs="Times New Roman"/>
          <w:color w:val="000000"/>
          <w:lang w:eastAsia="en-AU"/>
        </w:rPr>
        <w:t xml:space="preserve"> Available from: </w:t>
      </w:r>
      <w:hyperlink r:id="rId216" w:history="1">
        <w:r w:rsidRPr="00816657">
          <w:rPr>
            <w:rStyle w:val="Hyperlink"/>
            <w:rFonts w:asciiTheme="minorHAnsi" w:hAnsiTheme="minorHAnsi" w:cs="Times New Roman"/>
            <w:lang w:eastAsia="en-AU"/>
          </w:rPr>
          <w:t>http://www.icnvic.org.au/media/documents/water%20industry/melb%20water%20-%20eoi%20-%20beneficial%20use%20of%20biosolids.pdf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Melbourne Water (2014) </w:t>
      </w:r>
      <w:r w:rsidRPr="00816657">
        <w:rPr>
          <w:rFonts w:asciiTheme="minorHAnsi" w:hAnsiTheme="minorHAnsi" w:cs="Times New Roman"/>
          <w:i/>
          <w:iCs/>
          <w:color w:val="000000"/>
          <w:lang w:eastAsia="en-AU"/>
        </w:rPr>
        <w:t>Waste to Resources</w:t>
      </w:r>
      <w:r w:rsidRPr="00816657">
        <w:rPr>
          <w:rFonts w:asciiTheme="minorHAnsi" w:hAnsiTheme="minorHAnsi" w:cs="Times New Roman"/>
          <w:color w:val="000000"/>
          <w:lang w:eastAsia="en-AU"/>
        </w:rPr>
        <w:t xml:space="preserve">, </w:t>
      </w:r>
      <w:r w:rsidR="00917D0E" w:rsidRPr="00816657">
        <w:rPr>
          <w:rFonts w:asciiTheme="minorHAnsi" w:hAnsiTheme="minorHAnsi" w:cs="Times New Roman"/>
          <w:color w:val="000000"/>
          <w:lang w:eastAsia="en-AU"/>
        </w:rPr>
        <w:t xml:space="preserve">available </w:t>
      </w:r>
      <w:r w:rsidRPr="00816657">
        <w:rPr>
          <w:rFonts w:asciiTheme="minorHAnsi" w:hAnsiTheme="minorHAnsi" w:cs="Times New Roman"/>
          <w:color w:val="000000"/>
          <w:lang w:eastAsia="en-AU"/>
        </w:rPr>
        <w:t xml:space="preserve">from: </w:t>
      </w:r>
      <w:hyperlink r:id="rId217" w:history="1">
        <w:r w:rsidRPr="00816657">
          <w:rPr>
            <w:rStyle w:val="Hyperlink"/>
            <w:rFonts w:asciiTheme="minorHAnsi" w:hAnsiTheme="minorHAnsi" w:cs="Times New Roman"/>
            <w:lang w:eastAsia="en-AU"/>
          </w:rPr>
          <w:t>http://www.melbournewater.com.au/whatwedo/Liveability-and-environment/waste/Pages/Waste-to-resources.aspx</w:t>
        </w:r>
      </w:hyperlink>
      <w:r w:rsidR="00917D0E" w:rsidRPr="00816657">
        <w:rPr>
          <w:rFonts w:asciiTheme="minorHAnsi" w:hAnsiTheme="minorHAnsi" w:cs="Times New Roman"/>
          <w:color w:val="000000"/>
          <w:lang w:eastAsia="en-AU"/>
        </w:rPr>
        <w:t xml:space="preserve"> (downloaded November 2014)</w:t>
      </w:r>
    </w:p>
    <w:p w:rsidR="00F7065E" w:rsidRPr="00816657" w:rsidRDefault="00F7065E" w:rsidP="00FE2403">
      <w:pPr>
        <w:pStyle w:val="BodyText"/>
        <w:spacing w:after="120"/>
        <w:rPr>
          <w:rFonts w:asciiTheme="minorHAnsi" w:hAnsiTheme="minorHAnsi" w:cs="Times New Roman"/>
          <w:color w:val="auto"/>
          <w:lang w:eastAsia="en-AU"/>
        </w:rPr>
      </w:pPr>
      <w:r w:rsidRPr="00816657">
        <w:rPr>
          <w:rFonts w:asciiTheme="minorHAnsi" w:hAnsiTheme="minorHAnsi" w:cs="Times New Roman"/>
          <w:color w:val="auto"/>
          <w:lang w:eastAsia="en-AU"/>
        </w:rPr>
        <w:t xml:space="preserve">MHC (Marchment Hill Consulting 2012) </w:t>
      </w:r>
      <w:r w:rsidRPr="00816657">
        <w:rPr>
          <w:rFonts w:asciiTheme="minorHAnsi" w:hAnsiTheme="minorHAnsi" w:cs="Times New Roman"/>
          <w:i/>
          <w:iCs/>
          <w:color w:val="auto"/>
          <w:lang w:eastAsia="en-AU"/>
        </w:rPr>
        <w:t>Energy Storage in Australia: Commercial Opportunities, Barriers and Policy Options</w:t>
      </w:r>
      <w:r w:rsidRPr="00816657">
        <w:rPr>
          <w:rFonts w:asciiTheme="minorHAnsi" w:hAnsiTheme="minorHAnsi" w:cs="Times New Roman"/>
          <w:color w:val="auto"/>
          <w:lang w:eastAsia="en-AU"/>
        </w:rPr>
        <w:t xml:space="preserve">, available from: </w:t>
      </w:r>
      <w:hyperlink r:id="rId218" w:history="1">
        <w:r w:rsidRPr="00816657">
          <w:rPr>
            <w:rStyle w:val="Hyperlink"/>
            <w:rFonts w:asciiTheme="minorHAnsi" w:hAnsiTheme="minorHAnsi" w:cs="Times New Roman"/>
            <w:lang w:eastAsia="en-AU"/>
          </w:rPr>
          <w:t>http://www.cleanenergycouncil.org.au/technologies/energy-storage.html</w:t>
        </w:r>
      </w:hyperlink>
    </w:p>
    <w:p w:rsidR="00B2225C" w:rsidRPr="00816657" w:rsidRDefault="00B2225C"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MHM Metals Limited (2014), </w:t>
      </w:r>
      <w:r w:rsidRPr="00816657">
        <w:rPr>
          <w:rFonts w:asciiTheme="minorHAnsi" w:hAnsiTheme="minorHAnsi" w:cs="Times New Roman"/>
          <w:i/>
          <w:color w:val="000000"/>
          <w:lang w:eastAsia="en-AU"/>
        </w:rPr>
        <w:t xml:space="preserve">Managing Director presentation 2014 AGM, </w:t>
      </w:r>
      <w:r w:rsidRPr="00816657">
        <w:rPr>
          <w:rFonts w:asciiTheme="minorHAnsi" w:hAnsiTheme="minorHAnsi" w:cs="Times New Roman"/>
          <w:color w:val="000000"/>
          <w:lang w:eastAsia="en-AU"/>
        </w:rPr>
        <w:t xml:space="preserve">available from: </w:t>
      </w:r>
      <w:hyperlink r:id="rId219" w:history="1">
        <w:r w:rsidRPr="00816657">
          <w:rPr>
            <w:rStyle w:val="Hyperlink"/>
            <w:rFonts w:asciiTheme="minorHAnsi" w:hAnsiTheme="minorHAnsi" w:cs="Times New Roman"/>
            <w:lang w:eastAsia="en-AU"/>
          </w:rPr>
          <w:t>http://www.mhmmetals.com/_content/documents/986.pdf</w:t>
        </w:r>
      </w:hyperlink>
    </w:p>
    <w:p w:rsidR="003F2FC5" w:rsidRDefault="003F2FC5" w:rsidP="003F2FC5">
      <w:pPr>
        <w:pStyle w:val="BodyText"/>
        <w:spacing w:after="120"/>
        <w:rPr>
          <w:rFonts w:asciiTheme="minorHAnsi" w:hAnsiTheme="minorHAnsi" w:cs="Times New Roman"/>
          <w:color w:val="000000"/>
          <w:lang w:eastAsia="en-AU"/>
        </w:rPr>
      </w:pPr>
      <w:r>
        <w:rPr>
          <w:rFonts w:asciiTheme="minorHAnsi" w:hAnsiTheme="minorHAnsi" w:cs="Times New Roman"/>
          <w:color w:val="000000"/>
          <w:lang w:eastAsia="en-AU"/>
        </w:rPr>
        <w:t xml:space="preserve">NEPC 2013 </w:t>
      </w:r>
      <w:r w:rsidRPr="007F5BD4">
        <w:rPr>
          <w:rFonts w:asciiTheme="minorHAnsi" w:hAnsiTheme="minorHAnsi" w:cs="Times New Roman"/>
          <w:i/>
          <w:color w:val="000000"/>
          <w:lang w:eastAsia="en-AU"/>
        </w:rPr>
        <w:t>National Environment Protection Council Annual Report 2 0 1 2 – 2 0 1 3</w:t>
      </w:r>
      <w:r>
        <w:rPr>
          <w:rFonts w:asciiTheme="minorHAnsi" w:hAnsiTheme="minorHAnsi" w:cs="Times New Roman"/>
          <w:i/>
          <w:color w:val="000000"/>
          <w:lang w:eastAsia="en-AU"/>
        </w:rPr>
        <w:t xml:space="preserve">, </w:t>
      </w:r>
      <w:r>
        <w:rPr>
          <w:rFonts w:asciiTheme="minorHAnsi" w:hAnsiTheme="minorHAnsi" w:cs="Times New Roman"/>
          <w:color w:val="000000"/>
          <w:lang w:eastAsia="en-AU"/>
        </w:rPr>
        <w:t xml:space="preserve">available from: </w:t>
      </w:r>
      <w:hyperlink r:id="rId220" w:history="1">
        <w:r w:rsidRPr="00557F48">
          <w:rPr>
            <w:rStyle w:val="Hyperlink"/>
            <w:rFonts w:asciiTheme="minorHAnsi" w:hAnsiTheme="minorHAnsi" w:cs="Times New Roman"/>
            <w:lang w:eastAsia="en-AU"/>
          </w:rPr>
          <w:t>http://www.scew.gov.au/publications/nepc-annual-reports</w:t>
        </w:r>
      </w:hyperlink>
    </w:p>
    <w:p w:rsidR="00F7065E" w:rsidRPr="00816657" w:rsidRDefault="00F7065E" w:rsidP="00FE2403">
      <w:pPr>
        <w:pStyle w:val="BodyText"/>
        <w:spacing w:after="120"/>
        <w:rPr>
          <w:rFonts w:asciiTheme="minorHAnsi" w:hAnsiTheme="minorHAnsi" w:cs="Times New Roman"/>
          <w:iCs/>
          <w:color w:val="000000"/>
          <w:lang w:eastAsia="en-AU"/>
        </w:rPr>
      </w:pPr>
      <w:r w:rsidRPr="00816657">
        <w:rPr>
          <w:rFonts w:asciiTheme="minorHAnsi" w:hAnsiTheme="minorHAnsi" w:cs="Times New Roman"/>
          <w:color w:val="000000"/>
          <w:lang w:eastAsia="en-AU"/>
        </w:rPr>
        <w:t xml:space="preserve">NICNAS (National Industrial Chemicals Notification and Assessment Scheme 2014) </w:t>
      </w:r>
      <w:r w:rsidRPr="00816657">
        <w:rPr>
          <w:rFonts w:asciiTheme="minorHAnsi" w:hAnsiTheme="minorHAnsi" w:cs="Times New Roman"/>
          <w:i/>
          <w:iCs/>
          <w:color w:val="000000"/>
          <w:lang w:eastAsia="en-AU"/>
        </w:rPr>
        <w:t>National Assessment of Chemicals Associated with Coal Seam Gas Extraction in Australia</w:t>
      </w:r>
      <w:r w:rsidR="00917D0E" w:rsidRPr="00816657">
        <w:rPr>
          <w:rFonts w:asciiTheme="minorHAnsi" w:hAnsiTheme="minorHAnsi" w:cs="Times New Roman"/>
          <w:iCs/>
          <w:color w:val="000000"/>
          <w:lang w:eastAsia="en-AU"/>
        </w:rPr>
        <w:t xml:space="preserve">, available from: </w:t>
      </w:r>
      <w:hyperlink r:id="rId221" w:history="1">
        <w:r w:rsidR="00917D0E" w:rsidRPr="00816657">
          <w:rPr>
            <w:rStyle w:val="Hyperlink"/>
            <w:rFonts w:asciiTheme="minorHAnsi" w:hAnsiTheme="minorHAnsi" w:cs="Times New Roman"/>
            <w:iCs/>
            <w:lang w:eastAsia="en-AU"/>
          </w:rPr>
          <w:t>http://www.nicnas.gov.au/communications/issues/fracking-hydraulic-fracturing-coal-seam-gas-extraction/information-sheet</w:t>
        </w:r>
      </w:hyperlink>
      <w:r w:rsidR="00917D0E" w:rsidRPr="00816657">
        <w:rPr>
          <w:rFonts w:asciiTheme="minorHAnsi" w:hAnsiTheme="minorHAnsi" w:cs="Times New Roman"/>
          <w:iCs/>
          <w:color w:val="000000"/>
          <w:lang w:eastAsia="en-AU"/>
        </w:rPr>
        <w:t xml:space="preserve"> </w:t>
      </w:r>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NICS (National Infrastructure Construction Schedule 2014) website viewed August 2014: </w:t>
      </w:r>
      <w:hyperlink r:id="rId222" w:history="1">
        <w:r w:rsidRPr="00816657">
          <w:rPr>
            <w:rStyle w:val="Hyperlink"/>
            <w:rFonts w:asciiTheme="minorHAnsi" w:hAnsiTheme="minorHAnsi" w:cs="Times New Roman"/>
            <w:lang w:eastAsia="en-AU"/>
          </w:rPr>
          <w:t>https://www.nics.gov.au/</w:t>
        </w:r>
      </w:hyperlink>
    </w:p>
    <w:p w:rsidR="00F7065E" w:rsidRPr="00816657" w:rsidRDefault="00F7065E" w:rsidP="00FE2403">
      <w:pPr>
        <w:pStyle w:val="BodyText"/>
        <w:spacing w:after="120"/>
        <w:rPr>
          <w:rFonts w:asciiTheme="minorHAnsi" w:hAnsiTheme="minorHAnsi" w:cs="Times New Roman"/>
          <w:i/>
          <w:iCs/>
          <w:color w:val="000000"/>
          <w:lang w:eastAsia="en-AU"/>
        </w:rPr>
      </w:pPr>
      <w:r w:rsidRPr="00816657">
        <w:rPr>
          <w:rFonts w:asciiTheme="minorHAnsi" w:hAnsiTheme="minorHAnsi" w:cs="Times New Roman"/>
          <w:color w:val="000000"/>
          <w:lang w:eastAsia="en-AU"/>
        </w:rPr>
        <w:t xml:space="preserve">Nolan Consulting &amp; SRU (Nolan Consulting and Sustainable Resource Use 2014) </w:t>
      </w:r>
      <w:r w:rsidRPr="00816657">
        <w:rPr>
          <w:rFonts w:asciiTheme="minorHAnsi" w:hAnsiTheme="minorHAnsi" w:cs="Times New Roman"/>
          <w:i/>
          <w:iCs/>
          <w:color w:val="000000"/>
          <w:lang w:eastAsia="en-AU"/>
        </w:rPr>
        <w:t>Study into stocks and flows, market analysis and processing capacity of waste paint, prepared for the National Environment Protection Council Service Corporation</w:t>
      </w:r>
      <w:r w:rsidRPr="00816657">
        <w:rPr>
          <w:rFonts w:asciiTheme="minorHAnsi" w:hAnsiTheme="minorHAnsi" w:cs="Times New Roman"/>
          <w:iCs/>
          <w:color w:val="000000"/>
          <w:lang w:eastAsia="en-AU"/>
        </w:rPr>
        <w:t xml:space="preserve">, available from: </w:t>
      </w:r>
      <w:hyperlink r:id="rId223" w:history="1">
        <w:r w:rsidRPr="00816657">
          <w:rPr>
            <w:rStyle w:val="Hyperlink"/>
            <w:rFonts w:asciiTheme="minorHAnsi" w:hAnsiTheme="minorHAnsi" w:cs="Times New Roman"/>
            <w:iCs/>
            <w:lang w:eastAsia="en-AU"/>
          </w:rPr>
          <w:t>http://www.sustainability.vic.gov.au/~/media/resources/documents/services%20and%20advice/business/paint%20product%20stewardship/study%20into%20stocks%20and%20flows_%20market%20analysis%20and%20processing%20capacity%20of%20waste%20paint%20in%20australia.pdf</w:t>
        </w:r>
      </w:hyperlink>
    </w:p>
    <w:p w:rsidR="00F7065E" w:rsidRPr="00816657" w:rsidRDefault="00F7065E" w:rsidP="00FE2403">
      <w:pPr>
        <w:pStyle w:val="BodyText"/>
        <w:spacing w:after="120"/>
        <w:rPr>
          <w:rFonts w:asciiTheme="minorHAnsi" w:hAnsiTheme="minorHAnsi" w:cs="Times New Roman"/>
          <w:color w:val="auto"/>
          <w:lang w:eastAsia="en-AU"/>
        </w:rPr>
      </w:pPr>
      <w:r w:rsidRPr="00816657">
        <w:rPr>
          <w:rFonts w:asciiTheme="minorHAnsi" w:hAnsiTheme="minorHAnsi" w:cs="Times New Roman"/>
          <w:color w:val="auto"/>
          <w:lang w:eastAsia="en-AU"/>
        </w:rPr>
        <w:lastRenderedPageBreak/>
        <w:t xml:space="preserve">OICA (International Organization of Motor Vehicle Manufacturers, 2014) </w:t>
      </w:r>
      <w:r w:rsidRPr="00816657">
        <w:rPr>
          <w:rFonts w:asciiTheme="minorHAnsi" w:hAnsiTheme="minorHAnsi" w:cs="Times New Roman"/>
          <w:i/>
          <w:iCs/>
          <w:color w:val="auto"/>
          <w:lang w:eastAsia="en-AU"/>
        </w:rPr>
        <w:t>Sales statistics</w:t>
      </w:r>
      <w:r w:rsidRPr="00816657">
        <w:rPr>
          <w:rFonts w:asciiTheme="minorHAnsi" w:hAnsiTheme="minorHAnsi" w:cs="Times New Roman"/>
          <w:color w:val="auto"/>
          <w:lang w:eastAsia="en-AU"/>
        </w:rPr>
        <w:t xml:space="preserve">, </w:t>
      </w:r>
      <w:r w:rsidR="0056114F" w:rsidRPr="00816657">
        <w:rPr>
          <w:rFonts w:asciiTheme="minorHAnsi" w:hAnsiTheme="minorHAnsi" w:cs="Times New Roman"/>
          <w:color w:val="auto"/>
          <w:lang w:eastAsia="en-AU"/>
        </w:rPr>
        <w:t xml:space="preserve">available </w:t>
      </w:r>
      <w:r w:rsidRPr="00816657">
        <w:rPr>
          <w:rFonts w:asciiTheme="minorHAnsi" w:hAnsiTheme="minorHAnsi" w:cs="Times New Roman"/>
          <w:color w:val="auto"/>
          <w:lang w:eastAsia="en-AU"/>
        </w:rPr>
        <w:t xml:space="preserve">from: </w:t>
      </w:r>
      <w:hyperlink r:id="rId224" w:history="1">
        <w:r w:rsidRPr="00816657">
          <w:rPr>
            <w:rStyle w:val="Hyperlink"/>
            <w:rFonts w:asciiTheme="minorHAnsi" w:hAnsiTheme="minorHAnsi" w:cs="Times New Roman"/>
            <w:lang w:eastAsia="en-AU"/>
          </w:rPr>
          <w:t>http://www.oica.net/category/sales-statistics/</w:t>
        </w:r>
      </w:hyperlink>
      <w:r w:rsidR="0056114F" w:rsidRPr="00816657">
        <w:rPr>
          <w:rFonts w:asciiTheme="minorHAnsi" w:hAnsiTheme="minorHAnsi" w:cs="Times New Roman"/>
          <w:color w:val="auto"/>
          <w:lang w:eastAsia="en-AU"/>
        </w:rPr>
        <w:t xml:space="preserve"> (downloaded November 2014)</w:t>
      </w:r>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Orica (2014) </w:t>
      </w:r>
      <w:r w:rsidRPr="00816657">
        <w:rPr>
          <w:rFonts w:asciiTheme="minorHAnsi" w:hAnsiTheme="minorHAnsi" w:cs="Times New Roman"/>
          <w:i/>
          <w:iCs/>
          <w:color w:val="000000"/>
          <w:lang w:eastAsia="en-AU"/>
        </w:rPr>
        <w:t>HCB Waste Export and Destruction Background</w:t>
      </w:r>
      <w:r w:rsidRPr="00816657">
        <w:rPr>
          <w:rFonts w:asciiTheme="minorHAnsi" w:hAnsiTheme="minorHAnsi" w:cs="Times New Roman"/>
          <w:color w:val="000000"/>
          <w:lang w:eastAsia="en-AU"/>
        </w:rPr>
        <w:t xml:space="preserve">, viewed October 2014 at: </w:t>
      </w:r>
      <w:hyperlink r:id="rId225" w:anchor=".U6o73vmSwV8" w:history="1">
        <w:r w:rsidRPr="00816657">
          <w:rPr>
            <w:rStyle w:val="Hyperlink"/>
            <w:rFonts w:asciiTheme="minorHAnsi" w:hAnsiTheme="minorHAnsi" w:cs="Times New Roman"/>
            <w:lang w:eastAsia="en-AU"/>
          </w:rPr>
          <w:t>http://www.orica.com/Locations/Asia-Pacific/Australia/Botany/Botany-Transformation-Projects/Stored-HCB-Waste/HCB-Waste-Export-and-Destruction-Background#.U6o73vmSwV8</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PSD (Pollution Solutions and Designs 2014) </w:t>
      </w:r>
      <w:r w:rsidRPr="00816657">
        <w:rPr>
          <w:rFonts w:asciiTheme="minorHAnsi" w:hAnsiTheme="minorHAnsi" w:cs="Times New Roman"/>
          <w:i/>
          <w:iCs/>
          <w:color w:val="000000"/>
          <w:lang w:eastAsia="en-AU"/>
        </w:rPr>
        <w:t>Biosolids snapshot report</w:t>
      </w:r>
      <w:r w:rsidRPr="00816657">
        <w:rPr>
          <w:rFonts w:asciiTheme="minorHAnsi" w:hAnsiTheme="minorHAnsi" w:cs="Times New Roman"/>
          <w:color w:val="000000"/>
          <w:lang w:eastAsia="en-AU"/>
        </w:rPr>
        <w:t xml:space="preserve">, available at: </w:t>
      </w:r>
      <w:hyperlink r:id="rId226" w:history="1">
        <w:r w:rsidRPr="00816657">
          <w:rPr>
            <w:rStyle w:val="Hyperlink"/>
            <w:rFonts w:asciiTheme="minorHAnsi" w:hAnsiTheme="minorHAnsi" w:cs="Times New Roman"/>
            <w:lang w:eastAsia="en-AU"/>
          </w:rPr>
          <w:t>http://www.environment.gov.au/protection/national-waste-policy/publications/biosolids-snapshot</w:t>
        </w:r>
      </w:hyperlink>
    </w:p>
    <w:p w:rsidR="0011356E" w:rsidRPr="00816657" w:rsidRDefault="0011356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Rawtec (2014) </w:t>
      </w:r>
      <w:r w:rsidRPr="00816657">
        <w:rPr>
          <w:rFonts w:asciiTheme="minorHAnsi" w:hAnsiTheme="minorHAnsi" w:cs="Times New Roman"/>
          <w:i/>
          <w:color w:val="000000"/>
          <w:lang w:eastAsia="en-AU"/>
        </w:rPr>
        <w:t>Australia’s hazardous waste infrastructure</w:t>
      </w:r>
      <w:r w:rsidRPr="00816657">
        <w:rPr>
          <w:rFonts w:asciiTheme="minorHAnsi" w:hAnsiTheme="minorHAnsi" w:cs="Times New Roman"/>
          <w:color w:val="000000"/>
          <w:lang w:eastAsia="en-AU"/>
        </w:rPr>
        <w:t xml:space="preserve"> available at: </w:t>
      </w:r>
      <w:hyperlink r:id="rId227" w:history="1">
        <w:r w:rsidRPr="00816657">
          <w:rPr>
            <w:rStyle w:val="Hyperlink"/>
            <w:rFonts w:asciiTheme="minorHAnsi" w:hAnsiTheme="minorHAnsi" w:cs="Times New Roman"/>
            <w:lang w:eastAsia="en-AU"/>
          </w:rPr>
          <w:t>http://www.environment.gov.au/protection/publications/hazardous-waste-infrastructure-australia</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SSCECA (The Senate Standing Committee on Environment, Communications and the Arts 2008) </w:t>
      </w:r>
      <w:r w:rsidRPr="00816657">
        <w:rPr>
          <w:rFonts w:asciiTheme="minorHAnsi" w:hAnsiTheme="minorHAnsi" w:cs="Times New Roman"/>
          <w:i/>
          <w:iCs/>
          <w:color w:val="000000"/>
          <w:lang w:eastAsia="en-AU"/>
        </w:rPr>
        <w:t>Management of Australia's Waste Streams (including consideration of the Drink Container Recycling Bill 2008)</w:t>
      </w:r>
      <w:r w:rsidRPr="00816657">
        <w:rPr>
          <w:rFonts w:asciiTheme="minorHAnsi" w:hAnsiTheme="minorHAnsi" w:cs="Times New Roman"/>
          <w:color w:val="000000"/>
          <w:lang w:eastAsia="en-AU"/>
        </w:rPr>
        <w:t xml:space="preserve">, available from: </w:t>
      </w:r>
      <w:hyperlink r:id="rId228" w:history="1">
        <w:r w:rsidRPr="00816657">
          <w:rPr>
            <w:rStyle w:val="Hyperlink"/>
            <w:rFonts w:asciiTheme="minorHAnsi" w:hAnsiTheme="minorHAnsi" w:cs="Times New Roman"/>
            <w:lang w:eastAsia="en-AU"/>
          </w:rPr>
          <w:t>http://www.aph.gov.au/binaries/senate/committee/eca_ctte/aust_waste_streams/report/c02.pdf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RPS Australia East Pty Ltd (2011) </w:t>
      </w:r>
      <w:r w:rsidRPr="00816657">
        <w:rPr>
          <w:rFonts w:asciiTheme="minorHAnsi" w:hAnsiTheme="minorHAnsi" w:cs="Times New Roman"/>
          <w:i/>
          <w:iCs/>
          <w:color w:val="000000"/>
          <w:lang w:eastAsia="en-AU"/>
        </w:rPr>
        <w:t>Onshore co-produced water: extent and management,</w:t>
      </w:r>
      <w:r w:rsidRPr="00816657">
        <w:rPr>
          <w:rFonts w:asciiTheme="minorHAnsi" w:hAnsiTheme="minorHAnsi" w:cs="Times New Roman"/>
          <w:color w:val="000000"/>
          <w:lang w:eastAsia="en-AU"/>
        </w:rPr>
        <w:t xml:space="preserve"> available from: </w:t>
      </w:r>
      <w:hyperlink r:id="rId229" w:history="1">
        <w:r w:rsidRPr="00816657">
          <w:rPr>
            <w:rStyle w:val="Hyperlink"/>
            <w:rFonts w:asciiTheme="minorHAnsi" w:hAnsiTheme="minorHAnsi" w:cs="Times New Roman"/>
            <w:lang w:eastAsia="en-AU"/>
          </w:rPr>
          <w:t>http://nwc.gov.au/__data/assets/pdf_file/0007/18619/Onshore-co-produced-water-extent-and-management_final-for-web.pdf</w:t>
        </w:r>
      </w:hyperlink>
    </w:p>
    <w:p w:rsidR="00F7065E"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SKM (Sinclair Knight Merz 2013) </w:t>
      </w:r>
      <w:r w:rsidRPr="00816657">
        <w:rPr>
          <w:rFonts w:asciiTheme="minorHAnsi" w:hAnsiTheme="minorHAnsi" w:cs="Times New Roman"/>
          <w:i/>
          <w:iCs/>
          <w:color w:val="000000"/>
          <w:lang w:eastAsia="en-AU"/>
        </w:rPr>
        <w:t>Management of Contaminated Soils in South Australia</w:t>
      </w:r>
      <w:r w:rsidRPr="00816657">
        <w:rPr>
          <w:rFonts w:asciiTheme="minorHAnsi" w:hAnsiTheme="minorHAnsi" w:cs="Times New Roman"/>
          <w:color w:val="000000"/>
          <w:lang w:eastAsia="en-AU"/>
        </w:rPr>
        <w:t xml:space="preserve">, prepared for Zero Waste South Australia, available from: </w:t>
      </w:r>
      <w:hyperlink r:id="rId230" w:history="1">
        <w:r w:rsidRPr="00816657">
          <w:rPr>
            <w:rStyle w:val="Hyperlink"/>
            <w:rFonts w:asciiTheme="minorHAnsi" w:hAnsiTheme="minorHAnsi" w:cs="Times New Roman"/>
            <w:lang w:eastAsia="en-AU"/>
          </w:rPr>
          <w:t>http://www.zerowaste.sa.gov.au/upload/resource-centre/publications/management-of-contaminated-soils-in-south-australia/Contaminated%20Soils%20in%20South%20Australia_2012_Final.pdf</w:t>
        </w:r>
      </w:hyperlink>
    </w:p>
    <w:p w:rsidR="00F7065E" w:rsidRPr="00816657" w:rsidRDefault="00F7065E" w:rsidP="00FE2403">
      <w:pPr>
        <w:pStyle w:val="BodyText"/>
        <w:spacing w:after="120"/>
        <w:rPr>
          <w:rFonts w:asciiTheme="minorHAnsi" w:hAnsiTheme="minorHAnsi" w:cs="Times New Roman"/>
          <w:color w:val="000000"/>
          <w:lang w:eastAsia="en-AU"/>
        </w:rPr>
      </w:pPr>
      <w:proofErr w:type="gramStart"/>
      <w:r w:rsidRPr="00816657">
        <w:rPr>
          <w:rFonts w:asciiTheme="minorHAnsi" w:hAnsiTheme="minorHAnsi" w:cs="Times New Roman"/>
          <w:color w:val="000000"/>
          <w:lang w:eastAsia="en-AU"/>
        </w:rPr>
        <w:t>SIA (Sustainable Infrastructure Australia 2008)</w:t>
      </w:r>
      <w:r w:rsidRPr="00816657">
        <w:rPr>
          <w:rFonts w:asciiTheme="minorHAnsi" w:hAnsiTheme="minorHAnsi" w:cs="Times New Roman"/>
          <w:i/>
          <w:iCs/>
          <w:color w:val="000000"/>
          <w:lang w:eastAsia="en-AU"/>
        </w:rPr>
        <w:t xml:space="preserve"> </w:t>
      </w:r>
      <w:r w:rsidRPr="00816657">
        <w:rPr>
          <w:rFonts w:asciiTheme="minorHAnsi" w:hAnsiTheme="minorHAnsi" w:cs="Times New Roman"/>
          <w:color w:val="000000"/>
          <w:lang w:eastAsia="en-AU"/>
        </w:rPr>
        <w:t>Orica Hexachlorobenzene waste stockpile - Independent assessment report.</w:t>
      </w:r>
      <w:proofErr w:type="gramEnd"/>
      <w:r w:rsidR="0056114F" w:rsidRPr="00816657">
        <w:rPr>
          <w:rFonts w:asciiTheme="minorHAnsi" w:hAnsiTheme="minorHAnsi" w:cs="Times New Roman"/>
          <w:color w:val="000000"/>
          <w:lang w:eastAsia="en-AU"/>
        </w:rPr>
        <w:t xml:space="preserve"> Available from: </w:t>
      </w:r>
      <w:hyperlink r:id="rId231" w:history="1">
        <w:r w:rsidR="0056114F" w:rsidRPr="00816657">
          <w:rPr>
            <w:rStyle w:val="Hyperlink"/>
            <w:rFonts w:asciiTheme="minorHAnsi" w:hAnsiTheme="minorHAnsi" w:cs="Times New Roman"/>
            <w:lang w:eastAsia="en-AU"/>
          </w:rPr>
          <w:t>http://laperouse.info/wordpress/wp-content/uploads/2010/12/report-on-hcb-sustainable-infrastructure-australia.pdf</w:t>
        </w:r>
      </w:hyperlink>
      <w:r w:rsidR="0056114F" w:rsidRPr="00816657">
        <w:rPr>
          <w:rFonts w:asciiTheme="minorHAnsi" w:hAnsiTheme="minorHAnsi" w:cs="Times New Roman"/>
          <w:color w:val="000000"/>
          <w:lang w:eastAsia="en-AU"/>
        </w:rPr>
        <w:t xml:space="preserve"> </w:t>
      </w:r>
    </w:p>
    <w:p w:rsidR="00F7065E" w:rsidRPr="00816657" w:rsidRDefault="00F7065E" w:rsidP="00FE2403">
      <w:pPr>
        <w:pStyle w:val="BodyText"/>
        <w:spacing w:after="120"/>
        <w:rPr>
          <w:rFonts w:asciiTheme="minorHAnsi" w:hAnsiTheme="minorHAnsi"/>
        </w:rPr>
      </w:pPr>
      <w:r w:rsidRPr="00816657">
        <w:rPr>
          <w:rFonts w:asciiTheme="minorHAnsi" w:hAnsiTheme="minorHAnsi" w:cs="Times New Roman"/>
          <w:color w:val="000000"/>
          <w:lang w:eastAsia="en-AU"/>
        </w:rPr>
        <w:t>Thornton Trevor, Estimates for Victorian Public Hospital Waste Generation, pers comm</w:t>
      </w:r>
    </w:p>
    <w:p w:rsidR="0098685F" w:rsidRPr="00816657" w:rsidRDefault="0098685F" w:rsidP="00FE2403">
      <w:pPr>
        <w:pStyle w:val="BodyText"/>
        <w:spacing w:after="120"/>
        <w:rPr>
          <w:rFonts w:asciiTheme="minorHAnsi" w:hAnsiTheme="minorHAnsi"/>
        </w:rPr>
      </w:pPr>
      <w:r w:rsidRPr="00816657">
        <w:rPr>
          <w:rFonts w:asciiTheme="minorHAnsi" w:hAnsiTheme="minorHAnsi"/>
        </w:rPr>
        <w:t xml:space="preserve">Transpacific (2014), </w:t>
      </w:r>
      <w:r w:rsidRPr="00816657">
        <w:rPr>
          <w:rFonts w:asciiTheme="minorHAnsi" w:hAnsiTheme="minorHAnsi"/>
          <w:i/>
        </w:rPr>
        <w:t xml:space="preserve">Responses to questions from Graeme Hodgson </w:t>
      </w:r>
      <w:r w:rsidRPr="00816657">
        <w:rPr>
          <w:rFonts w:asciiTheme="minorHAnsi" w:hAnsiTheme="minorHAnsi"/>
        </w:rPr>
        <w:t xml:space="preserve">available at: </w:t>
      </w:r>
      <w:hyperlink r:id="rId232" w:history="1">
        <w:r w:rsidRPr="00816657">
          <w:rPr>
            <w:rStyle w:val="Hyperlink"/>
            <w:rFonts w:asciiTheme="minorHAnsi" w:hAnsiTheme="minorHAnsi"/>
          </w:rPr>
          <w:t>http://www.transpacific.com.au/asset/cms/Responses%20to%20questions%20from%20Graeme%20Hodgson%20-%20Sept%20mtg.pdf</w:t>
        </w:r>
      </w:hyperlink>
    </w:p>
    <w:p w:rsidR="00122C00" w:rsidRPr="00816657" w:rsidRDefault="00F7065E" w:rsidP="00FE2403">
      <w:pPr>
        <w:pStyle w:val="BodyText"/>
        <w:spacing w:after="120"/>
        <w:rPr>
          <w:rFonts w:asciiTheme="minorHAnsi" w:hAnsiTheme="minorHAnsi" w:cs="Times New Roman"/>
          <w:color w:val="000000"/>
          <w:lang w:eastAsia="en-AU"/>
        </w:rPr>
      </w:pPr>
      <w:r w:rsidRPr="00816657">
        <w:rPr>
          <w:rFonts w:asciiTheme="minorHAnsi" w:hAnsiTheme="minorHAnsi" w:cs="Times New Roman"/>
          <w:color w:val="000000"/>
          <w:lang w:eastAsia="en-AU"/>
        </w:rPr>
        <w:t xml:space="preserve">UNEP (United Nations Environment Program 2012) </w:t>
      </w:r>
      <w:r w:rsidRPr="00816657">
        <w:rPr>
          <w:rFonts w:asciiTheme="minorHAnsi" w:hAnsiTheme="minorHAnsi" w:cs="Times New Roman"/>
          <w:i/>
          <w:iCs/>
          <w:color w:val="000000"/>
          <w:lang w:eastAsia="en-AU"/>
        </w:rPr>
        <w:t>Guidance for the inventory of polybrominated diphenyl ethers (PBDEs) listed under the Stockholm Convention on Persistent Organic Pollutants</w:t>
      </w:r>
      <w:r w:rsidRPr="00816657">
        <w:rPr>
          <w:rFonts w:asciiTheme="minorHAnsi" w:hAnsiTheme="minorHAnsi" w:cs="Times New Roman"/>
          <w:color w:val="000000"/>
          <w:lang w:eastAsia="en-AU"/>
        </w:rPr>
        <w:t xml:space="preserve">, available from: </w:t>
      </w:r>
      <w:hyperlink r:id="rId233" w:history="1">
        <w:r w:rsidRPr="00816657">
          <w:rPr>
            <w:rStyle w:val="Hyperlink"/>
            <w:rFonts w:asciiTheme="minorHAnsi" w:hAnsiTheme="minorHAnsi" w:cs="Times New Roman"/>
            <w:lang w:eastAsia="en-AU"/>
          </w:rPr>
          <w:t>http://www.unido.org/fileadmin/user_media/Services/Environmental_Management/Stockholm_Convention/Guidance_Docs/UNEP-POPS-GUID-NIP-2012-PBDEs-Inventory.En.pdf</w:t>
        </w:r>
      </w:hyperlink>
    </w:p>
    <w:p w:rsidR="00C016A6" w:rsidRPr="00816657" w:rsidRDefault="00C016A6" w:rsidP="00C016A6">
      <w:pPr>
        <w:pStyle w:val="BodyText"/>
      </w:pPr>
    </w:p>
    <w:p w:rsidR="00C016A6" w:rsidRPr="00816657" w:rsidRDefault="00C016A6" w:rsidP="004D33C7">
      <w:pPr>
        <w:pStyle w:val="AppendixSectionHolder"/>
      </w:pPr>
    </w:p>
    <w:p w:rsidR="00A16765" w:rsidRPr="00816657" w:rsidRDefault="00147F12" w:rsidP="00147F12">
      <w:pPr>
        <w:pStyle w:val="AppendixSectionnumber"/>
        <w:numPr>
          <w:ilvl w:val="0"/>
          <w:numId w:val="0"/>
        </w:numPr>
      </w:pPr>
      <w:r w:rsidRPr="00816657">
        <w:t xml:space="preserve">Appendices </w:t>
      </w:r>
    </w:p>
    <w:p w:rsidR="00A16765" w:rsidRPr="00816657" w:rsidRDefault="00A16765" w:rsidP="004D33C7">
      <w:pPr>
        <w:pStyle w:val="AppendixSection"/>
      </w:pPr>
    </w:p>
    <w:p w:rsidR="00A16765" w:rsidRPr="00816657" w:rsidRDefault="00A16765" w:rsidP="004D33C7">
      <w:pPr>
        <w:spacing w:line="240" w:lineRule="auto"/>
        <w:jc w:val="both"/>
      </w:pPr>
    </w:p>
    <w:p w:rsidR="00A16765" w:rsidRPr="00816657" w:rsidRDefault="00A16765" w:rsidP="004D33C7">
      <w:pPr>
        <w:spacing w:line="240" w:lineRule="auto"/>
        <w:jc w:val="both"/>
        <w:sectPr w:rsidR="00A16765" w:rsidRPr="00816657" w:rsidSect="00A16765">
          <w:headerReference w:type="even" r:id="rId234"/>
          <w:footerReference w:type="even" r:id="rId235"/>
          <w:footerReference w:type="default" r:id="rId236"/>
          <w:headerReference w:type="first" r:id="rId237"/>
          <w:footerReference w:type="first" r:id="rId238"/>
          <w:pgSz w:w="11907" w:h="16840" w:code="9"/>
          <w:pgMar w:top="1701" w:right="1077" w:bottom="1559" w:left="1474" w:header="709" w:footer="709" w:gutter="0"/>
          <w:cols w:space="708"/>
          <w:docGrid w:linePitch="360"/>
        </w:sectPr>
      </w:pPr>
    </w:p>
    <w:p w:rsidR="004B0B08" w:rsidRPr="00816657" w:rsidRDefault="00C6436B" w:rsidP="00DD4ED8">
      <w:pPr>
        <w:pStyle w:val="AppendixHeading1"/>
        <w:ind w:left="851"/>
      </w:pPr>
      <w:bookmarkStart w:id="470" w:name="_Ref408308199"/>
      <w:bookmarkStart w:id="471" w:name="_Toc425849210"/>
      <w:r w:rsidRPr="00816657">
        <w:lastRenderedPageBreak/>
        <w:t xml:space="preserve">Definition of the </w:t>
      </w:r>
      <w:r w:rsidR="003A6FBB">
        <w:t xml:space="preserve">waste groups </w:t>
      </w:r>
      <w:r w:rsidRPr="00816657">
        <w:t xml:space="preserve">with reference to </w:t>
      </w:r>
      <w:r w:rsidR="004B0B08" w:rsidRPr="00816657">
        <w:t>NEPM codes</w:t>
      </w:r>
      <w:bookmarkEnd w:id="470"/>
      <w:bookmarkEnd w:id="471"/>
    </w:p>
    <w:tbl>
      <w:tblPr>
        <w:tblW w:w="131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0"/>
        <w:gridCol w:w="2140"/>
        <w:gridCol w:w="940"/>
        <w:gridCol w:w="6333"/>
        <w:gridCol w:w="2835"/>
      </w:tblGrid>
      <w:tr w:rsidR="009954B2" w:rsidRPr="00816657" w:rsidTr="005D48DD">
        <w:trPr>
          <w:trHeight w:val="600"/>
          <w:tblHeader/>
        </w:trPr>
        <w:tc>
          <w:tcPr>
            <w:tcW w:w="940" w:type="dxa"/>
            <w:shd w:val="clear" w:color="auto" w:fill="1F497D"/>
            <w:vAlign w:val="center"/>
            <w:hideMark/>
          </w:tcPr>
          <w:p w:rsidR="009954B2" w:rsidRPr="00816657" w:rsidRDefault="000C30C7" w:rsidP="000C30C7">
            <w:pPr>
              <w:spacing w:line="240" w:lineRule="auto"/>
              <w:jc w:val="center"/>
              <w:rPr>
                <w:rFonts w:cs="Times New Roman"/>
                <w:color w:val="FFFFFF"/>
                <w:sz w:val="22"/>
                <w:lang w:eastAsia="en-AU"/>
              </w:rPr>
            </w:pPr>
            <w:r w:rsidRPr="00816657">
              <w:rPr>
                <w:rFonts w:cs="Times New Roman"/>
                <w:color w:val="FFFFFF"/>
                <w:sz w:val="22"/>
                <w:lang w:eastAsia="en-AU"/>
              </w:rPr>
              <w:t>‘</w:t>
            </w:r>
            <w:r w:rsidR="009954B2" w:rsidRPr="00816657">
              <w:rPr>
                <w:rFonts w:cs="Times New Roman"/>
                <w:color w:val="FFFFFF"/>
                <w:sz w:val="22"/>
                <w:lang w:eastAsia="en-AU"/>
              </w:rPr>
              <w:t>15</w:t>
            </w:r>
            <w:r w:rsidRPr="00816657">
              <w:rPr>
                <w:rFonts w:cs="Times New Roman"/>
                <w:color w:val="FFFFFF"/>
                <w:sz w:val="22"/>
                <w:lang w:eastAsia="en-AU"/>
              </w:rPr>
              <w:t>’</w:t>
            </w:r>
            <w:r w:rsidR="009954B2" w:rsidRPr="00816657">
              <w:rPr>
                <w:rFonts w:cs="Times New Roman"/>
                <w:color w:val="FFFFFF"/>
                <w:sz w:val="22"/>
                <w:lang w:eastAsia="en-AU"/>
              </w:rPr>
              <w:t xml:space="preserve"> code</w:t>
            </w:r>
          </w:p>
        </w:tc>
        <w:tc>
          <w:tcPr>
            <w:tcW w:w="2140" w:type="dxa"/>
            <w:shd w:val="clear" w:color="000000" w:fill="1F497D"/>
            <w:vAlign w:val="center"/>
            <w:hideMark/>
          </w:tcPr>
          <w:p w:rsidR="009954B2" w:rsidRPr="00816657" w:rsidRDefault="009954B2" w:rsidP="009954B2">
            <w:pPr>
              <w:spacing w:line="240" w:lineRule="auto"/>
              <w:rPr>
                <w:rFonts w:cs="Times New Roman"/>
                <w:color w:val="FFFFFF"/>
                <w:sz w:val="22"/>
                <w:lang w:eastAsia="en-AU"/>
              </w:rPr>
            </w:pPr>
            <w:r w:rsidRPr="00816657">
              <w:rPr>
                <w:rFonts w:cs="Times New Roman"/>
                <w:color w:val="FFFFFF"/>
                <w:sz w:val="22"/>
                <w:lang w:eastAsia="en-AU"/>
              </w:rPr>
              <w:t>NEPM 15 description</w:t>
            </w:r>
          </w:p>
        </w:tc>
        <w:tc>
          <w:tcPr>
            <w:tcW w:w="940" w:type="dxa"/>
            <w:shd w:val="clear" w:color="000000" w:fill="1F497D"/>
            <w:vAlign w:val="center"/>
            <w:hideMark/>
          </w:tcPr>
          <w:p w:rsidR="009954B2" w:rsidRPr="00816657" w:rsidRDefault="000C30C7" w:rsidP="000C30C7">
            <w:pPr>
              <w:spacing w:line="240" w:lineRule="auto"/>
              <w:jc w:val="center"/>
              <w:rPr>
                <w:rFonts w:cs="Times New Roman"/>
                <w:color w:val="FFFFFF"/>
                <w:sz w:val="22"/>
                <w:lang w:eastAsia="en-AU"/>
              </w:rPr>
            </w:pPr>
            <w:r w:rsidRPr="00816657">
              <w:rPr>
                <w:rFonts w:cs="Times New Roman"/>
                <w:color w:val="FFFFFF"/>
                <w:sz w:val="22"/>
                <w:lang w:eastAsia="en-AU"/>
              </w:rPr>
              <w:t>‘</w:t>
            </w:r>
            <w:r w:rsidR="009954B2" w:rsidRPr="00816657">
              <w:rPr>
                <w:rFonts w:cs="Times New Roman"/>
                <w:color w:val="FFFFFF"/>
                <w:sz w:val="22"/>
                <w:lang w:eastAsia="en-AU"/>
              </w:rPr>
              <w:t>75</w:t>
            </w:r>
            <w:r w:rsidRPr="00816657">
              <w:rPr>
                <w:rFonts w:cs="Times New Roman"/>
                <w:color w:val="FFFFFF"/>
                <w:sz w:val="22"/>
                <w:lang w:eastAsia="en-AU"/>
              </w:rPr>
              <w:t>’</w:t>
            </w:r>
            <w:r w:rsidR="009954B2" w:rsidRPr="00816657">
              <w:rPr>
                <w:rFonts w:cs="Times New Roman"/>
                <w:color w:val="FFFFFF"/>
                <w:sz w:val="22"/>
                <w:lang w:eastAsia="en-AU"/>
              </w:rPr>
              <w:t xml:space="preserve"> code</w:t>
            </w:r>
          </w:p>
        </w:tc>
        <w:tc>
          <w:tcPr>
            <w:tcW w:w="6333" w:type="dxa"/>
            <w:shd w:val="clear" w:color="000000" w:fill="1F497D"/>
            <w:vAlign w:val="center"/>
            <w:hideMark/>
          </w:tcPr>
          <w:p w:rsidR="009954B2" w:rsidRPr="00816657" w:rsidRDefault="009954B2" w:rsidP="009954B2">
            <w:pPr>
              <w:spacing w:line="240" w:lineRule="auto"/>
              <w:rPr>
                <w:rFonts w:cs="Times New Roman"/>
                <w:color w:val="FFFFFF"/>
                <w:sz w:val="22"/>
                <w:lang w:eastAsia="en-AU"/>
              </w:rPr>
            </w:pPr>
            <w:r w:rsidRPr="00816657">
              <w:rPr>
                <w:rFonts w:cs="Times New Roman"/>
                <w:color w:val="FFFFFF"/>
                <w:sz w:val="22"/>
                <w:lang w:eastAsia="en-AU"/>
              </w:rPr>
              <w:t>Waste description (NEPM Schedule A, List 1)</w:t>
            </w:r>
          </w:p>
        </w:tc>
        <w:tc>
          <w:tcPr>
            <w:tcW w:w="2835" w:type="dxa"/>
            <w:shd w:val="clear" w:color="000000" w:fill="1F497D"/>
            <w:vAlign w:val="center"/>
            <w:hideMark/>
          </w:tcPr>
          <w:p w:rsidR="009954B2" w:rsidRPr="00816657" w:rsidRDefault="00FB36B3" w:rsidP="00FB36B3">
            <w:pPr>
              <w:spacing w:line="240" w:lineRule="auto"/>
              <w:rPr>
                <w:rFonts w:cs="Times New Roman"/>
                <w:color w:val="FFFFFF"/>
                <w:sz w:val="22"/>
                <w:lang w:eastAsia="en-AU"/>
              </w:rPr>
            </w:pPr>
            <w:r w:rsidRPr="00816657">
              <w:rPr>
                <w:rFonts w:cs="Times New Roman"/>
                <w:color w:val="FFFFFF"/>
                <w:sz w:val="22"/>
                <w:lang w:eastAsia="en-AU"/>
              </w:rPr>
              <w:t>P</w:t>
            </w:r>
            <w:r w:rsidR="009954B2" w:rsidRPr="00816657">
              <w:rPr>
                <w:rFonts w:cs="Times New Roman"/>
                <w:color w:val="FFFFFF"/>
                <w:sz w:val="22"/>
                <w:lang w:eastAsia="en-AU"/>
              </w:rPr>
              <w:t>rojection group</w:t>
            </w:r>
            <w:r w:rsidRPr="00816657">
              <w:rPr>
                <w:rFonts w:cs="Times New Roman"/>
                <w:color w:val="FFFFFF"/>
                <w:sz w:val="22"/>
                <w:lang w:eastAsia="en-AU"/>
              </w:rPr>
              <w:t>s</w:t>
            </w:r>
          </w:p>
        </w:tc>
      </w:tr>
      <w:tr w:rsidR="009954B2" w:rsidRPr="00816657" w:rsidTr="004E14D8">
        <w:trPr>
          <w:trHeight w:val="255"/>
        </w:trPr>
        <w:tc>
          <w:tcPr>
            <w:tcW w:w="940" w:type="dxa"/>
            <w:vMerge w:val="restart"/>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A</w:t>
            </w:r>
          </w:p>
        </w:tc>
        <w:tc>
          <w:tcPr>
            <w:tcW w:w="2140" w:type="dxa"/>
            <w:vMerge w:val="restart"/>
            <w:shd w:val="clear" w:color="auto" w:fill="auto"/>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 xml:space="preserve">Plating and heat treatment </w:t>
            </w: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A100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resulting from surface treatment of metals and plastics</w:t>
            </w:r>
          </w:p>
        </w:tc>
        <w:tc>
          <w:tcPr>
            <w:tcW w:w="2835" w:type="dxa"/>
            <w:vMerge w:val="restart"/>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Plating &amp; heat treatment (A)</w:t>
            </w: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A110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from heat treatment and tempering operations containing cyanides</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A130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Cyanides (inorganic)</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255"/>
        </w:trPr>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B</w:t>
            </w:r>
          </w:p>
        </w:tc>
        <w:tc>
          <w:tcPr>
            <w:tcW w:w="2140"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Acids</w:t>
            </w: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B100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Acidic solutions or acids in solid form</w:t>
            </w:r>
          </w:p>
        </w:tc>
        <w:tc>
          <w:tcPr>
            <w:tcW w:w="2835" w:type="dxa"/>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Acids (B)</w:t>
            </w:r>
          </w:p>
        </w:tc>
      </w:tr>
      <w:tr w:rsidR="009954B2" w:rsidRPr="00816657" w:rsidTr="004E14D8">
        <w:trPr>
          <w:trHeight w:val="255"/>
        </w:trPr>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C</w:t>
            </w:r>
          </w:p>
        </w:tc>
        <w:tc>
          <w:tcPr>
            <w:tcW w:w="2140"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Alkalis</w:t>
            </w:r>
          </w:p>
        </w:tc>
        <w:tc>
          <w:tcPr>
            <w:tcW w:w="940" w:type="dxa"/>
            <w:tcBorders>
              <w:bottom w:val="single" w:sz="4" w:space="0" w:color="0000FF" w:themeColor="text2"/>
            </w:tcBorders>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C100</w:t>
            </w:r>
          </w:p>
        </w:tc>
        <w:tc>
          <w:tcPr>
            <w:tcW w:w="6333" w:type="dxa"/>
            <w:tcBorders>
              <w:bottom w:val="single" w:sz="4" w:space="0" w:color="0000FF" w:themeColor="text2"/>
            </w:tcBorders>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Basic solutions or bases in solid form</w:t>
            </w:r>
          </w:p>
        </w:tc>
        <w:tc>
          <w:tcPr>
            <w:tcW w:w="2835" w:type="dxa"/>
            <w:tcBorders>
              <w:bottom w:val="single" w:sz="4" w:space="0" w:color="0000FF" w:themeColor="text2"/>
            </w:tcBorders>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Alkalis (C)</w:t>
            </w:r>
          </w:p>
        </w:tc>
      </w:tr>
      <w:tr w:rsidR="0041006D" w:rsidRPr="00816657" w:rsidTr="00D64744">
        <w:trPr>
          <w:trHeight w:val="255"/>
        </w:trPr>
        <w:tc>
          <w:tcPr>
            <w:tcW w:w="940" w:type="dxa"/>
            <w:vMerge w:val="restart"/>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w:t>
            </w:r>
          </w:p>
        </w:tc>
        <w:tc>
          <w:tcPr>
            <w:tcW w:w="2140" w:type="dxa"/>
            <w:vMerge w:val="restart"/>
            <w:tcBorders>
              <w:right w:val="single" w:sz="4" w:space="0" w:color="0000FF" w:themeColor="accent1"/>
            </w:tcBorders>
            <w:shd w:val="clear" w:color="auto" w:fill="auto"/>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Inorganic chemicals</w:t>
            </w:r>
          </w:p>
        </w:tc>
        <w:tc>
          <w:tcPr>
            <w:tcW w:w="940" w:type="dxa"/>
            <w:tcBorders>
              <w:top w:val="single" w:sz="4" w:space="0" w:color="0000FF" w:themeColor="text2"/>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D100</w:t>
            </w:r>
          </w:p>
        </w:tc>
        <w:tc>
          <w:tcPr>
            <w:tcW w:w="6333" w:type="dxa"/>
            <w:tcBorders>
              <w:top w:val="single" w:sz="4" w:space="0" w:color="0000FF" w:themeColor="text2"/>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Metal carbonyls</w:t>
            </w:r>
          </w:p>
        </w:tc>
        <w:tc>
          <w:tcPr>
            <w:tcW w:w="2835" w:type="dxa"/>
            <w:vMerge w:val="restart"/>
            <w:tcBorders>
              <w:top w:val="single" w:sz="4" w:space="0" w:color="0000FF" w:themeColor="text2"/>
              <w:right w:val="single" w:sz="4" w:space="0" w:color="0000FF" w:themeColor="text2"/>
            </w:tcBorders>
            <w:shd w:val="clear" w:color="000000" w:fill="F2F2F2"/>
            <w:vAlign w:val="center"/>
            <w:hideMark/>
          </w:tcPr>
          <w:p w:rsidR="00D64744" w:rsidRPr="00816657" w:rsidRDefault="00D64744" w:rsidP="00D64744">
            <w:pPr>
              <w:spacing w:line="240" w:lineRule="auto"/>
              <w:jc w:val="center"/>
              <w:rPr>
                <w:rFonts w:cs="Times New Roman"/>
                <w:color w:val="0000FF" w:themeColor="text2"/>
                <w:sz w:val="6"/>
                <w:szCs w:val="6"/>
                <w:lang w:eastAsia="en-AU"/>
              </w:rPr>
            </w:pPr>
          </w:p>
          <w:p w:rsidR="00D64744" w:rsidRPr="00816657" w:rsidRDefault="006D07F5" w:rsidP="00D64744">
            <w:pPr>
              <w:spacing w:line="240" w:lineRule="auto"/>
              <w:jc w:val="center"/>
              <w:rPr>
                <w:rFonts w:cs="Times New Roman"/>
                <w:color w:val="0000FF" w:themeColor="text2"/>
                <w:sz w:val="16"/>
                <w:szCs w:val="16"/>
                <w:lang w:eastAsia="en-AU"/>
              </w:rPr>
            </w:pPr>
            <w:r>
              <w:rPr>
                <w:rFonts w:cs="Times New Roman"/>
                <w:noProof/>
                <w:color w:val="0000FF" w:themeColor="text2"/>
                <w:sz w:val="16"/>
                <w:szCs w:val="16"/>
                <w:lang w:eastAsia="en-AU"/>
              </w:rPr>
              <w:pict>
                <v:group id="Group 41" o:spid="_x0000_s1070" style="position:absolute;left:0;text-align:left;margin-left:134.85pt;margin-top:7.8pt;width:40.65pt;height:278.85pt;z-index:251658752" coordorigin="14313,4417" coordsize="81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">
                  <v:shapetype id="_x0000_t32" coordsize="21600,21600" o:spt="32" o:oned="t" path="m,l21600,21600e" filled="f">
                    <v:path arrowok="t" fillok="f" o:connecttype="none"/>
                    <o:lock v:ext="edit" shapetype="t"/>
                  </v:shapetype>
                  <v:shape id="AutoShape 42" o:spid="_x0000_s1071" type="#_x0000_t32" style="position:absolute;left:14316;top:4432;width:8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hPsAAAADcAAAADwAAAGRycy9kb3ducmV2LnhtbERPTYvCMBC9C/6HMIK3NXGFZammRQXB&#10;i4dVL96GZmyKzaQ2sXb/vVlY8DaP9zmrYnCN6KkLtWcN85kCQVx6U3Ol4XzafXyDCBHZYOOZNPxS&#10;gCIfj1aYGf/kH+qPsRIphEOGGmyMbSZlKC05DDPfEifu6juHMcGukqbDZwp3jfxU6ks6rDk1WGxp&#10;a6m8HR9Og2uNux+8NZdbvWg2tL+uN6rXejoZ1ksQkYb4Fv+79ybNV3P4eyZdI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aIT7AAAAA3AAAAA8AAAAAAAAAAAAAAAAA&#10;oQIAAGRycy9kb3ducmV2LnhtbFBLBQYAAAAABAAEAPkAAACOAwAAAAA=&#10;" strokeweight="1.5pt"/>
                  <v:shape id="AutoShape 43" o:spid="_x0000_s1028" type="#_x0000_t32" style="position:absolute;left:14331;top:8509;width: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Sb8AAADcAAAADwAAAGRycy9kb3ducmV2LnhtbERPy6rCMBDdX/AfwgjuNFHhItUoKghu&#10;XPjYuBuasSk2k9rEWv/eCBfubg7nOYtV5yrRUhNKzxrGIwWCOPem5ELD5bwbzkCEiGyw8kwa3hRg&#10;tez9LDAz/sVHak+xECmEQ4YabIx1JmXILTkMI18TJ+7mG4cxwaaQpsFXCneVnCj1Kx2WnBos1rS1&#10;lN9PT6fB1cY9Dt6a672cVhva39Yb1Wo96HfrOYhIXfwX/7n3Js1XE/g+k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Mi/Sb8AAADcAAAADwAAAAAAAAAAAAAAAACh&#10;AgAAZHJzL2Rvd25yZXYueG1sUEsFBgAAAAAEAAQA+QAAAI0DAAAAAA==&#10;" strokeweight="1.5pt"/>
                  <v:shape id="AutoShape 44" o:spid="_x0000_s1029" type="#_x0000_t32" style="position:absolute;left:14328;top:6388;width:7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a0r8AAADcAAAADwAAAGRycy9kb3ducmV2LnhtbERPy6rCMBDdX/AfwgjuNFHhItUoKghu&#10;XPjYuBuasSk2k9rEWv/eCBfubg7nOYtV5yrRUhNKzxrGIwWCOPem5ELD5bwbzkCEiGyw8kwa3hRg&#10;tez9LDAz/sVHak+xECmEQ4YabIx1JmXILTkMI18TJ+7mG4cxwaaQpsFXCneVnCj1Kx2WnBos1rS1&#10;lN9PT6fB1cY9Dt6a672cVhva39Yb1Wo96HfrOYhIXfwX/7n3Js1XU/g+k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4Qa0r8AAADcAAAADwAAAAAAAAAAAAAAAACh&#10;AgAAZHJzL2Rvd25yZXYueG1sUEsFBgAAAAAEAAQA+QAAAI0DAAAAAA==&#10;" strokeweight="1.5pt"/>
                  <v:shape id="AutoShape 45" o:spid="_x0000_s1030" type="#_x0000_t32" style="position:absolute;left:15123;top:4417;width:1;height:5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v28EAAADcAAAADwAAAGRycy9kb3ducmV2LnhtbERP32vCMBB+H+x/CDfY20zchko1LSJM&#10;fF0VfD2as+nWXNomavffL4Lg2318P29VjK4VFxpC41nDdKJAEFfeNFxrOOy/3hYgQkQ22HomDX8U&#10;oMifn1aYGX/lb7qUsRYphEOGGmyMXSZlqCw5DBPfESfu5AeHMcGhlmbAawp3rXxXaiYdNpwaLHa0&#10;sVT9lmen4ePw0+/VcT49bnvbb/EcdmW/0Pr1ZVwvQUQa40N8d+9Mmq8+4fZMuk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t+/bwQAAANwAAAAPAAAAAAAAAAAAAAAA&#10;AKECAABkcnMvZG93bnJldi54bWxQSwUGAAAAAAQABAD5AAAAjwMAAAAA&#10;" strokeweight="1.5pt"/>
                  <v:shape id="AutoShape 46" o:spid="_x0000_s1031" type="#_x0000_t32" style="position:absolute;left:14313;top:9978;width:8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mb8EAAADcAAAADwAAAGRycy9kb3ducmV2LnhtbERPS2sCMRC+F/ofwhR6q8lalbI1K0VY&#10;9Vgf9Dxsppulm8m6ibr+e1MQvM3H95z5YnCtOFMfGs8aspECQVx503Ct4bAv3z5AhIhssPVMGq4U&#10;YFE8P80xN/7CWzrvYi1SCIccNdgYu1zKUFlyGEa+I07cr+8dxgT7WpoeLynctXKs1Ew6bDg1WOxo&#10;aan6252chp91Zod6o+z76TjZq9V3GehQav36Mnx9gog0xIf47t6YNF9N4f+ZdIEs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aZvwQAAANwAAAAPAAAAAAAAAAAAAAAA&#10;AKECAABkcnMvZG93bnJldi54bWxQSwUGAAAAAAQABAD5AAAAjwMAAAAA&#10;" strokeweight="1.5pt">
                    <v:stroke endarrow="open"/>
                  </v:shape>
                </v:group>
              </w:pict>
            </w:r>
            <w:r w:rsidR="00D64744" w:rsidRPr="00816657">
              <w:rPr>
                <w:rFonts w:cs="Times New Roman"/>
                <w:color w:val="0000FF" w:themeColor="text2"/>
                <w:sz w:val="16"/>
                <w:szCs w:val="16"/>
                <w:lang w:eastAsia="en-AU"/>
              </w:rPr>
              <w:t>Combined with:</w:t>
            </w:r>
          </w:p>
          <w:p w:rsidR="0041006D" w:rsidRPr="00816657" w:rsidRDefault="00D64744" w:rsidP="00D64744">
            <w:pPr>
              <w:spacing w:line="240" w:lineRule="auto"/>
              <w:jc w:val="center"/>
              <w:rPr>
                <w:rFonts w:cs="Times New Roman"/>
                <w:color w:val="0000FF" w:themeColor="text2"/>
                <w:sz w:val="16"/>
                <w:szCs w:val="16"/>
                <w:lang w:eastAsia="en-AU"/>
              </w:rPr>
            </w:pPr>
            <w:r w:rsidRPr="00816657">
              <w:rPr>
                <w:rFonts w:cs="Times New Roman"/>
                <w:color w:val="0000FF" w:themeColor="text2"/>
                <w:sz w:val="16"/>
                <w:szCs w:val="16"/>
                <w:lang w:eastAsia="en-AU"/>
              </w:rPr>
              <w:t>‘Other organic chemicals (other D)’</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bottom w:val="single" w:sz="4" w:space="0" w:color="0000FF" w:themeColor="text2"/>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D110</w:t>
            </w:r>
          </w:p>
        </w:tc>
        <w:tc>
          <w:tcPr>
            <w:tcW w:w="6333" w:type="dxa"/>
            <w:tcBorders>
              <w:bottom w:val="single" w:sz="4" w:space="0" w:color="0000FF" w:themeColor="text2"/>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Inorganic fluorine compounds excluding calcium fluoride</w:t>
            </w:r>
          </w:p>
        </w:tc>
        <w:tc>
          <w:tcPr>
            <w:tcW w:w="2835" w:type="dxa"/>
            <w:vMerge/>
            <w:tcBorders>
              <w:bottom w:val="single" w:sz="4" w:space="0" w:color="0000FF" w:themeColor="text2"/>
              <w:right w:val="single" w:sz="4" w:space="0" w:color="0000FF" w:themeColor="text2"/>
            </w:tcBorders>
            <w:vAlign w:val="center"/>
            <w:hideMark/>
          </w:tcPr>
          <w:p w:rsidR="0041006D" w:rsidRPr="00816657" w:rsidRDefault="0041006D" w:rsidP="009954B2">
            <w:pPr>
              <w:spacing w:line="240" w:lineRule="auto"/>
              <w:rPr>
                <w:rFonts w:cs="Times New Roman"/>
                <w:color w:val="000000"/>
                <w:szCs w:val="20"/>
                <w:lang w:eastAsia="en-AU"/>
              </w:rPr>
            </w:pPr>
          </w:p>
        </w:tc>
      </w:tr>
      <w:tr w:rsidR="003A3A58"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tcBorders>
              <w:top w:val="single" w:sz="4" w:space="0" w:color="FFFFFF" w:themeColor="background1"/>
              <w:bottom w:val="single" w:sz="4" w:space="0" w:color="FFFFFF" w:themeColor="background1"/>
            </w:tcBorders>
            <w:shd w:val="clear" w:color="auto" w:fill="auto"/>
            <w:vAlign w:val="center"/>
            <w:hideMark/>
          </w:tcPr>
          <w:p w:rsidR="009954B2" w:rsidRPr="00816657" w:rsidRDefault="009954B2" w:rsidP="009954B2">
            <w:pPr>
              <w:spacing w:line="240" w:lineRule="auto"/>
              <w:rPr>
                <w:rFonts w:cs="Times New Roman"/>
                <w:color w:val="000000"/>
                <w:szCs w:val="20"/>
                <w:lang w:eastAsia="en-AU"/>
              </w:rPr>
            </w:pPr>
          </w:p>
        </w:tc>
        <w:tc>
          <w:tcPr>
            <w:tcW w:w="940" w:type="dxa"/>
            <w:tcBorders>
              <w:top w:val="single" w:sz="4" w:space="0" w:color="0000FF" w:themeColor="text2"/>
              <w:bottom w:val="single" w:sz="4" w:space="0" w:color="0000FF" w:themeColor="text2"/>
            </w:tcBorders>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D120</w:t>
            </w:r>
          </w:p>
        </w:tc>
        <w:tc>
          <w:tcPr>
            <w:tcW w:w="6333" w:type="dxa"/>
            <w:tcBorders>
              <w:top w:val="single" w:sz="4" w:space="0" w:color="0000FF" w:themeColor="text2"/>
              <w:bottom w:val="single" w:sz="4" w:space="0" w:color="0000FF" w:themeColor="text2"/>
            </w:tcBorders>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Mercury; mercury compounds</w:t>
            </w:r>
          </w:p>
        </w:tc>
        <w:tc>
          <w:tcPr>
            <w:tcW w:w="2835" w:type="dxa"/>
            <w:tcBorders>
              <w:top w:val="single" w:sz="4" w:space="0" w:color="0000FF" w:themeColor="text2"/>
              <w:bottom w:val="single" w:sz="4" w:space="0" w:color="0000FF" w:themeColor="text2"/>
            </w:tcBorders>
            <w:shd w:val="clear" w:color="auto" w:fill="auto"/>
            <w:noWrap/>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Mercury; mercury compounds (D120)</w:t>
            </w:r>
          </w:p>
        </w:tc>
      </w:tr>
      <w:tr w:rsidR="0041006D" w:rsidRPr="00816657" w:rsidTr="00D64744">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val="restart"/>
            <w:tcBorders>
              <w:top w:val="single" w:sz="4" w:space="0" w:color="FFFFFF" w:themeColor="background1"/>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top w:val="single" w:sz="4" w:space="0" w:color="0000FF" w:themeColor="text2"/>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D130</w:t>
            </w:r>
          </w:p>
        </w:tc>
        <w:tc>
          <w:tcPr>
            <w:tcW w:w="6333" w:type="dxa"/>
            <w:tcBorders>
              <w:top w:val="single" w:sz="4" w:space="0" w:color="0000FF" w:themeColor="text2"/>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Arsenic; arsenic compounds</w:t>
            </w:r>
          </w:p>
        </w:tc>
        <w:tc>
          <w:tcPr>
            <w:tcW w:w="2835" w:type="dxa"/>
            <w:vMerge w:val="restart"/>
            <w:tcBorders>
              <w:top w:val="single" w:sz="4" w:space="0" w:color="0000FF" w:themeColor="text2"/>
              <w:right w:val="single" w:sz="4" w:space="0" w:color="0000FF" w:themeColor="text2"/>
            </w:tcBorders>
            <w:shd w:val="clear" w:color="000000" w:fill="F2F2F2"/>
            <w:vAlign w:val="center"/>
            <w:hideMark/>
          </w:tcPr>
          <w:p w:rsidR="0041006D" w:rsidRPr="00816657" w:rsidRDefault="0041006D" w:rsidP="00D64744">
            <w:pPr>
              <w:spacing w:line="240" w:lineRule="auto"/>
              <w:jc w:val="center"/>
              <w:rPr>
                <w:rFonts w:cs="Times New Roman"/>
                <w:color w:val="000000"/>
                <w:szCs w:val="20"/>
                <w:lang w:eastAsia="en-AU"/>
              </w:rPr>
            </w:pPr>
          </w:p>
          <w:p w:rsidR="0041006D" w:rsidRPr="00816657" w:rsidRDefault="0041006D" w:rsidP="00D64744">
            <w:pPr>
              <w:spacing w:line="240" w:lineRule="auto"/>
              <w:jc w:val="center"/>
              <w:rPr>
                <w:rFonts w:cs="Times New Roman"/>
                <w:color w:val="000000"/>
                <w:szCs w:val="20"/>
                <w:lang w:eastAsia="en-AU"/>
              </w:rPr>
            </w:pPr>
          </w:p>
          <w:p w:rsidR="0041006D" w:rsidRPr="00816657" w:rsidRDefault="0041006D" w:rsidP="00D64744">
            <w:pPr>
              <w:spacing w:line="240" w:lineRule="auto"/>
              <w:jc w:val="center"/>
              <w:rPr>
                <w:rFonts w:cs="Times New Roman"/>
                <w:color w:val="000000"/>
                <w:szCs w:val="20"/>
                <w:lang w:eastAsia="en-AU"/>
              </w:rPr>
            </w:pPr>
          </w:p>
          <w:p w:rsidR="0041006D" w:rsidRPr="00816657" w:rsidRDefault="0041006D" w:rsidP="00D64744">
            <w:pPr>
              <w:spacing w:line="240" w:lineRule="auto"/>
              <w:jc w:val="center"/>
              <w:rPr>
                <w:rFonts w:cs="Times New Roman"/>
                <w:color w:val="000000"/>
                <w:szCs w:val="20"/>
                <w:lang w:eastAsia="en-AU"/>
              </w:rPr>
            </w:pPr>
          </w:p>
          <w:p w:rsidR="00D64744" w:rsidRPr="00816657" w:rsidRDefault="00D64744" w:rsidP="00D64744">
            <w:pPr>
              <w:spacing w:line="240" w:lineRule="auto"/>
              <w:jc w:val="center"/>
              <w:rPr>
                <w:rFonts w:cs="Times New Roman"/>
                <w:color w:val="0000FF" w:themeColor="text2"/>
                <w:sz w:val="16"/>
                <w:szCs w:val="16"/>
                <w:lang w:eastAsia="en-AU"/>
              </w:rPr>
            </w:pPr>
            <w:r w:rsidRPr="00816657">
              <w:rPr>
                <w:rFonts w:cs="Times New Roman"/>
                <w:color w:val="0000FF" w:themeColor="text2"/>
                <w:sz w:val="16"/>
                <w:szCs w:val="16"/>
                <w:lang w:eastAsia="en-AU"/>
              </w:rPr>
              <w:t>Combined with:</w:t>
            </w:r>
          </w:p>
          <w:p w:rsidR="0041006D" w:rsidRPr="00816657" w:rsidRDefault="00D64744" w:rsidP="00D64744">
            <w:pPr>
              <w:spacing w:line="240" w:lineRule="auto"/>
              <w:jc w:val="center"/>
              <w:rPr>
                <w:rFonts w:cs="Times New Roman"/>
                <w:color w:val="0000FF" w:themeColor="text2"/>
                <w:szCs w:val="20"/>
                <w:lang w:eastAsia="en-AU"/>
              </w:rPr>
            </w:pPr>
            <w:r w:rsidRPr="00816657">
              <w:rPr>
                <w:rFonts w:cs="Times New Roman"/>
                <w:color w:val="0000FF" w:themeColor="text2"/>
                <w:sz w:val="16"/>
                <w:szCs w:val="16"/>
                <w:lang w:eastAsia="en-AU"/>
              </w:rPr>
              <w:t>‘Other organic chemicals (other D)’</w:t>
            </w:r>
          </w:p>
          <w:p w:rsidR="0041006D" w:rsidRPr="00816657" w:rsidRDefault="0041006D" w:rsidP="00D64744">
            <w:pPr>
              <w:spacing w:line="240" w:lineRule="auto"/>
              <w:jc w:val="center"/>
              <w:rPr>
                <w:rFonts w:cs="Times New Roman"/>
                <w:color w:val="000000"/>
                <w:szCs w:val="20"/>
                <w:lang w:eastAsia="en-AU"/>
              </w:rPr>
            </w:pPr>
          </w:p>
          <w:p w:rsidR="0041006D" w:rsidRPr="00816657" w:rsidRDefault="0041006D" w:rsidP="00D64744">
            <w:pPr>
              <w:spacing w:line="240" w:lineRule="auto"/>
              <w:jc w:val="center"/>
              <w:rPr>
                <w:rFonts w:cs="Times New Roman"/>
                <w:color w:val="000000"/>
                <w:szCs w:val="20"/>
                <w:lang w:eastAsia="en-AU"/>
              </w:rPr>
            </w:pPr>
          </w:p>
          <w:p w:rsidR="0041006D" w:rsidRPr="00816657" w:rsidRDefault="0041006D" w:rsidP="00D64744">
            <w:pPr>
              <w:spacing w:line="240" w:lineRule="auto"/>
              <w:jc w:val="center"/>
              <w:rPr>
                <w:rFonts w:cs="Times New Roman"/>
                <w:color w:val="000000"/>
                <w:szCs w:val="20"/>
                <w:lang w:eastAsia="en-AU"/>
              </w:rPr>
            </w:pPr>
          </w:p>
          <w:p w:rsidR="0041006D" w:rsidRPr="00816657" w:rsidRDefault="0041006D" w:rsidP="00D64744">
            <w:pPr>
              <w:jc w:val="cente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D140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Chromium compounds (hexavalent and trivalent)</w:t>
            </w:r>
          </w:p>
        </w:tc>
        <w:tc>
          <w:tcPr>
            <w:tcW w:w="2835" w:type="dxa"/>
            <w:vMerge/>
            <w:tcBorders>
              <w:right w:val="single" w:sz="4" w:space="0" w:color="0000FF" w:themeColor="text2"/>
            </w:tcBorders>
            <w:shd w:val="clear" w:color="000000" w:fill="F2F2F2"/>
            <w:vAlign w:val="center"/>
            <w:hideMark/>
          </w:tcPr>
          <w:p w:rsidR="0041006D" w:rsidRPr="00816657" w:rsidRDefault="0041006D" w:rsidP="009954B2">
            <w:pP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D150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Cadmium; cadmium compounds</w:t>
            </w:r>
          </w:p>
        </w:tc>
        <w:tc>
          <w:tcPr>
            <w:tcW w:w="2835" w:type="dxa"/>
            <w:vMerge/>
            <w:tcBorders>
              <w:right w:val="single" w:sz="4" w:space="0" w:color="0000FF" w:themeColor="text2"/>
            </w:tcBorders>
            <w:shd w:val="clear" w:color="000000" w:fill="F2F2F2"/>
            <w:vAlign w:val="center"/>
            <w:hideMark/>
          </w:tcPr>
          <w:p w:rsidR="0041006D" w:rsidRPr="00816657" w:rsidRDefault="0041006D" w:rsidP="009954B2">
            <w:pP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D160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Beryllium; beryllium compounds</w:t>
            </w:r>
          </w:p>
        </w:tc>
        <w:tc>
          <w:tcPr>
            <w:tcW w:w="2835" w:type="dxa"/>
            <w:vMerge/>
            <w:tcBorders>
              <w:right w:val="single" w:sz="4" w:space="0" w:color="0000FF" w:themeColor="text2"/>
            </w:tcBorders>
            <w:shd w:val="clear" w:color="000000" w:fill="F2F2F2"/>
            <w:vAlign w:val="center"/>
            <w:hideMark/>
          </w:tcPr>
          <w:p w:rsidR="0041006D" w:rsidRPr="00816657" w:rsidRDefault="0041006D" w:rsidP="009954B2">
            <w:pP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D170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Antimony; antimony compounds</w:t>
            </w:r>
          </w:p>
        </w:tc>
        <w:tc>
          <w:tcPr>
            <w:tcW w:w="2835" w:type="dxa"/>
            <w:vMerge/>
            <w:tcBorders>
              <w:right w:val="single" w:sz="4" w:space="0" w:color="0000FF" w:themeColor="text2"/>
            </w:tcBorders>
            <w:shd w:val="clear" w:color="000000" w:fill="F2F2F2"/>
            <w:vAlign w:val="center"/>
            <w:hideMark/>
          </w:tcPr>
          <w:p w:rsidR="0041006D" w:rsidRPr="00816657" w:rsidRDefault="0041006D" w:rsidP="009954B2">
            <w:pP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D180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Thallium; thallium compounds</w:t>
            </w:r>
          </w:p>
        </w:tc>
        <w:tc>
          <w:tcPr>
            <w:tcW w:w="2835" w:type="dxa"/>
            <w:vMerge/>
            <w:tcBorders>
              <w:right w:val="single" w:sz="4" w:space="0" w:color="0000FF" w:themeColor="text2"/>
            </w:tcBorders>
            <w:shd w:val="clear" w:color="000000" w:fill="F2F2F2"/>
            <w:vAlign w:val="center"/>
            <w:hideMark/>
          </w:tcPr>
          <w:p w:rsidR="0041006D" w:rsidRPr="00816657" w:rsidRDefault="0041006D" w:rsidP="009954B2">
            <w:pP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D190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Copper compounds</w:t>
            </w:r>
          </w:p>
        </w:tc>
        <w:tc>
          <w:tcPr>
            <w:tcW w:w="2835" w:type="dxa"/>
            <w:vMerge/>
            <w:tcBorders>
              <w:right w:val="single" w:sz="4" w:space="0" w:color="0000FF" w:themeColor="text2"/>
            </w:tcBorders>
            <w:shd w:val="clear" w:color="000000" w:fill="F2F2F2"/>
            <w:vAlign w:val="center"/>
            <w:hideMark/>
          </w:tcPr>
          <w:p w:rsidR="0041006D" w:rsidRPr="00816657" w:rsidRDefault="0041006D" w:rsidP="009954B2">
            <w:pP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D200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Cobalt compounds</w:t>
            </w:r>
          </w:p>
        </w:tc>
        <w:tc>
          <w:tcPr>
            <w:tcW w:w="2835" w:type="dxa"/>
            <w:vMerge/>
            <w:tcBorders>
              <w:right w:val="single" w:sz="4" w:space="0" w:color="0000FF" w:themeColor="text2"/>
            </w:tcBorders>
            <w:shd w:val="clear" w:color="000000" w:fill="F2F2F2"/>
            <w:vAlign w:val="center"/>
            <w:hideMark/>
          </w:tcPr>
          <w:p w:rsidR="0041006D" w:rsidRPr="00816657" w:rsidRDefault="0041006D" w:rsidP="009954B2">
            <w:pP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bottom w:val="single" w:sz="4" w:space="0" w:color="0000FF" w:themeColor="text2"/>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D210</w:t>
            </w:r>
          </w:p>
        </w:tc>
        <w:tc>
          <w:tcPr>
            <w:tcW w:w="6333" w:type="dxa"/>
            <w:tcBorders>
              <w:bottom w:val="single" w:sz="4" w:space="0" w:color="0000FF" w:themeColor="text2"/>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Nickel compounds</w:t>
            </w:r>
          </w:p>
        </w:tc>
        <w:tc>
          <w:tcPr>
            <w:tcW w:w="2835" w:type="dxa"/>
            <w:vMerge/>
            <w:tcBorders>
              <w:bottom w:val="single" w:sz="4" w:space="0" w:color="0000FF" w:themeColor="text2"/>
              <w:right w:val="single" w:sz="4" w:space="0" w:color="0000FF" w:themeColor="text2"/>
            </w:tcBorders>
            <w:shd w:val="clear" w:color="000000" w:fill="F2F2F2"/>
            <w:vAlign w:val="center"/>
            <w:hideMark/>
          </w:tcPr>
          <w:p w:rsidR="0041006D" w:rsidRPr="00816657" w:rsidRDefault="0041006D" w:rsidP="009954B2">
            <w:pPr>
              <w:spacing w:line="240" w:lineRule="auto"/>
              <w:rPr>
                <w:rFonts w:cs="Times New Roman"/>
                <w:color w:val="000000"/>
                <w:szCs w:val="20"/>
                <w:lang w:eastAsia="en-AU"/>
              </w:rPr>
            </w:pPr>
          </w:p>
        </w:tc>
      </w:tr>
      <w:tr w:rsidR="0041006D"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tcBorders>
              <w:top w:val="single" w:sz="4" w:space="0" w:color="FFFFFF" w:themeColor="background1"/>
              <w:bottom w:val="single" w:sz="4" w:space="0" w:color="FFFFFF" w:themeColor="background1"/>
            </w:tcBorders>
            <w:shd w:val="clear" w:color="auto" w:fill="auto"/>
            <w:vAlign w:val="center"/>
            <w:hideMark/>
          </w:tcPr>
          <w:p w:rsidR="009954B2" w:rsidRPr="00816657" w:rsidRDefault="009954B2" w:rsidP="009954B2">
            <w:pPr>
              <w:spacing w:line="240" w:lineRule="auto"/>
              <w:rPr>
                <w:rFonts w:cs="Times New Roman"/>
                <w:color w:val="000000"/>
                <w:szCs w:val="20"/>
                <w:lang w:eastAsia="en-AU"/>
              </w:rPr>
            </w:pPr>
          </w:p>
        </w:tc>
        <w:tc>
          <w:tcPr>
            <w:tcW w:w="940" w:type="dxa"/>
            <w:tcBorders>
              <w:top w:val="single" w:sz="4" w:space="0" w:color="0000FF" w:themeColor="text2"/>
              <w:bottom w:val="single" w:sz="4" w:space="0" w:color="0000FF" w:themeColor="text2"/>
            </w:tcBorders>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D220</w:t>
            </w:r>
          </w:p>
        </w:tc>
        <w:tc>
          <w:tcPr>
            <w:tcW w:w="6333" w:type="dxa"/>
            <w:tcBorders>
              <w:top w:val="single" w:sz="4" w:space="0" w:color="0000FF" w:themeColor="text2"/>
              <w:bottom w:val="single" w:sz="4" w:space="0" w:color="0000FF" w:themeColor="text2"/>
            </w:tcBorders>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Lead; lead compounds</w:t>
            </w:r>
          </w:p>
        </w:tc>
        <w:tc>
          <w:tcPr>
            <w:tcW w:w="2835" w:type="dxa"/>
            <w:tcBorders>
              <w:top w:val="single" w:sz="4" w:space="0" w:color="0000FF" w:themeColor="text2"/>
              <w:bottom w:val="single" w:sz="4" w:space="0" w:color="0000FF" w:themeColor="text2"/>
            </w:tcBorders>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Lead; lead compounds</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val="restart"/>
            <w:tcBorders>
              <w:top w:val="single" w:sz="4" w:space="0" w:color="FFFFFF" w:themeColor="background1"/>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top w:val="single" w:sz="4" w:space="0" w:color="0000FF" w:themeColor="text2"/>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D230</w:t>
            </w:r>
          </w:p>
        </w:tc>
        <w:tc>
          <w:tcPr>
            <w:tcW w:w="6333" w:type="dxa"/>
            <w:tcBorders>
              <w:top w:val="single" w:sz="4" w:space="0" w:color="0000FF" w:themeColor="text2"/>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Zinc compounds</w:t>
            </w:r>
          </w:p>
        </w:tc>
        <w:tc>
          <w:tcPr>
            <w:tcW w:w="2835" w:type="dxa"/>
            <w:vMerge w:val="restart"/>
            <w:tcBorders>
              <w:top w:val="single" w:sz="4" w:space="0" w:color="0000FF" w:themeColor="text2"/>
              <w:right w:val="single" w:sz="4" w:space="0" w:color="0000FF" w:themeColor="text2"/>
            </w:tcBorders>
            <w:shd w:val="clear" w:color="000000" w:fill="F2F2F2"/>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 </w:t>
            </w:r>
          </w:p>
          <w:p w:rsidR="00D64744" w:rsidRPr="00816657" w:rsidRDefault="0041006D" w:rsidP="00D64744">
            <w:pPr>
              <w:spacing w:line="240" w:lineRule="auto"/>
              <w:jc w:val="center"/>
              <w:rPr>
                <w:rFonts w:cs="Times New Roman"/>
                <w:color w:val="0000FF" w:themeColor="text2"/>
                <w:sz w:val="16"/>
                <w:szCs w:val="16"/>
                <w:lang w:eastAsia="en-AU"/>
              </w:rPr>
            </w:pPr>
            <w:r w:rsidRPr="00816657">
              <w:rPr>
                <w:rFonts w:cs="Times New Roman"/>
                <w:color w:val="000000"/>
                <w:szCs w:val="20"/>
                <w:lang w:eastAsia="en-AU"/>
              </w:rPr>
              <w:t> </w:t>
            </w:r>
            <w:r w:rsidR="00D64744" w:rsidRPr="00816657">
              <w:rPr>
                <w:rFonts w:cs="Times New Roman"/>
                <w:color w:val="0000FF" w:themeColor="text2"/>
                <w:sz w:val="16"/>
                <w:szCs w:val="16"/>
                <w:lang w:eastAsia="en-AU"/>
              </w:rPr>
              <w:t>Combined with:</w:t>
            </w:r>
          </w:p>
          <w:p w:rsidR="00D64744" w:rsidRPr="00816657" w:rsidRDefault="00D64744" w:rsidP="00D64744">
            <w:pPr>
              <w:spacing w:line="240" w:lineRule="auto"/>
              <w:jc w:val="center"/>
              <w:rPr>
                <w:rFonts w:cs="Times New Roman"/>
                <w:color w:val="0000FF" w:themeColor="text2"/>
                <w:szCs w:val="20"/>
                <w:lang w:eastAsia="en-AU"/>
              </w:rPr>
            </w:pPr>
            <w:r w:rsidRPr="00816657">
              <w:rPr>
                <w:rFonts w:cs="Times New Roman"/>
                <w:color w:val="0000FF" w:themeColor="text2"/>
                <w:sz w:val="16"/>
                <w:szCs w:val="16"/>
                <w:lang w:eastAsia="en-AU"/>
              </w:rPr>
              <w:t>‘Other organic chemicals (other D)’</w:t>
            </w:r>
          </w:p>
          <w:p w:rsidR="0041006D" w:rsidRPr="00816657" w:rsidRDefault="0041006D" w:rsidP="009954B2">
            <w:pPr>
              <w:rPr>
                <w:rFonts w:cs="Times New Roman"/>
                <w:color w:val="000000"/>
                <w:szCs w:val="20"/>
                <w:lang w:eastAsia="en-AU"/>
              </w:rPr>
            </w:pPr>
            <w:r w:rsidRPr="00816657">
              <w:rPr>
                <w:rFonts w:cs="Times New Roman"/>
                <w:color w:val="000000"/>
                <w:szCs w:val="20"/>
                <w:lang w:eastAsia="en-AU"/>
              </w:rPr>
              <w:t> </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D240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Selenium; selenium compounds</w:t>
            </w:r>
          </w:p>
        </w:tc>
        <w:tc>
          <w:tcPr>
            <w:tcW w:w="2835" w:type="dxa"/>
            <w:vMerge/>
            <w:tcBorders>
              <w:right w:val="single" w:sz="4" w:space="0" w:color="0000FF" w:themeColor="text2"/>
            </w:tcBorders>
            <w:shd w:val="clear" w:color="000000" w:fill="F2F2F2"/>
            <w:vAlign w:val="center"/>
            <w:hideMark/>
          </w:tcPr>
          <w:p w:rsidR="0041006D" w:rsidRPr="00816657" w:rsidRDefault="0041006D" w:rsidP="009954B2">
            <w:pP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D250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Tellurium; tellurium compounds</w:t>
            </w:r>
          </w:p>
        </w:tc>
        <w:tc>
          <w:tcPr>
            <w:tcW w:w="2835" w:type="dxa"/>
            <w:vMerge/>
            <w:tcBorders>
              <w:right w:val="single" w:sz="4" w:space="0" w:color="0000FF" w:themeColor="text2"/>
            </w:tcBorders>
            <w:shd w:val="clear" w:color="000000" w:fill="F2F2F2"/>
            <w:vAlign w:val="center"/>
            <w:hideMark/>
          </w:tcPr>
          <w:p w:rsidR="0041006D" w:rsidRPr="00816657" w:rsidRDefault="0041006D" w:rsidP="009954B2">
            <w:pP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D270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Vanadium compounds</w:t>
            </w:r>
          </w:p>
        </w:tc>
        <w:tc>
          <w:tcPr>
            <w:tcW w:w="2835" w:type="dxa"/>
            <w:vMerge/>
            <w:tcBorders>
              <w:right w:val="single" w:sz="4" w:space="0" w:color="0000FF" w:themeColor="text2"/>
            </w:tcBorders>
            <w:shd w:val="clear" w:color="000000" w:fill="F2F2F2"/>
            <w:vAlign w:val="center"/>
            <w:hideMark/>
          </w:tcPr>
          <w:p w:rsidR="0041006D" w:rsidRPr="00816657" w:rsidRDefault="0041006D" w:rsidP="009954B2">
            <w:pP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accent1"/>
              <w:bottom w:val="single" w:sz="4" w:space="0" w:color="0000FF" w:themeColor="text2"/>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D290</w:t>
            </w:r>
          </w:p>
        </w:tc>
        <w:tc>
          <w:tcPr>
            <w:tcW w:w="6333" w:type="dxa"/>
            <w:tcBorders>
              <w:bottom w:val="single" w:sz="4" w:space="0" w:color="0000FF" w:themeColor="text2"/>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Barium compounds (excluding barium sulphate)</w:t>
            </w:r>
          </w:p>
        </w:tc>
        <w:tc>
          <w:tcPr>
            <w:tcW w:w="2835" w:type="dxa"/>
            <w:vMerge/>
            <w:tcBorders>
              <w:bottom w:val="single" w:sz="4" w:space="0" w:color="0000FF" w:themeColor="text2"/>
              <w:right w:val="single" w:sz="4" w:space="0" w:color="0000FF" w:themeColor="text2"/>
            </w:tcBorders>
            <w:shd w:val="clear" w:color="000000" w:fill="F2F2F2"/>
            <w:vAlign w:val="center"/>
            <w:hideMark/>
          </w:tcPr>
          <w:p w:rsidR="0041006D" w:rsidRPr="00816657" w:rsidRDefault="0041006D" w:rsidP="009954B2">
            <w:pPr>
              <w:spacing w:line="240" w:lineRule="auto"/>
              <w:rPr>
                <w:rFonts w:cs="Times New Roman"/>
                <w:color w:val="000000"/>
                <w:szCs w:val="20"/>
                <w:lang w:eastAsia="en-AU"/>
              </w:rPr>
            </w:pP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tcBorders>
              <w:top w:val="single" w:sz="4" w:space="0" w:color="FFFFFF" w:themeColor="background1"/>
              <w:bottom w:val="single" w:sz="4" w:space="0" w:color="FFFFFF" w:themeColor="background1"/>
            </w:tcBorders>
            <w:shd w:val="clear" w:color="auto" w:fill="auto"/>
            <w:vAlign w:val="center"/>
            <w:hideMark/>
          </w:tcPr>
          <w:p w:rsidR="009954B2" w:rsidRPr="00816657" w:rsidRDefault="009954B2" w:rsidP="009954B2">
            <w:pPr>
              <w:spacing w:line="240" w:lineRule="auto"/>
              <w:rPr>
                <w:rFonts w:cs="Times New Roman"/>
                <w:color w:val="000000"/>
                <w:szCs w:val="20"/>
                <w:lang w:eastAsia="en-AU"/>
              </w:rPr>
            </w:pPr>
          </w:p>
        </w:tc>
        <w:tc>
          <w:tcPr>
            <w:tcW w:w="940" w:type="dxa"/>
            <w:tcBorders>
              <w:top w:val="single" w:sz="4" w:space="0" w:color="0000FF" w:themeColor="text2"/>
            </w:tcBorders>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D300</w:t>
            </w:r>
          </w:p>
        </w:tc>
        <w:tc>
          <w:tcPr>
            <w:tcW w:w="6333" w:type="dxa"/>
            <w:tcBorders>
              <w:top w:val="single" w:sz="4" w:space="0" w:color="0000FF" w:themeColor="text2"/>
            </w:tcBorders>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Non-toxic salts</w:t>
            </w:r>
          </w:p>
        </w:tc>
        <w:tc>
          <w:tcPr>
            <w:tcW w:w="2835" w:type="dxa"/>
            <w:tcBorders>
              <w:top w:val="single" w:sz="4" w:space="0" w:color="0000FF" w:themeColor="text2"/>
            </w:tcBorders>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Non-toxic salts</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val="restart"/>
            <w:tcBorders>
              <w:top w:val="single" w:sz="4" w:space="0" w:color="FFFFFF" w:themeColor="background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D310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Boron compounds</w:t>
            </w:r>
          </w:p>
        </w:tc>
        <w:tc>
          <w:tcPr>
            <w:tcW w:w="2835" w:type="dxa"/>
            <w:vMerge w:val="restart"/>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Other inorganic chemicals (other D)</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D330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Inorganic sulfides</w:t>
            </w:r>
          </w:p>
        </w:tc>
        <w:tc>
          <w:tcPr>
            <w:tcW w:w="2835" w:type="dxa"/>
            <w:vMerge/>
            <w:vAlign w:val="center"/>
            <w:hideMark/>
          </w:tcPr>
          <w:p w:rsidR="0041006D" w:rsidRPr="00816657" w:rsidRDefault="0041006D" w:rsidP="009954B2">
            <w:pPr>
              <w:spacing w:line="240" w:lineRule="auto"/>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D340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Perchlorates</w:t>
            </w:r>
          </w:p>
        </w:tc>
        <w:tc>
          <w:tcPr>
            <w:tcW w:w="2835" w:type="dxa"/>
            <w:vMerge/>
            <w:vAlign w:val="center"/>
            <w:hideMark/>
          </w:tcPr>
          <w:p w:rsidR="0041006D" w:rsidRPr="00816657" w:rsidRDefault="0041006D" w:rsidP="009954B2">
            <w:pPr>
              <w:spacing w:line="240" w:lineRule="auto"/>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D350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Chlorates</w:t>
            </w:r>
          </w:p>
        </w:tc>
        <w:tc>
          <w:tcPr>
            <w:tcW w:w="2835" w:type="dxa"/>
            <w:vMerge/>
            <w:vAlign w:val="center"/>
            <w:hideMark/>
          </w:tcPr>
          <w:p w:rsidR="0041006D" w:rsidRPr="00816657" w:rsidRDefault="0041006D" w:rsidP="009954B2">
            <w:pPr>
              <w:spacing w:line="240" w:lineRule="auto"/>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D360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Phosphorus compounds excluding mineral phosphates</w:t>
            </w:r>
          </w:p>
        </w:tc>
        <w:tc>
          <w:tcPr>
            <w:tcW w:w="2835" w:type="dxa"/>
            <w:vMerge/>
            <w:vAlign w:val="center"/>
            <w:hideMark/>
          </w:tcPr>
          <w:p w:rsidR="0041006D" w:rsidRPr="00816657" w:rsidRDefault="0041006D" w:rsidP="009954B2">
            <w:pPr>
              <w:spacing w:line="240" w:lineRule="auto"/>
              <w:rPr>
                <w:rFonts w:cs="Times New Roman"/>
                <w:color w:val="000000"/>
                <w:szCs w:val="20"/>
                <w:lang w:eastAsia="en-AU"/>
              </w:rPr>
            </w:pPr>
          </w:p>
        </w:tc>
      </w:tr>
      <w:tr w:rsidR="009954B2" w:rsidRPr="00816657" w:rsidTr="004E14D8">
        <w:trPr>
          <w:trHeight w:val="255"/>
        </w:trPr>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lastRenderedPageBreak/>
              <w:t>E</w:t>
            </w:r>
          </w:p>
        </w:tc>
        <w:tc>
          <w:tcPr>
            <w:tcW w:w="2140" w:type="dxa"/>
            <w:shd w:val="clear" w:color="auto" w:fill="auto"/>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Reactive chemicals</w:t>
            </w: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E100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containing peroxides other than hydrogen peroxide</w:t>
            </w:r>
          </w:p>
        </w:tc>
        <w:tc>
          <w:tcPr>
            <w:tcW w:w="2835" w:type="dxa"/>
            <w:shd w:val="clear" w:color="auto" w:fill="auto"/>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 xml:space="preserve">Reactive chemicals (E) </w:t>
            </w:r>
          </w:p>
        </w:tc>
      </w:tr>
      <w:tr w:rsidR="009954B2" w:rsidRPr="00816657" w:rsidTr="004E14D8">
        <w:trPr>
          <w:trHeight w:val="255"/>
        </w:trPr>
        <w:tc>
          <w:tcPr>
            <w:tcW w:w="940" w:type="dxa"/>
            <w:vMerge w:val="restart"/>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F</w:t>
            </w:r>
          </w:p>
        </w:tc>
        <w:tc>
          <w:tcPr>
            <w:tcW w:w="2140" w:type="dxa"/>
            <w:vMerge w:val="restart"/>
            <w:shd w:val="clear" w:color="auto" w:fill="auto"/>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Paints, resins, inks, organic sludges</w:t>
            </w: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F100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from the production, formulation and use of inks, dyes, pigments, paints, lacquers and varnish</w:t>
            </w:r>
          </w:p>
        </w:tc>
        <w:tc>
          <w:tcPr>
            <w:tcW w:w="2835" w:type="dxa"/>
            <w:vMerge w:val="restart"/>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Paints, resins, inks, organic sludges (F)</w:t>
            </w: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F110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from the production, formulation and use of resins, latex, plasticisers, glues and adhesives</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255"/>
        </w:trPr>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G</w:t>
            </w:r>
          </w:p>
        </w:tc>
        <w:tc>
          <w:tcPr>
            <w:tcW w:w="2140" w:type="dxa"/>
            <w:vMerge w:val="restart"/>
            <w:shd w:val="clear" w:color="auto" w:fill="auto"/>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Organic solvents</w:t>
            </w: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G100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Ethers</w:t>
            </w:r>
          </w:p>
        </w:tc>
        <w:tc>
          <w:tcPr>
            <w:tcW w:w="2835" w:type="dxa"/>
            <w:vMerge w:val="restart"/>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Organic solvents (G)</w:t>
            </w:r>
          </w:p>
        </w:tc>
      </w:tr>
      <w:tr w:rsidR="009954B2" w:rsidRPr="00816657" w:rsidTr="004E14D8">
        <w:trPr>
          <w:trHeight w:val="255"/>
        </w:trPr>
        <w:tc>
          <w:tcPr>
            <w:tcW w:w="940" w:type="dxa"/>
            <w:vMerge w:val="restart"/>
            <w:shd w:val="clear" w:color="auto" w:fill="auto"/>
            <w:noWrap/>
            <w:hideMark/>
          </w:tcPr>
          <w:p w:rsidR="009954B2" w:rsidRPr="00816657" w:rsidRDefault="009954B2" w:rsidP="009954B2">
            <w:pPr>
              <w:spacing w:line="240" w:lineRule="auto"/>
              <w:jc w:val="center"/>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G110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Organic solvents excluding halogenated solvents</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G150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Halogenated organic solvents</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G160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from the production, formulation and use of organic solvents</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255"/>
        </w:trPr>
        <w:tc>
          <w:tcPr>
            <w:tcW w:w="940" w:type="dxa"/>
            <w:vMerge w:val="restart"/>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H</w:t>
            </w:r>
          </w:p>
        </w:tc>
        <w:tc>
          <w:tcPr>
            <w:tcW w:w="2140" w:type="dxa"/>
            <w:vMerge w:val="restart"/>
            <w:shd w:val="clear" w:color="auto" w:fill="auto"/>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Pesticides</w:t>
            </w: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H100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from the production, formulation and use of biocides and phytopharmaceuticals</w:t>
            </w:r>
          </w:p>
        </w:tc>
        <w:tc>
          <w:tcPr>
            <w:tcW w:w="2835" w:type="dxa"/>
            <w:vMerge w:val="restart"/>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Pesticides (H)</w:t>
            </w: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H110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Organic phosphorous compounds</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H170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from manufacture, formulation and use of wood-preserving chemicals</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255"/>
        </w:trPr>
        <w:tc>
          <w:tcPr>
            <w:tcW w:w="940" w:type="dxa"/>
            <w:vMerge w:val="restart"/>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J</w:t>
            </w:r>
          </w:p>
        </w:tc>
        <w:tc>
          <w:tcPr>
            <w:tcW w:w="2140" w:type="dxa"/>
            <w:vMerge w:val="restart"/>
            <w:shd w:val="clear" w:color="auto" w:fill="auto"/>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Oils</w:t>
            </w: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J100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mineral oils unfit for their original intended use</w:t>
            </w:r>
          </w:p>
        </w:tc>
        <w:tc>
          <w:tcPr>
            <w:tcW w:w="2835" w:type="dxa"/>
            <w:vMerge w:val="restart"/>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Oils (J)</w:t>
            </w: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J120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oil/water, hydrocarbons/water mixtures or emulsions</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J160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tarry residues arising from refining, distillation, and any pyrolytic treatment</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510"/>
        </w:trPr>
        <w:tc>
          <w:tcPr>
            <w:tcW w:w="940" w:type="dxa"/>
            <w:vMerge w:val="restart"/>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K</w:t>
            </w:r>
          </w:p>
        </w:tc>
        <w:tc>
          <w:tcPr>
            <w:tcW w:w="2140" w:type="dxa"/>
            <w:vMerge w:val="restart"/>
            <w:shd w:val="clear" w:color="auto" w:fill="auto"/>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Putrescible/ organic waste</w:t>
            </w: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K100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Animal effluent and residues (abattoir effluent, poultry and fish processing wastes)</w:t>
            </w:r>
          </w:p>
        </w:tc>
        <w:tc>
          <w:tcPr>
            <w:tcW w:w="2835" w:type="dxa"/>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Animal effluent and residues (+ food processing waste) (K100)</w:t>
            </w: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K110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Grease trap waste</w:t>
            </w:r>
          </w:p>
        </w:tc>
        <w:tc>
          <w:tcPr>
            <w:tcW w:w="2835" w:type="dxa"/>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Grease trap waste (K110)</w:t>
            </w: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K140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Tannery wastes (including leather dust, ash, sludges and flours)</w:t>
            </w:r>
          </w:p>
        </w:tc>
        <w:tc>
          <w:tcPr>
            <w:tcW w:w="2835" w:type="dxa"/>
            <w:vMerge w:val="restart"/>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Tannery &amp; wool scouring wastes (K140 &amp; 190)</w:t>
            </w: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tcBorders>
              <w:bottom w:val="single" w:sz="4" w:space="0" w:color="0000FF" w:themeColor="text2"/>
            </w:tcBorders>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K190</w:t>
            </w:r>
          </w:p>
        </w:tc>
        <w:tc>
          <w:tcPr>
            <w:tcW w:w="6333" w:type="dxa"/>
            <w:tcBorders>
              <w:bottom w:val="single" w:sz="4" w:space="0" w:color="0000FF" w:themeColor="text2"/>
            </w:tcBorders>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Wool scouring wastes</w:t>
            </w:r>
          </w:p>
        </w:tc>
        <w:tc>
          <w:tcPr>
            <w:tcW w:w="2835" w:type="dxa"/>
            <w:vMerge/>
            <w:tcBorders>
              <w:bottom w:val="single" w:sz="4" w:space="0" w:color="0000FF" w:themeColor="text2"/>
            </w:tcBorders>
            <w:vAlign w:val="center"/>
            <w:hideMark/>
          </w:tcPr>
          <w:p w:rsidR="009954B2" w:rsidRPr="00816657" w:rsidRDefault="009954B2" w:rsidP="009954B2">
            <w:pPr>
              <w:spacing w:line="240" w:lineRule="auto"/>
              <w:rPr>
                <w:rFonts w:cs="Times New Roman"/>
                <w:color w:val="000000"/>
                <w:szCs w:val="20"/>
                <w:lang w:eastAsia="en-AU"/>
              </w:rPr>
            </w:pPr>
          </w:p>
        </w:tc>
      </w:tr>
      <w:tr w:rsidR="0041006D" w:rsidRPr="00816657" w:rsidTr="004E14D8">
        <w:trPr>
          <w:trHeight w:val="510"/>
        </w:trPr>
        <w:tc>
          <w:tcPr>
            <w:tcW w:w="940" w:type="dxa"/>
            <w:vMerge w:val="restart"/>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M</w:t>
            </w:r>
          </w:p>
        </w:tc>
        <w:tc>
          <w:tcPr>
            <w:tcW w:w="2140" w:type="dxa"/>
            <w:vMerge w:val="restart"/>
            <w:tcBorders>
              <w:right w:val="single" w:sz="4" w:space="0" w:color="0000FF" w:themeColor="text2"/>
            </w:tcBorders>
            <w:shd w:val="clear" w:color="auto" w:fill="auto"/>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Organic chemicals</w:t>
            </w:r>
          </w:p>
        </w:tc>
        <w:tc>
          <w:tcPr>
            <w:tcW w:w="940" w:type="dxa"/>
            <w:tcBorders>
              <w:top w:val="single" w:sz="4" w:space="0" w:color="0000FF" w:themeColor="text2"/>
              <w:left w:val="single" w:sz="4" w:space="0" w:color="0000FF" w:themeColor="text2"/>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M100</w:t>
            </w:r>
          </w:p>
        </w:tc>
        <w:tc>
          <w:tcPr>
            <w:tcW w:w="6333" w:type="dxa"/>
            <w:tcBorders>
              <w:top w:val="single" w:sz="4" w:space="0" w:color="0000FF" w:themeColor="text2"/>
            </w:tcBorders>
            <w:shd w:val="clear" w:color="auto" w:fill="auto"/>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 xml:space="preserve">Waste substances and articles containing or contaminated with polychlorinated biphenyls, polychlorinated </w:t>
            </w:r>
            <w:r w:rsidR="00960A71" w:rsidRPr="00816657">
              <w:rPr>
                <w:rFonts w:cs="Times New Roman"/>
                <w:color w:val="000000"/>
                <w:szCs w:val="20"/>
                <w:lang w:eastAsia="en-AU"/>
              </w:rPr>
              <w:t>naphthalenes</w:t>
            </w:r>
            <w:r w:rsidRPr="00816657">
              <w:rPr>
                <w:rFonts w:cs="Times New Roman"/>
                <w:color w:val="000000"/>
                <w:szCs w:val="20"/>
                <w:lang w:eastAsia="en-AU"/>
              </w:rPr>
              <w:t>, polychlorinated terphenyls and/or polybrominated biphenyls</w:t>
            </w:r>
          </w:p>
        </w:tc>
        <w:tc>
          <w:tcPr>
            <w:tcW w:w="2835" w:type="dxa"/>
            <w:vMerge w:val="restart"/>
            <w:tcBorders>
              <w:top w:val="single" w:sz="4" w:space="0" w:color="0000FF" w:themeColor="text2"/>
              <w:right w:val="single" w:sz="4" w:space="0" w:color="0000FF" w:themeColor="text2"/>
            </w:tcBorders>
            <w:shd w:val="clear" w:color="000000" w:fill="F2F2F2"/>
            <w:vAlign w:val="center"/>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 </w:t>
            </w:r>
          </w:p>
          <w:p w:rsidR="00D64744" w:rsidRPr="00816657" w:rsidRDefault="00D64744" w:rsidP="009954B2">
            <w:pPr>
              <w:spacing w:line="240" w:lineRule="auto"/>
              <w:jc w:val="center"/>
              <w:rPr>
                <w:rFonts w:cs="Times New Roman"/>
                <w:color w:val="0000FF" w:themeColor="text2"/>
                <w:sz w:val="16"/>
                <w:szCs w:val="16"/>
                <w:lang w:eastAsia="en-AU"/>
              </w:rPr>
            </w:pPr>
            <w:r w:rsidRPr="00816657">
              <w:rPr>
                <w:rFonts w:cs="Times New Roman"/>
                <w:color w:val="0000FF" w:themeColor="text2"/>
                <w:sz w:val="16"/>
                <w:szCs w:val="16"/>
                <w:lang w:eastAsia="en-AU"/>
              </w:rPr>
              <w:t>Combined with:</w:t>
            </w:r>
          </w:p>
          <w:p w:rsidR="00D64744" w:rsidRPr="00816657" w:rsidRDefault="006D07F5" w:rsidP="009954B2">
            <w:pPr>
              <w:spacing w:line="240" w:lineRule="auto"/>
              <w:jc w:val="center"/>
              <w:rPr>
                <w:rFonts w:cs="Times New Roman"/>
                <w:color w:val="000000"/>
                <w:szCs w:val="20"/>
                <w:lang w:eastAsia="en-AU"/>
              </w:rPr>
            </w:pPr>
            <w:r>
              <w:rPr>
                <w:rFonts w:cs="Times New Roman"/>
                <w:noProof/>
                <w:color w:val="000000"/>
                <w:szCs w:val="20"/>
                <w:lang w:eastAsia="en-AU"/>
              </w:rPr>
              <w:pict>
                <v:group id="Group 59" o:spid="_x0000_s1066" style="position:absolute;left:0;text-align:left;margin-left:134.8pt;margin-top:-.4pt;width:40.65pt;height:88.85pt;z-index:251659776" coordorigin="14298,8068" coordsize="813,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">
                  <v:shape id="AutoShape 60" o:spid="_x0000_s1069" type="#_x0000_t32" style="position:absolute;left:14334;top:8069;width: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Xq8IAAADcAAAADwAAAGRycy9kb3ducmV2LnhtbESPT4vCMBTE78J+h/CEva2JCrJ0G0UX&#10;BC978M/F26N5NqXNS7eJtX57Iwgeh5n5DZOvBteInrpQedYwnSgQxIU3FZcaTsft1zeIEJENNp5J&#10;w50CrJYfoxwz42+8p/4QS5EgHDLUYGNsMylDYclhmPiWOHkX3zmMSXalNB3eEtw1cqbUQjqsOC1Y&#10;bOnXUlEfrk6Da437//PWnOtq3mxod1lvVK/153hY/4CINMR3+NXeGQ1ztYDnmX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Xq8IAAADcAAAADwAAAAAAAAAAAAAA&#10;AAChAgAAZHJzL2Rvd25yZXYueG1sUEsFBgAAAAAEAAQA+QAAAJADAAAAAA==&#10;" strokeweight="1.5pt"/>
                  <v:shape id="AutoShape 61" o:spid="_x0000_s1068" type="#_x0000_t32" style="position:absolute;left:15098;top:8068;width:0;height:19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fTcEAAADcAAAADwAAAGRycy9kb3ducmV2LnhtbESPQYvCMBSE7wv+h/AEb2uiwirVKIug&#10;eN0qeH00z6Zu89I2Ueu/3ywIHoeZb4ZZbXpXizt1ofKsYTJWIIgLbyouNZyOu88FiBCRDdaeScOT&#10;AmzWg48VZsY/+IfueSxFKuGQoQYbY5NJGQpLDsPYN8TJu/jOYUyyK6Xp8JHKXS2nSn1JhxWnBYsN&#10;bS0Vv/nNaZidru1RneeT87617R5v4ZC3C61Hw/57CSJSH9/hF30wiVNz+D+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oR9NwQAAANwAAAAPAAAAAAAAAAAAAAAA&#10;AKECAABkcnMvZG93bnJldi54bWxQSwUGAAAAAAQABAD5AAAAjwMAAAAA&#10;" strokeweight="1.5pt"/>
                  <v:shape id="AutoShape 62" o:spid="_x0000_s1067" type="#_x0000_t32" style="position:absolute;left:14298;top:10031;width:8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hnEL8AAADcAAAADwAAAGRycy9kb3ducmV2LnhtbERPTYvCMBC9C/6HMII3TVxlkWoUEbp6&#10;dK14HpqxKTaT2kTt/vvNYWGPj/e93vauES/qQu1Zw2yqQBCX3tRcabgU+WQJIkRkg41n0vBDAbab&#10;4WCNmfFv/qbXOVYihXDIUIONsc2kDKUlh2HqW+LE3XznMCbYVdJ0+E7hrpEfSn1KhzWnBost7S2V&#10;9/PTabgeZravjsrOn49Fob5OeaBLrvV41O9WICL18V/85z4aDXOV1qYz6QjIz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dhnEL8AAADcAAAADwAAAAAAAAAAAAAAAACh&#10;AgAAZHJzL2Rvd25yZXYueG1sUEsFBgAAAAAEAAQA+QAAAI0DAAAAAA==&#10;" strokeweight="1.5pt">
                    <v:stroke endarrow="open"/>
                  </v:shape>
                </v:group>
              </w:pict>
            </w:r>
            <w:r w:rsidR="00D64744" w:rsidRPr="00816657">
              <w:rPr>
                <w:rFonts w:cs="Times New Roman"/>
                <w:color w:val="0000FF" w:themeColor="text2"/>
                <w:sz w:val="16"/>
                <w:szCs w:val="16"/>
                <w:lang w:eastAsia="en-AU"/>
              </w:rPr>
              <w:t xml:space="preserve"> ‘Other organic chemicals (other M)’</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text2"/>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text2"/>
              <w:bottom w:val="single" w:sz="4" w:space="0" w:color="0000FF" w:themeColor="text2"/>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M150</w:t>
            </w:r>
          </w:p>
        </w:tc>
        <w:tc>
          <w:tcPr>
            <w:tcW w:w="6333" w:type="dxa"/>
            <w:tcBorders>
              <w:bottom w:val="single" w:sz="4" w:space="0" w:color="0000FF" w:themeColor="text2"/>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Phenols, phenol compounds including chlorophenols</w:t>
            </w:r>
          </w:p>
        </w:tc>
        <w:tc>
          <w:tcPr>
            <w:tcW w:w="2835" w:type="dxa"/>
            <w:vMerge/>
            <w:tcBorders>
              <w:bottom w:val="single" w:sz="4" w:space="0" w:color="0000FF" w:themeColor="text2"/>
              <w:right w:val="single" w:sz="4" w:space="0" w:color="0000FF" w:themeColor="text2"/>
            </w:tcBorders>
            <w:vAlign w:val="center"/>
            <w:hideMark/>
          </w:tcPr>
          <w:p w:rsidR="0041006D" w:rsidRPr="00816657" w:rsidRDefault="0041006D" w:rsidP="009954B2">
            <w:pPr>
              <w:spacing w:line="240" w:lineRule="auto"/>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val="restart"/>
            <w:tcBorders>
              <w:top w:val="single" w:sz="4" w:space="0" w:color="FFFFFF" w:themeColor="background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vMerge w:val="restart"/>
            <w:tcBorders>
              <w:top w:val="single" w:sz="4" w:space="0" w:color="0000FF" w:themeColor="text2"/>
            </w:tcBorders>
            <w:shd w:val="clear" w:color="auto" w:fill="auto"/>
            <w:noWrap/>
            <w:vAlign w:val="center"/>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M160</w:t>
            </w:r>
          </w:p>
        </w:tc>
        <w:tc>
          <w:tcPr>
            <w:tcW w:w="6333" w:type="dxa"/>
            <w:vMerge w:val="restart"/>
            <w:tcBorders>
              <w:top w:val="single" w:sz="4" w:space="0" w:color="0000FF" w:themeColor="text2"/>
            </w:tcBorders>
            <w:shd w:val="clear" w:color="auto" w:fill="auto"/>
            <w:noWrap/>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Organo halogen compounds—other than substances referred to in this Table or Table 2 - PFOS</w:t>
            </w:r>
          </w:p>
        </w:tc>
        <w:tc>
          <w:tcPr>
            <w:tcW w:w="2835" w:type="dxa"/>
            <w:tcBorders>
              <w:top w:val="single" w:sz="4" w:space="0" w:color="0000FF" w:themeColor="text2"/>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PFOS (M160a)</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6333"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835" w:type="dxa"/>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POP-BDEs (M160b)</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6333"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835" w:type="dxa"/>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HBCD (M160c)</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6333"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835" w:type="dxa"/>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HCB (M160d)</w:t>
            </w:r>
          </w:p>
        </w:tc>
      </w:tr>
      <w:tr w:rsidR="004E14D8" w:rsidRPr="00816657" w:rsidTr="004E14D8">
        <w:trPr>
          <w:trHeight w:val="255"/>
        </w:trPr>
        <w:tc>
          <w:tcPr>
            <w:tcW w:w="940" w:type="dxa"/>
            <w:vMerge/>
            <w:vAlign w:val="center"/>
            <w:hideMark/>
          </w:tcPr>
          <w:p w:rsidR="004E14D8" w:rsidRPr="00816657" w:rsidRDefault="004E14D8" w:rsidP="009954B2">
            <w:pPr>
              <w:spacing w:line="240" w:lineRule="auto"/>
              <w:rPr>
                <w:rFonts w:cs="Times New Roman"/>
                <w:color w:val="000000"/>
                <w:szCs w:val="20"/>
                <w:lang w:eastAsia="en-AU"/>
              </w:rPr>
            </w:pPr>
          </w:p>
        </w:tc>
        <w:tc>
          <w:tcPr>
            <w:tcW w:w="2140"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c>
          <w:tcPr>
            <w:tcW w:w="940" w:type="dxa"/>
            <w:shd w:val="clear" w:color="auto" w:fill="auto"/>
            <w:noWrap/>
            <w:hideMark/>
          </w:tcPr>
          <w:p w:rsidR="004E14D8" w:rsidRPr="00816657" w:rsidRDefault="004E14D8" w:rsidP="009954B2">
            <w:pPr>
              <w:spacing w:line="240" w:lineRule="auto"/>
              <w:jc w:val="center"/>
              <w:rPr>
                <w:rFonts w:cs="Times New Roman"/>
                <w:color w:val="000000"/>
                <w:szCs w:val="20"/>
                <w:lang w:eastAsia="en-AU"/>
              </w:rPr>
            </w:pPr>
            <w:r w:rsidRPr="00816657">
              <w:rPr>
                <w:rFonts w:cs="Times New Roman"/>
                <w:color w:val="000000"/>
                <w:szCs w:val="20"/>
                <w:lang w:eastAsia="en-AU"/>
              </w:rPr>
              <w:t>M170</w:t>
            </w:r>
          </w:p>
        </w:tc>
        <w:tc>
          <w:tcPr>
            <w:tcW w:w="6333" w:type="dxa"/>
            <w:shd w:val="clear" w:color="auto" w:fill="auto"/>
            <w:noWrap/>
            <w:hideMark/>
          </w:tcPr>
          <w:p w:rsidR="004E14D8" w:rsidRPr="00816657" w:rsidRDefault="004E14D8" w:rsidP="009954B2">
            <w:pPr>
              <w:spacing w:line="240" w:lineRule="auto"/>
              <w:rPr>
                <w:rFonts w:cs="Times New Roman"/>
                <w:color w:val="000000"/>
                <w:szCs w:val="20"/>
                <w:lang w:eastAsia="en-AU"/>
              </w:rPr>
            </w:pPr>
            <w:r w:rsidRPr="00816657">
              <w:rPr>
                <w:rFonts w:cs="Times New Roman"/>
                <w:color w:val="000000"/>
                <w:szCs w:val="20"/>
                <w:lang w:eastAsia="en-AU"/>
              </w:rPr>
              <w:t>Polychlorinated dibenzo-furan (any congener)</w:t>
            </w:r>
          </w:p>
        </w:tc>
        <w:tc>
          <w:tcPr>
            <w:tcW w:w="2835" w:type="dxa"/>
            <w:vMerge w:val="restart"/>
            <w:shd w:val="clear" w:color="auto" w:fill="auto"/>
            <w:vAlign w:val="center"/>
            <w:hideMark/>
          </w:tcPr>
          <w:p w:rsidR="004E14D8" w:rsidRPr="00816657" w:rsidRDefault="004E14D8" w:rsidP="009954B2">
            <w:pPr>
              <w:spacing w:line="240" w:lineRule="auto"/>
              <w:rPr>
                <w:rFonts w:cs="Times New Roman"/>
                <w:color w:val="000000"/>
                <w:szCs w:val="20"/>
                <w:lang w:eastAsia="en-AU"/>
              </w:rPr>
            </w:pPr>
            <w:r w:rsidRPr="00816657">
              <w:rPr>
                <w:rFonts w:cs="Times New Roman"/>
                <w:color w:val="000000"/>
                <w:szCs w:val="20"/>
                <w:lang w:eastAsia="en-AU"/>
              </w:rPr>
              <w:t>Other organic chemicals (other M)</w:t>
            </w:r>
          </w:p>
        </w:tc>
      </w:tr>
      <w:tr w:rsidR="004E14D8" w:rsidRPr="00816657" w:rsidTr="004E14D8">
        <w:trPr>
          <w:trHeight w:val="255"/>
        </w:trPr>
        <w:tc>
          <w:tcPr>
            <w:tcW w:w="940" w:type="dxa"/>
            <w:vMerge/>
            <w:vAlign w:val="center"/>
            <w:hideMark/>
          </w:tcPr>
          <w:p w:rsidR="004E14D8" w:rsidRPr="00816657" w:rsidRDefault="004E14D8" w:rsidP="009954B2">
            <w:pPr>
              <w:spacing w:line="240" w:lineRule="auto"/>
              <w:rPr>
                <w:rFonts w:cs="Times New Roman"/>
                <w:color w:val="000000"/>
                <w:szCs w:val="20"/>
                <w:lang w:eastAsia="en-AU"/>
              </w:rPr>
            </w:pPr>
          </w:p>
        </w:tc>
        <w:tc>
          <w:tcPr>
            <w:tcW w:w="2140"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c>
          <w:tcPr>
            <w:tcW w:w="940" w:type="dxa"/>
            <w:shd w:val="clear" w:color="auto" w:fill="auto"/>
            <w:noWrap/>
            <w:hideMark/>
          </w:tcPr>
          <w:p w:rsidR="004E14D8" w:rsidRPr="00816657" w:rsidRDefault="004E14D8" w:rsidP="009954B2">
            <w:pPr>
              <w:spacing w:line="240" w:lineRule="auto"/>
              <w:jc w:val="center"/>
              <w:rPr>
                <w:rFonts w:cs="Times New Roman"/>
                <w:color w:val="000000"/>
                <w:szCs w:val="20"/>
                <w:lang w:eastAsia="en-AU"/>
              </w:rPr>
            </w:pPr>
            <w:r w:rsidRPr="00816657">
              <w:rPr>
                <w:rFonts w:cs="Times New Roman"/>
                <w:color w:val="000000"/>
                <w:szCs w:val="20"/>
                <w:lang w:eastAsia="en-AU"/>
              </w:rPr>
              <w:t>M180</w:t>
            </w:r>
          </w:p>
        </w:tc>
        <w:tc>
          <w:tcPr>
            <w:tcW w:w="6333" w:type="dxa"/>
            <w:shd w:val="clear" w:color="auto" w:fill="auto"/>
            <w:noWrap/>
            <w:hideMark/>
          </w:tcPr>
          <w:p w:rsidR="004E14D8" w:rsidRPr="00816657" w:rsidRDefault="004E14D8" w:rsidP="009954B2">
            <w:pPr>
              <w:spacing w:line="240" w:lineRule="auto"/>
              <w:rPr>
                <w:rFonts w:cs="Times New Roman"/>
                <w:color w:val="000000"/>
                <w:szCs w:val="20"/>
                <w:lang w:eastAsia="en-AU"/>
              </w:rPr>
            </w:pPr>
            <w:r w:rsidRPr="00816657">
              <w:rPr>
                <w:rFonts w:cs="Times New Roman"/>
                <w:color w:val="000000"/>
                <w:szCs w:val="20"/>
                <w:lang w:eastAsia="en-AU"/>
              </w:rPr>
              <w:t>Polychlorinated dibenzo-p-dioxin (any congener)</w:t>
            </w:r>
          </w:p>
        </w:tc>
        <w:tc>
          <w:tcPr>
            <w:tcW w:w="2835"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r>
      <w:tr w:rsidR="004E14D8" w:rsidRPr="00816657" w:rsidTr="004E14D8">
        <w:trPr>
          <w:trHeight w:val="255"/>
        </w:trPr>
        <w:tc>
          <w:tcPr>
            <w:tcW w:w="940" w:type="dxa"/>
            <w:vMerge/>
            <w:vAlign w:val="center"/>
            <w:hideMark/>
          </w:tcPr>
          <w:p w:rsidR="004E14D8" w:rsidRPr="00816657" w:rsidRDefault="004E14D8" w:rsidP="009954B2">
            <w:pPr>
              <w:spacing w:line="240" w:lineRule="auto"/>
              <w:rPr>
                <w:rFonts w:cs="Times New Roman"/>
                <w:color w:val="000000"/>
                <w:szCs w:val="20"/>
                <w:lang w:eastAsia="en-AU"/>
              </w:rPr>
            </w:pPr>
          </w:p>
        </w:tc>
        <w:tc>
          <w:tcPr>
            <w:tcW w:w="2140"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c>
          <w:tcPr>
            <w:tcW w:w="940" w:type="dxa"/>
            <w:shd w:val="clear" w:color="auto" w:fill="auto"/>
            <w:noWrap/>
            <w:hideMark/>
          </w:tcPr>
          <w:p w:rsidR="004E14D8" w:rsidRPr="00816657" w:rsidRDefault="004E14D8" w:rsidP="009954B2">
            <w:pPr>
              <w:spacing w:line="240" w:lineRule="auto"/>
              <w:jc w:val="center"/>
              <w:rPr>
                <w:rFonts w:cs="Times New Roman"/>
                <w:color w:val="000000"/>
                <w:szCs w:val="20"/>
                <w:lang w:eastAsia="en-AU"/>
              </w:rPr>
            </w:pPr>
            <w:r w:rsidRPr="00816657">
              <w:rPr>
                <w:rFonts w:cs="Times New Roman"/>
                <w:color w:val="000000"/>
                <w:szCs w:val="20"/>
                <w:lang w:eastAsia="en-AU"/>
              </w:rPr>
              <w:t>M210</w:t>
            </w:r>
          </w:p>
        </w:tc>
        <w:tc>
          <w:tcPr>
            <w:tcW w:w="6333" w:type="dxa"/>
            <w:shd w:val="clear" w:color="auto" w:fill="auto"/>
            <w:noWrap/>
            <w:hideMark/>
          </w:tcPr>
          <w:p w:rsidR="004E14D8" w:rsidRPr="00816657" w:rsidRDefault="004E14D8" w:rsidP="009954B2">
            <w:pPr>
              <w:spacing w:line="240" w:lineRule="auto"/>
              <w:rPr>
                <w:rFonts w:cs="Times New Roman"/>
                <w:color w:val="000000"/>
                <w:szCs w:val="20"/>
                <w:lang w:eastAsia="en-AU"/>
              </w:rPr>
            </w:pPr>
            <w:r w:rsidRPr="00816657">
              <w:rPr>
                <w:rFonts w:cs="Times New Roman"/>
                <w:color w:val="000000"/>
                <w:szCs w:val="20"/>
                <w:lang w:eastAsia="en-AU"/>
              </w:rPr>
              <w:t>Cyanides (organic)</w:t>
            </w:r>
          </w:p>
        </w:tc>
        <w:tc>
          <w:tcPr>
            <w:tcW w:w="2835"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r>
      <w:tr w:rsidR="004E14D8" w:rsidRPr="00816657" w:rsidTr="004E14D8">
        <w:trPr>
          <w:trHeight w:val="255"/>
        </w:trPr>
        <w:tc>
          <w:tcPr>
            <w:tcW w:w="940" w:type="dxa"/>
            <w:vMerge/>
            <w:vAlign w:val="center"/>
            <w:hideMark/>
          </w:tcPr>
          <w:p w:rsidR="004E14D8" w:rsidRPr="00816657" w:rsidRDefault="004E14D8" w:rsidP="009954B2">
            <w:pPr>
              <w:spacing w:line="240" w:lineRule="auto"/>
              <w:rPr>
                <w:rFonts w:cs="Times New Roman"/>
                <w:color w:val="000000"/>
                <w:szCs w:val="20"/>
                <w:lang w:eastAsia="en-AU"/>
              </w:rPr>
            </w:pPr>
          </w:p>
        </w:tc>
        <w:tc>
          <w:tcPr>
            <w:tcW w:w="2140"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c>
          <w:tcPr>
            <w:tcW w:w="940" w:type="dxa"/>
            <w:shd w:val="clear" w:color="auto" w:fill="auto"/>
            <w:noWrap/>
            <w:hideMark/>
          </w:tcPr>
          <w:p w:rsidR="004E14D8" w:rsidRPr="00816657" w:rsidRDefault="004E14D8" w:rsidP="009954B2">
            <w:pPr>
              <w:spacing w:line="240" w:lineRule="auto"/>
              <w:jc w:val="center"/>
              <w:rPr>
                <w:rFonts w:cs="Times New Roman"/>
                <w:color w:val="000000"/>
                <w:szCs w:val="20"/>
                <w:lang w:eastAsia="en-AU"/>
              </w:rPr>
            </w:pPr>
            <w:r w:rsidRPr="00816657">
              <w:rPr>
                <w:rFonts w:cs="Times New Roman"/>
                <w:color w:val="000000"/>
                <w:szCs w:val="20"/>
                <w:lang w:eastAsia="en-AU"/>
              </w:rPr>
              <w:t>M220</w:t>
            </w:r>
          </w:p>
        </w:tc>
        <w:tc>
          <w:tcPr>
            <w:tcW w:w="6333" w:type="dxa"/>
            <w:shd w:val="clear" w:color="auto" w:fill="auto"/>
            <w:noWrap/>
            <w:hideMark/>
          </w:tcPr>
          <w:p w:rsidR="004E14D8" w:rsidRPr="00816657" w:rsidRDefault="004E14D8" w:rsidP="009954B2">
            <w:pPr>
              <w:spacing w:line="240" w:lineRule="auto"/>
              <w:rPr>
                <w:rFonts w:cs="Times New Roman"/>
                <w:color w:val="000000"/>
                <w:szCs w:val="20"/>
                <w:lang w:eastAsia="en-AU"/>
              </w:rPr>
            </w:pPr>
            <w:r w:rsidRPr="00816657">
              <w:rPr>
                <w:rFonts w:cs="Times New Roman"/>
                <w:color w:val="000000"/>
                <w:szCs w:val="20"/>
                <w:lang w:eastAsia="en-AU"/>
              </w:rPr>
              <w:t>Isocyanate compounds</w:t>
            </w:r>
          </w:p>
        </w:tc>
        <w:tc>
          <w:tcPr>
            <w:tcW w:w="2835"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r>
      <w:tr w:rsidR="004E14D8" w:rsidRPr="00816657" w:rsidTr="004E14D8">
        <w:trPr>
          <w:trHeight w:val="255"/>
        </w:trPr>
        <w:tc>
          <w:tcPr>
            <w:tcW w:w="940" w:type="dxa"/>
            <w:vMerge/>
            <w:vAlign w:val="center"/>
            <w:hideMark/>
          </w:tcPr>
          <w:p w:rsidR="004E14D8" w:rsidRPr="00816657" w:rsidRDefault="004E14D8" w:rsidP="009954B2">
            <w:pPr>
              <w:spacing w:line="240" w:lineRule="auto"/>
              <w:rPr>
                <w:rFonts w:cs="Times New Roman"/>
                <w:color w:val="000000"/>
                <w:szCs w:val="20"/>
                <w:lang w:eastAsia="en-AU"/>
              </w:rPr>
            </w:pPr>
          </w:p>
        </w:tc>
        <w:tc>
          <w:tcPr>
            <w:tcW w:w="2140"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c>
          <w:tcPr>
            <w:tcW w:w="940" w:type="dxa"/>
            <w:shd w:val="clear" w:color="auto" w:fill="auto"/>
            <w:noWrap/>
            <w:hideMark/>
          </w:tcPr>
          <w:p w:rsidR="004E14D8" w:rsidRPr="00816657" w:rsidRDefault="004E14D8" w:rsidP="009954B2">
            <w:pPr>
              <w:spacing w:line="240" w:lineRule="auto"/>
              <w:jc w:val="center"/>
              <w:rPr>
                <w:rFonts w:cs="Times New Roman"/>
                <w:color w:val="000000"/>
                <w:szCs w:val="20"/>
                <w:lang w:eastAsia="en-AU"/>
              </w:rPr>
            </w:pPr>
            <w:r w:rsidRPr="00816657">
              <w:rPr>
                <w:rFonts w:cs="Times New Roman"/>
                <w:color w:val="000000"/>
                <w:szCs w:val="20"/>
                <w:lang w:eastAsia="en-AU"/>
              </w:rPr>
              <w:t>M230</w:t>
            </w:r>
          </w:p>
        </w:tc>
        <w:tc>
          <w:tcPr>
            <w:tcW w:w="6333" w:type="dxa"/>
            <w:shd w:val="clear" w:color="auto" w:fill="auto"/>
            <w:noWrap/>
            <w:hideMark/>
          </w:tcPr>
          <w:p w:rsidR="004E14D8" w:rsidRPr="00816657" w:rsidRDefault="004E14D8" w:rsidP="009954B2">
            <w:pPr>
              <w:spacing w:line="240" w:lineRule="auto"/>
              <w:rPr>
                <w:rFonts w:cs="Times New Roman"/>
                <w:color w:val="000000"/>
                <w:szCs w:val="20"/>
                <w:lang w:eastAsia="en-AU"/>
              </w:rPr>
            </w:pPr>
            <w:r w:rsidRPr="00816657">
              <w:rPr>
                <w:rFonts w:cs="Times New Roman"/>
                <w:color w:val="000000"/>
                <w:szCs w:val="20"/>
                <w:lang w:eastAsia="en-AU"/>
              </w:rPr>
              <w:t>Triethylamine catalysts for setting foundry sands</w:t>
            </w:r>
          </w:p>
        </w:tc>
        <w:tc>
          <w:tcPr>
            <w:tcW w:w="2835"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r>
      <w:tr w:rsidR="004E14D8" w:rsidRPr="00816657" w:rsidTr="004E14D8">
        <w:trPr>
          <w:trHeight w:val="510"/>
        </w:trPr>
        <w:tc>
          <w:tcPr>
            <w:tcW w:w="940" w:type="dxa"/>
            <w:vMerge/>
            <w:vAlign w:val="center"/>
            <w:hideMark/>
          </w:tcPr>
          <w:p w:rsidR="004E14D8" w:rsidRPr="00816657" w:rsidRDefault="004E14D8" w:rsidP="009954B2">
            <w:pPr>
              <w:spacing w:line="240" w:lineRule="auto"/>
              <w:rPr>
                <w:rFonts w:cs="Times New Roman"/>
                <w:color w:val="000000"/>
                <w:szCs w:val="20"/>
                <w:lang w:eastAsia="en-AU"/>
              </w:rPr>
            </w:pPr>
          </w:p>
        </w:tc>
        <w:tc>
          <w:tcPr>
            <w:tcW w:w="2140"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c>
          <w:tcPr>
            <w:tcW w:w="940" w:type="dxa"/>
            <w:shd w:val="clear" w:color="auto" w:fill="auto"/>
            <w:noWrap/>
            <w:hideMark/>
          </w:tcPr>
          <w:p w:rsidR="004E14D8" w:rsidRPr="00816657" w:rsidRDefault="004E14D8" w:rsidP="009954B2">
            <w:pPr>
              <w:spacing w:line="240" w:lineRule="auto"/>
              <w:jc w:val="center"/>
              <w:rPr>
                <w:rFonts w:cs="Times New Roman"/>
                <w:color w:val="000000"/>
                <w:szCs w:val="20"/>
                <w:lang w:eastAsia="en-AU"/>
              </w:rPr>
            </w:pPr>
            <w:r w:rsidRPr="00816657">
              <w:rPr>
                <w:rFonts w:cs="Times New Roman"/>
                <w:color w:val="000000"/>
                <w:szCs w:val="20"/>
                <w:lang w:eastAsia="en-AU"/>
              </w:rPr>
              <w:t>M250</w:t>
            </w:r>
          </w:p>
        </w:tc>
        <w:tc>
          <w:tcPr>
            <w:tcW w:w="6333" w:type="dxa"/>
            <w:shd w:val="clear" w:color="auto" w:fill="auto"/>
            <w:hideMark/>
          </w:tcPr>
          <w:p w:rsidR="004E14D8" w:rsidRPr="00816657" w:rsidRDefault="004E14D8" w:rsidP="009954B2">
            <w:pPr>
              <w:spacing w:line="240" w:lineRule="auto"/>
              <w:rPr>
                <w:rFonts w:cs="Times New Roman"/>
                <w:color w:val="000000"/>
                <w:szCs w:val="20"/>
                <w:lang w:eastAsia="en-AU"/>
              </w:rPr>
            </w:pPr>
            <w:r w:rsidRPr="00816657">
              <w:rPr>
                <w:rFonts w:cs="Times New Roman"/>
                <w:color w:val="000000"/>
                <w:szCs w:val="20"/>
                <w:lang w:eastAsia="en-AU"/>
              </w:rPr>
              <w:t>Surface active agents (surfactants), containing principally organic constituents and which may contain metals and inorganic materials</w:t>
            </w:r>
          </w:p>
        </w:tc>
        <w:tc>
          <w:tcPr>
            <w:tcW w:w="2835"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r>
      <w:tr w:rsidR="004E14D8" w:rsidRPr="00816657" w:rsidTr="004E14D8">
        <w:trPr>
          <w:trHeight w:val="255"/>
        </w:trPr>
        <w:tc>
          <w:tcPr>
            <w:tcW w:w="940" w:type="dxa"/>
            <w:vMerge/>
            <w:vAlign w:val="center"/>
            <w:hideMark/>
          </w:tcPr>
          <w:p w:rsidR="004E14D8" w:rsidRPr="00816657" w:rsidRDefault="004E14D8" w:rsidP="009954B2">
            <w:pPr>
              <w:spacing w:line="240" w:lineRule="auto"/>
              <w:rPr>
                <w:rFonts w:cs="Times New Roman"/>
                <w:color w:val="000000"/>
                <w:szCs w:val="20"/>
                <w:lang w:eastAsia="en-AU"/>
              </w:rPr>
            </w:pPr>
          </w:p>
        </w:tc>
        <w:tc>
          <w:tcPr>
            <w:tcW w:w="2140" w:type="dxa"/>
            <w:vMerge/>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c>
          <w:tcPr>
            <w:tcW w:w="940" w:type="dxa"/>
            <w:tcBorders>
              <w:bottom w:val="single" w:sz="4" w:space="0" w:color="0000FF" w:themeColor="text2"/>
            </w:tcBorders>
            <w:shd w:val="clear" w:color="auto" w:fill="auto"/>
            <w:noWrap/>
            <w:hideMark/>
          </w:tcPr>
          <w:p w:rsidR="004E14D8" w:rsidRPr="00816657" w:rsidRDefault="004E14D8" w:rsidP="009954B2">
            <w:pPr>
              <w:spacing w:line="240" w:lineRule="auto"/>
              <w:jc w:val="center"/>
              <w:rPr>
                <w:rFonts w:cs="Times New Roman"/>
                <w:color w:val="000000"/>
                <w:szCs w:val="20"/>
                <w:lang w:eastAsia="en-AU"/>
              </w:rPr>
            </w:pPr>
            <w:r w:rsidRPr="00816657">
              <w:rPr>
                <w:rFonts w:cs="Times New Roman"/>
                <w:color w:val="000000"/>
                <w:szCs w:val="20"/>
                <w:lang w:eastAsia="en-AU"/>
              </w:rPr>
              <w:t>M260</w:t>
            </w:r>
          </w:p>
        </w:tc>
        <w:tc>
          <w:tcPr>
            <w:tcW w:w="6333" w:type="dxa"/>
            <w:tcBorders>
              <w:bottom w:val="single" w:sz="4" w:space="0" w:color="0000FF" w:themeColor="text2"/>
            </w:tcBorders>
            <w:shd w:val="clear" w:color="auto" w:fill="auto"/>
            <w:noWrap/>
            <w:hideMark/>
          </w:tcPr>
          <w:p w:rsidR="004E14D8" w:rsidRPr="00816657" w:rsidRDefault="004E14D8" w:rsidP="009954B2">
            <w:pPr>
              <w:spacing w:line="240" w:lineRule="auto"/>
              <w:rPr>
                <w:rFonts w:cs="Times New Roman"/>
                <w:color w:val="000000"/>
                <w:szCs w:val="20"/>
                <w:lang w:eastAsia="en-AU"/>
              </w:rPr>
            </w:pPr>
            <w:r w:rsidRPr="00816657">
              <w:rPr>
                <w:rFonts w:cs="Times New Roman"/>
                <w:color w:val="000000"/>
                <w:szCs w:val="20"/>
                <w:lang w:eastAsia="en-AU"/>
              </w:rPr>
              <w:t>Highly odorous organic chemicals (including mercaptans and acrylates)</w:t>
            </w:r>
          </w:p>
        </w:tc>
        <w:tc>
          <w:tcPr>
            <w:tcW w:w="2835" w:type="dxa"/>
            <w:vMerge/>
            <w:tcBorders>
              <w:bottom w:val="single" w:sz="4" w:space="0" w:color="0000FF" w:themeColor="accent1"/>
            </w:tcBorders>
            <w:shd w:val="clear" w:color="auto" w:fill="auto"/>
            <w:vAlign w:val="center"/>
            <w:hideMark/>
          </w:tcPr>
          <w:p w:rsidR="004E14D8" w:rsidRPr="00816657" w:rsidRDefault="004E14D8" w:rsidP="009954B2">
            <w:pPr>
              <w:spacing w:line="240" w:lineRule="auto"/>
              <w:rPr>
                <w:rFonts w:cs="Times New Roman"/>
                <w:color w:val="000000"/>
                <w:szCs w:val="20"/>
                <w:lang w:eastAsia="en-AU"/>
              </w:rPr>
            </w:pPr>
          </w:p>
        </w:tc>
      </w:tr>
      <w:tr w:rsidR="003A3A58" w:rsidRPr="00816657" w:rsidTr="00F93432">
        <w:trPr>
          <w:trHeight w:val="255"/>
        </w:trPr>
        <w:tc>
          <w:tcPr>
            <w:tcW w:w="940" w:type="dxa"/>
            <w:vMerge w:val="restart"/>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N</w:t>
            </w:r>
          </w:p>
        </w:tc>
        <w:tc>
          <w:tcPr>
            <w:tcW w:w="2140" w:type="dxa"/>
            <w:tcBorders>
              <w:bottom w:val="single" w:sz="4" w:space="0" w:color="FFFFFF" w:themeColor="background1"/>
              <w:right w:val="single" w:sz="4" w:space="0" w:color="0000FF" w:themeColor="text2"/>
            </w:tcBorders>
            <w:shd w:val="clear" w:color="auto" w:fill="auto"/>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Soil/ sludge</w:t>
            </w:r>
          </w:p>
        </w:tc>
        <w:tc>
          <w:tcPr>
            <w:tcW w:w="940" w:type="dxa"/>
            <w:tcBorders>
              <w:top w:val="single" w:sz="4" w:space="0" w:color="0000FF" w:themeColor="text2"/>
              <w:left w:val="single" w:sz="4" w:space="0" w:color="0000FF" w:themeColor="text2"/>
              <w:bottom w:val="single" w:sz="4" w:space="0" w:color="0000FF" w:themeColor="text2"/>
            </w:tcBorders>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N100</w:t>
            </w:r>
          </w:p>
        </w:tc>
        <w:tc>
          <w:tcPr>
            <w:tcW w:w="6333" w:type="dxa"/>
            <w:tcBorders>
              <w:top w:val="single" w:sz="4" w:space="0" w:color="0000FF" w:themeColor="text2"/>
              <w:bottom w:val="single" w:sz="4" w:space="0" w:color="0000FF" w:themeColor="text2"/>
            </w:tcBorders>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Containers and drums that are contaminated with residues of substances referred to in this list</w:t>
            </w:r>
          </w:p>
        </w:tc>
        <w:tc>
          <w:tcPr>
            <w:tcW w:w="2835" w:type="dxa"/>
            <w:tcBorders>
              <w:top w:val="single" w:sz="4" w:space="0" w:color="0000FF" w:themeColor="accent1"/>
              <w:bottom w:val="single" w:sz="4" w:space="0" w:color="0000FF" w:themeColor="text2"/>
              <w:right w:val="single" w:sz="4" w:space="0" w:color="0000FF" w:themeColor="text2"/>
            </w:tcBorders>
            <w:shd w:val="clear" w:color="000000" w:fill="F2F2F2"/>
            <w:vAlign w:val="center"/>
            <w:hideMark/>
          </w:tcPr>
          <w:p w:rsidR="00D64744" w:rsidRPr="00816657" w:rsidRDefault="006D07F5" w:rsidP="00F93432">
            <w:pPr>
              <w:spacing w:line="240" w:lineRule="auto"/>
              <w:jc w:val="center"/>
              <w:rPr>
                <w:rFonts w:cs="Times New Roman"/>
                <w:color w:val="0000FF" w:themeColor="text2"/>
                <w:sz w:val="16"/>
                <w:szCs w:val="16"/>
                <w:lang w:eastAsia="en-AU"/>
              </w:rPr>
            </w:pPr>
            <w:r>
              <w:rPr>
                <w:rFonts w:cs="Times New Roman"/>
                <w:noProof/>
                <w:color w:val="0000FF" w:themeColor="text2"/>
                <w:sz w:val="16"/>
                <w:szCs w:val="16"/>
                <w:lang w:eastAsia="en-AU"/>
              </w:rPr>
              <w:pict>
                <v:group id="Group 77" o:spid="_x0000_s1061" style="position:absolute;left:0;text-align:left;margin-left:134.85pt;margin-top:9.05pt;width:41.25pt;height:168.75pt;z-index:251662848;mso-position-horizontal-relative:text;mso-position-vertical-relative:text" coordorigin="14287,3798" coordsize="825,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">
                  <v:shape id="AutoShape 29" o:spid="_x0000_s1065" type="#_x0000_t32" style="position:absolute;left:14287;top:3806;width:8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5P38EAAADcAAAADwAAAGRycy9kb3ducmV2LnhtbESPzarCMBSE9xd8h3AEd5qocJFqFBUE&#10;Ny782bg7NMem2JzUJtb69ka4cJfDzHzDLFadq0RLTSg9axiPFAji3JuSCw2X8244AxEissHKM2l4&#10;U4DVsvezwMz4Fx+pPcVCJAiHDDXYGOtMypBbchhGviZO3s03DmOSTSFNg68Ed5WcKPUrHZacFizW&#10;tLWU309Pp8HVxj0O3prrvZxWG9rf1hvVaj3od+s5iEhd/A//tfdGw1SN4XsmHQG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3k/fwQAAANwAAAAPAAAAAAAAAAAAAAAA&#10;AKECAABkcnMvZG93bnJldi54bWxQSwUGAAAAAAQABAD5AAAAjwMAAAAA&#10;" strokeweight="1.5pt"/>
                  <v:shape id="AutoShape 31" o:spid="_x0000_s1064" type="#_x0000_t32" style="position:absolute;left:14310;top:5157;width:7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RqMIAAADcAAAADwAAAGRycy9kb3ducmV2LnhtbESPT4vCMBTE78J+h/CEvWmigki3UXRB&#10;8LIH/1y8PZpnU9q8dJtYu99+Iwgeh5n5DZNvBteInrpQedYwmyoQxIU3FZcaLuf9ZAUiRGSDjWfS&#10;8EcBNuuPUY6Z8Q8+Un+KpUgQDhlqsDG2mZShsOQwTH1LnLyb7xzGJLtSmg4fCe4aOVdqKR1WnBYs&#10;tvRtqahPd6fBtcb9/nhrrnW1aHZ0uG13qtf6czxsv0BEGuI7/GofjIaFmsPzTD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zRqMIAAADcAAAADwAAAAAAAAAAAAAA&#10;AAChAgAAZHJzL2Rvd25yZXYueG1sUEsFBgAAAAAEAAQA+QAAAJADAAAAAA==&#10;" strokeweight="1.5pt"/>
                  <v:shape id="AutoShape 32" o:spid="_x0000_s1063" type="#_x0000_t32" style="position:absolute;left:15100;top:3798;width:6;height:33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Hw8QAAADcAAAADwAAAGRycy9kb3ducmV2LnhtbESPX0sDMRDE34V+h7AF3+zGFoqcTUsR&#10;RBEF7Z+Hvi2X9XL0sjmSeD2/vREEH4eZ+Q2z2oy+UwPH1AYxcDvToFjqYFtpDBz2jzd3oFImsdQF&#10;YQPfnGCznlytqLLhIh887HKjCkRSRQZczn2FmGrHntIs9CzF+wzRUy4yNmgjXQrcdzjXeomeWikL&#10;jnp+cFyfd1/eAL2he9dP7tTPX+LgXk94XCIacz0dt/egMo/5P/zXfrYGFnoBv2fKEcD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8fDxAAAANwAAAAPAAAAAAAAAAAA&#10;AAAAAKECAABkcnMvZG93bnJldi54bWxQSwUGAAAAAAQABAD5AAAAkgMAAAAA&#10;" strokeweight="1.5pt"/>
                  <v:shape id="AutoShape 33" o:spid="_x0000_s1062" type="#_x0000_t32" style="position:absolute;left:14299;top:7172;width:8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tFcMAAADcAAAADwAAAGRycy9kb3ducmV2LnhtbESPwWrDMBBE74X8g9hAb42UxJTiRgkl&#10;4DTHxgk9L9bWMrVWjqXY7t9XhUCPw8y8YTa7ybVioD40njUsFwoEceVNw7WGy7l4egERIrLB1jNp&#10;+KEAu+3sYYO58SOfaChjLRKEQ44abIxdLmWoLDkMC98RJ+/L9w5jkn0tTY9jgrtWrpR6lg4bTgsW&#10;O9pbqr7Lm9Pw+b60U31Udn27Zmd1+CgCXQqtH+fT2yuISFP8D9/bR6NhrTL4O5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bRXDAAAA3AAAAA8AAAAAAAAAAAAA&#10;AAAAoQIAAGRycy9kb3ducmV2LnhtbFBLBQYAAAAABAAEAPkAAACRAwAAAAA=&#10;" strokeweight="1.5pt">
                    <v:stroke endarrow="open"/>
                  </v:shape>
                </v:group>
              </w:pict>
            </w:r>
            <w:r w:rsidR="00D64744" w:rsidRPr="00816657">
              <w:rPr>
                <w:rFonts w:cs="Times New Roman"/>
                <w:color w:val="0000FF" w:themeColor="text2"/>
                <w:sz w:val="16"/>
                <w:szCs w:val="16"/>
                <w:lang w:eastAsia="en-AU"/>
              </w:rPr>
              <w:t>Combined with:</w:t>
            </w:r>
          </w:p>
          <w:p w:rsidR="009954B2" w:rsidRPr="00816657" w:rsidRDefault="00D64744" w:rsidP="00F93432">
            <w:pPr>
              <w:spacing w:line="240" w:lineRule="auto"/>
              <w:jc w:val="center"/>
              <w:rPr>
                <w:rFonts w:cs="Times New Roman"/>
                <w:color w:val="000000"/>
                <w:szCs w:val="20"/>
                <w:lang w:eastAsia="en-AU"/>
              </w:rPr>
            </w:pPr>
            <w:r w:rsidRPr="00816657">
              <w:rPr>
                <w:rFonts w:cs="Times New Roman"/>
                <w:color w:val="0000FF" w:themeColor="text2"/>
                <w:sz w:val="16"/>
                <w:szCs w:val="16"/>
                <w:lang w:eastAsia="en-AU"/>
              </w:rPr>
              <w:t>‘Other soil/sludges (other N)’</w:t>
            </w:r>
          </w:p>
        </w:tc>
      </w:tr>
      <w:tr w:rsidR="0041006D"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tcBorders>
              <w:top w:val="single" w:sz="4" w:space="0" w:color="FFFFFF" w:themeColor="background1"/>
              <w:bottom w:val="single" w:sz="4" w:space="0" w:color="FFFFFF" w:themeColor="background1"/>
            </w:tcBorders>
            <w:shd w:val="clear" w:color="auto" w:fill="auto"/>
            <w:vAlign w:val="center"/>
            <w:hideMark/>
          </w:tcPr>
          <w:p w:rsidR="009954B2" w:rsidRPr="00816657" w:rsidRDefault="009954B2" w:rsidP="009954B2">
            <w:pPr>
              <w:spacing w:line="240" w:lineRule="auto"/>
              <w:rPr>
                <w:rFonts w:cs="Times New Roman"/>
                <w:color w:val="000000"/>
                <w:szCs w:val="20"/>
                <w:lang w:eastAsia="en-AU"/>
              </w:rPr>
            </w:pPr>
          </w:p>
        </w:tc>
        <w:tc>
          <w:tcPr>
            <w:tcW w:w="940" w:type="dxa"/>
            <w:tcBorders>
              <w:top w:val="single" w:sz="4" w:space="0" w:color="0000FF" w:themeColor="text2"/>
              <w:bottom w:val="single" w:sz="4" w:space="0" w:color="0000FF" w:themeColor="accent1"/>
            </w:tcBorders>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N120</w:t>
            </w:r>
          </w:p>
        </w:tc>
        <w:tc>
          <w:tcPr>
            <w:tcW w:w="6333" w:type="dxa"/>
            <w:tcBorders>
              <w:top w:val="single" w:sz="4" w:space="0" w:color="0000FF" w:themeColor="text2"/>
              <w:bottom w:val="single" w:sz="4" w:space="0" w:color="0000FF" w:themeColor="accent1"/>
            </w:tcBorders>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Soils contaminated with a controlled waste</w:t>
            </w:r>
          </w:p>
        </w:tc>
        <w:tc>
          <w:tcPr>
            <w:tcW w:w="2835" w:type="dxa"/>
            <w:tcBorders>
              <w:top w:val="single" w:sz="4" w:space="0" w:color="0000FF" w:themeColor="text2"/>
              <w:bottom w:val="single" w:sz="4" w:space="0" w:color="0000FF" w:themeColor="accent1"/>
            </w:tcBorders>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Contaminated soils (N120)</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val="restart"/>
            <w:tcBorders>
              <w:top w:val="single" w:sz="4" w:space="0" w:color="FFFFFF" w:themeColor="background1"/>
              <w:right w:val="single" w:sz="4" w:space="0" w:color="0000FF" w:themeColor="text2"/>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top w:val="single" w:sz="4" w:space="0" w:color="0000FF" w:themeColor="accent1"/>
              <w:left w:val="single" w:sz="4" w:space="0" w:color="0000FF" w:themeColor="text2"/>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N140</w:t>
            </w:r>
          </w:p>
        </w:tc>
        <w:tc>
          <w:tcPr>
            <w:tcW w:w="6333" w:type="dxa"/>
            <w:tcBorders>
              <w:top w:val="single" w:sz="4" w:space="0" w:color="0000FF" w:themeColor="accent1"/>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Fire debris and fire wash waters</w:t>
            </w:r>
          </w:p>
        </w:tc>
        <w:tc>
          <w:tcPr>
            <w:tcW w:w="2835" w:type="dxa"/>
            <w:vMerge w:val="restart"/>
            <w:tcBorders>
              <w:top w:val="single" w:sz="4" w:space="0" w:color="0000FF" w:themeColor="accent1"/>
              <w:right w:val="single" w:sz="4" w:space="0" w:color="0000FF" w:themeColor="accent1"/>
            </w:tcBorders>
            <w:shd w:val="clear" w:color="000000" w:fill="F2F2F2"/>
            <w:vAlign w:val="center"/>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 </w:t>
            </w:r>
          </w:p>
          <w:p w:rsidR="00D64744" w:rsidRPr="00816657" w:rsidRDefault="0041006D" w:rsidP="009954B2">
            <w:pPr>
              <w:spacing w:line="240" w:lineRule="auto"/>
              <w:jc w:val="center"/>
              <w:rPr>
                <w:rFonts w:cs="Times New Roman"/>
                <w:color w:val="0000FF" w:themeColor="text2"/>
                <w:sz w:val="16"/>
                <w:szCs w:val="16"/>
                <w:lang w:eastAsia="en-AU"/>
              </w:rPr>
            </w:pPr>
            <w:r w:rsidRPr="00816657">
              <w:rPr>
                <w:rFonts w:cs="Times New Roman"/>
                <w:b/>
                <w:bCs/>
                <w:i/>
                <w:iCs/>
                <w:color w:val="FFFFFF"/>
                <w:szCs w:val="20"/>
                <w:lang w:eastAsia="en-AU"/>
              </w:rPr>
              <w:t> </w:t>
            </w:r>
            <w:r w:rsidR="00D64744" w:rsidRPr="00816657">
              <w:rPr>
                <w:rFonts w:cs="Times New Roman"/>
                <w:color w:val="0000FF" w:themeColor="text2"/>
                <w:sz w:val="16"/>
                <w:szCs w:val="16"/>
                <w:lang w:eastAsia="en-AU"/>
              </w:rPr>
              <w:t>Combined with:</w:t>
            </w:r>
          </w:p>
          <w:p w:rsidR="0041006D" w:rsidRPr="00816657" w:rsidRDefault="00D64744" w:rsidP="009954B2">
            <w:pPr>
              <w:spacing w:line="240" w:lineRule="auto"/>
              <w:jc w:val="center"/>
              <w:rPr>
                <w:rFonts w:cs="Times New Roman"/>
                <w:b/>
                <w:bCs/>
                <w:i/>
                <w:iCs/>
                <w:color w:val="FFFFFF"/>
                <w:szCs w:val="20"/>
                <w:lang w:eastAsia="en-AU"/>
              </w:rPr>
            </w:pPr>
            <w:r w:rsidRPr="00816657">
              <w:rPr>
                <w:rFonts w:cs="Times New Roman"/>
                <w:color w:val="0000FF" w:themeColor="text2"/>
                <w:sz w:val="16"/>
                <w:szCs w:val="16"/>
                <w:lang w:eastAsia="en-AU"/>
              </w:rPr>
              <w:t>‘Other soil/sludges (other N)’</w:t>
            </w:r>
            <w:r w:rsidRPr="00816657">
              <w:rPr>
                <w:rFonts w:cs="Times New Roman"/>
                <w:color w:val="000000"/>
                <w:szCs w:val="20"/>
                <w:lang w:eastAsia="en-AU"/>
              </w:rPr>
              <w:t> </w:t>
            </w:r>
          </w:p>
          <w:p w:rsidR="0041006D" w:rsidRPr="00816657" w:rsidRDefault="0041006D" w:rsidP="009954B2">
            <w:pPr>
              <w:jc w:val="center"/>
              <w:rPr>
                <w:rFonts w:cs="Times New Roman"/>
                <w:color w:val="000000"/>
                <w:szCs w:val="20"/>
                <w:lang w:eastAsia="en-AU"/>
              </w:rPr>
            </w:pPr>
            <w:r w:rsidRPr="00816657">
              <w:rPr>
                <w:rFonts w:cs="Times New Roman"/>
                <w:color w:val="000000"/>
                <w:szCs w:val="20"/>
                <w:lang w:eastAsia="en-AU"/>
              </w:rPr>
              <w:t> </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text2"/>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text2"/>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N150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Fly ash, excluding fly ash generated from Australian coal fired power stations</w:t>
            </w:r>
          </w:p>
        </w:tc>
        <w:tc>
          <w:tcPr>
            <w:tcW w:w="2835" w:type="dxa"/>
            <w:vMerge/>
            <w:tcBorders>
              <w:right w:val="single" w:sz="4" w:space="0" w:color="0000FF" w:themeColor="accent1"/>
            </w:tcBorders>
            <w:vAlign w:val="center"/>
            <w:hideMark/>
          </w:tcPr>
          <w:p w:rsidR="0041006D" w:rsidRPr="00816657" w:rsidRDefault="0041006D" w:rsidP="009954B2">
            <w:pPr>
              <w:jc w:val="cente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right w:val="single" w:sz="4" w:space="0" w:color="0000FF" w:themeColor="text2"/>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text2"/>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N160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Encapsulated, chemically-fixed, solidified or polymerised wastes referred to in this list</w:t>
            </w:r>
          </w:p>
        </w:tc>
        <w:tc>
          <w:tcPr>
            <w:tcW w:w="2835" w:type="dxa"/>
            <w:vMerge/>
            <w:tcBorders>
              <w:right w:val="single" w:sz="4" w:space="0" w:color="0000FF" w:themeColor="accent1"/>
            </w:tcBorders>
            <w:shd w:val="clear" w:color="000000" w:fill="F2F2F2"/>
            <w:noWrap/>
            <w:vAlign w:val="center"/>
            <w:hideMark/>
          </w:tcPr>
          <w:p w:rsidR="0041006D" w:rsidRPr="00816657" w:rsidRDefault="0041006D" w:rsidP="009954B2">
            <w:pPr>
              <w:jc w:val="center"/>
              <w:rPr>
                <w:rFonts w:cs="Times New Roman"/>
                <w:b/>
                <w:bCs/>
                <w:i/>
                <w:iCs/>
                <w:color w:val="FFFFFF"/>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text2"/>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text2"/>
              <w:bottom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N190</w:t>
            </w:r>
          </w:p>
        </w:tc>
        <w:tc>
          <w:tcPr>
            <w:tcW w:w="6333" w:type="dxa"/>
            <w:tcBorders>
              <w:bottom w:val="single" w:sz="4" w:space="0" w:color="0000FF" w:themeColor="accent1"/>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Filter cake contaminated with residues of substances referred to in this list</w:t>
            </w:r>
          </w:p>
        </w:tc>
        <w:tc>
          <w:tcPr>
            <w:tcW w:w="2835" w:type="dxa"/>
            <w:vMerge/>
            <w:tcBorders>
              <w:bottom w:val="single" w:sz="4" w:space="0" w:color="0000FF" w:themeColor="accent1"/>
              <w:right w:val="single" w:sz="4" w:space="0" w:color="0000FF" w:themeColor="accent1"/>
            </w:tcBorders>
            <w:shd w:val="clear" w:color="000000" w:fill="F2F2F2"/>
            <w:vAlign w:val="center"/>
            <w:hideMark/>
          </w:tcPr>
          <w:p w:rsidR="0041006D" w:rsidRPr="00816657" w:rsidRDefault="0041006D" w:rsidP="009954B2">
            <w:pPr>
              <w:spacing w:line="240" w:lineRule="auto"/>
              <w:jc w:val="center"/>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val="restart"/>
            <w:tcBorders>
              <w:top w:val="single" w:sz="4" w:space="0" w:color="FFFFFF" w:themeColor="background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vMerge w:val="restart"/>
            <w:tcBorders>
              <w:top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N205</w:t>
            </w:r>
          </w:p>
        </w:tc>
        <w:tc>
          <w:tcPr>
            <w:tcW w:w="6333" w:type="dxa"/>
            <w:vMerge w:val="restart"/>
            <w:tcBorders>
              <w:top w:val="single" w:sz="4" w:space="0" w:color="0000FF" w:themeColor="accent1"/>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Residues from industrial waste treatment/disposal operations</w:t>
            </w:r>
          </w:p>
        </w:tc>
        <w:tc>
          <w:tcPr>
            <w:tcW w:w="2835" w:type="dxa"/>
            <w:tcBorders>
              <w:top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Contaminated biosolids (N205a)</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6333"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835" w:type="dxa"/>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Other industrial treatment residues (N205b)</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N220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Asbestos</w:t>
            </w:r>
          </w:p>
        </w:tc>
        <w:tc>
          <w:tcPr>
            <w:tcW w:w="2835" w:type="dxa"/>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Asbestos (N220)</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N230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Ceramic-based fibres with physico-chemical characteristics similar to those of asbestos</w:t>
            </w:r>
          </w:p>
        </w:tc>
        <w:tc>
          <w:tcPr>
            <w:tcW w:w="2835" w:type="dxa"/>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Other soil/sludges (other N)</w:t>
            </w:r>
          </w:p>
        </w:tc>
      </w:tr>
      <w:tr w:rsidR="009954B2" w:rsidRPr="00816657" w:rsidTr="004E14D8">
        <w:trPr>
          <w:trHeight w:val="255"/>
        </w:trPr>
        <w:tc>
          <w:tcPr>
            <w:tcW w:w="940" w:type="dxa"/>
            <w:vMerge w:val="restart"/>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R</w:t>
            </w:r>
          </w:p>
        </w:tc>
        <w:tc>
          <w:tcPr>
            <w:tcW w:w="2140" w:type="dxa"/>
            <w:vMerge w:val="restart"/>
            <w:shd w:val="clear" w:color="auto" w:fill="auto"/>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Clinical and pharmaceutical</w:t>
            </w: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R100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Clinical and related wastes</w:t>
            </w:r>
          </w:p>
        </w:tc>
        <w:tc>
          <w:tcPr>
            <w:tcW w:w="2835" w:type="dxa"/>
            <w:vMerge w:val="restart"/>
            <w:shd w:val="clear" w:color="auto" w:fill="auto"/>
            <w:vAlign w:val="center"/>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Clinical &amp; pharmaceutical (R)</w:t>
            </w: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R120</w:t>
            </w:r>
          </w:p>
        </w:tc>
        <w:tc>
          <w:tcPr>
            <w:tcW w:w="6333" w:type="dxa"/>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pharmaceuticals, drugs and medicines</w:t>
            </w:r>
          </w:p>
        </w:tc>
        <w:tc>
          <w:tcPr>
            <w:tcW w:w="2835" w:type="dxa"/>
            <w:vMerge/>
            <w:vAlign w:val="center"/>
            <w:hideMark/>
          </w:tcPr>
          <w:p w:rsidR="009954B2" w:rsidRPr="00816657" w:rsidRDefault="009954B2" w:rsidP="009954B2">
            <w:pPr>
              <w:spacing w:line="240" w:lineRule="auto"/>
              <w:rPr>
                <w:rFonts w:cs="Times New Roman"/>
                <w:color w:val="000000"/>
                <w:szCs w:val="20"/>
                <w:lang w:eastAsia="en-AU"/>
              </w:rPr>
            </w:pPr>
          </w:p>
        </w:tc>
      </w:tr>
      <w:tr w:rsidR="009954B2" w:rsidRPr="00816657" w:rsidTr="004E14D8">
        <w:trPr>
          <w:trHeight w:val="255"/>
        </w:trPr>
        <w:tc>
          <w:tcPr>
            <w:tcW w:w="9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2140" w:type="dxa"/>
            <w:vMerge/>
            <w:vAlign w:val="center"/>
            <w:hideMark/>
          </w:tcPr>
          <w:p w:rsidR="009954B2" w:rsidRPr="00816657" w:rsidRDefault="009954B2" w:rsidP="009954B2">
            <w:pPr>
              <w:spacing w:line="240" w:lineRule="auto"/>
              <w:rPr>
                <w:rFonts w:cs="Times New Roman"/>
                <w:color w:val="000000"/>
                <w:szCs w:val="20"/>
                <w:lang w:eastAsia="en-AU"/>
              </w:rPr>
            </w:pPr>
          </w:p>
        </w:tc>
        <w:tc>
          <w:tcPr>
            <w:tcW w:w="940" w:type="dxa"/>
            <w:tcBorders>
              <w:bottom w:val="single" w:sz="4" w:space="0" w:color="0000FF" w:themeColor="accent1"/>
            </w:tcBorders>
            <w:shd w:val="clear" w:color="auto" w:fill="auto"/>
            <w:noWrap/>
            <w:hideMark/>
          </w:tcPr>
          <w:p w:rsidR="009954B2" w:rsidRPr="00816657" w:rsidRDefault="009954B2" w:rsidP="009954B2">
            <w:pPr>
              <w:spacing w:line="240" w:lineRule="auto"/>
              <w:jc w:val="center"/>
              <w:rPr>
                <w:rFonts w:cs="Times New Roman"/>
                <w:color w:val="000000"/>
                <w:szCs w:val="20"/>
                <w:lang w:eastAsia="en-AU"/>
              </w:rPr>
            </w:pPr>
            <w:r w:rsidRPr="00816657">
              <w:rPr>
                <w:rFonts w:cs="Times New Roman"/>
                <w:color w:val="000000"/>
                <w:szCs w:val="20"/>
                <w:lang w:eastAsia="en-AU"/>
              </w:rPr>
              <w:t>R140</w:t>
            </w:r>
          </w:p>
        </w:tc>
        <w:tc>
          <w:tcPr>
            <w:tcW w:w="6333" w:type="dxa"/>
            <w:tcBorders>
              <w:bottom w:val="single" w:sz="4" w:space="0" w:color="0000FF" w:themeColor="accent1"/>
            </w:tcBorders>
            <w:shd w:val="clear" w:color="auto" w:fill="auto"/>
            <w:noWrap/>
            <w:hideMark/>
          </w:tcPr>
          <w:p w:rsidR="009954B2" w:rsidRPr="00816657" w:rsidRDefault="009954B2" w:rsidP="009954B2">
            <w:pPr>
              <w:spacing w:line="240" w:lineRule="auto"/>
              <w:rPr>
                <w:rFonts w:cs="Times New Roman"/>
                <w:color w:val="000000"/>
                <w:szCs w:val="20"/>
                <w:lang w:eastAsia="en-AU"/>
              </w:rPr>
            </w:pPr>
            <w:r w:rsidRPr="00816657">
              <w:rPr>
                <w:rFonts w:cs="Times New Roman"/>
                <w:color w:val="000000"/>
                <w:szCs w:val="20"/>
                <w:lang w:eastAsia="en-AU"/>
              </w:rPr>
              <w:t>Waste from the production and preparation of pharmaceutical products</w:t>
            </w:r>
          </w:p>
        </w:tc>
        <w:tc>
          <w:tcPr>
            <w:tcW w:w="2835" w:type="dxa"/>
            <w:vMerge/>
            <w:tcBorders>
              <w:bottom w:val="single" w:sz="4" w:space="0" w:color="0000FF" w:themeColor="accent1"/>
            </w:tcBorders>
            <w:vAlign w:val="center"/>
            <w:hideMark/>
          </w:tcPr>
          <w:p w:rsidR="009954B2" w:rsidRPr="00816657" w:rsidRDefault="009954B2" w:rsidP="009954B2">
            <w:pPr>
              <w:spacing w:line="240" w:lineRule="auto"/>
              <w:rPr>
                <w:rFonts w:cs="Times New Roman"/>
                <w:color w:val="000000"/>
                <w:szCs w:val="20"/>
                <w:lang w:eastAsia="en-AU"/>
              </w:rPr>
            </w:pPr>
          </w:p>
        </w:tc>
      </w:tr>
      <w:tr w:rsidR="0041006D" w:rsidRPr="00816657" w:rsidTr="004E14D8">
        <w:trPr>
          <w:trHeight w:val="510"/>
        </w:trPr>
        <w:tc>
          <w:tcPr>
            <w:tcW w:w="940" w:type="dxa"/>
            <w:vMerge w:val="restart"/>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T</w:t>
            </w:r>
          </w:p>
        </w:tc>
        <w:tc>
          <w:tcPr>
            <w:tcW w:w="2140" w:type="dxa"/>
            <w:vMerge w:val="restart"/>
            <w:tcBorders>
              <w:right w:val="single" w:sz="4" w:space="0" w:color="0000FF" w:themeColor="text2"/>
            </w:tcBorders>
            <w:shd w:val="clear" w:color="auto" w:fill="auto"/>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Miscellaneous</w:t>
            </w:r>
          </w:p>
        </w:tc>
        <w:tc>
          <w:tcPr>
            <w:tcW w:w="940" w:type="dxa"/>
            <w:tcBorders>
              <w:top w:val="single" w:sz="4" w:space="0" w:color="0000FF" w:themeColor="accent1"/>
              <w:left w:val="single" w:sz="4" w:space="0" w:color="0000FF" w:themeColor="text2"/>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T100</w:t>
            </w:r>
          </w:p>
        </w:tc>
        <w:tc>
          <w:tcPr>
            <w:tcW w:w="6333" w:type="dxa"/>
            <w:tcBorders>
              <w:top w:val="single" w:sz="4" w:space="0" w:color="0000FF" w:themeColor="accent1"/>
            </w:tcBorders>
            <w:shd w:val="clear" w:color="auto" w:fill="auto"/>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Waste chemical substances arising from research and development or teaching activities, including those which are not identified and/or are new and whose effects on human health and/or the environment are not known</w:t>
            </w:r>
          </w:p>
        </w:tc>
        <w:tc>
          <w:tcPr>
            <w:tcW w:w="2835" w:type="dxa"/>
            <w:vMerge w:val="restart"/>
            <w:tcBorders>
              <w:top w:val="single" w:sz="4" w:space="0" w:color="0000FF" w:themeColor="accent1"/>
              <w:right w:val="single" w:sz="4" w:space="0" w:color="0000FF" w:themeColor="accent1"/>
            </w:tcBorders>
            <w:shd w:val="clear" w:color="000000" w:fill="F2F2F2"/>
            <w:vAlign w:val="center"/>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 </w:t>
            </w:r>
          </w:p>
          <w:p w:rsidR="00D64744" w:rsidRPr="00816657" w:rsidRDefault="00D64744" w:rsidP="00D64744">
            <w:pPr>
              <w:spacing w:line="240" w:lineRule="auto"/>
              <w:jc w:val="center"/>
              <w:rPr>
                <w:rFonts w:cs="Times New Roman"/>
                <w:color w:val="000000"/>
                <w:szCs w:val="20"/>
                <w:lang w:eastAsia="en-AU"/>
              </w:rPr>
            </w:pPr>
            <w:r w:rsidRPr="00816657">
              <w:rPr>
                <w:rFonts w:cs="Times New Roman"/>
                <w:color w:val="000000"/>
                <w:szCs w:val="20"/>
                <w:lang w:eastAsia="en-AU"/>
              </w:rPr>
              <w:t> </w:t>
            </w:r>
          </w:p>
          <w:p w:rsidR="00D64744" w:rsidRPr="00816657" w:rsidRDefault="00D64744" w:rsidP="00D64744">
            <w:pPr>
              <w:spacing w:line="240" w:lineRule="auto"/>
              <w:jc w:val="center"/>
              <w:rPr>
                <w:rFonts w:cs="Times New Roman"/>
                <w:color w:val="0000FF" w:themeColor="text2"/>
                <w:sz w:val="16"/>
                <w:szCs w:val="16"/>
                <w:lang w:eastAsia="en-AU"/>
              </w:rPr>
            </w:pPr>
            <w:r w:rsidRPr="00816657">
              <w:rPr>
                <w:rFonts w:cs="Times New Roman"/>
                <w:b/>
                <w:bCs/>
                <w:i/>
                <w:iCs/>
                <w:color w:val="FFFFFF"/>
                <w:szCs w:val="20"/>
                <w:lang w:eastAsia="en-AU"/>
              </w:rPr>
              <w:t> </w:t>
            </w:r>
            <w:r w:rsidRPr="00816657">
              <w:rPr>
                <w:rFonts w:cs="Times New Roman"/>
                <w:color w:val="0000FF" w:themeColor="text2"/>
                <w:sz w:val="16"/>
                <w:szCs w:val="16"/>
                <w:lang w:eastAsia="en-AU"/>
              </w:rPr>
              <w:t>Combined with:</w:t>
            </w:r>
          </w:p>
          <w:p w:rsidR="00D64744" w:rsidRPr="00816657" w:rsidRDefault="006D07F5" w:rsidP="00D64744">
            <w:pPr>
              <w:spacing w:line="240" w:lineRule="auto"/>
              <w:jc w:val="center"/>
              <w:rPr>
                <w:rFonts w:cs="Times New Roman"/>
                <w:b/>
                <w:bCs/>
                <w:i/>
                <w:iCs/>
                <w:color w:val="FFFFFF"/>
                <w:szCs w:val="20"/>
                <w:lang w:eastAsia="en-AU"/>
              </w:rPr>
            </w:pPr>
            <w:r w:rsidRPr="006D07F5">
              <w:rPr>
                <w:rFonts w:cs="Times New Roman"/>
                <w:noProof/>
                <w:color w:val="000000"/>
                <w:szCs w:val="20"/>
                <w:lang w:eastAsia="en-AU"/>
              </w:rPr>
              <w:pict>
                <v:group id="Group 63" o:spid="_x0000_s1057" style="position:absolute;left:0;text-align:left;margin-left:135.35pt;margin-top:6.25pt;width:40.65pt;height:51pt;z-index:251661824" coordorigin="14322,8222" coordsize="81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">
                  <v:shape id="AutoShape 64" o:spid="_x0000_s1060" type="#_x0000_t32" style="position:absolute;left:14328;top:8232;width: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JhcIAAADbAAAADwAAAGRycy9kb3ducmV2LnhtbESPQYvCMBSE7wv+h/AEb2uqsiq1UXRB&#10;8OJh1Yu3R/NsSpuX2mRr/fdmYcHjMDPfMNmmt7XoqPWlYwWTcQKCOHe65ELB5bz/XILwAVlj7ZgU&#10;PMnDZj34yDDV7sE/1J1CISKEfYoKTAhNKqXPDVn0Y9cQR+/mWoshyraQusVHhNtaTpNkLi2WHBcM&#10;NvRtKK9Ov1aBbbS9H53R16qc1Ts63La7pFNqNOy3KxCB+vAO/7cPWsHi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LJhcIAAADbAAAADwAAAAAAAAAAAAAA&#10;AAChAgAAZHJzL2Rvd25yZXYueG1sUEsFBgAAAAAEAAQA+QAAAJADAAAAAA==&#10;" strokeweight="1.5pt"/>
                  <v:shape id="AutoShape 65" o:spid="_x0000_s1059" type="#_x0000_t32" style="position:absolute;left:15118;top:8222;width:1;height:10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f5MMAAADbAAAADwAAAGRycy9kb3ducmV2LnhtbESPQUsDMRSE74L/ITzBm31rwUW2TUsp&#10;iCIKtdpDb4/N62bp5mVJ4nb996ZQ6HGYmW+Y+XJ0nRo4xNaLhsdJAYql9qaVRsPP98vDM6iYSAx1&#10;XljDH0dYLm5v5lQZf5IvHrapURkisSINNqW+Qoy1ZUdx4nuW7B18cJSyDA2aQKcMdx1Oi6JER63k&#10;BUs9ry3Xx+2v00CfaDfFq9330/cw2I897kpEre/vxtUMVOIxXcOX9pvRUD7B+Uv+Abj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Cn+TDAAAA2wAAAA8AAAAAAAAAAAAA&#10;AAAAoQIAAGRycy9kb3ducmV2LnhtbFBLBQYAAAAABAAEAPkAAACRAwAAAAA=&#10;" strokeweight="1.5pt"/>
                  <v:shape id="AutoShape 66" o:spid="_x0000_s1058" type="#_x0000_t32" style="position:absolute;left:14322;top:9231;width:8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YkcIAAADcAAAADwAAAGRycy9kb3ducmV2LnhtbESPQWsCMRSE7wX/Q3iCt5qopehqFCls&#10;9WhVPD82z83i5mXdRF3/fSMUehxm5htmsepcLe7UhsqzhtFQgSAuvKm41HA85O9TECEiG6w9k4Yn&#10;BVgte28LzIx/8A/d97EUCcIhQw02xiaTMhSWHIahb4iTd/atw5hkW0rT4iPBXS3HSn1KhxWnBYsN&#10;fVkqLvub03DajGxXbpWd3K4fB/W9ywMdc60H/W49BxGpi//hv/bWaBjPZv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9YkcIAAADcAAAADwAAAAAAAAAAAAAA&#10;AAChAgAAZHJzL2Rvd25yZXYueG1sUEsFBgAAAAAEAAQA+QAAAJADAAAAAA==&#10;" strokeweight="1.5pt">
                    <v:stroke endarrow="open"/>
                  </v:shape>
                </v:group>
              </w:pict>
            </w:r>
            <w:r w:rsidR="00D64744" w:rsidRPr="00816657">
              <w:rPr>
                <w:rFonts w:cs="Times New Roman"/>
                <w:color w:val="0000FF" w:themeColor="text2"/>
                <w:sz w:val="16"/>
                <w:szCs w:val="16"/>
                <w:lang w:eastAsia="en-AU"/>
              </w:rPr>
              <w:t xml:space="preserve"> ‘Other miscellaneous (other T)’</w:t>
            </w:r>
            <w:r w:rsidR="00D64744" w:rsidRPr="00816657">
              <w:rPr>
                <w:rFonts w:cs="Times New Roman"/>
                <w:color w:val="000000"/>
                <w:szCs w:val="20"/>
                <w:lang w:eastAsia="en-AU"/>
              </w:rPr>
              <w:t> </w:t>
            </w:r>
          </w:p>
          <w:p w:rsidR="00D64744" w:rsidRPr="00816657" w:rsidRDefault="00D64744" w:rsidP="00D64744">
            <w:pPr>
              <w:spacing w:line="240" w:lineRule="auto"/>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text2"/>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left w:val="single" w:sz="4" w:space="0" w:color="0000FF" w:themeColor="text2"/>
              <w:bottom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T120</w:t>
            </w:r>
          </w:p>
        </w:tc>
        <w:tc>
          <w:tcPr>
            <w:tcW w:w="6333" w:type="dxa"/>
            <w:tcBorders>
              <w:bottom w:val="single" w:sz="4" w:space="0" w:color="0000FF" w:themeColor="accent1"/>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Waste from the production, formulation and use of photographic chemicals and processing materials</w:t>
            </w:r>
          </w:p>
        </w:tc>
        <w:tc>
          <w:tcPr>
            <w:tcW w:w="2835" w:type="dxa"/>
            <w:vMerge/>
            <w:tcBorders>
              <w:bottom w:val="single" w:sz="4" w:space="0" w:color="0000FF" w:themeColor="accent1"/>
              <w:right w:val="single" w:sz="4" w:space="0" w:color="0000FF" w:themeColor="accent1"/>
            </w:tcBorders>
            <w:vAlign w:val="center"/>
            <w:hideMark/>
          </w:tcPr>
          <w:p w:rsidR="0041006D" w:rsidRPr="00816657" w:rsidRDefault="0041006D" w:rsidP="009954B2">
            <w:pPr>
              <w:spacing w:line="240" w:lineRule="auto"/>
              <w:rPr>
                <w:rFonts w:cs="Times New Roman"/>
                <w:color w:val="000000"/>
                <w:szCs w:val="20"/>
                <w:lang w:eastAsia="en-AU"/>
              </w:rPr>
            </w:pP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val="restart"/>
            <w:tcBorders>
              <w:top w:val="single" w:sz="4" w:space="0" w:color="FFFFFF" w:themeColor="background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tcBorders>
              <w:top w:val="single" w:sz="4" w:space="0" w:color="0000FF" w:themeColor="accent1"/>
            </w:tcBorders>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T140</w:t>
            </w:r>
          </w:p>
        </w:tc>
        <w:tc>
          <w:tcPr>
            <w:tcW w:w="6333" w:type="dxa"/>
            <w:tcBorders>
              <w:top w:val="single" w:sz="4" w:space="0" w:color="0000FF" w:themeColor="accent1"/>
            </w:tcBorders>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Tyres</w:t>
            </w:r>
          </w:p>
        </w:tc>
        <w:tc>
          <w:tcPr>
            <w:tcW w:w="2835" w:type="dxa"/>
            <w:tcBorders>
              <w:top w:val="single" w:sz="4" w:space="0" w:color="0000FF" w:themeColor="accent1"/>
            </w:tcBorders>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Tyres (T140)</w:t>
            </w:r>
          </w:p>
        </w:tc>
      </w:tr>
      <w:tr w:rsidR="0041006D" w:rsidRPr="00816657" w:rsidTr="004E14D8">
        <w:trPr>
          <w:trHeight w:val="255"/>
        </w:trPr>
        <w:tc>
          <w:tcPr>
            <w:tcW w:w="940" w:type="dxa"/>
            <w:vMerge/>
            <w:vAlign w:val="center"/>
            <w:hideMark/>
          </w:tcPr>
          <w:p w:rsidR="0041006D" w:rsidRPr="00816657" w:rsidRDefault="0041006D" w:rsidP="009954B2">
            <w:pPr>
              <w:spacing w:line="240" w:lineRule="auto"/>
              <w:rPr>
                <w:rFonts w:cs="Times New Roman"/>
                <w:color w:val="000000"/>
                <w:szCs w:val="20"/>
                <w:lang w:eastAsia="en-AU"/>
              </w:rPr>
            </w:pPr>
          </w:p>
        </w:tc>
        <w:tc>
          <w:tcPr>
            <w:tcW w:w="2140" w:type="dxa"/>
            <w:vMerge/>
            <w:shd w:val="clear" w:color="auto" w:fill="auto"/>
            <w:vAlign w:val="center"/>
            <w:hideMark/>
          </w:tcPr>
          <w:p w:rsidR="0041006D" w:rsidRPr="00816657" w:rsidRDefault="0041006D" w:rsidP="009954B2">
            <w:pPr>
              <w:spacing w:line="240" w:lineRule="auto"/>
              <w:rPr>
                <w:rFonts w:cs="Times New Roman"/>
                <w:color w:val="000000"/>
                <w:szCs w:val="20"/>
                <w:lang w:eastAsia="en-AU"/>
              </w:rPr>
            </w:pPr>
          </w:p>
        </w:tc>
        <w:tc>
          <w:tcPr>
            <w:tcW w:w="940" w:type="dxa"/>
            <w:shd w:val="clear" w:color="auto" w:fill="auto"/>
            <w:noWrap/>
            <w:hideMark/>
          </w:tcPr>
          <w:p w:rsidR="0041006D" w:rsidRPr="00816657" w:rsidRDefault="0041006D" w:rsidP="009954B2">
            <w:pPr>
              <w:spacing w:line="240" w:lineRule="auto"/>
              <w:jc w:val="center"/>
              <w:rPr>
                <w:rFonts w:cs="Times New Roman"/>
                <w:color w:val="000000"/>
                <w:szCs w:val="20"/>
                <w:lang w:eastAsia="en-AU"/>
              </w:rPr>
            </w:pPr>
            <w:r w:rsidRPr="00816657">
              <w:rPr>
                <w:rFonts w:cs="Times New Roman"/>
                <w:color w:val="000000"/>
                <w:szCs w:val="20"/>
                <w:lang w:eastAsia="en-AU"/>
              </w:rPr>
              <w:t>T200</w:t>
            </w:r>
          </w:p>
        </w:tc>
        <w:tc>
          <w:tcPr>
            <w:tcW w:w="6333" w:type="dxa"/>
            <w:shd w:val="clear" w:color="auto" w:fill="auto"/>
            <w:noWrap/>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Waste of an explosive nature not subject to other legislation</w:t>
            </w:r>
          </w:p>
        </w:tc>
        <w:tc>
          <w:tcPr>
            <w:tcW w:w="2835" w:type="dxa"/>
            <w:shd w:val="clear" w:color="auto" w:fill="auto"/>
            <w:vAlign w:val="center"/>
            <w:hideMark/>
          </w:tcPr>
          <w:p w:rsidR="0041006D" w:rsidRPr="00816657" w:rsidRDefault="0041006D" w:rsidP="009954B2">
            <w:pPr>
              <w:spacing w:line="240" w:lineRule="auto"/>
              <w:rPr>
                <w:rFonts w:cs="Times New Roman"/>
                <w:color w:val="000000"/>
                <w:szCs w:val="20"/>
                <w:lang w:eastAsia="en-AU"/>
              </w:rPr>
            </w:pPr>
            <w:r w:rsidRPr="00816657">
              <w:rPr>
                <w:rFonts w:cs="Times New Roman"/>
                <w:color w:val="000000"/>
                <w:szCs w:val="20"/>
                <w:lang w:eastAsia="en-AU"/>
              </w:rPr>
              <w:t>Other miscellaneous (other T)</w:t>
            </w:r>
          </w:p>
        </w:tc>
      </w:tr>
    </w:tbl>
    <w:p w:rsidR="009954B2" w:rsidRPr="00816657" w:rsidRDefault="009954B2">
      <w:pPr>
        <w:spacing w:line="240" w:lineRule="auto"/>
        <w:sectPr w:rsidR="009954B2" w:rsidRPr="00816657" w:rsidSect="000F55BA">
          <w:headerReference w:type="even" r:id="rId239"/>
          <w:headerReference w:type="default" r:id="rId240"/>
          <w:footerReference w:type="even" r:id="rId241"/>
          <w:footerReference w:type="default" r:id="rId242"/>
          <w:headerReference w:type="first" r:id="rId243"/>
          <w:footerReference w:type="first" r:id="rId244"/>
          <w:pgSz w:w="16840" w:h="11907" w:orient="landscape" w:code="9"/>
          <w:pgMar w:top="1417" w:right="1134" w:bottom="1276" w:left="1134" w:header="709" w:footer="567" w:gutter="0"/>
          <w:cols w:space="708"/>
          <w:docGrid w:linePitch="360"/>
        </w:sectPr>
      </w:pPr>
    </w:p>
    <w:p w:rsidR="00A70DAE" w:rsidRPr="00816657" w:rsidRDefault="00A70DAE" w:rsidP="00A70DAE">
      <w:pPr>
        <w:pStyle w:val="AppendixHeading1"/>
        <w:ind w:left="851"/>
      </w:pPr>
      <w:bookmarkStart w:id="472" w:name="_Ref408325695"/>
      <w:bookmarkStart w:id="473" w:name="_Toc425849211"/>
      <w:bookmarkStart w:id="474" w:name="_Ref408310847"/>
      <w:r w:rsidRPr="00816657">
        <w:lastRenderedPageBreak/>
        <w:t>Notes from consultation with jurisdictions</w:t>
      </w:r>
      <w:bookmarkEnd w:id="472"/>
      <w:bookmarkEnd w:id="473"/>
    </w:p>
    <w:tbl>
      <w:tblPr>
        <w:tblW w:w="15655" w:type="dxa"/>
        <w:jc w:val="center"/>
        <w:tblLayout w:type="fixed"/>
        <w:tblLook w:val="04A0"/>
      </w:tblPr>
      <w:tblGrid>
        <w:gridCol w:w="709"/>
        <w:gridCol w:w="966"/>
        <w:gridCol w:w="3519"/>
        <w:gridCol w:w="2409"/>
        <w:gridCol w:w="2013"/>
        <w:gridCol w:w="2013"/>
        <w:gridCol w:w="2013"/>
        <w:gridCol w:w="2013"/>
      </w:tblGrid>
      <w:tr w:rsidR="00A70DAE" w:rsidRPr="00816657" w:rsidTr="007F5BD4">
        <w:trPr>
          <w:trHeight w:val="930"/>
          <w:tblHeader/>
          <w:jc w:val="center"/>
        </w:trPr>
        <w:tc>
          <w:tcPr>
            <w:tcW w:w="709" w:type="dxa"/>
            <w:tcBorders>
              <w:top w:val="nil"/>
              <w:left w:val="nil"/>
              <w:bottom w:val="nil"/>
              <w:right w:val="nil"/>
            </w:tcBorders>
            <w:shd w:val="clear" w:color="auto" w:fill="1F497D"/>
            <w:hideMark/>
          </w:tcPr>
          <w:p w:rsidR="00A70DAE" w:rsidRPr="00816657" w:rsidRDefault="00A70DAE" w:rsidP="003746F8">
            <w:pPr>
              <w:spacing w:line="240" w:lineRule="auto"/>
              <w:rPr>
                <w:rFonts w:cs="Times New Roman"/>
                <w:color w:val="FFFFFF"/>
                <w:sz w:val="16"/>
                <w:szCs w:val="16"/>
                <w:lang w:eastAsia="en-AU"/>
              </w:rPr>
            </w:pPr>
            <w:r w:rsidRPr="00816657">
              <w:rPr>
                <w:rFonts w:cs="Times New Roman"/>
                <w:color w:val="FFFFFF"/>
                <w:sz w:val="16"/>
                <w:szCs w:val="16"/>
                <w:lang w:eastAsia="en-AU"/>
              </w:rPr>
              <w:t> Jurisd.</w:t>
            </w:r>
          </w:p>
        </w:tc>
        <w:tc>
          <w:tcPr>
            <w:tcW w:w="966" w:type="dxa"/>
            <w:tcBorders>
              <w:top w:val="nil"/>
              <w:left w:val="nil"/>
              <w:bottom w:val="nil"/>
              <w:right w:val="nil"/>
            </w:tcBorders>
            <w:shd w:val="clear" w:color="auto" w:fill="1F497D"/>
            <w:hideMark/>
          </w:tcPr>
          <w:p w:rsidR="00A70DAE" w:rsidRPr="00816657" w:rsidRDefault="00A70DAE" w:rsidP="003746F8">
            <w:pPr>
              <w:spacing w:line="240" w:lineRule="auto"/>
              <w:rPr>
                <w:rFonts w:cs="Times New Roman"/>
                <w:color w:val="FFFFFF"/>
                <w:sz w:val="16"/>
                <w:szCs w:val="16"/>
                <w:lang w:eastAsia="en-AU"/>
              </w:rPr>
            </w:pPr>
            <w:r w:rsidRPr="00816657">
              <w:rPr>
                <w:rFonts w:cs="Times New Roman"/>
                <w:color w:val="FFFFFF"/>
                <w:sz w:val="16"/>
                <w:szCs w:val="16"/>
                <w:lang w:eastAsia="en-AU"/>
              </w:rPr>
              <w:t>Source</w:t>
            </w:r>
          </w:p>
        </w:tc>
        <w:tc>
          <w:tcPr>
            <w:tcW w:w="3519" w:type="dxa"/>
            <w:tcBorders>
              <w:top w:val="nil"/>
              <w:left w:val="nil"/>
              <w:bottom w:val="nil"/>
              <w:right w:val="nil"/>
            </w:tcBorders>
            <w:shd w:val="clear" w:color="auto" w:fill="1F497D"/>
            <w:hideMark/>
          </w:tcPr>
          <w:p w:rsidR="00A70DAE" w:rsidRPr="00816657" w:rsidRDefault="00A70DAE" w:rsidP="003746F8">
            <w:pPr>
              <w:spacing w:line="240" w:lineRule="auto"/>
              <w:rPr>
                <w:rFonts w:cs="Times New Roman"/>
                <w:color w:val="FFFFFF"/>
                <w:sz w:val="16"/>
                <w:szCs w:val="16"/>
                <w:lang w:eastAsia="en-AU"/>
              </w:rPr>
            </w:pPr>
            <w:r w:rsidRPr="00816657">
              <w:rPr>
                <w:rFonts w:cs="Times New Roman"/>
                <w:color w:val="FFFFFF"/>
                <w:sz w:val="16"/>
                <w:szCs w:val="16"/>
                <w:lang w:eastAsia="en-AU"/>
              </w:rPr>
              <w:t>1. Have you recently implemented, or do you plan to implement in the near future, any policies you expect to significantly affect the arisings, pathways or fates of any types of hazardous waste? If so, please provide some detail.</w:t>
            </w:r>
          </w:p>
        </w:tc>
        <w:tc>
          <w:tcPr>
            <w:tcW w:w="2409" w:type="dxa"/>
            <w:tcBorders>
              <w:top w:val="nil"/>
              <w:left w:val="nil"/>
              <w:bottom w:val="nil"/>
              <w:right w:val="nil"/>
            </w:tcBorders>
            <w:shd w:val="clear" w:color="auto" w:fill="1F497D"/>
            <w:hideMark/>
          </w:tcPr>
          <w:p w:rsidR="00A70DAE" w:rsidRPr="00816657" w:rsidRDefault="00A70DAE" w:rsidP="003746F8">
            <w:pPr>
              <w:spacing w:line="240" w:lineRule="auto"/>
              <w:rPr>
                <w:rFonts w:cs="Times New Roman"/>
                <w:color w:val="FFFFFF"/>
                <w:sz w:val="16"/>
                <w:szCs w:val="16"/>
                <w:lang w:eastAsia="en-AU"/>
              </w:rPr>
            </w:pPr>
            <w:r w:rsidRPr="00816657">
              <w:rPr>
                <w:rFonts w:cs="Times New Roman"/>
                <w:color w:val="FFFFFF"/>
                <w:sz w:val="16"/>
                <w:szCs w:val="16"/>
                <w:lang w:eastAsia="en-AU"/>
              </w:rPr>
              <w:t>2. Are you aware of, or do you anticipate, any potential infrastructure shortages or significant changes in the coming years in your jurisdiction? If so, please provide some detail.</w:t>
            </w:r>
          </w:p>
        </w:tc>
        <w:tc>
          <w:tcPr>
            <w:tcW w:w="2013" w:type="dxa"/>
            <w:tcBorders>
              <w:top w:val="nil"/>
              <w:left w:val="nil"/>
              <w:bottom w:val="nil"/>
              <w:right w:val="nil"/>
            </w:tcBorders>
            <w:shd w:val="clear" w:color="auto" w:fill="1F497D"/>
            <w:hideMark/>
          </w:tcPr>
          <w:p w:rsidR="00A70DAE" w:rsidRPr="00816657" w:rsidRDefault="00A70DAE" w:rsidP="003746F8">
            <w:pPr>
              <w:spacing w:line="240" w:lineRule="auto"/>
              <w:rPr>
                <w:rFonts w:cs="Times New Roman"/>
                <w:color w:val="FFFFFF"/>
                <w:sz w:val="16"/>
                <w:szCs w:val="16"/>
                <w:lang w:eastAsia="en-AU"/>
              </w:rPr>
            </w:pPr>
            <w:r w:rsidRPr="00816657">
              <w:rPr>
                <w:rFonts w:cs="Times New Roman"/>
                <w:color w:val="FFFFFF"/>
                <w:sz w:val="16"/>
                <w:szCs w:val="16"/>
                <w:lang w:eastAsia="en-AU"/>
              </w:rPr>
              <w:t>3 a. Have you developed any projections of future arisings or fates of hazardous waste in your jurisdiction? If so, could we please have a copy?</w:t>
            </w:r>
          </w:p>
        </w:tc>
        <w:tc>
          <w:tcPr>
            <w:tcW w:w="2013" w:type="dxa"/>
            <w:tcBorders>
              <w:top w:val="nil"/>
              <w:left w:val="nil"/>
              <w:bottom w:val="nil"/>
              <w:right w:val="nil"/>
            </w:tcBorders>
            <w:shd w:val="clear" w:color="auto" w:fill="1F497D"/>
            <w:hideMark/>
          </w:tcPr>
          <w:p w:rsidR="00A70DAE" w:rsidRPr="00816657" w:rsidRDefault="00A70DAE" w:rsidP="003746F8">
            <w:pPr>
              <w:spacing w:line="240" w:lineRule="auto"/>
              <w:rPr>
                <w:rFonts w:cs="Times New Roman"/>
                <w:color w:val="FFFFFF"/>
                <w:sz w:val="16"/>
                <w:szCs w:val="16"/>
                <w:lang w:eastAsia="en-AU"/>
              </w:rPr>
            </w:pPr>
            <w:r w:rsidRPr="00816657">
              <w:rPr>
                <w:rFonts w:cs="Times New Roman"/>
                <w:color w:val="FFFFFF"/>
                <w:sz w:val="16"/>
                <w:szCs w:val="16"/>
                <w:lang w:eastAsia="en-AU"/>
              </w:rPr>
              <w:t>3 b. If not, do you have strong expectations about the future arisings or fates of any types of hazardous waste that are inconsistent with current trends?</w:t>
            </w:r>
          </w:p>
        </w:tc>
        <w:tc>
          <w:tcPr>
            <w:tcW w:w="2013" w:type="dxa"/>
            <w:tcBorders>
              <w:top w:val="nil"/>
              <w:left w:val="nil"/>
              <w:bottom w:val="nil"/>
              <w:right w:val="nil"/>
            </w:tcBorders>
            <w:shd w:val="clear" w:color="auto" w:fill="1F497D"/>
            <w:hideMark/>
          </w:tcPr>
          <w:p w:rsidR="00A70DAE" w:rsidRPr="00816657" w:rsidRDefault="00A70DAE" w:rsidP="003746F8">
            <w:pPr>
              <w:spacing w:line="240" w:lineRule="auto"/>
              <w:rPr>
                <w:rFonts w:cs="Times New Roman"/>
                <w:color w:val="FFFFFF"/>
                <w:sz w:val="16"/>
                <w:szCs w:val="16"/>
                <w:lang w:eastAsia="en-AU"/>
              </w:rPr>
            </w:pPr>
            <w:r w:rsidRPr="00816657">
              <w:rPr>
                <w:rFonts w:cs="Times New Roman"/>
                <w:color w:val="FFFFFF"/>
                <w:sz w:val="16"/>
                <w:szCs w:val="16"/>
                <w:lang w:eastAsia="en-AU"/>
              </w:rPr>
              <w:t>4. Are you aware of any major transport constraints and risks relating to hazardous wastes in your jurisdiction? If so, please provide some detail.</w:t>
            </w:r>
          </w:p>
        </w:tc>
        <w:tc>
          <w:tcPr>
            <w:tcW w:w="2013" w:type="dxa"/>
            <w:tcBorders>
              <w:top w:val="nil"/>
              <w:left w:val="nil"/>
              <w:bottom w:val="nil"/>
              <w:right w:val="nil"/>
            </w:tcBorders>
            <w:shd w:val="clear" w:color="auto" w:fill="1F497D"/>
            <w:hideMark/>
          </w:tcPr>
          <w:p w:rsidR="00A70DAE" w:rsidRPr="00816657" w:rsidRDefault="00A70DAE" w:rsidP="003746F8">
            <w:pPr>
              <w:spacing w:line="240" w:lineRule="auto"/>
              <w:rPr>
                <w:rFonts w:cs="Times New Roman"/>
                <w:color w:val="FFFFFF"/>
                <w:sz w:val="16"/>
                <w:szCs w:val="16"/>
                <w:lang w:eastAsia="en-AU"/>
              </w:rPr>
            </w:pPr>
            <w:r w:rsidRPr="00816657">
              <w:rPr>
                <w:rFonts w:cs="Times New Roman"/>
                <w:color w:val="FFFFFF"/>
                <w:sz w:val="16"/>
                <w:szCs w:val="16"/>
                <w:lang w:eastAsia="en-AU"/>
              </w:rPr>
              <w:t>5.</w:t>
            </w:r>
            <w:r w:rsidR="00F954D8" w:rsidRPr="00816657">
              <w:rPr>
                <w:rFonts w:cs="Times New Roman"/>
                <w:color w:val="FFFFFF"/>
                <w:sz w:val="16"/>
                <w:szCs w:val="16"/>
                <w:lang w:eastAsia="en-AU"/>
              </w:rPr>
              <w:t xml:space="preserve"> </w:t>
            </w:r>
            <w:r w:rsidRPr="00816657">
              <w:rPr>
                <w:rFonts w:cs="Times New Roman"/>
                <w:color w:val="FFFFFF"/>
                <w:sz w:val="16"/>
                <w:szCs w:val="16"/>
                <w:lang w:eastAsia="en-AU"/>
              </w:rPr>
              <w:t>Would you like to bring to the attention of the Australian Government any concerns or issues affecting the market for hazardous wastes in Australia?</w:t>
            </w:r>
          </w:p>
        </w:tc>
      </w:tr>
      <w:tr w:rsidR="00A70DAE" w:rsidRPr="00816657" w:rsidTr="007F5BD4">
        <w:trPr>
          <w:trHeight w:val="3930"/>
          <w:jc w:val="center"/>
        </w:trPr>
        <w:tc>
          <w:tcPr>
            <w:tcW w:w="709"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Vic</w:t>
            </w:r>
          </w:p>
        </w:tc>
        <w:tc>
          <w:tcPr>
            <w:tcW w:w="966"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4/9/14 meeting with Mark Bannister, Jerome Fakhry &amp; Cecilia Elwood</w:t>
            </w:r>
          </w:p>
        </w:tc>
        <w:tc>
          <w:tcPr>
            <w:tcW w:w="3519"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New NEPM for</w:t>
            </w:r>
            <w:r w:rsidR="00F954D8" w:rsidRPr="00816657">
              <w:rPr>
                <w:rFonts w:cs="Times New Roman"/>
                <w:color w:val="000000"/>
                <w:sz w:val="16"/>
                <w:szCs w:val="16"/>
                <w:lang w:eastAsia="en-AU"/>
              </w:rPr>
              <w:t xml:space="preserve"> </w:t>
            </w:r>
            <w:r w:rsidRPr="00816657">
              <w:rPr>
                <w:rFonts w:cs="Times New Roman"/>
                <w:color w:val="000000"/>
                <w:sz w:val="16"/>
                <w:szCs w:val="16"/>
                <w:lang w:eastAsia="en-AU"/>
              </w:rPr>
              <w:t xml:space="preserve">contam sites increases the contam levels applicable where you can retain soils onsite. Is reducing volumes of cat C soil. Also leading to legal challenges to EPA over definitions of cat C soil in relation to background concentrations. </w:t>
            </w:r>
            <w:r w:rsidRPr="00816657">
              <w:rPr>
                <w:rFonts w:cs="Times New Roman"/>
                <w:color w:val="000000"/>
                <w:sz w:val="16"/>
                <w:szCs w:val="16"/>
                <w:lang w:eastAsia="en-AU"/>
              </w:rPr>
              <w:br/>
            </w:r>
            <w:r w:rsidRPr="00816657">
              <w:rPr>
                <w:rFonts w:cs="Times New Roman"/>
                <w:color w:val="000000"/>
                <w:sz w:val="16"/>
                <w:szCs w:val="16"/>
                <w:lang w:eastAsia="en-AU"/>
              </w:rPr>
              <w:br/>
              <w:t xml:space="preserve">Direct Beneficial Reuse may be leading to diversion of manufacturing waste to 'outside the system'. </w:t>
            </w:r>
            <w:proofErr w:type="gramStart"/>
            <w:r w:rsidRPr="00816657">
              <w:rPr>
                <w:rFonts w:cs="Times New Roman"/>
                <w:color w:val="000000"/>
                <w:sz w:val="16"/>
                <w:szCs w:val="16"/>
                <w:lang w:eastAsia="en-AU"/>
              </w:rPr>
              <w:t>No data so can't confirm.</w:t>
            </w:r>
            <w:proofErr w:type="gramEnd"/>
            <w:r w:rsidRPr="00816657">
              <w:rPr>
                <w:rFonts w:cs="Times New Roman"/>
                <w:color w:val="000000"/>
                <w:sz w:val="16"/>
                <w:szCs w:val="16"/>
                <w:lang w:eastAsia="en-AU"/>
              </w:rPr>
              <w:t xml:space="preserve"> Secondary Beneficial Use has not had much uptake.</w:t>
            </w:r>
            <w:r w:rsidRPr="00816657">
              <w:rPr>
                <w:rFonts w:cs="Times New Roman"/>
                <w:color w:val="000000"/>
                <w:sz w:val="16"/>
                <w:szCs w:val="16"/>
                <w:lang w:eastAsia="en-AU"/>
              </w:rPr>
              <w:br/>
            </w:r>
            <w:r w:rsidRPr="00816657">
              <w:rPr>
                <w:rFonts w:cs="Times New Roman"/>
                <w:color w:val="000000"/>
                <w:sz w:val="16"/>
                <w:szCs w:val="16"/>
                <w:lang w:eastAsia="en-AU"/>
              </w:rPr>
              <w:br/>
              <w:t>Illegal waste dumping program may lead to additional disposal. Big issue with soils, including 'stockpiling'.</w:t>
            </w:r>
          </w:p>
        </w:tc>
        <w:tc>
          <w:tcPr>
            <w:tcW w:w="2409"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Biggest issue is Stockholm Convention waste e.g. firefighting foams. High temperature treatment will be needed but none is available and no-one is taking the lead. National issue. Not suitable for cement kilns.</w:t>
            </w:r>
            <w:r w:rsidRPr="00816657">
              <w:rPr>
                <w:rFonts w:cs="Times New Roman"/>
                <w:color w:val="000000"/>
                <w:sz w:val="16"/>
                <w:szCs w:val="16"/>
                <w:lang w:eastAsia="en-AU"/>
              </w:rPr>
              <w:br/>
            </w:r>
            <w:r w:rsidRPr="00816657">
              <w:rPr>
                <w:rFonts w:cs="Times New Roman"/>
                <w:color w:val="000000"/>
                <w:sz w:val="16"/>
                <w:szCs w:val="16"/>
                <w:lang w:eastAsia="en-AU"/>
              </w:rPr>
              <w:br/>
              <w:t xml:space="preserve">Don't have a policy re. Lyndhurst - the focus is reducing quantities. Lyndhurst </w:t>
            </w:r>
            <w:proofErr w:type="gramStart"/>
            <w:r w:rsidRPr="00816657">
              <w:rPr>
                <w:rFonts w:cs="Times New Roman"/>
                <w:color w:val="000000"/>
                <w:sz w:val="16"/>
                <w:szCs w:val="16"/>
                <w:lang w:eastAsia="en-AU"/>
              </w:rPr>
              <w:t>keep</w:t>
            </w:r>
            <w:proofErr w:type="gramEnd"/>
            <w:r w:rsidRPr="00816657">
              <w:rPr>
                <w:rFonts w:cs="Times New Roman"/>
                <w:color w:val="000000"/>
                <w:sz w:val="16"/>
                <w:szCs w:val="16"/>
                <w:lang w:eastAsia="en-AU"/>
              </w:rPr>
              <w:t xml:space="preserve"> extending. May be data from community reference group commitments.</w:t>
            </w:r>
            <w:r w:rsidRPr="00816657">
              <w:rPr>
                <w:rFonts w:cs="Times New Roman"/>
                <w:color w:val="000000"/>
                <w:sz w:val="16"/>
                <w:szCs w:val="16"/>
                <w:lang w:eastAsia="en-AU"/>
              </w:rPr>
              <w:br/>
            </w:r>
            <w:r w:rsidRPr="00816657">
              <w:rPr>
                <w:rFonts w:cs="Times New Roman"/>
                <w:color w:val="000000"/>
                <w:sz w:val="16"/>
                <w:szCs w:val="16"/>
                <w:lang w:eastAsia="en-AU"/>
              </w:rPr>
              <w:br/>
              <w:t>CRT glass may become an issue. No treatment available. No ideas about e-waste plastics.</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Mark will check with Finance. </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NSW has got more restrictive about what goes over the border, so now some wastes are being transported 500km to Lyndhurst. </w:t>
            </w:r>
            <w:r w:rsidRPr="00816657">
              <w:rPr>
                <w:rFonts w:cs="Times New Roman"/>
                <w:color w:val="000000"/>
                <w:sz w:val="16"/>
                <w:szCs w:val="16"/>
                <w:lang w:eastAsia="en-AU"/>
              </w:rPr>
              <w:br/>
            </w:r>
            <w:r w:rsidRPr="00816657">
              <w:rPr>
                <w:rFonts w:cs="Times New Roman"/>
                <w:color w:val="000000"/>
                <w:sz w:val="16"/>
                <w:szCs w:val="16"/>
                <w:lang w:eastAsia="en-AU"/>
              </w:rPr>
              <w:br/>
              <w:t>On-site treatments are available for some soils. Not much uptake.</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The lack of a level playing field is the main issue. Market can't respond when there is no certainty. Facilities can be undercut by other states. </w:t>
            </w:r>
            <w:r w:rsidRPr="00816657">
              <w:rPr>
                <w:rFonts w:cs="Times New Roman"/>
                <w:color w:val="000000"/>
                <w:sz w:val="16"/>
                <w:szCs w:val="16"/>
                <w:lang w:eastAsia="en-AU"/>
              </w:rPr>
              <w:br/>
            </w:r>
            <w:r w:rsidRPr="00816657">
              <w:rPr>
                <w:rFonts w:cs="Times New Roman"/>
                <w:color w:val="000000"/>
                <w:sz w:val="16"/>
                <w:szCs w:val="16"/>
                <w:lang w:eastAsia="en-AU"/>
              </w:rPr>
              <w:br/>
              <w:t>Some wastes need national solutions because the volumes are low.</w:t>
            </w:r>
            <w:r w:rsidRPr="00816657">
              <w:rPr>
                <w:rFonts w:cs="Times New Roman"/>
                <w:color w:val="000000"/>
                <w:sz w:val="16"/>
                <w:szCs w:val="16"/>
                <w:lang w:eastAsia="en-AU"/>
              </w:rPr>
              <w:br/>
            </w:r>
            <w:r w:rsidRPr="00816657">
              <w:rPr>
                <w:rFonts w:cs="Times New Roman"/>
                <w:color w:val="000000"/>
                <w:sz w:val="16"/>
                <w:szCs w:val="16"/>
                <w:lang w:eastAsia="en-AU"/>
              </w:rPr>
              <w:br/>
              <w:t xml:space="preserve">The available treatments are mostly primitive - dewatering &amp; adding concrete. 30 years behind Europe. Due to low and dispersed volumes. </w:t>
            </w:r>
            <w:r w:rsidRPr="00816657">
              <w:rPr>
                <w:rFonts w:cs="Times New Roman"/>
                <w:color w:val="000000"/>
                <w:sz w:val="16"/>
                <w:szCs w:val="16"/>
                <w:lang w:eastAsia="en-AU"/>
              </w:rPr>
              <w:br/>
            </w:r>
            <w:r w:rsidRPr="00816657">
              <w:rPr>
                <w:rFonts w:cs="Times New Roman"/>
                <w:color w:val="000000"/>
                <w:sz w:val="16"/>
                <w:szCs w:val="16"/>
                <w:lang w:eastAsia="en-AU"/>
              </w:rPr>
              <w:br/>
              <w:t>National coordination is needed.</w:t>
            </w:r>
          </w:p>
        </w:tc>
      </w:tr>
      <w:tr w:rsidR="00A70DAE" w:rsidRPr="00816657" w:rsidTr="007F5BD4">
        <w:trPr>
          <w:trHeight w:val="1559"/>
          <w:jc w:val="center"/>
        </w:trPr>
        <w:tc>
          <w:tcPr>
            <w:tcW w:w="709"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NT</w:t>
            </w:r>
          </w:p>
        </w:tc>
        <w:tc>
          <w:tcPr>
            <w:tcW w:w="966"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Email from Emma Young 04/09/14</w:t>
            </w:r>
          </w:p>
        </w:tc>
        <w:tc>
          <w:tcPr>
            <w:tcW w:w="3519"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Nothing at the moment. We are, however, currently developing a waste strategy for the NT that will be released for consultation in October sometime which may identify some wastes as problematic. We are also currently undertaking a review of our Waste Management and Pollution Control Act. A discussion paper on this will be released in the next month.</w:t>
            </w:r>
          </w:p>
        </w:tc>
        <w:tc>
          <w:tcPr>
            <w:tcW w:w="2409"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No information on this sorry it would be great to have additional infrastructure but due to the low population</w:t>
            </w:r>
            <w:r w:rsidR="00F954D8" w:rsidRPr="00816657">
              <w:rPr>
                <w:rFonts w:cs="Times New Roman"/>
                <w:color w:val="000000"/>
                <w:sz w:val="16"/>
                <w:szCs w:val="16"/>
                <w:lang w:eastAsia="en-AU"/>
              </w:rPr>
              <w:t xml:space="preserve"> </w:t>
            </w:r>
            <w:r w:rsidRPr="00816657">
              <w:rPr>
                <w:rFonts w:cs="Times New Roman"/>
                <w:color w:val="000000"/>
                <w:sz w:val="16"/>
                <w:szCs w:val="16"/>
                <w:lang w:eastAsia="en-AU"/>
              </w:rPr>
              <w:t>base in the Territory and substantial distances/remoteness etc. this poses problems</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ind w:left="-108" w:firstLine="108"/>
              <w:rPr>
                <w:rFonts w:cs="Times New Roman"/>
                <w:color w:val="000000"/>
                <w:sz w:val="16"/>
                <w:szCs w:val="16"/>
                <w:lang w:eastAsia="en-AU"/>
              </w:rPr>
            </w:pPr>
            <w:r w:rsidRPr="00816657">
              <w:rPr>
                <w:rFonts w:cs="Times New Roman"/>
                <w:color w:val="000000"/>
                <w:sz w:val="16"/>
                <w:szCs w:val="16"/>
                <w:lang w:eastAsia="en-AU"/>
              </w:rPr>
              <w:t> </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High costs of transport due to long distances. Most hazardous waste goes interstate</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Nothing to highlight at this stage. We don’t have access to markets much up here and many items</w:t>
            </w:r>
            <w:r w:rsidR="00F954D8" w:rsidRPr="00816657">
              <w:rPr>
                <w:rFonts w:cs="Times New Roman"/>
                <w:color w:val="000000"/>
                <w:sz w:val="16"/>
                <w:szCs w:val="16"/>
                <w:lang w:eastAsia="en-AU"/>
              </w:rPr>
              <w:t xml:space="preserve"> </w:t>
            </w:r>
            <w:r w:rsidRPr="00816657">
              <w:rPr>
                <w:rFonts w:cs="Times New Roman"/>
                <w:color w:val="000000"/>
                <w:sz w:val="16"/>
                <w:szCs w:val="16"/>
                <w:lang w:eastAsia="en-AU"/>
              </w:rPr>
              <w:t>gets transported interstate</w:t>
            </w:r>
          </w:p>
        </w:tc>
      </w:tr>
      <w:tr w:rsidR="00A70DAE" w:rsidRPr="00816657" w:rsidTr="007F5BD4">
        <w:trPr>
          <w:trHeight w:val="70"/>
          <w:jc w:val="center"/>
        </w:trPr>
        <w:tc>
          <w:tcPr>
            <w:tcW w:w="709"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Tas</w:t>
            </w:r>
          </w:p>
        </w:tc>
        <w:tc>
          <w:tcPr>
            <w:tcW w:w="966" w:type="dxa"/>
            <w:tcBorders>
              <w:top w:val="single" w:sz="4" w:space="0" w:color="auto"/>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w:t>
            </w:r>
          </w:p>
        </w:tc>
        <w:tc>
          <w:tcPr>
            <w:tcW w:w="3519" w:type="dxa"/>
            <w:tcBorders>
              <w:top w:val="single" w:sz="4" w:space="0" w:color="auto"/>
              <w:left w:val="nil"/>
              <w:bottom w:val="single" w:sz="4" w:space="0" w:color="auto"/>
              <w:right w:val="nil"/>
            </w:tcBorders>
            <w:shd w:val="clear" w:color="000000" w:fill="FFFFFF"/>
            <w:hideMark/>
          </w:tcPr>
          <w:p w:rsidR="00A70DAE" w:rsidRPr="00816657" w:rsidRDefault="00A70DAE">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No response </w:t>
            </w:r>
          </w:p>
        </w:tc>
        <w:tc>
          <w:tcPr>
            <w:tcW w:w="2409" w:type="dxa"/>
            <w:tcBorders>
              <w:top w:val="single" w:sz="4" w:space="0" w:color="auto"/>
              <w:left w:val="nil"/>
              <w:bottom w:val="single" w:sz="4" w:space="0" w:color="auto"/>
              <w:right w:val="nil"/>
            </w:tcBorders>
            <w:shd w:val="clear" w:color="000000" w:fill="FFFFFF"/>
            <w:hideMark/>
          </w:tcPr>
          <w:p w:rsidR="00A70DAE" w:rsidRPr="00816657" w:rsidRDefault="00A70DAE">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No response </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No response </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No response </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No response </w:t>
            </w:r>
          </w:p>
        </w:tc>
        <w:tc>
          <w:tcPr>
            <w:tcW w:w="2013" w:type="dxa"/>
            <w:tcBorders>
              <w:top w:val="single" w:sz="4" w:space="0" w:color="auto"/>
              <w:left w:val="nil"/>
              <w:bottom w:val="single" w:sz="4" w:space="0" w:color="auto"/>
              <w:right w:val="nil"/>
            </w:tcBorders>
            <w:shd w:val="clear" w:color="000000" w:fill="FFFFFF"/>
            <w:hideMark/>
          </w:tcPr>
          <w:p w:rsidR="00A70DAE" w:rsidRPr="00816657" w:rsidRDefault="00A70DAE">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No response </w:t>
            </w:r>
          </w:p>
        </w:tc>
      </w:tr>
      <w:tr w:rsidR="00A70DAE" w:rsidRPr="00816657" w:rsidTr="007F5BD4">
        <w:trPr>
          <w:trHeight w:val="3180"/>
          <w:jc w:val="center"/>
        </w:trPr>
        <w:tc>
          <w:tcPr>
            <w:tcW w:w="709"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lastRenderedPageBreak/>
              <w:t>NSW</w:t>
            </w:r>
          </w:p>
        </w:tc>
        <w:tc>
          <w:tcPr>
            <w:tcW w:w="966"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Meeting and email from Tony Hodgson on 15/09/14 </w:t>
            </w:r>
          </w:p>
        </w:tc>
        <w:tc>
          <w:tcPr>
            <w:tcW w:w="3519"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Nothing new that would affect arisings.</w:t>
            </w:r>
            <w:r w:rsidR="00F954D8" w:rsidRPr="00816657">
              <w:rPr>
                <w:rFonts w:cs="Times New Roman"/>
                <w:color w:val="000000"/>
                <w:sz w:val="16"/>
                <w:szCs w:val="16"/>
                <w:lang w:eastAsia="en-AU"/>
              </w:rPr>
              <w:t xml:space="preserve"> </w:t>
            </w:r>
            <w:r w:rsidRPr="00816657">
              <w:rPr>
                <w:rFonts w:cs="Times New Roman"/>
                <w:color w:val="000000"/>
                <w:sz w:val="16"/>
                <w:szCs w:val="16"/>
                <w:lang w:eastAsia="en-AU"/>
              </w:rPr>
              <w:t>With respect to transport and disposal/treatment, a new proximity principle is being introduced as part of the remake of the Protection of the Environment Operations (Waste) Regulation.</w:t>
            </w:r>
            <w:r w:rsidR="00F954D8" w:rsidRPr="00816657">
              <w:rPr>
                <w:rFonts w:cs="Times New Roman"/>
                <w:color w:val="000000"/>
                <w:sz w:val="16"/>
                <w:szCs w:val="16"/>
                <w:lang w:eastAsia="en-AU"/>
              </w:rPr>
              <w:t xml:space="preserve"> </w:t>
            </w:r>
            <w:r w:rsidRPr="00816657">
              <w:rPr>
                <w:rFonts w:cs="Times New Roman"/>
                <w:color w:val="000000"/>
                <w:sz w:val="16"/>
                <w:szCs w:val="16"/>
                <w:lang w:eastAsia="en-AU"/>
              </w:rPr>
              <w:t>This principle will mostly affect non-hazardous waste but may have some impact on common hazardous waste streams such as oily water.</w:t>
            </w:r>
            <w:r w:rsidR="00F954D8" w:rsidRPr="00816657">
              <w:rPr>
                <w:rFonts w:cs="Times New Roman"/>
                <w:color w:val="000000"/>
                <w:sz w:val="16"/>
                <w:szCs w:val="16"/>
                <w:lang w:eastAsia="en-AU"/>
              </w:rPr>
              <w:t xml:space="preserve"> </w:t>
            </w:r>
            <w:r w:rsidRPr="00816657">
              <w:rPr>
                <w:rFonts w:cs="Times New Roman"/>
                <w:color w:val="000000"/>
                <w:sz w:val="16"/>
                <w:szCs w:val="16"/>
                <w:lang w:eastAsia="en-AU"/>
              </w:rPr>
              <w:t xml:space="preserve">The details are still being finalised but it is primarily designed to prevent high volume non-hazardous wastes from being transported long distances for purely commercial reasons. </w:t>
            </w:r>
          </w:p>
        </w:tc>
        <w:tc>
          <w:tcPr>
            <w:tcW w:w="2409"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As previously advised, the long term future of the Homebush Bay Liquid Treatment Plant is under review.</w:t>
            </w:r>
            <w:r w:rsidR="00F954D8" w:rsidRPr="00816657">
              <w:rPr>
                <w:rFonts w:cs="Times New Roman"/>
                <w:color w:val="000000"/>
                <w:sz w:val="16"/>
                <w:szCs w:val="16"/>
                <w:lang w:eastAsia="en-AU"/>
              </w:rPr>
              <w:t xml:space="preserve"> </w:t>
            </w:r>
            <w:r w:rsidRPr="00816657">
              <w:rPr>
                <w:rFonts w:cs="Times New Roman"/>
                <w:color w:val="000000"/>
                <w:sz w:val="16"/>
                <w:szCs w:val="16"/>
                <w:lang w:eastAsia="en-AU"/>
              </w:rPr>
              <w:t>I don’t know of any other significant changes planned for infrastructure.</w:t>
            </w:r>
          </w:p>
        </w:tc>
        <w:tc>
          <w:tcPr>
            <w:tcW w:w="2013"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No.</w:t>
            </w:r>
          </w:p>
        </w:tc>
        <w:tc>
          <w:tcPr>
            <w:tcW w:w="2013"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The feedback from industry is that with respect to hazardous liquid waste, volumes are decreasing although I’m not sure whether this, at least, due in part to perceptions caused by some additional capacity opening in the Hunter.</w:t>
            </w:r>
            <w:r w:rsidR="00F954D8" w:rsidRPr="00816657">
              <w:rPr>
                <w:rFonts w:cs="Times New Roman"/>
                <w:color w:val="000000"/>
                <w:sz w:val="16"/>
                <w:szCs w:val="16"/>
                <w:lang w:eastAsia="en-AU"/>
              </w:rPr>
              <w:t xml:space="preserve"> </w:t>
            </w:r>
            <w:r w:rsidRPr="00816657">
              <w:rPr>
                <w:rFonts w:cs="Times New Roman"/>
                <w:color w:val="000000"/>
                <w:sz w:val="16"/>
                <w:szCs w:val="16"/>
                <w:lang w:eastAsia="en-AU"/>
              </w:rPr>
              <w:t>The trend of reduced waste from the manufacturing and aluminium smelting industries as these sector contract is likely to continue, although there will be a hump in smelter waste when plants are decommissioned.</w:t>
            </w:r>
            <w:r w:rsidR="00F954D8" w:rsidRPr="00816657">
              <w:rPr>
                <w:rFonts w:cs="Times New Roman"/>
                <w:color w:val="000000"/>
                <w:sz w:val="16"/>
                <w:szCs w:val="16"/>
                <w:lang w:eastAsia="en-AU"/>
              </w:rPr>
              <w:t xml:space="preserve"> </w:t>
            </w:r>
          </w:p>
        </w:tc>
        <w:tc>
          <w:tcPr>
            <w:tcW w:w="2013"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None.</w:t>
            </w:r>
          </w:p>
        </w:tc>
        <w:tc>
          <w:tcPr>
            <w:tcW w:w="2013"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Any relaxation of export controls on hazardous waste streams that can be treated in Australia could have an adverse impact on the local processing/recycling industry, e.g. used lead acid batteries.</w:t>
            </w:r>
          </w:p>
        </w:tc>
      </w:tr>
      <w:tr w:rsidR="00A70DAE" w:rsidRPr="00816657" w:rsidTr="007F5BD4">
        <w:trPr>
          <w:trHeight w:val="4635"/>
          <w:jc w:val="center"/>
        </w:trPr>
        <w:tc>
          <w:tcPr>
            <w:tcW w:w="709"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lastRenderedPageBreak/>
              <w:t>Qld</w:t>
            </w:r>
          </w:p>
        </w:tc>
        <w:tc>
          <w:tcPr>
            <w:tcW w:w="966"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Written response from Kylie Hughes, 2/9/14</w:t>
            </w:r>
          </w:p>
        </w:tc>
        <w:tc>
          <w:tcPr>
            <w:tcW w:w="3519"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D0D0D"/>
                <w:sz w:val="16"/>
                <w:szCs w:val="16"/>
                <w:lang w:eastAsia="en-AU"/>
              </w:rPr>
            </w:pPr>
            <w:r w:rsidRPr="00816657">
              <w:rPr>
                <w:rFonts w:cs="Times New Roman"/>
                <w:color w:val="0D0D0D"/>
                <w:sz w:val="16"/>
                <w:szCs w:val="16"/>
                <w:lang w:eastAsia="en-AU"/>
              </w:rPr>
              <w:t>The Department is currently undertaking a review of the way regulated (hazardous) wastes are classified in Queensland. The results of this review and work to develop a testing framework based on concentration thresholds could see the reclassification of low risk wastes from regulated to non-regulated wastes. A re-classification will see a significant decrease in the total amount of regulated waste generated in Queensland. Currently Queensland’s legislative framework requires that trackable wastes be regulated wastes. Any change in classification may result in the removal of some waste from the trackable list as well. Wastes that are determined to be non-regulated will not be required to be managed as regulated, so opening up potentially new pathways for management and markets.</w:t>
            </w:r>
            <w:r w:rsidRPr="00816657">
              <w:rPr>
                <w:rFonts w:cs="Times New Roman"/>
                <w:color w:val="0D0D0D"/>
                <w:sz w:val="16"/>
                <w:szCs w:val="16"/>
                <w:lang w:eastAsia="en-AU"/>
              </w:rPr>
              <w:br/>
            </w:r>
            <w:r w:rsidRPr="00816657">
              <w:rPr>
                <w:rFonts w:cs="Times New Roman"/>
                <w:color w:val="0D0D0D"/>
                <w:sz w:val="16"/>
                <w:szCs w:val="16"/>
                <w:lang w:eastAsia="en-AU"/>
              </w:rPr>
              <w:br/>
              <w:t>Queensland is also about to make changes to the mechanism by which wastes can be approved for a beneficial use. The Waste Reduction and Recycling Act 2011 will provide for the development of end of waste codes for materials that have a beneficial use (replacing the existing beneficial use approval process). Waste subject to an end of waste code will be classified as a resource not a waste which could further reduce the arisings of regulated wastes in Queensland.</w:t>
            </w:r>
          </w:p>
        </w:tc>
        <w:tc>
          <w:tcPr>
            <w:tcW w:w="2409"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No – this is not anticipated.</w:t>
            </w:r>
          </w:p>
        </w:tc>
        <w:tc>
          <w:tcPr>
            <w:tcW w:w="2013"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No – we don’t have projections for future arisings of regulated waste. We collect data on regulated waste through surveys of treatment and disposal facilities and through the waste tracking data. This allows us to see trends but not make predictions around future generation or management approaches. The review of the regulated waste framework is also likely to affect future projections. </w:t>
            </w:r>
          </w:p>
        </w:tc>
        <w:tc>
          <w:tcPr>
            <w:tcW w:w="2013"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w:t>
            </w:r>
          </w:p>
        </w:tc>
        <w:tc>
          <w:tcPr>
            <w:tcW w:w="2013"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Distance is always a transport constraint for Queensland. The majority of regulated waste recycling and treatment facilities are located in southeast Queensland, making it costly to transport some of these wastes for a potentially more beneficial use than disposal. </w:t>
            </w:r>
          </w:p>
        </w:tc>
        <w:tc>
          <w:tcPr>
            <w:tcW w:w="2013" w:type="dxa"/>
            <w:tcBorders>
              <w:top w:val="nil"/>
              <w:left w:val="nil"/>
              <w:bottom w:val="single" w:sz="4" w:space="0" w:color="auto"/>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The changes to the beneficial use approval process and potential changes to the classification of regulated wastes could impact on the reporting of hazardous wastes. We will need to be mindful of our reporting obligations in relation to hazardous wastes and ensure there is an appropriate mechanism to capture information about these wastes.</w:t>
            </w:r>
          </w:p>
        </w:tc>
      </w:tr>
      <w:tr w:rsidR="00A70DAE" w:rsidRPr="00816657" w:rsidTr="007F5BD4">
        <w:trPr>
          <w:trHeight w:val="5100"/>
          <w:jc w:val="center"/>
        </w:trPr>
        <w:tc>
          <w:tcPr>
            <w:tcW w:w="709" w:type="dxa"/>
            <w:tcBorders>
              <w:top w:val="nil"/>
              <w:left w:val="nil"/>
              <w:bottom w:val="nil"/>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lastRenderedPageBreak/>
              <w:t>SA</w:t>
            </w:r>
          </w:p>
        </w:tc>
        <w:tc>
          <w:tcPr>
            <w:tcW w:w="966" w:type="dxa"/>
            <w:tcBorders>
              <w:top w:val="nil"/>
              <w:left w:val="nil"/>
              <w:bottom w:val="nil"/>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08/09/14 Meeting with Steven Sergi and John Vanso</w:t>
            </w:r>
          </w:p>
        </w:tc>
        <w:tc>
          <w:tcPr>
            <w:tcW w:w="3519" w:type="dxa"/>
            <w:tcBorders>
              <w:top w:val="nil"/>
              <w:left w:val="nil"/>
              <w:bottom w:val="nil"/>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No significant policy changes in progress. Noted the SA Environment Protection (Waste to Resources) Policy 2010 and landfill bans on </w:t>
            </w:r>
            <w:r w:rsidR="00110D33">
              <w:rPr>
                <w:rFonts w:cs="Times New Roman"/>
                <w:color w:val="000000"/>
                <w:sz w:val="16"/>
                <w:szCs w:val="16"/>
                <w:lang w:eastAsia="en-AU"/>
              </w:rPr>
              <w:t>e-waste</w:t>
            </w:r>
            <w:r w:rsidRPr="00816657">
              <w:rPr>
                <w:rFonts w:cs="Times New Roman"/>
                <w:color w:val="000000"/>
                <w:sz w:val="16"/>
                <w:szCs w:val="16"/>
                <w:lang w:eastAsia="en-AU"/>
              </w:rPr>
              <w:t xml:space="preserve"> which may have will have impacts of the fate of this stream. Zero waste SA </w:t>
            </w:r>
            <w:proofErr w:type="gramStart"/>
            <w:r w:rsidRPr="00816657">
              <w:rPr>
                <w:rFonts w:cs="Times New Roman"/>
                <w:color w:val="000000"/>
                <w:sz w:val="16"/>
                <w:szCs w:val="16"/>
                <w:lang w:eastAsia="en-AU"/>
              </w:rPr>
              <w:t>are</w:t>
            </w:r>
            <w:proofErr w:type="gramEnd"/>
            <w:r w:rsidRPr="00816657">
              <w:rPr>
                <w:rFonts w:cs="Times New Roman"/>
                <w:color w:val="000000"/>
                <w:sz w:val="16"/>
                <w:szCs w:val="16"/>
                <w:lang w:eastAsia="en-AU"/>
              </w:rPr>
              <w:t xml:space="preserve"> trying to establish another facility to receive household chemicals.</w:t>
            </w:r>
          </w:p>
        </w:tc>
        <w:tc>
          <w:tcPr>
            <w:tcW w:w="2409" w:type="dxa"/>
            <w:tcBorders>
              <w:top w:val="nil"/>
              <w:left w:val="nil"/>
              <w:bottom w:val="nil"/>
              <w:right w:val="nil"/>
            </w:tcBorders>
            <w:shd w:val="clear" w:color="000000" w:fill="FFFFFF"/>
            <w:hideMark/>
          </w:tcPr>
          <w:p w:rsidR="00A70DAE" w:rsidRPr="00816657" w:rsidRDefault="00A70DAE" w:rsidP="00C76D4C">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Consistent with national discussion there are a couple of proposals for EfW facilities, however they are not targeting haz waste. They could take some haz </w:t>
            </w:r>
            <w:proofErr w:type="gramStart"/>
            <w:r w:rsidRPr="00816657">
              <w:rPr>
                <w:rFonts w:cs="Times New Roman"/>
                <w:color w:val="000000"/>
                <w:sz w:val="16"/>
                <w:szCs w:val="16"/>
                <w:lang w:eastAsia="en-AU"/>
              </w:rPr>
              <w:t>waste that have</w:t>
            </w:r>
            <w:proofErr w:type="gramEnd"/>
            <w:r w:rsidRPr="00816657">
              <w:rPr>
                <w:rFonts w:cs="Times New Roman"/>
                <w:color w:val="000000"/>
                <w:sz w:val="16"/>
                <w:szCs w:val="16"/>
                <w:lang w:eastAsia="en-AU"/>
              </w:rPr>
              <w:t xml:space="preserve"> high calorific value. SA currently exports haz waste to other states and this may increase if alternatives open up in other states. 'Grease trap' waste not managed as hazardous waste in SA. </w:t>
            </w:r>
            <w:r w:rsidRPr="00816657">
              <w:rPr>
                <w:rFonts w:cs="Times New Roman"/>
                <w:color w:val="000000"/>
                <w:sz w:val="16"/>
                <w:szCs w:val="16"/>
                <w:lang w:eastAsia="en-AU"/>
              </w:rPr>
              <w:br/>
            </w:r>
            <w:r w:rsidRPr="00816657">
              <w:rPr>
                <w:rFonts w:cs="Times New Roman"/>
                <w:color w:val="000000"/>
                <w:sz w:val="16"/>
                <w:szCs w:val="16"/>
                <w:lang w:eastAsia="en-AU"/>
              </w:rPr>
              <w:br/>
              <w:t xml:space="preserve">SA Water have completed the business case for an AD facility to take large amounts of biosolids which they intend to mix with grease trap and other organics, this is likely to change the future fate of biosolids in SA significantly. </w:t>
            </w:r>
            <w:r w:rsidRPr="00816657">
              <w:rPr>
                <w:rFonts w:cs="Times New Roman"/>
                <w:color w:val="000000"/>
                <w:sz w:val="16"/>
                <w:szCs w:val="16"/>
                <w:lang w:eastAsia="en-AU"/>
              </w:rPr>
              <w:br/>
            </w:r>
            <w:r w:rsidRPr="00816657">
              <w:rPr>
                <w:rFonts w:cs="Times New Roman"/>
                <w:color w:val="000000"/>
                <w:sz w:val="16"/>
                <w:szCs w:val="16"/>
                <w:lang w:eastAsia="en-AU"/>
              </w:rPr>
              <w:br/>
            </w:r>
            <w:r w:rsidR="00C76D4C" w:rsidRPr="00C76D4C">
              <w:rPr>
                <w:rFonts w:cs="Times New Roman"/>
                <w:color w:val="auto"/>
                <w:sz w:val="16"/>
                <w:szCs w:val="16"/>
                <w:highlight w:val="red"/>
                <w:lang w:eastAsia="en-AU"/>
              </w:rPr>
              <w:t>CIC</w:t>
            </w:r>
            <w:r w:rsidR="00C76D4C">
              <w:rPr>
                <w:rFonts w:cs="Times New Roman"/>
                <w:color w:val="FF0000"/>
                <w:sz w:val="16"/>
                <w:szCs w:val="16"/>
                <w:highlight w:val="red"/>
                <w:lang w:eastAsia="en-AU"/>
              </w:rPr>
              <w:t>.</w:t>
            </w:r>
            <w:r w:rsidRPr="00E97D4C">
              <w:rPr>
                <w:rFonts w:cs="Times New Roman"/>
                <w:color w:val="FF0000"/>
                <w:sz w:val="16"/>
                <w:szCs w:val="16"/>
                <w:lang w:eastAsia="en-AU"/>
              </w:rPr>
              <w:t xml:space="preserve"> </w:t>
            </w:r>
          </w:p>
        </w:tc>
        <w:tc>
          <w:tcPr>
            <w:tcW w:w="2013" w:type="dxa"/>
            <w:tcBorders>
              <w:top w:val="nil"/>
              <w:left w:val="nil"/>
              <w:bottom w:val="nil"/>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SA government have no existing projections.</w:t>
            </w:r>
          </w:p>
        </w:tc>
        <w:tc>
          <w:tcPr>
            <w:tcW w:w="2013" w:type="dxa"/>
            <w:tcBorders>
              <w:top w:val="nil"/>
              <w:left w:val="nil"/>
              <w:bottom w:val="nil"/>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Coal seam gas waste could increase due to mining in the SE. Sophie martin good SA EPA contact re CSG 0401 695 754. No other comments on likely trends of wastes. </w:t>
            </w:r>
          </w:p>
        </w:tc>
        <w:tc>
          <w:tcPr>
            <w:tcW w:w="2013" w:type="dxa"/>
            <w:tcBorders>
              <w:top w:val="nil"/>
              <w:left w:val="nil"/>
              <w:bottom w:val="nil"/>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 xml:space="preserve">Asbestos comes to SA from NT, but this is not due to infrastructure shortages. Not aware of any significant constraints. </w:t>
            </w:r>
          </w:p>
        </w:tc>
        <w:tc>
          <w:tcPr>
            <w:tcW w:w="2013" w:type="dxa"/>
            <w:tcBorders>
              <w:top w:val="nil"/>
              <w:left w:val="nil"/>
              <w:bottom w:val="nil"/>
              <w:right w:val="nil"/>
            </w:tcBorders>
            <w:shd w:val="clear" w:color="000000" w:fill="FFFFFF"/>
            <w:hideMark/>
          </w:tcPr>
          <w:p w:rsidR="00A70DAE" w:rsidRPr="00816657" w:rsidRDefault="00A70DAE" w:rsidP="003746F8">
            <w:pPr>
              <w:spacing w:line="240" w:lineRule="auto"/>
              <w:rPr>
                <w:rFonts w:cs="Times New Roman"/>
                <w:color w:val="000000"/>
                <w:sz w:val="16"/>
                <w:szCs w:val="16"/>
                <w:lang w:eastAsia="en-AU"/>
              </w:rPr>
            </w:pPr>
            <w:r w:rsidRPr="00816657">
              <w:rPr>
                <w:rFonts w:cs="Times New Roman"/>
                <w:color w:val="000000"/>
                <w:sz w:val="16"/>
                <w:szCs w:val="16"/>
                <w:lang w:eastAsia="en-AU"/>
              </w:rPr>
              <w:t>Organo Chloride Pesticides (OCPs) wastes heading to Queensland from all over the country. Flagged the issue of haz wastes generally being sent to Qld where the fate is not well understood as an issue that needs attention.</w:t>
            </w:r>
          </w:p>
        </w:tc>
      </w:tr>
      <w:tr w:rsidR="00C15276" w:rsidRPr="00816657" w:rsidTr="007F5BD4">
        <w:trPr>
          <w:trHeight w:val="5100"/>
          <w:jc w:val="center"/>
        </w:trPr>
        <w:tc>
          <w:tcPr>
            <w:tcW w:w="709" w:type="dxa"/>
            <w:tcBorders>
              <w:top w:val="nil"/>
              <w:left w:val="nil"/>
              <w:bottom w:val="single" w:sz="4" w:space="0" w:color="auto"/>
              <w:right w:val="nil"/>
            </w:tcBorders>
            <w:shd w:val="clear" w:color="000000" w:fill="FFFFFF"/>
          </w:tcPr>
          <w:p w:rsidR="00C15276" w:rsidRPr="00816657" w:rsidRDefault="00C15276" w:rsidP="003746F8">
            <w:pPr>
              <w:spacing w:line="240" w:lineRule="auto"/>
              <w:rPr>
                <w:rFonts w:cs="Times New Roman"/>
                <w:color w:val="000000"/>
                <w:sz w:val="16"/>
                <w:szCs w:val="16"/>
                <w:lang w:eastAsia="en-AU"/>
              </w:rPr>
            </w:pPr>
            <w:r w:rsidRPr="00816657">
              <w:rPr>
                <w:rFonts w:cs="Times New Roman"/>
                <w:color w:val="000000"/>
                <w:sz w:val="16"/>
                <w:szCs w:val="16"/>
                <w:lang w:eastAsia="en-AU"/>
              </w:rPr>
              <w:lastRenderedPageBreak/>
              <w:t>WA</w:t>
            </w:r>
          </w:p>
        </w:tc>
        <w:tc>
          <w:tcPr>
            <w:tcW w:w="966" w:type="dxa"/>
            <w:tcBorders>
              <w:top w:val="nil"/>
              <w:left w:val="nil"/>
              <w:bottom w:val="single" w:sz="4" w:space="0" w:color="auto"/>
              <w:right w:val="nil"/>
            </w:tcBorders>
            <w:shd w:val="clear" w:color="000000" w:fill="FFFFFF"/>
          </w:tcPr>
          <w:p w:rsidR="00C15276" w:rsidRPr="007F5BD4" w:rsidRDefault="002512BE">
            <w:pPr>
              <w:spacing w:line="240" w:lineRule="auto"/>
              <w:rPr>
                <w:rFonts w:cs="Times New Roman"/>
                <w:b/>
                <w:color w:val="000000"/>
                <w:sz w:val="16"/>
                <w:szCs w:val="16"/>
                <w:lang w:eastAsia="en-AU"/>
              </w:rPr>
            </w:pPr>
            <w:r w:rsidRPr="002512BE">
              <w:rPr>
                <w:rFonts w:cs="Times New Roman"/>
                <w:color w:val="000000"/>
                <w:sz w:val="16"/>
                <w:szCs w:val="16"/>
                <w:lang w:eastAsia="en-AU"/>
              </w:rPr>
              <w:t>Comm</w:t>
            </w:r>
            <w:r>
              <w:rPr>
                <w:rFonts w:cs="Times New Roman"/>
                <w:color w:val="000000"/>
                <w:sz w:val="16"/>
                <w:szCs w:val="16"/>
                <w:lang w:eastAsia="en-AU"/>
              </w:rPr>
              <w:t>s.</w:t>
            </w:r>
            <w:r w:rsidRPr="002512BE">
              <w:rPr>
                <w:rFonts w:cs="Times New Roman"/>
                <w:color w:val="000000"/>
                <w:sz w:val="16"/>
                <w:szCs w:val="16"/>
                <w:lang w:eastAsia="en-AU"/>
              </w:rPr>
              <w:t xml:space="preserve"> </w:t>
            </w:r>
            <w:proofErr w:type="gramStart"/>
            <w:r w:rsidRPr="002512BE">
              <w:rPr>
                <w:rFonts w:cs="Times New Roman"/>
                <w:color w:val="000000"/>
                <w:sz w:val="16"/>
                <w:szCs w:val="16"/>
                <w:lang w:eastAsia="en-AU"/>
              </w:rPr>
              <w:t>from</w:t>
            </w:r>
            <w:proofErr w:type="gramEnd"/>
            <w:r w:rsidRPr="002512BE">
              <w:rPr>
                <w:rFonts w:cs="Times New Roman"/>
                <w:color w:val="000000"/>
                <w:sz w:val="16"/>
                <w:szCs w:val="16"/>
                <w:lang w:eastAsia="en-AU"/>
              </w:rPr>
              <w:t xml:space="preserve"> </w:t>
            </w:r>
            <w:r w:rsidRPr="007F5BD4">
              <w:rPr>
                <w:rFonts w:cs="Times New Roman"/>
                <w:b/>
                <w:color w:val="000000"/>
                <w:sz w:val="16"/>
                <w:szCs w:val="16"/>
                <w:lang w:eastAsia="en-AU"/>
              </w:rPr>
              <w:t>Jill Lethlean of Consilium.</w:t>
            </w:r>
          </w:p>
          <w:p w:rsidR="002512BE" w:rsidRPr="00816657" w:rsidRDefault="002512BE">
            <w:pPr>
              <w:spacing w:line="240" w:lineRule="auto"/>
              <w:rPr>
                <w:rFonts w:cs="Times New Roman"/>
                <w:color w:val="000000"/>
                <w:sz w:val="16"/>
                <w:szCs w:val="16"/>
                <w:lang w:eastAsia="en-AU"/>
              </w:rPr>
            </w:pPr>
            <w:r>
              <w:rPr>
                <w:rFonts w:cs="Times New Roman"/>
                <w:color w:val="000000"/>
                <w:sz w:val="16"/>
                <w:szCs w:val="16"/>
                <w:lang w:eastAsia="en-AU"/>
              </w:rPr>
              <w:t xml:space="preserve">WA </w:t>
            </w:r>
            <w:r w:rsidRPr="002512BE">
              <w:rPr>
                <w:rFonts w:cs="Times New Roman"/>
                <w:color w:val="000000"/>
                <w:sz w:val="16"/>
                <w:szCs w:val="16"/>
                <w:lang w:eastAsia="en-AU"/>
              </w:rPr>
              <w:t>Dept</w:t>
            </w:r>
            <w:r>
              <w:rPr>
                <w:rFonts w:cs="Times New Roman"/>
                <w:color w:val="000000"/>
                <w:sz w:val="16"/>
                <w:szCs w:val="16"/>
                <w:lang w:eastAsia="en-AU"/>
              </w:rPr>
              <w:t>.</w:t>
            </w:r>
            <w:r w:rsidRPr="002512BE">
              <w:rPr>
                <w:rFonts w:cs="Times New Roman"/>
                <w:color w:val="000000"/>
                <w:sz w:val="16"/>
                <w:szCs w:val="16"/>
                <w:lang w:eastAsia="en-AU"/>
              </w:rPr>
              <w:t xml:space="preserve"> of </w:t>
            </w:r>
            <w:r>
              <w:rPr>
                <w:rFonts w:cs="Times New Roman"/>
                <w:color w:val="000000"/>
                <w:sz w:val="16"/>
                <w:szCs w:val="16"/>
                <w:lang w:eastAsia="en-AU"/>
              </w:rPr>
              <w:t>Env.</w:t>
            </w:r>
            <w:r w:rsidRPr="002512BE">
              <w:rPr>
                <w:rFonts w:cs="Times New Roman"/>
                <w:color w:val="000000"/>
                <w:sz w:val="16"/>
                <w:szCs w:val="16"/>
                <w:lang w:eastAsia="en-AU"/>
              </w:rPr>
              <w:t xml:space="preserve"> </w:t>
            </w:r>
            <w:proofErr w:type="gramStart"/>
            <w:r w:rsidRPr="002512BE">
              <w:rPr>
                <w:rFonts w:cs="Times New Roman"/>
                <w:color w:val="000000"/>
                <w:sz w:val="16"/>
                <w:szCs w:val="16"/>
                <w:lang w:eastAsia="en-AU"/>
              </w:rPr>
              <w:t>Regulation</w:t>
            </w:r>
            <w:r>
              <w:rPr>
                <w:rFonts w:cs="Times New Roman"/>
                <w:color w:val="000000"/>
                <w:sz w:val="16"/>
                <w:szCs w:val="16"/>
                <w:lang w:eastAsia="en-AU"/>
              </w:rPr>
              <w:t xml:space="preserve"> (DER) were</w:t>
            </w:r>
            <w:proofErr w:type="gramEnd"/>
            <w:r>
              <w:rPr>
                <w:rFonts w:cs="Times New Roman"/>
                <w:color w:val="000000"/>
                <w:sz w:val="16"/>
                <w:szCs w:val="16"/>
                <w:lang w:eastAsia="en-AU"/>
              </w:rPr>
              <w:t xml:space="preserve"> unable to respond. Jill until recently worked for DER and provided peer review of this report. </w:t>
            </w:r>
          </w:p>
        </w:tc>
        <w:tc>
          <w:tcPr>
            <w:tcW w:w="3519" w:type="dxa"/>
            <w:tcBorders>
              <w:top w:val="nil"/>
              <w:left w:val="nil"/>
              <w:bottom w:val="single" w:sz="4" w:space="0" w:color="auto"/>
              <w:right w:val="nil"/>
            </w:tcBorders>
            <w:shd w:val="clear" w:color="000000" w:fill="FFFFFF"/>
          </w:tcPr>
          <w:p w:rsidR="00DE206C" w:rsidRPr="00DE206C" w:rsidRDefault="00DE206C" w:rsidP="00DE206C">
            <w:pPr>
              <w:spacing w:line="240" w:lineRule="auto"/>
              <w:rPr>
                <w:rFonts w:cs="Times New Roman"/>
                <w:color w:val="000000"/>
                <w:sz w:val="16"/>
                <w:szCs w:val="16"/>
                <w:lang w:eastAsia="en-AU"/>
              </w:rPr>
            </w:pPr>
            <w:r w:rsidRPr="00DE206C">
              <w:rPr>
                <w:rFonts w:cs="Times New Roman"/>
                <w:color w:val="000000"/>
                <w:sz w:val="16"/>
                <w:szCs w:val="16"/>
                <w:lang w:eastAsia="en-AU"/>
              </w:rPr>
              <w:t>The WA Government has made several amendments to the Environmental Protection (Controlled Waste) Regulations 2004 over the past few years.</w:t>
            </w:r>
            <w:r w:rsidR="00D06841">
              <w:rPr>
                <w:rFonts w:cs="Times New Roman"/>
                <w:color w:val="000000"/>
                <w:sz w:val="16"/>
                <w:szCs w:val="16"/>
                <w:lang w:eastAsia="en-AU"/>
              </w:rPr>
              <w:t xml:space="preserve"> </w:t>
            </w:r>
            <w:r w:rsidRPr="00DE206C">
              <w:rPr>
                <w:rFonts w:cs="Times New Roman"/>
                <w:color w:val="000000"/>
                <w:sz w:val="16"/>
                <w:szCs w:val="16"/>
                <w:lang w:eastAsia="en-AU"/>
              </w:rPr>
              <w:t>The main objective of these updates has been to clarify existing requirements.</w:t>
            </w:r>
            <w:r w:rsidR="00D06841">
              <w:rPr>
                <w:rFonts w:cs="Times New Roman"/>
                <w:color w:val="000000"/>
                <w:sz w:val="16"/>
                <w:szCs w:val="16"/>
                <w:lang w:eastAsia="en-AU"/>
              </w:rPr>
              <w:t xml:space="preserve"> </w:t>
            </w:r>
            <w:r w:rsidRPr="00DE206C">
              <w:rPr>
                <w:rFonts w:cs="Times New Roman"/>
                <w:color w:val="000000"/>
                <w:sz w:val="16"/>
                <w:szCs w:val="16"/>
                <w:lang w:eastAsia="en-AU"/>
              </w:rPr>
              <w:t>According to an information sheet on WA DER’s website (http://www.der.wa.gov.au/images/documents/our-services/regulatory-reform/2013_Information_for_Stakeholders_DER.pdf) WA DER intends to undertake a comprehensive review of how controlled waste is regulated in WA.</w:t>
            </w:r>
            <w:r w:rsidR="00D06841">
              <w:rPr>
                <w:rFonts w:cs="Times New Roman"/>
                <w:color w:val="000000"/>
                <w:sz w:val="16"/>
                <w:szCs w:val="16"/>
                <w:lang w:eastAsia="en-AU"/>
              </w:rPr>
              <w:t xml:space="preserve"> </w:t>
            </w:r>
            <w:r w:rsidRPr="00DE206C">
              <w:rPr>
                <w:rFonts w:cs="Times New Roman"/>
                <w:color w:val="000000"/>
                <w:sz w:val="16"/>
                <w:szCs w:val="16"/>
                <w:lang w:eastAsia="en-AU"/>
              </w:rPr>
              <w:t xml:space="preserve">If regulations are stricter, this is likely to channel more hazardous waste towards dedicated facilities. The review is slated to </w:t>
            </w:r>
            <w:proofErr w:type="gramStart"/>
            <w:r w:rsidRPr="00DE206C">
              <w:rPr>
                <w:rFonts w:cs="Times New Roman"/>
                <w:color w:val="000000"/>
                <w:sz w:val="16"/>
                <w:szCs w:val="16"/>
                <w:lang w:eastAsia="en-AU"/>
              </w:rPr>
              <w:t>occur</w:t>
            </w:r>
            <w:proofErr w:type="gramEnd"/>
            <w:r w:rsidRPr="00DE206C">
              <w:rPr>
                <w:rFonts w:cs="Times New Roman"/>
                <w:color w:val="000000"/>
                <w:sz w:val="16"/>
                <w:szCs w:val="16"/>
                <w:lang w:eastAsia="en-AU"/>
              </w:rPr>
              <w:t xml:space="preserve"> “post-2014”, which presumably is anytime from now.</w:t>
            </w:r>
            <w:r w:rsidR="00D06841">
              <w:rPr>
                <w:rFonts w:cs="Times New Roman"/>
                <w:color w:val="000000"/>
                <w:sz w:val="16"/>
                <w:szCs w:val="16"/>
                <w:lang w:eastAsia="en-AU"/>
              </w:rPr>
              <w:t xml:space="preserve"> </w:t>
            </w:r>
            <w:r w:rsidRPr="00DE206C">
              <w:rPr>
                <w:rFonts w:cs="Times New Roman"/>
                <w:color w:val="000000"/>
                <w:sz w:val="16"/>
                <w:szCs w:val="16"/>
                <w:lang w:eastAsia="en-AU"/>
              </w:rPr>
              <w:t>Therefore, it is probably timely for the Australian Government to engage with the WA Government on the regulation of hazardous waste.</w:t>
            </w:r>
          </w:p>
          <w:p w:rsidR="00DE206C" w:rsidRPr="00DE206C" w:rsidRDefault="00DE206C" w:rsidP="00DE206C">
            <w:pPr>
              <w:spacing w:line="240" w:lineRule="auto"/>
              <w:rPr>
                <w:rFonts w:cs="Times New Roman"/>
                <w:color w:val="000000"/>
                <w:sz w:val="16"/>
                <w:szCs w:val="16"/>
                <w:lang w:eastAsia="en-AU"/>
              </w:rPr>
            </w:pPr>
          </w:p>
          <w:p w:rsidR="00C15276" w:rsidRPr="00816657" w:rsidRDefault="00DE206C" w:rsidP="00DE206C">
            <w:pPr>
              <w:spacing w:line="240" w:lineRule="auto"/>
              <w:rPr>
                <w:rFonts w:cs="Times New Roman"/>
                <w:color w:val="000000"/>
                <w:sz w:val="16"/>
                <w:szCs w:val="16"/>
                <w:lang w:eastAsia="en-AU"/>
              </w:rPr>
            </w:pPr>
            <w:r w:rsidRPr="00DE206C">
              <w:rPr>
                <w:rFonts w:cs="Times New Roman"/>
                <w:color w:val="000000"/>
                <w:sz w:val="16"/>
                <w:szCs w:val="16"/>
                <w:lang w:eastAsia="en-AU"/>
              </w:rPr>
              <w:t>The Waste Authority has formed a partnership with the Pilbara Development Commission to establish priorities for waste management in the Pilbara.</w:t>
            </w:r>
            <w:r w:rsidR="00D06841">
              <w:rPr>
                <w:rFonts w:cs="Times New Roman"/>
                <w:color w:val="000000"/>
                <w:sz w:val="16"/>
                <w:szCs w:val="16"/>
                <w:lang w:eastAsia="en-AU"/>
              </w:rPr>
              <w:t xml:space="preserve"> </w:t>
            </w:r>
            <w:r w:rsidRPr="00DE206C">
              <w:rPr>
                <w:rFonts w:cs="Times New Roman"/>
                <w:color w:val="000000"/>
                <w:sz w:val="16"/>
                <w:szCs w:val="16"/>
                <w:lang w:eastAsia="en-AU"/>
              </w:rPr>
              <w:t>This may include facilities for hazardous waste.</w:t>
            </w:r>
            <w:r w:rsidR="00D06841">
              <w:rPr>
                <w:rFonts w:cs="Times New Roman"/>
                <w:color w:val="000000"/>
                <w:sz w:val="16"/>
                <w:szCs w:val="16"/>
                <w:lang w:eastAsia="en-AU"/>
              </w:rPr>
              <w:t xml:space="preserve"> </w:t>
            </w:r>
            <w:r w:rsidRPr="00DE206C">
              <w:rPr>
                <w:rFonts w:cs="Times New Roman"/>
                <w:color w:val="000000"/>
                <w:sz w:val="16"/>
                <w:szCs w:val="16"/>
                <w:lang w:eastAsia="en-AU"/>
              </w:rPr>
              <w:t>http://www.wasteauthority.wa.gov.au/news/pilbara-waste-priorities/</w:t>
            </w:r>
          </w:p>
        </w:tc>
        <w:tc>
          <w:tcPr>
            <w:tcW w:w="2409" w:type="dxa"/>
            <w:tcBorders>
              <w:top w:val="nil"/>
              <w:left w:val="nil"/>
              <w:bottom w:val="single" w:sz="4" w:space="0" w:color="auto"/>
              <w:right w:val="nil"/>
            </w:tcBorders>
            <w:shd w:val="clear" w:color="000000" w:fill="FFFFFF"/>
          </w:tcPr>
          <w:p w:rsidR="00C15276" w:rsidRPr="00816657" w:rsidRDefault="00DE206C" w:rsidP="003746F8">
            <w:pPr>
              <w:spacing w:line="240" w:lineRule="auto"/>
              <w:rPr>
                <w:rFonts w:cs="Times New Roman"/>
                <w:color w:val="000000"/>
                <w:sz w:val="16"/>
                <w:szCs w:val="16"/>
                <w:lang w:eastAsia="en-AU"/>
              </w:rPr>
            </w:pPr>
            <w:r w:rsidRPr="00DE206C">
              <w:rPr>
                <w:rFonts w:cs="Times New Roman"/>
                <w:color w:val="000000"/>
                <w:sz w:val="16"/>
                <w:szCs w:val="16"/>
                <w:lang w:eastAsia="en-AU"/>
              </w:rPr>
              <w:t>The largest risk appears to be a shortage in Class IV landfill capacity.</w:t>
            </w:r>
            <w:r w:rsidR="00D06841">
              <w:rPr>
                <w:rFonts w:cs="Times New Roman"/>
                <w:color w:val="000000"/>
                <w:sz w:val="16"/>
                <w:szCs w:val="16"/>
                <w:lang w:eastAsia="en-AU"/>
              </w:rPr>
              <w:t xml:space="preserve"> </w:t>
            </w:r>
            <w:r w:rsidRPr="00DE206C">
              <w:rPr>
                <w:rFonts w:cs="Times New Roman"/>
                <w:color w:val="000000"/>
                <w:sz w:val="16"/>
                <w:szCs w:val="16"/>
                <w:lang w:eastAsia="en-AU"/>
              </w:rPr>
              <w:t>There is currently one Class IV landfill cell in the State, and it is located in Perth.</w:t>
            </w:r>
            <w:r w:rsidR="00D06841">
              <w:rPr>
                <w:rFonts w:cs="Times New Roman"/>
                <w:color w:val="000000"/>
                <w:sz w:val="16"/>
                <w:szCs w:val="16"/>
                <w:lang w:eastAsia="en-AU"/>
              </w:rPr>
              <w:t xml:space="preserve"> </w:t>
            </w:r>
            <w:r w:rsidRPr="00DE206C">
              <w:rPr>
                <w:rFonts w:cs="Times New Roman"/>
                <w:color w:val="000000"/>
                <w:sz w:val="16"/>
                <w:szCs w:val="16"/>
                <w:lang w:eastAsia="en-AU"/>
              </w:rPr>
              <w:t>This is not convenient when the waste is generated a long way from the metropolitan area.</w:t>
            </w:r>
            <w:r w:rsidR="00D06841">
              <w:rPr>
                <w:rFonts w:cs="Times New Roman"/>
                <w:color w:val="000000"/>
                <w:sz w:val="16"/>
                <w:szCs w:val="16"/>
                <w:lang w:eastAsia="en-AU"/>
              </w:rPr>
              <w:t xml:space="preserve"> </w:t>
            </w:r>
            <w:r w:rsidRPr="00DE206C">
              <w:rPr>
                <w:rFonts w:cs="Times New Roman"/>
                <w:color w:val="000000"/>
                <w:sz w:val="16"/>
                <w:szCs w:val="16"/>
                <w:lang w:eastAsia="en-AU"/>
              </w:rPr>
              <w:t>In addition, the current operators, EMRC, are not enthusiastic owners.</w:t>
            </w:r>
            <w:r w:rsidR="00D06841">
              <w:rPr>
                <w:rFonts w:cs="Times New Roman"/>
                <w:color w:val="000000"/>
                <w:sz w:val="16"/>
                <w:szCs w:val="16"/>
                <w:lang w:eastAsia="en-AU"/>
              </w:rPr>
              <w:t xml:space="preserve"> </w:t>
            </w:r>
            <w:r w:rsidRPr="00DE206C">
              <w:rPr>
                <w:rFonts w:cs="Times New Roman"/>
                <w:color w:val="000000"/>
                <w:sz w:val="16"/>
                <w:szCs w:val="16"/>
                <w:lang w:eastAsia="en-AU"/>
              </w:rPr>
              <w:t>In the event that the cell closes, or a new one is not constructed when the current cell is full, then WA would be without its main disposal route for hazardous waste.</w:t>
            </w:r>
            <w:r w:rsidR="00D06841">
              <w:rPr>
                <w:rFonts w:cs="Times New Roman"/>
                <w:color w:val="000000"/>
                <w:sz w:val="16"/>
                <w:szCs w:val="16"/>
                <w:lang w:eastAsia="en-AU"/>
              </w:rPr>
              <w:t xml:space="preserve"> </w:t>
            </w:r>
          </w:p>
        </w:tc>
        <w:tc>
          <w:tcPr>
            <w:tcW w:w="2013" w:type="dxa"/>
            <w:tcBorders>
              <w:top w:val="nil"/>
              <w:left w:val="nil"/>
              <w:bottom w:val="single" w:sz="4" w:space="0" w:color="auto"/>
              <w:right w:val="nil"/>
            </w:tcBorders>
            <w:shd w:val="clear" w:color="000000" w:fill="FFFFFF"/>
          </w:tcPr>
          <w:p w:rsidR="00DE206C" w:rsidRPr="00DE206C" w:rsidRDefault="00DE206C" w:rsidP="00DE206C">
            <w:pPr>
              <w:spacing w:line="240" w:lineRule="auto"/>
              <w:rPr>
                <w:rFonts w:cs="Times New Roman"/>
                <w:color w:val="000000"/>
                <w:sz w:val="16"/>
                <w:szCs w:val="16"/>
                <w:lang w:eastAsia="en-AU"/>
              </w:rPr>
            </w:pPr>
            <w:r w:rsidRPr="00DE206C">
              <w:rPr>
                <w:rFonts w:cs="Times New Roman"/>
                <w:color w:val="000000"/>
                <w:sz w:val="16"/>
                <w:szCs w:val="16"/>
                <w:lang w:eastAsia="en-AU"/>
              </w:rPr>
              <w:t xml:space="preserve">The only report I am aware of is the waste generation in the Pilbara report prepared by Talis: http://www.wasteauthority.wa.gov.au/news/pilbara-waste-priorities/ </w:t>
            </w:r>
          </w:p>
          <w:p w:rsidR="00C15276" w:rsidRPr="00816657" w:rsidRDefault="00DE206C" w:rsidP="00DE206C">
            <w:pPr>
              <w:spacing w:line="240" w:lineRule="auto"/>
              <w:rPr>
                <w:rFonts w:cs="Times New Roman"/>
                <w:color w:val="000000"/>
                <w:sz w:val="16"/>
                <w:szCs w:val="16"/>
                <w:lang w:eastAsia="en-AU"/>
              </w:rPr>
            </w:pPr>
            <w:r w:rsidRPr="00DE206C">
              <w:rPr>
                <w:rFonts w:cs="Times New Roman"/>
                <w:color w:val="000000"/>
                <w:sz w:val="16"/>
                <w:szCs w:val="16"/>
                <w:lang w:eastAsia="en-AU"/>
              </w:rPr>
              <w:t>As you would be aware, the current controlled waste tracking system is not well suited to extracted information on the net generation of waste.</w:t>
            </w:r>
            <w:r w:rsidR="00D06841">
              <w:rPr>
                <w:rFonts w:cs="Times New Roman"/>
                <w:color w:val="000000"/>
                <w:sz w:val="16"/>
                <w:szCs w:val="16"/>
                <w:lang w:eastAsia="en-AU"/>
              </w:rPr>
              <w:t xml:space="preserve"> </w:t>
            </w:r>
          </w:p>
        </w:tc>
        <w:tc>
          <w:tcPr>
            <w:tcW w:w="2013" w:type="dxa"/>
            <w:tcBorders>
              <w:top w:val="nil"/>
              <w:left w:val="nil"/>
              <w:bottom w:val="single" w:sz="4" w:space="0" w:color="auto"/>
              <w:right w:val="nil"/>
            </w:tcBorders>
            <w:shd w:val="clear" w:color="000000" w:fill="FFFFFF"/>
          </w:tcPr>
          <w:p w:rsidR="00C15276" w:rsidRPr="00816657" w:rsidRDefault="00DE206C" w:rsidP="003746F8">
            <w:pPr>
              <w:spacing w:line="240" w:lineRule="auto"/>
              <w:rPr>
                <w:rFonts w:cs="Times New Roman"/>
                <w:color w:val="000000"/>
                <w:sz w:val="16"/>
                <w:szCs w:val="16"/>
                <w:lang w:eastAsia="en-AU"/>
              </w:rPr>
            </w:pPr>
            <w:r w:rsidRPr="00DE206C">
              <w:rPr>
                <w:rFonts w:cs="Times New Roman"/>
                <w:color w:val="000000"/>
                <w:sz w:val="16"/>
                <w:szCs w:val="16"/>
                <w:lang w:eastAsia="en-AU"/>
              </w:rPr>
              <w:t>With the easing of the mining boom, there may be less generation in certain types of hazardous waste.</w:t>
            </w:r>
            <w:r w:rsidR="00D06841">
              <w:rPr>
                <w:rFonts w:cs="Times New Roman"/>
                <w:color w:val="000000"/>
                <w:sz w:val="16"/>
                <w:szCs w:val="16"/>
                <w:lang w:eastAsia="en-AU"/>
              </w:rPr>
              <w:t xml:space="preserve"> </w:t>
            </w:r>
            <w:r w:rsidRPr="00DE206C">
              <w:rPr>
                <w:rFonts w:cs="Times New Roman"/>
                <w:color w:val="000000"/>
                <w:sz w:val="16"/>
                <w:szCs w:val="16"/>
                <w:lang w:eastAsia="en-AU"/>
              </w:rPr>
              <w:t>However, that is extremely difficult to predict.</w:t>
            </w:r>
          </w:p>
        </w:tc>
        <w:tc>
          <w:tcPr>
            <w:tcW w:w="2013" w:type="dxa"/>
            <w:tcBorders>
              <w:top w:val="nil"/>
              <w:left w:val="nil"/>
              <w:bottom w:val="single" w:sz="4" w:space="0" w:color="auto"/>
              <w:right w:val="nil"/>
            </w:tcBorders>
            <w:shd w:val="clear" w:color="000000" w:fill="FFFFFF"/>
          </w:tcPr>
          <w:p w:rsidR="00C15276" w:rsidRPr="00816657" w:rsidRDefault="00DE206C" w:rsidP="003746F8">
            <w:pPr>
              <w:spacing w:line="240" w:lineRule="auto"/>
              <w:rPr>
                <w:rFonts w:cs="Times New Roman"/>
                <w:color w:val="000000"/>
                <w:sz w:val="16"/>
                <w:szCs w:val="16"/>
                <w:lang w:eastAsia="en-AU"/>
              </w:rPr>
            </w:pPr>
            <w:r w:rsidRPr="00DE206C">
              <w:rPr>
                <w:rFonts w:cs="Times New Roman"/>
                <w:color w:val="000000"/>
                <w:sz w:val="16"/>
                <w:szCs w:val="16"/>
                <w:lang w:eastAsia="en-AU"/>
              </w:rPr>
              <w:t>Distance is a major issue for waste management in WA.</w:t>
            </w:r>
            <w:r w:rsidR="00D06841">
              <w:rPr>
                <w:rFonts w:cs="Times New Roman"/>
                <w:color w:val="000000"/>
                <w:sz w:val="16"/>
                <w:szCs w:val="16"/>
                <w:lang w:eastAsia="en-AU"/>
              </w:rPr>
              <w:t xml:space="preserve"> </w:t>
            </w:r>
            <w:r w:rsidRPr="00DE206C">
              <w:rPr>
                <w:rFonts w:cs="Times New Roman"/>
                <w:color w:val="000000"/>
                <w:sz w:val="16"/>
                <w:szCs w:val="16"/>
                <w:lang w:eastAsia="en-AU"/>
              </w:rPr>
              <w:t>In particular, a considerable amount of hazardous waste and hazardous waste packaging is generated a long way from the metropolitan area.</w:t>
            </w:r>
            <w:r w:rsidR="00D06841">
              <w:rPr>
                <w:rFonts w:cs="Times New Roman"/>
                <w:color w:val="000000"/>
                <w:sz w:val="16"/>
                <w:szCs w:val="16"/>
                <w:lang w:eastAsia="en-AU"/>
              </w:rPr>
              <w:t xml:space="preserve"> </w:t>
            </w:r>
            <w:r w:rsidRPr="00DE206C">
              <w:rPr>
                <w:rFonts w:cs="Times New Roman"/>
                <w:color w:val="000000"/>
                <w:sz w:val="16"/>
                <w:szCs w:val="16"/>
                <w:lang w:eastAsia="en-AU"/>
              </w:rPr>
              <w:t>Therefore, it is expensive to transport waste to the single facilities available for hazardous waste.</w:t>
            </w:r>
            <w:r w:rsidR="00D06841">
              <w:rPr>
                <w:rFonts w:cs="Times New Roman"/>
                <w:color w:val="000000"/>
                <w:sz w:val="16"/>
                <w:szCs w:val="16"/>
                <w:lang w:eastAsia="en-AU"/>
              </w:rPr>
              <w:t xml:space="preserve"> </w:t>
            </w:r>
            <w:r w:rsidRPr="00DE206C">
              <w:rPr>
                <w:rFonts w:cs="Times New Roman"/>
                <w:color w:val="000000"/>
                <w:sz w:val="16"/>
                <w:szCs w:val="16"/>
                <w:lang w:eastAsia="en-AU"/>
              </w:rPr>
              <w:t>This provides a strong incentive to find alternative disposal routes, or to stockpile the waste onsite.</w:t>
            </w:r>
          </w:p>
        </w:tc>
        <w:tc>
          <w:tcPr>
            <w:tcW w:w="2013" w:type="dxa"/>
            <w:tcBorders>
              <w:top w:val="nil"/>
              <w:left w:val="nil"/>
              <w:bottom w:val="single" w:sz="4" w:space="0" w:color="auto"/>
              <w:right w:val="nil"/>
            </w:tcBorders>
            <w:shd w:val="clear" w:color="000000" w:fill="FFFFFF"/>
          </w:tcPr>
          <w:p w:rsidR="00C15276" w:rsidRPr="00816657" w:rsidRDefault="00DE206C" w:rsidP="003746F8">
            <w:pPr>
              <w:spacing w:line="240" w:lineRule="auto"/>
              <w:rPr>
                <w:rFonts w:cs="Times New Roman"/>
                <w:color w:val="000000"/>
                <w:sz w:val="16"/>
                <w:szCs w:val="16"/>
                <w:lang w:eastAsia="en-AU"/>
              </w:rPr>
            </w:pPr>
            <w:r w:rsidRPr="00DE206C">
              <w:rPr>
                <w:rFonts w:cs="Times New Roman"/>
                <w:color w:val="000000"/>
                <w:sz w:val="16"/>
                <w:szCs w:val="16"/>
                <w:lang w:eastAsia="en-AU"/>
              </w:rPr>
              <w:t>It appears that WA is not the only jurisdiction that does not have accurate data on hazardous waste generation and treatment.</w:t>
            </w:r>
            <w:r w:rsidR="00D06841">
              <w:rPr>
                <w:rFonts w:cs="Times New Roman"/>
                <w:color w:val="000000"/>
                <w:sz w:val="16"/>
                <w:szCs w:val="16"/>
                <w:lang w:eastAsia="en-AU"/>
              </w:rPr>
              <w:t xml:space="preserve"> </w:t>
            </w:r>
            <w:r w:rsidRPr="00DE206C">
              <w:rPr>
                <w:rFonts w:cs="Times New Roman"/>
                <w:color w:val="000000"/>
                <w:sz w:val="16"/>
                <w:szCs w:val="16"/>
                <w:lang w:eastAsia="en-AU"/>
              </w:rPr>
              <w:t>It would be helpful if the AG could facilitate better data collection and management on hazardous waste.</w:t>
            </w:r>
          </w:p>
        </w:tc>
      </w:tr>
    </w:tbl>
    <w:p w:rsidR="00A70DAE" w:rsidRPr="00816657" w:rsidRDefault="00A70DAE" w:rsidP="00DD4ED8">
      <w:pPr>
        <w:pStyle w:val="AppendixHeading1"/>
        <w:ind w:left="851"/>
        <w:sectPr w:rsidR="00A70DAE" w:rsidRPr="00816657" w:rsidSect="00A70DAE">
          <w:headerReference w:type="even" r:id="rId245"/>
          <w:footerReference w:type="even" r:id="rId246"/>
          <w:footerReference w:type="default" r:id="rId247"/>
          <w:headerReference w:type="first" r:id="rId248"/>
          <w:footerReference w:type="first" r:id="rId249"/>
          <w:pgSz w:w="16840" w:h="11907" w:orient="landscape" w:code="9"/>
          <w:pgMar w:top="1304" w:right="1531" w:bottom="1077" w:left="1417" w:header="709" w:footer="709" w:gutter="0"/>
          <w:cols w:space="708"/>
          <w:docGrid w:linePitch="360"/>
        </w:sectPr>
      </w:pPr>
    </w:p>
    <w:p w:rsidR="000C30C7" w:rsidRPr="00816657" w:rsidRDefault="00F775AB" w:rsidP="00DD4ED8">
      <w:pPr>
        <w:pStyle w:val="AppendixHeading1"/>
        <w:ind w:left="851"/>
      </w:pPr>
      <w:bookmarkStart w:id="475" w:name="_Ref408325963"/>
      <w:bookmarkStart w:id="476" w:name="_Toc425849212"/>
      <w:r>
        <w:lastRenderedPageBreak/>
        <w:t>Tracking system d</w:t>
      </w:r>
      <w:r w:rsidR="00E067EE" w:rsidRPr="00816657">
        <w:t>ata challenges</w:t>
      </w:r>
      <w:bookmarkEnd w:id="474"/>
      <w:bookmarkEnd w:id="475"/>
      <w:bookmarkEnd w:id="476"/>
    </w:p>
    <w:p w:rsidR="002D2D6C" w:rsidRPr="00816657" w:rsidRDefault="00476B2E" w:rsidP="002D2D6C">
      <w:pPr>
        <w:pStyle w:val="BodyText"/>
      </w:pPr>
      <w:bookmarkStart w:id="477" w:name="Summary"/>
      <w:bookmarkEnd w:id="477"/>
      <w:r w:rsidRPr="00816657">
        <w:t>This report</w:t>
      </w:r>
      <w:r w:rsidR="002D2D6C" w:rsidRPr="00816657">
        <w:t xml:space="preserve"> involved an unprecedented collection, compilation and assessment of hazardous waste data in Australia. </w:t>
      </w:r>
      <w:r w:rsidRPr="00816657">
        <w:t>As flagged in</w:t>
      </w:r>
      <w:r w:rsidR="00CA44F7" w:rsidRPr="00816657">
        <w:t xml:space="preserve"> </w:t>
      </w:r>
      <w:r w:rsidR="006D07F5" w:rsidRPr="00816657">
        <w:fldChar w:fldCharType="begin"/>
      </w:r>
      <w:r w:rsidR="00CA44F7" w:rsidRPr="00816657">
        <w:instrText xml:space="preserve"> REF _Ref409184938 \h </w:instrText>
      </w:r>
      <w:r w:rsidR="006D07F5" w:rsidRPr="00816657">
        <w:fldChar w:fldCharType="separate"/>
      </w:r>
      <w:r w:rsidR="002F3000" w:rsidRPr="00816657">
        <w:t xml:space="preserve">Table </w:t>
      </w:r>
      <w:r w:rsidR="002F3000">
        <w:rPr>
          <w:noProof/>
        </w:rPr>
        <w:t>5</w:t>
      </w:r>
      <w:r w:rsidR="006D07F5" w:rsidRPr="00816657">
        <w:fldChar w:fldCharType="end"/>
      </w:r>
      <w:r w:rsidRPr="00816657">
        <w:t>, this appendix</w:t>
      </w:r>
      <w:r w:rsidR="002D2D6C" w:rsidRPr="00816657">
        <w:t xml:space="preserve"> explores some of the </w:t>
      </w:r>
      <w:r w:rsidRPr="00816657">
        <w:t>challenges faced during</w:t>
      </w:r>
      <w:r w:rsidR="002D2D6C" w:rsidRPr="00816657">
        <w:t xml:space="preserve"> the collection, collation and analysis process.</w:t>
      </w:r>
      <w:r w:rsidRPr="00816657">
        <w:t xml:space="preserve"> The issues covered are:</w:t>
      </w:r>
    </w:p>
    <w:p w:rsidR="002D2D6C" w:rsidRPr="00816657" w:rsidRDefault="00D26DFF" w:rsidP="006A425C">
      <w:pPr>
        <w:pStyle w:val="ListNumber"/>
        <w:numPr>
          <w:ilvl w:val="0"/>
          <w:numId w:val="10"/>
        </w:numPr>
      </w:pPr>
      <w:r w:rsidRPr="00816657">
        <w:t>Differences in the methods used by jurisdictions to track and classify waste types</w:t>
      </w:r>
    </w:p>
    <w:p w:rsidR="002D2D6C" w:rsidRPr="00816657" w:rsidRDefault="0040603D" w:rsidP="006A425C">
      <w:pPr>
        <w:pStyle w:val="ListNumber"/>
        <w:numPr>
          <w:ilvl w:val="0"/>
          <w:numId w:val="10"/>
        </w:numPr>
      </w:pPr>
      <w:r w:rsidRPr="00816657">
        <w:rPr>
          <w:szCs w:val="20"/>
        </w:rPr>
        <w:t>Multiple counting of waste within the data sets when waste moves between more than one site</w:t>
      </w:r>
    </w:p>
    <w:p w:rsidR="002D2D6C" w:rsidRPr="00816657" w:rsidRDefault="0040603D" w:rsidP="006A425C">
      <w:pPr>
        <w:pStyle w:val="ListNumber"/>
        <w:numPr>
          <w:ilvl w:val="0"/>
          <w:numId w:val="10"/>
        </w:numPr>
      </w:pPr>
      <w:r w:rsidRPr="00816657">
        <w:rPr>
          <w:szCs w:val="20"/>
        </w:rPr>
        <w:t>Potential storage release spikes (which undermine the interpretation of trends)</w:t>
      </w:r>
    </w:p>
    <w:p w:rsidR="002D2D6C" w:rsidRPr="00816657" w:rsidRDefault="008705CE" w:rsidP="006A425C">
      <w:pPr>
        <w:pStyle w:val="ListNumber"/>
        <w:numPr>
          <w:ilvl w:val="0"/>
          <w:numId w:val="10"/>
        </w:numPr>
      </w:pPr>
      <w:r w:rsidRPr="00816657">
        <w:rPr>
          <w:szCs w:val="20"/>
        </w:rPr>
        <w:t>How to deal with on-site waste disposal</w:t>
      </w:r>
    </w:p>
    <w:p w:rsidR="00B551E6" w:rsidRPr="00816657" w:rsidRDefault="0040603D" w:rsidP="006A425C">
      <w:pPr>
        <w:pStyle w:val="ListNumber"/>
        <w:numPr>
          <w:ilvl w:val="0"/>
          <w:numId w:val="10"/>
        </w:numPr>
      </w:pPr>
      <w:r w:rsidRPr="00816657">
        <w:rPr>
          <w:szCs w:val="20"/>
        </w:rPr>
        <w:t>Differences in measurement methods (mass, volume, numbers of items)</w:t>
      </w:r>
    </w:p>
    <w:p w:rsidR="00476B2E" w:rsidRPr="00816657" w:rsidRDefault="00476B2E" w:rsidP="002D2D6C">
      <w:pPr>
        <w:pStyle w:val="BodyText"/>
      </w:pPr>
    </w:p>
    <w:p w:rsidR="002D2D6C" w:rsidRPr="00816657" w:rsidRDefault="006B4203" w:rsidP="006B4203">
      <w:pPr>
        <w:pStyle w:val="Heading3"/>
        <w:tabs>
          <w:tab w:val="left" w:pos="426"/>
        </w:tabs>
      </w:pPr>
      <w:r w:rsidRPr="00816657">
        <w:t>1.</w:t>
      </w:r>
      <w:r w:rsidRPr="00816657">
        <w:tab/>
      </w:r>
      <w:r w:rsidR="0040603D" w:rsidRPr="00816657">
        <w:t>Differences in the methods used by jurisdictions to track and classify waste types</w:t>
      </w:r>
    </w:p>
    <w:p w:rsidR="002D2D6C" w:rsidRPr="00816657" w:rsidRDefault="002D2D6C" w:rsidP="002D2D6C">
      <w:pPr>
        <w:pStyle w:val="BodyText"/>
      </w:pPr>
      <w:r w:rsidRPr="00816657">
        <w:t xml:space="preserve">For the most part Australian states and territories classify hazardous wastes similar to those adopted by the NEPM. </w:t>
      </w:r>
      <w:r w:rsidR="008239F6" w:rsidRPr="00816657">
        <w:t xml:space="preserve">However, there are many instances </w:t>
      </w:r>
      <w:r w:rsidRPr="00816657">
        <w:t xml:space="preserve">where the classifications vary from NEPM descriptions, </w:t>
      </w:r>
      <w:r w:rsidR="008239F6" w:rsidRPr="00816657">
        <w:t>making</w:t>
      </w:r>
      <w:r w:rsidRPr="00816657">
        <w:t xml:space="preserve"> it difficult to match corresponding waste types across jurisdictions. </w:t>
      </w:r>
      <w:r w:rsidR="008239F6" w:rsidRPr="00816657">
        <w:t>In addition</w:t>
      </w:r>
      <w:r w:rsidRPr="00816657">
        <w:t xml:space="preserve">, there are </w:t>
      </w:r>
      <w:r w:rsidR="008239F6" w:rsidRPr="00816657">
        <w:t xml:space="preserve">there are </w:t>
      </w:r>
      <w:r w:rsidRPr="00816657">
        <w:t xml:space="preserve">discrepancies </w:t>
      </w:r>
      <w:r w:rsidR="008239F6" w:rsidRPr="00816657">
        <w:t xml:space="preserve">in relation to </w:t>
      </w:r>
      <w:r w:rsidRPr="00816657">
        <w:t xml:space="preserve">the wastes that are tracked or only tracked in certain circumstances (such as when transported across interstate borders). </w:t>
      </w:r>
    </w:p>
    <w:p w:rsidR="002D2D6C" w:rsidRPr="00816657" w:rsidRDefault="002D2D6C" w:rsidP="002D2D6C">
      <w:pPr>
        <w:pStyle w:val="BodyText"/>
        <w:rPr>
          <w:b/>
        </w:rPr>
      </w:pPr>
    </w:p>
    <w:p w:rsidR="002D2D6C" w:rsidRPr="00816657" w:rsidRDefault="002D2D6C" w:rsidP="006B4203">
      <w:pPr>
        <w:pStyle w:val="BodyText"/>
        <w:spacing w:after="120"/>
        <w:rPr>
          <w:i/>
        </w:rPr>
      </w:pPr>
      <w:bookmarkStart w:id="478" w:name="_Toc408308740"/>
      <w:r w:rsidRPr="00816657">
        <w:rPr>
          <w:i/>
        </w:rPr>
        <w:t>Why is this problematic?</w:t>
      </w:r>
      <w:bookmarkEnd w:id="478"/>
    </w:p>
    <w:p w:rsidR="002D2D6C" w:rsidRPr="00816657" w:rsidRDefault="002D2D6C" w:rsidP="002D2D6C">
      <w:pPr>
        <w:pStyle w:val="BodyText"/>
      </w:pPr>
      <w:r w:rsidRPr="00816657">
        <w:t xml:space="preserve">These inconsistencies in waste classification, definition, regulation, waste tracking systems, management priorities and the resourcing of hazardous waste management have a marked effect on </w:t>
      </w:r>
      <w:r w:rsidR="00FD6921" w:rsidRPr="00816657">
        <w:t>the</w:t>
      </w:r>
      <w:r w:rsidRPr="00816657">
        <w:t xml:space="preserve"> quality</w:t>
      </w:r>
      <w:r w:rsidR="00FD6921" w:rsidRPr="00816657">
        <w:t xml:space="preserve"> of a national data collation</w:t>
      </w:r>
      <w:r w:rsidRPr="00816657">
        <w:t>. Historically evolved differences make data collection, collation and comparison difficult.</w:t>
      </w:r>
    </w:p>
    <w:p w:rsidR="002D2D6C" w:rsidRPr="00816657" w:rsidRDefault="002D2D6C" w:rsidP="002D2D6C">
      <w:pPr>
        <w:pStyle w:val="BodyText"/>
      </w:pPr>
    </w:p>
    <w:p w:rsidR="002D2D6C" w:rsidRPr="00816657" w:rsidRDefault="002D2D6C" w:rsidP="006B4203">
      <w:pPr>
        <w:pStyle w:val="BodyText"/>
        <w:spacing w:after="120"/>
        <w:rPr>
          <w:i/>
        </w:rPr>
      </w:pPr>
      <w:bookmarkStart w:id="479" w:name="_Toc408308741"/>
      <w:r w:rsidRPr="00816657">
        <w:rPr>
          <w:i/>
        </w:rPr>
        <w:t>What is the scale of the issue?</w:t>
      </w:r>
      <w:bookmarkEnd w:id="479"/>
    </w:p>
    <w:p w:rsidR="002D2D6C" w:rsidRPr="00816657" w:rsidRDefault="002D2D6C" w:rsidP="002D2D6C">
      <w:pPr>
        <w:pStyle w:val="BodyText"/>
      </w:pPr>
      <w:r w:rsidRPr="00816657">
        <w:t xml:space="preserve">A detailed account of these jurisdictional differences is contained </w:t>
      </w:r>
      <w:r w:rsidR="00FD6921" w:rsidRPr="00816657">
        <w:t>in</w:t>
      </w:r>
      <w:r w:rsidRPr="00816657">
        <w:t xml:space="preserve"> </w:t>
      </w:r>
      <w:r w:rsidRPr="00816657">
        <w:rPr>
          <w:i/>
        </w:rPr>
        <w:t>Improving Australia's reporting on hazardous waste under the Basel Convention</w:t>
      </w:r>
      <w:r w:rsidRPr="00816657">
        <w:t xml:space="preserve">, Appendix </w:t>
      </w:r>
      <w:proofErr w:type="gramStart"/>
      <w:r w:rsidRPr="00816657">
        <w:t>A</w:t>
      </w:r>
      <w:proofErr w:type="gramEnd"/>
      <w:r w:rsidRPr="00816657">
        <w:t xml:space="preserve"> (</w:t>
      </w:r>
      <w:r w:rsidRPr="00816657">
        <w:rPr>
          <w:i/>
        </w:rPr>
        <w:t>Reporting hazardous waste under the Basel Convention - guidance to states and territories</w:t>
      </w:r>
      <w:r w:rsidRPr="00816657">
        <w:t>).</w:t>
      </w:r>
      <w:r w:rsidR="00FD6921" w:rsidRPr="00816657">
        <w:t xml:space="preserve"> </w:t>
      </w:r>
      <w:r w:rsidRPr="00816657">
        <w:t xml:space="preserve">The Australian Capital Territory, Northern Territory and Tasmania do not currently have a tracking system in place. </w:t>
      </w:r>
      <w:r w:rsidR="006D07F5" w:rsidRPr="00816657">
        <w:fldChar w:fldCharType="begin"/>
      </w:r>
      <w:r w:rsidR="00F30190" w:rsidRPr="00816657">
        <w:instrText xml:space="preserve"> REF _Ref408404780 \h </w:instrText>
      </w:r>
      <w:r w:rsidR="006D07F5" w:rsidRPr="00816657">
        <w:fldChar w:fldCharType="separate"/>
      </w:r>
      <w:r w:rsidR="002F3000" w:rsidRPr="00816657">
        <w:t xml:space="preserve">Figure </w:t>
      </w:r>
      <w:r w:rsidR="002F3000">
        <w:rPr>
          <w:noProof/>
        </w:rPr>
        <w:t>42</w:t>
      </w:r>
      <w:r w:rsidR="006D07F5" w:rsidRPr="00816657">
        <w:fldChar w:fldCharType="end"/>
      </w:r>
      <w:r w:rsidR="00FE2403" w:rsidRPr="00816657">
        <w:t xml:space="preserve"> compares what the jurisdictions track.</w:t>
      </w:r>
      <w:r w:rsidR="00F30190" w:rsidRPr="00816657">
        <w:t xml:space="preserve"> </w:t>
      </w:r>
    </w:p>
    <w:p w:rsidR="00FD6921" w:rsidRPr="00816657" w:rsidRDefault="00FD6921" w:rsidP="002D2D6C">
      <w:pPr>
        <w:spacing w:line="240" w:lineRule="auto"/>
      </w:pPr>
    </w:p>
    <w:p w:rsidR="00FD6921" w:rsidRPr="00816657" w:rsidRDefault="00FD6921" w:rsidP="006B4203">
      <w:pPr>
        <w:pStyle w:val="BodyText"/>
        <w:spacing w:after="120"/>
        <w:rPr>
          <w:i/>
        </w:rPr>
      </w:pPr>
      <w:bookmarkStart w:id="480" w:name="_Toc408308743"/>
      <w:r w:rsidRPr="00816657">
        <w:rPr>
          <w:i/>
        </w:rPr>
        <w:t>How have we dealt with this issue</w:t>
      </w:r>
      <w:bookmarkEnd w:id="480"/>
      <w:r w:rsidR="006B4203" w:rsidRPr="00816657">
        <w:rPr>
          <w:i/>
        </w:rPr>
        <w:t>?</w:t>
      </w:r>
    </w:p>
    <w:p w:rsidR="00FD6921" w:rsidRPr="00816657" w:rsidRDefault="00FD6921" w:rsidP="006B4203">
      <w:pPr>
        <w:pStyle w:val="BodyText"/>
      </w:pPr>
      <w:r w:rsidRPr="00816657">
        <w:t xml:space="preserve">We </w:t>
      </w:r>
      <w:r w:rsidR="006B4203" w:rsidRPr="00816657">
        <w:t>applied</w:t>
      </w:r>
      <w:r w:rsidRPr="00816657">
        <w:t xml:space="preserve"> </w:t>
      </w:r>
      <w:r w:rsidR="006B4203" w:rsidRPr="00816657">
        <w:t xml:space="preserve">a mapping procedure developed in the </w:t>
      </w:r>
      <w:r w:rsidR="006B4203" w:rsidRPr="00816657">
        <w:rPr>
          <w:i/>
        </w:rPr>
        <w:t>Improving Australia's reporting on hazardous waste under the Basel Convention</w:t>
      </w:r>
      <w:r w:rsidR="006B4203" w:rsidRPr="00816657">
        <w:t xml:space="preserve"> project. This procedure translates jurisdictionally classified wastes into a common framework based on NEPM 75 codes and fills gaps in jurisdictional waste reporting through estimation methods also documented in this report package.</w:t>
      </w:r>
    </w:p>
    <w:p w:rsidR="002D2D6C" w:rsidRPr="00816657" w:rsidRDefault="002D2D6C" w:rsidP="006B4203">
      <w:pPr>
        <w:pStyle w:val="BodyText"/>
        <w:rPr>
          <w:rFonts w:cs="Calibri"/>
          <w:b/>
          <w:color w:val="0000FF"/>
          <w:szCs w:val="20"/>
        </w:rPr>
      </w:pPr>
      <w:r w:rsidRPr="00816657">
        <w:br w:type="page"/>
      </w:r>
    </w:p>
    <w:p w:rsidR="002D2D6C" w:rsidRDefault="00457651" w:rsidP="00655F62">
      <w:pPr>
        <w:pStyle w:val="Figures"/>
      </w:pPr>
      <w:bookmarkStart w:id="481" w:name="_Ref408404780"/>
      <w:bookmarkStart w:id="482" w:name="_Ref408404772"/>
      <w:bookmarkStart w:id="483" w:name="_Toc425849260"/>
      <w:r w:rsidRPr="00012E83">
        <w:rPr>
          <w:noProof/>
          <w:lang w:eastAsia="en-AU"/>
        </w:rPr>
        <w:lastRenderedPageBreak/>
        <w:drawing>
          <wp:anchor distT="0" distB="0" distL="114300" distR="114300" simplePos="0" relativeHeight="251651584" behindDoc="0" locked="0" layoutInCell="1" allowOverlap="1">
            <wp:simplePos x="0" y="0"/>
            <wp:positionH relativeFrom="column">
              <wp:posOffset>-277495</wp:posOffset>
            </wp:positionH>
            <wp:positionV relativeFrom="paragraph">
              <wp:posOffset>281940</wp:posOffset>
            </wp:positionV>
            <wp:extent cx="6517640" cy="8614410"/>
            <wp:effectExtent l="0" t="0" r="0" b="0"/>
            <wp:wrapSquare wrapText="bothSides"/>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17640" cy="8614410"/>
                    </a:xfrm>
                    <a:prstGeom prst="rect">
                      <a:avLst/>
                    </a:prstGeom>
                  </pic:spPr>
                </pic:pic>
              </a:graphicData>
            </a:graphic>
          </wp:anchor>
        </w:drawing>
      </w:r>
      <w:r w:rsidR="002D2D6C"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42</w:t>
      </w:r>
      <w:r w:rsidR="006D07F5" w:rsidRPr="00816657">
        <w:rPr>
          <w:noProof/>
        </w:rPr>
        <w:fldChar w:fldCharType="end"/>
      </w:r>
      <w:bookmarkEnd w:id="481"/>
      <w:r w:rsidR="002D2D6C" w:rsidRPr="00816657">
        <w:t xml:space="preserve">: </w:t>
      </w:r>
      <w:r w:rsidR="002D2D6C" w:rsidRPr="00816657">
        <w:tab/>
        <w:t xml:space="preserve">Jurisdictional tracking by NEPM 75 </w:t>
      </w:r>
      <w:proofErr w:type="gramStart"/>
      <w:r w:rsidR="002D2D6C" w:rsidRPr="00816657">
        <w:t>analysis</w:t>
      </w:r>
      <w:bookmarkEnd w:id="482"/>
      <w:bookmarkEnd w:id="483"/>
      <w:proofErr w:type="gramEnd"/>
      <w:r w:rsidR="002D2D6C" w:rsidRPr="00816657">
        <w:t xml:space="preserve"> </w:t>
      </w:r>
    </w:p>
    <w:p w:rsidR="002D2D6C" w:rsidRPr="00816657" w:rsidRDefault="0098585B" w:rsidP="006B4203">
      <w:pPr>
        <w:pStyle w:val="Heading3"/>
        <w:tabs>
          <w:tab w:val="left" w:pos="426"/>
        </w:tabs>
      </w:pPr>
      <w:bookmarkStart w:id="484" w:name="_Toc408308745"/>
      <w:bookmarkStart w:id="485" w:name="_Ref409186778"/>
      <w:bookmarkStart w:id="486" w:name="_Ref409186780"/>
      <w:r w:rsidRPr="00816657">
        <w:lastRenderedPageBreak/>
        <w:t>2.</w:t>
      </w:r>
      <w:r w:rsidRPr="00816657">
        <w:tab/>
      </w:r>
      <w:r w:rsidR="002D2D6C" w:rsidRPr="00816657">
        <w:t>Multiple-counting of hazardous waste</w:t>
      </w:r>
      <w:bookmarkEnd w:id="484"/>
      <w:bookmarkEnd w:id="485"/>
      <w:bookmarkEnd w:id="486"/>
    </w:p>
    <w:p w:rsidR="002D2D6C" w:rsidRPr="00816657" w:rsidRDefault="002D2D6C" w:rsidP="002D2D6C">
      <w:pPr>
        <w:pStyle w:val="BodyText"/>
      </w:pPr>
      <w:r w:rsidRPr="00816657">
        <w:t xml:space="preserve">A given mass of hazardous waste may be counted more than once in the hazardous waste tracking data on which </w:t>
      </w:r>
      <w:r w:rsidR="0098585B" w:rsidRPr="00816657">
        <w:t>the</w:t>
      </w:r>
      <w:r w:rsidRPr="00816657">
        <w:t xml:space="preserve"> project significantly relies. </w:t>
      </w:r>
      <w:r w:rsidR="0098585B" w:rsidRPr="00816657">
        <w:t>This will lead to multiple-counting w</w:t>
      </w:r>
      <w:r w:rsidRPr="00816657">
        <w:t>here the pathway of a hazardous waste includes one or more of the following:</w:t>
      </w:r>
    </w:p>
    <w:p w:rsidR="002D2D6C" w:rsidRPr="00816657" w:rsidRDefault="002D2D6C" w:rsidP="006A425C">
      <w:pPr>
        <w:pStyle w:val="ListNumber"/>
        <w:numPr>
          <w:ilvl w:val="0"/>
          <w:numId w:val="8"/>
        </w:numPr>
      </w:pPr>
      <w:r w:rsidRPr="00816657">
        <w:t xml:space="preserve">waste </w:t>
      </w:r>
      <w:r w:rsidR="00C4513E" w:rsidRPr="00816657">
        <w:t>transfer</w:t>
      </w:r>
      <w:r w:rsidRPr="00816657">
        <w:t>, whereby a facility accepts waste then sends it unchanged to another waste company, potential with prior on-site accumulation (likely to be encompassed mainly within treatment codes R12, R13, D14)</w:t>
      </w:r>
    </w:p>
    <w:p w:rsidR="002D2D6C" w:rsidRPr="00816657" w:rsidRDefault="002D2D6C" w:rsidP="006A425C">
      <w:pPr>
        <w:pStyle w:val="ListNumber"/>
        <w:numPr>
          <w:ilvl w:val="0"/>
          <w:numId w:val="8"/>
        </w:numPr>
      </w:pPr>
      <w:r w:rsidRPr="00816657">
        <w:t>waste storage, whereby a facility accepts waste for storage but may then later send it for processing or disposal (codes D4, D12, D15)</w:t>
      </w:r>
    </w:p>
    <w:p w:rsidR="002D2D6C" w:rsidRPr="00816657" w:rsidRDefault="002D2D6C" w:rsidP="006A425C">
      <w:pPr>
        <w:pStyle w:val="ListNumber"/>
        <w:numPr>
          <w:ilvl w:val="0"/>
          <w:numId w:val="8"/>
        </w:numPr>
      </w:pPr>
      <w:proofErr w:type="gramStart"/>
      <w:r w:rsidRPr="00816657">
        <w:t>waste</w:t>
      </w:r>
      <w:proofErr w:type="gramEnd"/>
      <w:r w:rsidRPr="00816657">
        <w:t xml:space="preserve"> treatment </w:t>
      </w:r>
      <w:r w:rsidR="00920D3C" w:rsidRPr="00816657">
        <w:t>producing</w:t>
      </w:r>
      <w:r w:rsidRPr="00816657">
        <w:t xml:space="preserve"> hazardous waste that is sent for further processing or disposal, such as dewatering or addition of</w:t>
      </w:r>
      <w:r w:rsidR="00F954D8" w:rsidRPr="00816657">
        <w:t xml:space="preserve"> </w:t>
      </w:r>
      <w:r w:rsidRPr="00816657">
        <w:t>binding</w:t>
      </w:r>
      <w:r w:rsidR="00F954D8" w:rsidRPr="00816657">
        <w:t xml:space="preserve"> </w:t>
      </w:r>
      <w:r w:rsidRPr="00816657">
        <w:t>substances such as lime prior to landfilling (codes D9A, D9B, D9C).</w:t>
      </w:r>
    </w:p>
    <w:p w:rsidR="002D2D6C" w:rsidRPr="00816657" w:rsidRDefault="002D2D6C" w:rsidP="002D2D6C">
      <w:pPr>
        <w:pStyle w:val="ListNumber3"/>
      </w:pPr>
    </w:p>
    <w:p w:rsidR="0098585B" w:rsidRPr="00816657" w:rsidRDefault="0098585B" w:rsidP="0098585B">
      <w:pPr>
        <w:pStyle w:val="BodyText"/>
        <w:spacing w:after="120"/>
        <w:rPr>
          <w:i/>
        </w:rPr>
      </w:pPr>
      <w:bookmarkStart w:id="487" w:name="_Toc400456462"/>
      <w:r w:rsidRPr="00816657">
        <w:rPr>
          <w:i/>
        </w:rPr>
        <w:t>Why is this problematic?</w:t>
      </w:r>
    </w:p>
    <w:p w:rsidR="00EA6C9B" w:rsidRPr="00816657" w:rsidRDefault="00890187" w:rsidP="00EA6C9B">
      <w:pPr>
        <w:pStyle w:val="BodyText"/>
      </w:pPr>
      <w:r w:rsidRPr="00816657">
        <w:t xml:space="preserve">As discussed in Section </w:t>
      </w:r>
      <w:r w:rsidR="006D07F5" w:rsidRPr="00816657">
        <w:fldChar w:fldCharType="begin"/>
      </w:r>
      <w:r w:rsidRPr="00816657">
        <w:instrText xml:space="preserve"> REF _Ref408404160 \r \h </w:instrText>
      </w:r>
      <w:r w:rsidR="006D07F5" w:rsidRPr="00816657">
        <w:fldChar w:fldCharType="separate"/>
      </w:r>
      <w:r w:rsidR="002F3000">
        <w:t>1.2</w:t>
      </w:r>
      <w:r w:rsidR="006D07F5" w:rsidRPr="00816657">
        <w:fldChar w:fldCharType="end"/>
      </w:r>
      <w:r w:rsidRPr="00816657">
        <w:t xml:space="preserve"> (</w:t>
      </w:r>
      <w:r w:rsidRPr="00816657">
        <w:rPr>
          <w:i/>
        </w:rPr>
        <w:t>The meaning of waste ‘arising’</w:t>
      </w:r>
      <w:r w:rsidRPr="00816657">
        <w:t xml:space="preserve">), it is not necessarily problematic for this project if waste is counted more than once. This project examines infrastructure capacity and need, </w:t>
      </w:r>
      <w:r w:rsidR="00EA6C9B" w:rsidRPr="00816657">
        <w:t>and if</w:t>
      </w:r>
      <w:r w:rsidRPr="00816657">
        <w:t xml:space="preserve"> </w:t>
      </w:r>
      <w:r w:rsidR="00EA6C9B" w:rsidRPr="00816657">
        <w:t>a waste requires</w:t>
      </w:r>
      <w:r w:rsidRPr="00816657">
        <w:t xml:space="preserve"> more than once piece of hazardous waste infrastructure </w:t>
      </w:r>
      <w:r w:rsidR="00EA6C9B" w:rsidRPr="00816657">
        <w:t xml:space="preserve">it is reasonable to count the quantity more than once. </w:t>
      </w:r>
    </w:p>
    <w:p w:rsidR="00EA6C9B" w:rsidRPr="00816657" w:rsidRDefault="00EA6C9B" w:rsidP="00EA6C9B">
      <w:pPr>
        <w:pStyle w:val="BodyText"/>
      </w:pPr>
    </w:p>
    <w:p w:rsidR="00EA6C9B" w:rsidRPr="00816657" w:rsidRDefault="00EA6C9B" w:rsidP="00EA6C9B">
      <w:pPr>
        <w:pStyle w:val="BodyText"/>
      </w:pPr>
      <w:r w:rsidRPr="00816657">
        <w:t>However, multiple-counting could be problematic for developing projections to the extent that:</w:t>
      </w:r>
    </w:p>
    <w:p w:rsidR="00EA6C9B" w:rsidRPr="00816657" w:rsidRDefault="00EA6C9B" w:rsidP="00EA6C9B">
      <w:pPr>
        <w:pStyle w:val="Bullet1"/>
      </w:pPr>
      <w:r w:rsidRPr="00816657">
        <w:t xml:space="preserve">multiple counting is not associated with infrastructure </w:t>
      </w:r>
      <w:r w:rsidR="00B43931" w:rsidRPr="00816657">
        <w:t>that is the focus of</w:t>
      </w:r>
      <w:r w:rsidRPr="00816657">
        <w:t xml:space="preserve"> this project – in particular, waste transfer (codes R12, R13 and D14)</w:t>
      </w:r>
    </w:p>
    <w:p w:rsidR="002D2D6C" w:rsidRPr="00816657" w:rsidRDefault="0098585B" w:rsidP="002D2D6C">
      <w:pPr>
        <w:pStyle w:val="Bullet1"/>
      </w:pPr>
      <w:r w:rsidRPr="00816657">
        <w:t>the pathways of waste treatment may</w:t>
      </w:r>
      <w:r w:rsidR="002D2D6C" w:rsidRPr="00816657">
        <w:t xml:space="preserve"> change </w:t>
      </w:r>
      <w:r w:rsidRPr="00816657">
        <w:t>in the future</w:t>
      </w:r>
    </w:p>
    <w:p w:rsidR="00EA6C9B" w:rsidRPr="00816657" w:rsidRDefault="002D2D6C" w:rsidP="002D2D6C">
      <w:pPr>
        <w:pStyle w:val="Bullet1"/>
      </w:pPr>
      <w:r w:rsidRPr="00816657">
        <w:t>the projections rely on trends</w:t>
      </w:r>
      <w:r w:rsidR="0098585B" w:rsidRPr="00816657">
        <w:t xml:space="preserve"> that are disguised by </w:t>
      </w:r>
      <w:r w:rsidRPr="00816657">
        <w:t xml:space="preserve">significant changes </w:t>
      </w:r>
      <w:r w:rsidR="0098585B" w:rsidRPr="00816657">
        <w:t>to the pathways of waste treatment</w:t>
      </w:r>
      <w:r w:rsidR="00890187" w:rsidRPr="00816657">
        <w:t xml:space="preserve"> in the past</w:t>
      </w:r>
    </w:p>
    <w:p w:rsidR="002D2D6C" w:rsidRPr="00816657" w:rsidRDefault="00EA6C9B" w:rsidP="00EA6C9B">
      <w:pPr>
        <w:pStyle w:val="Bullet1"/>
      </w:pPr>
      <w:proofErr w:type="gramStart"/>
      <w:r w:rsidRPr="00816657">
        <w:t>users</w:t>
      </w:r>
      <w:proofErr w:type="gramEnd"/>
      <w:r w:rsidRPr="00816657">
        <w:t xml:space="preserve"> assume that the projections account for a single mass of waste (or, putting it another way, users assume that waste arising is the same as waste generation)</w:t>
      </w:r>
      <w:r w:rsidR="002D2D6C" w:rsidRPr="00816657">
        <w:t>.</w:t>
      </w:r>
    </w:p>
    <w:p w:rsidR="002D2D6C" w:rsidRPr="00816657" w:rsidRDefault="002D2D6C" w:rsidP="002D2D6C">
      <w:pPr>
        <w:pStyle w:val="BodyText"/>
      </w:pPr>
    </w:p>
    <w:p w:rsidR="002D2D6C" w:rsidRPr="00816657" w:rsidRDefault="002D2D6C" w:rsidP="002D2D6C">
      <w:pPr>
        <w:pStyle w:val="BodyText"/>
      </w:pPr>
      <w:r w:rsidRPr="00816657">
        <w:t xml:space="preserve">Multiple-counting </w:t>
      </w:r>
      <w:r w:rsidR="0098585B" w:rsidRPr="00816657">
        <w:t>is</w:t>
      </w:r>
      <w:r w:rsidRPr="00816657">
        <w:t xml:space="preserve"> also </w:t>
      </w:r>
      <w:proofErr w:type="gramStart"/>
      <w:r w:rsidRPr="00816657">
        <w:t>be</w:t>
      </w:r>
      <w:proofErr w:type="gramEnd"/>
      <w:r w:rsidRPr="00816657">
        <w:t xml:space="preserve"> problematic for reporting under the Basel Convention etc.</w:t>
      </w:r>
      <w:r w:rsidR="00EA6C9B" w:rsidRPr="00816657">
        <w:t>, which ideally would cover waste generation, rather than waste arising.</w:t>
      </w:r>
      <w:r w:rsidRPr="00816657">
        <w:t xml:space="preserve"> </w:t>
      </w:r>
    </w:p>
    <w:p w:rsidR="002D2D6C" w:rsidRPr="00816657" w:rsidRDefault="002D2D6C" w:rsidP="002D2D6C">
      <w:pPr>
        <w:pStyle w:val="BodyText"/>
      </w:pPr>
    </w:p>
    <w:p w:rsidR="002D2D6C" w:rsidRPr="00816657" w:rsidRDefault="002D2D6C" w:rsidP="0098585B">
      <w:pPr>
        <w:pStyle w:val="BodyText"/>
        <w:spacing w:after="120"/>
        <w:rPr>
          <w:i/>
        </w:rPr>
      </w:pPr>
      <w:bookmarkStart w:id="488" w:name="_Toc408308748"/>
      <w:r w:rsidRPr="00816657">
        <w:rPr>
          <w:i/>
        </w:rPr>
        <w:t>What is the scale of the issue?</w:t>
      </w:r>
      <w:bookmarkEnd w:id="488"/>
    </w:p>
    <w:p w:rsidR="00291593" w:rsidRPr="00816657" w:rsidRDefault="002D2D6C" w:rsidP="00291593">
      <w:pPr>
        <w:pStyle w:val="BodyText"/>
      </w:pPr>
      <w:r w:rsidRPr="00816657">
        <w:t>The scale of the issue is not straightforward to ascertain</w:t>
      </w:r>
      <w:r w:rsidR="00537D8A" w:rsidRPr="00816657">
        <w:t xml:space="preserve"> but some insights can be gained through analysing the data provided by the jurisdictions</w:t>
      </w:r>
      <w:r w:rsidRPr="00816657">
        <w:t>.</w:t>
      </w:r>
      <w:r w:rsidR="00291593" w:rsidRPr="00816657">
        <w:t xml:space="preserve"> </w:t>
      </w:r>
    </w:p>
    <w:p w:rsidR="00291593" w:rsidRPr="00816657" w:rsidRDefault="00291593" w:rsidP="00291593">
      <w:pPr>
        <w:pStyle w:val="BodyText"/>
      </w:pPr>
    </w:p>
    <w:p w:rsidR="002D2D6C" w:rsidRPr="00816657" w:rsidRDefault="006D07F5" w:rsidP="00C4513E">
      <w:pPr>
        <w:pStyle w:val="BodyText"/>
      </w:pPr>
      <w:r w:rsidRPr="00816657">
        <w:fldChar w:fldCharType="begin"/>
      </w:r>
      <w:r w:rsidR="00920D3C" w:rsidRPr="00816657">
        <w:instrText xml:space="preserve"> REF _Ref409190808 \h </w:instrText>
      </w:r>
      <w:r w:rsidRPr="00816657">
        <w:fldChar w:fldCharType="separate"/>
      </w:r>
      <w:r w:rsidR="002F3000" w:rsidRPr="00816657">
        <w:t xml:space="preserve">Table </w:t>
      </w:r>
      <w:r w:rsidR="002F3000">
        <w:rPr>
          <w:noProof/>
        </w:rPr>
        <w:t>67</w:t>
      </w:r>
      <w:r w:rsidRPr="00816657">
        <w:fldChar w:fldCharType="end"/>
      </w:r>
      <w:r w:rsidR="00920D3C" w:rsidRPr="00816657">
        <w:t xml:space="preserve"> </w:t>
      </w:r>
      <w:r w:rsidR="00C4513E" w:rsidRPr="00816657">
        <w:t xml:space="preserve">shows, to the extent the data supports, the proportions of waste tracked in each jurisdiction that falls in the codes listed above as </w:t>
      </w:r>
      <w:r w:rsidR="002D2D6C" w:rsidRPr="00816657">
        <w:t xml:space="preserve">likely to be associated with multiple counting. </w:t>
      </w:r>
      <w:r w:rsidR="00C4513E" w:rsidRPr="00816657">
        <w:t>The table indicates that multiple-counting is a non-trivial issue.</w:t>
      </w:r>
    </w:p>
    <w:p w:rsidR="00C4513E" w:rsidRPr="00816657" w:rsidRDefault="00C4513E" w:rsidP="00C4513E">
      <w:pPr>
        <w:pStyle w:val="BodyText"/>
      </w:pPr>
    </w:p>
    <w:p w:rsidR="00EA6C9B" w:rsidRPr="00816657" w:rsidRDefault="00EA6C9B" w:rsidP="00EA6C9B">
      <w:pPr>
        <w:pStyle w:val="BodyText"/>
        <w:spacing w:after="120"/>
        <w:rPr>
          <w:i/>
        </w:rPr>
      </w:pPr>
      <w:bookmarkStart w:id="489" w:name="_Ref408316193"/>
      <w:r w:rsidRPr="00816657">
        <w:rPr>
          <w:i/>
        </w:rPr>
        <w:t>How have we dealt with this issue?</w:t>
      </w:r>
    </w:p>
    <w:p w:rsidR="00EA6C9B" w:rsidRPr="00816657" w:rsidRDefault="00EA6C9B" w:rsidP="00EA6C9B">
      <w:pPr>
        <w:pStyle w:val="BodyText"/>
      </w:pPr>
      <w:r w:rsidRPr="00816657">
        <w:t>Of the three pathways that give rise to the risk of multiple-counting, only one (waste transfer) is not strongly associated with an infrastructure need. Furthermore, our capacity to ‘correct’ for multiple-counting is limited by the quality and quantity of available data. Our approach to the issue, therefore, was:</w:t>
      </w:r>
    </w:p>
    <w:p w:rsidR="00EA6C9B" w:rsidRPr="00816657" w:rsidRDefault="00EA6C9B" w:rsidP="006A425C">
      <w:pPr>
        <w:pStyle w:val="ListNumber"/>
        <w:numPr>
          <w:ilvl w:val="0"/>
          <w:numId w:val="9"/>
        </w:numPr>
      </w:pPr>
      <w:r w:rsidRPr="00816657">
        <w:t>exclude waste transfer data from the baseline to the extent possible (Victoria and Queensland)</w:t>
      </w:r>
    </w:p>
    <w:p w:rsidR="00EA6C9B" w:rsidRPr="00816657" w:rsidRDefault="00EA6C9B" w:rsidP="006A425C">
      <w:pPr>
        <w:pStyle w:val="ListNumber"/>
        <w:numPr>
          <w:ilvl w:val="0"/>
          <w:numId w:val="9"/>
        </w:numPr>
      </w:pPr>
      <w:r w:rsidRPr="00816657">
        <w:t>recognise and clearly communicate that our projections include multiple-counting</w:t>
      </w:r>
    </w:p>
    <w:p w:rsidR="00457651" w:rsidRDefault="00EA6C9B">
      <w:pPr>
        <w:pStyle w:val="ListNumber"/>
        <w:numPr>
          <w:ilvl w:val="0"/>
          <w:numId w:val="9"/>
        </w:numPr>
      </w:pPr>
      <w:proofErr w:type="gramStart"/>
      <w:r w:rsidRPr="00816657">
        <w:t>reduce</w:t>
      </w:r>
      <w:proofErr w:type="gramEnd"/>
      <w:r w:rsidRPr="00816657">
        <w:t xml:space="preserve"> the reliance on the data baseline and apparent trends.</w:t>
      </w:r>
    </w:p>
    <w:p w:rsidR="00457651" w:rsidRDefault="00457651" w:rsidP="007F5BD4">
      <w:pPr>
        <w:pStyle w:val="ListNumber"/>
      </w:pPr>
    </w:p>
    <w:p w:rsidR="00EA6C9B" w:rsidRDefault="00EA6C9B">
      <w:pPr>
        <w:spacing w:line="240" w:lineRule="auto"/>
        <w:rPr>
          <w:rFonts w:cs="Calibri"/>
          <w:b/>
          <w:color w:val="0000FF"/>
          <w:sz w:val="2"/>
          <w:szCs w:val="2"/>
        </w:rPr>
      </w:pPr>
    </w:p>
    <w:p w:rsidR="00457651" w:rsidRDefault="00457651">
      <w:pPr>
        <w:spacing w:line="240" w:lineRule="auto"/>
        <w:rPr>
          <w:rFonts w:cs="Calibri"/>
          <w:b/>
          <w:color w:val="0000FF"/>
          <w:sz w:val="2"/>
          <w:szCs w:val="2"/>
        </w:rPr>
      </w:pPr>
    </w:p>
    <w:p w:rsidR="00457651" w:rsidRDefault="00457651">
      <w:pPr>
        <w:spacing w:line="240" w:lineRule="auto"/>
        <w:rPr>
          <w:rFonts w:cs="Calibri"/>
          <w:b/>
          <w:color w:val="0000FF"/>
          <w:sz w:val="2"/>
          <w:szCs w:val="2"/>
        </w:rPr>
      </w:pPr>
    </w:p>
    <w:p w:rsidR="00457651" w:rsidRDefault="00457651">
      <w:pPr>
        <w:spacing w:line="240" w:lineRule="auto"/>
        <w:rPr>
          <w:rFonts w:cs="Calibri"/>
          <w:b/>
          <w:color w:val="0000FF"/>
          <w:sz w:val="2"/>
          <w:szCs w:val="2"/>
        </w:rPr>
      </w:pPr>
    </w:p>
    <w:p w:rsidR="00457651" w:rsidRDefault="00457651">
      <w:pPr>
        <w:spacing w:line="240" w:lineRule="auto"/>
        <w:rPr>
          <w:rFonts w:cs="Calibri"/>
          <w:b/>
          <w:color w:val="0000FF"/>
          <w:sz w:val="2"/>
          <w:szCs w:val="2"/>
        </w:rPr>
      </w:pPr>
    </w:p>
    <w:p w:rsidR="00457651" w:rsidRPr="00816657" w:rsidRDefault="00457651">
      <w:pPr>
        <w:spacing w:line="240" w:lineRule="auto"/>
        <w:rPr>
          <w:rFonts w:cs="Calibri"/>
          <w:b/>
          <w:color w:val="0000FF"/>
          <w:sz w:val="2"/>
          <w:szCs w:val="2"/>
        </w:rPr>
      </w:pPr>
    </w:p>
    <w:p w:rsidR="002D2D6C" w:rsidRPr="00816657" w:rsidRDefault="002D2D6C" w:rsidP="00655F62">
      <w:pPr>
        <w:pStyle w:val="Figures"/>
      </w:pPr>
      <w:bookmarkStart w:id="490" w:name="_Ref409190808"/>
      <w:bookmarkStart w:id="491" w:name="_Toc425849352"/>
      <w:r w:rsidRPr="00816657">
        <w:lastRenderedPageBreak/>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67</w:t>
      </w:r>
      <w:r w:rsidR="006D07F5" w:rsidRPr="00816657">
        <w:rPr>
          <w:noProof/>
        </w:rPr>
        <w:fldChar w:fldCharType="end"/>
      </w:r>
      <w:bookmarkEnd w:id="489"/>
      <w:bookmarkEnd w:id="490"/>
      <w:r w:rsidRPr="00816657">
        <w:t xml:space="preserve">: </w:t>
      </w:r>
      <w:r w:rsidRPr="00816657">
        <w:tab/>
        <w:t>The fraction of waste allocated to t</w:t>
      </w:r>
      <w:r w:rsidR="00193634">
        <w:t>reatment types associated with</w:t>
      </w:r>
      <w:r w:rsidRPr="00816657">
        <w:t xml:space="preserve"> risk of multiple-counting, based on</w:t>
      </w:r>
      <w:r w:rsidR="00193634">
        <w:t xml:space="preserve"> available</w:t>
      </w:r>
      <w:r w:rsidRPr="00816657">
        <w:t xml:space="preserve"> tracking data for financial year 2012-13</w:t>
      </w:r>
      <w:bookmarkEnd w:id="491"/>
    </w:p>
    <w:tbl>
      <w:tblPr>
        <w:tblStyle w:val="BETable1"/>
        <w:tblW w:w="9070" w:type="dxa"/>
        <w:tblLayout w:type="fixed"/>
        <w:tblLook w:val="04A0"/>
      </w:tblPr>
      <w:tblGrid>
        <w:gridCol w:w="1812"/>
        <w:gridCol w:w="1814"/>
        <w:gridCol w:w="1814"/>
        <w:gridCol w:w="1931"/>
        <w:gridCol w:w="1699"/>
      </w:tblGrid>
      <w:tr w:rsidR="002D2D6C" w:rsidRPr="00816657" w:rsidTr="00C4513E">
        <w:trPr>
          <w:cnfStyle w:val="100000000000"/>
        </w:trPr>
        <w:tc>
          <w:tcPr>
            <w:cnfStyle w:val="001000000000"/>
            <w:tcW w:w="1812" w:type="dxa"/>
            <w:tcBorders>
              <w:bottom w:val="nil"/>
              <w:right w:val="single" w:sz="4" w:space="0" w:color="7F7F7F" w:themeColor="background2"/>
            </w:tcBorders>
            <w:vAlign w:val="bottom"/>
          </w:tcPr>
          <w:p w:rsidR="002D2D6C" w:rsidRPr="00816657" w:rsidRDefault="002D2D6C" w:rsidP="00C770ED">
            <w:pPr>
              <w:rPr>
                <w:rFonts w:asciiTheme="minorHAnsi" w:hAnsiTheme="minorHAnsi"/>
                <w:szCs w:val="20"/>
              </w:rPr>
            </w:pPr>
            <w:r w:rsidRPr="00816657">
              <w:rPr>
                <w:rFonts w:asciiTheme="minorHAnsi" w:hAnsiTheme="minorHAnsi" w:cs="Times New Roman"/>
                <w:color w:val="000000"/>
                <w:szCs w:val="20"/>
                <w:lang w:eastAsia="en-AU"/>
              </w:rPr>
              <w:t> </w:t>
            </w:r>
          </w:p>
        </w:tc>
        <w:tc>
          <w:tcPr>
            <w:tcW w:w="1814" w:type="dxa"/>
            <w:tcBorders>
              <w:left w:val="single" w:sz="4" w:space="0" w:color="7F7F7F" w:themeColor="background2"/>
              <w:bottom w:val="nil"/>
              <w:right w:val="single" w:sz="4" w:space="0" w:color="7F7F7F" w:themeColor="background2"/>
            </w:tcBorders>
            <w:vAlign w:val="bottom"/>
          </w:tcPr>
          <w:p w:rsidR="002D2D6C" w:rsidRPr="00816657" w:rsidRDefault="002D2D6C" w:rsidP="00C770ED">
            <w:pPr>
              <w:jc w:val="center"/>
              <w:cnfStyle w:val="100000000000"/>
              <w:rPr>
                <w:rFonts w:asciiTheme="minorHAnsi" w:hAnsiTheme="minorHAnsi"/>
                <w:szCs w:val="20"/>
              </w:rPr>
            </w:pPr>
            <w:r w:rsidRPr="00816657">
              <w:rPr>
                <w:rFonts w:asciiTheme="minorHAnsi" w:hAnsiTheme="minorHAnsi" w:cs="Times New Roman"/>
                <w:bCs/>
                <w:color w:val="000000"/>
                <w:szCs w:val="20"/>
                <w:lang w:eastAsia="en-AU"/>
              </w:rPr>
              <w:t>Storage</w:t>
            </w:r>
          </w:p>
        </w:tc>
        <w:tc>
          <w:tcPr>
            <w:tcW w:w="1814" w:type="dxa"/>
            <w:tcBorders>
              <w:left w:val="single" w:sz="4" w:space="0" w:color="7F7F7F" w:themeColor="background2"/>
              <w:bottom w:val="nil"/>
              <w:right w:val="single" w:sz="4" w:space="0" w:color="7F7F7F" w:themeColor="background2"/>
            </w:tcBorders>
            <w:vAlign w:val="bottom"/>
          </w:tcPr>
          <w:p w:rsidR="002D2D6C" w:rsidRPr="00816657" w:rsidRDefault="002D2D6C" w:rsidP="00C770ED">
            <w:pPr>
              <w:jc w:val="center"/>
              <w:cnfStyle w:val="100000000000"/>
              <w:rPr>
                <w:rFonts w:asciiTheme="minorHAnsi" w:hAnsiTheme="minorHAnsi"/>
                <w:szCs w:val="20"/>
              </w:rPr>
            </w:pPr>
            <w:r w:rsidRPr="00816657">
              <w:rPr>
                <w:rFonts w:asciiTheme="minorHAnsi" w:hAnsiTheme="minorHAnsi" w:cs="Times New Roman"/>
                <w:bCs/>
                <w:color w:val="000000"/>
                <w:szCs w:val="20"/>
                <w:lang w:eastAsia="en-AU"/>
              </w:rPr>
              <w:t>Transfer</w:t>
            </w:r>
          </w:p>
        </w:tc>
        <w:tc>
          <w:tcPr>
            <w:tcW w:w="1931" w:type="dxa"/>
            <w:tcBorders>
              <w:left w:val="single" w:sz="4" w:space="0" w:color="7F7F7F" w:themeColor="background2"/>
              <w:bottom w:val="nil"/>
              <w:right w:val="single" w:sz="4" w:space="0" w:color="7F7F7F" w:themeColor="background2"/>
            </w:tcBorders>
            <w:vAlign w:val="bottom"/>
          </w:tcPr>
          <w:p w:rsidR="002D2D6C" w:rsidRPr="00816657" w:rsidRDefault="002D2D6C" w:rsidP="00C770ED">
            <w:pPr>
              <w:jc w:val="center"/>
              <w:cnfStyle w:val="100000000000"/>
              <w:rPr>
                <w:rFonts w:asciiTheme="minorHAnsi" w:hAnsiTheme="minorHAnsi"/>
                <w:szCs w:val="20"/>
              </w:rPr>
            </w:pPr>
            <w:r w:rsidRPr="00816657">
              <w:rPr>
                <w:rFonts w:asciiTheme="minorHAnsi" w:hAnsiTheme="minorHAnsi" w:cs="Times New Roman"/>
                <w:bCs/>
                <w:color w:val="000000"/>
                <w:szCs w:val="20"/>
                <w:lang w:eastAsia="en-AU"/>
              </w:rPr>
              <w:t>Treatment outputs</w:t>
            </w:r>
          </w:p>
        </w:tc>
        <w:tc>
          <w:tcPr>
            <w:tcW w:w="1699" w:type="dxa"/>
            <w:vMerge w:val="restart"/>
            <w:tcBorders>
              <w:left w:val="single" w:sz="4" w:space="0" w:color="7F7F7F" w:themeColor="background2"/>
            </w:tcBorders>
          </w:tcPr>
          <w:p w:rsidR="002D2D6C" w:rsidRPr="00816657" w:rsidRDefault="002D2D6C" w:rsidP="00C770ED">
            <w:pPr>
              <w:jc w:val="center"/>
              <w:cnfStyle w:val="100000000000"/>
              <w:rPr>
                <w:rFonts w:asciiTheme="minorHAnsi" w:hAnsiTheme="minorHAnsi"/>
                <w:szCs w:val="20"/>
              </w:rPr>
            </w:pPr>
            <w:r w:rsidRPr="00816657">
              <w:rPr>
                <w:rFonts w:asciiTheme="minorHAnsi" w:hAnsiTheme="minorHAnsi"/>
                <w:szCs w:val="20"/>
              </w:rPr>
              <w:t>No treatment code listed</w:t>
            </w:r>
          </w:p>
        </w:tc>
      </w:tr>
      <w:tr w:rsidR="002D2D6C" w:rsidRPr="00816657" w:rsidTr="00C4513E">
        <w:tc>
          <w:tcPr>
            <w:cnfStyle w:val="001000000000"/>
            <w:tcW w:w="1812" w:type="dxa"/>
            <w:tcBorders>
              <w:top w:val="nil"/>
              <w:bottom w:val="single" w:sz="4" w:space="0" w:color="7F7F7F" w:themeColor="background2"/>
              <w:right w:val="single" w:sz="4" w:space="0" w:color="7F7F7F" w:themeColor="background2"/>
            </w:tcBorders>
            <w:vAlign w:val="bottom"/>
          </w:tcPr>
          <w:p w:rsidR="002D2D6C" w:rsidRPr="00816657" w:rsidRDefault="002D2D6C" w:rsidP="00C770ED">
            <w:pPr>
              <w:jc w:val="right"/>
              <w:rPr>
                <w:rFonts w:asciiTheme="minorHAnsi" w:hAnsiTheme="minorHAnsi" w:cs="Times New Roman"/>
                <w:color w:val="000000"/>
                <w:szCs w:val="20"/>
                <w:lang w:eastAsia="en-AU"/>
              </w:rPr>
            </w:pPr>
            <w:r w:rsidRPr="00816657">
              <w:rPr>
                <w:rFonts w:asciiTheme="minorHAnsi" w:hAnsiTheme="minorHAnsi" w:cs="Times New Roman"/>
                <w:color w:val="000000"/>
                <w:szCs w:val="20"/>
                <w:lang w:eastAsia="en-AU"/>
              </w:rPr>
              <w:t xml:space="preserve">Treatment code: </w:t>
            </w:r>
          </w:p>
        </w:tc>
        <w:tc>
          <w:tcPr>
            <w:tcW w:w="1814" w:type="dxa"/>
            <w:tcBorders>
              <w:top w:val="nil"/>
              <w:left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jc w:val="center"/>
              <w:cnfStyle w:val="000000000000"/>
              <w:rPr>
                <w:rFonts w:asciiTheme="minorHAnsi" w:hAnsiTheme="minorHAnsi" w:cs="Times New Roman"/>
                <w:b/>
                <w:bCs/>
                <w:color w:val="000000"/>
                <w:szCs w:val="20"/>
                <w:lang w:eastAsia="en-AU"/>
              </w:rPr>
            </w:pPr>
            <w:r w:rsidRPr="00816657">
              <w:rPr>
                <w:rFonts w:asciiTheme="minorHAnsi" w:hAnsiTheme="minorHAnsi" w:cs="Times New Roman"/>
                <w:color w:val="000000"/>
                <w:szCs w:val="20"/>
                <w:lang w:eastAsia="en-AU"/>
              </w:rPr>
              <w:t>D4, D12, D15</w:t>
            </w:r>
          </w:p>
        </w:tc>
        <w:tc>
          <w:tcPr>
            <w:tcW w:w="1814" w:type="dxa"/>
            <w:tcBorders>
              <w:top w:val="nil"/>
              <w:left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jc w:val="center"/>
              <w:cnfStyle w:val="000000000000"/>
              <w:rPr>
                <w:rFonts w:asciiTheme="minorHAnsi" w:hAnsiTheme="minorHAnsi" w:cs="Times New Roman"/>
                <w:b/>
                <w:bCs/>
                <w:color w:val="000000"/>
                <w:szCs w:val="20"/>
                <w:lang w:eastAsia="en-AU"/>
              </w:rPr>
            </w:pPr>
            <w:r w:rsidRPr="00816657">
              <w:rPr>
                <w:rFonts w:asciiTheme="minorHAnsi" w:hAnsiTheme="minorHAnsi" w:cs="Times New Roman"/>
                <w:color w:val="000000"/>
                <w:szCs w:val="20"/>
                <w:lang w:eastAsia="en-AU"/>
              </w:rPr>
              <w:t>R12, R13, D14</w:t>
            </w:r>
          </w:p>
        </w:tc>
        <w:tc>
          <w:tcPr>
            <w:tcW w:w="1931" w:type="dxa"/>
            <w:tcBorders>
              <w:top w:val="nil"/>
              <w:left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jc w:val="center"/>
              <w:cnfStyle w:val="000000000000"/>
              <w:rPr>
                <w:rFonts w:asciiTheme="minorHAnsi" w:hAnsiTheme="minorHAnsi" w:cs="Times New Roman"/>
                <w:b/>
                <w:bCs/>
                <w:color w:val="000000"/>
                <w:szCs w:val="20"/>
                <w:lang w:eastAsia="en-AU"/>
              </w:rPr>
            </w:pPr>
            <w:r w:rsidRPr="00816657">
              <w:rPr>
                <w:rFonts w:asciiTheme="minorHAnsi" w:hAnsiTheme="minorHAnsi" w:cs="Times New Roman"/>
                <w:color w:val="000000"/>
                <w:szCs w:val="20"/>
                <w:lang w:eastAsia="en-AU"/>
              </w:rPr>
              <w:t>D9A, D9B, D9C</w:t>
            </w:r>
          </w:p>
        </w:tc>
        <w:tc>
          <w:tcPr>
            <w:tcW w:w="1699" w:type="dxa"/>
            <w:vMerge/>
            <w:tcBorders>
              <w:left w:val="single" w:sz="4" w:space="0" w:color="7F7F7F" w:themeColor="background2"/>
              <w:bottom w:val="single" w:sz="4" w:space="0" w:color="7F7F7F" w:themeColor="background2"/>
            </w:tcBorders>
          </w:tcPr>
          <w:p w:rsidR="002D2D6C" w:rsidRPr="00816657" w:rsidRDefault="002D2D6C" w:rsidP="00C770ED">
            <w:pPr>
              <w:jc w:val="center"/>
              <w:cnfStyle w:val="000000000000"/>
              <w:rPr>
                <w:rFonts w:asciiTheme="minorHAnsi" w:hAnsiTheme="minorHAnsi"/>
                <w:szCs w:val="20"/>
              </w:rPr>
            </w:pPr>
          </w:p>
        </w:tc>
      </w:tr>
      <w:tr w:rsidR="002D2D6C" w:rsidRPr="00816657" w:rsidTr="00C4513E">
        <w:tc>
          <w:tcPr>
            <w:cnfStyle w:val="001000000000"/>
            <w:tcW w:w="1812" w:type="dxa"/>
            <w:tcBorders>
              <w:top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rPr>
                <w:rFonts w:asciiTheme="minorHAnsi" w:hAnsiTheme="minorHAnsi"/>
                <w:szCs w:val="20"/>
              </w:rPr>
            </w:pPr>
            <w:r w:rsidRPr="00816657">
              <w:rPr>
                <w:rFonts w:asciiTheme="minorHAnsi" w:hAnsiTheme="minorHAnsi" w:cs="Times New Roman"/>
                <w:color w:val="000000"/>
                <w:szCs w:val="20"/>
                <w:lang w:eastAsia="en-AU"/>
              </w:rPr>
              <w:t>ACT</w:t>
            </w:r>
          </w:p>
        </w:tc>
        <w:tc>
          <w:tcPr>
            <w:tcW w:w="7258" w:type="dxa"/>
            <w:gridSpan w:val="4"/>
            <w:tcBorders>
              <w:top w:val="single" w:sz="4" w:space="0" w:color="7F7F7F" w:themeColor="background2"/>
              <w:left w:val="single" w:sz="4" w:space="0" w:color="7F7F7F" w:themeColor="background2"/>
              <w:bottom w:val="single" w:sz="4" w:space="0" w:color="7F7F7F" w:themeColor="background2"/>
            </w:tcBorders>
            <w:shd w:val="clear" w:color="auto" w:fill="D9D9D9" w:themeFill="background1" w:themeFillShade="D9"/>
            <w:vAlign w:val="bottom"/>
          </w:tcPr>
          <w:p w:rsidR="002D2D6C" w:rsidRPr="00816657" w:rsidRDefault="002D2D6C" w:rsidP="00C770ED">
            <w:pPr>
              <w:cnfStyle w:val="000000000000"/>
              <w:rPr>
                <w:rFonts w:asciiTheme="minorHAnsi" w:hAnsiTheme="minorHAnsi"/>
                <w:szCs w:val="20"/>
              </w:rPr>
            </w:pPr>
            <w:r w:rsidRPr="00816657">
              <w:rPr>
                <w:rFonts w:asciiTheme="minorHAnsi" w:hAnsiTheme="minorHAnsi" w:cs="Times New Roman"/>
                <w:i/>
                <w:iCs/>
                <w:color w:val="000000"/>
                <w:szCs w:val="20"/>
                <w:lang w:eastAsia="en-AU"/>
              </w:rPr>
              <w:t>No data</w:t>
            </w:r>
          </w:p>
        </w:tc>
      </w:tr>
      <w:tr w:rsidR="002D2D6C" w:rsidRPr="00816657" w:rsidTr="00C4513E">
        <w:tc>
          <w:tcPr>
            <w:cnfStyle w:val="001000000000"/>
            <w:tcW w:w="1812" w:type="dxa"/>
            <w:tcBorders>
              <w:top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rPr>
                <w:rFonts w:asciiTheme="minorHAnsi" w:hAnsiTheme="minorHAnsi"/>
                <w:szCs w:val="20"/>
              </w:rPr>
            </w:pPr>
            <w:r w:rsidRPr="00816657">
              <w:rPr>
                <w:rFonts w:asciiTheme="minorHAnsi" w:hAnsiTheme="minorHAnsi" w:cs="Times New Roman"/>
                <w:color w:val="000000"/>
                <w:szCs w:val="20"/>
                <w:lang w:eastAsia="en-AU"/>
              </w:rPr>
              <w:t>NSW</w:t>
            </w:r>
          </w:p>
        </w:tc>
        <w:tc>
          <w:tcPr>
            <w:tcW w:w="1814" w:type="dxa"/>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jc w:val="center"/>
              <w:cnfStyle w:val="000000000000"/>
              <w:rPr>
                <w:rFonts w:asciiTheme="minorHAnsi" w:hAnsiTheme="minorHAnsi"/>
                <w:szCs w:val="20"/>
              </w:rPr>
            </w:pPr>
            <w:r w:rsidRPr="00816657">
              <w:rPr>
                <w:rFonts w:asciiTheme="minorHAnsi" w:hAnsiTheme="minorHAnsi" w:cs="Times New Roman"/>
                <w:color w:val="000000"/>
                <w:szCs w:val="20"/>
                <w:lang w:eastAsia="en-AU"/>
              </w:rPr>
              <w:t>8%</w:t>
            </w:r>
          </w:p>
        </w:tc>
        <w:tc>
          <w:tcPr>
            <w:tcW w:w="3745" w:type="dxa"/>
            <w:gridSpan w:val="2"/>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shd w:val="clear" w:color="auto" w:fill="D9D9D9" w:themeFill="background1" w:themeFillShade="D9"/>
            <w:vAlign w:val="bottom"/>
          </w:tcPr>
          <w:p w:rsidR="002D2D6C" w:rsidRPr="00816657" w:rsidRDefault="002D2D6C" w:rsidP="00C770ED">
            <w:pPr>
              <w:cnfStyle w:val="000000000000"/>
              <w:rPr>
                <w:rFonts w:asciiTheme="minorHAnsi" w:hAnsiTheme="minorHAnsi"/>
                <w:szCs w:val="20"/>
              </w:rPr>
            </w:pPr>
            <w:r w:rsidRPr="00816657">
              <w:rPr>
                <w:rFonts w:asciiTheme="minorHAnsi" w:hAnsiTheme="minorHAnsi" w:cs="Times New Roman"/>
                <w:i/>
                <w:iCs/>
                <w:color w:val="000000"/>
                <w:szCs w:val="20"/>
                <w:lang w:eastAsia="en-AU"/>
              </w:rPr>
              <w:t>No data</w:t>
            </w:r>
          </w:p>
        </w:tc>
        <w:tc>
          <w:tcPr>
            <w:tcW w:w="1699" w:type="dxa"/>
            <w:tcBorders>
              <w:top w:val="single" w:sz="4" w:space="0" w:color="7F7F7F" w:themeColor="background2"/>
              <w:left w:val="single" w:sz="4" w:space="0" w:color="7F7F7F" w:themeColor="background2"/>
              <w:bottom w:val="single" w:sz="4" w:space="0" w:color="7F7F7F" w:themeColor="background2"/>
            </w:tcBorders>
            <w:vAlign w:val="bottom"/>
          </w:tcPr>
          <w:p w:rsidR="002D2D6C" w:rsidRPr="00816657" w:rsidRDefault="002D2D6C" w:rsidP="00C770ED">
            <w:pPr>
              <w:jc w:val="center"/>
              <w:cnfStyle w:val="000000000000"/>
              <w:rPr>
                <w:rFonts w:asciiTheme="minorHAnsi" w:hAnsiTheme="minorHAnsi"/>
                <w:szCs w:val="20"/>
              </w:rPr>
            </w:pPr>
            <w:r w:rsidRPr="00816657">
              <w:rPr>
                <w:rFonts w:asciiTheme="minorHAnsi" w:hAnsiTheme="minorHAnsi" w:cs="Times New Roman"/>
                <w:color w:val="000000"/>
                <w:szCs w:val="20"/>
                <w:lang w:eastAsia="en-AU"/>
              </w:rPr>
              <w:t>1%</w:t>
            </w:r>
          </w:p>
        </w:tc>
      </w:tr>
      <w:tr w:rsidR="002D2D6C" w:rsidRPr="00816657" w:rsidTr="00C4513E">
        <w:tc>
          <w:tcPr>
            <w:cnfStyle w:val="001000000000"/>
            <w:tcW w:w="1812" w:type="dxa"/>
            <w:tcBorders>
              <w:top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rPr>
                <w:rFonts w:asciiTheme="minorHAnsi" w:hAnsiTheme="minorHAnsi"/>
                <w:szCs w:val="20"/>
              </w:rPr>
            </w:pPr>
            <w:r w:rsidRPr="00816657">
              <w:rPr>
                <w:rFonts w:asciiTheme="minorHAnsi" w:hAnsiTheme="minorHAnsi" w:cs="Times New Roman"/>
                <w:color w:val="000000"/>
                <w:szCs w:val="20"/>
                <w:lang w:eastAsia="en-AU"/>
              </w:rPr>
              <w:t>NT</w:t>
            </w:r>
          </w:p>
        </w:tc>
        <w:tc>
          <w:tcPr>
            <w:tcW w:w="7258" w:type="dxa"/>
            <w:gridSpan w:val="4"/>
            <w:tcBorders>
              <w:top w:val="single" w:sz="4" w:space="0" w:color="7F7F7F" w:themeColor="background2"/>
              <w:left w:val="single" w:sz="4" w:space="0" w:color="7F7F7F" w:themeColor="background2"/>
              <w:bottom w:val="single" w:sz="4" w:space="0" w:color="7F7F7F" w:themeColor="background2"/>
            </w:tcBorders>
            <w:shd w:val="clear" w:color="auto" w:fill="D9D9D9" w:themeFill="background1" w:themeFillShade="D9"/>
            <w:vAlign w:val="bottom"/>
          </w:tcPr>
          <w:p w:rsidR="002D2D6C" w:rsidRPr="00816657" w:rsidRDefault="002D2D6C" w:rsidP="00C770ED">
            <w:pPr>
              <w:cnfStyle w:val="000000000000"/>
              <w:rPr>
                <w:rFonts w:asciiTheme="minorHAnsi" w:hAnsiTheme="minorHAnsi"/>
                <w:szCs w:val="20"/>
              </w:rPr>
            </w:pPr>
            <w:r w:rsidRPr="00816657">
              <w:rPr>
                <w:rFonts w:asciiTheme="minorHAnsi" w:hAnsiTheme="minorHAnsi" w:cs="Times New Roman"/>
                <w:i/>
                <w:iCs/>
                <w:color w:val="000000"/>
                <w:szCs w:val="20"/>
                <w:lang w:eastAsia="en-AU"/>
              </w:rPr>
              <w:t>No data</w:t>
            </w:r>
          </w:p>
        </w:tc>
      </w:tr>
      <w:tr w:rsidR="002D2D6C" w:rsidRPr="00816657" w:rsidTr="00C4513E">
        <w:tc>
          <w:tcPr>
            <w:cnfStyle w:val="001000000000"/>
            <w:tcW w:w="1812" w:type="dxa"/>
            <w:tcBorders>
              <w:top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rPr>
                <w:rFonts w:asciiTheme="minorHAnsi" w:hAnsiTheme="minorHAnsi"/>
                <w:szCs w:val="20"/>
              </w:rPr>
            </w:pPr>
            <w:r w:rsidRPr="00816657">
              <w:rPr>
                <w:rFonts w:asciiTheme="minorHAnsi" w:hAnsiTheme="minorHAnsi" w:cs="Times New Roman"/>
                <w:color w:val="000000"/>
                <w:szCs w:val="20"/>
                <w:lang w:eastAsia="en-AU"/>
              </w:rPr>
              <w:t>Qld</w:t>
            </w:r>
          </w:p>
        </w:tc>
        <w:tc>
          <w:tcPr>
            <w:tcW w:w="1814" w:type="dxa"/>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C4513E" w:rsidP="00C770ED">
            <w:pPr>
              <w:jc w:val="center"/>
              <w:cnfStyle w:val="000000000000"/>
              <w:rPr>
                <w:rFonts w:asciiTheme="minorHAnsi" w:hAnsiTheme="minorHAnsi"/>
                <w:szCs w:val="20"/>
              </w:rPr>
            </w:pPr>
            <w:r w:rsidRPr="00816657">
              <w:rPr>
                <w:rFonts w:asciiTheme="minorHAnsi" w:hAnsiTheme="minorHAnsi" w:cs="Times New Roman"/>
                <w:color w:val="000000"/>
                <w:szCs w:val="20"/>
                <w:lang w:eastAsia="en-AU"/>
              </w:rPr>
              <w:t>17</w:t>
            </w:r>
            <w:r w:rsidR="002D2D6C" w:rsidRPr="00816657">
              <w:rPr>
                <w:rFonts w:asciiTheme="minorHAnsi" w:hAnsiTheme="minorHAnsi" w:cs="Times New Roman"/>
                <w:color w:val="000000"/>
                <w:szCs w:val="20"/>
                <w:lang w:eastAsia="en-AU"/>
              </w:rPr>
              <w:t>%</w:t>
            </w:r>
          </w:p>
        </w:tc>
        <w:tc>
          <w:tcPr>
            <w:tcW w:w="1814" w:type="dxa"/>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C4513E" w:rsidP="00C770ED">
            <w:pPr>
              <w:jc w:val="center"/>
              <w:cnfStyle w:val="000000000000"/>
              <w:rPr>
                <w:rFonts w:asciiTheme="minorHAnsi" w:hAnsiTheme="minorHAnsi"/>
                <w:szCs w:val="20"/>
              </w:rPr>
            </w:pPr>
            <w:r w:rsidRPr="00816657">
              <w:rPr>
                <w:rFonts w:asciiTheme="minorHAnsi" w:hAnsiTheme="minorHAnsi" w:cs="Times New Roman"/>
                <w:color w:val="000000"/>
                <w:szCs w:val="20"/>
                <w:lang w:eastAsia="en-AU"/>
              </w:rPr>
              <w:t>2</w:t>
            </w:r>
            <w:r w:rsidR="002D2D6C" w:rsidRPr="00816657">
              <w:rPr>
                <w:rFonts w:asciiTheme="minorHAnsi" w:hAnsiTheme="minorHAnsi" w:cs="Times New Roman"/>
                <w:color w:val="000000"/>
                <w:szCs w:val="20"/>
                <w:lang w:eastAsia="en-AU"/>
              </w:rPr>
              <w:t>%</w:t>
            </w:r>
          </w:p>
        </w:tc>
        <w:tc>
          <w:tcPr>
            <w:tcW w:w="1931" w:type="dxa"/>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C4513E" w:rsidP="00C770ED">
            <w:pPr>
              <w:jc w:val="center"/>
              <w:cnfStyle w:val="000000000000"/>
              <w:rPr>
                <w:rFonts w:asciiTheme="minorHAnsi" w:hAnsiTheme="minorHAnsi"/>
                <w:szCs w:val="20"/>
              </w:rPr>
            </w:pPr>
            <w:r w:rsidRPr="00816657">
              <w:rPr>
                <w:rFonts w:asciiTheme="minorHAnsi" w:hAnsiTheme="minorHAnsi" w:cs="Times New Roman"/>
                <w:color w:val="000000"/>
                <w:szCs w:val="20"/>
                <w:lang w:eastAsia="en-AU"/>
              </w:rPr>
              <w:t>14</w:t>
            </w:r>
            <w:r w:rsidR="002D2D6C" w:rsidRPr="00816657">
              <w:rPr>
                <w:rFonts w:asciiTheme="minorHAnsi" w:hAnsiTheme="minorHAnsi" w:cs="Times New Roman"/>
                <w:color w:val="000000"/>
                <w:szCs w:val="20"/>
                <w:lang w:eastAsia="en-AU"/>
              </w:rPr>
              <w:t>%</w:t>
            </w:r>
          </w:p>
        </w:tc>
        <w:tc>
          <w:tcPr>
            <w:tcW w:w="1699" w:type="dxa"/>
            <w:tcBorders>
              <w:top w:val="single" w:sz="4" w:space="0" w:color="7F7F7F" w:themeColor="background2"/>
              <w:left w:val="single" w:sz="4" w:space="0" w:color="7F7F7F" w:themeColor="background2"/>
              <w:bottom w:val="single" w:sz="4" w:space="0" w:color="7F7F7F" w:themeColor="background2"/>
            </w:tcBorders>
            <w:vAlign w:val="bottom"/>
          </w:tcPr>
          <w:p w:rsidR="002D2D6C" w:rsidRPr="00816657" w:rsidRDefault="002D2D6C" w:rsidP="00C770ED">
            <w:pPr>
              <w:jc w:val="center"/>
              <w:cnfStyle w:val="000000000000"/>
              <w:rPr>
                <w:rFonts w:asciiTheme="minorHAnsi" w:hAnsiTheme="minorHAnsi"/>
                <w:szCs w:val="20"/>
              </w:rPr>
            </w:pPr>
            <w:r w:rsidRPr="00816657">
              <w:rPr>
                <w:rFonts w:asciiTheme="minorHAnsi" w:hAnsiTheme="minorHAnsi" w:cs="Times New Roman"/>
                <w:color w:val="000000"/>
                <w:szCs w:val="20"/>
                <w:lang w:eastAsia="en-AU"/>
              </w:rPr>
              <w:t>0%</w:t>
            </w:r>
          </w:p>
        </w:tc>
      </w:tr>
      <w:tr w:rsidR="002D2D6C" w:rsidRPr="00816657" w:rsidTr="00C4513E">
        <w:tc>
          <w:tcPr>
            <w:cnfStyle w:val="001000000000"/>
            <w:tcW w:w="1812" w:type="dxa"/>
            <w:tcBorders>
              <w:top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rPr>
                <w:rFonts w:asciiTheme="minorHAnsi" w:hAnsiTheme="minorHAnsi"/>
                <w:szCs w:val="20"/>
              </w:rPr>
            </w:pPr>
            <w:r w:rsidRPr="00816657">
              <w:rPr>
                <w:rFonts w:asciiTheme="minorHAnsi" w:hAnsiTheme="minorHAnsi" w:cs="Times New Roman"/>
                <w:color w:val="000000"/>
                <w:szCs w:val="20"/>
                <w:lang w:eastAsia="en-AU"/>
              </w:rPr>
              <w:t>SA</w:t>
            </w:r>
          </w:p>
        </w:tc>
        <w:tc>
          <w:tcPr>
            <w:tcW w:w="7258" w:type="dxa"/>
            <w:gridSpan w:val="4"/>
            <w:tcBorders>
              <w:top w:val="single" w:sz="4" w:space="0" w:color="7F7F7F" w:themeColor="background2"/>
              <w:left w:val="single" w:sz="4" w:space="0" w:color="7F7F7F" w:themeColor="background2"/>
              <w:bottom w:val="single" w:sz="4" w:space="0" w:color="7F7F7F" w:themeColor="background2"/>
            </w:tcBorders>
            <w:shd w:val="clear" w:color="auto" w:fill="D9D9D9" w:themeFill="background1" w:themeFillShade="D9"/>
            <w:vAlign w:val="bottom"/>
          </w:tcPr>
          <w:p w:rsidR="002D2D6C" w:rsidRPr="00816657" w:rsidRDefault="002D2D6C" w:rsidP="00C770ED">
            <w:pPr>
              <w:cnfStyle w:val="000000000000"/>
              <w:rPr>
                <w:rFonts w:asciiTheme="minorHAnsi" w:hAnsiTheme="minorHAnsi"/>
                <w:szCs w:val="20"/>
              </w:rPr>
            </w:pPr>
            <w:r w:rsidRPr="00816657">
              <w:rPr>
                <w:rFonts w:asciiTheme="minorHAnsi" w:hAnsiTheme="minorHAnsi" w:cs="Times New Roman"/>
                <w:i/>
                <w:iCs/>
                <w:color w:val="000000"/>
                <w:szCs w:val="20"/>
                <w:lang w:eastAsia="en-AU"/>
              </w:rPr>
              <w:t>No data</w:t>
            </w:r>
          </w:p>
        </w:tc>
      </w:tr>
      <w:tr w:rsidR="002D2D6C" w:rsidRPr="00816657" w:rsidTr="00C4513E">
        <w:tc>
          <w:tcPr>
            <w:cnfStyle w:val="001000000000"/>
            <w:tcW w:w="1812" w:type="dxa"/>
            <w:tcBorders>
              <w:top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rPr>
                <w:rFonts w:asciiTheme="minorHAnsi" w:hAnsiTheme="minorHAnsi"/>
                <w:szCs w:val="20"/>
              </w:rPr>
            </w:pPr>
            <w:r w:rsidRPr="00816657">
              <w:rPr>
                <w:rFonts w:asciiTheme="minorHAnsi" w:hAnsiTheme="minorHAnsi" w:cs="Times New Roman"/>
                <w:color w:val="000000"/>
                <w:szCs w:val="20"/>
                <w:lang w:eastAsia="en-AU"/>
              </w:rPr>
              <w:t>Tas</w:t>
            </w:r>
          </w:p>
        </w:tc>
        <w:tc>
          <w:tcPr>
            <w:tcW w:w="7258" w:type="dxa"/>
            <w:gridSpan w:val="4"/>
            <w:tcBorders>
              <w:top w:val="single" w:sz="4" w:space="0" w:color="7F7F7F" w:themeColor="background2"/>
              <w:left w:val="single" w:sz="4" w:space="0" w:color="7F7F7F" w:themeColor="background2"/>
              <w:bottom w:val="single" w:sz="4" w:space="0" w:color="7F7F7F" w:themeColor="background2"/>
            </w:tcBorders>
            <w:shd w:val="clear" w:color="auto" w:fill="D9D9D9" w:themeFill="background1" w:themeFillShade="D9"/>
            <w:vAlign w:val="bottom"/>
          </w:tcPr>
          <w:p w:rsidR="002D2D6C" w:rsidRPr="00816657" w:rsidRDefault="002D2D6C" w:rsidP="00C770ED">
            <w:pPr>
              <w:cnfStyle w:val="000000000000"/>
              <w:rPr>
                <w:rFonts w:asciiTheme="minorHAnsi" w:hAnsiTheme="minorHAnsi"/>
                <w:szCs w:val="20"/>
              </w:rPr>
            </w:pPr>
            <w:r w:rsidRPr="00816657">
              <w:rPr>
                <w:rFonts w:asciiTheme="minorHAnsi" w:hAnsiTheme="minorHAnsi" w:cs="Times New Roman"/>
                <w:i/>
                <w:iCs/>
                <w:color w:val="000000"/>
                <w:szCs w:val="20"/>
                <w:lang w:eastAsia="en-AU"/>
              </w:rPr>
              <w:t>No data</w:t>
            </w:r>
          </w:p>
        </w:tc>
      </w:tr>
      <w:tr w:rsidR="002D2D6C" w:rsidRPr="00816657" w:rsidTr="00C4513E">
        <w:tc>
          <w:tcPr>
            <w:cnfStyle w:val="001000000000"/>
            <w:tcW w:w="1812" w:type="dxa"/>
            <w:tcBorders>
              <w:top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rPr>
                <w:rFonts w:asciiTheme="minorHAnsi" w:hAnsiTheme="minorHAnsi"/>
                <w:szCs w:val="20"/>
              </w:rPr>
            </w:pPr>
            <w:r w:rsidRPr="00816657">
              <w:rPr>
                <w:rFonts w:asciiTheme="minorHAnsi" w:hAnsiTheme="minorHAnsi" w:cs="Times New Roman"/>
                <w:color w:val="000000"/>
                <w:szCs w:val="20"/>
                <w:lang w:eastAsia="en-AU"/>
              </w:rPr>
              <w:t>Vic</w:t>
            </w:r>
          </w:p>
        </w:tc>
        <w:tc>
          <w:tcPr>
            <w:tcW w:w="1814" w:type="dxa"/>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jc w:val="center"/>
              <w:cnfStyle w:val="000000000000"/>
              <w:rPr>
                <w:rFonts w:asciiTheme="minorHAnsi" w:hAnsiTheme="minorHAnsi"/>
                <w:szCs w:val="20"/>
              </w:rPr>
            </w:pPr>
            <w:r w:rsidRPr="00816657">
              <w:rPr>
                <w:rFonts w:asciiTheme="minorHAnsi" w:hAnsiTheme="minorHAnsi" w:cs="Times New Roman"/>
                <w:color w:val="000000"/>
                <w:szCs w:val="20"/>
                <w:lang w:eastAsia="en-AU"/>
              </w:rPr>
              <w:t>7%</w:t>
            </w:r>
          </w:p>
        </w:tc>
        <w:tc>
          <w:tcPr>
            <w:tcW w:w="1814" w:type="dxa"/>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2D2D6C" w:rsidP="00C770ED">
            <w:pPr>
              <w:jc w:val="center"/>
              <w:cnfStyle w:val="000000000000"/>
              <w:rPr>
                <w:rFonts w:asciiTheme="minorHAnsi" w:hAnsiTheme="minorHAnsi"/>
                <w:szCs w:val="20"/>
              </w:rPr>
            </w:pPr>
            <w:r w:rsidRPr="00816657">
              <w:rPr>
                <w:rFonts w:asciiTheme="minorHAnsi" w:hAnsiTheme="minorHAnsi" w:cs="Times New Roman"/>
                <w:color w:val="000000"/>
                <w:szCs w:val="20"/>
                <w:lang w:eastAsia="en-AU"/>
              </w:rPr>
              <w:t>3%</w:t>
            </w:r>
          </w:p>
        </w:tc>
        <w:tc>
          <w:tcPr>
            <w:tcW w:w="1931" w:type="dxa"/>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vAlign w:val="bottom"/>
          </w:tcPr>
          <w:p w:rsidR="002D2D6C" w:rsidRPr="00816657" w:rsidRDefault="00C4513E" w:rsidP="00C770ED">
            <w:pPr>
              <w:jc w:val="center"/>
              <w:cnfStyle w:val="000000000000"/>
              <w:rPr>
                <w:rFonts w:asciiTheme="minorHAnsi" w:hAnsiTheme="minorHAnsi"/>
                <w:szCs w:val="20"/>
              </w:rPr>
            </w:pPr>
            <w:r w:rsidRPr="00816657">
              <w:rPr>
                <w:rFonts w:asciiTheme="minorHAnsi" w:hAnsiTheme="minorHAnsi" w:cs="Times New Roman"/>
                <w:color w:val="000000"/>
                <w:szCs w:val="20"/>
                <w:lang w:eastAsia="en-AU"/>
              </w:rPr>
              <w:t>10</w:t>
            </w:r>
            <w:r w:rsidR="002D2D6C" w:rsidRPr="00816657">
              <w:rPr>
                <w:rFonts w:asciiTheme="minorHAnsi" w:hAnsiTheme="minorHAnsi" w:cs="Times New Roman"/>
                <w:color w:val="000000"/>
                <w:szCs w:val="20"/>
                <w:lang w:eastAsia="en-AU"/>
              </w:rPr>
              <w:t>%</w:t>
            </w:r>
          </w:p>
        </w:tc>
        <w:tc>
          <w:tcPr>
            <w:tcW w:w="1699" w:type="dxa"/>
            <w:tcBorders>
              <w:top w:val="single" w:sz="4" w:space="0" w:color="7F7F7F" w:themeColor="background2"/>
              <w:left w:val="single" w:sz="4" w:space="0" w:color="7F7F7F" w:themeColor="background2"/>
              <w:bottom w:val="single" w:sz="4" w:space="0" w:color="7F7F7F" w:themeColor="background2"/>
            </w:tcBorders>
            <w:vAlign w:val="bottom"/>
          </w:tcPr>
          <w:p w:rsidR="002D2D6C" w:rsidRPr="00816657" w:rsidRDefault="002D2D6C" w:rsidP="00C770ED">
            <w:pPr>
              <w:jc w:val="center"/>
              <w:cnfStyle w:val="000000000000"/>
              <w:rPr>
                <w:rFonts w:asciiTheme="minorHAnsi" w:hAnsiTheme="minorHAnsi"/>
                <w:szCs w:val="20"/>
              </w:rPr>
            </w:pPr>
            <w:r w:rsidRPr="00816657">
              <w:rPr>
                <w:rFonts w:asciiTheme="minorHAnsi" w:hAnsiTheme="minorHAnsi" w:cs="Times New Roman"/>
                <w:color w:val="000000"/>
                <w:szCs w:val="20"/>
                <w:lang w:eastAsia="en-AU"/>
              </w:rPr>
              <w:t>9%</w:t>
            </w:r>
          </w:p>
        </w:tc>
      </w:tr>
    </w:tbl>
    <w:p w:rsidR="002D2D6C" w:rsidRPr="00816657" w:rsidRDefault="002D2D6C" w:rsidP="002D2D6C">
      <w:pPr>
        <w:pStyle w:val="BodyText"/>
      </w:pPr>
    </w:p>
    <w:p w:rsidR="002D2D6C" w:rsidRPr="00816657" w:rsidRDefault="008705CE" w:rsidP="008705CE">
      <w:pPr>
        <w:pStyle w:val="Heading3"/>
        <w:tabs>
          <w:tab w:val="left" w:pos="426"/>
        </w:tabs>
      </w:pPr>
      <w:bookmarkStart w:id="492" w:name="_Toc408308754"/>
      <w:bookmarkEnd w:id="487"/>
      <w:r w:rsidRPr="00816657">
        <w:t>3.</w:t>
      </w:r>
      <w:r w:rsidRPr="00816657">
        <w:tab/>
      </w:r>
      <w:r w:rsidR="002D2D6C" w:rsidRPr="00816657">
        <w:t>Release spikes from storage</w:t>
      </w:r>
      <w:bookmarkEnd w:id="492"/>
    </w:p>
    <w:p w:rsidR="00917B86" w:rsidRPr="00816657" w:rsidRDefault="00917B86" w:rsidP="002D2D6C">
      <w:pPr>
        <w:pStyle w:val="BodyText"/>
      </w:pPr>
      <w:r w:rsidRPr="00816657">
        <w:t xml:space="preserve">Waste may be released from storage in a large volume in a particular year, for example if a large company stores material until such time as the treatment volume can be economically processed. </w:t>
      </w:r>
    </w:p>
    <w:p w:rsidR="00917B86" w:rsidRPr="00816657" w:rsidRDefault="00917B86" w:rsidP="002D2D6C">
      <w:pPr>
        <w:pStyle w:val="BodyText"/>
      </w:pPr>
    </w:p>
    <w:p w:rsidR="00917B86" w:rsidRPr="00816657" w:rsidRDefault="00917B86" w:rsidP="00917B86">
      <w:pPr>
        <w:pStyle w:val="BodyText"/>
        <w:spacing w:after="120"/>
        <w:rPr>
          <w:i/>
        </w:rPr>
      </w:pPr>
      <w:r w:rsidRPr="00816657">
        <w:rPr>
          <w:i/>
        </w:rPr>
        <w:t>Why is this problematic?</w:t>
      </w:r>
    </w:p>
    <w:p w:rsidR="002D2D6C" w:rsidRPr="00816657" w:rsidRDefault="00917B86" w:rsidP="002D2D6C">
      <w:pPr>
        <w:pStyle w:val="BodyText"/>
      </w:pPr>
      <w:r w:rsidRPr="00816657">
        <w:t>Release spikes will mask the underlying trends. If the release year is the projection baseline, the entire projection could be exaggerated.</w:t>
      </w:r>
    </w:p>
    <w:p w:rsidR="002D2D6C" w:rsidRPr="00816657" w:rsidRDefault="002D2D6C" w:rsidP="002D2D6C">
      <w:pPr>
        <w:pStyle w:val="BodyText"/>
      </w:pPr>
    </w:p>
    <w:p w:rsidR="002D2D6C" w:rsidRPr="00816657" w:rsidRDefault="002D2D6C" w:rsidP="00917B86">
      <w:pPr>
        <w:pStyle w:val="BodyText"/>
        <w:spacing w:after="120"/>
        <w:rPr>
          <w:i/>
        </w:rPr>
      </w:pPr>
      <w:bookmarkStart w:id="493" w:name="_Toc408308757"/>
      <w:r w:rsidRPr="00816657">
        <w:rPr>
          <w:i/>
        </w:rPr>
        <w:t>What is the scale of the issue?</w:t>
      </w:r>
      <w:bookmarkEnd w:id="493"/>
    </w:p>
    <w:p w:rsidR="003C3903" w:rsidRPr="00816657" w:rsidRDefault="00917B86" w:rsidP="002D2D6C">
      <w:pPr>
        <w:pStyle w:val="BodyText"/>
      </w:pPr>
      <w:r w:rsidRPr="00816657">
        <w:t>I</w:t>
      </w:r>
      <w:r w:rsidR="002D2D6C" w:rsidRPr="00816657">
        <w:t xml:space="preserve">t is difficult to categorically </w:t>
      </w:r>
      <w:r w:rsidRPr="00816657">
        <w:t xml:space="preserve">assess the scale of this issue without detailed transaction-level analysis of waste tracking certificates. </w:t>
      </w:r>
      <w:r w:rsidR="002D2D6C" w:rsidRPr="00816657">
        <w:t>However,</w:t>
      </w:r>
      <w:r w:rsidR="003C3903" w:rsidRPr="00816657">
        <w:t xml:space="preserve"> several of</w:t>
      </w:r>
      <w:r w:rsidR="002D2D6C" w:rsidRPr="00816657">
        <w:t xml:space="preserve"> </w:t>
      </w:r>
      <w:r w:rsidR="003C3903" w:rsidRPr="00816657">
        <w:t xml:space="preserve">the data charts in Appendix </w:t>
      </w:r>
      <w:r w:rsidR="006D07F5" w:rsidRPr="00816657">
        <w:fldChar w:fldCharType="begin"/>
      </w:r>
      <w:r w:rsidR="003C3903" w:rsidRPr="00816657">
        <w:instrText xml:space="preserve"> REF _Ref408320744 \r \h </w:instrText>
      </w:r>
      <w:r w:rsidR="006D07F5" w:rsidRPr="00816657">
        <w:fldChar w:fldCharType="separate"/>
      </w:r>
      <w:r w:rsidR="002F3000">
        <w:t>A.4</w:t>
      </w:r>
      <w:r w:rsidR="006D07F5" w:rsidRPr="00816657">
        <w:fldChar w:fldCharType="end"/>
      </w:r>
      <w:r w:rsidR="003C3903" w:rsidRPr="00816657">
        <w:t xml:space="preserve"> </w:t>
      </w:r>
      <w:r w:rsidR="0082612F" w:rsidRPr="00816657">
        <w:t xml:space="preserve">contain one-year </w:t>
      </w:r>
      <w:r w:rsidR="003C3903" w:rsidRPr="00816657">
        <w:t xml:space="preserve">increases in data consistent with releases from storage. </w:t>
      </w:r>
      <w:r w:rsidR="0011738B" w:rsidRPr="00816657">
        <w:t>As an example, analysis shows that a large spike in the quantity of D220 waste in NSW in one year was associated with a large volume transported from interstate.</w:t>
      </w:r>
    </w:p>
    <w:p w:rsidR="002D2D6C" w:rsidRPr="00816657" w:rsidRDefault="002D2D6C" w:rsidP="002D2D6C"/>
    <w:p w:rsidR="008705CE" w:rsidRPr="00816657" w:rsidRDefault="008705CE" w:rsidP="008705CE">
      <w:pPr>
        <w:pStyle w:val="BodyText"/>
        <w:spacing w:after="120"/>
        <w:rPr>
          <w:i/>
        </w:rPr>
      </w:pPr>
      <w:r w:rsidRPr="00816657">
        <w:rPr>
          <w:i/>
        </w:rPr>
        <w:t>How have we dealt with this issue?</w:t>
      </w:r>
    </w:p>
    <w:p w:rsidR="002D2D6C" w:rsidRPr="00816657" w:rsidRDefault="0011738B" w:rsidP="0011738B">
      <w:pPr>
        <w:pStyle w:val="BodyText"/>
      </w:pPr>
      <w:r w:rsidRPr="00816657">
        <w:t>The storage release issue requires some reduction in the reliance placed on apparent trends</w:t>
      </w:r>
      <w:r w:rsidR="002D2D6C" w:rsidRPr="00816657">
        <w:t xml:space="preserve"> currently include likely storage releases. </w:t>
      </w:r>
    </w:p>
    <w:p w:rsidR="002D2D6C" w:rsidRPr="00816657" w:rsidRDefault="002D2D6C" w:rsidP="0011738B">
      <w:pPr>
        <w:pStyle w:val="BodyText"/>
        <w:tabs>
          <w:tab w:val="left" w:pos="1770"/>
        </w:tabs>
      </w:pPr>
    </w:p>
    <w:p w:rsidR="002D2D6C" w:rsidRPr="00816657" w:rsidRDefault="002D2D6C" w:rsidP="0011738B">
      <w:pPr>
        <w:pStyle w:val="BodyText"/>
      </w:pPr>
      <w:r w:rsidRPr="00816657">
        <w:t xml:space="preserve">For the purpose of establishing a baseline for projecting future quantities of waste, </w:t>
      </w:r>
      <w:r w:rsidR="0011738B" w:rsidRPr="00816657">
        <w:t xml:space="preserve">additional consideration was required. The project team </w:t>
      </w:r>
      <w:r w:rsidRPr="00816657">
        <w:t xml:space="preserve">established a procedure for validating the data point from which to </w:t>
      </w:r>
      <w:r w:rsidR="0011738B" w:rsidRPr="00816657">
        <w:t xml:space="preserve">project with a view to </w:t>
      </w:r>
      <w:r w:rsidRPr="00816657">
        <w:t>avoid</w:t>
      </w:r>
      <w:r w:rsidR="0011738B" w:rsidRPr="00816657">
        <w:t>ing</w:t>
      </w:r>
      <w:r w:rsidRPr="00816657">
        <w:t xml:space="preserve"> projecting from data points that are not representative of typical flows due to releases from storage </w:t>
      </w:r>
      <w:r w:rsidR="0011738B" w:rsidRPr="00816657">
        <w:t>(</w:t>
      </w:r>
      <w:r w:rsidRPr="00816657">
        <w:t>or other reasons</w:t>
      </w:r>
      <w:r w:rsidR="0011738B" w:rsidRPr="00816657">
        <w:t>)</w:t>
      </w:r>
      <w:r w:rsidRPr="00816657">
        <w:t xml:space="preserve">. This procedure follows the decision tree mapped out </w:t>
      </w:r>
      <w:r w:rsidR="0011738B" w:rsidRPr="00816657">
        <w:t xml:space="preserve">in </w:t>
      </w:r>
      <w:r w:rsidR="006D07F5" w:rsidRPr="00816657">
        <w:fldChar w:fldCharType="begin"/>
      </w:r>
      <w:r w:rsidR="0011738B" w:rsidRPr="00816657">
        <w:instrText xml:space="preserve"> REF _Ref408321694 \h </w:instrText>
      </w:r>
      <w:r w:rsidR="006D07F5" w:rsidRPr="00816657">
        <w:fldChar w:fldCharType="separate"/>
      </w:r>
      <w:r w:rsidR="002F3000" w:rsidRPr="00816657">
        <w:t xml:space="preserve">Figure </w:t>
      </w:r>
      <w:r w:rsidR="002F3000">
        <w:rPr>
          <w:noProof/>
        </w:rPr>
        <w:t>43</w:t>
      </w:r>
      <w:r w:rsidR="006D07F5" w:rsidRPr="00816657">
        <w:fldChar w:fldCharType="end"/>
      </w:r>
      <w:r w:rsidRPr="00816657">
        <w:t>.</w:t>
      </w:r>
    </w:p>
    <w:p w:rsidR="0091328A" w:rsidRPr="00816657" w:rsidRDefault="0091328A">
      <w:pPr>
        <w:spacing w:line="240" w:lineRule="auto"/>
      </w:pPr>
    </w:p>
    <w:p w:rsidR="0091328A" w:rsidRPr="00816657" w:rsidRDefault="0091328A" w:rsidP="0091328A">
      <w:pPr>
        <w:pStyle w:val="ListNumber"/>
      </w:pPr>
      <w:r w:rsidRPr="00816657">
        <w:t>The procedure resulted in changes to the baseline datum in relation to:</w:t>
      </w:r>
    </w:p>
    <w:p w:rsidR="0091328A" w:rsidRPr="00816657" w:rsidRDefault="0091328A" w:rsidP="0091328A">
      <w:pPr>
        <w:pStyle w:val="Bullet1"/>
      </w:pPr>
      <w:r w:rsidRPr="00816657">
        <w:t>D120, D220 and ‘other D’ in NSW</w:t>
      </w:r>
    </w:p>
    <w:p w:rsidR="0091328A" w:rsidRPr="00816657" w:rsidRDefault="0091328A" w:rsidP="0091328A">
      <w:pPr>
        <w:pStyle w:val="Bullet1"/>
      </w:pPr>
      <w:r w:rsidRPr="00816657">
        <w:t>N205b in Qld</w:t>
      </w:r>
    </w:p>
    <w:p w:rsidR="0091328A" w:rsidRPr="00816657" w:rsidRDefault="0091328A" w:rsidP="0091328A">
      <w:pPr>
        <w:pStyle w:val="Bullet1"/>
      </w:pPr>
      <w:r w:rsidRPr="00816657">
        <w:t>N205b in SA</w:t>
      </w:r>
    </w:p>
    <w:p w:rsidR="0091328A" w:rsidRPr="00816657" w:rsidRDefault="0091328A" w:rsidP="0091328A">
      <w:pPr>
        <w:pStyle w:val="Bullet1"/>
      </w:pPr>
      <w:r w:rsidRPr="00816657">
        <w:t>‘Other N’ in WA</w:t>
      </w:r>
      <w:r w:rsidR="003F01B1" w:rsidRPr="00816657">
        <w:t>.</w:t>
      </w:r>
    </w:p>
    <w:p w:rsidR="0011738B" w:rsidRPr="00816657" w:rsidRDefault="0011738B">
      <w:pPr>
        <w:spacing w:line="240" w:lineRule="auto"/>
        <w:rPr>
          <w:sz w:val="22"/>
        </w:rPr>
      </w:pPr>
      <w:r w:rsidRPr="00816657">
        <w:br w:type="page"/>
      </w:r>
    </w:p>
    <w:p w:rsidR="002D2D6C" w:rsidRPr="00816657" w:rsidRDefault="0011738B" w:rsidP="0011738B">
      <w:pPr>
        <w:pStyle w:val="ListNumber"/>
        <w:tabs>
          <w:tab w:val="left" w:pos="1995"/>
        </w:tabs>
        <w:rPr>
          <w:sz w:val="2"/>
          <w:szCs w:val="2"/>
        </w:rPr>
      </w:pPr>
      <w:r w:rsidRPr="00816657">
        <w:rPr>
          <w:sz w:val="2"/>
          <w:szCs w:val="2"/>
        </w:rPr>
        <w:lastRenderedPageBreak/>
        <w:tab/>
      </w:r>
    </w:p>
    <w:p w:rsidR="002D2D6C" w:rsidRPr="00816657" w:rsidRDefault="002D2D6C" w:rsidP="00655F62">
      <w:pPr>
        <w:pStyle w:val="Figures"/>
      </w:pPr>
      <w:bookmarkStart w:id="494" w:name="_Ref408321694"/>
      <w:bookmarkStart w:id="495" w:name="_Toc425849261"/>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43</w:t>
      </w:r>
      <w:r w:rsidR="006D07F5" w:rsidRPr="00816657">
        <w:rPr>
          <w:noProof/>
        </w:rPr>
        <w:fldChar w:fldCharType="end"/>
      </w:r>
      <w:bookmarkEnd w:id="494"/>
      <w:r w:rsidRPr="00816657">
        <w:t xml:space="preserve">: </w:t>
      </w:r>
      <w:r w:rsidRPr="00816657">
        <w:tab/>
        <w:t>Process flow diagram for assessing the representativeness of baseline data points and correcting those considered not representative</w:t>
      </w:r>
      <w:bookmarkEnd w:id="495"/>
    </w:p>
    <w:p w:rsidR="002D2D6C" w:rsidRPr="00816657" w:rsidRDefault="006D07F5" w:rsidP="002D2D6C">
      <w:pPr>
        <w:pStyle w:val="ListNumber"/>
      </w:pPr>
      <w:r>
        <w:rPr>
          <w:noProof/>
          <w:lang w:eastAsia="en-AU"/>
        </w:rPr>
        <w:pict>
          <v:group id="Group 111" o:spid="_x0000_s1053" style="position:absolute;margin-left:3.45pt;margin-top:1.3pt;width:454.65pt;height:465.9pt;z-index:251660800" coordsize="57740,5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">
            <v:group id="Group 118" o:spid="_x0000_s1054" style="position:absolute;left:5635;top:4253;width:35194;height:52147" coordsize="35193,5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line id="Straight Connector 125" o:spid="_x0000_s1056" style="position:absolute;visibility:visible;mso-wrap-style:square" from="27538,36894" to="27538,5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7GcQAAADaAAAADwAAAGRycy9kb3ducmV2LnhtbESPQWvCQBSE7wX/w/IEb7oxUBNSVwmC&#10;0NpTtaXXR/Y1Sc2+DbvbGP313YLQ4zAz3zDr7Wg6MZDzrWUFy0UCgriyuuVawftpP89B+ICssbNM&#10;Cq7kYbuZPKyx0PbCbzQcQy0ihH2BCpoQ+kJKXzVk0C9sTxy9L+sMhihdLbXDS4SbTqZJspIGW44L&#10;Dfa0a6g6H3+Mgrw6fLsyK1+Wjx99dhvS19X+M1NqNh3LJxCBxvAfvreftYIU/q7EG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nsZxAAAANoAAAAPAAAAAAAAAAAA&#10;AAAAAKECAABkcnMvZG93bnJldi54bWxQSwUGAAAAAAQABAD5AAAAkgMAAAAA&#10;" strokecolor="#0c0c0c [3213]"/>
              <v:group id="Group 126" o:spid="_x0000_s1055" style="position:absolute;width:35193;height:51567" coordsize="35193,5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Straight Connector 127" o:spid="_x0000_s1032" style="position:absolute;visibility:visible;mso-wrap-style:square" from="0,0" to="0,5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0c0c0c [3213]"/>
                <v:line id="Straight Connector 132" o:spid="_x0000_s1033" style="position:absolute;visibility:visible;mso-wrap-style:square" from="18925,10100" to="19135,5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qJcIAAADbAAAADwAAAGRycy9kb3ducmV2LnhtbERPy2rCQBTdF/yH4Qru6kRpjURHCYJQ&#10;21V94PaSuSbRzJ0wM8a0X99ZFFweznu57k0jOnK+tqxgMk5AEBdW11wqOB62r3MQPiBrbCyTgh/y&#10;sF4NXpaYafvgb+r2oRQxhH2GCqoQ2kxKX1Rk0I9tSxy5i3UGQ4SulNrhI4abRk6TZCYN1hwbKmxp&#10;U1Fx29+NgnnxeXV5mu8m76c2/e2mX7PtOVVqNOzzBYhAfXiK/90fWsFb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iqJcIAAADbAAAADwAAAAAAAAAAAAAA&#10;AAChAgAAZHJzL2Rvd25yZXYueG1sUEsFBgAAAAAEAAQA+QAAAJADAAAAAA==&#10;" strokecolor="#0c0c0c [3213]"/>
                <v:line id="Straight Connector 133" o:spid="_x0000_s1034" style="position:absolute;visibility:visible;mso-wrap-style:square" from="35193,18500" to="35193,5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RycUAAADbAAAADwAAAGRycy9kb3ducmV2LnhtbESPQWvCQBSE7wX/w/KE3urG0BpJXSUI&#10;Qq0ntaXXR/Y1Sc2+DbvbGPvru4LgcZiZb5jFajCt6Mn5xrKC6SQBQVxa3XCl4OO4eZqD8AFZY2uZ&#10;FFzIw2o5elhgru2Z99QfQiUihH2OCuoQulxKX9Zk0E9sRxy9b+sMhihdJbXDc4SbVqZJMpMGG44L&#10;NXa0rqk8HX6Ngnn5/uOKrNhOXz677K9Pd7PNV6bU43goXkEEGsI9fGu/aQXPKV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RycUAAADbAAAADwAAAAAAAAAA&#10;AAAAAAChAgAAZHJzL2Rvd25yZXYueG1sUEsFBgAAAAAEAAQA+QAAAJMDAAAAAA==&#10;" strokecolor="#0c0c0c [3213]"/>
                <v:line id="Straight Connector 134" o:spid="_x0000_s1035" style="position:absolute;visibility:visible;mso-wrap-style:square" from="9781,0" to="9883,5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AxsQAAADcAAAADwAAAGRycy9kb3ducmV2LnhtbERPTWvCQBC9F/wPywi91Y22NRJdJQhC&#10;a09axeuQHZNodjbsbmPaX+8WCr3N433OYtWbRnTkfG1ZwXiUgCAurK65VHD43DzNQPiArLGxTAq+&#10;ycNqOXhYYKbtjXfU7UMpYgj7DBVUIbSZlL6oyKAf2ZY4cmfrDIYIXSm1w1sMN42cJMlUGqw5NlTY&#10;0rqi4rr/Mgpmxfbi8jR/H78e2/Snm3xMN6dUqcdhn89BBOrDv/jP/abj/OcX+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8DGxAAAANwAAAAPAAAAAAAAAAAA&#10;AAAAAKECAABkcnMvZG93bnJldi54bWxQSwUGAAAAAAQABAD5AAAAkgMAAAAA&#10;" strokecolor="#0c0c0c [3213]"/>
              </v:group>
            </v:group>
            <v:group id="Group 135" o:spid="_x0000_s1036" style="position:absolute;width:57740;height:59171" coordsize="57740,5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6" o:spid="_x0000_s1037" style="position:absolute;left:5635;top:4572;width:36252;height:49238" coordsize="36257,4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137" o:spid="_x0000_s1038" type="#_x0000_t202" style="position:absolute;width:10098;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gMMAA&#10;AADcAAAADwAAAGRycy9kb3ducmV2LnhtbERPTWvCQBC9F/wPywi91Y1K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HgMMAAAADcAAAADwAAAAAAAAAAAAAAAACYAgAAZHJzL2Rvd25y&#10;ZXYueG1sUEsFBgAAAAAEAAQA9QAAAIUDAAAAAA==&#10;" filled="f" stroked="f">
                  <v:textbox style="mso-fit-shape-to-text:t">
                    <w:txbxContent>
                      <w:p w:rsidR="002D3096" w:rsidRDefault="002D3096" w:rsidP="002D2D6C">
                        <w:r>
                          <w:t>No         Yes</w:t>
                        </w:r>
                      </w:p>
                    </w:txbxContent>
                  </v:textbox>
                </v:shape>
                <v:shape id="Text Box 138" o:spid="_x0000_s1039" type="#_x0000_t202" style="position:absolute;left:9888;top:10205;width:9145;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0QsMA&#10;AADcAAAADwAAAGRycy9kb3ducmV2LnhtbESPQU/DMAyF70j7D5EncWPpQ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50QsMAAADcAAAADwAAAAAAAAAAAAAAAACYAgAAZHJzL2Rv&#10;d25yZXYueG1sUEsFBgAAAAAEAAQA9QAAAIgDAAAAAA==&#10;" filled="f" stroked="f">
                  <v:textbox style="mso-fit-shape-to-text:t">
                    <w:txbxContent>
                      <w:p w:rsidR="002D3096" w:rsidRDefault="002D3096" w:rsidP="002D2D6C">
                        <w:r>
                          <w:t>No       Yes</w:t>
                        </w:r>
                      </w:p>
                    </w:txbxContent>
                  </v:textbox>
                </v:shape>
                <v:shape id="Text Box 139" o:spid="_x0000_s1040" type="#_x0000_t202" style="position:absolute;left:19033;top:18924;width:17116;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2D3096" w:rsidRDefault="002D3096" w:rsidP="002D2D6C">
                        <w:r>
                          <w:t>No                   Yes</w:t>
                        </w:r>
                      </w:p>
                    </w:txbxContent>
                  </v:textbox>
                </v:shape>
                <v:shape id="Text Box 140" o:spid="_x0000_s1041" type="#_x0000_t202" style="position:absolute;left:10098;top:28494;width:9145;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2D3096" w:rsidRDefault="002D3096" w:rsidP="002D2D6C">
                        <w:r>
                          <w:t>No       Yes</w:t>
                        </w:r>
                      </w:p>
                    </w:txbxContent>
                  </v:textbox>
                </v:shape>
                <v:shape id="Text Box 141" o:spid="_x0000_s1042" type="#_x0000_t202" style="position:absolute;left:18818;top:37003;width:9145;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2D3096" w:rsidRDefault="002D3096" w:rsidP="002D2D6C">
                        <w:r>
                          <w:t>No       Yes</w:t>
                        </w:r>
                      </w:p>
                    </w:txbxContent>
                  </v:textbox>
                </v:shape>
                <v:shape id="Text Box 142" o:spid="_x0000_s1043" type="#_x0000_t202" style="position:absolute;left:27112;top:46674;width:9145;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2D3096" w:rsidRDefault="002D3096" w:rsidP="002D2D6C">
                        <w:r>
                          <w:t>Yes      No</w:t>
                        </w:r>
                      </w:p>
                    </w:txbxContent>
                  </v:textbox>
                </v:shape>
              </v:group>
              <v:group id="Group 143" o:spid="_x0000_s1044" style="position:absolute;width:57740;height:59171" coordsize="57740,5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_x0000_s1045" type="#_x0000_t202" style="position:absolute;width:21056;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nsb4A&#10;AADbAAAADwAAAGRycy9kb3ducmV2LnhtbESPzQrCMBCE74LvEFbwpqmCotUoIggiiviD56VZ22Kz&#10;KU209e2NIHgcZuYbZr5sTCFeVLncsoJBPwJBnFidc6rgetn0JiCcR9ZYWCYFb3KwXLRbc4y1rflE&#10;r7NPRYCwi1FB5n0ZS+mSjAy6vi2Jg3e3lUEfZJVKXWEd4KaQwygaS4M5h4UMS1pnlDzOT6PgII/b&#10;Xenc09yioiY7muK+9kp1O81qBsJT4//hX3urFYwG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Cp7G+AAAA2wAAAA8AAAAAAAAAAAAAAAAAmAIAAGRycy9kb3ducmV2&#10;LnhtbFBLBQYAAAAABAAEAPUAAACDAwAAAAA=&#10;" fillcolor="#f2f2f2 [3052]" strokecolor="#7f7f7f [1612]">
                  <v:textbox style="mso-fit-shape-to-text:t">
                    <w:txbxContent>
                      <w:p w:rsidR="002D3096" w:rsidRDefault="002D3096" w:rsidP="002D2D6C">
                        <w:r>
                          <w:t>Are tonnages available for the two years previous to the baseline?</w:t>
                        </w:r>
                      </w:p>
                    </w:txbxContent>
                  </v:textbox>
                </v:shape>
                <v:shape id="_x0000_s1046" type="#_x0000_t202" style="position:absolute;left:10632;top:26900;width:21053;height:5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5xr4A&#10;AADbAAAADwAAAGRycy9kb3ducmV2LnhtbESPzQrCMBCE74LvEFbwpqmCotUoIggiiviD56VZ22Kz&#10;KU209e2NIHgcZuYbZr5sTCFeVLncsoJBPwJBnFidc6rgetn0JiCcR9ZYWCYFb3KwXLRbc4y1rflE&#10;r7NPRYCwi1FB5n0ZS+mSjAy6vi2Jg3e3lUEfZJVKXWEd4KaQwygaS4M5h4UMS1pnlDzOT6PgII/b&#10;Xenc09yioiY7muK+9kp1O81qBsJT4//hX3urFYyG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QOca+AAAA2wAAAA8AAAAAAAAAAAAAAAAAmAIAAGRycy9kb3ducmV2&#10;LnhtbFBLBQYAAAAABAAEAPUAAACDAwAAAAA=&#10;" fillcolor="#f2f2f2 [3052]" strokecolor="#7f7f7f [1612]">
                  <v:textbox style="mso-fit-shape-to-text:t">
                    <w:txbxContent>
                      <w:p w:rsidR="002D3096" w:rsidRDefault="002D3096" w:rsidP="002D2D6C">
                        <w:r>
                          <w:t>Is the difference between the baseline tonnage and the previous year &gt;1,000?</w:t>
                        </w:r>
                      </w:p>
                    </w:txbxContent>
                  </v:textbox>
                </v:shape>
                <v:shape id="Text Box 146" o:spid="_x0000_s1047" type="#_x0000_t202" style="position:absolute;left:18179;top:36893;width:21051;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EKcMA&#10;AADbAAAADwAAAGRycy9kb3ducmV2LnhtbESPS2vDMBCE74X8B7GB3mq5pSmJa9mEQCGUhJIHOS/W&#10;1ja1VsaSH/33USCQ4zAz3zBpPplGDNS52rKC1ygGQVxYXXOp4Hz6elmCcB5ZY2OZFPyTgzybPaWY&#10;aDvygYajL0WAsEtQQeV9m0jpiooMusi2xMH7tZ1BH2RXSt3hGOCmkW9x/CEN1hwWKmxpU1Hxd+yN&#10;gr382X63zvXmEjcj2cUKd6NX6nk+rT9BeJr8I3xvb7WCxTvcvoQf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UEKcMAAADbAAAADwAAAAAAAAAAAAAAAACYAgAAZHJzL2Rv&#10;d25yZXYueG1sUEsFBgAAAAAEAAQA9QAAAIgDAAAAAA==&#10;" fillcolor="#f2f2f2 [3052]" strokecolor="#7f7f7f [1612]">
                  <v:textbox style="mso-fit-shape-to-text:t">
                    <w:txbxContent>
                      <w:p w:rsidR="002D3096" w:rsidRDefault="002D3096" w:rsidP="002D2D6C">
                        <w:r>
                          <w:t>Is the baseline tonnage &gt;2x or &lt;0.5x the previous year?</w:t>
                        </w:r>
                      </w:p>
                    </w:txbxContent>
                  </v:textbox>
                </v:shape>
                <v:shape id="Text Box 147" o:spid="_x0000_s1048" type="#_x0000_t202" style="position:absolute;left:26475;top:44763;width:21796;height:5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hssIA&#10;AADbAAAADwAAAGRycy9kb3ducmV2LnhtbESPQWvCQBSE70L/w/IK3sxGIaVNs4oUCkEs0lh6fmSf&#10;STD7NmQ3Jv57VxA8DjPzDZNtJtOKC/WusaxgGcUgiEurG64U/B2/F+8gnEfW2FomBVdysFm/zDJM&#10;tR35ly6Fr0SAsEtRQe19l0rpypoMush2xME72d6gD7KvpO5xDHDTylUcv0mDDYeFGjv6qqk8F4NR&#10;8CMP+a5zbjD/cTuSTT5wP3ql5q/T9hOEp8k/w492rhUkCdy/h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aGywgAAANsAAAAPAAAAAAAAAAAAAAAAAJgCAABkcnMvZG93&#10;bnJldi54bWxQSwUGAAAAAAQABAD1AAAAhwMAAAAA&#10;" fillcolor="#f2f2f2 [3052]" strokecolor="#7f7f7f [1612]">
                  <v:textbox style="mso-fit-shape-to-text:t">
                    <w:txbxContent>
                      <w:p w:rsidR="002D3096" w:rsidRDefault="002D3096" w:rsidP="002D2D6C">
                        <w:r>
                          <w:t>Based on careful examination, expertise and judgement, is the data point likely to be representative?</w:t>
                        </w:r>
                      </w:p>
                    </w:txbxContent>
                  </v:textbox>
                </v:shape>
                <v:shape id="_x0000_s1049" type="#_x0000_t202" style="position:absolute;left:10632;top:8399;width:21053;height:5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xb4A&#10;AADbAAAADwAAAGRycy9kb3ducmV2LnhtbESPzQrCMBCE74LvEFbwpqmCotUoIggiiviD56VZ22Kz&#10;KU209e2NIHgcZuYbZr5sTCFeVLncsoJBPwJBnFidc6rgetn0JiCcR9ZYWCYFb3KwXLRbc4y1rflE&#10;r7NPRYCwi1FB5n0ZS+mSjAy6vi2Jg3e3lUEfZJVKXWEd4KaQwygaS4M5h4UMS1pnlDzOT6PgII/b&#10;Xenc09yioiY7muK+9kp1O81qBsJT4//hX3urFYzG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rP8W+AAAA2wAAAA8AAAAAAAAAAAAAAAAAmAIAAGRycy9kb3ducmV2&#10;LnhtbFBLBQYAAAAABAAEAPUAAACDAwAAAAA=&#10;" fillcolor="#f2f2f2 [3052]" strokecolor="#7f7f7f [1612]">
                  <v:textbox style="mso-fit-shape-to-text:t">
                    <w:txbxContent>
                      <w:p w:rsidR="002D3096" w:rsidRDefault="002D3096" w:rsidP="002D2D6C">
                        <w:r>
                          <w:t>Is the difference between the baseline tonnage and the average of the last three years &gt;1,000?</w:t>
                        </w:r>
                      </w:p>
                    </w:txbxContent>
                  </v:textbox>
                </v:shape>
                <v:shape id="_x0000_s1050" type="#_x0000_t202" style="position:absolute;left:1594;top:54864;width:32855;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XsEA&#10;AADbAAAADwAAAGRycy9kb3ducmV2LnhtbESP3YrCMBSE7xd8h3AE79ZUwV2tpkUEQWRl8QevD82x&#10;LTYnpYm2vr0RBC+HmfmGWaSdqcSdGldaVjAaRiCIM6tLzhWcjuvvKQjnkTVWlknBgxykSe9rgbG2&#10;Le/pfvC5CBB2MSoovK9jKV1WkEE3tDVx8C62MeiDbHKpG2wD3FRyHEU/0mDJYaHAmlYFZdfDzSjY&#10;yf/NtnbuZs5R1ZKdzPCv9UoN+t1yDsJT5z/hd3ujFUx+4fUl/A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nml7BAAAA2wAAAA8AAAAAAAAAAAAAAAAAmAIAAGRycy9kb3du&#10;cmV2LnhtbFBLBQYAAAAABAAEAPUAAACGAwAAAAA=&#10;" fillcolor="#f2f2f2 [3052]" strokecolor="#7f7f7f [1612]">
                  <v:textbox style="mso-fit-shape-to-text:t">
                    <w:txbxContent>
                      <w:p w:rsidR="002D3096" w:rsidRDefault="002D3096" w:rsidP="002D2D6C">
                        <w:r>
                          <w:t>Accept the baseline data point</w:t>
                        </w:r>
                      </w:p>
                    </w:txbxContent>
                  </v:textbox>
                </v:shape>
                <v:shape id="_x0000_s1051" type="#_x0000_t202" style="position:absolute;left:36575;top:54859;width:21165;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OLLsA&#10;AADbAAAADwAAAGRycy9kb3ducmV2LnhtbERP3QoBQRS+V95hOsodsxSxDEkpiWTJ9Wnn2N3snNl2&#10;hl1vby6Uy6/vf7luTSneVLvCsoLRMAJBnFpdcKbgdt0NZiCcR9ZYWiYFH3KwXnU7S4y1bfhC78Rn&#10;IoSwi1FB7n0VS+nSnAy6oa2IA/ewtUEfYJ1JXWMTwk0px1E0lQYLDg05VrTNKX0mL6PgJM/7Q+Xc&#10;y9yjsiE7meOx8Ur1e+1mAcJT6//in3uvFUzC2PAl/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p4Diy7AAAA2wAAAA8AAAAAAAAAAAAAAAAAmAIAAGRycy9kb3ducmV2Lnht&#10;bFBLBQYAAAAABAAEAPUAAACAAwAAAAA=&#10;" fillcolor="#f2f2f2 [3052]" strokecolor="#7f7f7f [1612]">
                  <v:textbox style="mso-fit-shape-to-text:t">
                    <w:txbxContent>
                      <w:p w:rsidR="002D3096" w:rsidRDefault="002D3096" w:rsidP="002D2D6C">
                        <w:r>
                          <w:t>Reject the baseline data point. Use the average of the last 3 years</w:t>
                        </w:r>
                      </w:p>
                    </w:txbxContent>
                  </v:textbox>
                </v:shape>
                <v:shape id="Text Box 151" o:spid="_x0000_s1052" type="#_x0000_t202" style="position:absolute;left:21796;top:18499;width:21050;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OlMMA&#10;AADbAAAADwAAAGRycy9kb3ducmV2LnhtbESPzWrDMBCE74G8g9hAb4nc0pjEjWxCoGBKQ8kPOS/W&#10;1ja1VkZSYvftq0Cgx2FmvmE2xWg6cSPnW8sKnhcJCOLK6pZrBefT+3wFwgdkjZ1lUvBLHop8Otlg&#10;pu3AB7odQy0ihH2GCpoQ+kxKXzVk0C9sTxy9b+sMhihdLbXDIcJNJ1+SJJUGW44LDfa0a6j6OV6N&#10;gr38Kj9676/mknQD2eUaP4eg1NNs3L6BCDSG//CjXWoF6Svcv8Qf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nOlMMAAADbAAAADwAAAAAAAAAAAAAAAACYAgAAZHJzL2Rv&#10;d25yZXYueG1sUEsFBgAAAAAEAAQA9QAAAIgDAAAAAA==&#10;" fillcolor="#f2f2f2 [3052]" strokecolor="#7f7f7f [1612]">
                  <v:textbox style="mso-fit-shape-to-text:t">
                    <w:txbxContent>
                      <w:p w:rsidR="002D3096" w:rsidRDefault="002D3096" w:rsidP="002D2D6C">
                        <w:r>
                          <w:t>Is the baseline tonnage &gt;2x or &lt;0.5x the 3-year average?</w:t>
                        </w:r>
                      </w:p>
                    </w:txbxContent>
                  </v:textbox>
                </v:shape>
              </v:group>
            </v:group>
          </v:group>
        </w:pict>
      </w: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tabs>
          <w:tab w:val="left" w:pos="1725"/>
        </w:tabs>
      </w:pPr>
      <w:r w:rsidRPr="00816657">
        <w:tab/>
      </w: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2D2D6C" w:rsidRPr="00816657" w:rsidRDefault="002D2D6C" w:rsidP="002D2D6C">
      <w:pPr>
        <w:pStyle w:val="ListNumber"/>
      </w:pPr>
    </w:p>
    <w:p w:rsidR="0091328A" w:rsidRPr="00816657" w:rsidRDefault="0091328A" w:rsidP="002D2D6C">
      <w:pPr>
        <w:pStyle w:val="ListNumber"/>
      </w:pPr>
    </w:p>
    <w:p w:rsidR="002D2D6C" w:rsidRPr="00816657" w:rsidRDefault="008705CE" w:rsidP="008705CE">
      <w:pPr>
        <w:pStyle w:val="Heading3"/>
        <w:tabs>
          <w:tab w:val="left" w:pos="426"/>
        </w:tabs>
      </w:pPr>
      <w:bookmarkStart w:id="496" w:name="_Toc408308761"/>
      <w:bookmarkStart w:id="497" w:name="_Ref400448087"/>
      <w:bookmarkStart w:id="498" w:name="_Toc400456466"/>
      <w:r w:rsidRPr="00816657">
        <w:t>4.</w:t>
      </w:r>
      <w:r w:rsidRPr="00816657">
        <w:tab/>
      </w:r>
      <w:r w:rsidR="002D2D6C" w:rsidRPr="00816657">
        <w:t xml:space="preserve">How to </w:t>
      </w:r>
      <w:r w:rsidRPr="00816657">
        <w:t>deal with</w:t>
      </w:r>
      <w:r w:rsidR="002D2D6C" w:rsidRPr="00816657">
        <w:t xml:space="preserve"> onsite </w:t>
      </w:r>
      <w:r w:rsidRPr="00816657">
        <w:t xml:space="preserve">disposal of </w:t>
      </w:r>
      <w:r w:rsidR="002D2D6C" w:rsidRPr="00816657">
        <w:t>hazardous waste</w:t>
      </w:r>
      <w:bookmarkEnd w:id="496"/>
    </w:p>
    <w:p w:rsidR="002D2D6C" w:rsidRPr="00816657" w:rsidRDefault="002D2D6C" w:rsidP="002D2D6C">
      <w:pPr>
        <w:rPr>
          <w:sz w:val="22"/>
        </w:rPr>
      </w:pPr>
      <w:r w:rsidRPr="00816657">
        <w:rPr>
          <w:sz w:val="22"/>
        </w:rPr>
        <w:t>At the jurisdictional level, hazardous waste management and classification is built around the risks associated its transport. In other words, in terms of tracking data, a hazardous waste is not deemed to be a hazardous waste until it is loaded onto a truck for treatment off-site.</w:t>
      </w:r>
    </w:p>
    <w:p w:rsidR="002D2D6C" w:rsidRPr="00816657" w:rsidRDefault="002D2D6C" w:rsidP="002D2D6C">
      <w:pPr>
        <w:rPr>
          <w:sz w:val="22"/>
        </w:rPr>
      </w:pPr>
    </w:p>
    <w:p w:rsidR="002D2D6C" w:rsidRPr="00816657" w:rsidRDefault="002D2D6C" w:rsidP="002D2D6C">
      <w:pPr>
        <w:rPr>
          <w:sz w:val="22"/>
        </w:rPr>
      </w:pPr>
      <w:r w:rsidRPr="00816657">
        <w:rPr>
          <w:sz w:val="22"/>
        </w:rPr>
        <w:t xml:space="preserve">Consequently, this raises an issue regarding the hidden aspect of hazardous waste. Is a waste hazardous because of its inherent characteristics, where it is generated on-site, or is it only hazardous when it is collected by a truck when those inherent characteristics have the potential to cause harm off-site? </w:t>
      </w:r>
    </w:p>
    <w:p w:rsidR="002D2D6C" w:rsidRPr="00816657" w:rsidRDefault="002D2D6C" w:rsidP="002D2D6C">
      <w:pPr>
        <w:rPr>
          <w:sz w:val="22"/>
        </w:rPr>
      </w:pPr>
    </w:p>
    <w:p w:rsidR="002D2D6C" w:rsidRPr="00816657" w:rsidRDefault="002D2D6C" w:rsidP="002D2D6C">
      <w:pPr>
        <w:rPr>
          <w:sz w:val="22"/>
        </w:rPr>
      </w:pPr>
      <w:r w:rsidRPr="00816657">
        <w:rPr>
          <w:sz w:val="22"/>
        </w:rPr>
        <w:t>Arguably there are mechanisms in place onsite to manage risks posed by a hazardous material, but these relate primarily to workplace health and safety.</w:t>
      </w:r>
    </w:p>
    <w:p w:rsidR="002D2D6C" w:rsidRPr="00816657" w:rsidRDefault="002D2D6C" w:rsidP="002D2D6C">
      <w:pPr>
        <w:pStyle w:val="BodyText"/>
        <w:rPr>
          <w:b/>
        </w:rPr>
      </w:pPr>
    </w:p>
    <w:p w:rsidR="002D2D6C" w:rsidRPr="00816657" w:rsidRDefault="002D2D6C" w:rsidP="008705CE">
      <w:pPr>
        <w:pStyle w:val="BodyText"/>
        <w:spacing w:after="120"/>
        <w:rPr>
          <w:i/>
        </w:rPr>
      </w:pPr>
      <w:bookmarkStart w:id="499" w:name="_Toc408308763"/>
      <w:r w:rsidRPr="00816657">
        <w:rPr>
          <w:i/>
        </w:rPr>
        <w:lastRenderedPageBreak/>
        <w:t>Why is this problematic?</w:t>
      </w:r>
      <w:bookmarkEnd w:id="499"/>
    </w:p>
    <w:p w:rsidR="002D2D6C" w:rsidRPr="00816657" w:rsidRDefault="002D2D6C" w:rsidP="002D2D6C">
      <w:pPr>
        <w:rPr>
          <w:sz w:val="22"/>
        </w:rPr>
      </w:pPr>
      <w:r w:rsidRPr="00816657">
        <w:rPr>
          <w:sz w:val="22"/>
        </w:rPr>
        <w:t>A substantial quantity of hazardous waste is generated and managed on-site in industrial settings that do not appear in waste tracking data. This means that it is not recorded or reported (and potentially managed) as hazardous waste.</w:t>
      </w:r>
    </w:p>
    <w:p w:rsidR="002D2D6C" w:rsidRPr="00816657" w:rsidRDefault="002D2D6C" w:rsidP="002D2D6C">
      <w:pPr>
        <w:pStyle w:val="BodyText"/>
      </w:pPr>
    </w:p>
    <w:p w:rsidR="002D2D6C" w:rsidRPr="00816657" w:rsidRDefault="002D2D6C" w:rsidP="008705CE">
      <w:pPr>
        <w:pStyle w:val="BodyText"/>
        <w:spacing w:after="120"/>
        <w:rPr>
          <w:i/>
        </w:rPr>
      </w:pPr>
      <w:bookmarkStart w:id="500" w:name="_Toc408308764"/>
      <w:r w:rsidRPr="00816657">
        <w:rPr>
          <w:i/>
        </w:rPr>
        <w:t>What is the scale of the issue?</w:t>
      </w:r>
      <w:bookmarkEnd w:id="500"/>
    </w:p>
    <w:p w:rsidR="002D2D6C" w:rsidRPr="00816657" w:rsidRDefault="002D2D6C" w:rsidP="002D2D6C">
      <w:pPr>
        <w:pStyle w:val="BodyText"/>
      </w:pPr>
      <w:r w:rsidRPr="00816657">
        <w:t xml:space="preserve">As an example, </w:t>
      </w:r>
      <w:r w:rsidR="00265F3D" w:rsidRPr="00816657">
        <w:t>6</w:t>
      </w:r>
      <w:r w:rsidR="006B53E3">
        <w:t>,</w:t>
      </w:r>
      <w:r w:rsidR="00265F3D" w:rsidRPr="00816657">
        <w:t>450t</w:t>
      </w:r>
      <w:r w:rsidR="00D06841">
        <w:t xml:space="preserve"> </w:t>
      </w:r>
      <w:r w:rsidR="00265F3D">
        <w:t xml:space="preserve">of </w:t>
      </w:r>
      <w:r w:rsidRPr="00816657">
        <w:t xml:space="preserve">fly ash, which typically contains levels of heavy metals that classify it as a hazardous waste, is identified through tracking data as produced </w:t>
      </w:r>
      <w:r w:rsidR="00265F3D" w:rsidRPr="00816657">
        <w:t>in 2011</w:t>
      </w:r>
      <w:r w:rsidR="00265F3D">
        <w:t xml:space="preserve"> across</w:t>
      </w:r>
      <w:r w:rsidRPr="00816657">
        <w:t xml:space="preserve"> Victoria, New South Wales, Queensland, South Australia and Western Australia. However, actual quantities of fly ash generated from coal-fired electricity generation in Australia, which are largely managed onsite and therefore not deemed a hazardous waste for the purpose of this study, dwarf </w:t>
      </w:r>
      <w:r w:rsidR="008705CE" w:rsidRPr="00816657">
        <w:t xml:space="preserve">this quantity </w:t>
      </w:r>
      <w:r w:rsidRPr="00816657">
        <w:t>by approximately three orders of magnitude.</w:t>
      </w:r>
    </w:p>
    <w:p w:rsidR="002D2D6C" w:rsidRPr="00816657" w:rsidRDefault="002D2D6C" w:rsidP="002D2D6C">
      <w:pPr>
        <w:pStyle w:val="BodyText"/>
      </w:pPr>
    </w:p>
    <w:p w:rsidR="008705CE" w:rsidRPr="00816657" w:rsidRDefault="008705CE" w:rsidP="008705CE">
      <w:pPr>
        <w:pStyle w:val="BodyText"/>
        <w:spacing w:after="120"/>
        <w:rPr>
          <w:i/>
        </w:rPr>
      </w:pPr>
      <w:r w:rsidRPr="00816657">
        <w:rPr>
          <w:i/>
        </w:rPr>
        <w:t>How have we dealt with this issue?</w:t>
      </w:r>
    </w:p>
    <w:p w:rsidR="002D2D6C" w:rsidRPr="00816657" w:rsidRDefault="002D2D6C" w:rsidP="002D2D6C">
      <w:pPr>
        <w:pStyle w:val="ListNumber"/>
      </w:pPr>
      <w:r w:rsidRPr="00816657">
        <w:t>Only tracked data and clearly generated, transported but not tracked data (via estimation) have been included in projections.</w:t>
      </w:r>
    </w:p>
    <w:p w:rsidR="002D2D6C" w:rsidRPr="00816657" w:rsidRDefault="002D2D6C" w:rsidP="002D2D6C">
      <w:pPr>
        <w:pStyle w:val="ListNumber"/>
        <w:ind w:left="340" w:hanging="340"/>
      </w:pPr>
    </w:p>
    <w:p w:rsidR="00820696" w:rsidRPr="00816657" w:rsidRDefault="00820696" w:rsidP="00820696">
      <w:pPr>
        <w:pStyle w:val="Heading3"/>
      </w:pPr>
      <w:r w:rsidRPr="00816657">
        <w:t>Differences in measurement methods</w:t>
      </w:r>
    </w:p>
    <w:p w:rsidR="00820696" w:rsidRPr="00816657" w:rsidRDefault="0065269F" w:rsidP="002D2D6C">
      <w:pPr>
        <w:rPr>
          <w:sz w:val="22"/>
        </w:rPr>
      </w:pPr>
      <w:r w:rsidRPr="00816657">
        <w:rPr>
          <w:sz w:val="22"/>
        </w:rPr>
        <w:t>Waste data is variably recorded in jurisdictional tracking systems by mass (kilograms or tonnes), volume (litres or cubic metres) or by number of items (</w:t>
      </w:r>
      <w:r w:rsidR="00F33836" w:rsidRPr="00816657">
        <w:rPr>
          <w:sz w:val="22"/>
        </w:rPr>
        <w:t>in particular, with waste</w:t>
      </w:r>
      <w:r w:rsidRPr="00816657">
        <w:rPr>
          <w:sz w:val="22"/>
        </w:rPr>
        <w:t xml:space="preserve"> drums</w:t>
      </w:r>
      <w:r w:rsidR="00F33836" w:rsidRPr="00816657">
        <w:rPr>
          <w:sz w:val="22"/>
        </w:rPr>
        <w:t xml:space="preserve"> that previously contained hazardous waste</w:t>
      </w:r>
      <w:r w:rsidRPr="00816657">
        <w:rPr>
          <w:sz w:val="22"/>
        </w:rPr>
        <w:t xml:space="preserve">). Often multiple methods are used for a particular jurisdiction and waste code. </w:t>
      </w:r>
    </w:p>
    <w:p w:rsidR="0065269F" w:rsidRPr="00816657" w:rsidRDefault="0065269F" w:rsidP="002D2D6C">
      <w:pPr>
        <w:rPr>
          <w:sz w:val="22"/>
        </w:rPr>
      </w:pPr>
    </w:p>
    <w:p w:rsidR="0065269F" w:rsidRPr="00816657" w:rsidRDefault="0065269F" w:rsidP="0065269F">
      <w:pPr>
        <w:pStyle w:val="BodyText"/>
        <w:spacing w:after="120"/>
        <w:rPr>
          <w:i/>
        </w:rPr>
      </w:pPr>
      <w:r w:rsidRPr="00816657">
        <w:rPr>
          <w:i/>
        </w:rPr>
        <w:t>Why is this problematic?</w:t>
      </w:r>
    </w:p>
    <w:p w:rsidR="0065269F" w:rsidRPr="00816657" w:rsidRDefault="0065269F" w:rsidP="0065269F">
      <w:pPr>
        <w:pStyle w:val="BodyText"/>
      </w:pPr>
      <w:r w:rsidRPr="00816657">
        <w:t>The analysis of trends and projections within categories requires a consistent measurement framework.</w:t>
      </w:r>
    </w:p>
    <w:p w:rsidR="0065269F" w:rsidRPr="00816657" w:rsidRDefault="0065269F" w:rsidP="0065269F">
      <w:pPr>
        <w:pStyle w:val="BodyText"/>
      </w:pPr>
    </w:p>
    <w:p w:rsidR="0065269F" w:rsidRPr="00816657" w:rsidRDefault="0065269F" w:rsidP="0065269F">
      <w:pPr>
        <w:pStyle w:val="BodyText"/>
        <w:spacing w:after="120"/>
        <w:rPr>
          <w:i/>
        </w:rPr>
      </w:pPr>
      <w:r w:rsidRPr="00816657">
        <w:rPr>
          <w:i/>
        </w:rPr>
        <w:t>How have we dealt with this issue?</w:t>
      </w:r>
    </w:p>
    <w:p w:rsidR="0065269F" w:rsidRPr="00816657" w:rsidRDefault="0065269F" w:rsidP="002D2D6C">
      <w:pPr>
        <w:rPr>
          <w:sz w:val="22"/>
        </w:rPr>
      </w:pPr>
      <w:r w:rsidRPr="00816657">
        <w:rPr>
          <w:sz w:val="22"/>
        </w:rPr>
        <w:t>Quantities were converted to the common unit of tonnes based on the conversion factors tabulated below.</w:t>
      </w:r>
    </w:p>
    <w:p w:rsidR="0065269F" w:rsidRPr="00816657" w:rsidRDefault="0065269F" w:rsidP="002D2D6C">
      <w:pPr>
        <w:rPr>
          <w:sz w:val="22"/>
        </w:rPr>
      </w:pPr>
    </w:p>
    <w:p w:rsidR="0065269F" w:rsidRPr="00816657" w:rsidRDefault="0065269F" w:rsidP="00655F62">
      <w:pPr>
        <w:pStyle w:val="Figures"/>
      </w:pPr>
      <w:bookmarkStart w:id="501" w:name="_Toc425849353"/>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68</w:t>
      </w:r>
      <w:r w:rsidR="006D07F5" w:rsidRPr="00816657">
        <w:rPr>
          <w:noProof/>
        </w:rPr>
        <w:fldChar w:fldCharType="end"/>
      </w:r>
      <w:r w:rsidRPr="00816657">
        <w:t xml:space="preserve">: </w:t>
      </w:r>
      <w:r w:rsidRPr="00816657">
        <w:tab/>
        <w:t>Method for converting measurement units into tonnes</w:t>
      </w:r>
      <w:bookmarkEnd w:id="501"/>
    </w:p>
    <w:tbl>
      <w:tblPr>
        <w:tblStyle w:val="BETable1"/>
        <w:tblW w:w="9070" w:type="dxa"/>
        <w:tblLayout w:type="fixed"/>
        <w:tblLook w:val="04A0"/>
      </w:tblPr>
      <w:tblGrid>
        <w:gridCol w:w="1560"/>
        <w:gridCol w:w="7510"/>
      </w:tblGrid>
      <w:tr w:rsidR="0065269F" w:rsidRPr="00816657" w:rsidTr="000818BD">
        <w:trPr>
          <w:cnfStyle w:val="100000000000"/>
        </w:trPr>
        <w:tc>
          <w:tcPr>
            <w:cnfStyle w:val="001000000000"/>
            <w:tcW w:w="1560" w:type="dxa"/>
          </w:tcPr>
          <w:p w:rsidR="0065269F" w:rsidRPr="00816657" w:rsidRDefault="0065269F" w:rsidP="0065269F">
            <w:r w:rsidRPr="00816657">
              <w:t>Data unit</w:t>
            </w:r>
          </w:p>
        </w:tc>
        <w:tc>
          <w:tcPr>
            <w:tcW w:w="7510" w:type="dxa"/>
          </w:tcPr>
          <w:p w:rsidR="0065269F" w:rsidRPr="00816657" w:rsidRDefault="0065269F" w:rsidP="0065269F">
            <w:pPr>
              <w:cnfStyle w:val="100000000000"/>
            </w:pPr>
            <w:r w:rsidRPr="00816657">
              <w:t>Conversion mechanism</w:t>
            </w:r>
          </w:p>
        </w:tc>
      </w:tr>
      <w:tr w:rsidR="0065269F" w:rsidRPr="00816657" w:rsidTr="000818BD">
        <w:tc>
          <w:tcPr>
            <w:cnfStyle w:val="001000000000"/>
            <w:tcW w:w="1560" w:type="dxa"/>
          </w:tcPr>
          <w:p w:rsidR="0065269F" w:rsidRPr="00816657" w:rsidRDefault="000818BD" w:rsidP="0065269F">
            <w:r w:rsidRPr="00816657">
              <w:t>Kilograms</w:t>
            </w:r>
          </w:p>
        </w:tc>
        <w:tc>
          <w:tcPr>
            <w:tcW w:w="7510" w:type="dxa"/>
          </w:tcPr>
          <w:p w:rsidR="0065269F" w:rsidRPr="00816657" w:rsidRDefault="004C3A31" w:rsidP="0065269F">
            <w:pPr>
              <w:cnfStyle w:val="000000000000"/>
            </w:pPr>
            <w:r w:rsidRPr="00816657">
              <w:t>Multiplied</w:t>
            </w:r>
            <w:r w:rsidR="000818BD" w:rsidRPr="00816657">
              <w:t xml:space="preserve"> by 1,000</w:t>
            </w:r>
          </w:p>
        </w:tc>
      </w:tr>
      <w:tr w:rsidR="004C3A31" w:rsidRPr="00816657" w:rsidTr="000818BD">
        <w:tc>
          <w:tcPr>
            <w:cnfStyle w:val="001000000000"/>
            <w:tcW w:w="1560" w:type="dxa"/>
          </w:tcPr>
          <w:p w:rsidR="004C3A31" w:rsidRPr="00816657" w:rsidRDefault="004C3A31" w:rsidP="0065269F">
            <w:r w:rsidRPr="00816657">
              <w:t>Litres</w:t>
            </w:r>
          </w:p>
        </w:tc>
        <w:tc>
          <w:tcPr>
            <w:tcW w:w="7510" w:type="dxa"/>
          </w:tcPr>
          <w:p w:rsidR="004C3A31" w:rsidRPr="00816657" w:rsidRDefault="004C3A31" w:rsidP="004C3A31">
            <w:pPr>
              <w:cnfStyle w:val="000000000000"/>
            </w:pPr>
            <w:r w:rsidRPr="00816657">
              <w:t>These are mostly liquids. A density of 1t / m</w:t>
            </w:r>
            <w:r w:rsidRPr="00816657">
              <w:rPr>
                <w:vertAlign w:val="superscript"/>
              </w:rPr>
              <w:t>3</w:t>
            </w:r>
            <w:r w:rsidRPr="00816657">
              <w:t xml:space="preserve"> was assumed.</w:t>
            </w:r>
          </w:p>
        </w:tc>
      </w:tr>
      <w:tr w:rsidR="0065269F" w:rsidRPr="00816657" w:rsidTr="000818BD">
        <w:tc>
          <w:tcPr>
            <w:cnfStyle w:val="001000000000"/>
            <w:tcW w:w="1560" w:type="dxa"/>
          </w:tcPr>
          <w:p w:rsidR="0065269F" w:rsidRPr="00816657" w:rsidRDefault="000818BD" w:rsidP="0065269F">
            <w:r w:rsidRPr="00816657">
              <w:t>Cubic metres</w:t>
            </w:r>
          </w:p>
        </w:tc>
        <w:tc>
          <w:tcPr>
            <w:tcW w:w="7510" w:type="dxa"/>
          </w:tcPr>
          <w:p w:rsidR="009370BA" w:rsidRPr="00816657" w:rsidRDefault="004C3A31" w:rsidP="006909E5">
            <w:pPr>
              <w:cnfStyle w:val="000000000000"/>
            </w:pPr>
            <w:r w:rsidRPr="00816657">
              <w:t>A</w:t>
            </w:r>
            <w:r w:rsidR="000818BD" w:rsidRPr="00816657">
              <w:t xml:space="preserve"> density of 1</w:t>
            </w:r>
            <w:r w:rsidR="00F33836" w:rsidRPr="00816657">
              <w:t xml:space="preserve"> t </w:t>
            </w:r>
            <w:r w:rsidR="000818BD" w:rsidRPr="00816657">
              <w:t>m</w:t>
            </w:r>
            <w:r w:rsidR="00F33836" w:rsidRPr="00816657">
              <w:rPr>
                <w:vertAlign w:val="superscript"/>
              </w:rPr>
              <w:t>-</w:t>
            </w:r>
            <w:r w:rsidR="000818BD" w:rsidRPr="00816657">
              <w:rPr>
                <w:vertAlign w:val="superscript"/>
              </w:rPr>
              <w:t>3</w:t>
            </w:r>
            <w:r w:rsidRPr="00816657">
              <w:t xml:space="preserve"> was assumed</w:t>
            </w:r>
          </w:p>
        </w:tc>
      </w:tr>
      <w:tr w:rsidR="0065269F" w:rsidRPr="00816657" w:rsidTr="000818BD">
        <w:tc>
          <w:tcPr>
            <w:cnfStyle w:val="001000000000"/>
            <w:tcW w:w="1560" w:type="dxa"/>
          </w:tcPr>
          <w:p w:rsidR="0065269F" w:rsidRPr="00816657" w:rsidRDefault="00F33836" w:rsidP="00F33836">
            <w:r w:rsidRPr="00816657">
              <w:t>Empty drums</w:t>
            </w:r>
          </w:p>
        </w:tc>
        <w:tc>
          <w:tcPr>
            <w:tcW w:w="7510" w:type="dxa"/>
          </w:tcPr>
          <w:p w:rsidR="0065269F" w:rsidRPr="00816657" w:rsidRDefault="009370BA" w:rsidP="0065269F">
            <w:pPr>
              <w:cnfStyle w:val="000000000000"/>
            </w:pPr>
            <w:r w:rsidRPr="00816657">
              <w:t>A density of 17 kg m</w:t>
            </w:r>
            <w:r w:rsidRPr="00816657">
              <w:rPr>
                <w:vertAlign w:val="superscript"/>
              </w:rPr>
              <w:t>-3</w:t>
            </w:r>
            <w:r w:rsidRPr="00816657">
              <w:t xml:space="preserve"> was assumed</w:t>
            </w:r>
          </w:p>
        </w:tc>
      </w:tr>
    </w:tbl>
    <w:p w:rsidR="0065269F" w:rsidRPr="00816657" w:rsidRDefault="0065269F" w:rsidP="0065269F"/>
    <w:p w:rsidR="0065269F" w:rsidRPr="00816657" w:rsidRDefault="0065269F" w:rsidP="002D2D6C">
      <w:pPr>
        <w:rPr>
          <w:sz w:val="22"/>
        </w:rPr>
      </w:pPr>
    </w:p>
    <w:p w:rsidR="00820696" w:rsidRPr="00816657" w:rsidRDefault="00820696" w:rsidP="002D2D6C">
      <w:pPr>
        <w:rPr>
          <w:sz w:val="22"/>
        </w:rPr>
      </w:pPr>
    </w:p>
    <w:bookmarkEnd w:id="497"/>
    <w:bookmarkEnd w:id="498"/>
    <w:p w:rsidR="002D2D6C" w:rsidRPr="00816657" w:rsidRDefault="002D2D6C" w:rsidP="002D2D6C">
      <w:pPr>
        <w:spacing w:line="240" w:lineRule="auto"/>
        <w:rPr>
          <w:rFonts w:cs="Calibri"/>
          <w:b/>
          <w:color w:val="0000FF"/>
          <w:sz w:val="22"/>
        </w:rPr>
      </w:pPr>
    </w:p>
    <w:p w:rsidR="000C30C7" w:rsidRPr="00816657" w:rsidRDefault="000C30C7" w:rsidP="000C30C7">
      <w:pPr>
        <w:pStyle w:val="BodyText"/>
      </w:pPr>
    </w:p>
    <w:p w:rsidR="002D2D6C" w:rsidRPr="00816657" w:rsidRDefault="002D2D6C" w:rsidP="000C30C7">
      <w:pPr>
        <w:pStyle w:val="BodyText"/>
      </w:pPr>
    </w:p>
    <w:p w:rsidR="000C30C7" w:rsidRPr="00816657" w:rsidRDefault="000C30C7" w:rsidP="000C30C7">
      <w:pPr>
        <w:pStyle w:val="BodyText"/>
        <w:sectPr w:rsidR="000C30C7" w:rsidRPr="00816657" w:rsidSect="005E3D0E">
          <w:headerReference w:type="default" r:id="rId251"/>
          <w:pgSz w:w="11907" w:h="16840" w:code="9"/>
          <w:pgMar w:top="1531" w:right="1077" w:bottom="1135" w:left="1304" w:header="709" w:footer="709" w:gutter="0"/>
          <w:cols w:space="708"/>
          <w:docGrid w:linePitch="360"/>
        </w:sectPr>
      </w:pPr>
    </w:p>
    <w:p w:rsidR="00A16765" w:rsidRPr="00816657" w:rsidRDefault="008A1AC9" w:rsidP="00DD4ED8">
      <w:pPr>
        <w:pStyle w:val="AppendixHeading1"/>
        <w:ind w:left="851"/>
      </w:pPr>
      <w:bookmarkStart w:id="502" w:name="_Ref408320744"/>
      <w:bookmarkStart w:id="503" w:name="_Ref408326096"/>
      <w:bookmarkStart w:id="504" w:name="_Toc425849213"/>
      <w:r w:rsidRPr="00816657">
        <w:lastRenderedPageBreak/>
        <w:t>Historical arisings of hazardous waste</w:t>
      </w:r>
      <w:bookmarkEnd w:id="502"/>
      <w:bookmarkEnd w:id="503"/>
      <w:bookmarkEnd w:id="504"/>
    </w:p>
    <w:p w:rsidR="00FC79D4" w:rsidRPr="00816657" w:rsidRDefault="00FF3093" w:rsidP="00FB7575">
      <w:pPr>
        <w:pStyle w:val="BodyText"/>
      </w:pPr>
      <w:r w:rsidRPr="00816657">
        <w:t xml:space="preserve">Note: </w:t>
      </w:r>
      <w:r w:rsidR="002F248F" w:rsidRPr="00816657">
        <w:t>historical</w:t>
      </w:r>
      <w:r w:rsidRPr="00816657">
        <w:t xml:space="preserve"> arisings do not exist for </w:t>
      </w:r>
      <w:r w:rsidR="00F93432" w:rsidRPr="00816657">
        <w:t>‘</w:t>
      </w:r>
      <w:r w:rsidR="002F248F" w:rsidRPr="00816657">
        <w:t>M160a – PFOS</w:t>
      </w:r>
      <w:r w:rsidR="00F93432" w:rsidRPr="00816657">
        <w:t>’</w:t>
      </w:r>
      <w:r w:rsidR="002F248F" w:rsidRPr="00816657">
        <w:t xml:space="preserve">, </w:t>
      </w:r>
      <w:r w:rsidR="00F93432" w:rsidRPr="00816657">
        <w:t>‘</w:t>
      </w:r>
      <w:r w:rsidR="002F248F" w:rsidRPr="00816657">
        <w:t>M160b – POP-BDEs</w:t>
      </w:r>
      <w:r w:rsidR="00F93432" w:rsidRPr="00816657">
        <w:t>’</w:t>
      </w:r>
      <w:r w:rsidR="002F248F" w:rsidRPr="00816657">
        <w:t xml:space="preserve">, </w:t>
      </w:r>
      <w:r w:rsidR="00F93432" w:rsidRPr="00816657">
        <w:t>‘</w:t>
      </w:r>
      <w:r w:rsidR="002F248F" w:rsidRPr="00816657">
        <w:t>M160c – HBCD</w:t>
      </w:r>
      <w:r w:rsidR="00F93432" w:rsidRPr="00816657">
        <w:t>’</w:t>
      </w:r>
      <w:r w:rsidR="002F248F" w:rsidRPr="00816657">
        <w:t xml:space="preserve">, </w:t>
      </w:r>
      <w:r w:rsidR="00F93432" w:rsidRPr="00816657">
        <w:t>‘</w:t>
      </w:r>
      <w:r w:rsidR="002F248F" w:rsidRPr="00816657">
        <w:t>M160d – HCB</w:t>
      </w:r>
      <w:r w:rsidR="00F93432" w:rsidRPr="00816657">
        <w:t>’</w:t>
      </w:r>
      <w:r w:rsidR="002F248F" w:rsidRPr="00816657">
        <w:t xml:space="preserve">, </w:t>
      </w:r>
      <w:r w:rsidR="00F93432" w:rsidRPr="00816657">
        <w:t>‘</w:t>
      </w:r>
      <w:r w:rsidR="002F248F" w:rsidRPr="00816657">
        <w:t>N205b – Other industrial treatment residues</w:t>
      </w:r>
      <w:r w:rsidR="00F93432" w:rsidRPr="00816657">
        <w:t>’</w:t>
      </w:r>
      <w:r w:rsidR="002F248F" w:rsidRPr="00816657">
        <w:t xml:space="preserve"> or </w:t>
      </w:r>
      <w:r w:rsidR="00F93432" w:rsidRPr="00816657">
        <w:t>‘L</w:t>
      </w:r>
      <w:r w:rsidR="002F248F" w:rsidRPr="00816657">
        <w:t>ithium-ion batteries</w:t>
      </w:r>
      <w:r w:rsidR="00F93432" w:rsidRPr="00816657">
        <w:t>’.</w:t>
      </w:r>
    </w:p>
    <w:p w:rsidR="00FF3093" w:rsidRPr="00816657" w:rsidRDefault="00FF3093" w:rsidP="00FB7575">
      <w:pPr>
        <w:pStyle w:val="BodyText"/>
        <w:rPr>
          <w:b/>
        </w:rPr>
      </w:pPr>
    </w:p>
    <w:p w:rsidR="004E14D8" w:rsidRPr="00816657" w:rsidRDefault="00FB7575" w:rsidP="00FB7575">
      <w:pPr>
        <w:pStyle w:val="BodyText"/>
        <w:rPr>
          <w:b/>
        </w:rPr>
      </w:pPr>
      <w:r w:rsidRPr="00816657">
        <w:rPr>
          <w:b/>
        </w:rPr>
        <w:t>A. Plating and heat treatment</w:t>
      </w:r>
    </w:p>
    <w:p w:rsidR="0060163A" w:rsidRPr="00816657" w:rsidRDefault="0060163A" w:rsidP="00FB7575">
      <w:pPr>
        <w:pStyle w:val="BodyText"/>
        <w:rPr>
          <w:b/>
        </w:rPr>
      </w:pPr>
    </w:p>
    <w:p w:rsidR="0060163A" w:rsidRPr="00816657" w:rsidRDefault="0060163A" w:rsidP="00FB7575">
      <w:pPr>
        <w:pStyle w:val="BodyText"/>
        <w:rPr>
          <w:b/>
        </w:rPr>
      </w:pPr>
    </w:p>
    <w:p w:rsidR="003D17DE" w:rsidRPr="00816657" w:rsidRDefault="003D17DE" w:rsidP="00655F62">
      <w:pPr>
        <w:pStyle w:val="Figures"/>
      </w:pPr>
      <w:bookmarkStart w:id="505" w:name="_Toc425849262"/>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44</w:t>
      </w:r>
      <w:r w:rsidR="006D07F5" w:rsidRPr="00816657">
        <w:rPr>
          <w:noProof/>
        </w:rPr>
        <w:fldChar w:fldCharType="end"/>
      </w:r>
      <w:r w:rsidRPr="00816657">
        <w:t xml:space="preserve">: </w:t>
      </w:r>
      <w:r w:rsidRPr="00816657">
        <w:tab/>
      </w:r>
      <w:r w:rsidR="00FE1200" w:rsidRPr="00816657">
        <w:t>Historical arisings of plating and heat treatment waste</w:t>
      </w:r>
      <w:bookmarkEnd w:id="505"/>
    </w:p>
    <w:p w:rsidR="00FC79D4" w:rsidRPr="00816657" w:rsidRDefault="00FE1200" w:rsidP="00FC79D4">
      <w:pPr>
        <w:pStyle w:val="BodyText"/>
        <w:rPr>
          <w:sz w:val="20"/>
        </w:rPr>
      </w:pPr>
      <w:r w:rsidRPr="00816657">
        <w:rPr>
          <w:noProof/>
          <w:lang w:eastAsia="en-AU"/>
        </w:rPr>
        <w:drawing>
          <wp:inline distT="0" distB="0" distL="0" distR="0">
            <wp:extent cx="9292856" cy="4096322"/>
            <wp:effectExtent l="0" t="0" r="3810" b="0"/>
            <wp:docPr id="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2" cstate="print"/>
                    <a:srcRect/>
                    <a:stretch>
                      <a:fillRect/>
                    </a:stretch>
                  </pic:blipFill>
                  <pic:spPr bwMode="auto">
                    <a:xfrm>
                      <a:off x="0" y="0"/>
                      <a:ext cx="9297884" cy="4098538"/>
                    </a:xfrm>
                    <a:prstGeom prst="rect">
                      <a:avLst/>
                    </a:prstGeom>
                    <a:noFill/>
                    <a:ln w="9525">
                      <a:noFill/>
                      <a:miter lim="800000"/>
                      <a:headEnd/>
                      <a:tailEnd/>
                    </a:ln>
                  </pic:spPr>
                </pic:pic>
              </a:graphicData>
            </a:graphic>
          </wp:inline>
        </w:drawing>
      </w:r>
    </w:p>
    <w:p w:rsidR="00FB7575" w:rsidRPr="00816657" w:rsidRDefault="00FB7575" w:rsidP="00FE1200">
      <w:pPr>
        <w:pStyle w:val="BodyText"/>
        <w:rPr>
          <w:b/>
        </w:rPr>
      </w:pPr>
      <w:r w:rsidRPr="00816657">
        <w:rPr>
          <w:b/>
        </w:rPr>
        <w:lastRenderedPageBreak/>
        <w:t>B. Acids</w:t>
      </w:r>
    </w:p>
    <w:p w:rsidR="0060163A" w:rsidRPr="00816657" w:rsidRDefault="0060163A" w:rsidP="00FE1200">
      <w:pPr>
        <w:pStyle w:val="BodyText"/>
        <w:rPr>
          <w:b/>
        </w:rPr>
      </w:pPr>
    </w:p>
    <w:p w:rsidR="0060163A" w:rsidRPr="00816657" w:rsidRDefault="0060163A" w:rsidP="00FE1200">
      <w:pPr>
        <w:pStyle w:val="BodyText"/>
        <w:rPr>
          <w:b/>
        </w:rPr>
      </w:pPr>
    </w:p>
    <w:p w:rsidR="00FE1200" w:rsidRPr="00816657" w:rsidRDefault="00FE1200" w:rsidP="00655F62">
      <w:pPr>
        <w:pStyle w:val="Figures"/>
      </w:pPr>
      <w:bookmarkStart w:id="506" w:name="_Toc425849263"/>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45</w:t>
      </w:r>
      <w:r w:rsidR="006D07F5" w:rsidRPr="00816657">
        <w:rPr>
          <w:noProof/>
        </w:rPr>
        <w:fldChar w:fldCharType="end"/>
      </w:r>
      <w:r w:rsidRPr="00816657">
        <w:t xml:space="preserve">: </w:t>
      </w:r>
      <w:r w:rsidRPr="00816657">
        <w:tab/>
        <w:t>Historical arisings of acids waste</w:t>
      </w:r>
      <w:bookmarkEnd w:id="506"/>
    </w:p>
    <w:p w:rsidR="00FE1200" w:rsidRPr="00816657" w:rsidRDefault="00FE1200">
      <w:pPr>
        <w:spacing w:line="240" w:lineRule="auto"/>
        <w:rPr>
          <w:b/>
        </w:rPr>
      </w:pPr>
      <w:r w:rsidRPr="00816657">
        <w:rPr>
          <w:noProof/>
          <w:lang w:eastAsia="en-AU"/>
        </w:rPr>
        <w:drawing>
          <wp:inline distT="0" distB="0" distL="0" distR="0">
            <wp:extent cx="9010650" cy="3971925"/>
            <wp:effectExtent l="19050" t="0" r="0" b="0"/>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3" cstate="print"/>
                    <a:srcRect/>
                    <a:stretch>
                      <a:fillRect/>
                    </a:stretch>
                  </pic:blipFill>
                  <pic:spPr bwMode="auto">
                    <a:xfrm>
                      <a:off x="0" y="0"/>
                      <a:ext cx="9010650" cy="3971925"/>
                    </a:xfrm>
                    <a:prstGeom prst="rect">
                      <a:avLst/>
                    </a:prstGeom>
                    <a:noFill/>
                    <a:ln w="9525">
                      <a:noFill/>
                      <a:miter lim="800000"/>
                      <a:headEnd/>
                      <a:tailEnd/>
                    </a:ln>
                  </pic:spPr>
                </pic:pic>
              </a:graphicData>
            </a:graphic>
          </wp:inline>
        </w:drawing>
      </w:r>
    </w:p>
    <w:p w:rsidR="00FE1200" w:rsidRPr="00816657" w:rsidRDefault="00FE1200">
      <w:pPr>
        <w:spacing w:line="240" w:lineRule="auto"/>
        <w:rPr>
          <w:b/>
        </w:rPr>
      </w:pPr>
    </w:p>
    <w:p w:rsidR="00FE1200" w:rsidRPr="00816657" w:rsidRDefault="00FE1200">
      <w:pPr>
        <w:spacing w:line="240" w:lineRule="auto"/>
        <w:rPr>
          <w:b/>
        </w:rPr>
      </w:pPr>
    </w:p>
    <w:p w:rsidR="00FC79D4" w:rsidRPr="00816657" w:rsidRDefault="00FC79D4">
      <w:pPr>
        <w:spacing w:line="240" w:lineRule="auto"/>
        <w:rPr>
          <w:b/>
          <w:color w:val="080808"/>
          <w:sz w:val="22"/>
        </w:rPr>
      </w:pPr>
      <w:r w:rsidRPr="00816657">
        <w:rPr>
          <w:b/>
        </w:rPr>
        <w:br w:type="page"/>
      </w:r>
    </w:p>
    <w:p w:rsidR="00FB7575" w:rsidRPr="00816657" w:rsidRDefault="00FB7575" w:rsidP="00FB7575">
      <w:pPr>
        <w:pStyle w:val="BodyText"/>
        <w:rPr>
          <w:b/>
        </w:rPr>
      </w:pPr>
      <w:r w:rsidRPr="00816657">
        <w:rPr>
          <w:b/>
        </w:rPr>
        <w:lastRenderedPageBreak/>
        <w:t>C. Alkalis</w:t>
      </w:r>
    </w:p>
    <w:p w:rsidR="0060163A" w:rsidRPr="00816657" w:rsidRDefault="0060163A" w:rsidP="00FB7575">
      <w:pPr>
        <w:pStyle w:val="BodyText"/>
        <w:rPr>
          <w:b/>
        </w:rPr>
      </w:pPr>
    </w:p>
    <w:p w:rsidR="0060163A" w:rsidRPr="00816657" w:rsidRDefault="0060163A" w:rsidP="00FB7575">
      <w:pPr>
        <w:pStyle w:val="BodyText"/>
        <w:rPr>
          <w:b/>
        </w:rPr>
      </w:pPr>
    </w:p>
    <w:p w:rsidR="00FE1200" w:rsidRPr="00816657" w:rsidRDefault="00FE1200" w:rsidP="00655F62">
      <w:pPr>
        <w:pStyle w:val="Figures"/>
      </w:pPr>
      <w:bookmarkStart w:id="507" w:name="_Toc425849264"/>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46</w:t>
      </w:r>
      <w:r w:rsidR="006D07F5" w:rsidRPr="00816657">
        <w:rPr>
          <w:noProof/>
        </w:rPr>
        <w:fldChar w:fldCharType="end"/>
      </w:r>
      <w:r w:rsidRPr="00816657">
        <w:t xml:space="preserve">: </w:t>
      </w:r>
      <w:r w:rsidRPr="00816657">
        <w:tab/>
      </w:r>
      <w:r w:rsidR="00147762" w:rsidRPr="00816657">
        <w:t>Historical arisings of alkalis waste</w:t>
      </w:r>
      <w:bookmarkEnd w:id="507"/>
    </w:p>
    <w:p w:rsidR="00FC79D4" w:rsidRPr="00816657" w:rsidRDefault="00FE1200">
      <w:pPr>
        <w:spacing w:line="240" w:lineRule="auto"/>
        <w:rPr>
          <w:b/>
          <w:color w:val="080808"/>
          <w:sz w:val="22"/>
        </w:rPr>
      </w:pPr>
      <w:r w:rsidRPr="00816657">
        <w:rPr>
          <w:noProof/>
          <w:lang w:eastAsia="en-AU"/>
        </w:rPr>
        <w:drawing>
          <wp:inline distT="0" distB="0" distL="0" distR="0">
            <wp:extent cx="9010650" cy="3971925"/>
            <wp:effectExtent l="19050" t="0" r="0" b="0"/>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4" cstate="print"/>
                    <a:srcRect/>
                    <a:stretch>
                      <a:fillRect/>
                    </a:stretch>
                  </pic:blipFill>
                  <pic:spPr bwMode="auto">
                    <a:xfrm>
                      <a:off x="0" y="0"/>
                      <a:ext cx="9010650" cy="3971925"/>
                    </a:xfrm>
                    <a:prstGeom prst="rect">
                      <a:avLst/>
                    </a:prstGeom>
                    <a:noFill/>
                    <a:ln w="9525">
                      <a:noFill/>
                      <a:miter lim="800000"/>
                      <a:headEnd/>
                      <a:tailEnd/>
                    </a:ln>
                  </pic:spPr>
                </pic:pic>
              </a:graphicData>
            </a:graphic>
          </wp:inline>
        </w:drawing>
      </w:r>
      <w:r w:rsidRPr="00816657">
        <w:t xml:space="preserve"> </w:t>
      </w:r>
      <w:r w:rsidR="00FC79D4" w:rsidRPr="00816657">
        <w:rPr>
          <w:b/>
        </w:rPr>
        <w:br w:type="page"/>
      </w:r>
    </w:p>
    <w:p w:rsidR="00147762" w:rsidRPr="00816657" w:rsidRDefault="00147762" w:rsidP="00FB7575">
      <w:pPr>
        <w:pStyle w:val="BodyText"/>
        <w:rPr>
          <w:b/>
        </w:rPr>
      </w:pPr>
    </w:p>
    <w:p w:rsidR="00FB7575" w:rsidRPr="00816657" w:rsidRDefault="00FB7575" w:rsidP="00FB7575">
      <w:pPr>
        <w:pStyle w:val="BodyText"/>
        <w:rPr>
          <w:b/>
        </w:rPr>
      </w:pPr>
      <w:r w:rsidRPr="00816657">
        <w:rPr>
          <w:b/>
        </w:rPr>
        <w:t>D120. Mercury; mercury compounds</w:t>
      </w:r>
    </w:p>
    <w:p w:rsidR="00FB7575" w:rsidRPr="00816657" w:rsidRDefault="00FB7575" w:rsidP="00FB7575">
      <w:pPr>
        <w:pStyle w:val="BodyText"/>
      </w:pPr>
    </w:p>
    <w:p w:rsidR="00147762" w:rsidRPr="00816657" w:rsidRDefault="00147762" w:rsidP="00FB7575">
      <w:pPr>
        <w:pStyle w:val="BodyText"/>
      </w:pPr>
    </w:p>
    <w:p w:rsidR="00147762" w:rsidRPr="00816657" w:rsidRDefault="00147762" w:rsidP="00655F62">
      <w:pPr>
        <w:pStyle w:val="Figures"/>
      </w:pPr>
      <w:bookmarkStart w:id="508" w:name="_Toc425849265"/>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47</w:t>
      </w:r>
      <w:r w:rsidR="006D07F5" w:rsidRPr="00816657">
        <w:rPr>
          <w:noProof/>
        </w:rPr>
        <w:fldChar w:fldCharType="end"/>
      </w:r>
      <w:r w:rsidRPr="00816657">
        <w:t xml:space="preserve">: </w:t>
      </w:r>
      <w:r w:rsidRPr="00816657">
        <w:tab/>
        <w:t>Historical arisings of mercury; mercury compounds waste</w:t>
      </w:r>
      <w:bookmarkEnd w:id="508"/>
    </w:p>
    <w:p w:rsidR="00FC79D4" w:rsidRPr="00816657" w:rsidRDefault="00147762">
      <w:pPr>
        <w:spacing w:line="240" w:lineRule="auto"/>
        <w:rPr>
          <w:b/>
          <w:color w:val="080808"/>
          <w:sz w:val="22"/>
        </w:rPr>
      </w:pPr>
      <w:r w:rsidRPr="00816657">
        <w:rPr>
          <w:noProof/>
          <w:lang w:eastAsia="en-AU"/>
        </w:rPr>
        <w:drawing>
          <wp:inline distT="0" distB="0" distL="0" distR="0">
            <wp:extent cx="9010650" cy="3962400"/>
            <wp:effectExtent l="19050" t="0" r="0" b="0"/>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5" cstate="print"/>
                    <a:srcRect/>
                    <a:stretch>
                      <a:fillRect/>
                    </a:stretch>
                  </pic:blipFill>
                  <pic:spPr bwMode="auto">
                    <a:xfrm>
                      <a:off x="0" y="0"/>
                      <a:ext cx="9010650" cy="3962400"/>
                    </a:xfrm>
                    <a:prstGeom prst="rect">
                      <a:avLst/>
                    </a:prstGeom>
                    <a:noFill/>
                    <a:ln w="9525">
                      <a:noFill/>
                      <a:miter lim="800000"/>
                      <a:headEnd/>
                      <a:tailEnd/>
                    </a:ln>
                  </pic:spPr>
                </pic:pic>
              </a:graphicData>
            </a:graphic>
          </wp:inline>
        </w:drawing>
      </w:r>
      <w:r w:rsidRPr="00816657">
        <w:t xml:space="preserve"> </w:t>
      </w:r>
      <w:r w:rsidR="00FC79D4" w:rsidRPr="00816657">
        <w:rPr>
          <w:b/>
        </w:rPr>
        <w:br w:type="page"/>
      </w:r>
    </w:p>
    <w:p w:rsidR="00147762" w:rsidRPr="00816657" w:rsidRDefault="00147762" w:rsidP="00FB7575">
      <w:pPr>
        <w:pStyle w:val="BodyText"/>
        <w:rPr>
          <w:b/>
        </w:rPr>
      </w:pPr>
    </w:p>
    <w:p w:rsidR="00FB7575" w:rsidRPr="00816657" w:rsidRDefault="00FB7575" w:rsidP="00FB7575">
      <w:pPr>
        <w:pStyle w:val="BodyText"/>
        <w:rPr>
          <w:b/>
        </w:rPr>
      </w:pPr>
      <w:r w:rsidRPr="00816657">
        <w:rPr>
          <w:b/>
        </w:rPr>
        <w:t>D220. Lead; lead compounds</w:t>
      </w:r>
    </w:p>
    <w:p w:rsidR="00FB7575" w:rsidRPr="00816657" w:rsidRDefault="00FB7575" w:rsidP="00FB7575">
      <w:pPr>
        <w:pStyle w:val="BodyText"/>
      </w:pPr>
    </w:p>
    <w:p w:rsidR="00147762" w:rsidRPr="00816657" w:rsidRDefault="00147762" w:rsidP="00FB7575">
      <w:pPr>
        <w:pStyle w:val="BodyText"/>
      </w:pPr>
    </w:p>
    <w:p w:rsidR="00147762" w:rsidRPr="00816657" w:rsidRDefault="00147762" w:rsidP="00655F62">
      <w:pPr>
        <w:pStyle w:val="Figures"/>
      </w:pPr>
      <w:bookmarkStart w:id="509" w:name="_Toc425849266"/>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48</w:t>
      </w:r>
      <w:r w:rsidR="006D07F5" w:rsidRPr="00816657">
        <w:rPr>
          <w:noProof/>
        </w:rPr>
        <w:fldChar w:fldCharType="end"/>
      </w:r>
      <w:r w:rsidRPr="00816657">
        <w:t xml:space="preserve">: </w:t>
      </w:r>
      <w:r w:rsidRPr="00816657">
        <w:tab/>
        <w:t>Historical arisings of lead; lead compounds waste</w:t>
      </w:r>
      <w:bookmarkEnd w:id="509"/>
    </w:p>
    <w:p w:rsidR="00147762" w:rsidRPr="00816657" w:rsidRDefault="00147762" w:rsidP="00FB7575">
      <w:pPr>
        <w:pStyle w:val="BodyText"/>
      </w:pPr>
      <w:r w:rsidRPr="00816657">
        <w:rPr>
          <w:noProof/>
          <w:lang w:eastAsia="en-AU"/>
        </w:rPr>
        <w:drawing>
          <wp:inline distT="0" distB="0" distL="0" distR="0">
            <wp:extent cx="9001125" cy="3971925"/>
            <wp:effectExtent l="19050" t="0" r="9525" b="0"/>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6" cstate="print"/>
                    <a:srcRect/>
                    <a:stretch>
                      <a:fillRect/>
                    </a:stretch>
                  </pic:blipFill>
                  <pic:spPr bwMode="auto">
                    <a:xfrm>
                      <a:off x="0" y="0"/>
                      <a:ext cx="9001125" cy="3971925"/>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147762" w:rsidRPr="00816657" w:rsidRDefault="00147762" w:rsidP="00FB7575">
      <w:pPr>
        <w:pStyle w:val="BodyText"/>
        <w:rPr>
          <w:b/>
        </w:rPr>
      </w:pPr>
    </w:p>
    <w:p w:rsidR="00FB7575" w:rsidRPr="00816657" w:rsidRDefault="00FB7575" w:rsidP="00FB7575">
      <w:pPr>
        <w:pStyle w:val="BodyText"/>
        <w:rPr>
          <w:b/>
        </w:rPr>
      </w:pPr>
      <w:r w:rsidRPr="00816657">
        <w:rPr>
          <w:b/>
        </w:rPr>
        <w:t>D300. Non-toxic salts</w:t>
      </w:r>
    </w:p>
    <w:p w:rsidR="00FB7575" w:rsidRPr="00816657" w:rsidRDefault="00FB7575" w:rsidP="00FB7575">
      <w:pPr>
        <w:pStyle w:val="BodyText"/>
      </w:pPr>
    </w:p>
    <w:p w:rsidR="00147762" w:rsidRPr="00816657" w:rsidRDefault="00147762" w:rsidP="00FB7575">
      <w:pPr>
        <w:pStyle w:val="BodyText"/>
      </w:pPr>
    </w:p>
    <w:p w:rsidR="00147762" w:rsidRPr="00816657" w:rsidRDefault="00147762" w:rsidP="00655F62">
      <w:pPr>
        <w:pStyle w:val="Figures"/>
      </w:pPr>
      <w:bookmarkStart w:id="510" w:name="_Toc425849267"/>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49</w:t>
      </w:r>
      <w:r w:rsidR="006D07F5" w:rsidRPr="00816657">
        <w:rPr>
          <w:noProof/>
        </w:rPr>
        <w:fldChar w:fldCharType="end"/>
      </w:r>
      <w:r w:rsidRPr="00816657">
        <w:t xml:space="preserve">: </w:t>
      </w:r>
      <w:r w:rsidRPr="00816657">
        <w:tab/>
        <w:t>Historical arisings of non-toxic salts waste</w:t>
      </w:r>
      <w:bookmarkEnd w:id="510"/>
    </w:p>
    <w:p w:rsidR="00147762" w:rsidRPr="00816657" w:rsidRDefault="00147762" w:rsidP="00FB7575">
      <w:pPr>
        <w:pStyle w:val="BodyText"/>
      </w:pPr>
      <w:r w:rsidRPr="00816657">
        <w:rPr>
          <w:noProof/>
          <w:lang w:eastAsia="en-AU"/>
        </w:rPr>
        <w:drawing>
          <wp:inline distT="0" distB="0" distL="0" distR="0">
            <wp:extent cx="9010650" cy="3971925"/>
            <wp:effectExtent l="19050" t="0" r="0" b="0"/>
            <wp:docPr id="1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7" cstate="print"/>
                    <a:srcRect/>
                    <a:stretch>
                      <a:fillRect/>
                    </a:stretch>
                  </pic:blipFill>
                  <pic:spPr bwMode="auto">
                    <a:xfrm>
                      <a:off x="0" y="0"/>
                      <a:ext cx="9010650" cy="3971925"/>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147762" w:rsidRPr="00816657" w:rsidRDefault="00147762" w:rsidP="00FB7575">
      <w:pPr>
        <w:pStyle w:val="BodyText"/>
        <w:rPr>
          <w:b/>
        </w:rPr>
      </w:pPr>
    </w:p>
    <w:p w:rsidR="00FB7575" w:rsidRPr="00816657" w:rsidRDefault="00FB7575" w:rsidP="00FB7575">
      <w:pPr>
        <w:pStyle w:val="BodyText"/>
        <w:rPr>
          <w:b/>
        </w:rPr>
      </w:pPr>
      <w:proofErr w:type="gramStart"/>
      <w:r w:rsidRPr="00816657">
        <w:rPr>
          <w:b/>
        </w:rPr>
        <w:t>Other D.</w:t>
      </w:r>
      <w:proofErr w:type="gramEnd"/>
      <w:r w:rsidRPr="00816657">
        <w:rPr>
          <w:b/>
        </w:rPr>
        <w:t xml:space="preserve"> Other inorganic chemicals</w:t>
      </w:r>
    </w:p>
    <w:p w:rsidR="00FB7575" w:rsidRPr="00816657" w:rsidRDefault="00FB7575" w:rsidP="00FB7575">
      <w:pPr>
        <w:pStyle w:val="BodyText"/>
      </w:pPr>
    </w:p>
    <w:p w:rsidR="00147762" w:rsidRPr="00816657" w:rsidRDefault="00147762" w:rsidP="00FB7575">
      <w:pPr>
        <w:pStyle w:val="BodyText"/>
      </w:pPr>
    </w:p>
    <w:p w:rsidR="00147762" w:rsidRPr="00816657" w:rsidRDefault="00147762" w:rsidP="00655F62">
      <w:pPr>
        <w:pStyle w:val="Figures"/>
      </w:pPr>
      <w:bookmarkStart w:id="511" w:name="_Toc425849268"/>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50</w:t>
      </w:r>
      <w:r w:rsidR="006D07F5" w:rsidRPr="00816657">
        <w:rPr>
          <w:noProof/>
        </w:rPr>
        <w:fldChar w:fldCharType="end"/>
      </w:r>
      <w:r w:rsidRPr="00816657">
        <w:t xml:space="preserve">: </w:t>
      </w:r>
      <w:r w:rsidRPr="00816657">
        <w:tab/>
        <w:t>Historical arisings of other inorganic chemical waste</w:t>
      </w:r>
      <w:bookmarkEnd w:id="511"/>
    </w:p>
    <w:p w:rsidR="00147762" w:rsidRPr="00816657" w:rsidRDefault="00147762" w:rsidP="00FB7575">
      <w:pPr>
        <w:pStyle w:val="BodyText"/>
      </w:pPr>
      <w:r w:rsidRPr="00816657">
        <w:rPr>
          <w:noProof/>
          <w:lang w:eastAsia="en-AU"/>
        </w:rPr>
        <w:drawing>
          <wp:inline distT="0" distB="0" distL="0" distR="0">
            <wp:extent cx="9010650" cy="3971925"/>
            <wp:effectExtent l="19050" t="0" r="0" b="0"/>
            <wp:docPr id="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8" cstate="print"/>
                    <a:srcRect/>
                    <a:stretch>
                      <a:fillRect/>
                    </a:stretch>
                  </pic:blipFill>
                  <pic:spPr bwMode="auto">
                    <a:xfrm>
                      <a:off x="0" y="0"/>
                      <a:ext cx="9010650" cy="3971925"/>
                    </a:xfrm>
                    <a:prstGeom prst="rect">
                      <a:avLst/>
                    </a:prstGeom>
                    <a:noFill/>
                    <a:ln w="9525">
                      <a:noFill/>
                      <a:miter lim="800000"/>
                      <a:headEnd/>
                      <a:tailEnd/>
                    </a:ln>
                  </pic:spPr>
                </pic:pic>
              </a:graphicData>
            </a:graphic>
          </wp:inline>
        </w:drawing>
      </w:r>
    </w:p>
    <w:p w:rsidR="00147762" w:rsidRPr="00816657" w:rsidRDefault="00147762" w:rsidP="00FB7575">
      <w:pPr>
        <w:pStyle w:val="BodyText"/>
      </w:pPr>
    </w:p>
    <w:p w:rsidR="00FC79D4" w:rsidRPr="00816657" w:rsidRDefault="00FC79D4">
      <w:pPr>
        <w:spacing w:line="240" w:lineRule="auto"/>
        <w:rPr>
          <w:b/>
          <w:color w:val="080808"/>
          <w:sz w:val="22"/>
        </w:rPr>
      </w:pPr>
      <w:r w:rsidRPr="00816657">
        <w:rPr>
          <w:b/>
        </w:rPr>
        <w:br w:type="page"/>
      </w:r>
    </w:p>
    <w:p w:rsidR="00187DA5" w:rsidRPr="00816657" w:rsidRDefault="00187DA5" w:rsidP="00FB7575">
      <w:pPr>
        <w:pStyle w:val="BodyText"/>
        <w:rPr>
          <w:b/>
        </w:rPr>
      </w:pPr>
    </w:p>
    <w:p w:rsidR="00FB7575" w:rsidRPr="00816657" w:rsidRDefault="00FB7575" w:rsidP="00FB7575">
      <w:pPr>
        <w:pStyle w:val="BodyText"/>
        <w:rPr>
          <w:b/>
        </w:rPr>
      </w:pPr>
      <w:r w:rsidRPr="00816657">
        <w:rPr>
          <w:b/>
        </w:rPr>
        <w:t>E. Reactive chemicals</w:t>
      </w:r>
    </w:p>
    <w:p w:rsidR="00FB7575" w:rsidRPr="00816657" w:rsidRDefault="00FB7575" w:rsidP="00FB7575">
      <w:pPr>
        <w:pStyle w:val="BodyText"/>
      </w:pPr>
    </w:p>
    <w:p w:rsidR="00187DA5" w:rsidRPr="00816657" w:rsidRDefault="00187DA5" w:rsidP="00FB7575">
      <w:pPr>
        <w:pStyle w:val="BodyText"/>
      </w:pPr>
    </w:p>
    <w:p w:rsidR="00187DA5" w:rsidRPr="00816657" w:rsidRDefault="00187DA5" w:rsidP="00655F62">
      <w:pPr>
        <w:pStyle w:val="Figures"/>
      </w:pPr>
      <w:bookmarkStart w:id="512" w:name="_Toc425849269"/>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51</w:t>
      </w:r>
      <w:r w:rsidR="006D07F5" w:rsidRPr="00816657">
        <w:rPr>
          <w:noProof/>
        </w:rPr>
        <w:fldChar w:fldCharType="end"/>
      </w:r>
      <w:r w:rsidRPr="00816657">
        <w:t xml:space="preserve">: </w:t>
      </w:r>
      <w:r w:rsidRPr="00816657">
        <w:tab/>
        <w:t>Historical arisings of reactive chemicals waste</w:t>
      </w:r>
      <w:bookmarkEnd w:id="512"/>
    </w:p>
    <w:p w:rsidR="00187DA5" w:rsidRPr="00816657" w:rsidRDefault="00187DA5" w:rsidP="00655F62">
      <w:pPr>
        <w:pStyle w:val="Figures"/>
      </w:pPr>
      <w:r w:rsidRPr="00816657">
        <w:rPr>
          <w:noProof/>
          <w:lang w:eastAsia="en-AU"/>
        </w:rPr>
        <w:drawing>
          <wp:inline distT="0" distB="0" distL="0" distR="0">
            <wp:extent cx="9005570" cy="3966210"/>
            <wp:effectExtent l="19050" t="0" r="5080" b="0"/>
            <wp:docPr id="1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9" cstate="print"/>
                    <a:srcRect/>
                    <a:stretch>
                      <a:fillRect/>
                    </a:stretch>
                  </pic:blipFill>
                  <pic:spPr bwMode="auto">
                    <a:xfrm>
                      <a:off x="0" y="0"/>
                      <a:ext cx="9005570" cy="396621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187DA5" w:rsidRPr="00816657" w:rsidRDefault="00187DA5" w:rsidP="00FB7575">
      <w:pPr>
        <w:pStyle w:val="BodyText"/>
        <w:rPr>
          <w:b/>
        </w:rPr>
      </w:pPr>
    </w:p>
    <w:p w:rsidR="00FB7575" w:rsidRPr="00816657" w:rsidRDefault="00FB7575" w:rsidP="00FB7575">
      <w:pPr>
        <w:pStyle w:val="BodyText"/>
        <w:rPr>
          <w:b/>
        </w:rPr>
      </w:pPr>
      <w:r w:rsidRPr="00816657">
        <w:rPr>
          <w:b/>
        </w:rPr>
        <w:t>F. Paints, resins, inks, organic sludges</w:t>
      </w:r>
    </w:p>
    <w:p w:rsidR="00FB7575" w:rsidRPr="00816657" w:rsidRDefault="00FB7575" w:rsidP="00FB7575">
      <w:pPr>
        <w:pStyle w:val="BodyText"/>
      </w:pPr>
    </w:p>
    <w:p w:rsidR="00187DA5" w:rsidRPr="00816657" w:rsidRDefault="00187DA5" w:rsidP="00FB7575">
      <w:pPr>
        <w:pStyle w:val="BodyText"/>
      </w:pPr>
    </w:p>
    <w:p w:rsidR="00187DA5" w:rsidRPr="00816657" w:rsidRDefault="00187DA5" w:rsidP="00655F62">
      <w:pPr>
        <w:pStyle w:val="Figures"/>
      </w:pPr>
      <w:bookmarkStart w:id="513" w:name="_Toc425849270"/>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52</w:t>
      </w:r>
      <w:r w:rsidR="006D07F5" w:rsidRPr="00816657">
        <w:rPr>
          <w:noProof/>
        </w:rPr>
        <w:fldChar w:fldCharType="end"/>
      </w:r>
      <w:r w:rsidRPr="00816657">
        <w:t xml:space="preserve">: </w:t>
      </w:r>
      <w:r w:rsidRPr="00816657">
        <w:tab/>
        <w:t>Historical arisings of paints, resins, inks, organic sludge waste</w:t>
      </w:r>
      <w:bookmarkEnd w:id="513"/>
    </w:p>
    <w:p w:rsidR="00187DA5" w:rsidRPr="00816657" w:rsidRDefault="00187DA5" w:rsidP="00655F62">
      <w:pPr>
        <w:pStyle w:val="Figures"/>
      </w:pPr>
      <w:r w:rsidRPr="00816657">
        <w:rPr>
          <w:noProof/>
          <w:lang w:eastAsia="en-AU"/>
        </w:rPr>
        <w:drawing>
          <wp:inline distT="0" distB="0" distL="0" distR="0">
            <wp:extent cx="9005570" cy="3976370"/>
            <wp:effectExtent l="19050" t="0" r="5080" b="0"/>
            <wp:docPr id="1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0"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187DA5" w:rsidRPr="00816657" w:rsidRDefault="00187DA5" w:rsidP="00FB7575">
      <w:pPr>
        <w:pStyle w:val="BodyText"/>
        <w:rPr>
          <w:b/>
        </w:rPr>
      </w:pPr>
    </w:p>
    <w:p w:rsidR="00FB7575" w:rsidRPr="00816657" w:rsidRDefault="00FB7575" w:rsidP="00FB7575">
      <w:pPr>
        <w:pStyle w:val="BodyText"/>
        <w:rPr>
          <w:b/>
        </w:rPr>
      </w:pPr>
      <w:r w:rsidRPr="00816657">
        <w:rPr>
          <w:b/>
        </w:rPr>
        <w:t>G. Organic solvents</w:t>
      </w:r>
    </w:p>
    <w:p w:rsidR="00FB7575" w:rsidRPr="00816657" w:rsidRDefault="00FB7575" w:rsidP="00FB7575">
      <w:pPr>
        <w:pStyle w:val="BodyText"/>
      </w:pPr>
    </w:p>
    <w:p w:rsidR="00187DA5" w:rsidRPr="00816657" w:rsidRDefault="00187DA5" w:rsidP="00FB7575">
      <w:pPr>
        <w:pStyle w:val="BodyText"/>
      </w:pPr>
    </w:p>
    <w:p w:rsidR="00187DA5" w:rsidRPr="00816657" w:rsidRDefault="00187DA5" w:rsidP="00655F62">
      <w:pPr>
        <w:pStyle w:val="Figures"/>
      </w:pPr>
      <w:bookmarkStart w:id="514" w:name="_Toc425849271"/>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53</w:t>
      </w:r>
      <w:r w:rsidR="006D07F5" w:rsidRPr="00816657">
        <w:rPr>
          <w:noProof/>
        </w:rPr>
        <w:fldChar w:fldCharType="end"/>
      </w:r>
      <w:r w:rsidRPr="00816657">
        <w:t xml:space="preserve">: </w:t>
      </w:r>
      <w:r w:rsidRPr="00816657">
        <w:tab/>
        <w:t>Historical arisings of organic solvent waste</w:t>
      </w:r>
      <w:bookmarkEnd w:id="514"/>
    </w:p>
    <w:p w:rsidR="00187DA5" w:rsidRPr="00816657" w:rsidRDefault="00187DA5" w:rsidP="00655F62">
      <w:pPr>
        <w:pStyle w:val="Figures"/>
      </w:pPr>
      <w:r w:rsidRPr="00816657">
        <w:rPr>
          <w:noProof/>
          <w:lang w:eastAsia="en-AU"/>
        </w:rPr>
        <w:drawing>
          <wp:inline distT="0" distB="0" distL="0" distR="0">
            <wp:extent cx="9005570" cy="3976370"/>
            <wp:effectExtent l="19050" t="0" r="5080" b="0"/>
            <wp:docPr id="1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1"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187DA5" w:rsidRPr="00816657" w:rsidRDefault="00187DA5" w:rsidP="00FB7575">
      <w:pPr>
        <w:pStyle w:val="BodyText"/>
        <w:rPr>
          <w:b/>
        </w:rPr>
      </w:pPr>
    </w:p>
    <w:p w:rsidR="00FB7575" w:rsidRPr="00816657" w:rsidRDefault="00FB7575" w:rsidP="00FB7575">
      <w:pPr>
        <w:pStyle w:val="BodyText"/>
        <w:rPr>
          <w:b/>
        </w:rPr>
      </w:pPr>
      <w:r w:rsidRPr="00816657">
        <w:rPr>
          <w:b/>
        </w:rPr>
        <w:t>H. Pesticides</w:t>
      </w:r>
    </w:p>
    <w:p w:rsidR="00187DA5" w:rsidRPr="00816657" w:rsidRDefault="00187DA5" w:rsidP="00FB7575">
      <w:pPr>
        <w:pStyle w:val="BodyText"/>
        <w:rPr>
          <w:b/>
        </w:rPr>
      </w:pPr>
    </w:p>
    <w:p w:rsidR="00187DA5" w:rsidRPr="00816657" w:rsidRDefault="00187DA5" w:rsidP="00FB7575">
      <w:pPr>
        <w:pStyle w:val="BodyText"/>
        <w:rPr>
          <w:b/>
        </w:rPr>
      </w:pPr>
    </w:p>
    <w:p w:rsidR="00187DA5" w:rsidRPr="00816657" w:rsidRDefault="00187DA5" w:rsidP="00655F62">
      <w:pPr>
        <w:pStyle w:val="Figures"/>
      </w:pPr>
      <w:bookmarkStart w:id="515" w:name="_Toc425849272"/>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54</w:t>
      </w:r>
      <w:r w:rsidR="006D07F5" w:rsidRPr="00816657">
        <w:rPr>
          <w:noProof/>
        </w:rPr>
        <w:fldChar w:fldCharType="end"/>
      </w:r>
      <w:r w:rsidRPr="00816657">
        <w:t xml:space="preserve">: </w:t>
      </w:r>
      <w:r w:rsidRPr="00816657">
        <w:tab/>
        <w:t>Historical arisings of pesticide waste</w:t>
      </w:r>
      <w:bookmarkEnd w:id="515"/>
    </w:p>
    <w:p w:rsidR="00FB7575" w:rsidRPr="00816657" w:rsidRDefault="00187DA5" w:rsidP="00FB7575">
      <w:pPr>
        <w:pStyle w:val="BodyText"/>
      </w:pPr>
      <w:r w:rsidRPr="00816657">
        <w:rPr>
          <w:noProof/>
          <w:lang w:eastAsia="en-AU"/>
        </w:rPr>
        <w:drawing>
          <wp:inline distT="0" distB="0" distL="0" distR="0">
            <wp:extent cx="9005570" cy="3976370"/>
            <wp:effectExtent l="19050" t="0" r="5080" b="0"/>
            <wp:docPr id="1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2"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r w:rsidRPr="00816657">
        <w:rPr>
          <w:b/>
        </w:rPr>
        <w:t>J. Oils</w:t>
      </w:r>
    </w:p>
    <w:p w:rsidR="00FB7575" w:rsidRPr="00816657" w:rsidRDefault="00FB7575" w:rsidP="00FB7575">
      <w:pPr>
        <w:pStyle w:val="BodyText"/>
      </w:pPr>
    </w:p>
    <w:p w:rsidR="008E2AAB" w:rsidRPr="00816657" w:rsidRDefault="008E2AAB" w:rsidP="00FB7575">
      <w:pPr>
        <w:pStyle w:val="BodyText"/>
      </w:pPr>
    </w:p>
    <w:p w:rsidR="008E2AAB" w:rsidRPr="00816657" w:rsidRDefault="008E2AAB" w:rsidP="00655F62">
      <w:pPr>
        <w:pStyle w:val="Figures"/>
      </w:pPr>
      <w:bookmarkStart w:id="516" w:name="_Toc425849273"/>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55</w:t>
      </w:r>
      <w:r w:rsidR="006D07F5" w:rsidRPr="00816657">
        <w:rPr>
          <w:noProof/>
        </w:rPr>
        <w:fldChar w:fldCharType="end"/>
      </w:r>
      <w:r w:rsidRPr="00816657">
        <w:t xml:space="preserve">: </w:t>
      </w:r>
      <w:r w:rsidRPr="00816657">
        <w:tab/>
        <w:t>Historical arisings of Oil waste</w:t>
      </w:r>
      <w:bookmarkEnd w:id="516"/>
    </w:p>
    <w:p w:rsidR="008E2AAB" w:rsidRPr="00816657" w:rsidRDefault="008E2AAB" w:rsidP="00FB7575">
      <w:pPr>
        <w:pStyle w:val="BodyText"/>
      </w:pPr>
      <w:r w:rsidRPr="00816657">
        <w:rPr>
          <w:noProof/>
          <w:lang w:eastAsia="en-AU"/>
        </w:rPr>
        <w:drawing>
          <wp:inline distT="0" distB="0" distL="0" distR="0">
            <wp:extent cx="9005570" cy="3976370"/>
            <wp:effectExtent l="19050" t="0" r="5080" b="0"/>
            <wp:docPr id="1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3"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r w:rsidRPr="00816657">
        <w:rPr>
          <w:b/>
        </w:rPr>
        <w:t>K100. Animal effluent and residues (+ food processing waste)</w:t>
      </w:r>
    </w:p>
    <w:p w:rsidR="00FB7575" w:rsidRPr="00816657" w:rsidRDefault="00FB7575" w:rsidP="00FB7575">
      <w:pPr>
        <w:pStyle w:val="BodyText"/>
      </w:pPr>
    </w:p>
    <w:p w:rsidR="008E2AAB" w:rsidRPr="00816657" w:rsidRDefault="008E2AAB" w:rsidP="00FB7575">
      <w:pPr>
        <w:pStyle w:val="BodyText"/>
      </w:pPr>
    </w:p>
    <w:p w:rsidR="008E2AAB" w:rsidRPr="00816657" w:rsidRDefault="008E2AAB" w:rsidP="00655F62">
      <w:pPr>
        <w:pStyle w:val="Figures"/>
      </w:pPr>
      <w:bookmarkStart w:id="517" w:name="_Toc425849274"/>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56</w:t>
      </w:r>
      <w:r w:rsidR="006D07F5" w:rsidRPr="00816657">
        <w:rPr>
          <w:noProof/>
        </w:rPr>
        <w:fldChar w:fldCharType="end"/>
      </w:r>
      <w:r w:rsidRPr="00816657">
        <w:t xml:space="preserve">: </w:t>
      </w:r>
      <w:r w:rsidRPr="00816657">
        <w:tab/>
        <w:t>Historical arisings of animal effluent and residues (+ food processing waste) waste</w:t>
      </w:r>
      <w:bookmarkEnd w:id="517"/>
    </w:p>
    <w:p w:rsidR="00FC79D4" w:rsidRPr="00816657" w:rsidRDefault="008E2AAB">
      <w:pPr>
        <w:spacing w:line="240" w:lineRule="auto"/>
        <w:rPr>
          <w:b/>
          <w:color w:val="080808"/>
          <w:sz w:val="22"/>
        </w:rPr>
      </w:pPr>
      <w:r w:rsidRPr="00816657">
        <w:rPr>
          <w:noProof/>
          <w:lang w:eastAsia="en-AU"/>
        </w:rPr>
        <w:drawing>
          <wp:inline distT="0" distB="0" distL="0" distR="0">
            <wp:extent cx="9005570" cy="3966210"/>
            <wp:effectExtent l="19050" t="0" r="5080" b="0"/>
            <wp:docPr id="1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4" cstate="print"/>
                    <a:srcRect/>
                    <a:stretch>
                      <a:fillRect/>
                    </a:stretch>
                  </pic:blipFill>
                  <pic:spPr bwMode="auto">
                    <a:xfrm>
                      <a:off x="0" y="0"/>
                      <a:ext cx="9005570" cy="3966210"/>
                    </a:xfrm>
                    <a:prstGeom prst="rect">
                      <a:avLst/>
                    </a:prstGeom>
                    <a:noFill/>
                    <a:ln w="9525">
                      <a:noFill/>
                      <a:miter lim="800000"/>
                      <a:headEnd/>
                      <a:tailEnd/>
                    </a:ln>
                  </pic:spPr>
                </pic:pic>
              </a:graphicData>
            </a:graphic>
          </wp:inline>
        </w:drawing>
      </w:r>
      <w:r w:rsidRPr="00816657">
        <w:t xml:space="preserve"> </w:t>
      </w:r>
      <w:r w:rsidR="00FC79D4"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r w:rsidRPr="00816657">
        <w:rPr>
          <w:b/>
        </w:rPr>
        <w:t>K110. Grease trap waste</w:t>
      </w:r>
    </w:p>
    <w:p w:rsidR="00FB7575" w:rsidRPr="00816657" w:rsidRDefault="00FB7575" w:rsidP="00FB7575">
      <w:pPr>
        <w:pStyle w:val="BodyText"/>
      </w:pPr>
    </w:p>
    <w:p w:rsidR="008E2AAB" w:rsidRPr="00816657" w:rsidRDefault="008E2AAB" w:rsidP="00FB7575">
      <w:pPr>
        <w:pStyle w:val="BodyText"/>
      </w:pPr>
    </w:p>
    <w:p w:rsidR="008E2AAB" w:rsidRPr="00816657" w:rsidRDefault="008E2AAB" w:rsidP="00655F62">
      <w:pPr>
        <w:pStyle w:val="Figures"/>
      </w:pPr>
      <w:bookmarkStart w:id="518" w:name="_Toc425849275"/>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57</w:t>
      </w:r>
      <w:r w:rsidR="006D07F5" w:rsidRPr="00816657">
        <w:rPr>
          <w:noProof/>
        </w:rPr>
        <w:fldChar w:fldCharType="end"/>
      </w:r>
      <w:r w:rsidRPr="00816657">
        <w:t xml:space="preserve">: </w:t>
      </w:r>
      <w:r w:rsidRPr="00816657">
        <w:tab/>
        <w:t>Historical arisings of grease trap waste</w:t>
      </w:r>
      <w:bookmarkEnd w:id="518"/>
    </w:p>
    <w:p w:rsidR="008E2AAB" w:rsidRPr="00816657" w:rsidRDefault="008E2AAB" w:rsidP="00655F62">
      <w:pPr>
        <w:pStyle w:val="Figures"/>
      </w:pPr>
      <w:r w:rsidRPr="00816657">
        <w:rPr>
          <w:noProof/>
          <w:lang w:eastAsia="en-AU"/>
        </w:rPr>
        <w:drawing>
          <wp:inline distT="0" distB="0" distL="0" distR="0">
            <wp:extent cx="9005570" cy="3976370"/>
            <wp:effectExtent l="19050" t="0" r="5080" b="0"/>
            <wp:docPr id="1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5"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proofErr w:type="gramStart"/>
      <w:r w:rsidRPr="00816657">
        <w:rPr>
          <w:b/>
        </w:rPr>
        <w:t>K140 &amp; 190.</w:t>
      </w:r>
      <w:proofErr w:type="gramEnd"/>
      <w:r w:rsidRPr="00816657">
        <w:rPr>
          <w:b/>
        </w:rPr>
        <w:t xml:space="preserve"> Tannery and wool scouring wastes</w:t>
      </w:r>
    </w:p>
    <w:p w:rsidR="008E2AAB" w:rsidRPr="00816657" w:rsidRDefault="008E2AAB" w:rsidP="00FB7575">
      <w:pPr>
        <w:pStyle w:val="BodyText"/>
        <w:rPr>
          <w:b/>
        </w:rPr>
      </w:pPr>
    </w:p>
    <w:p w:rsidR="008E2AAB" w:rsidRPr="00816657" w:rsidRDefault="008E2AAB" w:rsidP="00FB7575">
      <w:pPr>
        <w:pStyle w:val="BodyText"/>
        <w:rPr>
          <w:b/>
        </w:rPr>
      </w:pPr>
    </w:p>
    <w:p w:rsidR="008E2AAB" w:rsidRPr="00816657" w:rsidRDefault="008E2AAB" w:rsidP="00655F62">
      <w:pPr>
        <w:pStyle w:val="Figures"/>
      </w:pPr>
      <w:bookmarkStart w:id="519" w:name="_Toc425849276"/>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58</w:t>
      </w:r>
      <w:r w:rsidR="006D07F5" w:rsidRPr="00816657">
        <w:rPr>
          <w:noProof/>
        </w:rPr>
        <w:fldChar w:fldCharType="end"/>
      </w:r>
      <w:r w:rsidRPr="00816657">
        <w:t xml:space="preserve">: </w:t>
      </w:r>
      <w:r w:rsidRPr="00816657">
        <w:tab/>
        <w:t>Historical arisings of tannery and wool scouring wastes</w:t>
      </w:r>
      <w:bookmarkEnd w:id="519"/>
      <w:r w:rsidR="00C76D4C">
        <w:t xml:space="preserve"> </w:t>
      </w:r>
      <w:r w:rsidR="00C76D4C" w:rsidRPr="00C76D4C">
        <w:rPr>
          <w:shd w:val="clear" w:color="auto" w:fill="FF0000"/>
        </w:rPr>
        <w:t>(CIC)</w:t>
      </w:r>
    </w:p>
    <w:p w:rsidR="00FB7575" w:rsidRPr="00816657" w:rsidRDefault="00FB7575" w:rsidP="00FB7575">
      <w:pPr>
        <w:pStyle w:val="BodyText"/>
      </w:pP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proofErr w:type="gramStart"/>
      <w:r w:rsidRPr="00816657">
        <w:rPr>
          <w:b/>
        </w:rPr>
        <w:t>Other M.</w:t>
      </w:r>
      <w:proofErr w:type="gramEnd"/>
      <w:r w:rsidRPr="00816657">
        <w:rPr>
          <w:b/>
        </w:rPr>
        <w:t xml:space="preserve"> Other organic chemicals</w:t>
      </w:r>
    </w:p>
    <w:p w:rsidR="008E2AAB" w:rsidRPr="00816657" w:rsidRDefault="008E2AAB" w:rsidP="00FB7575">
      <w:pPr>
        <w:pStyle w:val="BodyText"/>
        <w:rPr>
          <w:b/>
        </w:rPr>
      </w:pPr>
    </w:p>
    <w:p w:rsidR="008E2AAB" w:rsidRPr="00816657" w:rsidRDefault="008E2AAB" w:rsidP="00FB7575">
      <w:pPr>
        <w:pStyle w:val="BodyText"/>
        <w:rPr>
          <w:b/>
        </w:rPr>
      </w:pPr>
    </w:p>
    <w:p w:rsidR="008E2AAB" w:rsidRPr="00816657" w:rsidRDefault="008E2AAB" w:rsidP="00655F62">
      <w:pPr>
        <w:pStyle w:val="Figures"/>
      </w:pPr>
      <w:bookmarkStart w:id="520" w:name="_Toc425849277"/>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59</w:t>
      </w:r>
      <w:r w:rsidR="006D07F5" w:rsidRPr="00816657">
        <w:rPr>
          <w:noProof/>
        </w:rPr>
        <w:fldChar w:fldCharType="end"/>
      </w:r>
      <w:r w:rsidRPr="00816657">
        <w:t xml:space="preserve">: </w:t>
      </w:r>
      <w:r w:rsidRPr="00816657">
        <w:tab/>
        <w:t>Historical arisings of other organic chemicals waste</w:t>
      </w:r>
      <w:bookmarkEnd w:id="520"/>
    </w:p>
    <w:p w:rsidR="00FB7575" w:rsidRPr="00816657" w:rsidRDefault="0042377A" w:rsidP="00FB7575">
      <w:pPr>
        <w:pStyle w:val="BodyText"/>
      </w:pPr>
      <w:r w:rsidRPr="00816657">
        <w:rPr>
          <w:noProof/>
          <w:lang w:eastAsia="en-AU"/>
        </w:rPr>
        <w:drawing>
          <wp:inline distT="0" distB="0" distL="0" distR="0">
            <wp:extent cx="9005570" cy="3976370"/>
            <wp:effectExtent l="1905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6"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r w:rsidRPr="00816657">
        <w:rPr>
          <w:b/>
        </w:rPr>
        <w:t>N120. Contaminated soils</w:t>
      </w:r>
    </w:p>
    <w:p w:rsidR="008E2AAB" w:rsidRPr="00816657" w:rsidRDefault="008E2AAB" w:rsidP="00FB7575">
      <w:pPr>
        <w:pStyle w:val="BodyText"/>
        <w:rPr>
          <w:b/>
        </w:rPr>
      </w:pPr>
    </w:p>
    <w:p w:rsidR="008E2AAB" w:rsidRPr="00816657" w:rsidRDefault="008E2AAB" w:rsidP="00FB7575">
      <w:pPr>
        <w:pStyle w:val="BodyText"/>
        <w:rPr>
          <w:b/>
        </w:rPr>
      </w:pPr>
    </w:p>
    <w:p w:rsidR="008E2AAB" w:rsidRPr="00816657" w:rsidRDefault="008E2AAB" w:rsidP="00655F62">
      <w:pPr>
        <w:pStyle w:val="Figures"/>
      </w:pPr>
      <w:bookmarkStart w:id="521" w:name="_Toc425849278"/>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60</w:t>
      </w:r>
      <w:r w:rsidR="006D07F5" w:rsidRPr="00816657">
        <w:rPr>
          <w:noProof/>
        </w:rPr>
        <w:fldChar w:fldCharType="end"/>
      </w:r>
      <w:r w:rsidRPr="00816657">
        <w:t xml:space="preserve">: </w:t>
      </w:r>
      <w:r w:rsidRPr="00816657">
        <w:tab/>
        <w:t>Historical arisings of contaminated soils waste</w:t>
      </w:r>
      <w:bookmarkEnd w:id="521"/>
    </w:p>
    <w:p w:rsidR="00FB7575" w:rsidRPr="00816657" w:rsidRDefault="004E287C" w:rsidP="00FB7575">
      <w:pPr>
        <w:pStyle w:val="BodyText"/>
      </w:pPr>
      <w:r>
        <w:rPr>
          <w:noProof/>
          <w:lang w:eastAsia="en-AU"/>
        </w:rPr>
        <w:drawing>
          <wp:inline distT="0" distB="0" distL="0" distR="0">
            <wp:extent cx="9239693" cy="4051005"/>
            <wp:effectExtent l="0" t="0" r="0" b="6985"/>
            <wp:docPr id="973" name="Chart 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r w:rsidRPr="00816657">
        <w:rPr>
          <w:b/>
        </w:rPr>
        <w:t>N205a. Contaminated biosolids</w:t>
      </w:r>
    </w:p>
    <w:p w:rsidR="008E2AAB" w:rsidRPr="00816657" w:rsidRDefault="008E2AAB" w:rsidP="00FB7575">
      <w:pPr>
        <w:pStyle w:val="BodyText"/>
        <w:rPr>
          <w:b/>
        </w:rPr>
      </w:pPr>
    </w:p>
    <w:p w:rsidR="008E2AAB" w:rsidRPr="00816657" w:rsidRDefault="008E2AAB" w:rsidP="00FB7575">
      <w:pPr>
        <w:pStyle w:val="BodyText"/>
        <w:rPr>
          <w:b/>
        </w:rPr>
      </w:pPr>
    </w:p>
    <w:p w:rsidR="008E2AAB" w:rsidRPr="00816657" w:rsidRDefault="008E2AAB" w:rsidP="00655F62">
      <w:pPr>
        <w:pStyle w:val="Figures"/>
      </w:pPr>
      <w:bookmarkStart w:id="522" w:name="_Toc425849279"/>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61</w:t>
      </w:r>
      <w:r w:rsidR="006D07F5" w:rsidRPr="00816657">
        <w:rPr>
          <w:noProof/>
        </w:rPr>
        <w:fldChar w:fldCharType="end"/>
      </w:r>
      <w:r w:rsidRPr="00816657">
        <w:t xml:space="preserve">: </w:t>
      </w:r>
      <w:r w:rsidRPr="00816657">
        <w:tab/>
        <w:t>Historical arisings of contaminated biosolids waste</w:t>
      </w:r>
      <w:bookmarkEnd w:id="522"/>
    </w:p>
    <w:p w:rsidR="00FB7575" w:rsidRPr="00816657" w:rsidRDefault="0042377A" w:rsidP="00FB7575">
      <w:pPr>
        <w:pStyle w:val="BodyText"/>
      </w:pPr>
      <w:r w:rsidRPr="00816657">
        <w:rPr>
          <w:noProof/>
          <w:lang w:eastAsia="en-AU"/>
        </w:rPr>
        <w:drawing>
          <wp:inline distT="0" distB="0" distL="0" distR="0">
            <wp:extent cx="9005570" cy="3976370"/>
            <wp:effectExtent l="19050" t="0" r="5080" b="0"/>
            <wp:docPr id="1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8"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r w:rsidRPr="00816657">
        <w:rPr>
          <w:b/>
        </w:rPr>
        <w:t>N220. Asbestos</w:t>
      </w:r>
    </w:p>
    <w:p w:rsidR="008E2AAB" w:rsidRPr="00816657" w:rsidRDefault="008E2AAB" w:rsidP="00FB7575">
      <w:pPr>
        <w:pStyle w:val="BodyText"/>
        <w:rPr>
          <w:b/>
        </w:rPr>
      </w:pPr>
    </w:p>
    <w:p w:rsidR="008E2AAB" w:rsidRPr="00816657" w:rsidRDefault="008E2AAB" w:rsidP="00FB7575">
      <w:pPr>
        <w:pStyle w:val="BodyText"/>
        <w:rPr>
          <w:b/>
        </w:rPr>
      </w:pPr>
    </w:p>
    <w:p w:rsidR="008E2AAB" w:rsidRPr="00816657" w:rsidRDefault="008E2AAB" w:rsidP="00655F62">
      <w:pPr>
        <w:pStyle w:val="Figures"/>
      </w:pPr>
      <w:bookmarkStart w:id="523" w:name="_Toc425849280"/>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62</w:t>
      </w:r>
      <w:r w:rsidR="006D07F5" w:rsidRPr="00816657">
        <w:rPr>
          <w:noProof/>
        </w:rPr>
        <w:fldChar w:fldCharType="end"/>
      </w:r>
      <w:r w:rsidRPr="00816657">
        <w:t xml:space="preserve">: </w:t>
      </w:r>
      <w:r w:rsidRPr="00816657">
        <w:tab/>
        <w:t>Historical arisings of asbestos waste</w:t>
      </w:r>
      <w:bookmarkEnd w:id="523"/>
    </w:p>
    <w:p w:rsidR="0042377A" w:rsidRPr="00816657" w:rsidRDefault="0042377A" w:rsidP="00655F62">
      <w:pPr>
        <w:pStyle w:val="Figures"/>
      </w:pPr>
      <w:r w:rsidRPr="00816657">
        <w:rPr>
          <w:noProof/>
          <w:lang w:eastAsia="en-AU"/>
        </w:rPr>
        <w:drawing>
          <wp:inline distT="0" distB="0" distL="0" distR="0">
            <wp:extent cx="9253220" cy="3511277"/>
            <wp:effectExtent l="19050" t="0" r="5080" b="0"/>
            <wp:docPr id="1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9" cstate="print"/>
                    <a:srcRect/>
                    <a:stretch>
                      <a:fillRect/>
                    </a:stretch>
                  </pic:blipFill>
                  <pic:spPr bwMode="auto">
                    <a:xfrm>
                      <a:off x="0" y="0"/>
                      <a:ext cx="9253220" cy="3511277"/>
                    </a:xfrm>
                    <a:prstGeom prst="rect">
                      <a:avLst/>
                    </a:prstGeom>
                    <a:noFill/>
                    <a:ln w="9525">
                      <a:noFill/>
                      <a:miter lim="800000"/>
                      <a:headEnd/>
                      <a:tailEnd/>
                    </a:ln>
                  </pic:spPr>
                </pic:pic>
              </a:graphicData>
            </a:graphic>
          </wp:inline>
        </w:drawing>
      </w:r>
    </w:p>
    <w:p w:rsidR="00FB7575" w:rsidRPr="00816657" w:rsidRDefault="00FB7575" w:rsidP="00FB7575">
      <w:pPr>
        <w:pStyle w:val="BodyText"/>
      </w:pPr>
    </w:p>
    <w:p w:rsidR="007D34D5" w:rsidRPr="00816657" w:rsidRDefault="007D34D5" w:rsidP="00FB7575">
      <w:pPr>
        <w:pStyle w:val="BodyText"/>
      </w:pPr>
    </w:p>
    <w:p w:rsidR="007D34D5" w:rsidRPr="00816657" w:rsidRDefault="007D34D5" w:rsidP="00FB7575">
      <w:pPr>
        <w:pStyle w:val="BodyText"/>
      </w:pP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proofErr w:type="gramStart"/>
      <w:r w:rsidRPr="00816657">
        <w:rPr>
          <w:b/>
        </w:rPr>
        <w:t>Other N.</w:t>
      </w:r>
      <w:proofErr w:type="gramEnd"/>
      <w:r w:rsidRPr="00816657">
        <w:rPr>
          <w:b/>
        </w:rPr>
        <w:t xml:space="preserve"> Other soil/sludges</w:t>
      </w:r>
    </w:p>
    <w:p w:rsidR="008E2AAB" w:rsidRPr="00816657" w:rsidRDefault="008E2AAB" w:rsidP="00FB7575">
      <w:pPr>
        <w:pStyle w:val="BodyText"/>
        <w:rPr>
          <w:b/>
        </w:rPr>
      </w:pPr>
    </w:p>
    <w:p w:rsidR="008E2AAB" w:rsidRPr="00816657" w:rsidRDefault="008E2AAB" w:rsidP="00FB7575">
      <w:pPr>
        <w:pStyle w:val="BodyText"/>
        <w:rPr>
          <w:b/>
        </w:rPr>
      </w:pPr>
    </w:p>
    <w:p w:rsidR="008E2AAB" w:rsidRPr="00816657" w:rsidRDefault="008E2AAB" w:rsidP="00655F62">
      <w:pPr>
        <w:pStyle w:val="Figures"/>
      </w:pPr>
      <w:bookmarkStart w:id="524" w:name="_Toc425849281"/>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63</w:t>
      </w:r>
      <w:r w:rsidR="006D07F5" w:rsidRPr="00816657">
        <w:rPr>
          <w:noProof/>
        </w:rPr>
        <w:fldChar w:fldCharType="end"/>
      </w:r>
      <w:r w:rsidRPr="00816657">
        <w:t xml:space="preserve">: </w:t>
      </w:r>
      <w:r w:rsidRPr="00816657">
        <w:tab/>
        <w:t>Historical arisings of other soil/sludge waste</w:t>
      </w:r>
      <w:bookmarkEnd w:id="524"/>
    </w:p>
    <w:p w:rsidR="00FB7575" w:rsidRPr="00816657" w:rsidRDefault="0042377A" w:rsidP="00FB7575">
      <w:pPr>
        <w:pStyle w:val="BodyText"/>
      </w:pPr>
      <w:r w:rsidRPr="00816657">
        <w:rPr>
          <w:noProof/>
          <w:lang w:eastAsia="en-AU"/>
        </w:rPr>
        <w:drawing>
          <wp:inline distT="0" distB="0" distL="0" distR="0">
            <wp:extent cx="9005570" cy="3976370"/>
            <wp:effectExtent l="19050" t="0" r="5080" b="0"/>
            <wp:docPr id="1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0"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r w:rsidRPr="00816657">
        <w:rPr>
          <w:b/>
        </w:rPr>
        <w:t>R. Clinical &amp; pharmaceutical</w:t>
      </w:r>
    </w:p>
    <w:p w:rsidR="008E2AAB" w:rsidRPr="00816657" w:rsidRDefault="008E2AAB" w:rsidP="00FB7575">
      <w:pPr>
        <w:pStyle w:val="BodyText"/>
        <w:rPr>
          <w:b/>
        </w:rPr>
      </w:pPr>
    </w:p>
    <w:p w:rsidR="008E2AAB" w:rsidRPr="00816657" w:rsidRDefault="008E2AAB" w:rsidP="00FB7575">
      <w:pPr>
        <w:pStyle w:val="BodyText"/>
        <w:rPr>
          <w:b/>
        </w:rPr>
      </w:pPr>
    </w:p>
    <w:p w:rsidR="008E2AAB" w:rsidRPr="00816657" w:rsidRDefault="008E2AAB" w:rsidP="00655F62">
      <w:pPr>
        <w:pStyle w:val="Figures"/>
      </w:pPr>
      <w:bookmarkStart w:id="525" w:name="_Toc425849282"/>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64</w:t>
      </w:r>
      <w:r w:rsidR="006D07F5" w:rsidRPr="00816657">
        <w:rPr>
          <w:noProof/>
        </w:rPr>
        <w:fldChar w:fldCharType="end"/>
      </w:r>
      <w:r w:rsidRPr="00816657">
        <w:t xml:space="preserve">: </w:t>
      </w:r>
      <w:r w:rsidRPr="00816657">
        <w:tab/>
        <w:t>Historical arisings of clinical and pharmaceutical waste</w:t>
      </w:r>
      <w:bookmarkEnd w:id="525"/>
    </w:p>
    <w:p w:rsidR="00FB7575" w:rsidRPr="00816657" w:rsidRDefault="0042377A" w:rsidP="00FB7575">
      <w:pPr>
        <w:pStyle w:val="BodyText"/>
      </w:pPr>
      <w:r w:rsidRPr="00816657">
        <w:rPr>
          <w:noProof/>
          <w:lang w:eastAsia="en-AU"/>
        </w:rPr>
        <w:drawing>
          <wp:inline distT="0" distB="0" distL="0" distR="0">
            <wp:extent cx="9005570" cy="3976370"/>
            <wp:effectExtent l="19050" t="0" r="5080" b="0"/>
            <wp:docPr id="1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1"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r w:rsidRPr="00816657">
        <w:rPr>
          <w:b/>
        </w:rPr>
        <w:t>T140. Tyres</w:t>
      </w:r>
    </w:p>
    <w:p w:rsidR="008E2AAB" w:rsidRPr="00816657" w:rsidRDefault="008E2AAB" w:rsidP="00FB7575">
      <w:pPr>
        <w:pStyle w:val="BodyText"/>
        <w:rPr>
          <w:b/>
        </w:rPr>
      </w:pPr>
    </w:p>
    <w:p w:rsidR="008E2AAB" w:rsidRPr="00816657" w:rsidRDefault="008E2AAB" w:rsidP="00FB7575">
      <w:pPr>
        <w:pStyle w:val="BodyText"/>
        <w:rPr>
          <w:b/>
        </w:rPr>
      </w:pPr>
    </w:p>
    <w:p w:rsidR="008E2AAB" w:rsidRPr="00816657" w:rsidRDefault="008E2AAB" w:rsidP="00655F62">
      <w:pPr>
        <w:pStyle w:val="Figures"/>
      </w:pPr>
      <w:bookmarkStart w:id="526" w:name="_Toc425849283"/>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65</w:t>
      </w:r>
      <w:r w:rsidR="006D07F5" w:rsidRPr="00816657">
        <w:rPr>
          <w:noProof/>
        </w:rPr>
        <w:fldChar w:fldCharType="end"/>
      </w:r>
      <w:r w:rsidRPr="00816657">
        <w:t xml:space="preserve">: </w:t>
      </w:r>
      <w:r w:rsidRPr="00816657">
        <w:tab/>
        <w:t>Historical arisings of tyre waste</w:t>
      </w:r>
      <w:bookmarkEnd w:id="526"/>
    </w:p>
    <w:p w:rsidR="00FB7575" w:rsidRPr="00816657" w:rsidRDefault="0042377A" w:rsidP="00FB7575">
      <w:pPr>
        <w:pStyle w:val="BodyText"/>
      </w:pPr>
      <w:r w:rsidRPr="00816657">
        <w:rPr>
          <w:noProof/>
          <w:lang w:eastAsia="en-AU"/>
        </w:rPr>
        <w:drawing>
          <wp:inline distT="0" distB="0" distL="0" distR="0">
            <wp:extent cx="9005570" cy="3976370"/>
            <wp:effectExtent l="19050" t="0" r="5080" b="0"/>
            <wp:docPr id="1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2"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FC79D4" w:rsidRPr="00816657" w:rsidRDefault="00FC79D4">
      <w:pPr>
        <w:spacing w:line="240" w:lineRule="auto"/>
        <w:rPr>
          <w:b/>
          <w:color w:val="080808"/>
          <w:sz w:val="22"/>
        </w:rPr>
      </w:pPr>
      <w:r w:rsidRPr="00816657">
        <w:rPr>
          <w:b/>
        </w:rPr>
        <w:br w:type="page"/>
      </w:r>
    </w:p>
    <w:p w:rsidR="008E2AAB" w:rsidRPr="00816657" w:rsidRDefault="008E2AAB" w:rsidP="00FB7575">
      <w:pPr>
        <w:pStyle w:val="BodyText"/>
        <w:rPr>
          <w:b/>
        </w:rPr>
      </w:pPr>
    </w:p>
    <w:p w:rsidR="00FB7575" w:rsidRPr="00816657" w:rsidRDefault="00FB7575" w:rsidP="00FB7575">
      <w:pPr>
        <w:pStyle w:val="BodyText"/>
        <w:rPr>
          <w:b/>
        </w:rPr>
      </w:pPr>
      <w:proofErr w:type="gramStart"/>
      <w:r w:rsidRPr="00816657">
        <w:rPr>
          <w:b/>
        </w:rPr>
        <w:t>Other T.</w:t>
      </w:r>
      <w:proofErr w:type="gramEnd"/>
      <w:r w:rsidRPr="00816657">
        <w:rPr>
          <w:b/>
        </w:rPr>
        <w:t xml:space="preserve"> Other miscellaneous </w:t>
      </w:r>
    </w:p>
    <w:p w:rsidR="008E2AAB" w:rsidRPr="00816657" w:rsidRDefault="008E2AAB" w:rsidP="00FB7575">
      <w:pPr>
        <w:pStyle w:val="BodyText"/>
        <w:rPr>
          <w:b/>
        </w:rPr>
      </w:pPr>
    </w:p>
    <w:p w:rsidR="008E2AAB" w:rsidRPr="00816657" w:rsidRDefault="008E2AAB" w:rsidP="00FB7575">
      <w:pPr>
        <w:pStyle w:val="BodyText"/>
        <w:rPr>
          <w:b/>
        </w:rPr>
      </w:pPr>
    </w:p>
    <w:p w:rsidR="008E2AAB" w:rsidRPr="00816657" w:rsidRDefault="008E2AAB" w:rsidP="00655F62">
      <w:pPr>
        <w:pStyle w:val="Figures"/>
      </w:pPr>
      <w:bookmarkStart w:id="527" w:name="_Toc425849284"/>
      <w:r w:rsidRPr="00816657">
        <w:t xml:space="preserve">Figure </w:t>
      </w:r>
      <w:r w:rsidR="006D07F5" w:rsidRPr="00816657">
        <w:fldChar w:fldCharType="begin"/>
      </w:r>
      <w:r w:rsidR="00BA5D9E" w:rsidRPr="00816657">
        <w:instrText xml:space="preserve"> SEQ Figure \* ARABIC </w:instrText>
      </w:r>
      <w:r w:rsidR="006D07F5" w:rsidRPr="00816657">
        <w:fldChar w:fldCharType="separate"/>
      </w:r>
      <w:r w:rsidR="002F3000">
        <w:rPr>
          <w:noProof/>
        </w:rPr>
        <w:t>66</w:t>
      </w:r>
      <w:r w:rsidR="006D07F5" w:rsidRPr="00816657">
        <w:rPr>
          <w:noProof/>
        </w:rPr>
        <w:fldChar w:fldCharType="end"/>
      </w:r>
      <w:r w:rsidRPr="00816657">
        <w:t xml:space="preserve">: </w:t>
      </w:r>
      <w:r w:rsidRPr="00816657">
        <w:tab/>
        <w:t>Historical arisings of other miscellaneous waste</w:t>
      </w:r>
      <w:bookmarkEnd w:id="527"/>
    </w:p>
    <w:p w:rsidR="00FB7575" w:rsidRPr="00816657" w:rsidRDefault="0042377A" w:rsidP="00FB7575">
      <w:pPr>
        <w:pStyle w:val="BodyText"/>
      </w:pPr>
      <w:r w:rsidRPr="00816657">
        <w:rPr>
          <w:noProof/>
          <w:lang w:eastAsia="en-AU"/>
        </w:rPr>
        <w:drawing>
          <wp:inline distT="0" distB="0" distL="0" distR="0">
            <wp:extent cx="9005570" cy="3976370"/>
            <wp:effectExtent l="1905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3" cstate="print"/>
                    <a:srcRect/>
                    <a:stretch>
                      <a:fillRect/>
                    </a:stretch>
                  </pic:blipFill>
                  <pic:spPr bwMode="auto">
                    <a:xfrm>
                      <a:off x="0" y="0"/>
                      <a:ext cx="9005570" cy="3976370"/>
                    </a:xfrm>
                    <a:prstGeom prst="rect">
                      <a:avLst/>
                    </a:prstGeom>
                    <a:noFill/>
                    <a:ln w="9525">
                      <a:noFill/>
                      <a:miter lim="800000"/>
                      <a:headEnd/>
                      <a:tailEnd/>
                    </a:ln>
                  </pic:spPr>
                </pic:pic>
              </a:graphicData>
            </a:graphic>
          </wp:inline>
        </w:drawing>
      </w:r>
    </w:p>
    <w:p w:rsidR="005D48DD" w:rsidRPr="00816657" w:rsidRDefault="00FC79D4">
      <w:pPr>
        <w:spacing w:line="240" w:lineRule="auto"/>
        <w:rPr>
          <w:b/>
          <w:highlight w:val="yellow"/>
        </w:rPr>
      </w:pPr>
      <w:r w:rsidRPr="00816657">
        <w:rPr>
          <w:b/>
        </w:rPr>
        <w:br w:type="page"/>
      </w:r>
    </w:p>
    <w:p w:rsidR="005D48DD" w:rsidRPr="00816657" w:rsidRDefault="005D48DD">
      <w:pPr>
        <w:spacing w:line="240" w:lineRule="auto"/>
        <w:sectPr w:rsidR="005D48DD" w:rsidRPr="00816657" w:rsidSect="005D48DD">
          <w:headerReference w:type="even" r:id="rId274"/>
          <w:headerReference w:type="default" r:id="rId275"/>
          <w:footerReference w:type="even" r:id="rId276"/>
          <w:footerReference w:type="default" r:id="rId277"/>
          <w:headerReference w:type="first" r:id="rId278"/>
          <w:footerReference w:type="first" r:id="rId279"/>
          <w:pgSz w:w="16840" w:h="11907" w:orient="landscape" w:code="9"/>
          <w:pgMar w:top="1417" w:right="1134" w:bottom="1276" w:left="1134" w:header="709" w:footer="567" w:gutter="0"/>
          <w:cols w:space="708"/>
          <w:docGrid w:linePitch="360"/>
        </w:sectPr>
      </w:pPr>
    </w:p>
    <w:p w:rsidR="00377810" w:rsidRPr="006171A4" w:rsidRDefault="000E5702" w:rsidP="00DD4ED8">
      <w:pPr>
        <w:pStyle w:val="AppendixHeading1"/>
        <w:ind w:left="851"/>
        <w:rPr>
          <w:color w:val="0000FF" w:themeColor="text2"/>
        </w:rPr>
      </w:pPr>
      <w:bookmarkStart w:id="528" w:name="_Ref408390265"/>
      <w:bookmarkStart w:id="529" w:name="_Toc425849214"/>
      <w:r w:rsidRPr="006171A4">
        <w:rPr>
          <w:color w:val="0000FF" w:themeColor="text2"/>
        </w:rPr>
        <w:lastRenderedPageBreak/>
        <w:t xml:space="preserve">‘New </w:t>
      </w:r>
      <w:r w:rsidR="004B0B08" w:rsidRPr="006171A4">
        <w:rPr>
          <w:color w:val="0000FF" w:themeColor="text2"/>
        </w:rPr>
        <w:t>Stockholm waste</w:t>
      </w:r>
      <w:r w:rsidRPr="006171A4">
        <w:rPr>
          <w:color w:val="0000FF" w:themeColor="text2"/>
        </w:rPr>
        <w:t>s’</w:t>
      </w:r>
      <w:r w:rsidR="004B0B08" w:rsidRPr="006171A4">
        <w:rPr>
          <w:color w:val="0000FF" w:themeColor="text2"/>
        </w:rPr>
        <w:t xml:space="preserve"> arising</w:t>
      </w:r>
      <w:bookmarkEnd w:id="528"/>
      <w:bookmarkEnd w:id="529"/>
    </w:p>
    <w:p w:rsidR="003746F8" w:rsidRPr="00E97D4C" w:rsidRDefault="003746F8" w:rsidP="00E97D4C">
      <w:pPr>
        <w:pStyle w:val="BodyText"/>
        <w:rPr>
          <w:rFonts w:cs="Arial"/>
          <w:szCs w:val="20"/>
        </w:rPr>
      </w:pPr>
      <w:r w:rsidRPr="00E97D4C">
        <w:t xml:space="preserve">Three ‘new’ potentially hazardous waste streams may emerge over the next five years should the Australian Government determine to ratify the recent listing of a number of new chemicals onto the Stockholm Convention on </w:t>
      </w:r>
      <w:r w:rsidRPr="00E97D4C">
        <w:rPr>
          <w:rFonts w:cs="Arial"/>
          <w:szCs w:val="20"/>
        </w:rPr>
        <w:t xml:space="preserve">Persistent Organic Pollutants (POPs). </w:t>
      </w:r>
    </w:p>
    <w:p w:rsidR="003746F8" w:rsidRPr="00E97D4C" w:rsidRDefault="003746F8" w:rsidP="00E97D4C">
      <w:pPr>
        <w:pStyle w:val="BodyText"/>
        <w:rPr>
          <w:rFonts w:cs="Arial"/>
          <w:szCs w:val="20"/>
        </w:rPr>
      </w:pPr>
    </w:p>
    <w:p w:rsidR="003746F8" w:rsidRPr="00E97D4C" w:rsidRDefault="003746F8" w:rsidP="00E97D4C">
      <w:pPr>
        <w:pStyle w:val="BodyText"/>
      </w:pPr>
      <w:r w:rsidRPr="00E97D4C">
        <w:rPr>
          <w:rFonts w:cs="Arial"/>
          <w:szCs w:val="20"/>
        </w:rPr>
        <w:t xml:space="preserve">POPs are hazardous and environmentally persistent substances which can be transported between countries by the earth's oceans and atmosphere. POPs accumulate in living organisms and have been traced in the fatty tissues of humans and other animals. There is general international agreement that they require global action to reduce their impact on humans and the environment. The new listings of relevance to this project are </w:t>
      </w:r>
      <w:r w:rsidRPr="00E97D4C">
        <w:t>POP-BDEs (a series of listed substances as described below), HBCD and PFOS. Both the POP-BDEs and HBCD are brominated flame retardant (BFR) chemicals.</w:t>
      </w:r>
    </w:p>
    <w:p w:rsidR="003746F8" w:rsidRPr="00E97D4C" w:rsidRDefault="003746F8" w:rsidP="00E97D4C">
      <w:pPr>
        <w:pStyle w:val="BodyText"/>
      </w:pPr>
    </w:p>
    <w:p w:rsidR="003746F8" w:rsidRPr="00E97D4C" w:rsidRDefault="003746F8" w:rsidP="00E97D4C">
      <w:pPr>
        <w:pStyle w:val="BodyText"/>
      </w:pPr>
      <w:r w:rsidRPr="00E97D4C">
        <w:t>In assessing the nature of any new waste streams arising from the (regulatory and management) actions that could be developed in response to a listing decision on these chemicals, consideration of their lifecycle flows as materials, articles and most importantly wastes needs to be considered.</w:t>
      </w:r>
      <w:r w:rsidR="00F954D8" w:rsidRPr="00E97D4C">
        <w:t xml:space="preserve"> </w:t>
      </w:r>
      <w:r w:rsidRPr="00E97D4C">
        <w:t>This informs the critical decision of what the hazardous wastes that contain these chemicals would look like, and therefore which ones need to be considered for this project.</w:t>
      </w:r>
    </w:p>
    <w:p w:rsidR="003746F8" w:rsidRPr="00E97D4C" w:rsidRDefault="003746F8" w:rsidP="00E97D4C"/>
    <w:p w:rsidR="003746F8" w:rsidRPr="00E97D4C" w:rsidRDefault="003746F8" w:rsidP="00E97D4C">
      <w:pPr>
        <w:pStyle w:val="Heading3"/>
      </w:pPr>
      <w:r w:rsidRPr="00E97D4C">
        <w:t>POP-BDEs</w:t>
      </w:r>
    </w:p>
    <w:p w:rsidR="003746F8" w:rsidRPr="00E97D4C" w:rsidRDefault="001E3AB5" w:rsidP="00E97D4C">
      <w:pPr>
        <w:pStyle w:val="BodyText"/>
        <w:spacing w:after="120"/>
        <w:rPr>
          <w:i/>
        </w:rPr>
      </w:pPr>
      <w:bookmarkStart w:id="530" w:name="_Toc403143619"/>
      <w:r w:rsidRPr="00E97D4C">
        <w:rPr>
          <w:i/>
        </w:rPr>
        <w:t>POP-BDE u</w:t>
      </w:r>
      <w:r w:rsidR="003746F8" w:rsidRPr="00E97D4C">
        <w:rPr>
          <w:i/>
        </w:rPr>
        <w:t>ses</w:t>
      </w:r>
      <w:bookmarkEnd w:id="530"/>
    </w:p>
    <w:p w:rsidR="003746F8" w:rsidRPr="00E97D4C" w:rsidRDefault="003746F8" w:rsidP="00E97D4C">
      <w:pPr>
        <w:pStyle w:val="BodyText"/>
      </w:pPr>
      <w:r w:rsidRPr="00E97D4C">
        <w:t xml:space="preserve">Polybrominated diphenyl ethers (PBDEs) have been used globally since the late 1970s for their flame-retarding properties and have been applied as an additive to a range of products (articles) including electrical and electronic equipment (EEE), furniture upholstery, automobile interiors, mattresses, carpet underlay and other items that are required to be flame retardant. </w:t>
      </w:r>
    </w:p>
    <w:p w:rsidR="003746F8" w:rsidRPr="00E97D4C" w:rsidRDefault="003746F8" w:rsidP="00E97D4C">
      <w:pPr>
        <w:pStyle w:val="BodyText"/>
      </w:pPr>
    </w:p>
    <w:p w:rsidR="003746F8" w:rsidRPr="00E97D4C" w:rsidRDefault="003746F8" w:rsidP="00E97D4C">
      <w:pPr>
        <w:pStyle w:val="BodyText"/>
      </w:pPr>
      <w:r w:rsidRPr="00E97D4C">
        <w:t>In May 2009 the Stockholm Convention’s Conference of Parties agreed to add nine new Persistent Organic Pollutants (POPs) to the Convention’s annexes, including certain congeners contained in commercial pentabromodiphenyl ether (c-pentaBDE) and commercial octabromodiphenyl ether (c-octaBDE) and together referred to as POP-BDEs.</w:t>
      </w:r>
      <w:r w:rsidR="00F954D8" w:rsidRPr="00E97D4C">
        <w:t xml:space="preserve"> </w:t>
      </w:r>
    </w:p>
    <w:p w:rsidR="003746F8" w:rsidRPr="00E97D4C" w:rsidRDefault="003746F8" w:rsidP="00E97D4C">
      <w:pPr>
        <w:pStyle w:val="BodyText"/>
      </w:pPr>
    </w:p>
    <w:p w:rsidR="003746F8" w:rsidRPr="00E97D4C" w:rsidRDefault="003746F8" w:rsidP="00E97D4C">
      <w:pPr>
        <w:pStyle w:val="BodyText"/>
      </w:pPr>
      <w:r w:rsidRPr="00E97D4C">
        <w:t>Under the domestic treaty making process Australia must determine whether to ratify listing of the POP</w:t>
      </w:r>
      <w:r w:rsidRPr="00E97D4C">
        <w:noBreakHyphen/>
        <w:t>BDEs after having taken into consideration the costs and benefits of the feasible technical options that it would need to implement to satisfy ratification.</w:t>
      </w:r>
      <w:r w:rsidR="00F954D8" w:rsidRPr="00E97D4C">
        <w:t xml:space="preserve"> </w:t>
      </w:r>
      <w:r w:rsidRPr="00E97D4C">
        <w:t>This decision has not yet been made.</w:t>
      </w:r>
    </w:p>
    <w:p w:rsidR="003746F8" w:rsidRPr="00E97D4C" w:rsidRDefault="003746F8" w:rsidP="00E97D4C">
      <w:pPr>
        <w:pStyle w:val="BodyText"/>
      </w:pPr>
    </w:p>
    <w:p w:rsidR="003746F8" w:rsidRPr="00E97D4C" w:rsidRDefault="003746F8" w:rsidP="00E97D4C">
      <w:pPr>
        <w:pStyle w:val="BodyText"/>
      </w:pPr>
      <w:r w:rsidRPr="00E97D4C">
        <w:t>Global manufacture of articles containing POP-BDEs ceased prior to 2005, after a voluntary phase out of the use of these chemicals in manufacturing took hold, combined with international regulatory activity, such as bans on production and restriction of use in articles.</w:t>
      </w:r>
      <w:r w:rsidR="00F954D8" w:rsidRPr="00E97D4C">
        <w:t xml:space="preserve"> </w:t>
      </w:r>
      <w:r w:rsidRPr="00E97D4C">
        <w:t>In Australia, importation and manufacture of pentaBDE and octaBDE has been prohibited since early 2007, apart from comparatively insignificant laboratory use.</w:t>
      </w:r>
      <w:r w:rsidR="00F954D8" w:rsidRPr="00E97D4C">
        <w:t xml:space="preserve"> </w:t>
      </w:r>
      <w:r w:rsidRPr="00E97D4C">
        <w:t>Presently in Australia, most articles containing POP-BDEs are imported goods produced prior to 2005.</w:t>
      </w:r>
    </w:p>
    <w:p w:rsidR="003746F8" w:rsidRPr="00E97D4C" w:rsidRDefault="003746F8" w:rsidP="00E97D4C">
      <w:pPr>
        <w:pStyle w:val="BodyText"/>
      </w:pPr>
    </w:p>
    <w:p w:rsidR="003746F8" w:rsidRPr="00E97D4C" w:rsidRDefault="003746F8" w:rsidP="00E97D4C">
      <w:pPr>
        <w:pStyle w:val="BodyText"/>
      </w:pPr>
      <w:r w:rsidRPr="00E97D4C">
        <w:t>90 – 95% of pentaBDE use was as a flame retardant for the treatment of polyurethane (PUR) foam</w:t>
      </w:r>
      <w:r w:rsidRPr="00E97D4C">
        <w:rPr>
          <w:rStyle w:val="FootnoteReference"/>
          <w:rFonts w:cs="Arial"/>
          <w:szCs w:val="20"/>
        </w:rPr>
        <w:footnoteReference w:id="37"/>
      </w:r>
      <w:r w:rsidRPr="00E97D4C">
        <w:t>, with the vast majority of these foams used in car seat and furniture upholstery applications.</w:t>
      </w:r>
      <w:r w:rsidR="00F954D8" w:rsidRPr="00E97D4C">
        <w:t xml:space="preserve"> </w:t>
      </w:r>
      <w:r w:rsidRPr="00E97D4C">
        <w:t>Concentrations in the foam ranged between 3-5%.</w:t>
      </w:r>
      <w:r w:rsidR="00F954D8" w:rsidRPr="00E97D4C">
        <w:t xml:space="preserve"> </w:t>
      </w:r>
      <w:r w:rsidRPr="00E97D4C">
        <w:t>The major use of octaBDE (95%) has been as an additive to acrylonitrile butadiene styrene (ABS) polymers for the casing of electrical and electronic equipment (EEE) and typically added at concentrations between 10-18 % by weight</w:t>
      </w:r>
      <w:r w:rsidRPr="00E97D4C">
        <w:rPr>
          <w:rStyle w:val="EndnoteReference"/>
        </w:rPr>
        <w:t>1</w:t>
      </w:r>
      <w:r w:rsidRPr="00E97D4C">
        <w:t xml:space="preserve">. Such items include cathode ray tube (CRT) televisions and monitors, office equipment such as printers and copying machines. </w:t>
      </w:r>
    </w:p>
    <w:p w:rsidR="003746F8" w:rsidRPr="00E97D4C" w:rsidRDefault="003746F8" w:rsidP="00E97D4C">
      <w:pPr>
        <w:pStyle w:val="BodyText"/>
      </w:pPr>
      <w:r w:rsidRPr="00E97D4C">
        <w:lastRenderedPageBreak/>
        <w:t>A material flow study conducted by KMH Environmental in 2013</w:t>
      </w:r>
      <w:r w:rsidRPr="00E97D4C">
        <w:rPr>
          <w:rStyle w:val="FootnoteReference"/>
        </w:rPr>
        <w:footnoteReference w:id="38"/>
      </w:r>
      <w:r w:rsidRPr="00E97D4C">
        <w:t xml:space="preserve"> quantified historical article and PBDE flows throughout their lifecycle and identified potential environmental impact points.</w:t>
      </w:r>
      <w:r w:rsidR="00F954D8" w:rsidRPr="00E97D4C">
        <w:t xml:space="preserve"> </w:t>
      </w:r>
      <w:r w:rsidRPr="00E97D4C">
        <w:t xml:space="preserve">This study determined that all articles likely to contain either pentaBDE or octaBDE (at flame retarding levels) will have become waste by 2015, at the end of their useful lives, as shown for octaBDE in </w:t>
      </w:r>
      <w:fldSimple w:instr=" REF _Ref400444125 \h  \* MERGEFORMAT ">
        <w:r w:rsidR="002F3000" w:rsidRPr="00E97D4C">
          <w:t xml:space="preserve">Figure </w:t>
        </w:r>
        <w:r w:rsidR="002F3000">
          <w:rPr>
            <w:noProof/>
          </w:rPr>
          <w:t>67</w:t>
        </w:r>
      </w:fldSimple>
      <w:r w:rsidRPr="00E97D4C">
        <w:t>.</w:t>
      </w:r>
      <w:r w:rsidR="00F954D8" w:rsidRPr="00E97D4C">
        <w:t xml:space="preserve"> </w:t>
      </w:r>
      <w:r w:rsidRPr="00E97D4C">
        <w:t>This is due to the combined effect of the phase-out of POP-BDE use in product manufacturing around the mid-2000’s and the typical lifespan of the ‘in-use’ phase of these products.</w:t>
      </w:r>
    </w:p>
    <w:p w:rsidR="003746F8" w:rsidRPr="00E97D4C" w:rsidRDefault="003746F8" w:rsidP="00E97D4C">
      <w:pPr>
        <w:pStyle w:val="BodyText"/>
      </w:pPr>
    </w:p>
    <w:p w:rsidR="003746F8" w:rsidRPr="00E97D4C" w:rsidRDefault="003746F8" w:rsidP="00E97D4C">
      <w:pPr>
        <w:pStyle w:val="Figures"/>
      </w:pPr>
      <w:bookmarkStart w:id="531" w:name="_Ref400444125"/>
      <w:bookmarkStart w:id="532" w:name="_Toc425849285"/>
      <w:r w:rsidRPr="00E97D4C">
        <w:t xml:space="preserve">Figure </w:t>
      </w:r>
      <w:r w:rsidR="006D07F5" w:rsidRPr="00E97D4C">
        <w:fldChar w:fldCharType="begin"/>
      </w:r>
      <w:r w:rsidR="00BA5D9E" w:rsidRPr="00E97D4C">
        <w:instrText xml:space="preserve"> SEQ Figure \* ARABIC </w:instrText>
      </w:r>
      <w:r w:rsidR="006D07F5" w:rsidRPr="00E97D4C">
        <w:rPr>
          <w:noProof/>
        </w:rPr>
        <w:fldChar w:fldCharType="separate"/>
      </w:r>
      <w:r w:rsidR="002F3000">
        <w:rPr>
          <w:noProof/>
        </w:rPr>
        <w:t>67</w:t>
      </w:r>
      <w:r w:rsidR="006D07F5" w:rsidRPr="00E97D4C">
        <w:rPr>
          <w:noProof/>
        </w:rPr>
        <w:fldChar w:fldCharType="end"/>
      </w:r>
      <w:bookmarkEnd w:id="531"/>
      <w:r w:rsidRPr="00E97D4C">
        <w:t xml:space="preserve">: </w:t>
      </w:r>
      <w:r w:rsidRPr="00E97D4C">
        <w:tab/>
        <w:t>OctaBDE in use for EEE applications</w:t>
      </w:r>
      <w:bookmarkEnd w:id="532"/>
    </w:p>
    <w:p w:rsidR="003746F8" w:rsidRPr="00E97D4C" w:rsidRDefault="003746F8" w:rsidP="00E97D4C">
      <w:pPr>
        <w:spacing w:after="120"/>
        <w:rPr>
          <w:rFonts w:cs="Arial"/>
          <w:szCs w:val="20"/>
        </w:rPr>
      </w:pPr>
      <w:r w:rsidRPr="00E97D4C">
        <w:rPr>
          <w:noProof/>
          <w:lang w:eastAsia="en-AU"/>
        </w:rPr>
        <w:drawing>
          <wp:inline distT="0" distB="0" distL="0" distR="0">
            <wp:extent cx="4752975" cy="2743200"/>
            <wp:effectExtent l="0" t="0" r="9525" b="1905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3746F8" w:rsidRPr="00E97D4C" w:rsidRDefault="003746F8" w:rsidP="00E97D4C">
      <w:pPr>
        <w:pStyle w:val="RptTable-Heading"/>
        <w:spacing w:after="240"/>
        <w:ind w:left="1656"/>
        <w:rPr>
          <w:b w:val="0"/>
          <w:noProof w:val="0"/>
          <w:lang w:val="en-AU"/>
        </w:rPr>
      </w:pPr>
      <w:r w:rsidRPr="00E97D4C">
        <w:rPr>
          <w:lang w:val="en-AU"/>
        </w:rPr>
        <w:t xml:space="preserve"> </w:t>
      </w:r>
      <w:r w:rsidRPr="00E97D4C">
        <w:rPr>
          <w:b w:val="0"/>
          <w:noProof w:val="0"/>
          <w:lang w:val="en-AU"/>
        </w:rPr>
        <w:t>(Source:</w:t>
      </w:r>
      <w:r w:rsidR="00F954D8" w:rsidRPr="00E97D4C">
        <w:rPr>
          <w:b w:val="0"/>
          <w:noProof w:val="0"/>
          <w:lang w:val="en-AU"/>
        </w:rPr>
        <w:t xml:space="preserve"> </w:t>
      </w:r>
      <w:r w:rsidRPr="00E97D4C">
        <w:rPr>
          <w:b w:val="0"/>
          <w:lang w:val="en-AU"/>
        </w:rPr>
        <w:t>Latimer et al (KMH Environmental</w:t>
      </w:r>
      <w:r w:rsidRPr="00E97D4C">
        <w:rPr>
          <w:rStyle w:val="FootnoteReference"/>
          <w:b w:val="0"/>
          <w:lang w:val="en-AU"/>
        </w:rPr>
        <w:footnoteReference w:id="39"/>
      </w:r>
      <w:r w:rsidRPr="00E97D4C">
        <w:rPr>
          <w:b w:val="0"/>
          <w:lang w:val="en-AU"/>
        </w:rPr>
        <w:t>)</w:t>
      </w:r>
    </w:p>
    <w:p w:rsidR="003746F8" w:rsidRPr="00E97D4C" w:rsidRDefault="003746F8" w:rsidP="00E97D4C">
      <w:pPr>
        <w:pStyle w:val="BodyText"/>
        <w:spacing w:after="120"/>
        <w:rPr>
          <w:i/>
        </w:rPr>
      </w:pPr>
      <w:bookmarkStart w:id="533" w:name="_Toc403143620"/>
      <w:r w:rsidRPr="00E97D4C">
        <w:rPr>
          <w:i/>
        </w:rPr>
        <w:t>POP-BDE wastes (M160b)</w:t>
      </w:r>
      <w:bookmarkEnd w:id="533"/>
    </w:p>
    <w:p w:rsidR="003746F8" w:rsidRPr="00E97D4C" w:rsidRDefault="003746F8" w:rsidP="00E97D4C">
      <w:pPr>
        <w:pStyle w:val="BodyText"/>
      </w:pPr>
      <w:r w:rsidRPr="00E97D4C">
        <w:t>There are a number of potential pathways for POP-BDEs to present as wastes throughout their lifecycle.</w:t>
      </w:r>
      <w:r w:rsidR="00F954D8" w:rsidRPr="00E97D4C">
        <w:t xml:space="preserve"> </w:t>
      </w:r>
      <w:fldSimple w:instr=" REF _Ref400444084 \h  \* MERGEFORMAT ">
        <w:r w:rsidR="002F3000" w:rsidRPr="00E97D4C">
          <w:t xml:space="preserve">Table </w:t>
        </w:r>
        <w:r w:rsidR="002F3000">
          <w:rPr>
            <w:noProof/>
          </w:rPr>
          <w:t>69</w:t>
        </w:r>
      </w:fldSimple>
      <w:r w:rsidRPr="00E97D4C">
        <w:t xml:space="preserve"> lists the potential POP-BDE containing waste types generated in Australia, and comments on the significance of each with respect to its likely inherent POP-BDE hazard and, consequently, its relevance as a hazardous waste for this study.</w:t>
      </w:r>
    </w:p>
    <w:p w:rsidR="003746F8" w:rsidRPr="00E97D4C" w:rsidRDefault="003746F8" w:rsidP="00E97D4C">
      <w:pPr>
        <w:pStyle w:val="BodyText"/>
      </w:pPr>
    </w:p>
    <w:p w:rsidR="003746F8" w:rsidRPr="00E97D4C" w:rsidRDefault="003746F8" w:rsidP="00E97D4C">
      <w:pPr>
        <w:pStyle w:val="BodyText"/>
      </w:pPr>
      <w:r w:rsidRPr="00E97D4C">
        <w:t>Critically, no Low POP Concentration Limit (LPCL) has been set for POP-BDEs, which is a level in materials that have become waste that above which would trigger management of that waste according to Stockholm Convention requirements.</w:t>
      </w:r>
      <w:r w:rsidR="00F954D8" w:rsidRPr="00E97D4C">
        <w:t xml:space="preserve"> </w:t>
      </w:r>
      <w:r w:rsidRPr="00E97D4C">
        <w:t>A level of 50mg/kg has been discussed, but levels as low as 10mg/kg have been recommended, transitioning from a start point setting of 200mg/kg</w:t>
      </w:r>
      <w:r w:rsidRPr="00E97D4C">
        <w:rPr>
          <w:rStyle w:val="FootnoteReference"/>
        </w:rPr>
        <w:footnoteReference w:id="40"/>
      </w:r>
      <w:r w:rsidRPr="00E97D4C">
        <w:t>.</w:t>
      </w:r>
      <w:r w:rsidR="00F954D8" w:rsidRPr="00E97D4C">
        <w:t xml:space="preserve"> </w:t>
      </w:r>
      <w:r w:rsidRPr="00E97D4C">
        <w:t>Other similar POPs in Stockholm context have LPCLs of 50mg/kg, which also corresponds to Basel Convention triggers regarding organohalogen compound wastes.</w:t>
      </w:r>
    </w:p>
    <w:p w:rsidR="003746F8" w:rsidRPr="00E97D4C" w:rsidRDefault="003746F8" w:rsidP="00E97D4C"/>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Assumed waste generation scenarios for POP-BDEs are:</w:t>
      </w: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Low:</w:t>
      </w:r>
      <w:r w:rsidRPr="00E97D4C">
        <w:rPr>
          <w:rFonts w:asciiTheme="minorHAnsi" w:eastAsiaTheme="minorHAnsi" w:hAnsiTheme="minorHAnsi" w:cstheme="minorBidi"/>
          <w:b/>
          <w:color w:val="auto"/>
          <w:sz w:val="22"/>
        </w:rPr>
        <w:tab/>
        <w:t>200mg/kg LPCL</w:t>
      </w: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Best:</w:t>
      </w:r>
      <w:r w:rsidRPr="00E97D4C">
        <w:rPr>
          <w:rFonts w:asciiTheme="minorHAnsi" w:eastAsiaTheme="minorHAnsi" w:hAnsiTheme="minorHAnsi" w:cstheme="minorBidi"/>
          <w:b/>
          <w:color w:val="auto"/>
          <w:sz w:val="22"/>
        </w:rPr>
        <w:tab/>
        <w:t>50mg/kg LPCL</w:t>
      </w: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High:</w:t>
      </w:r>
      <w:r w:rsidRPr="00E97D4C">
        <w:rPr>
          <w:rFonts w:asciiTheme="minorHAnsi" w:eastAsiaTheme="minorHAnsi" w:hAnsiTheme="minorHAnsi" w:cstheme="minorBidi"/>
          <w:b/>
          <w:color w:val="auto"/>
          <w:sz w:val="22"/>
        </w:rPr>
        <w:tab/>
        <w:t>10mg/kg LPCL</w:t>
      </w:r>
    </w:p>
    <w:p w:rsidR="003746F8" w:rsidRPr="00E97D4C" w:rsidRDefault="003746F8" w:rsidP="00E97D4C">
      <w:pPr>
        <w:pStyle w:val="Figures"/>
      </w:pPr>
      <w:bookmarkStart w:id="534" w:name="_Ref400444084"/>
      <w:bookmarkStart w:id="535" w:name="_Toc400456460"/>
      <w:bookmarkStart w:id="536" w:name="_Toc425849354"/>
      <w:r w:rsidRPr="00E97D4C">
        <w:lastRenderedPageBreak/>
        <w:t xml:space="preserve">Table </w:t>
      </w:r>
      <w:r w:rsidR="006D07F5" w:rsidRPr="00E97D4C">
        <w:fldChar w:fldCharType="begin"/>
      </w:r>
      <w:r w:rsidR="00BA5D9E" w:rsidRPr="00E97D4C">
        <w:instrText xml:space="preserve"> SEQ Table \* ARABIC </w:instrText>
      </w:r>
      <w:r w:rsidR="006D07F5" w:rsidRPr="00E97D4C">
        <w:rPr>
          <w:noProof/>
        </w:rPr>
        <w:fldChar w:fldCharType="separate"/>
      </w:r>
      <w:r w:rsidR="002F3000">
        <w:rPr>
          <w:noProof/>
        </w:rPr>
        <w:t>69</w:t>
      </w:r>
      <w:r w:rsidR="006D07F5" w:rsidRPr="00E97D4C">
        <w:rPr>
          <w:noProof/>
        </w:rPr>
        <w:fldChar w:fldCharType="end"/>
      </w:r>
      <w:bookmarkEnd w:id="534"/>
      <w:r w:rsidRPr="00E97D4C">
        <w:t xml:space="preserve">: </w:t>
      </w:r>
      <w:r w:rsidRPr="00E97D4C">
        <w:tab/>
        <w:t>Potential POP-BDE Wastes</w:t>
      </w:r>
      <w:bookmarkEnd w:id="535"/>
      <w:bookmarkEnd w:id="536"/>
    </w:p>
    <w:tbl>
      <w:tblPr>
        <w:tblStyle w:val="BETable1"/>
        <w:tblW w:w="9696" w:type="dxa"/>
        <w:tblInd w:w="0" w:type="dxa"/>
        <w:tblLayout w:type="fixed"/>
        <w:tblLook w:val="04A0"/>
      </w:tblPr>
      <w:tblGrid>
        <w:gridCol w:w="2042"/>
        <w:gridCol w:w="2031"/>
        <w:gridCol w:w="5623"/>
      </w:tblGrid>
      <w:tr w:rsidR="006B7EDD" w:rsidRPr="006B7EDD" w:rsidTr="003746F8">
        <w:trPr>
          <w:cnfStyle w:val="100000000000"/>
          <w:trHeight w:val="570"/>
        </w:trPr>
        <w:tc>
          <w:tcPr>
            <w:cnfStyle w:val="001000000000"/>
            <w:tcW w:w="2042" w:type="dxa"/>
          </w:tcPr>
          <w:p w:rsidR="003746F8" w:rsidRPr="00E97D4C" w:rsidRDefault="003746F8" w:rsidP="00E97D4C">
            <w:pPr>
              <w:rPr>
                <w:rFonts w:cs="Arial"/>
                <w:color w:val="000000"/>
                <w:szCs w:val="20"/>
              </w:rPr>
            </w:pPr>
            <w:r w:rsidRPr="00E97D4C">
              <w:rPr>
                <w:rFonts w:cs="Arial"/>
                <w:color w:val="000000"/>
                <w:szCs w:val="20"/>
              </w:rPr>
              <w:t>Potential POP-BDE Waste</w:t>
            </w:r>
          </w:p>
        </w:tc>
        <w:tc>
          <w:tcPr>
            <w:tcW w:w="2031" w:type="dxa"/>
          </w:tcPr>
          <w:p w:rsidR="003746F8" w:rsidRPr="00E97D4C" w:rsidRDefault="003746F8" w:rsidP="00E97D4C">
            <w:pPr>
              <w:jc w:val="center"/>
              <w:cnfStyle w:val="100000000000"/>
              <w:rPr>
                <w:rFonts w:cs="Arial"/>
                <w:color w:val="000000"/>
                <w:szCs w:val="20"/>
              </w:rPr>
            </w:pPr>
            <w:r w:rsidRPr="00E97D4C">
              <w:rPr>
                <w:rFonts w:cs="Arial"/>
                <w:color w:val="000000"/>
                <w:szCs w:val="20"/>
              </w:rPr>
              <w:t>Waste generation site</w:t>
            </w:r>
          </w:p>
        </w:tc>
        <w:tc>
          <w:tcPr>
            <w:tcW w:w="5623" w:type="dxa"/>
          </w:tcPr>
          <w:p w:rsidR="003746F8" w:rsidRPr="00E97D4C" w:rsidRDefault="003746F8" w:rsidP="00E97D4C">
            <w:pPr>
              <w:jc w:val="center"/>
              <w:cnfStyle w:val="100000000000"/>
              <w:rPr>
                <w:rFonts w:cs="Arial"/>
                <w:color w:val="000000"/>
                <w:szCs w:val="20"/>
              </w:rPr>
            </w:pPr>
            <w:r w:rsidRPr="00E97D4C">
              <w:rPr>
                <w:rFonts w:cs="Arial"/>
                <w:color w:val="000000"/>
                <w:szCs w:val="20"/>
              </w:rPr>
              <w:t>POP-BDE waste stream?</w:t>
            </w:r>
          </w:p>
        </w:tc>
      </w:tr>
      <w:tr w:rsidR="006B7EDD" w:rsidRPr="00E97D4C" w:rsidTr="003746F8">
        <w:trPr>
          <w:trHeight w:val="344"/>
        </w:trPr>
        <w:tc>
          <w:tcPr>
            <w:cnfStyle w:val="001000000000"/>
            <w:tcW w:w="2042" w:type="dxa"/>
            <w:shd w:val="clear" w:color="auto" w:fill="CCCCFF" w:themeFill="accent1" w:themeFillTint="33"/>
          </w:tcPr>
          <w:p w:rsidR="003746F8" w:rsidRPr="00E97D4C" w:rsidRDefault="003746F8" w:rsidP="00E97D4C">
            <w:pPr>
              <w:pStyle w:val="ListParagraph"/>
              <w:numPr>
                <w:ilvl w:val="0"/>
                <w:numId w:val="11"/>
              </w:numPr>
              <w:spacing w:line="240" w:lineRule="auto"/>
              <w:ind w:left="426"/>
              <w:rPr>
                <w:rFonts w:cs="Arial"/>
                <w:color w:val="000000"/>
                <w:szCs w:val="20"/>
              </w:rPr>
            </w:pPr>
            <w:r w:rsidRPr="00E97D4C">
              <w:rPr>
                <w:rFonts w:cs="Arial"/>
                <w:color w:val="000000"/>
                <w:szCs w:val="20"/>
              </w:rPr>
              <w:t xml:space="preserve">End of life article presenting for </w:t>
            </w:r>
            <w:r w:rsidRPr="00E97D4C">
              <w:rPr>
                <w:rFonts w:cs="Arial"/>
                <w:i/>
                <w:color w:val="000000"/>
                <w:szCs w:val="20"/>
              </w:rPr>
              <w:t>Disposal</w:t>
            </w:r>
          </w:p>
        </w:tc>
        <w:tc>
          <w:tcPr>
            <w:tcW w:w="2031" w:type="dxa"/>
            <w:shd w:val="clear" w:color="auto" w:fill="CCCCFF" w:themeFill="accent1" w:themeFillTint="33"/>
          </w:tcPr>
          <w:p w:rsidR="003746F8" w:rsidRPr="00E97D4C" w:rsidRDefault="003746F8" w:rsidP="00E97D4C">
            <w:pPr>
              <w:cnfStyle w:val="000000000000"/>
              <w:rPr>
                <w:rFonts w:cs="Arial"/>
                <w:color w:val="000000"/>
                <w:szCs w:val="20"/>
              </w:rPr>
            </w:pPr>
            <w:r w:rsidRPr="00E97D4C">
              <w:rPr>
                <w:rFonts w:cs="Arial"/>
                <w:color w:val="000000"/>
                <w:szCs w:val="20"/>
              </w:rPr>
              <w:t>Consumer disposal point</w:t>
            </w:r>
          </w:p>
        </w:tc>
        <w:tc>
          <w:tcPr>
            <w:tcW w:w="5623" w:type="dxa"/>
            <w:shd w:val="clear" w:color="auto" w:fill="CCCCFF" w:themeFill="accent1" w:themeFillTint="33"/>
          </w:tcPr>
          <w:p w:rsidR="003746F8" w:rsidRPr="00E97D4C" w:rsidRDefault="003746F8" w:rsidP="00E97D4C">
            <w:pPr>
              <w:cnfStyle w:val="000000000000"/>
              <w:rPr>
                <w:rFonts w:cs="Arial"/>
                <w:color w:val="000000"/>
                <w:szCs w:val="20"/>
              </w:rPr>
            </w:pPr>
            <w:r w:rsidRPr="00E97D4C">
              <w:rPr>
                <w:rFonts w:cs="Arial"/>
                <w:color w:val="000000"/>
                <w:szCs w:val="20"/>
              </w:rPr>
              <w:t xml:space="preserve">As described in </w:t>
            </w:r>
            <w:fldSimple w:instr=" REF _Ref400444125 \h  \* MERGEFORMAT ">
              <w:r w:rsidR="002F3000" w:rsidRPr="002F3000">
                <w:rPr>
                  <w:rFonts w:cs="Arial"/>
                  <w:color w:val="auto"/>
                  <w:szCs w:val="20"/>
                </w:rPr>
                <w:t>Figure 67</w:t>
              </w:r>
            </w:fldSimple>
            <w:r w:rsidRPr="00E97D4C">
              <w:rPr>
                <w:rFonts w:cs="Arial"/>
                <w:color w:val="000000"/>
                <w:szCs w:val="20"/>
              </w:rPr>
              <w:t>, at the time of writing and going forward, the likelihood of POP-BDEs being present in relevant end of life articles is very low.</w:t>
            </w:r>
            <w:r w:rsidR="00F954D8" w:rsidRPr="00E97D4C">
              <w:rPr>
                <w:rFonts w:cs="Arial"/>
                <w:color w:val="000000"/>
                <w:szCs w:val="20"/>
              </w:rPr>
              <w:t xml:space="preserve"> </w:t>
            </w:r>
            <w:r w:rsidRPr="00E97D4C">
              <w:rPr>
                <w:rFonts w:cs="Arial"/>
                <w:color w:val="000000"/>
                <w:szCs w:val="20"/>
              </w:rPr>
              <w:t>However, if a LPCL was set low enough, there is sufficient evidence that historical ‘contamination’ of recycled plastics in end of life products going forward could still render some over the LPCL.</w:t>
            </w:r>
            <w:r w:rsidR="00F954D8" w:rsidRPr="00E97D4C">
              <w:rPr>
                <w:rFonts w:cs="Arial"/>
                <w:color w:val="000000"/>
                <w:szCs w:val="20"/>
              </w:rPr>
              <w:t xml:space="preserve"> </w:t>
            </w:r>
            <w:r w:rsidRPr="00E97D4C">
              <w:rPr>
                <w:rFonts w:cs="Arial"/>
                <w:b/>
                <w:i/>
                <w:color w:val="000000"/>
                <w:szCs w:val="20"/>
              </w:rPr>
              <w:t>Consequently this is considered as a POP-BDE waste stream, noting that its practical relevance will be limited</w:t>
            </w:r>
            <w:r w:rsidRPr="00E97D4C">
              <w:rPr>
                <w:rFonts w:cs="Arial"/>
                <w:color w:val="000000"/>
                <w:szCs w:val="20"/>
              </w:rPr>
              <w:t>.</w:t>
            </w:r>
          </w:p>
        </w:tc>
      </w:tr>
      <w:tr w:rsidR="006B7EDD" w:rsidRPr="00E97D4C" w:rsidTr="003746F8">
        <w:trPr>
          <w:trHeight w:val="344"/>
        </w:trPr>
        <w:tc>
          <w:tcPr>
            <w:cnfStyle w:val="001000000000"/>
            <w:tcW w:w="2042" w:type="dxa"/>
          </w:tcPr>
          <w:p w:rsidR="003746F8" w:rsidRPr="00E97D4C" w:rsidRDefault="003746F8" w:rsidP="00E97D4C">
            <w:pPr>
              <w:pStyle w:val="ListParagraph"/>
              <w:numPr>
                <w:ilvl w:val="0"/>
                <w:numId w:val="11"/>
              </w:numPr>
              <w:spacing w:line="240" w:lineRule="auto"/>
              <w:ind w:left="426"/>
              <w:rPr>
                <w:rFonts w:cs="Arial"/>
                <w:color w:val="000000"/>
                <w:szCs w:val="20"/>
              </w:rPr>
            </w:pPr>
            <w:r w:rsidRPr="00E97D4C">
              <w:rPr>
                <w:rFonts w:cs="Arial"/>
                <w:color w:val="000000"/>
                <w:szCs w:val="20"/>
              </w:rPr>
              <w:t xml:space="preserve">End of life article presenting for </w:t>
            </w:r>
            <w:r w:rsidRPr="00E97D4C">
              <w:rPr>
                <w:rFonts w:cs="Arial"/>
                <w:i/>
                <w:color w:val="000000"/>
                <w:szCs w:val="20"/>
              </w:rPr>
              <w:t>Recycling</w:t>
            </w:r>
          </w:p>
        </w:tc>
        <w:tc>
          <w:tcPr>
            <w:tcW w:w="2031" w:type="dxa"/>
          </w:tcPr>
          <w:p w:rsidR="003746F8" w:rsidRPr="00E97D4C" w:rsidRDefault="003746F8" w:rsidP="00E97D4C">
            <w:pPr>
              <w:cnfStyle w:val="000000000000"/>
              <w:rPr>
                <w:rFonts w:cs="Arial"/>
                <w:color w:val="000000"/>
                <w:szCs w:val="20"/>
              </w:rPr>
            </w:pPr>
            <w:r w:rsidRPr="00E97D4C">
              <w:rPr>
                <w:rFonts w:cs="Arial"/>
                <w:color w:val="000000"/>
                <w:szCs w:val="20"/>
              </w:rPr>
              <w:t>Consumer collection point</w:t>
            </w:r>
          </w:p>
        </w:tc>
        <w:tc>
          <w:tcPr>
            <w:tcW w:w="5623" w:type="dxa"/>
          </w:tcPr>
          <w:p w:rsidR="003746F8" w:rsidRPr="00E97D4C" w:rsidRDefault="003746F8" w:rsidP="00E97D4C">
            <w:pPr>
              <w:cnfStyle w:val="000000000000"/>
              <w:rPr>
                <w:rFonts w:cs="Arial"/>
                <w:color w:val="000000"/>
                <w:szCs w:val="20"/>
              </w:rPr>
            </w:pPr>
            <w:r w:rsidRPr="00E97D4C">
              <w:rPr>
                <w:rFonts w:cs="Arial"/>
                <w:color w:val="000000"/>
                <w:szCs w:val="20"/>
              </w:rPr>
              <w:t xml:space="preserve">As described in </w:t>
            </w:r>
            <w:fldSimple w:instr=" REF _Ref400444125 \h  \* MERGEFORMAT ">
              <w:r w:rsidR="002F3000" w:rsidRPr="002F3000">
                <w:rPr>
                  <w:rFonts w:cs="Arial"/>
                  <w:color w:val="000000"/>
                  <w:szCs w:val="20"/>
                </w:rPr>
                <w:t>Figure 67</w:t>
              </w:r>
            </w:fldSimple>
            <w:r w:rsidRPr="00E97D4C">
              <w:rPr>
                <w:rFonts w:cs="Arial"/>
                <w:color w:val="000000"/>
                <w:szCs w:val="20"/>
              </w:rPr>
              <w:t>, at the time of writing and going forward, the likelihood of POP-BDEs being present in relevant end of life articles is very low. Moreover, there is currently a conditional recycling exemption in place for ABS plastics containing POP-BDEs.</w:t>
            </w:r>
            <w:r w:rsidR="00F954D8" w:rsidRPr="00E97D4C">
              <w:rPr>
                <w:rFonts w:cs="Arial"/>
                <w:color w:val="000000"/>
                <w:szCs w:val="20"/>
              </w:rPr>
              <w:t xml:space="preserve"> </w:t>
            </w:r>
            <w:r w:rsidRPr="00E97D4C">
              <w:rPr>
                <w:rFonts w:cs="Arial"/>
                <w:color w:val="000000"/>
                <w:szCs w:val="20"/>
              </w:rPr>
              <w:t>Consequently this is not considered as a POP-BDE waste stream.</w:t>
            </w:r>
          </w:p>
        </w:tc>
      </w:tr>
      <w:tr w:rsidR="006B7EDD" w:rsidRPr="006B7EDD" w:rsidTr="003746F8">
        <w:trPr>
          <w:trHeight w:val="344"/>
        </w:trPr>
        <w:tc>
          <w:tcPr>
            <w:cnfStyle w:val="001000000000"/>
            <w:tcW w:w="2042" w:type="dxa"/>
          </w:tcPr>
          <w:p w:rsidR="003746F8" w:rsidRPr="00E97D4C" w:rsidRDefault="003746F8" w:rsidP="00E97D4C">
            <w:pPr>
              <w:pStyle w:val="ListParagraph"/>
              <w:numPr>
                <w:ilvl w:val="0"/>
                <w:numId w:val="11"/>
              </w:numPr>
              <w:spacing w:line="240" w:lineRule="auto"/>
              <w:ind w:left="426"/>
              <w:rPr>
                <w:rFonts w:cs="Arial"/>
                <w:color w:val="000000"/>
                <w:szCs w:val="20"/>
              </w:rPr>
            </w:pPr>
            <w:r w:rsidRPr="00E97D4C">
              <w:rPr>
                <w:rFonts w:cs="Arial"/>
                <w:color w:val="000000"/>
                <w:szCs w:val="20"/>
              </w:rPr>
              <w:t xml:space="preserve">Historical waste articles </w:t>
            </w:r>
            <w:r w:rsidRPr="00E97D4C">
              <w:rPr>
                <w:rFonts w:cs="Arial"/>
                <w:i/>
                <w:color w:val="000000"/>
                <w:szCs w:val="20"/>
              </w:rPr>
              <w:t>in landfill</w:t>
            </w:r>
          </w:p>
        </w:tc>
        <w:tc>
          <w:tcPr>
            <w:tcW w:w="2031" w:type="dxa"/>
          </w:tcPr>
          <w:p w:rsidR="003746F8" w:rsidRPr="00E97D4C" w:rsidRDefault="003746F8" w:rsidP="00E97D4C">
            <w:pPr>
              <w:cnfStyle w:val="000000000000"/>
              <w:rPr>
                <w:rFonts w:cs="Arial"/>
                <w:color w:val="000000"/>
                <w:szCs w:val="20"/>
              </w:rPr>
            </w:pPr>
            <w:r w:rsidRPr="00E97D4C">
              <w:rPr>
                <w:rFonts w:cs="Arial"/>
                <w:color w:val="000000"/>
                <w:szCs w:val="20"/>
              </w:rPr>
              <w:t>Within landfill</w:t>
            </w:r>
          </w:p>
        </w:tc>
        <w:tc>
          <w:tcPr>
            <w:tcW w:w="5623" w:type="dxa"/>
          </w:tcPr>
          <w:p w:rsidR="003746F8" w:rsidRPr="00E97D4C" w:rsidRDefault="003746F8" w:rsidP="00E97D4C">
            <w:pPr>
              <w:cnfStyle w:val="000000000000"/>
              <w:rPr>
                <w:rFonts w:cs="Arial"/>
                <w:color w:val="000000"/>
                <w:szCs w:val="20"/>
              </w:rPr>
            </w:pPr>
            <w:r w:rsidRPr="00E97D4C">
              <w:rPr>
                <w:rFonts w:cs="Arial"/>
                <w:color w:val="000000"/>
                <w:szCs w:val="20"/>
              </w:rPr>
              <w:t>While some of these historically landfilled items will undoubtedly contain POP-BDEs, while the articles themselves remain contained within a landfill they are deemed to be disposed of, thus no longer a waste. There is also no suggestion that such items would, could or should be extracted from landfill for treatment by other means.</w:t>
            </w:r>
            <w:r w:rsidR="00F954D8" w:rsidRPr="00E97D4C">
              <w:rPr>
                <w:rFonts w:cs="Arial"/>
                <w:color w:val="000000"/>
                <w:szCs w:val="20"/>
              </w:rPr>
              <w:t xml:space="preserve"> </w:t>
            </w:r>
            <w:r w:rsidRPr="00E97D4C">
              <w:rPr>
                <w:rFonts w:cs="Arial"/>
                <w:b/>
                <w:i/>
                <w:color w:val="000000"/>
                <w:szCs w:val="20"/>
              </w:rPr>
              <w:t>Consequently this is not considered a POP-BDE waste stream</w:t>
            </w:r>
            <w:r w:rsidRPr="00E97D4C">
              <w:rPr>
                <w:rFonts w:cs="Arial"/>
                <w:color w:val="000000"/>
                <w:szCs w:val="20"/>
              </w:rPr>
              <w:t>.</w:t>
            </w:r>
          </w:p>
        </w:tc>
      </w:tr>
      <w:tr w:rsidR="006B7EDD" w:rsidRPr="006B7EDD" w:rsidTr="003746F8">
        <w:trPr>
          <w:trHeight w:val="344"/>
        </w:trPr>
        <w:tc>
          <w:tcPr>
            <w:cnfStyle w:val="001000000000"/>
            <w:tcW w:w="2042" w:type="dxa"/>
          </w:tcPr>
          <w:p w:rsidR="003746F8" w:rsidRPr="00E97D4C" w:rsidRDefault="003746F8" w:rsidP="00E97D4C">
            <w:pPr>
              <w:pStyle w:val="ListParagraph"/>
              <w:numPr>
                <w:ilvl w:val="0"/>
                <w:numId w:val="11"/>
              </w:numPr>
              <w:spacing w:line="240" w:lineRule="auto"/>
              <w:ind w:left="426"/>
              <w:rPr>
                <w:rFonts w:cs="Arial"/>
                <w:color w:val="000000"/>
                <w:szCs w:val="20"/>
              </w:rPr>
            </w:pPr>
            <w:r w:rsidRPr="00E97D4C">
              <w:rPr>
                <w:rFonts w:cs="Arial"/>
                <w:i/>
                <w:color w:val="000000"/>
                <w:szCs w:val="20"/>
              </w:rPr>
              <w:t>Landfill leachate</w:t>
            </w:r>
            <w:r w:rsidRPr="00E97D4C">
              <w:rPr>
                <w:rFonts w:cs="Arial"/>
                <w:color w:val="000000"/>
                <w:szCs w:val="20"/>
              </w:rPr>
              <w:t xml:space="preserve"> containing POP-BDEs</w:t>
            </w:r>
          </w:p>
        </w:tc>
        <w:tc>
          <w:tcPr>
            <w:tcW w:w="2031" w:type="dxa"/>
          </w:tcPr>
          <w:p w:rsidR="003746F8" w:rsidRPr="00E97D4C" w:rsidRDefault="003746F8" w:rsidP="00E97D4C">
            <w:pPr>
              <w:cnfStyle w:val="000000000000"/>
              <w:rPr>
                <w:rFonts w:cs="Arial"/>
                <w:color w:val="000000"/>
                <w:szCs w:val="20"/>
              </w:rPr>
            </w:pPr>
            <w:r w:rsidRPr="00E97D4C">
              <w:rPr>
                <w:rFonts w:cs="Arial"/>
                <w:color w:val="000000"/>
                <w:szCs w:val="20"/>
              </w:rPr>
              <w:t>Landfill leachate collection pond discharge to sewer</w:t>
            </w:r>
          </w:p>
        </w:tc>
        <w:tc>
          <w:tcPr>
            <w:tcW w:w="5623" w:type="dxa"/>
          </w:tcPr>
          <w:p w:rsidR="003746F8" w:rsidRPr="00E97D4C" w:rsidRDefault="003746F8" w:rsidP="00E97D4C">
            <w:pPr>
              <w:cnfStyle w:val="000000000000"/>
              <w:rPr>
                <w:rFonts w:cs="Arial"/>
                <w:color w:val="000000"/>
                <w:szCs w:val="20"/>
              </w:rPr>
            </w:pPr>
            <w:r w:rsidRPr="00E97D4C">
              <w:rPr>
                <w:rFonts w:cs="Arial"/>
                <w:color w:val="000000"/>
                <w:szCs w:val="20"/>
              </w:rPr>
              <w:t>ESWI</w:t>
            </w:r>
            <w:r w:rsidRPr="00E97D4C">
              <w:rPr>
                <w:rFonts w:cs="Arial"/>
                <w:color w:val="000000"/>
                <w:szCs w:val="20"/>
                <w:vertAlign w:val="superscript"/>
              </w:rPr>
              <w:t>1</w:t>
            </w:r>
            <w:r w:rsidRPr="00E97D4C">
              <w:rPr>
                <w:rFonts w:cs="Arial"/>
                <w:color w:val="000000"/>
                <w:szCs w:val="20"/>
              </w:rPr>
              <w:t xml:space="preserve"> showed that the leaching rate for POP-BDEs was in the order of 10</w:t>
            </w:r>
            <w:r w:rsidRPr="00E97D4C">
              <w:rPr>
                <w:rFonts w:cs="Arial"/>
                <w:color w:val="000000"/>
                <w:szCs w:val="20"/>
                <w:vertAlign w:val="superscript"/>
              </w:rPr>
              <w:t>-5</w:t>
            </w:r>
            <w:r w:rsidRPr="00E97D4C">
              <w:rPr>
                <w:rFonts w:cs="Arial"/>
                <w:color w:val="000000"/>
                <w:szCs w:val="20"/>
              </w:rPr>
              <w:t xml:space="preserve"> - 10</w:t>
            </w:r>
            <w:r w:rsidRPr="00E97D4C">
              <w:rPr>
                <w:rFonts w:cs="Arial"/>
                <w:color w:val="000000"/>
                <w:szCs w:val="20"/>
                <w:vertAlign w:val="superscript"/>
              </w:rPr>
              <w:t>-6</w:t>
            </w:r>
            <w:r w:rsidRPr="00E97D4C">
              <w:rPr>
                <w:rFonts w:cs="Arial"/>
                <w:color w:val="000000"/>
                <w:szCs w:val="20"/>
              </w:rPr>
              <w:t xml:space="preserve"> of the original contamination in the waste. Limited monitoring data (various references</w:t>
            </w:r>
            <w:r w:rsidRPr="00E97D4C">
              <w:rPr>
                <w:rStyle w:val="FootnoteReference"/>
                <w:rFonts w:cs="Arial"/>
                <w:color w:val="000000"/>
                <w:szCs w:val="20"/>
              </w:rPr>
              <w:footnoteReference w:id="41"/>
            </w:r>
            <w:r w:rsidRPr="00E97D4C">
              <w:rPr>
                <w:rFonts w:cs="Arial"/>
                <w:color w:val="000000"/>
                <w:szCs w:val="20"/>
              </w:rPr>
              <w:t>) confirms this, when compared to solids such as soils and biosolids (1,140 μg/kg dry weight</w:t>
            </w:r>
            <w:r w:rsidRPr="00E97D4C">
              <w:rPr>
                <w:rStyle w:val="FootnoteReference"/>
                <w:rFonts w:cs="Arial"/>
                <w:color w:val="000000"/>
                <w:szCs w:val="20"/>
              </w:rPr>
              <w:footnoteReference w:id="42"/>
            </w:r>
            <w:r w:rsidRPr="00E97D4C">
              <w:rPr>
                <w:rFonts w:cs="Arial"/>
                <w:color w:val="000000"/>
                <w:szCs w:val="20"/>
              </w:rPr>
              <w:t>).</w:t>
            </w:r>
            <w:r w:rsidR="00F954D8" w:rsidRPr="00E97D4C">
              <w:rPr>
                <w:rFonts w:cs="Arial"/>
                <w:color w:val="000000"/>
                <w:szCs w:val="20"/>
              </w:rPr>
              <w:t xml:space="preserve"> </w:t>
            </w:r>
            <w:r w:rsidRPr="00E97D4C">
              <w:rPr>
                <w:rFonts w:cs="Arial"/>
                <w:color w:val="000000"/>
                <w:szCs w:val="20"/>
              </w:rPr>
              <w:t xml:space="preserve">While leachate volumes from landfills to sewer can be large (rainfall dependant) the actual concentration of POP-BDEs in leachate is many orders of magnitude lower than 50ppm. </w:t>
            </w:r>
            <w:r w:rsidRPr="00E97D4C">
              <w:rPr>
                <w:rFonts w:cs="Arial"/>
                <w:b/>
                <w:i/>
                <w:color w:val="000000"/>
                <w:szCs w:val="20"/>
              </w:rPr>
              <w:t>Consequently this is not considered as a POP-BDE waste stream</w:t>
            </w:r>
            <w:r w:rsidRPr="00E97D4C">
              <w:rPr>
                <w:rFonts w:cs="Arial"/>
                <w:color w:val="000000"/>
                <w:szCs w:val="20"/>
              </w:rPr>
              <w:t>.</w:t>
            </w:r>
          </w:p>
        </w:tc>
      </w:tr>
      <w:tr w:rsidR="006B7EDD" w:rsidRPr="006B7EDD" w:rsidTr="003746F8">
        <w:trPr>
          <w:trHeight w:val="344"/>
        </w:trPr>
        <w:tc>
          <w:tcPr>
            <w:cnfStyle w:val="001000000000"/>
            <w:tcW w:w="2042" w:type="dxa"/>
          </w:tcPr>
          <w:p w:rsidR="003746F8" w:rsidRPr="00E97D4C" w:rsidRDefault="003746F8" w:rsidP="00E97D4C">
            <w:pPr>
              <w:pStyle w:val="ListParagraph"/>
              <w:numPr>
                <w:ilvl w:val="0"/>
                <w:numId w:val="11"/>
              </w:numPr>
              <w:spacing w:line="240" w:lineRule="auto"/>
              <w:ind w:left="426"/>
              <w:rPr>
                <w:rFonts w:cs="Arial"/>
                <w:color w:val="000000"/>
                <w:szCs w:val="20"/>
              </w:rPr>
            </w:pPr>
            <w:r w:rsidRPr="00E97D4C">
              <w:rPr>
                <w:rFonts w:cs="Arial"/>
                <w:color w:val="000000"/>
                <w:szCs w:val="20"/>
              </w:rPr>
              <w:t xml:space="preserve">Emissions from in-use articles to </w:t>
            </w:r>
            <w:r w:rsidRPr="00E97D4C">
              <w:rPr>
                <w:rFonts w:cs="Arial"/>
                <w:i/>
                <w:color w:val="000000"/>
                <w:szCs w:val="20"/>
              </w:rPr>
              <w:t>sewer</w:t>
            </w:r>
          </w:p>
        </w:tc>
        <w:tc>
          <w:tcPr>
            <w:tcW w:w="2031" w:type="dxa"/>
          </w:tcPr>
          <w:p w:rsidR="003746F8" w:rsidRPr="00E97D4C" w:rsidRDefault="003746F8" w:rsidP="00E97D4C">
            <w:pPr>
              <w:cnfStyle w:val="000000000000"/>
              <w:rPr>
                <w:rFonts w:cs="Arial"/>
                <w:color w:val="000000"/>
                <w:szCs w:val="20"/>
              </w:rPr>
            </w:pPr>
            <w:r w:rsidRPr="00E97D4C">
              <w:rPr>
                <w:rFonts w:cs="Arial"/>
                <w:color w:val="000000"/>
                <w:szCs w:val="20"/>
              </w:rPr>
              <w:t>Commercial trade waste and domestic discharge to sewer</w:t>
            </w:r>
          </w:p>
        </w:tc>
        <w:tc>
          <w:tcPr>
            <w:tcW w:w="5623" w:type="dxa"/>
          </w:tcPr>
          <w:p w:rsidR="003746F8" w:rsidRPr="00E97D4C" w:rsidRDefault="003746F8" w:rsidP="00E97D4C">
            <w:pPr>
              <w:cnfStyle w:val="000000000000"/>
              <w:rPr>
                <w:rFonts w:cs="Arial"/>
                <w:color w:val="000000"/>
                <w:szCs w:val="20"/>
              </w:rPr>
            </w:pPr>
            <w:r w:rsidRPr="00E97D4C">
              <w:rPr>
                <w:rFonts w:cs="Arial"/>
                <w:color w:val="000000"/>
                <w:szCs w:val="20"/>
              </w:rPr>
              <w:t>Not a practical waste generation point to manage, since these inputs are distributed across property-based inputs to sewer.</w:t>
            </w:r>
            <w:r w:rsidR="00F954D8" w:rsidRPr="00E97D4C">
              <w:rPr>
                <w:rFonts w:cs="Arial"/>
                <w:color w:val="000000"/>
                <w:szCs w:val="20"/>
              </w:rPr>
              <w:t xml:space="preserve"> </w:t>
            </w:r>
            <w:r w:rsidRPr="00E97D4C">
              <w:rPr>
                <w:rFonts w:cs="Arial"/>
                <w:color w:val="000000"/>
                <w:szCs w:val="20"/>
              </w:rPr>
              <w:t xml:space="preserve">Additionally, the hydrophobic nature of POP-BDEs means that they will preferentially partition into the solid phase, which ultimately ends up at the Sewage Treatment Plant as sludge/ biosolids. </w:t>
            </w:r>
            <w:r w:rsidRPr="00E97D4C">
              <w:rPr>
                <w:rFonts w:cs="Arial"/>
                <w:b/>
                <w:i/>
                <w:color w:val="000000"/>
                <w:szCs w:val="20"/>
              </w:rPr>
              <w:t xml:space="preserve">Consequently this </w:t>
            </w:r>
            <w:r w:rsidR="00BB1256" w:rsidRPr="00E97D4C">
              <w:rPr>
                <w:rFonts w:cs="Arial"/>
                <w:b/>
                <w:i/>
                <w:color w:val="000000"/>
                <w:szCs w:val="20"/>
              </w:rPr>
              <w:t>is</w:t>
            </w:r>
            <w:r w:rsidRPr="00E97D4C">
              <w:rPr>
                <w:rFonts w:cs="Arial"/>
                <w:b/>
                <w:i/>
                <w:color w:val="000000"/>
                <w:szCs w:val="20"/>
              </w:rPr>
              <w:t xml:space="preserve"> not considered as a POP-BDE waste stream</w:t>
            </w:r>
            <w:r w:rsidRPr="00E97D4C">
              <w:rPr>
                <w:rFonts w:cs="Arial"/>
                <w:color w:val="000000"/>
                <w:szCs w:val="20"/>
              </w:rPr>
              <w:t>.</w:t>
            </w:r>
          </w:p>
        </w:tc>
      </w:tr>
      <w:tr w:rsidR="006B7EDD" w:rsidRPr="006B7EDD" w:rsidTr="003746F8">
        <w:trPr>
          <w:trHeight w:val="344"/>
        </w:trPr>
        <w:tc>
          <w:tcPr>
            <w:cnfStyle w:val="001000000000"/>
            <w:tcW w:w="2042" w:type="dxa"/>
            <w:shd w:val="clear" w:color="auto" w:fill="CCCCFF" w:themeFill="accent1" w:themeFillTint="33"/>
          </w:tcPr>
          <w:p w:rsidR="003746F8" w:rsidRPr="00E97D4C" w:rsidRDefault="003746F8" w:rsidP="00E97D4C">
            <w:pPr>
              <w:pStyle w:val="ListParagraph"/>
              <w:numPr>
                <w:ilvl w:val="0"/>
                <w:numId w:val="11"/>
              </w:numPr>
              <w:spacing w:line="240" w:lineRule="auto"/>
              <w:ind w:left="426"/>
              <w:rPr>
                <w:rFonts w:cs="Arial"/>
                <w:color w:val="000000"/>
                <w:szCs w:val="20"/>
              </w:rPr>
            </w:pPr>
            <w:r w:rsidRPr="00E97D4C">
              <w:rPr>
                <w:rFonts w:cs="Arial"/>
                <w:i/>
                <w:color w:val="000000"/>
                <w:szCs w:val="20"/>
              </w:rPr>
              <w:t>Biosolids</w:t>
            </w:r>
            <w:r w:rsidRPr="00E97D4C">
              <w:rPr>
                <w:rFonts w:cs="Arial"/>
                <w:color w:val="000000"/>
                <w:szCs w:val="20"/>
              </w:rPr>
              <w:t xml:space="preserve"> containing POP-BDEs - </w:t>
            </w:r>
            <w:r w:rsidRPr="00E97D4C">
              <w:rPr>
                <w:rFonts w:cs="Arial"/>
                <w:i/>
                <w:color w:val="000000"/>
                <w:szCs w:val="20"/>
              </w:rPr>
              <w:t>produced</w:t>
            </w:r>
          </w:p>
        </w:tc>
        <w:tc>
          <w:tcPr>
            <w:tcW w:w="2031" w:type="dxa"/>
            <w:shd w:val="clear" w:color="auto" w:fill="CCCCFF" w:themeFill="accent1" w:themeFillTint="33"/>
          </w:tcPr>
          <w:p w:rsidR="003746F8" w:rsidRPr="00E97D4C" w:rsidRDefault="003746F8" w:rsidP="00E97D4C">
            <w:pPr>
              <w:cnfStyle w:val="000000000000"/>
              <w:rPr>
                <w:rFonts w:cs="Arial"/>
                <w:color w:val="000000"/>
                <w:szCs w:val="20"/>
              </w:rPr>
            </w:pPr>
            <w:r w:rsidRPr="00E97D4C">
              <w:rPr>
                <w:rFonts w:cs="Arial"/>
                <w:color w:val="000000"/>
                <w:szCs w:val="20"/>
              </w:rPr>
              <w:t>Sewage Treatment Plant</w:t>
            </w:r>
          </w:p>
        </w:tc>
        <w:tc>
          <w:tcPr>
            <w:tcW w:w="5623" w:type="dxa"/>
            <w:shd w:val="clear" w:color="auto" w:fill="CCCCFF" w:themeFill="accent1" w:themeFillTint="33"/>
          </w:tcPr>
          <w:p w:rsidR="003746F8" w:rsidRPr="00E97D4C" w:rsidRDefault="003746F8" w:rsidP="00E97D4C">
            <w:pPr>
              <w:cnfStyle w:val="000000000000"/>
              <w:rPr>
                <w:rFonts w:cs="Arial"/>
                <w:color w:val="000000"/>
                <w:szCs w:val="20"/>
              </w:rPr>
            </w:pPr>
            <w:r w:rsidRPr="00E97D4C">
              <w:rPr>
                <w:rFonts w:cs="Arial"/>
                <w:color w:val="000000"/>
                <w:szCs w:val="20"/>
              </w:rPr>
              <w:t>One USA study</w:t>
            </w:r>
            <w:r w:rsidRPr="00E97D4C">
              <w:rPr>
                <w:rStyle w:val="FootnoteReference"/>
                <w:rFonts w:cs="Arial"/>
                <w:color w:val="000000"/>
                <w:szCs w:val="20"/>
              </w:rPr>
              <w:footnoteReference w:id="43"/>
            </w:r>
            <w:r w:rsidRPr="00E97D4C">
              <w:rPr>
                <w:rFonts w:cs="Arial"/>
                <w:color w:val="000000"/>
                <w:szCs w:val="20"/>
              </w:rPr>
              <w:t xml:space="preserve"> and one Australian study</w:t>
            </w:r>
            <w:r w:rsidRPr="00E97D4C">
              <w:rPr>
                <w:rFonts w:cs="Arial"/>
                <w:color w:val="000000"/>
                <w:szCs w:val="20"/>
                <w:vertAlign w:val="superscript"/>
              </w:rPr>
              <w:t>4</w:t>
            </w:r>
            <w:r w:rsidRPr="00E97D4C">
              <w:rPr>
                <w:rFonts w:cs="Arial"/>
                <w:color w:val="000000"/>
                <w:szCs w:val="20"/>
              </w:rPr>
              <w:t xml:space="preserve"> correlated similar results for POP-BDEs in biosolids, in the range of 1.1 – 6.4 mg/kg, with the Australian measurements typically at the lower end of this range.</w:t>
            </w:r>
            <w:r w:rsidR="00F954D8" w:rsidRPr="00E97D4C">
              <w:rPr>
                <w:rFonts w:cs="Arial"/>
                <w:color w:val="000000"/>
                <w:szCs w:val="20"/>
              </w:rPr>
              <w:t xml:space="preserve"> </w:t>
            </w:r>
            <w:r w:rsidRPr="00E97D4C">
              <w:rPr>
                <w:rFonts w:cs="Arial"/>
                <w:color w:val="000000"/>
                <w:szCs w:val="20"/>
              </w:rPr>
              <w:t>While this is below a potential 50mg/kg limit, the likelihood of some biosolids stocks being potentially more contaminated than others and the fact that a limit as low as 10mg/kg could be set, means that there is some risk that biosolids could be considered hazardous waste with respect to POP-BDEs.</w:t>
            </w:r>
            <w:r w:rsidRPr="00E97D4C">
              <w:rPr>
                <w:rFonts w:cs="Arial"/>
                <w:b/>
                <w:i/>
                <w:color w:val="000000"/>
                <w:szCs w:val="20"/>
              </w:rPr>
              <w:t xml:space="preserve"> Consequently this is considered as a POP-BDE waste stream</w:t>
            </w:r>
            <w:r w:rsidRPr="00E97D4C">
              <w:rPr>
                <w:rFonts w:cs="Arial"/>
                <w:color w:val="000000"/>
                <w:szCs w:val="20"/>
              </w:rPr>
              <w:t>.</w:t>
            </w:r>
          </w:p>
        </w:tc>
      </w:tr>
      <w:tr w:rsidR="006B7EDD" w:rsidRPr="006B7EDD" w:rsidTr="003746F8">
        <w:trPr>
          <w:trHeight w:val="344"/>
        </w:trPr>
        <w:tc>
          <w:tcPr>
            <w:cnfStyle w:val="001000000000"/>
            <w:tcW w:w="2042" w:type="dxa"/>
            <w:shd w:val="clear" w:color="auto" w:fill="CCCCFF" w:themeFill="accent1" w:themeFillTint="33"/>
          </w:tcPr>
          <w:p w:rsidR="003746F8" w:rsidRPr="00E97D4C" w:rsidRDefault="003746F8" w:rsidP="00E97D4C">
            <w:pPr>
              <w:pStyle w:val="ListParagraph"/>
              <w:numPr>
                <w:ilvl w:val="0"/>
                <w:numId w:val="11"/>
              </w:numPr>
              <w:spacing w:line="240" w:lineRule="auto"/>
              <w:ind w:left="426"/>
              <w:rPr>
                <w:rFonts w:cs="Arial"/>
                <w:color w:val="000000"/>
                <w:szCs w:val="20"/>
              </w:rPr>
            </w:pPr>
            <w:r w:rsidRPr="00E97D4C">
              <w:rPr>
                <w:rFonts w:cs="Arial"/>
                <w:i/>
                <w:color w:val="000000"/>
                <w:szCs w:val="20"/>
              </w:rPr>
              <w:t>Biosolids</w:t>
            </w:r>
            <w:r w:rsidRPr="00E97D4C">
              <w:rPr>
                <w:rFonts w:cs="Arial"/>
                <w:color w:val="000000"/>
                <w:szCs w:val="20"/>
              </w:rPr>
              <w:t xml:space="preserve"> </w:t>
            </w:r>
            <w:r w:rsidRPr="00E97D4C">
              <w:rPr>
                <w:rFonts w:cs="Arial"/>
                <w:color w:val="000000"/>
                <w:szCs w:val="20"/>
              </w:rPr>
              <w:lastRenderedPageBreak/>
              <w:t xml:space="preserve">containing POP-BDEs - </w:t>
            </w:r>
            <w:r w:rsidRPr="00E97D4C">
              <w:rPr>
                <w:rFonts w:cs="Arial"/>
                <w:i/>
                <w:color w:val="000000"/>
                <w:szCs w:val="20"/>
              </w:rPr>
              <w:t>stockpiled</w:t>
            </w:r>
          </w:p>
        </w:tc>
        <w:tc>
          <w:tcPr>
            <w:tcW w:w="2031" w:type="dxa"/>
            <w:shd w:val="clear" w:color="auto" w:fill="CCCCFF" w:themeFill="accent1" w:themeFillTint="33"/>
          </w:tcPr>
          <w:p w:rsidR="003746F8" w:rsidRPr="00E97D4C" w:rsidRDefault="003746F8" w:rsidP="00E97D4C">
            <w:pPr>
              <w:cnfStyle w:val="000000000000"/>
              <w:rPr>
                <w:rFonts w:cs="Arial"/>
                <w:color w:val="000000"/>
                <w:szCs w:val="20"/>
              </w:rPr>
            </w:pPr>
            <w:r w:rsidRPr="00E97D4C">
              <w:rPr>
                <w:rFonts w:cs="Arial"/>
                <w:color w:val="000000"/>
                <w:szCs w:val="20"/>
              </w:rPr>
              <w:lastRenderedPageBreak/>
              <w:t xml:space="preserve">Sewage Treatment </w:t>
            </w:r>
            <w:r w:rsidRPr="00E97D4C">
              <w:rPr>
                <w:rFonts w:cs="Arial"/>
                <w:color w:val="000000"/>
                <w:szCs w:val="20"/>
              </w:rPr>
              <w:lastRenderedPageBreak/>
              <w:t>Plant</w:t>
            </w:r>
          </w:p>
        </w:tc>
        <w:tc>
          <w:tcPr>
            <w:tcW w:w="5623" w:type="dxa"/>
            <w:shd w:val="clear" w:color="auto" w:fill="CCCCFF" w:themeFill="accent1" w:themeFillTint="33"/>
          </w:tcPr>
          <w:p w:rsidR="003746F8" w:rsidRPr="00E97D4C" w:rsidRDefault="003746F8" w:rsidP="00E97D4C">
            <w:pPr>
              <w:cnfStyle w:val="000000000000"/>
              <w:rPr>
                <w:rFonts w:cs="Arial"/>
                <w:color w:val="000000"/>
                <w:szCs w:val="20"/>
              </w:rPr>
            </w:pPr>
            <w:r w:rsidRPr="00E97D4C">
              <w:rPr>
                <w:rFonts w:cs="Arial"/>
                <w:color w:val="000000"/>
                <w:szCs w:val="20"/>
              </w:rPr>
              <w:lastRenderedPageBreak/>
              <w:t>One USA study</w:t>
            </w:r>
            <w:r w:rsidRPr="00E97D4C">
              <w:rPr>
                <w:rFonts w:cs="Arial"/>
                <w:color w:val="000000"/>
                <w:szCs w:val="20"/>
                <w:vertAlign w:val="superscript"/>
              </w:rPr>
              <w:t>5</w:t>
            </w:r>
            <w:r w:rsidRPr="00E97D4C">
              <w:rPr>
                <w:rFonts w:cs="Arial"/>
                <w:color w:val="000000"/>
                <w:szCs w:val="20"/>
              </w:rPr>
              <w:t xml:space="preserve"> and one Australian study</w:t>
            </w:r>
            <w:r w:rsidRPr="00E97D4C">
              <w:rPr>
                <w:rFonts w:cs="Arial"/>
                <w:color w:val="000000"/>
                <w:szCs w:val="20"/>
                <w:vertAlign w:val="superscript"/>
              </w:rPr>
              <w:t>4</w:t>
            </w:r>
            <w:r w:rsidRPr="00E97D4C">
              <w:rPr>
                <w:rFonts w:cs="Arial"/>
                <w:color w:val="000000"/>
                <w:szCs w:val="20"/>
              </w:rPr>
              <w:t xml:space="preserve"> correlated similar results </w:t>
            </w:r>
            <w:r w:rsidRPr="00E97D4C">
              <w:rPr>
                <w:rFonts w:cs="Arial"/>
                <w:color w:val="000000"/>
                <w:szCs w:val="20"/>
              </w:rPr>
              <w:lastRenderedPageBreak/>
              <w:t>for POP-BDEs in biosolids, in the range of 1.1 – 6.4 mg/kg, with the Australian measurements typically at the lower end of this range.</w:t>
            </w:r>
            <w:r w:rsidR="00F954D8" w:rsidRPr="00E97D4C">
              <w:rPr>
                <w:rFonts w:cs="Arial"/>
                <w:color w:val="000000"/>
                <w:szCs w:val="20"/>
              </w:rPr>
              <w:t xml:space="preserve"> </w:t>
            </w:r>
            <w:r w:rsidRPr="00E97D4C">
              <w:rPr>
                <w:rFonts w:cs="Arial"/>
                <w:color w:val="000000"/>
                <w:szCs w:val="20"/>
              </w:rPr>
              <w:t>While this is below a potential 50mg/kg limit, the likelihood of some biosolids stocks being potentially more contaminated than others and the fact that a limit as low as 10mg/kg could be set, means that there is some risk that biosolids could be considered hazardous waste with respect to POP-BDEs.</w:t>
            </w:r>
            <w:r w:rsidRPr="00E97D4C">
              <w:rPr>
                <w:rFonts w:cs="Arial"/>
                <w:b/>
                <w:i/>
                <w:color w:val="000000"/>
                <w:szCs w:val="20"/>
              </w:rPr>
              <w:t xml:space="preserve"> Consequently this is considered as a POP-BDE waste stream, although existing stockpiles’ applicability under Stockholm is subject to policy interpretation by the Australian Government</w:t>
            </w:r>
            <w:r w:rsidRPr="00E97D4C">
              <w:rPr>
                <w:rFonts w:cs="Arial"/>
                <w:color w:val="000000"/>
                <w:szCs w:val="20"/>
              </w:rPr>
              <w:t>.</w:t>
            </w:r>
          </w:p>
        </w:tc>
      </w:tr>
      <w:tr w:rsidR="006B7EDD" w:rsidRPr="006B7EDD" w:rsidTr="003746F8">
        <w:trPr>
          <w:trHeight w:val="344"/>
        </w:trPr>
        <w:tc>
          <w:tcPr>
            <w:cnfStyle w:val="001000000000"/>
            <w:tcW w:w="2042" w:type="dxa"/>
          </w:tcPr>
          <w:p w:rsidR="003746F8" w:rsidRPr="00E97D4C" w:rsidRDefault="003746F8" w:rsidP="00E97D4C">
            <w:pPr>
              <w:pStyle w:val="ListParagraph"/>
              <w:numPr>
                <w:ilvl w:val="0"/>
                <w:numId w:val="11"/>
              </w:numPr>
              <w:spacing w:line="240" w:lineRule="auto"/>
              <w:ind w:left="426"/>
              <w:rPr>
                <w:rFonts w:cs="Arial"/>
                <w:color w:val="000000"/>
                <w:szCs w:val="20"/>
              </w:rPr>
            </w:pPr>
            <w:r w:rsidRPr="00E97D4C">
              <w:rPr>
                <w:rFonts w:cs="Arial"/>
                <w:i/>
                <w:color w:val="000000"/>
                <w:szCs w:val="20"/>
              </w:rPr>
              <w:lastRenderedPageBreak/>
              <w:t>Wastewater discharge</w:t>
            </w:r>
            <w:r w:rsidRPr="00E97D4C">
              <w:rPr>
                <w:rFonts w:cs="Arial"/>
                <w:color w:val="000000"/>
                <w:szCs w:val="20"/>
              </w:rPr>
              <w:t xml:space="preserve"> from Sewage Treatment Plant</w:t>
            </w:r>
          </w:p>
        </w:tc>
        <w:tc>
          <w:tcPr>
            <w:tcW w:w="2031" w:type="dxa"/>
          </w:tcPr>
          <w:p w:rsidR="003746F8" w:rsidRPr="00E97D4C" w:rsidRDefault="003746F8" w:rsidP="00E97D4C">
            <w:pPr>
              <w:cnfStyle w:val="000000000000"/>
              <w:rPr>
                <w:rFonts w:cs="Arial"/>
                <w:color w:val="000000"/>
                <w:szCs w:val="20"/>
              </w:rPr>
            </w:pPr>
            <w:r w:rsidRPr="00E97D4C">
              <w:rPr>
                <w:rFonts w:cs="Arial"/>
                <w:color w:val="000000"/>
                <w:szCs w:val="20"/>
              </w:rPr>
              <w:t>Sewage Treatment Plant</w:t>
            </w:r>
          </w:p>
        </w:tc>
        <w:tc>
          <w:tcPr>
            <w:tcW w:w="5623" w:type="dxa"/>
          </w:tcPr>
          <w:p w:rsidR="003746F8" w:rsidRPr="00E97D4C" w:rsidRDefault="003746F8" w:rsidP="00E97D4C">
            <w:pPr>
              <w:cnfStyle w:val="000000000000"/>
              <w:rPr>
                <w:rFonts w:cs="Arial"/>
                <w:color w:val="000000"/>
                <w:szCs w:val="20"/>
              </w:rPr>
            </w:pPr>
            <w:r w:rsidRPr="00E97D4C">
              <w:rPr>
                <w:rFonts w:cs="Arial"/>
                <w:color w:val="000000"/>
                <w:szCs w:val="20"/>
              </w:rPr>
              <w:t>A 2008 Chinese study</w:t>
            </w:r>
            <w:r w:rsidRPr="00E97D4C">
              <w:rPr>
                <w:rStyle w:val="FootnoteReference"/>
                <w:rFonts w:cs="Arial"/>
                <w:color w:val="000000"/>
                <w:szCs w:val="20"/>
              </w:rPr>
              <w:footnoteReference w:id="44"/>
            </w:r>
            <w:r w:rsidR="00F954D8" w:rsidRPr="00E97D4C">
              <w:rPr>
                <w:rFonts w:cs="Arial"/>
                <w:color w:val="000000"/>
                <w:szCs w:val="20"/>
              </w:rPr>
              <w:t xml:space="preserve"> </w:t>
            </w:r>
            <w:r w:rsidRPr="00E97D4C">
              <w:rPr>
                <w:rFonts w:cs="Arial"/>
                <w:color w:val="000000"/>
                <w:szCs w:val="20"/>
              </w:rPr>
              <w:t>indicates that PBDE presence in STP effluent is strongly correlated to suspended solid concentrations, and that most of the PBDEs ended up in the sewage sludge, with &lt;5% being discharged with the treated effluent.</w:t>
            </w:r>
            <w:r w:rsidR="00F954D8" w:rsidRPr="00E97D4C">
              <w:rPr>
                <w:rFonts w:cs="Arial"/>
                <w:color w:val="000000"/>
                <w:szCs w:val="20"/>
              </w:rPr>
              <w:t xml:space="preserve"> </w:t>
            </w:r>
            <w:r w:rsidRPr="00E97D4C">
              <w:rPr>
                <w:rFonts w:cs="Arial"/>
                <w:color w:val="000000"/>
                <w:szCs w:val="20"/>
              </w:rPr>
              <w:t>This study quotes STP effluent concentrations of PBDEs determined from its own and previous worldwide studies, as orders of magnitude below even a 10ppm limit.</w:t>
            </w:r>
            <w:r w:rsidR="00F954D8" w:rsidRPr="00E97D4C">
              <w:rPr>
                <w:rFonts w:cs="Arial"/>
                <w:color w:val="000000"/>
                <w:szCs w:val="20"/>
              </w:rPr>
              <w:t xml:space="preserve"> </w:t>
            </w:r>
            <w:r w:rsidRPr="00E97D4C">
              <w:rPr>
                <w:rFonts w:cs="Arial"/>
                <w:b/>
                <w:i/>
                <w:color w:val="000000"/>
                <w:szCs w:val="20"/>
              </w:rPr>
              <w:t>Consequently this is not considered as a POP-BDE waste stream</w:t>
            </w:r>
            <w:r w:rsidRPr="00E97D4C">
              <w:rPr>
                <w:rFonts w:cs="Arial"/>
                <w:color w:val="000000"/>
                <w:szCs w:val="20"/>
              </w:rPr>
              <w:t>.</w:t>
            </w:r>
          </w:p>
        </w:tc>
      </w:tr>
    </w:tbl>
    <w:p w:rsidR="003746F8" w:rsidRPr="00E97D4C" w:rsidRDefault="003746F8" w:rsidP="00E97D4C"/>
    <w:p w:rsidR="003746F8" w:rsidRPr="00E97D4C" w:rsidRDefault="006D07F5" w:rsidP="00E97D4C">
      <w:pPr>
        <w:pStyle w:val="BodyText"/>
      </w:pPr>
      <w:fldSimple w:instr=" REF _Ref400444084 \h  \* MERGEFORMAT ">
        <w:r w:rsidR="002F3000" w:rsidRPr="00E97D4C">
          <w:t xml:space="preserve">Table </w:t>
        </w:r>
        <w:r w:rsidR="002F3000">
          <w:rPr>
            <w:noProof/>
          </w:rPr>
          <w:t>69</w:t>
        </w:r>
      </w:fldSimple>
      <w:r w:rsidR="003746F8" w:rsidRPr="00E97D4C">
        <w:t xml:space="preserve">’s analysis concludes that </w:t>
      </w:r>
      <w:r w:rsidR="003746F8" w:rsidRPr="00E97D4C">
        <w:rPr>
          <w:b/>
        </w:rPr>
        <w:t>biosolids</w:t>
      </w:r>
      <w:r w:rsidR="003746F8" w:rsidRPr="00E97D4C">
        <w:t xml:space="preserve"> (whether historically stockpiled or recently produced) and </w:t>
      </w:r>
      <w:r w:rsidR="003746F8" w:rsidRPr="00E97D4C">
        <w:rPr>
          <w:b/>
        </w:rPr>
        <w:t>end of life WEEE articles destined for disposal (not recycling)</w:t>
      </w:r>
      <w:r w:rsidR="003746F8" w:rsidRPr="00E97D4C">
        <w:t>, subject to the likely concentrations of POP-BDEs being above a yet to be set threshold level, have the potential to be considered as a future hazardous waste, should Australia ratify the listing of the POP-BDEs.</w:t>
      </w:r>
    </w:p>
    <w:p w:rsidR="003746F8" w:rsidRPr="00E97D4C" w:rsidRDefault="003746F8" w:rsidP="00E97D4C">
      <w:pPr>
        <w:pStyle w:val="BodyText"/>
      </w:pPr>
    </w:p>
    <w:p w:rsidR="003746F8" w:rsidRPr="00E97D4C" w:rsidRDefault="003746F8" w:rsidP="00E97D4C">
      <w:pPr>
        <w:pStyle w:val="BodyText"/>
      </w:pPr>
      <w:r w:rsidRPr="00E97D4C">
        <w:t>Another material flow, post recycling ABS mixed plastic commodity destined for export has the potential to contain POP-BDEs.</w:t>
      </w:r>
      <w:r w:rsidR="00F954D8" w:rsidRPr="00E97D4C">
        <w:t xml:space="preserve"> </w:t>
      </w:r>
      <w:r w:rsidRPr="00E97D4C">
        <w:t>This is not included as a POP-BDE waste stream because:</w:t>
      </w:r>
    </w:p>
    <w:p w:rsidR="003746F8" w:rsidRPr="00E97D4C" w:rsidRDefault="003746F8" w:rsidP="00E97D4C">
      <w:pPr>
        <w:pStyle w:val="Bullet1"/>
      </w:pPr>
      <w:r w:rsidRPr="00E97D4C">
        <w:t>PACIA data</w:t>
      </w:r>
      <w:r w:rsidRPr="00E97D4C">
        <w:rPr>
          <w:rStyle w:val="FootnoteReference"/>
        </w:rPr>
        <w:footnoteReference w:id="45"/>
      </w:r>
      <w:r w:rsidRPr="00E97D4C">
        <w:t xml:space="preserve"> indicates that while recovered plastics were exported to China in significant quantities, ABS plastics relevant to POP-BDEs were not among these exports, since they were re-processed in a local recycling market.</w:t>
      </w:r>
    </w:p>
    <w:p w:rsidR="003746F8" w:rsidRPr="00E97D4C" w:rsidRDefault="003746F8" w:rsidP="00E97D4C">
      <w:pPr>
        <w:pStyle w:val="Bullet1"/>
      </w:pPr>
      <w:r w:rsidRPr="00E97D4C">
        <w:t>Even if they were, the quantities that could be reasonably deemed to contain levels of POP-BDEs above China’s regulatory limits (1,000 mg/kg</w:t>
      </w:r>
      <w:r w:rsidRPr="00E97D4C">
        <w:rPr>
          <w:rStyle w:val="FootnoteReference"/>
        </w:rPr>
        <w:footnoteReference w:id="46"/>
      </w:r>
      <w:r w:rsidRPr="00E97D4C">
        <w:t>) are likely to be very low, based on the lack of percentage-level POP-BDE containing articles hitting the waste stream from 2014 onwards.</w:t>
      </w:r>
    </w:p>
    <w:p w:rsidR="003746F8" w:rsidRPr="00E97D4C" w:rsidRDefault="003746F8" w:rsidP="00E97D4C">
      <w:pPr>
        <w:pStyle w:val="BodyText"/>
      </w:pPr>
    </w:p>
    <w:p w:rsidR="003746F8" w:rsidRPr="00E97D4C" w:rsidRDefault="003746F8" w:rsidP="00E97D4C">
      <w:pPr>
        <w:pStyle w:val="BodyText"/>
      </w:pPr>
      <w:r w:rsidRPr="00E97D4C">
        <w:t>Note that articles (products) in use are not yet wastes and therefore do not fall under the remit of the Stockholm Convention.</w:t>
      </w:r>
    </w:p>
    <w:p w:rsidR="003746F8" w:rsidRPr="00E97D4C" w:rsidRDefault="003746F8" w:rsidP="00E97D4C"/>
    <w:p w:rsidR="003746F8" w:rsidRPr="00E97D4C" w:rsidRDefault="003746F8" w:rsidP="00E97D4C">
      <w:pPr>
        <w:pStyle w:val="BodyText"/>
        <w:spacing w:after="120"/>
        <w:rPr>
          <w:i/>
        </w:rPr>
      </w:pPr>
      <w:bookmarkStart w:id="537" w:name="_Toc403143621"/>
      <w:r w:rsidRPr="00E97D4C">
        <w:rPr>
          <w:i/>
        </w:rPr>
        <w:t>DecaBDE</w:t>
      </w:r>
      <w:bookmarkEnd w:id="537"/>
    </w:p>
    <w:p w:rsidR="003746F8" w:rsidRPr="00E97D4C" w:rsidRDefault="003746F8" w:rsidP="00E97D4C">
      <w:pPr>
        <w:pStyle w:val="BodyText"/>
      </w:pPr>
      <w:r w:rsidRPr="00E97D4C">
        <w:t xml:space="preserve">While the production of commercial pentaBDE and </w:t>
      </w:r>
      <w:r w:rsidR="008E4998" w:rsidRPr="00E97D4C">
        <w:t>OctaBDE (i.e. the declared POP-BDEs)</w:t>
      </w:r>
      <w:r w:rsidRPr="00E97D4C">
        <w:t xml:space="preserve"> has stopped, the production of decaBDE continues. The potential impact of decaBDE is currently under review as there is some evidence that commercial decaBDE can degrade in thermal processes, environmental processes and in biota to lower brominated PBDEs, including POP-BDEs (United Nations Environment Programme 2010).</w:t>
      </w:r>
    </w:p>
    <w:p w:rsidR="003746F8" w:rsidRPr="00E97D4C" w:rsidRDefault="003746F8" w:rsidP="00E97D4C">
      <w:pPr>
        <w:pStyle w:val="BodyText"/>
      </w:pPr>
    </w:p>
    <w:p w:rsidR="003746F8" w:rsidRPr="00E97D4C" w:rsidRDefault="003746F8" w:rsidP="00E97D4C">
      <w:pPr>
        <w:pStyle w:val="BodyText"/>
      </w:pPr>
      <w:r w:rsidRPr="00E97D4C">
        <w:t xml:space="preserve">Norway drafted a proposal to list commercial decaBDE on the Stockholm Convention, which was considered by the POPs Review Committee in 2013. Should decaBDE be added to the Convention at some </w:t>
      </w:r>
      <w:r w:rsidRPr="00E97D4C">
        <w:lastRenderedPageBreak/>
        <w:t>future time there will be major consequences for the e-waste recycling industry, as decaBDE use for flame retardancy in ABS plastics has historically been much more prevalent than octaBDE.</w:t>
      </w:r>
    </w:p>
    <w:p w:rsidR="003746F8" w:rsidRPr="00E97D4C" w:rsidRDefault="003746F8" w:rsidP="00E97D4C">
      <w:pPr>
        <w:pStyle w:val="BodyText"/>
      </w:pPr>
    </w:p>
    <w:p w:rsidR="003746F8" w:rsidRPr="00E97D4C" w:rsidRDefault="003746F8" w:rsidP="00E97D4C">
      <w:pPr>
        <w:pStyle w:val="BodyText"/>
      </w:pPr>
      <w:r w:rsidRPr="00E97D4C">
        <w:t>It is noted that decaBDE is now considered along with pentaBDE and octaBDE to be included in the definition of PBDE, and therefore regulated, under Europe‘s RoHS Directive.</w:t>
      </w:r>
    </w:p>
    <w:p w:rsidR="003746F8" w:rsidRPr="00E97D4C" w:rsidRDefault="003746F8" w:rsidP="00E97D4C">
      <w:pPr>
        <w:pStyle w:val="BodyText"/>
      </w:pPr>
    </w:p>
    <w:p w:rsidR="003746F8" w:rsidRPr="00E97D4C" w:rsidRDefault="003746F8" w:rsidP="00E97D4C">
      <w:pPr>
        <w:pStyle w:val="BodyText"/>
      </w:pPr>
      <w:r w:rsidRPr="00E97D4C">
        <w:t>For the purposes of estimating potential new hazardous wastes for this project, decaBDE is noted as an emerging potential issue.</w:t>
      </w:r>
      <w:r w:rsidR="00F954D8" w:rsidRPr="00E97D4C">
        <w:t xml:space="preserve"> </w:t>
      </w:r>
      <w:r w:rsidRPr="00E97D4C">
        <w:t>It has not been considered in projections because the uncertainty of its listing combined with the likely long lead time (7-10 years before a ratification decision by Australia and longer still for any regulatory consequences to take effect).</w:t>
      </w:r>
      <w:r w:rsidR="00F954D8" w:rsidRPr="00E97D4C">
        <w:t xml:space="preserve"> </w:t>
      </w:r>
    </w:p>
    <w:p w:rsidR="003746F8" w:rsidRPr="00E97D4C" w:rsidRDefault="003746F8" w:rsidP="00E97D4C">
      <w:pPr>
        <w:pStyle w:val="BodyText"/>
      </w:pPr>
    </w:p>
    <w:p w:rsidR="003746F8" w:rsidRPr="00E97D4C" w:rsidRDefault="003746F8" w:rsidP="00E97D4C">
      <w:pPr>
        <w:pStyle w:val="BodyText"/>
      </w:pPr>
      <w:r w:rsidRPr="00E97D4C">
        <w:t>There is also the question about the extent/ rate of possible debromination processes in biosolids in particular, and also in environmental media.</w:t>
      </w:r>
      <w:r w:rsidR="00F954D8" w:rsidRPr="00E97D4C">
        <w:t xml:space="preserve"> </w:t>
      </w:r>
      <w:r w:rsidRPr="00E97D4C">
        <w:t>This study’s projections will not consider such debromination when projecting quantities of the lower BDEs (octa and penta) as this is a level of complexity we cannot model with any accuracy, in the context of the wide range of variables that already exist for these estimations/ projections.</w:t>
      </w:r>
    </w:p>
    <w:p w:rsidR="003746F8" w:rsidRPr="00E97D4C" w:rsidRDefault="003746F8" w:rsidP="00E97D4C"/>
    <w:p w:rsidR="003746F8" w:rsidRPr="00E97D4C" w:rsidRDefault="003746F8" w:rsidP="00E97D4C">
      <w:pPr>
        <w:pStyle w:val="Heading3"/>
      </w:pPr>
      <w:bookmarkStart w:id="538" w:name="_Toc403143622"/>
      <w:r w:rsidRPr="00E97D4C">
        <w:t>HBCD</w:t>
      </w:r>
      <w:bookmarkEnd w:id="538"/>
    </w:p>
    <w:p w:rsidR="003746F8" w:rsidRPr="00E97D4C" w:rsidRDefault="003746F8" w:rsidP="00E97D4C">
      <w:pPr>
        <w:pStyle w:val="BodyText"/>
      </w:pPr>
      <w:r w:rsidRPr="00E97D4C">
        <w:t>Although not a PBDE, another BFR known as Hexabromocyclododecane (HBCD), which has been historically used for flame retardancy in extruded and expanded polystyrene foams, was listed on the Convention in May 2013 with specific exemptions and allowed uses.</w:t>
      </w:r>
    </w:p>
    <w:p w:rsidR="003746F8" w:rsidRPr="00E97D4C" w:rsidRDefault="003746F8" w:rsidP="00E97D4C">
      <w:pPr>
        <w:pStyle w:val="BodyText"/>
      </w:pPr>
    </w:p>
    <w:p w:rsidR="003746F8" w:rsidRPr="00E97D4C" w:rsidRDefault="003746F8" w:rsidP="00E97D4C">
      <w:pPr>
        <w:pStyle w:val="BodyText"/>
        <w:spacing w:after="120"/>
        <w:rPr>
          <w:i/>
        </w:rPr>
      </w:pPr>
      <w:bookmarkStart w:id="539" w:name="_Toc403143623"/>
      <w:r w:rsidRPr="00E97D4C">
        <w:rPr>
          <w:i/>
        </w:rPr>
        <w:t>HBCD uses</w:t>
      </w:r>
      <w:bookmarkEnd w:id="539"/>
    </w:p>
    <w:p w:rsidR="003746F8" w:rsidRPr="00E97D4C" w:rsidRDefault="003746F8" w:rsidP="00E97D4C">
      <w:pPr>
        <w:pStyle w:val="BodyText"/>
      </w:pPr>
      <w:r w:rsidRPr="00E97D4C">
        <w:t>HBCD has been on the world market since the 1960s but its use in the production of flame-retarded polystyrene materials only began in the 1980s (EC 2008). HBCD is used primarily as an additive flame retardant. The four main products in which HBCD is used are:</w:t>
      </w:r>
    </w:p>
    <w:p w:rsidR="003746F8" w:rsidRPr="00E97D4C" w:rsidRDefault="00E21E8B" w:rsidP="00E97D4C">
      <w:pPr>
        <w:pStyle w:val="Bullet1"/>
      </w:pPr>
      <w:r w:rsidRPr="00E97D4C">
        <w:t xml:space="preserve">expandable </w:t>
      </w:r>
      <w:r w:rsidR="003746F8" w:rsidRPr="00E97D4C">
        <w:t>polystyrene (EPS)</w:t>
      </w:r>
    </w:p>
    <w:p w:rsidR="003746F8" w:rsidRPr="00E97D4C" w:rsidRDefault="00E21E8B" w:rsidP="00E97D4C">
      <w:pPr>
        <w:pStyle w:val="Bullet1"/>
      </w:pPr>
      <w:r w:rsidRPr="00E97D4C">
        <w:t xml:space="preserve">extruded </w:t>
      </w:r>
      <w:r w:rsidR="003746F8" w:rsidRPr="00E97D4C">
        <w:t>polystyrene (XPS)</w:t>
      </w:r>
    </w:p>
    <w:p w:rsidR="003746F8" w:rsidRPr="00E97D4C" w:rsidRDefault="00E21E8B" w:rsidP="00E97D4C">
      <w:pPr>
        <w:pStyle w:val="Bullet1"/>
      </w:pPr>
      <w:r w:rsidRPr="00E97D4C">
        <w:t xml:space="preserve">high </w:t>
      </w:r>
      <w:r w:rsidR="003746F8" w:rsidRPr="00E97D4C">
        <w:t>Impact Polystyrene (HIPS)</w:t>
      </w:r>
    </w:p>
    <w:p w:rsidR="003746F8" w:rsidRPr="00E97D4C" w:rsidRDefault="00E21E8B" w:rsidP="00E97D4C">
      <w:pPr>
        <w:pStyle w:val="Bullet1"/>
      </w:pPr>
      <w:proofErr w:type="gramStart"/>
      <w:r w:rsidRPr="00E97D4C">
        <w:t>polymer</w:t>
      </w:r>
      <w:proofErr w:type="gramEnd"/>
      <w:r w:rsidRPr="00E97D4C">
        <w:t xml:space="preserve"> </w:t>
      </w:r>
      <w:r w:rsidR="003746F8" w:rsidRPr="00E97D4C">
        <w:t>dispersion for textiles</w:t>
      </w:r>
      <w:r w:rsidRPr="00E97D4C">
        <w:t>.</w:t>
      </w:r>
    </w:p>
    <w:p w:rsidR="003746F8" w:rsidRPr="00E97D4C" w:rsidRDefault="003746F8" w:rsidP="00E97D4C">
      <w:pPr>
        <w:pStyle w:val="ListNumber3"/>
      </w:pPr>
    </w:p>
    <w:p w:rsidR="003746F8" w:rsidRPr="00E97D4C" w:rsidRDefault="003746F8" w:rsidP="00E97D4C">
      <w:pPr>
        <w:pStyle w:val="BodyText"/>
      </w:pPr>
      <w:r w:rsidRPr="00E97D4C">
        <w:t xml:space="preserve">End-product uses include insulation and packing materials (EPS, XPS), electrical and electronic parts (HIPS) and textile coating agents (polymer dispersions). The main use (88%) of HBCD is for flame-retarded polystyrenes, predominantly EPS (see </w:t>
      </w:r>
      <w:fldSimple w:instr=" REF _Ref400446404 \h  \* MERGEFORMAT ">
        <w:r w:rsidR="002F3000" w:rsidRPr="00E97D4C">
          <w:t xml:space="preserve">Table </w:t>
        </w:r>
        <w:r w:rsidR="002F3000">
          <w:rPr>
            <w:noProof/>
          </w:rPr>
          <w:t>70</w:t>
        </w:r>
      </w:fldSimple>
      <w:r w:rsidRPr="00E97D4C">
        <w:t>)</w:t>
      </w:r>
      <w:r w:rsidR="001E3AB5" w:rsidRPr="00E97D4C">
        <w:t>.</w:t>
      </w:r>
    </w:p>
    <w:p w:rsidR="003746F8" w:rsidRPr="00E97D4C" w:rsidRDefault="003746F8" w:rsidP="00E97D4C">
      <w:pPr>
        <w:pStyle w:val="BodyText"/>
      </w:pPr>
    </w:p>
    <w:p w:rsidR="003746F8" w:rsidRPr="00E97D4C" w:rsidRDefault="003746F8" w:rsidP="00E97D4C">
      <w:pPr>
        <w:pStyle w:val="Figures"/>
      </w:pPr>
      <w:bookmarkStart w:id="540" w:name="_Ref400446404"/>
      <w:bookmarkStart w:id="541" w:name="_Ref400446392"/>
      <w:bookmarkStart w:id="542" w:name="_Toc400456461"/>
      <w:bookmarkStart w:id="543" w:name="_Toc425849355"/>
      <w:r w:rsidRPr="00E97D4C">
        <w:t xml:space="preserve">Table </w:t>
      </w:r>
      <w:r w:rsidR="006D07F5" w:rsidRPr="00E97D4C">
        <w:fldChar w:fldCharType="begin"/>
      </w:r>
      <w:r w:rsidR="00BA5D9E" w:rsidRPr="00E97D4C">
        <w:instrText xml:space="preserve"> SEQ Table \* ARABIC </w:instrText>
      </w:r>
      <w:r w:rsidR="006D07F5" w:rsidRPr="00E97D4C">
        <w:rPr>
          <w:noProof/>
        </w:rPr>
        <w:fldChar w:fldCharType="separate"/>
      </w:r>
      <w:r w:rsidR="002F3000">
        <w:rPr>
          <w:noProof/>
        </w:rPr>
        <w:t>70</w:t>
      </w:r>
      <w:r w:rsidR="006D07F5" w:rsidRPr="00E97D4C">
        <w:rPr>
          <w:noProof/>
        </w:rPr>
        <w:fldChar w:fldCharType="end"/>
      </w:r>
      <w:bookmarkEnd w:id="540"/>
      <w:r w:rsidRPr="00E97D4C">
        <w:t xml:space="preserve">: </w:t>
      </w:r>
      <w:r w:rsidRPr="00E97D4C">
        <w:tab/>
        <w:t>Distribution of HBCD by use pattern</w:t>
      </w:r>
      <w:bookmarkEnd w:id="541"/>
      <w:bookmarkEnd w:id="542"/>
      <w:bookmarkEnd w:id="543"/>
    </w:p>
    <w:tbl>
      <w:tblPr>
        <w:tblStyle w:val="BETable1"/>
        <w:tblW w:w="9070" w:type="dxa"/>
        <w:tblInd w:w="0" w:type="dxa"/>
        <w:tblLook w:val="04A0"/>
      </w:tblPr>
      <w:tblGrid>
        <w:gridCol w:w="2467"/>
        <w:gridCol w:w="3969"/>
        <w:gridCol w:w="2634"/>
      </w:tblGrid>
      <w:tr w:rsidR="006B7EDD" w:rsidRPr="006B7EDD" w:rsidTr="003746F8">
        <w:trPr>
          <w:cnfStyle w:val="100000000000"/>
        </w:trPr>
        <w:tc>
          <w:tcPr>
            <w:cnfStyle w:val="001000000000"/>
            <w:tcW w:w="2467" w:type="dxa"/>
          </w:tcPr>
          <w:p w:rsidR="003746F8" w:rsidRPr="00E97D4C" w:rsidRDefault="003746F8" w:rsidP="00E97D4C">
            <w:pPr>
              <w:rPr>
                <w:rFonts w:cs="Arial"/>
                <w:color w:val="000000"/>
                <w:szCs w:val="20"/>
              </w:rPr>
            </w:pPr>
            <w:r w:rsidRPr="00E97D4C">
              <w:rPr>
                <w:rFonts w:cs="Arial"/>
                <w:color w:val="000000"/>
                <w:szCs w:val="20"/>
              </w:rPr>
              <w:t xml:space="preserve">Form </w:t>
            </w:r>
          </w:p>
        </w:tc>
        <w:tc>
          <w:tcPr>
            <w:tcW w:w="3969" w:type="dxa"/>
          </w:tcPr>
          <w:p w:rsidR="003746F8" w:rsidRPr="00E97D4C" w:rsidRDefault="003746F8" w:rsidP="00E97D4C">
            <w:pPr>
              <w:cnfStyle w:val="100000000000"/>
              <w:rPr>
                <w:rFonts w:cs="Arial"/>
                <w:color w:val="000000"/>
                <w:szCs w:val="20"/>
              </w:rPr>
            </w:pPr>
            <w:r w:rsidRPr="00E97D4C">
              <w:rPr>
                <w:rFonts w:cs="Arial"/>
                <w:color w:val="000000"/>
                <w:szCs w:val="20"/>
              </w:rPr>
              <w:t>Use</w:t>
            </w:r>
          </w:p>
        </w:tc>
        <w:tc>
          <w:tcPr>
            <w:tcW w:w="2634" w:type="dxa"/>
          </w:tcPr>
          <w:p w:rsidR="003746F8" w:rsidRPr="00E97D4C" w:rsidRDefault="003746F8" w:rsidP="00E97D4C">
            <w:pPr>
              <w:cnfStyle w:val="100000000000"/>
              <w:rPr>
                <w:rFonts w:cs="Arial"/>
                <w:color w:val="000000"/>
                <w:szCs w:val="20"/>
              </w:rPr>
            </w:pPr>
            <w:r w:rsidRPr="00E97D4C">
              <w:rPr>
                <w:rFonts w:cs="Arial"/>
                <w:color w:val="000000"/>
                <w:szCs w:val="20"/>
              </w:rPr>
              <w:t>% use of total imported HBCD</w:t>
            </w:r>
          </w:p>
        </w:tc>
      </w:tr>
      <w:tr w:rsidR="006B7EDD" w:rsidRPr="006B7EDD" w:rsidTr="003746F8">
        <w:tc>
          <w:tcPr>
            <w:cnfStyle w:val="001000000000"/>
            <w:tcW w:w="2467" w:type="dxa"/>
          </w:tcPr>
          <w:p w:rsidR="003746F8" w:rsidRPr="00E97D4C" w:rsidRDefault="003746F8" w:rsidP="00E97D4C">
            <w:pPr>
              <w:rPr>
                <w:rFonts w:cs="Arial"/>
                <w:color w:val="000000"/>
                <w:szCs w:val="20"/>
              </w:rPr>
            </w:pPr>
            <w:r w:rsidRPr="00E97D4C">
              <w:rPr>
                <w:rFonts w:cs="Arial"/>
                <w:color w:val="000000"/>
                <w:szCs w:val="20"/>
              </w:rPr>
              <w:t>Expandable and extruded polystyrene resin (EPS)</w:t>
            </w:r>
          </w:p>
        </w:tc>
        <w:tc>
          <w:tcPr>
            <w:tcW w:w="3969" w:type="dxa"/>
          </w:tcPr>
          <w:p w:rsidR="003746F8" w:rsidRPr="00E97D4C" w:rsidRDefault="003746F8" w:rsidP="00E97D4C">
            <w:pPr>
              <w:cnfStyle w:val="000000000000"/>
              <w:rPr>
                <w:rFonts w:cs="Arial"/>
                <w:color w:val="000000"/>
                <w:szCs w:val="20"/>
              </w:rPr>
            </w:pPr>
            <w:r w:rsidRPr="00E97D4C">
              <w:rPr>
                <w:rFonts w:cs="Arial"/>
                <w:color w:val="000000"/>
                <w:szCs w:val="20"/>
              </w:rPr>
              <w:t>Domestic and industrial building insulation; Packaging for industrial products; beanbag fill; other (incl. automotive)</w:t>
            </w:r>
          </w:p>
        </w:tc>
        <w:tc>
          <w:tcPr>
            <w:tcW w:w="2634" w:type="dxa"/>
          </w:tcPr>
          <w:p w:rsidR="003746F8" w:rsidRPr="00E97D4C" w:rsidRDefault="003746F8" w:rsidP="00E97D4C">
            <w:pPr>
              <w:cnfStyle w:val="000000000000"/>
              <w:rPr>
                <w:rFonts w:cs="Arial"/>
                <w:color w:val="000000"/>
                <w:szCs w:val="20"/>
              </w:rPr>
            </w:pPr>
            <w:r w:rsidRPr="00E97D4C">
              <w:rPr>
                <w:rFonts w:cs="Arial"/>
                <w:color w:val="000000"/>
                <w:szCs w:val="20"/>
              </w:rPr>
              <w:t>&gt;88%</w:t>
            </w:r>
          </w:p>
        </w:tc>
      </w:tr>
      <w:tr w:rsidR="006B7EDD" w:rsidRPr="006B7EDD" w:rsidTr="003746F8">
        <w:tc>
          <w:tcPr>
            <w:cnfStyle w:val="001000000000"/>
            <w:tcW w:w="2467" w:type="dxa"/>
          </w:tcPr>
          <w:p w:rsidR="003746F8" w:rsidRPr="00E97D4C" w:rsidRDefault="003746F8" w:rsidP="00E97D4C">
            <w:pPr>
              <w:rPr>
                <w:rFonts w:cs="Arial"/>
                <w:color w:val="000000"/>
                <w:szCs w:val="20"/>
              </w:rPr>
            </w:pPr>
            <w:r w:rsidRPr="00E97D4C">
              <w:rPr>
                <w:rFonts w:cs="Arial"/>
                <w:color w:val="000000"/>
                <w:szCs w:val="20"/>
              </w:rPr>
              <w:t>Other resins</w:t>
            </w:r>
          </w:p>
        </w:tc>
        <w:tc>
          <w:tcPr>
            <w:tcW w:w="3969" w:type="dxa"/>
          </w:tcPr>
          <w:p w:rsidR="003746F8" w:rsidRPr="00E97D4C" w:rsidRDefault="003746F8" w:rsidP="00E97D4C">
            <w:pPr>
              <w:cnfStyle w:val="000000000000"/>
              <w:rPr>
                <w:rFonts w:cs="Arial"/>
                <w:color w:val="000000"/>
                <w:szCs w:val="20"/>
              </w:rPr>
            </w:pPr>
            <w:r w:rsidRPr="00E97D4C">
              <w:rPr>
                <w:rFonts w:cs="Arial"/>
                <w:color w:val="000000"/>
                <w:szCs w:val="20"/>
              </w:rPr>
              <w:t>Housing for electrical appliances</w:t>
            </w:r>
          </w:p>
        </w:tc>
        <w:tc>
          <w:tcPr>
            <w:tcW w:w="2634" w:type="dxa"/>
          </w:tcPr>
          <w:p w:rsidR="003746F8" w:rsidRPr="00E97D4C" w:rsidRDefault="003746F8" w:rsidP="00E97D4C">
            <w:pPr>
              <w:cnfStyle w:val="000000000000"/>
              <w:rPr>
                <w:rFonts w:cs="Arial"/>
                <w:color w:val="000000"/>
                <w:szCs w:val="20"/>
              </w:rPr>
            </w:pPr>
            <w:r w:rsidRPr="00E97D4C">
              <w:rPr>
                <w:rFonts w:cs="Arial"/>
                <w:color w:val="000000"/>
                <w:szCs w:val="20"/>
              </w:rPr>
              <w:t>&lt;5%</w:t>
            </w:r>
          </w:p>
        </w:tc>
      </w:tr>
      <w:tr w:rsidR="006B7EDD" w:rsidRPr="006B7EDD" w:rsidTr="003746F8">
        <w:tc>
          <w:tcPr>
            <w:cnfStyle w:val="001000000000"/>
            <w:tcW w:w="2467" w:type="dxa"/>
          </w:tcPr>
          <w:p w:rsidR="003746F8" w:rsidRPr="00E97D4C" w:rsidRDefault="003746F8" w:rsidP="00E97D4C">
            <w:pPr>
              <w:rPr>
                <w:rFonts w:cs="Arial"/>
                <w:color w:val="000000"/>
                <w:szCs w:val="20"/>
              </w:rPr>
            </w:pPr>
            <w:r w:rsidRPr="00E97D4C">
              <w:rPr>
                <w:rFonts w:cs="Arial"/>
                <w:color w:val="000000"/>
                <w:szCs w:val="20"/>
              </w:rPr>
              <w:t>Textile coating additive</w:t>
            </w:r>
          </w:p>
        </w:tc>
        <w:tc>
          <w:tcPr>
            <w:tcW w:w="3969" w:type="dxa"/>
          </w:tcPr>
          <w:p w:rsidR="003746F8" w:rsidRPr="00E97D4C" w:rsidRDefault="003746F8" w:rsidP="00E97D4C">
            <w:pPr>
              <w:cnfStyle w:val="000000000000"/>
              <w:rPr>
                <w:rFonts w:cs="Arial"/>
                <w:color w:val="000000"/>
                <w:szCs w:val="20"/>
              </w:rPr>
            </w:pPr>
            <w:r w:rsidRPr="00E97D4C">
              <w:rPr>
                <w:rFonts w:cs="Arial"/>
                <w:color w:val="000000"/>
                <w:szCs w:val="20"/>
              </w:rPr>
              <w:t>Blinds, public seating, garments</w:t>
            </w:r>
          </w:p>
        </w:tc>
        <w:tc>
          <w:tcPr>
            <w:tcW w:w="2634" w:type="dxa"/>
          </w:tcPr>
          <w:p w:rsidR="003746F8" w:rsidRPr="00E97D4C" w:rsidRDefault="003746F8" w:rsidP="00E97D4C">
            <w:pPr>
              <w:cnfStyle w:val="000000000000"/>
              <w:rPr>
                <w:rFonts w:cs="Arial"/>
                <w:color w:val="000000"/>
                <w:szCs w:val="20"/>
              </w:rPr>
            </w:pPr>
            <w:r w:rsidRPr="00E97D4C">
              <w:rPr>
                <w:rFonts w:cs="Arial"/>
                <w:color w:val="000000"/>
                <w:szCs w:val="20"/>
              </w:rPr>
              <w:t>5%</w:t>
            </w:r>
          </w:p>
        </w:tc>
      </w:tr>
      <w:tr w:rsidR="006B7EDD" w:rsidRPr="006B7EDD" w:rsidTr="003746F8">
        <w:tc>
          <w:tcPr>
            <w:cnfStyle w:val="001000000000"/>
            <w:tcW w:w="2467" w:type="dxa"/>
          </w:tcPr>
          <w:p w:rsidR="003746F8" w:rsidRPr="00E97D4C" w:rsidRDefault="003746F8" w:rsidP="00E97D4C">
            <w:pPr>
              <w:rPr>
                <w:rFonts w:cs="Arial"/>
                <w:color w:val="000000"/>
                <w:szCs w:val="20"/>
              </w:rPr>
            </w:pPr>
            <w:r w:rsidRPr="00E97D4C">
              <w:rPr>
                <w:rFonts w:cs="Arial"/>
                <w:color w:val="000000"/>
                <w:szCs w:val="20"/>
              </w:rPr>
              <w:t>Unspecified plastics in imported finished articles</w:t>
            </w:r>
          </w:p>
        </w:tc>
        <w:tc>
          <w:tcPr>
            <w:tcW w:w="3969" w:type="dxa"/>
          </w:tcPr>
          <w:p w:rsidR="003746F8" w:rsidRPr="00E97D4C" w:rsidRDefault="003746F8" w:rsidP="00E97D4C">
            <w:pPr>
              <w:cnfStyle w:val="000000000000"/>
              <w:rPr>
                <w:rFonts w:cs="Arial"/>
                <w:color w:val="000000"/>
                <w:szCs w:val="20"/>
              </w:rPr>
            </w:pPr>
            <w:r w:rsidRPr="00E97D4C">
              <w:rPr>
                <w:rFonts w:cs="Arial"/>
                <w:color w:val="000000"/>
                <w:szCs w:val="20"/>
              </w:rPr>
              <w:t>Inkjet printers, projectors, scanners, ventilation units</w:t>
            </w:r>
          </w:p>
        </w:tc>
        <w:tc>
          <w:tcPr>
            <w:tcW w:w="2634" w:type="dxa"/>
          </w:tcPr>
          <w:p w:rsidR="003746F8" w:rsidRPr="00E97D4C" w:rsidRDefault="003746F8" w:rsidP="00E97D4C">
            <w:pPr>
              <w:cnfStyle w:val="000000000000"/>
              <w:rPr>
                <w:rFonts w:cs="Arial"/>
                <w:color w:val="000000"/>
                <w:szCs w:val="20"/>
              </w:rPr>
            </w:pPr>
            <w:r w:rsidRPr="00E97D4C">
              <w:rPr>
                <w:rFonts w:cs="Arial"/>
                <w:color w:val="000000"/>
                <w:szCs w:val="20"/>
              </w:rPr>
              <w:t>&lt;1%</w:t>
            </w:r>
          </w:p>
        </w:tc>
      </w:tr>
    </w:tbl>
    <w:p w:rsidR="003746F8" w:rsidRPr="00E97D4C" w:rsidRDefault="003746F8" w:rsidP="00E97D4C">
      <w:pPr>
        <w:rPr>
          <w:i/>
          <w:sz w:val="22"/>
        </w:rPr>
      </w:pPr>
      <w:r w:rsidRPr="00E97D4C">
        <w:rPr>
          <w:i/>
          <w:sz w:val="22"/>
        </w:rPr>
        <w:t>Source: NICNAS Priority Existing Chemical Assessment Report No. 34, Table 4.2</w:t>
      </w:r>
    </w:p>
    <w:p w:rsidR="003746F8" w:rsidRPr="00E97D4C" w:rsidRDefault="003746F8" w:rsidP="00E97D4C">
      <w:pPr>
        <w:pStyle w:val="BodyText"/>
      </w:pPr>
    </w:p>
    <w:p w:rsidR="003746F8" w:rsidRPr="00E97D4C" w:rsidRDefault="003746F8" w:rsidP="00E97D4C">
      <w:pPr>
        <w:pStyle w:val="BodyText"/>
      </w:pPr>
      <w:r w:rsidRPr="00E97D4C">
        <w:t>Information provided for the application of imported EPS resin indicated that the majority is used in house insulation, exterior walls and sandwich panels.</w:t>
      </w:r>
    </w:p>
    <w:p w:rsidR="003746F8" w:rsidRPr="00E97D4C" w:rsidRDefault="003746F8" w:rsidP="00E97D4C">
      <w:pPr>
        <w:pStyle w:val="BodyText"/>
        <w:spacing w:after="120"/>
        <w:rPr>
          <w:i/>
        </w:rPr>
      </w:pPr>
      <w:bookmarkStart w:id="544" w:name="_Toc403143624"/>
      <w:r w:rsidRPr="00E97D4C">
        <w:rPr>
          <w:i/>
        </w:rPr>
        <w:lastRenderedPageBreak/>
        <w:t>HBCD Wastes (M160c)</w:t>
      </w:r>
      <w:bookmarkEnd w:id="544"/>
    </w:p>
    <w:p w:rsidR="003746F8" w:rsidRPr="00E97D4C" w:rsidRDefault="003746F8" w:rsidP="00E97D4C">
      <w:pPr>
        <w:pStyle w:val="BodyText"/>
      </w:pPr>
      <w:r w:rsidRPr="00E97D4C">
        <w:t>The Priority Existing Chemical Assessment Report on HBCD (NICNAS) notes the following import quantities of HBCD (page 24):</w:t>
      </w:r>
    </w:p>
    <w:p w:rsidR="003746F8" w:rsidRPr="00E97D4C" w:rsidRDefault="003746F8" w:rsidP="00E97D4C">
      <w:pPr>
        <w:pStyle w:val="BodyText"/>
      </w:pPr>
    </w:p>
    <w:p w:rsidR="003746F8" w:rsidRPr="00E97D4C" w:rsidRDefault="003746F8" w:rsidP="00E97D4C">
      <w:pPr>
        <w:pStyle w:val="Figures"/>
      </w:pPr>
      <w:bookmarkStart w:id="545" w:name="_Toc425849356"/>
      <w:r w:rsidRPr="00E97D4C">
        <w:t xml:space="preserve">Table </w:t>
      </w:r>
      <w:r w:rsidR="006D07F5" w:rsidRPr="00E97D4C">
        <w:fldChar w:fldCharType="begin"/>
      </w:r>
      <w:r w:rsidR="00BA5D9E" w:rsidRPr="00E97D4C">
        <w:instrText xml:space="preserve"> SEQ Table \* ARABIC </w:instrText>
      </w:r>
      <w:r w:rsidR="006D07F5" w:rsidRPr="00E97D4C">
        <w:rPr>
          <w:noProof/>
        </w:rPr>
        <w:fldChar w:fldCharType="separate"/>
      </w:r>
      <w:r w:rsidR="002F3000">
        <w:rPr>
          <w:noProof/>
        </w:rPr>
        <w:t>71</w:t>
      </w:r>
      <w:r w:rsidR="006D07F5" w:rsidRPr="00E97D4C">
        <w:rPr>
          <w:noProof/>
        </w:rPr>
        <w:fldChar w:fldCharType="end"/>
      </w:r>
      <w:r w:rsidRPr="00E97D4C">
        <w:t xml:space="preserve">: </w:t>
      </w:r>
      <w:r w:rsidRPr="00E97D4C">
        <w:tab/>
        <w:t>Quantity of HBCD imported into Australia</w:t>
      </w:r>
      <w:bookmarkEnd w:id="545"/>
    </w:p>
    <w:tbl>
      <w:tblPr>
        <w:tblStyle w:val="BETable1"/>
        <w:tblW w:w="9737" w:type="dxa"/>
        <w:tblInd w:w="0" w:type="dxa"/>
        <w:tblLayout w:type="fixed"/>
        <w:tblLook w:val="04A0"/>
      </w:tblPr>
      <w:tblGrid>
        <w:gridCol w:w="1959"/>
        <w:gridCol w:w="1317"/>
        <w:gridCol w:w="807"/>
        <w:gridCol w:w="808"/>
        <w:gridCol w:w="807"/>
        <w:gridCol w:w="808"/>
        <w:gridCol w:w="808"/>
        <w:gridCol w:w="807"/>
        <w:gridCol w:w="808"/>
        <w:gridCol w:w="808"/>
      </w:tblGrid>
      <w:tr w:rsidR="006B7EDD" w:rsidRPr="006B7EDD" w:rsidTr="003746F8">
        <w:trPr>
          <w:cnfStyle w:val="100000000000"/>
          <w:trHeight w:val="291"/>
        </w:trPr>
        <w:tc>
          <w:tcPr>
            <w:cnfStyle w:val="001000000000"/>
            <w:tcW w:w="1959" w:type="dxa"/>
            <w:vMerge w:val="restart"/>
          </w:tcPr>
          <w:p w:rsidR="003746F8" w:rsidRPr="00E97D4C" w:rsidRDefault="003746F8" w:rsidP="00E97D4C">
            <w:r w:rsidRPr="00E97D4C">
              <w:rPr>
                <w:bCs/>
              </w:rPr>
              <w:t>Product type</w:t>
            </w:r>
          </w:p>
        </w:tc>
        <w:tc>
          <w:tcPr>
            <w:tcW w:w="1317" w:type="dxa"/>
            <w:vMerge w:val="restart"/>
          </w:tcPr>
          <w:p w:rsidR="003746F8" w:rsidRPr="00E97D4C" w:rsidRDefault="003746F8" w:rsidP="00E97D4C">
            <w:pPr>
              <w:cnfStyle w:val="100000000000"/>
            </w:pPr>
            <w:r w:rsidRPr="00E97D4C">
              <w:t>Concentration of HBCD (%)</w:t>
            </w:r>
          </w:p>
        </w:tc>
        <w:tc>
          <w:tcPr>
            <w:tcW w:w="6461" w:type="dxa"/>
            <w:gridSpan w:val="8"/>
          </w:tcPr>
          <w:p w:rsidR="003746F8" w:rsidRPr="00E97D4C" w:rsidRDefault="003746F8" w:rsidP="00E97D4C">
            <w:pPr>
              <w:jc w:val="center"/>
              <w:cnfStyle w:val="100000000000"/>
            </w:pPr>
            <w:r w:rsidRPr="00E97D4C">
              <w:t>Total quantity of HBCD (tonnes)</w:t>
            </w:r>
          </w:p>
        </w:tc>
      </w:tr>
      <w:tr w:rsidR="006B7EDD" w:rsidRPr="006B7EDD" w:rsidTr="003746F8">
        <w:trPr>
          <w:trHeight w:val="209"/>
        </w:trPr>
        <w:tc>
          <w:tcPr>
            <w:cnfStyle w:val="001000000000"/>
            <w:tcW w:w="1959" w:type="dxa"/>
            <w:vMerge/>
            <w:noWrap/>
          </w:tcPr>
          <w:p w:rsidR="003746F8" w:rsidRPr="00E97D4C" w:rsidRDefault="003746F8" w:rsidP="00E97D4C">
            <w:pPr>
              <w:jc w:val="center"/>
              <w:rPr>
                <w:b/>
              </w:rPr>
            </w:pPr>
          </w:p>
        </w:tc>
        <w:tc>
          <w:tcPr>
            <w:tcW w:w="1317" w:type="dxa"/>
            <w:vMerge/>
            <w:noWrap/>
          </w:tcPr>
          <w:p w:rsidR="003746F8" w:rsidRPr="00E97D4C" w:rsidRDefault="003746F8" w:rsidP="00E97D4C">
            <w:pPr>
              <w:jc w:val="center"/>
              <w:cnfStyle w:val="000000000000"/>
              <w:rPr>
                <w:b/>
              </w:rPr>
            </w:pPr>
          </w:p>
        </w:tc>
        <w:tc>
          <w:tcPr>
            <w:tcW w:w="807" w:type="dxa"/>
          </w:tcPr>
          <w:p w:rsidR="003746F8" w:rsidRPr="00E97D4C" w:rsidRDefault="003746F8" w:rsidP="00E97D4C">
            <w:pPr>
              <w:jc w:val="center"/>
              <w:cnfStyle w:val="000000000000"/>
              <w:rPr>
                <w:b/>
              </w:rPr>
            </w:pPr>
            <w:r w:rsidRPr="00E97D4C">
              <w:rPr>
                <w:b/>
              </w:rPr>
              <w:t>1998–99</w:t>
            </w:r>
          </w:p>
        </w:tc>
        <w:tc>
          <w:tcPr>
            <w:tcW w:w="808" w:type="dxa"/>
          </w:tcPr>
          <w:p w:rsidR="003746F8" w:rsidRPr="00E97D4C" w:rsidRDefault="003746F8" w:rsidP="00E97D4C">
            <w:pPr>
              <w:jc w:val="center"/>
              <w:cnfStyle w:val="000000000000"/>
              <w:rPr>
                <w:b/>
              </w:rPr>
            </w:pPr>
            <w:r w:rsidRPr="00E97D4C">
              <w:rPr>
                <w:b/>
              </w:rPr>
              <w:t>2003–04</w:t>
            </w:r>
          </w:p>
        </w:tc>
        <w:tc>
          <w:tcPr>
            <w:tcW w:w="807" w:type="dxa"/>
          </w:tcPr>
          <w:p w:rsidR="003746F8" w:rsidRPr="00E97D4C" w:rsidRDefault="003746F8" w:rsidP="00E97D4C">
            <w:pPr>
              <w:jc w:val="center"/>
              <w:cnfStyle w:val="000000000000"/>
              <w:rPr>
                <w:b/>
              </w:rPr>
            </w:pPr>
            <w:r w:rsidRPr="00E97D4C">
              <w:rPr>
                <w:b/>
              </w:rPr>
              <w:t>2004–05</w:t>
            </w:r>
          </w:p>
        </w:tc>
        <w:tc>
          <w:tcPr>
            <w:tcW w:w="808" w:type="dxa"/>
          </w:tcPr>
          <w:p w:rsidR="003746F8" w:rsidRPr="00E97D4C" w:rsidRDefault="003746F8" w:rsidP="00E97D4C">
            <w:pPr>
              <w:jc w:val="center"/>
              <w:cnfStyle w:val="000000000000"/>
              <w:rPr>
                <w:b/>
              </w:rPr>
            </w:pPr>
            <w:r w:rsidRPr="00E97D4C">
              <w:rPr>
                <w:b/>
              </w:rPr>
              <w:t>2005–06</w:t>
            </w:r>
          </w:p>
        </w:tc>
        <w:tc>
          <w:tcPr>
            <w:tcW w:w="808" w:type="dxa"/>
          </w:tcPr>
          <w:p w:rsidR="003746F8" w:rsidRPr="00E97D4C" w:rsidRDefault="003746F8" w:rsidP="00E97D4C">
            <w:pPr>
              <w:jc w:val="center"/>
              <w:cnfStyle w:val="000000000000"/>
              <w:rPr>
                <w:b/>
                <w:bCs/>
              </w:rPr>
            </w:pPr>
            <w:r w:rsidRPr="00E97D4C">
              <w:rPr>
                <w:b/>
                <w:bCs/>
              </w:rPr>
              <w:t>2006–07</w:t>
            </w:r>
          </w:p>
        </w:tc>
        <w:tc>
          <w:tcPr>
            <w:tcW w:w="807" w:type="dxa"/>
          </w:tcPr>
          <w:p w:rsidR="003746F8" w:rsidRPr="00E97D4C" w:rsidRDefault="003746F8" w:rsidP="00E97D4C">
            <w:pPr>
              <w:jc w:val="center"/>
              <w:cnfStyle w:val="000000000000"/>
              <w:rPr>
                <w:b/>
              </w:rPr>
            </w:pPr>
            <w:r w:rsidRPr="00E97D4C">
              <w:rPr>
                <w:b/>
                <w:bCs/>
              </w:rPr>
              <w:t>2007–08</w:t>
            </w:r>
          </w:p>
        </w:tc>
        <w:tc>
          <w:tcPr>
            <w:tcW w:w="808" w:type="dxa"/>
          </w:tcPr>
          <w:p w:rsidR="003746F8" w:rsidRPr="00E97D4C" w:rsidRDefault="003746F8" w:rsidP="00E97D4C">
            <w:pPr>
              <w:jc w:val="center"/>
              <w:cnfStyle w:val="000000000000"/>
              <w:rPr>
                <w:b/>
              </w:rPr>
            </w:pPr>
            <w:r w:rsidRPr="00E97D4C">
              <w:rPr>
                <w:b/>
                <w:bCs/>
              </w:rPr>
              <w:t>2008–09</w:t>
            </w:r>
          </w:p>
        </w:tc>
        <w:tc>
          <w:tcPr>
            <w:tcW w:w="808" w:type="dxa"/>
          </w:tcPr>
          <w:p w:rsidR="003746F8" w:rsidRPr="00E97D4C" w:rsidRDefault="003746F8" w:rsidP="00E97D4C">
            <w:pPr>
              <w:jc w:val="center"/>
              <w:cnfStyle w:val="000000000000"/>
              <w:rPr>
                <w:b/>
              </w:rPr>
            </w:pPr>
            <w:r w:rsidRPr="00E97D4C">
              <w:rPr>
                <w:b/>
                <w:bCs/>
              </w:rPr>
              <w:t>2009–10</w:t>
            </w:r>
          </w:p>
        </w:tc>
      </w:tr>
      <w:tr w:rsidR="006B7EDD" w:rsidRPr="006B7EDD" w:rsidTr="003746F8">
        <w:trPr>
          <w:trHeight w:val="238"/>
        </w:trPr>
        <w:tc>
          <w:tcPr>
            <w:cnfStyle w:val="001000000000"/>
            <w:tcW w:w="1959" w:type="dxa"/>
            <w:noWrap/>
          </w:tcPr>
          <w:p w:rsidR="003746F8" w:rsidRPr="00E97D4C" w:rsidRDefault="003746F8" w:rsidP="00E97D4C">
            <w:r w:rsidRPr="00E97D4C">
              <w:rPr>
                <w:bCs/>
              </w:rPr>
              <w:t>Technical grade</w:t>
            </w:r>
          </w:p>
        </w:tc>
        <w:tc>
          <w:tcPr>
            <w:tcW w:w="1317" w:type="dxa"/>
            <w:noWrap/>
          </w:tcPr>
          <w:p w:rsidR="003746F8" w:rsidRPr="00E97D4C" w:rsidRDefault="003746F8" w:rsidP="00E97D4C">
            <w:pPr>
              <w:cnfStyle w:val="000000000000"/>
            </w:pPr>
            <w:r w:rsidRPr="00E97D4C">
              <w:t>~99%</w:t>
            </w:r>
          </w:p>
        </w:tc>
        <w:tc>
          <w:tcPr>
            <w:tcW w:w="807" w:type="dxa"/>
          </w:tcPr>
          <w:p w:rsidR="003746F8" w:rsidRPr="00E97D4C" w:rsidRDefault="003746F8" w:rsidP="00E97D4C">
            <w:pPr>
              <w:jc w:val="center"/>
              <w:cnfStyle w:val="000000000000"/>
            </w:pPr>
            <w:r w:rsidRPr="00E97D4C">
              <w:t>n.d.</w:t>
            </w:r>
          </w:p>
        </w:tc>
        <w:tc>
          <w:tcPr>
            <w:tcW w:w="808" w:type="dxa"/>
          </w:tcPr>
          <w:p w:rsidR="003746F8" w:rsidRPr="00E97D4C" w:rsidRDefault="003746F8" w:rsidP="00E97D4C">
            <w:pPr>
              <w:jc w:val="center"/>
              <w:cnfStyle w:val="000000000000"/>
            </w:pPr>
            <w:r w:rsidRPr="00E97D4C">
              <w:t>12</w:t>
            </w:r>
          </w:p>
        </w:tc>
        <w:tc>
          <w:tcPr>
            <w:tcW w:w="807" w:type="dxa"/>
          </w:tcPr>
          <w:p w:rsidR="003746F8" w:rsidRPr="00E97D4C" w:rsidRDefault="003746F8" w:rsidP="00E97D4C">
            <w:pPr>
              <w:jc w:val="center"/>
              <w:cnfStyle w:val="000000000000"/>
            </w:pPr>
            <w:r w:rsidRPr="00E97D4C">
              <w:t>41.5</w:t>
            </w:r>
          </w:p>
        </w:tc>
        <w:tc>
          <w:tcPr>
            <w:tcW w:w="808" w:type="dxa"/>
          </w:tcPr>
          <w:p w:rsidR="003746F8" w:rsidRPr="00E97D4C" w:rsidRDefault="003746F8" w:rsidP="00E97D4C">
            <w:pPr>
              <w:jc w:val="center"/>
              <w:cnfStyle w:val="000000000000"/>
            </w:pPr>
            <w:r w:rsidRPr="00E97D4C">
              <w:t>51.7</w:t>
            </w:r>
          </w:p>
        </w:tc>
        <w:tc>
          <w:tcPr>
            <w:tcW w:w="808" w:type="dxa"/>
          </w:tcPr>
          <w:p w:rsidR="003746F8" w:rsidRPr="00E97D4C" w:rsidRDefault="003746F8" w:rsidP="00E97D4C">
            <w:pPr>
              <w:jc w:val="center"/>
              <w:cnfStyle w:val="000000000000"/>
            </w:pPr>
            <w:r w:rsidRPr="00E97D4C">
              <w:t>32.0</w:t>
            </w:r>
          </w:p>
        </w:tc>
        <w:tc>
          <w:tcPr>
            <w:tcW w:w="807" w:type="dxa"/>
          </w:tcPr>
          <w:p w:rsidR="003746F8" w:rsidRPr="00E97D4C" w:rsidRDefault="003746F8" w:rsidP="00E97D4C">
            <w:pPr>
              <w:jc w:val="center"/>
              <w:cnfStyle w:val="000000000000"/>
            </w:pPr>
            <w:r w:rsidRPr="00E97D4C">
              <w:t>43</w:t>
            </w:r>
          </w:p>
        </w:tc>
        <w:tc>
          <w:tcPr>
            <w:tcW w:w="808" w:type="dxa"/>
          </w:tcPr>
          <w:p w:rsidR="003746F8" w:rsidRPr="00E97D4C" w:rsidRDefault="003746F8" w:rsidP="00E97D4C">
            <w:pPr>
              <w:jc w:val="center"/>
              <w:cnfStyle w:val="000000000000"/>
            </w:pPr>
            <w:r w:rsidRPr="00E97D4C">
              <w:t>30</w:t>
            </w:r>
          </w:p>
        </w:tc>
        <w:tc>
          <w:tcPr>
            <w:tcW w:w="808" w:type="dxa"/>
          </w:tcPr>
          <w:p w:rsidR="003746F8" w:rsidRPr="00E97D4C" w:rsidRDefault="003746F8" w:rsidP="00E97D4C">
            <w:pPr>
              <w:jc w:val="center"/>
              <w:cnfStyle w:val="000000000000"/>
            </w:pPr>
            <w:r w:rsidRPr="00E97D4C">
              <w:t>0</w:t>
            </w:r>
          </w:p>
        </w:tc>
      </w:tr>
      <w:tr w:rsidR="006B7EDD" w:rsidRPr="006B7EDD" w:rsidTr="003746F8">
        <w:trPr>
          <w:trHeight w:val="491"/>
        </w:trPr>
        <w:tc>
          <w:tcPr>
            <w:cnfStyle w:val="001000000000"/>
            <w:tcW w:w="1959" w:type="dxa"/>
            <w:noWrap/>
          </w:tcPr>
          <w:p w:rsidR="003746F8" w:rsidRPr="00E97D4C" w:rsidRDefault="003746F8" w:rsidP="00E97D4C">
            <w:pPr>
              <w:rPr>
                <w:bCs/>
              </w:rPr>
            </w:pPr>
            <w:r w:rsidRPr="00E97D4C">
              <w:rPr>
                <w:bCs/>
              </w:rPr>
              <w:t>Liquid dispersions</w:t>
            </w:r>
          </w:p>
          <w:p w:rsidR="003746F8" w:rsidRPr="00E97D4C" w:rsidRDefault="003746F8" w:rsidP="00E97D4C">
            <w:pPr>
              <w:rPr>
                <w:bCs/>
              </w:rPr>
            </w:pPr>
          </w:p>
        </w:tc>
        <w:tc>
          <w:tcPr>
            <w:tcW w:w="1317" w:type="dxa"/>
            <w:noWrap/>
          </w:tcPr>
          <w:p w:rsidR="003746F8" w:rsidRPr="00E97D4C" w:rsidRDefault="003746F8" w:rsidP="00E97D4C">
            <w:pPr>
              <w:cnfStyle w:val="000000000000"/>
            </w:pPr>
            <w:r w:rsidRPr="00E97D4C">
              <w:t>30%–60%</w:t>
            </w:r>
          </w:p>
        </w:tc>
        <w:tc>
          <w:tcPr>
            <w:tcW w:w="807" w:type="dxa"/>
          </w:tcPr>
          <w:p w:rsidR="003746F8" w:rsidRPr="00E97D4C" w:rsidRDefault="003746F8" w:rsidP="00E97D4C">
            <w:pPr>
              <w:jc w:val="center"/>
              <w:cnfStyle w:val="000000000000"/>
            </w:pPr>
            <w:r w:rsidRPr="00E97D4C">
              <w:t>n.d.</w:t>
            </w:r>
          </w:p>
        </w:tc>
        <w:tc>
          <w:tcPr>
            <w:tcW w:w="808" w:type="dxa"/>
            <w:noWrap/>
          </w:tcPr>
          <w:p w:rsidR="003746F8" w:rsidRPr="00E97D4C" w:rsidRDefault="003746F8" w:rsidP="00E97D4C">
            <w:pPr>
              <w:jc w:val="center"/>
              <w:cnfStyle w:val="000000000000"/>
            </w:pPr>
            <w:r w:rsidRPr="00E97D4C">
              <w:t>&lt;5</w:t>
            </w:r>
          </w:p>
        </w:tc>
        <w:tc>
          <w:tcPr>
            <w:tcW w:w="807" w:type="dxa"/>
            <w:noWrap/>
          </w:tcPr>
          <w:p w:rsidR="003746F8" w:rsidRPr="00E97D4C" w:rsidRDefault="003746F8" w:rsidP="00E97D4C">
            <w:pPr>
              <w:jc w:val="center"/>
              <w:cnfStyle w:val="000000000000"/>
            </w:pPr>
            <w:r w:rsidRPr="00E97D4C">
              <w:t>&lt;5</w:t>
            </w:r>
          </w:p>
        </w:tc>
        <w:tc>
          <w:tcPr>
            <w:tcW w:w="808" w:type="dxa"/>
            <w:noWrap/>
          </w:tcPr>
          <w:p w:rsidR="003746F8" w:rsidRPr="00E97D4C" w:rsidRDefault="003746F8" w:rsidP="00E97D4C">
            <w:pPr>
              <w:jc w:val="center"/>
              <w:cnfStyle w:val="000000000000"/>
            </w:pPr>
            <w:r w:rsidRPr="00E97D4C">
              <w:t>&lt;2</w:t>
            </w:r>
          </w:p>
        </w:tc>
        <w:tc>
          <w:tcPr>
            <w:tcW w:w="808" w:type="dxa"/>
          </w:tcPr>
          <w:p w:rsidR="003746F8" w:rsidRPr="00E97D4C" w:rsidRDefault="003746F8" w:rsidP="00E97D4C">
            <w:pPr>
              <w:jc w:val="center"/>
              <w:cnfStyle w:val="000000000000"/>
            </w:pPr>
            <w:r w:rsidRPr="00E97D4C">
              <w:t>&lt;1</w:t>
            </w:r>
          </w:p>
        </w:tc>
        <w:tc>
          <w:tcPr>
            <w:tcW w:w="807" w:type="dxa"/>
          </w:tcPr>
          <w:p w:rsidR="003746F8" w:rsidRPr="00E97D4C" w:rsidRDefault="003746F8" w:rsidP="00E97D4C">
            <w:pPr>
              <w:jc w:val="center"/>
              <w:cnfStyle w:val="000000000000"/>
            </w:pPr>
            <w:r w:rsidRPr="00E97D4C">
              <w:t>2.0</w:t>
            </w:r>
          </w:p>
        </w:tc>
        <w:tc>
          <w:tcPr>
            <w:tcW w:w="808" w:type="dxa"/>
          </w:tcPr>
          <w:p w:rsidR="003746F8" w:rsidRPr="00E97D4C" w:rsidRDefault="003746F8" w:rsidP="00E97D4C">
            <w:pPr>
              <w:jc w:val="center"/>
              <w:cnfStyle w:val="000000000000"/>
            </w:pPr>
            <w:r w:rsidRPr="00E97D4C">
              <w:t>0.38</w:t>
            </w:r>
          </w:p>
        </w:tc>
        <w:tc>
          <w:tcPr>
            <w:tcW w:w="808" w:type="dxa"/>
          </w:tcPr>
          <w:p w:rsidR="003746F8" w:rsidRPr="00E97D4C" w:rsidRDefault="003746F8" w:rsidP="00E97D4C">
            <w:pPr>
              <w:jc w:val="center"/>
              <w:cnfStyle w:val="000000000000"/>
            </w:pPr>
            <w:r w:rsidRPr="00E97D4C">
              <w:t>0.69</w:t>
            </w:r>
          </w:p>
        </w:tc>
      </w:tr>
      <w:tr w:rsidR="006B7EDD" w:rsidRPr="006B7EDD" w:rsidTr="003746F8">
        <w:trPr>
          <w:trHeight w:val="478"/>
        </w:trPr>
        <w:tc>
          <w:tcPr>
            <w:cnfStyle w:val="001000000000"/>
            <w:tcW w:w="1959" w:type="dxa"/>
            <w:noWrap/>
          </w:tcPr>
          <w:p w:rsidR="003746F8" w:rsidRPr="00E97D4C" w:rsidRDefault="003746F8" w:rsidP="00E97D4C">
            <w:pPr>
              <w:rPr>
                <w:bCs/>
              </w:rPr>
            </w:pPr>
            <w:r w:rsidRPr="00E97D4C">
              <w:rPr>
                <w:bCs/>
              </w:rPr>
              <w:t>Expandable polystyrene (EPS) resin and beads containing HBCD</w:t>
            </w:r>
          </w:p>
        </w:tc>
        <w:tc>
          <w:tcPr>
            <w:tcW w:w="1317" w:type="dxa"/>
            <w:noWrap/>
          </w:tcPr>
          <w:p w:rsidR="003746F8" w:rsidRPr="00E97D4C" w:rsidRDefault="003746F8" w:rsidP="00E97D4C">
            <w:pPr>
              <w:cnfStyle w:val="000000000000"/>
            </w:pPr>
            <w:r w:rsidRPr="00E97D4C">
              <w:t>0.5%–1%</w:t>
            </w:r>
          </w:p>
        </w:tc>
        <w:tc>
          <w:tcPr>
            <w:tcW w:w="807" w:type="dxa"/>
          </w:tcPr>
          <w:p w:rsidR="003746F8" w:rsidRPr="00E97D4C" w:rsidRDefault="003746F8" w:rsidP="00E97D4C">
            <w:pPr>
              <w:jc w:val="center"/>
              <w:cnfStyle w:val="000000000000"/>
            </w:pPr>
            <w:r w:rsidRPr="00E97D4C">
              <w:t>n.d.</w:t>
            </w:r>
          </w:p>
        </w:tc>
        <w:tc>
          <w:tcPr>
            <w:tcW w:w="808" w:type="dxa"/>
            <w:noWrap/>
          </w:tcPr>
          <w:p w:rsidR="003746F8" w:rsidRPr="00E97D4C" w:rsidRDefault="003746F8" w:rsidP="00E97D4C">
            <w:pPr>
              <w:jc w:val="center"/>
              <w:cnfStyle w:val="000000000000"/>
            </w:pPr>
            <w:r w:rsidRPr="00E97D4C">
              <w:t>14.5</w:t>
            </w:r>
          </w:p>
        </w:tc>
        <w:tc>
          <w:tcPr>
            <w:tcW w:w="807" w:type="dxa"/>
            <w:noWrap/>
          </w:tcPr>
          <w:p w:rsidR="003746F8" w:rsidRPr="00E97D4C" w:rsidRDefault="003746F8" w:rsidP="00E97D4C">
            <w:pPr>
              <w:jc w:val="center"/>
              <w:cnfStyle w:val="000000000000"/>
            </w:pPr>
            <w:r w:rsidRPr="00E97D4C">
              <w:t>14.7</w:t>
            </w:r>
          </w:p>
        </w:tc>
        <w:tc>
          <w:tcPr>
            <w:tcW w:w="808" w:type="dxa"/>
            <w:noWrap/>
          </w:tcPr>
          <w:p w:rsidR="003746F8" w:rsidRPr="00E97D4C" w:rsidRDefault="003746F8" w:rsidP="00E97D4C">
            <w:pPr>
              <w:jc w:val="center"/>
              <w:cnfStyle w:val="000000000000"/>
            </w:pPr>
            <w:r w:rsidRPr="00E97D4C">
              <w:t>30.0</w:t>
            </w:r>
          </w:p>
        </w:tc>
        <w:tc>
          <w:tcPr>
            <w:tcW w:w="808" w:type="dxa"/>
          </w:tcPr>
          <w:p w:rsidR="003746F8" w:rsidRPr="00E97D4C" w:rsidRDefault="003746F8" w:rsidP="00E97D4C">
            <w:pPr>
              <w:jc w:val="center"/>
              <w:cnfStyle w:val="000000000000"/>
            </w:pPr>
            <w:r w:rsidRPr="00E97D4C">
              <w:t>30.0</w:t>
            </w:r>
          </w:p>
        </w:tc>
        <w:tc>
          <w:tcPr>
            <w:tcW w:w="807" w:type="dxa"/>
          </w:tcPr>
          <w:p w:rsidR="003746F8" w:rsidRPr="00E97D4C" w:rsidRDefault="003746F8" w:rsidP="00E97D4C">
            <w:pPr>
              <w:jc w:val="center"/>
              <w:cnfStyle w:val="000000000000"/>
            </w:pPr>
            <w:r w:rsidRPr="00E97D4C">
              <w:t>36</w:t>
            </w:r>
          </w:p>
        </w:tc>
        <w:tc>
          <w:tcPr>
            <w:tcW w:w="808" w:type="dxa"/>
          </w:tcPr>
          <w:p w:rsidR="003746F8" w:rsidRPr="00E97D4C" w:rsidRDefault="003746F8" w:rsidP="00E97D4C">
            <w:pPr>
              <w:jc w:val="center"/>
              <w:cnfStyle w:val="000000000000"/>
            </w:pPr>
            <w:r w:rsidRPr="00E97D4C">
              <w:t>17.0</w:t>
            </w:r>
          </w:p>
        </w:tc>
        <w:tc>
          <w:tcPr>
            <w:tcW w:w="808" w:type="dxa"/>
          </w:tcPr>
          <w:p w:rsidR="003746F8" w:rsidRPr="00E97D4C" w:rsidRDefault="003746F8" w:rsidP="00E97D4C">
            <w:pPr>
              <w:jc w:val="center"/>
              <w:cnfStyle w:val="000000000000"/>
            </w:pPr>
            <w:r w:rsidRPr="00E97D4C">
              <w:t>45.0</w:t>
            </w:r>
          </w:p>
        </w:tc>
      </w:tr>
      <w:tr w:rsidR="006B7EDD" w:rsidRPr="006B7EDD" w:rsidTr="003746F8">
        <w:trPr>
          <w:trHeight w:val="478"/>
        </w:trPr>
        <w:tc>
          <w:tcPr>
            <w:cnfStyle w:val="001000000000"/>
            <w:tcW w:w="1959" w:type="dxa"/>
            <w:noWrap/>
          </w:tcPr>
          <w:p w:rsidR="003746F8" w:rsidRPr="00E97D4C" w:rsidRDefault="003746F8" w:rsidP="00E97D4C">
            <w:pPr>
              <w:rPr>
                <w:bCs/>
                <w:u w:val="single"/>
              </w:rPr>
            </w:pPr>
            <w:r w:rsidRPr="00E97D4C">
              <w:rPr>
                <w:bCs/>
                <w:u w:val="single"/>
              </w:rPr>
              <w:t>Finished articles</w:t>
            </w:r>
          </w:p>
          <w:p w:rsidR="003746F8" w:rsidRPr="00E97D4C" w:rsidRDefault="003746F8" w:rsidP="00E97D4C">
            <w:r w:rsidRPr="00E97D4C">
              <w:t>Extruded polystyrene</w:t>
            </w:r>
          </w:p>
        </w:tc>
        <w:tc>
          <w:tcPr>
            <w:tcW w:w="1317" w:type="dxa"/>
            <w:noWrap/>
          </w:tcPr>
          <w:p w:rsidR="003746F8" w:rsidRPr="00E97D4C" w:rsidRDefault="003746F8" w:rsidP="00E97D4C">
            <w:pPr>
              <w:cnfStyle w:val="000000000000"/>
            </w:pPr>
          </w:p>
          <w:p w:rsidR="003746F8" w:rsidRPr="00E97D4C" w:rsidRDefault="003746F8" w:rsidP="00E97D4C">
            <w:pPr>
              <w:cnfStyle w:val="000000000000"/>
            </w:pPr>
            <w:r w:rsidRPr="00E97D4C">
              <w:t>&lt;3%</w:t>
            </w:r>
          </w:p>
        </w:tc>
        <w:tc>
          <w:tcPr>
            <w:tcW w:w="807" w:type="dxa"/>
          </w:tcPr>
          <w:p w:rsidR="003746F8" w:rsidRPr="00E97D4C" w:rsidRDefault="003746F8" w:rsidP="00E97D4C">
            <w:pPr>
              <w:jc w:val="center"/>
              <w:cnfStyle w:val="000000000000"/>
            </w:pPr>
            <w:r w:rsidRPr="00E97D4C">
              <w:t>n.d.</w:t>
            </w:r>
          </w:p>
        </w:tc>
        <w:tc>
          <w:tcPr>
            <w:tcW w:w="808" w:type="dxa"/>
            <w:noWrap/>
          </w:tcPr>
          <w:p w:rsidR="003746F8" w:rsidRPr="00E97D4C" w:rsidRDefault="003746F8" w:rsidP="00E97D4C">
            <w:pPr>
              <w:jc w:val="center"/>
              <w:cnfStyle w:val="000000000000"/>
            </w:pPr>
            <w:r w:rsidRPr="00E97D4C">
              <w:t>5.3</w:t>
            </w:r>
          </w:p>
        </w:tc>
        <w:tc>
          <w:tcPr>
            <w:tcW w:w="807" w:type="dxa"/>
            <w:noWrap/>
          </w:tcPr>
          <w:p w:rsidR="003746F8" w:rsidRPr="00E97D4C" w:rsidRDefault="003746F8" w:rsidP="00E97D4C">
            <w:pPr>
              <w:jc w:val="center"/>
              <w:cnfStyle w:val="000000000000"/>
            </w:pPr>
            <w:r w:rsidRPr="00E97D4C">
              <w:t>6.1</w:t>
            </w:r>
          </w:p>
        </w:tc>
        <w:tc>
          <w:tcPr>
            <w:tcW w:w="808" w:type="dxa"/>
            <w:noWrap/>
          </w:tcPr>
          <w:p w:rsidR="003746F8" w:rsidRPr="00E97D4C" w:rsidRDefault="003746F8" w:rsidP="00E97D4C">
            <w:pPr>
              <w:jc w:val="center"/>
              <w:cnfStyle w:val="000000000000"/>
            </w:pPr>
            <w:r w:rsidRPr="00E97D4C">
              <w:t>6.4</w:t>
            </w:r>
          </w:p>
        </w:tc>
        <w:tc>
          <w:tcPr>
            <w:tcW w:w="808" w:type="dxa"/>
          </w:tcPr>
          <w:p w:rsidR="003746F8" w:rsidRPr="00E97D4C" w:rsidRDefault="003746F8" w:rsidP="00E97D4C">
            <w:pPr>
              <w:jc w:val="center"/>
              <w:cnfStyle w:val="000000000000"/>
            </w:pPr>
            <w:r w:rsidRPr="00E97D4C">
              <w:t>2.0</w:t>
            </w:r>
          </w:p>
        </w:tc>
        <w:tc>
          <w:tcPr>
            <w:tcW w:w="807" w:type="dxa"/>
          </w:tcPr>
          <w:p w:rsidR="003746F8" w:rsidRPr="00E97D4C" w:rsidRDefault="003746F8" w:rsidP="00E97D4C">
            <w:pPr>
              <w:jc w:val="center"/>
              <w:cnfStyle w:val="000000000000"/>
            </w:pPr>
            <w:r w:rsidRPr="00E97D4C">
              <w:t>5.0</w:t>
            </w:r>
          </w:p>
        </w:tc>
        <w:tc>
          <w:tcPr>
            <w:tcW w:w="808" w:type="dxa"/>
          </w:tcPr>
          <w:p w:rsidR="003746F8" w:rsidRPr="00E97D4C" w:rsidRDefault="003746F8" w:rsidP="00E97D4C">
            <w:pPr>
              <w:jc w:val="center"/>
              <w:cnfStyle w:val="000000000000"/>
            </w:pPr>
            <w:r w:rsidRPr="00E97D4C">
              <w:t>7.7</w:t>
            </w:r>
          </w:p>
        </w:tc>
        <w:tc>
          <w:tcPr>
            <w:tcW w:w="808" w:type="dxa"/>
          </w:tcPr>
          <w:p w:rsidR="003746F8" w:rsidRPr="00E97D4C" w:rsidRDefault="003746F8" w:rsidP="00E97D4C">
            <w:pPr>
              <w:jc w:val="center"/>
              <w:cnfStyle w:val="000000000000"/>
            </w:pPr>
            <w:r w:rsidRPr="00E97D4C">
              <w:t>9.9</w:t>
            </w:r>
          </w:p>
        </w:tc>
      </w:tr>
      <w:tr w:rsidR="006B7EDD" w:rsidRPr="006B7EDD" w:rsidTr="003746F8">
        <w:trPr>
          <w:trHeight w:val="252"/>
        </w:trPr>
        <w:tc>
          <w:tcPr>
            <w:cnfStyle w:val="001000000000"/>
            <w:tcW w:w="1959" w:type="dxa"/>
            <w:noWrap/>
          </w:tcPr>
          <w:p w:rsidR="003746F8" w:rsidRPr="00E97D4C" w:rsidRDefault="003746F8" w:rsidP="00E97D4C">
            <w:r w:rsidRPr="00E97D4C">
              <w:t>Inkjet printer, scanners, printers</w:t>
            </w:r>
          </w:p>
        </w:tc>
        <w:tc>
          <w:tcPr>
            <w:tcW w:w="1317" w:type="dxa"/>
            <w:noWrap/>
          </w:tcPr>
          <w:p w:rsidR="003746F8" w:rsidRPr="00E97D4C" w:rsidRDefault="003746F8" w:rsidP="00E97D4C">
            <w:pPr>
              <w:cnfStyle w:val="000000000000"/>
            </w:pPr>
            <w:r w:rsidRPr="00E97D4C">
              <w:t>&lt;5 ppm</w:t>
            </w:r>
          </w:p>
        </w:tc>
        <w:tc>
          <w:tcPr>
            <w:tcW w:w="807" w:type="dxa"/>
          </w:tcPr>
          <w:p w:rsidR="003746F8" w:rsidRPr="00E97D4C" w:rsidRDefault="003746F8" w:rsidP="00E97D4C">
            <w:pPr>
              <w:jc w:val="center"/>
              <w:cnfStyle w:val="000000000000"/>
            </w:pPr>
            <w:r w:rsidRPr="00E97D4C">
              <w:t>n.d.</w:t>
            </w:r>
          </w:p>
        </w:tc>
        <w:tc>
          <w:tcPr>
            <w:tcW w:w="808" w:type="dxa"/>
            <w:noWrap/>
          </w:tcPr>
          <w:p w:rsidR="003746F8" w:rsidRPr="00E97D4C" w:rsidRDefault="003746F8" w:rsidP="00E97D4C">
            <w:pPr>
              <w:jc w:val="center"/>
              <w:cnfStyle w:val="000000000000"/>
            </w:pPr>
            <w:r w:rsidRPr="00E97D4C">
              <w:t>n.d.</w:t>
            </w:r>
          </w:p>
        </w:tc>
        <w:tc>
          <w:tcPr>
            <w:tcW w:w="807" w:type="dxa"/>
            <w:noWrap/>
          </w:tcPr>
          <w:p w:rsidR="003746F8" w:rsidRPr="00E97D4C" w:rsidRDefault="003746F8" w:rsidP="00E97D4C">
            <w:pPr>
              <w:jc w:val="center"/>
              <w:cnfStyle w:val="000000000000"/>
            </w:pPr>
            <w:r w:rsidRPr="00E97D4C">
              <w:t>&lt;1</w:t>
            </w:r>
          </w:p>
        </w:tc>
        <w:tc>
          <w:tcPr>
            <w:tcW w:w="808" w:type="dxa"/>
            <w:noWrap/>
          </w:tcPr>
          <w:p w:rsidR="003746F8" w:rsidRPr="00E97D4C" w:rsidRDefault="003746F8" w:rsidP="00E97D4C">
            <w:pPr>
              <w:jc w:val="center"/>
              <w:cnfStyle w:val="000000000000"/>
            </w:pPr>
            <w:r w:rsidRPr="00E97D4C">
              <w:t>&lt;1</w:t>
            </w:r>
          </w:p>
        </w:tc>
        <w:tc>
          <w:tcPr>
            <w:tcW w:w="808" w:type="dxa"/>
          </w:tcPr>
          <w:p w:rsidR="003746F8" w:rsidRPr="00E97D4C" w:rsidRDefault="003746F8" w:rsidP="00E97D4C">
            <w:pPr>
              <w:jc w:val="center"/>
              <w:cnfStyle w:val="000000000000"/>
            </w:pPr>
            <w:r w:rsidRPr="00E97D4C">
              <w:t>n.d.</w:t>
            </w:r>
          </w:p>
        </w:tc>
        <w:tc>
          <w:tcPr>
            <w:tcW w:w="807" w:type="dxa"/>
          </w:tcPr>
          <w:p w:rsidR="003746F8" w:rsidRPr="00E97D4C" w:rsidRDefault="003746F8" w:rsidP="00E97D4C">
            <w:pPr>
              <w:jc w:val="center"/>
              <w:cnfStyle w:val="000000000000"/>
            </w:pPr>
            <w:r w:rsidRPr="00E97D4C">
              <w:t>n.d.</w:t>
            </w:r>
          </w:p>
        </w:tc>
        <w:tc>
          <w:tcPr>
            <w:tcW w:w="808" w:type="dxa"/>
          </w:tcPr>
          <w:p w:rsidR="003746F8" w:rsidRPr="00E97D4C" w:rsidRDefault="003746F8" w:rsidP="00E97D4C">
            <w:pPr>
              <w:jc w:val="center"/>
              <w:cnfStyle w:val="000000000000"/>
            </w:pPr>
            <w:r w:rsidRPr="00E97D4C">
              <w:t>n.d.</w:t>
            </w:r>
          </w:p>
        </w:tc>
        <w:tc>
          <w:tcPr>
            <w:tcW w:w="808" w:type="dxa"/>
          </w:tcPr>
          <w:p w:rsidR="003746F8" w:rsidRPr="00E97D4C" w:rsidRDefault="003746F8" w:rsidP="00E97D4C">
            <w:pPr>
              <w:jc w:val="center"/>
              <w:cnfStyle w:val="000000000000"/>
            </w:pPr>
            <w:r w:rsidRPr="00E97D4C">
              <w:t>n.d.</w:t>
            </w:r>
          </w:p>
        </w:tc>
      </w:tr>
      <w:tr w:rsidR="006B7EDD" w:rsidRPr="006B7EDD" w:rsidTr="003746F8">
        <w:trPr>
          <w:trHeight w:val="238"/>
        </w:trPr>
        <w:tc>
          <w:tcPr>
            <w:cnfStyle w:val="001000000000"/>
            <w:tcW w:w="1959" w:type="dxa"/>
            <w:noWrap/>
          </w:tcPr>
          <w:p w:rsidR="003746F8" w:rsidRPr="00E97D4C" w:rsidRDefault="003746F8" w:rsidP="00E97D4C">
            <w:r w:rsidRPr="00E97D4C">
              <w:t>LCD digital audiovisual system</w:t>
            </w:r>
          </w:p>
        </w:tc>
        <w:tc>
          <w:tcPr>
            <w:tcW w:w="1317" w:type="dxa"/>
            <w:noWrap/>
          </w:tcPr>
          <w:p w:rsidR="003746F8" w:rsidRPr="00E97D4C" w:rsidRDefault="003746F8" w:rsidP="00E97D4C">
            <w:pPr>
              <w:cnfStyle w:val="000000000000"/>
            </w:pPr>
            <w:r w:rsidRPr="00E97D4C">
              <w:t>&lt;1000 ppm</w:t>
            </w:r>
          </w:p>
        </w:tc>
        <w:tc>
          <w:tcPr>
            <w:tcW w:w="807" w:type="dxa"/>
          </w:tcPr>
          <w:p w:rsidR="003746F8" w:rsidRPr="00E97D4C" w:rsidRDefault="003746F8" w:rsidP="00E97D4C">
            <w:pPr>
              <w:jc w:val="center"/>
              <w:cnfStyle w:val="000000000000"/>
            </w:pPr>
            <w:r w:rsidRPr="00E97D4C">
              <w:t>n.d.</w:t>
            </w:r>
          </w:p>
        </w:tc>
        <w:tc>
          <w:tcPr>
            <w:tcW w:w="808" w:type="dxa"/>
            <w:noWrap/>
          </w:tcPr>
          <w:p w:rsidR="003746F8" w:rsidRPr="00E97D4C" w:rsidRDefault="003746F8" w:rsidP="00E97D4C">
            <w:pPr>
              <w:jc w:val="center"/>
              <w:cnfStyle w:val="000000000000"/>
            </w:pPr>
          </w:p>
        </w:tc>
        <w:tc>
          <w:tcPr>
            <w:tcW w:w="807" w:type="dxa"/>
            <w:noWrap/>
          </w:tcPr>
          <w:p w:rsidR="003746F8" w:rsidRPr="00E97D4C" w:rsidRDefault="003746F8" w:rsidP="00E97D4C">
            <w:pPr>
              <w:jc w:val="center"/>
              <w:cnfStyle w:val="000000000000"/>
            </w:pPr>
          </w:p>
        </w:tc>
        <w:tc>
          <w:tcPr>
            <w:tcW w:w="808" w:type="dxa"/>
            <w:noWrap/>
          </w:tcPr>
          <w:p w:rsidR="003746F8" w:rsidRPr="00E97D4C" w:rsidRDefault="003746F8" w:rsidP="00E97D4C">
            <w:pPr>
              <w:jc w:val="center"/>
              <w:cnfStyle w:val="000000000000"/>
            </w:pPr>
            <w:r w:rsidRPr="00E97D4C">
              <w:t>n.d.</w:t>
            </w:r>
          </w:p>
        </w:tc>
        <w:tc>
          <w:tcPr>
            <w:tcW w:w="808" w:type="dxa"/>
          </w:tcPr>
          <w:p w:rsidR="003746F8" w:rsidRPr="00E97D4C" w:rsidRDefault="003746F8" w:rsidP="00E97D4C">
            <w:pPr>
              <w:jc w:val="center"/>
              <w:cnfStyle w:val="000000000000"/>
            </w:pPr>
            <w:r w:rsidRPr="00E97D4C">
              <w:t>n.d.</w:t>
            </w:r>
          </w:p>
        </w:tc>
        <w:tc>
          <w:tcPr>
            <w:tcW w:w="807" w:type="dxa"/>
          </w:tcPr>
          <w:p w:rsidR="003746F8" w:rsidRPr="00E97D4C" w:rsidRDefault="003746F8" w:rsidP="00E97D4C">
            <w:pPr>
              <w:jc w:val="center"/>
              <w:cnfStyle w:val="000000000000"/>
            </w:pPr>
            <w:r w:rsidRPr="00E97D4C">
              <w:t>n.d.</w:t>
            </w:r>
          </w:p>
        </w:tc>
        <w:tc>
          <w:tcPr>
            <w:tcW w:w="808" w:type="dxa"/>
          </w:tcPr>
          <w:p w:rsidR="003746F8" w:rsidRPr="00E97D4C" w:rsidRDefault="003746F8" w:rsidP="00E97D4C">
            <w:pPr>
              <w:jc w:val="center"/>
              <w:cnfStyle w:val="000000000000"/>
            </w:pPr>
            <w:r w:rsidRPr="00E97D4C">
              <w:t>n.d.</w:t>
            </w:r>
          </w:p>
        </w:tc>
        <w:tc>
          <w:tcPr>
            <w:tcW w:w="808" w:type="dxa"/>
          </w:tcPr>
          <w:p w:rsidR="003746F8" w:rsidRPr="00E97D4C" w:rsidRDefault="003746F8" w:rsidP="00E97D4C">
            <w:pPr>
              <w:jc w:val="center"/>
              <w:cnfStyle w:val="000000000000"/>
            </w:pPr>
            <w:r w:rsidRPr="00E97D4C">
              <w:t>n.d.</w:t>
            </w:r>
          </w:p>
        </w:tc>
      </w:tr>
      <w:tr w:rsidR="006B7EDD" w:rsidRPr="006B7EDD" w:rsidTr="003746F8">
        <w:trPr>
          <w:trHeight w:val="252"/>
        </w:trPr>
        <w:tc>
          <w:tcPr>
            <w:cnfStyle w:val="001000000000"/>
            <w:tcW w:w="1959" w:type="dxa"/>
            <w:noWrap/>
          </w:tcPr>
          <w:p w:rsidR="003746F8" w:rsidRPr="00E97D4C" w:rsidRDefault="003746F8" w:rsidP="00E97D4C">
            <w:pPr>
              <w:jc w:val="center"/>
              <w:rPr>
                <w:b/>
                <w:bCs/>
              </w:rPr>
            </w:pPr>
            <w:r w:rsidRPr="00E97D4C">
              <w:rPr>
                <w:b/>
                <w:bCs/>
              </w:rPr>
              <w:t>TOTAL</w:t>
            </w:r>
          </w:p>
        </w:tc>
        <w:tc>
          <w:tcPr>
            <w:tcW w:w="1317" w:type="dxa"/>
            <w:noWrap/>
          </w:tcPr>
          <w:p w:rsidR="003746F8" w:rsidRPr="00E97D4C" w:rsidRDefault="003746F8" w:rsidP="00E97D4C">
            <w:pPr>
              <w:jc w:val="center"/>
              <w:cnfStyle w:val="000000000000"/>
              <w:rPr>
                <w:b/>
                <w:bCs/>
              </w:rPr>
            </w:pPr>
            <w:r w:rsidRPr="00E97D4C">
              <w:rPr>
                <w:b/>
                <w:bCs/>
              </w:rPr>
              <w:t>-</w:t>
            </w:r>
          </w:p>
        </w:tc>
        <w:tc>
          <w:tcPr>
            <w:tcW w:w="807" w:type="dxa"/>
          </w:tcPr>
          <w:p w:rsidR="003746F8" w:rsidRPr="00E97D4C" w:rsidRDefault="003746F8" w:rsidP="00E97D4C">
            <w:pPr>
              <w:jc w:val="center"/>
              <w:cnfStyle w:val="000000000000"/>
              <w:rPr>
                <w:b/>
                <w:bCs/>
              </w:rPr>
            </w:pPr>
            <w:r w:rsidRPr="00E97D4C">
              <w:rPr>
                <w:b/>
                <w:bCs/>
              </w:rPr>
              <w:t>36.0</w:t>
            </w:r>
          </w:p>
        </w:tc>
        <w:tc>
          <w:tcPr>
            <w:tcW w:w="808" w:type="dxa"/>
            <w:noWrap/>
          </w:tcPr>
          <w:p w:rsidR="003746F8" w:rsidRPr="00E97D4C" w:rsidRDefault="003746F8" w:rsidP="00E97D4C">
            <w:pPr>
              <w:jc w:val="center"/>
              <w:cnfStyle w:val="000000000000"/>
              <w:rPr>
                <w:b/>
                <w:bCs/>
              </w:rPr>
            </w:pPr>
            <w:r w:rsidRPr="00E97D4C">
              <w:rPr>
                <w:b/>
                <w:bCs/>
              </w:rPr>
              <w:t>37.0</w:t>
            </w:r>
          </w:p>
        </w:tc>
        <w:tc>
          <w:tcPr>
            <w:tcW w:w="807" w:type="dxa"/>
            <w:noWrap/>
          </w:tcPr>
          <w:p w:rsidR="003746F8" w:rsidRPr="00E97D4C" w:rsidRDefault="003746F8" w:rsidP="00E97D4C">
            <w:pPr>
              <w:jc w:val="center"/>
              <w:cnfStyle w:val="000000000000"/>
              <w:rPr>
                <w:b/>
                <w:bCs/>
              </w:rPr>
            </w:pPr>
            <w:r w:rsidRPr="00E97D4C">
              <w:rPr>
                <w:b/>
                <w:bCs/>
              </w:rPr>
              <w:t>68.3</w:t>
            </w:r>
          </w:p>
        </w:tc>
        <w:tc>
          <w:tcPr>
            <w:tcW w:w="808" w:type="dxa"/>
            <w:noWrap/>
          </w:tcPr>
          <w:p w:rsidR="003746F8" w:rsidRPr="00E97D4C" w:rsidRDefault="003746F8" w:rsidP="00E97D4C">
            <w:pPr>
              <w:jc w:val="center"/>
              <w:cnfStyle w:val="000000000000"/>
              <w:rPr>
                <w:b/>
                <w:bCs/>
              </w:rPr>
            </w:pPr>
            <w:r w:rsidRPr="00E97D4C">
              <w:rPr>
                <w:b/>
                <w:bCs/>
              </w:rPr>
              <w:t>91.1</w:t>
            </w:r>
          </w:p>
        </w:tc>
        <w:tc>
          <w:tcPr>
            <w:tcW w:w="808" w:type="dxa"/>
          </w:tcPr>
          <w:p w:rsidR="003746F8" w:rsidRPr="00E97D4C" w:rsidRDefault="003746F8" w:rsidP="00E97D4C">
            <w:pPr>
              <w:jc w:val="center"/>
              <w:cnfStyle w:val="000000000000"/>
              <w:rPr>
                <w:b/>
                <w:bCs/>
              </w:rPr>
            </w:pPr>
            <w:r w:rsidRPr="00E97D4C">
              <w:rPr>
                <w:b/>
                <w:bCs/>
              </w:rPr>
              <w:t>65.0</w:t>
            </w:r>
          </w:p>
        </w:tc>
        <w:tc>
          <w:tcPr>
            <w:tcW w:w="807" w:type="dxa"/>
          </w:tcPr>
          <w:p w:rsidR="003746F8" w:rsidRPr="00E97D4C" w:rsidRDefault="003746F8" w:rsidP="00E97D4C">
            <w:pPr>
              <w:jc w:val="center"/>
              <w:cnfStyle w:val="000000000000"/>
              <w:rPr>
                <w:b/>
                <w:bCs/>
              </w:rPr>
            </w:pPr>
            <w:r w:rsidRPr="00E97D4C">
              <w:rPr>
                <w:b/>
                <w:bCs/>
              </w:rPr>
              <w:t>86.0</w:t>
            </w:r>
          </w:p>
        </w:tc>
        <w:tc>
          <w:tcPr>
            <w:tcW w:w="808" w:type="dxa"/>
          </w:tcPr>
          <w:p w:rsidR="003746F8" w:rsidRPr="00E97D4C" w:rsidRDefault="003746F8" w:rsidP="00E97D4C">
            <w:pPr>
              <w:jc w:val="center"/>
              <w:cnfStyle w:val="000000000000"/>
              <w:rPr>
                <w:b/>
                <w:bCs/>
              </w:rPr>
            </w:pPr>
            <w:r w:rsidRPr="00E97D4C">
              <w:rPr>
                <w:b/>
                <w:bCs/>
              </w:rPr>
              <w:t>55.0</w:t>
            </w:r>
          </w:p>
        </w:tc>
        <w:tc>
          <w:tcPr>
            <w:tcW w:w="808" w:type="dxa"/>
          </w:tcPr>
          <w:p w:rsidR="003746F8" w:rsidRPr="00E97D4C" w:rsidRDefault="003746F8" w:rsidP="00E97D4C">
            <w:pPr>
              <w:jc w:val="center"/>
              <w:cnfStyle w:val="000000000000"/>
              <w:rPr>
                <w:b/>
                <w:bCs/>
              </w:rPr>
            </w:pPr>
            <w:r w:rsidRPr="00E97D4C">
              <w:rPr>
                <w:b/>
                <w:bCs/>
              </w:rPr>
              <w:t>60.5</w:t>
            </w:r>
          </w:p>
        </w:tc>
      </w:tr>
    </w:tbl>
    <w:p w:rsidR="003746F8" w:rsidRPr="00E97D4C" w:rsidRDefault="003746F8" w:rsidP="00E97D4C">
      <w:pPr>
        <w:pStyle w:val="BodyText"/>
        <w:rPr>
          <w:sz w:val="20"/>
        </w:rPr>
      </w:pPr>
      <w:r w:rsidRPr="00E97D4C">
        <w:rPr>
          <w:sz w:val="20"/>
        </w:rPr>
        <w:t>n.d. = no data</w:t>
      </w:r>
    </w:p>
    <w:p w:rsidR="003746F8" w:rsidRPr="00E97D4C" w:rsidRDefault="003746F8" w:rsidP="00E97D4C">
      <w:pPr>
        <w:rPr>
          <w:i/>
        </w:rPr>
      </w:pPr>
      <w:r w:rsidRPr="00E97D4C">
        <w:rPr>
          <w:i/>
        </w:rPr>
        <w:t>(Source: NICNAS Priority Existing Chemical Assessment Report No. 34, Table 4.1)</w:t>
      </w:r>
    </w:p>
    <w:p w:rsidR="003746F8" w:rsidRPr="00E97D4C" w:rsidRDefault="003746F8" w:rsidP="00E97D4C">
      <w:pPr>
        <w:pStyle w:val="BodyText"/>
      </w:pPr>
    </w:p>
    <w:p w:rsidR="003746F8" w:rsidRPr="00E97D4C" w:rsidRDefault="003746F8" w:rsidP="00E97D4C">
      <w:pPr>
        <w:pStyle w:val="BodyText"/>
      </w:pPr>
      <w:r w:rsidRPr="00E97D4C">
        <w:t>ACIL Allen Consulting is preparing for the Department a cost benefit analysis to support a decision RIS on HBCD. Extracts obtained from this working draft note:</w:t>
      </w:r>
    </w:p>
    <w:p w:rsidR="003746F8" w:rsidRPr="00E97D4C" w:rsidRDefault="003746F8" w:rsidP="00E97D4C">
      <w:pPr>
        <w:pStyle w:val="Bullet1"/>
      </w:pPr>
      <w:r w:rsidRPr="00E97D4C">
        <w:t>For the purpose of this study, and using NICNAS data from 1998-99 to 2009-10, we have estimated Australian imports of HBCD rising linearly from 5.3 tonnes in 1989 to a projected 112 tonnes in 2014.</w:t>
      </w:r>
    </w:p>
    <w:p w:rsidR="003746F8" w:rsidRPr="00E97D4C" w:rsidRDefault="003746F8" w:rsidP="00E97D4C">
      <w:pPr>
        <w:pStyle w:val="Bullet1"/>
      </w:pPr>
      <w:r w:rsidRPr="00E97D4C">
        <w:t>The HBCD content of EPS / XPS is small. Load factors of 0.5 - 1 per cent are common for EPS and are commonly around 2 per cent in XPS.</w:t>
      </w:r>
    </w:p>
    <w:p w:rsidR="003746F8" w:rsidRPr="00E97D4C" w:rsidRDefault="003746F8" w:rsidP="00E97D4C">
      <w:pPr>
        <w:pStyle w:val="BodyText"/>
      </w:pPr>
    </w:p>
    <w:p w:rsidR="003746F8" w:rsidRPr="00E97D4C" w:rsidRDefault="003746F8" w:rsidP="00E97D4C">
      <w:pPr>
        <w:pStyle w:val="BodyText"/>
      </w:pPr>
      <w:r w:rsidRPr="00E97D4C">
        <w:t>What is not available is the total quantity of either HBCD containing products or an estimate of the proportion of these that arises as waste.</w:t>
      </w:r>
    </w:p>
    <w:p w:rsidR="003746F8" w:rsidRPr="00E97D4C" w:rsidRDefault="003746F8" w:rsidP="00E97D4C">
      <w:pPr>
        <w:pStyle w:val="BodyText"/>
      </w:pPr>
    </w:p>
    <w:p w:rsidR="003746F8" w:rsidRPr="00E97D4C" w:rsidRDefault="003746F8" w:rsidP="00E97D4C">
      <w:pPr>
        <w:pStyle w:val="BodyText"/>
      </w:pPr>
      <w:r w:rsidRPr="00E97D4C">
        <w:t>As is the case with POP-BDEs, HBCD has no LPCL set, which would determine the level in waste below which the Stockholm Convention would not apply.</w:t>
      </w:r>
      <w:r w:rsidR="00F954D8" w:rsidRPr="00E97D4C">
        <w:t xml:space="preserve"> </w:t>
      </w:r>
      <w:r w:rsidRPr="00E97D4C">
        <w:t>Assuming similar chemical properties and hazards posed by the brominated nature of HBCD to those currently under consideration for POP-BDEs, the same range of possible LPCL-based waste arisings scenarios (for projection purposes) has been determined for HBCD:</w:t>
      </w:r>
    </w:p>
    <w:p w:rsidR="003746F8" w:rsidRPr="00E97D4C" w:rsidRDefault="003746F8" w:rsidP="00E97D4C">
      <w:pPr>
        <w:pStyle w:val="BodyText"/>
      </w:pP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Assumed waste generation scenarios for HBCD are:</w:t>
      </w: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Low:</w:t>
      </w:r>
      <w:r w:rsidRPr="00E97D4C">
        <w:rPr>
          <w:rFonts w:asciiTheme="minorHAnsi" w:eastAsiaTheme="minorHAnsi" w:hAnsiTheme="minorHAnsi" w:cstheme="minorBidi"/>
          <w:b/>
          <w:color w:val="auto"/>
          <w:sz w:val="22"/>
        </w:rPr>
        <w:tab/>
        <w:t>200mg/kg LPCL</w:t>
      </w: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Best:</w:t>
      </w:r>
      <w:r w:rsidRPr="00E97D4C">
        <w:rPr>
          <w:rFonts w:asciiTheme="minorHAnsi" w:eastAsiaTheme="minorHAnsi" w:hAnsiTheme="minorHAnsi" w:cstheme="minorBidi"/>
          <w:b/>
          <w:color w:val="auto"/>
          <w:sz w:val="22"/>
        </w:rPr>
        <w:tab/>
        <w:t>50mg/kg LPCL</w:t>
      </w: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High:</w:t>
      </w:r>
      <w:r w:rsidRPr="00E97D4C">
        <w:rPr>
          <w:rFonts w:asciiTheme="minorHAnsi" w:eastAsiaTheme="minorHAnsi" w:hAnsiTheme="minorHAnsi" w:cstheme="minorBidi"/>
          <w:b/>
          <w:color w:val="auto"/>
          <w:sz w:val="22"/>
        </w:rPr>
        <w:tab/>
        <w:t>10mg/kg LPCL</w:t>
      </w:r>
    </w:p>
    <w:p w:rsidR="003746F8" w:rsidRPr="00E97D4C" w:rsidRDefault="003746F8" w:rsidP="00E97D4C">
      <w:pPr>
        <w:pStyle w:val="BodyText"/>
      </w:pPr>
      <w:r w:rsidRPr="00E97D4C">
        <w:lastRenderedPageBreak/>
        <w:t xml:space="preserve">Any of these levels would capture waste EPS/ XPS, which have </w:t>
      </w:r>
      <w:proofErr w:type="gramStart"/>
      <w:r w:rsidRPr="00E97D4C">
        <w:t>HBCD</w:t>
      </w:r>
      <w:proofErr w:type="gramEnd"/>
      <w:r w:rsidRPr="00E97D4C">
        <w:t xml:space="preserve"> present at levels above 5000 mg/kg.</w:t>
      </w:r>
    </w:p>
    <w:p w:rsidR="003746F8" w:rsidRPr="00E97D4C" w:rsidRDefault="003746F8" w:rsidP="00E97D4C">
      <w:pPr>
        <w:pStyle w:val="BodyText"/>
      </w:pPr>
    </w:p>
    <w:p w:rsidR="003746F8" w:rsidRPr="00E97D4C" w:rsidRDefault="003746F8" w:rsidP="00E97D4C">
      <w:pPr>
        <w:pStyle w:val="BodyText"/>
      </w:pPr>
      <w:r w:rsidRPr="00E97D4C">
        <w:t>HBCD has been detected in sludge in U.S. and European sludge. Representative con</w:t>
      </w:r>
      <w:r w:rsidR="001E3AB5" w:rsidRPr="00E97D4C">
        <w:t>centration sets are shown below.</w:t>
      </w:r>
    </w:p>
    <w:p w:rsidR="001E3AB5" w:rsidRPr="00E97D4C" w:rsidRDefault="001E3AB5" w:rsidP="00E97D4C">
      <w:pPr>
        <w:pStyle w:val="BodyText"/>
      </w:pPr>
    </w:p>
    <w:p w:rsidR="003746F8" w:rsidRPr="00E97D4C" w:rsidRDefault="003746F8" w:rsidP="00E97D4C">
      <w:pPr>
        <w:pStyle w:val="Figures"/>
      </w:pPr>
      <w:bookmarkStart w:id="546" w:name="_Toc400456463"/>
      <w:bookmarkStart w:id="547" w:name="_Toc425849357"/>
      <w:r w:rsidRPr="00E97D4C">
        <w:t xml:space="preserve">Table </w:t>
      </w:r>
      <w:r w:rsidR="006D07F5" w:rsidRPr="00E97D4C">
        <w:fldChar w:fldCharType="begin"/>
      </w:r>
      <w:r w:rsidR="00BA5D9E" w:rsidRPr="00E97D4C">
        <w:instrText xml:space="preserve"> SEQ Table \* ARABIC </w:instrText>
      </w:r>
      <w:r w:rsidR="006D07F5" w:rsidRPr="00E97D4C">
        <w:rPr>
          <w:noProof/>
        </w:rPr>
        <w:fldChar w:fldCharType="separate"/>
      </w:r>
      <w:r w:rsidR="002F3000">
        <w:rPr>
          <w:noProof/>
        </w:rPr>
        <w:t>72</w:t>
      </w:r>
      <w:r w:rsidR="006D07F5" w:rsidRPr="00E97D4C">
        <w:rPr>
          <w:noProof/>
        </w:rPr>
        <w:fldChar w:fldCharType="end"/>
      </w:r>
      <w:r w:rsidRPr="00E97D4C">
        <w:t xml:space="preserve">: </w:t>
      </w:r>
      <w:r w:rsidRPr="00E97D4C">
        <w:tab/>
      </w:r>
      <w:bookmarkEnd w:id="546"/>
      <w:r w:rsidRPr="00E97D4C">
        <w:t>Concentrations of HBCD in biosolids as reported in the literature</w:t>
      </w:r>
      <w:bookmarkEnd w:id="547"/>
    </w:p>
    <w:tbl>
      <w:tblPr>
        <w:tblStyle w:val="BETable1"/>
        <w:tblW w:w="9070" w:type="dxa"/>
        <w:tblInd w:w="0" w:type="dxa"/>
        <w:tblLook w:val="04A0"/>
      </w:tblPr>
      <w:tblGrid>
        <w:gridCol w:w="3252"/>
        <w:gridCol w:w="2909"/>
        <w:gridCol w:w="2909"/>
      </w:tblGrid>
      <w:tr w:rsidR="006B7EDD" w:rsidRPr="006B7EDD" w:rsidTr="003746F8">
        <w:trPr>
          <w:cnfStyle w:val="100000000000"/>
        </w:trPr>
        <w:tc>
          <w:tcPr>
            <w:cnfStyle w:val="001000000000"/>
            <w:tcW w:w="3252" w:type="dxa"/>
            <w:hideMark/>
          </w:tcPr>
          <w:p w:rsidR="003746F8" w:rsidRPr="00E97D4C" w:rsidRDefault="003746F8" w:rsidP="00E97D4C">
            <w:pPr>
              <w:spacing w:after="200" w:line="276" w:lineRule="auto"/>
              <w:rPr>
                <w:szCs w:val="20"/>
              </w:rPr>
            </w:pPr>
            <w:r w:rsidRPr="00E97D4C">
              <w:rPr>
                <w:szCs w:val="20"/>
              </w:rPr>
              <w:t>Location</w:t>
            </w:r>
          </w:p>
        </w:tc>
        <w:tc>
          <w:tcPr>
            <w:tcW w:w="2909" w:type="dxa"/>
            <w:hideMark/>
          </w:tcPr>
          <w:p w:rsidR="003746F8" w:rsidRPr="00E97D4C" w:rsidRDefault="003746F8" w:rsidP="00E97D4C">
            <w:pPr>
              <w:cnfStyle w:val="100000000000"/>
              <w:rPr>
                <w:szCs w:val="20"/>
              </w:rPr>
            </w:pPr>
            <w:r w:rsidRPr="00E97D4C">
              <w:rPr>
                <w:szCs w:val="20"/>
              </w:rPr>
              <w:t>HBCD Range</w:t>
            </w:r>
          </w:p>
          <w:p w:rsidR="003746F8" w:rsidRPr="00E97D4C" w:rsidRDefault="003746F8" w:rsidP="00E97D4C">
            <w:pPr>
              <w:autoSpaceDE w:val="0"/>
              <w:autoSpaceDN w:val="0"/>
              <w:cnfStyle w:val="100000000000"/>
              <w:rPr>
                <w:b w:val="0"/>
                <w:bCs/>
                <w:szCs w:val="20"/>
              </w:rPr>
            </w:pPr>
            <w:r w:rsidRPr="00E97D4C">
              <w:rPr>
                <w:bCs/>
                <w:szCs w:val="20"/>
              </w:rPr>
              <w:t>μg/kg, dry weight</w:t>
            </w:r>
          </w:p>
        </w:tc>
        <w:tc>
          <w:tcPr>
            <w:tcW w:w="2909" w:type="dxa"/>
            <w:hideMark/>
          </w:tcPr>
          <w:p w:rsidR="003746F8" w:rsidRPr="00E97D4C" w:rsidRDefault="003746F8" w:rsidP="00E97D4C">
            <w:pPr>
              <w:cnfStyle w:val="100000000000"/>
              <w:rPr>
                <w:szCs w:val="20"/>
              </w:rPr>
            </w:pPr>
            <w:r w:rsidRPr="00E97D4C">
              <w:rPr>
                <w:szCs w:val="20"/>
              </w:rPr>
              <w:t>HBCD Mean</w:t>
            </w:r>
          </w:p>
          <w:p w:rsidR="003746F8" w:rsidRPr="00E97D4C" w:rsidRDefault="003746F8" w:rsidP="00E97D4C">
            <w:pPr>
              <w:autoSpaceDE w:val="0"/>
              <w:autoSpaceDN w:val="0"/>
              <w:cnfStyle w:val="100000000000"/>
              <w:rPr>
                <w:b w:val="0"/>
                <w:bCs/>
                <w:szCs w:val="20"/>
              </w:rPr>
            </w:pPr>
            <w:r w:rsidRPr="00E97D4C">
              <w:rPr>
                <w:bCs/>
                <w:szCs w:val="20"/>
              </w:rPr>
              <w:t>μg/kg, dry weight</w:t>
            </w:r>
          </w:p>
        </w:tc>
      </w:tr>
      <w:tr w:rsidR="006B7EDD" w:rsidRPr="006B7EDD" w:rsidTr="003746F8">
        <w:trPr>
          <w:trHeight w:val="246"/>
        </w:trPr>
        <w:tc>
          <w:tcPr>
            <w:cnfStyle w:val="001000000000"/>
            <w:tcW w:w="3252" w:type="dxa"/>
            <w:hideMark/>
          </w:tcPr>
          <w:p w:rsidR="003746F8" w:rsidRPr="00E97D4C" w:rsidRDefault="003746F8" w:rsidP="00E97D4C">
            <w:r w:rsidRPr="00E97D4C">
              <w:t>Sweden</w:t>
            </w:r>
          </w:p>
          <w:p w:rsidR="003746F8" w:rsidRPr="00E97D4C" w:rsidRDefault="003746F8" w:rsidP="00E97D4C">
            <w:pPr>
              <w:pStyle w:val="BodyText"/>
            </w:pPr>
            <w:r w:rsidRPr="00E97D4C">
              <w:rPr>
                <w:sz w:val="20"/>
              </w:rPr>
              <w:t>(n = 50), Law et al., 2006</w:t>
            </w:r>
          </w:p>
        </w:tc>
        <w:tc>
          <w:tcPr>
            <w:tcW w:w="2909" w:type="dxa"/>
            <w:hideMark/>
          </w:tcPr>
          <w:p w:rsidR="003746F8" w:rsidRPr="00E97D4C" w:rsidRDefault="003746F8" w:rsidP="00E97D4C">
            <w:pPr>
              <w:spacing w:after="200" w:line="276" w:lineRule="auto"/>
              <w:cnfStyle w:val="000000000000"/>
            </w:pPr>
            <w:r w:rsidRPr="00E97D4C">
              <w:t>3.8 – 650</w:t>
            </w:r>
          </w:p>
        </w:tc>
        <w:tc>
          <w:tcPr>
            <w:tcW w:w="2909" w:type="dxa"/>
            <w:hideMark/>
          </w:tcPr>
          <w:p w:rsidR="003746F8" w:rsidRPr="00E97D4C" w:rsidRDefault="003746F8" w:rsidP="00E97D4C">
            <w:pPr>
              <w:spacing w:after="200" w:line="276" w:lineRule="auto"/>
              <w:cnfStyle w:val="000000000000"/>
            </w:pPr>
            <w:r w:rsidRPr="00E97D4C">
              <w:t>45</w:t>
            </w:r>
          </w:p>
        </w:tc>
      </w:tr>
      <w:tr w:rsidR="006B7EDD" w:rsidRPr="006B7EDD" w:rsidTr="003746F8">
        <w:trPr>
          <w:trHeight w:val="42"/>
        </w:trPr>
        <w:tc>
          <w:tcPr>
            <w:cnfStyle w:val="001000000000"/>
            <w:tcW w:w="3252" w:type="dxa"/>
            <w:hideMark/>
          </w:tcPr>
          <w:p w:rsidR="003746F8" w:rsidRPr="00E97D4C" w:rsidRDefault="003746F8" w:rsidP="00E97D4C">
            <w:r w:rsidRPr="00E97D4C">
              <w:t>England</w:t>
            </w:r>
          </w:p>
          <w:p w:rsidR="003746F8" w:rsidRPr="00E97D4C" w:rsidRDefault="003746F8" w:rsidP="00E97D4C">
            <w:pPr>
              <w:pStyle w:val="BodyText"/>
            </w:pPr>
            <w:r w:rsidRPr="00E97D4C">
              <w:rPr>
                <w:sz w:val="20"/>
              </w:rPr>
              <w:t>(n = 5), Morris et al., 2004</w:t>
            </w:r>
          </w:p>
        </w:tc>
        <w:tc>
          <w:tcPr>
            <w:tcW w:w="2909" w:type="dxa"/>
            <w:hideMark/>
          </w:tcPr>
          <w:p w:rsidR="003746F8" w:rsidRPr="00E97D4C" w:rsidRDefault="003746F8" w:rsidP="00E97D4C">
            <w:pPr>
              <w:cnfStyle w:val="000000000000"/>
            </w:pPr>
            <w:r w:rsidRPr="00E97D4C">
              <w:t>531 – 2,683</w:t>
            </w:r>
          </w:p>
        </w:tc>
        <w:tc>
          <w:tcPr>
            <w:tcW w:w="2909" w:type="dxa"/>
            <w:hideMark/>
          </w:tcPr>
          <w:p w:rsidR="003746F8" w:rsidRPr="00E97D4C" w:rsidRDefault="003746F8" w:rsidP="00E97D4C">
            <w:pPr>
              <w:spacing w:after="200" w:line="276" w:lineRule="auto"/>
              <w:cnfStyle w:val="000000000000"/>
            </w:pPr>
            <w:r w:rsidRPr="00E97D4C">
              <w:t>1,401</w:t>
            </w:r>
          </w:p>
        </w:tc>
      </w:tr>
      <w:tr w:rsidR="006B7EDD" w:rsidRPr="006B7EDD" w:rsidTr="003746F8">
        <w:trPr>
          <w:trHeight w:val="326"/>
        </w:trPr>
        <w:tc>
          <w:tcPr>
            <w:cnfStyle w:val="001000000000"/>
            <w:tcW w:w="3252" w:type="dxa"/>
            <w:hideMark/>
          </w:tcPr>
          <w:p w:rsidR="003746F8" w:rsidRPr="00E97D4C" w:rsidRDefault="003746F8" w:rsidP="00E97D4C">
            <w:r w:rsidRPr="00E97D4C">
              <w:t>Ireland</w:t>
            </w:r>
          </w:p>
          <w:p w:rsidR="003746F8" w:rsidRPr="00E97D4C" w:rsidRDefault="003746F8" w:rsidP="00E97D4C">
            <w:pPr>
              <w:pStyle w:val="BodyText"/>
            </w:pPr>
            <w:r w:rsidRPr="00E97D4C">
              <w:rPr>
                <w:sz w:val="20"/>
              </w:rPr>
              <w:t>(n = 6), Morris et al., 2004</w:t>
            </w:r>
          </w:p>
        </w:tc>
        <w:tc>
          <w:tcPr>
            <w:tcW w:w="2909" w:type="dxa"/>
            <w:hideMark/>
          </w:tcPr>
          <w:p w:rsidR="003746F8" w:rsidRPr="00E97D4C" w:rsidRDefault="003746F8" w:rsidP="00E97D4C">
            <w:pPr>
              <w:cnfStyle w:val="000000000000"/>
            </w:pPr>
            <w:r w:rsidRPr="00E97D4C">
              <w:t>153 – 9,120</w:t>
            </w:r>
          </w:p>
        </w:tc>
        <w:tc>
          <w:tcPr>
            <w:tcW w:w="2909" w:type="dxa"/>
            <w:hideMark/>
          </w:tcPr>
          <w:p w:rsidR="003746F8" w:rsidRPr="00E97D4C" w:rsidRDefault="003746F8" w:rsidP="00E97D4C">
            <w:pPr>
              <w:spacing w:after="200" w:line="276" w:lineRule="auto"/>
              <w:cnfStyle w:val="000000000000"/>
            </w:pPr>
            <w:r w:rsidRPr="00E97D4C">
              <w:t>3,322</w:t>
            </w:r>
          </w:p>
        </w:tc>
      </w:tr>
    </w:tbl>
    <w:p w:rsidR="003746F8" w:rsidRPr="00E97D4C" w:rsidRDefault="003746F8" w:rsidP="00E97D4C">
      <w:pPr>
        <w:pStyle w:val="BodyText"/>
      </w:pPr>
    </w:p>
    <w:p w:rsidR="003746F8" w:rsidRPr="00E97D4C" w:rsidRDefault="003746F8" w:rsidP="00E97D4C">
      <w:pPr>
        <w:pStyle w:val="BodyText"/>
      </w:pPr>
      <w:r w:rsidRPr="00E97D4C">
        <w:t>These levels are similar, although perhaps slightly higher than POP-BDE levels found in biosolids in Australia.</w:t>
      </w:r>
    </w:p>
    <w:p w:rsidR="003746F8" w:rsidRPr="00E97D4C" w:rsidRDefault="003746F8" w:rsidP="00E97D4C">
      <w:pPr>
        <w:pStyle w:val="BodyText"/>
      </w:pPr>
    </w:p>
    <w:p w:rsidR="003746F8" w:rsidRPr="00E97D4C" w:rsidRDefault="003746F8" w:rsidP="00E97D4C">
      <w:pPr>
        <w:pStyle w:val="BodyText"/>
        <w:pBdr>
          <w:top w:val="single" w:sz="4" w:space="1" w:color="auto"/>
          <w:left w:val="single" w:sz="4" w:space="4" w:color="auto"/>
          <w:bottom w:val="single" w:sz="4" w:space="1" w:color="auto"/>
          <w:right w:val="single" w:sz="4" w:space="4" w:color="auto"/>
        </w:pBdr>
      </w:pPr>
      <w:r w:rsidRPr="00E97D4C">
        <w:t>Qualitatively, the wastes considered as part of scenario projections with respect to HBCD are:</w:t>
      </w:r>
    </w:p>
    <w:p w:rsidR="003746F8" w:rsidRPr="00E97D4C" w:rsidRDefault="003746F8" w:rsidP="00E97D4C">
      <w:pPr>
        <w:pStyle w:val="Bullet1"/>
        <w:pBdr>
          <w:top w:val="single" w:sz="4" w:space="1" w:color="auto"/>
          <w:left w:val="single" w:sz="4" w:space="4" w:color="auto"/>
          <w:bottom w:val="single" w:sz="4" w:space="1" w:color="auto"/>
          <w:right w:val="single" w:sz="4" w:space="4" w:color="auto"/>
        </w:pBdr>
      </w:pPr>
      <w:r w:rsidRPr="00E97D4C">
        <w:t>End of life EPS building insulation panels/ materials from demolition or retrofitting of buildings</w:t>
      </w:r>
    </w:p>
    <w:p w:rsidR="003746F8" w:rsidRPr="00E97D4C" w:rsidRDefault="003746F8" w:rsidP="00E97D4C">
      <w:pPr>
        <w:pStyle w:val="Bullet1"/>
        <w:pBdr>
          <w:top w:val="single" w:sz="4" w:space="1" w:color="auto"/>
          <w:left w:val="single" w:sz="4" w:space="4" w:color="auto"/>
          <w:bottom w:val="single" w:sz="4" w:space="1" w:color="auto"/>
          <w:right w:val="single" w:sz="4" w:space="4" w:color="auto"/>
        </w:pBdr>
      </w:pPr>
      <w:r w:rsidRPr="00E97D4C">
        <w:t>Dependent on yet to be set LPCLs, biosolids with accumulated levels of HBCD above LCPLs.</w:t>
      </w:r>
    </w:p>
    <w:p w:rsidR="003746F8" w:rsidRPr="00E97D4C" w:rsidRDefault="003746F8" w:rsidP="00E97D4C">
      <w:pPr>
        <w:pStyle w:val="BodyText"/>
      </w:pPr>
    </w:p>
    <w:p w:rsidR="003746F8" w:rsidRPr="00E97D4C" w:rsidRDefault="003746F8" w:rsidP="00E97D4C">
      <w:pPr>
        <w:pStyle w:val="BodyText"/>
      </w:pPr>
    </w:p>
    <w:p w:rsidR="003746F8" w:rsidRPr="00E97D4C" w:rsidRDefault="003746F8" w:rsidP="00E97D4C">
      <w:pPr>
        <w:pStyle w:val="Heading3"/>
      </w:pPr>
      <w:bookmarkStart w:id="548" w:name="_Toc403143625"/>
      <w:r w:rsidRPr="00E97D4C">
        <w:t>PFOS</w:t>
      </w:r>
      <w:bookmarkEnd w:id="548"/>
    </w:p>
    <w:p w:rsidR="003746F8" w:rsidRPr="00E97D4C" w:rsidRDefault="003746F8" w:rsidP="00E97D4C">
      <w:pPr>
        <w:pStyle w:val="BodyText"/>
      </w:pPr>
      <w:r w:rsidRPr="00E97D4C">
        <w:t>Perfluorooctanesulfonic acid or perfluorooctane sulfonate (PFOS), is a man-made fluorosurfactant and global pollutant. PFOS was the key ingredient in Scotchguard, a fabric protector made by 3M, and numerous stain repellents and is currently used in an industrial context as a mist dispersant in surface coating and in firefighting foams. It was added to Annex B of the Stockholm Convention on Persistent Organic Pollutants in May 2009.</w:t>
      </w:r>
    </w:p>
    <w:p w:rsidR="003746F8" w:rsidRPr="00E97D4C" w:rsidRDefault="003746F8" w:rsidP="00E97D4C">
      <w:pPr>
        <w:pStyle w:val="BodyText"/>
      </w:pPr>
    </w:p>
    <w:p w:rsidR="003746F8" w:rsidRPr="00E97D4C" w:rsidRDefault="003746F8" w:rsidP="00E97D4C">
      <w:pPr>
        <w:pStyle w:val="BodyText"/>
      </w:pPr>
    </w:p>
    <w:p w:rsidR="003746F8" w:rsidRPr="00E97D4C" w:rsidRDefault="003746F8" w:rsidP="00E97D4C">
      <w:pPr>
        <w:pStyle w:val="BodyText"/>
        <w:spacing w:after="120"/>
        <w:rPr>
          <w:i/>
        </w:rPr>
      </w:pPr>
      <w:bookmarkStart w:id="549" w:name="_Toc403143626"/>
      <w:r w:rsidRPr="00E97D4C">
        <w:rPr>
          <w:i/>
        </w:rPr>
        <w:t>PFOS uses</w:t>
      </w:r>
      <w:bookmarkEnd w:id="549"/>
    </w:p>
    <w:p w:rsidR="003746F8" w:rsidRPr="00E97D4C" w:rsidRDefault="003746F8" w:rsidP="00E97D4C">
      <w:pPr>
        <w:pStyle w:val="BodyText"/>
      </w:pPr>
      <w:r w:rsidRPr="00E97D4C">
        <w:t>PFOS has been used in a range of applications including the following:</w:t>
      </w:r>
    </w:p>
    <w:p w:rsidR="003746F8" w:rsidRPr="00E97D4C" w:rsidRDefault="00223B25" w:rsidP="00E97D4C">
      <w:pPr>
        <w:pStyle w:val="Bullet1"/>
      </w:pPr>
      <w:r w:rsidRPr="00E97D4C">
        <w:t>h</w:t>
      </w:r>
      <w:r w:rsidR="003746F8" w:rsidRPr="00E97D4C">
        <w:t>ard chromium plating (referred to as hard metal plating in the Stockholm Convention)</w:t>
      </w:r>
    </w:p>
    <w:p w:rsidR="003746F8" w:rsidRPr="00E97D4C" w:rsidRDefault="00223B25" w:rsidP="00E97D4C">
      <w:pPr>
        <w:pStyle w:val="Bullet1"/>
      </w:pPr>
      <w:r w:rsidRPr="00E97D4C">
        <w:t>d</w:t>
      </w:r>
      <w:r w:rsidR="003746F8" w:rsidRPr="00E97D4C">
        <w:t>ecorative chromium plating (referred to as decorative plating in the Stockholm C</w:t>
      </w:r>
      <w:r w:rsidRPr="00E97D4C">
        <w:t>onvention) and plastics etching</w:t>
      </w:r>
    </w:p>
    <w:p w:rsidR="003746F8" w:rsidRPr="00E97D4C" w:rsidRDefault="00223B25" w:rsidP="00E97D4C">
      <w:pPr>
        <w:pStyle w:val="Bullet1"/>
      </w:pPr>
      <w:proofErr w:type="gramStart"/>
      <w:r w:rsidRPr="00E97D4C">
        <w:t>f</w:t>
      </w:r>
      <w:r w:rsidR="003746F8" w:rsidRPr="00E97D4C">
        <w:t>ire-fighting</w:t>
      </w:r>
      <w:proofErr w:type="gramEnd"/>
      <w:r w:rsidR="003746F8" w:rsidRPr="00E97D4C">
        <w:t xml:space="preserve"> foam concentrat</w:t>
      </w:r>
      <w:r w:rsidRPr="00E97D4C">
        <w:t xml:space="preserve">es (aqueous film forming foams, or </w:t>
      </w:r>
      <w:r w:rsidR="003746F8" w:rsidRPr="00E97D4C">
        <w:t>AFFF).</w:t>
      </w:r>
    </w:p>
    <w:p w:rsidR="003746F8" w:rsidRPr="00E97D4C" w:rsidRDefault="003746F8" w:rsidP="00E97D4C">
      <w:pPr>
        <w:pStyle w:val="BodyText"/>
      </w:pPr>
    </w:p>
    <w:p w:rsidR="003746F8" w:rsidRPr="00E97D4C" w:rsidRDefault="003746F8" w:rsidP="00E97D4C">
      <w:pPr>
        <w:pStyle w:val="BodyText"/>
      </w:pPr>
      <w:r w:rsidRPr="00E97D4C">
        <w:t>Recent information provided by the Department shows 2013 use and stocks of PFOS:</w:t>
      </w:r>
    </w:p>
    <w:p w:rsidR="00223B25" w:rsidRPr="00E97D4C" w:rsidRDefault="00223B25" w:rsidP="00E97D4C">
      <w:pPr>
        <w:spacing w:line="240" w:lineRule="auto"/>
        <w:rPr>
          <w:color w:val="080808"/>
          <w:sz w:val="22"/>
        </w:rPr>
      </w:pPr>
      <w:r w:rsidRPr="00E97D4C">
        <w:br w:type="page"/>
      </w:r>
    </w:p>
    <w:p w:rsidR="003746F8" w:rsidRPr="00E97D4C" w:rsidRDefault="003746F8" w:rsidP="00E97D4C">
      <w:pPr>
        <w:pStyle w:val="BodyText"/>
        <w:rPr>
          <w:sz w:val="2"/>
          <w:szCs w:val="2"/>
        </w:rPr>
      </w:pPr>
    </w:p>
    <w:p w:rsidR="003746F8" w:rsidRPr="00E97D4C" w:rsidRDefault="003746F8" w:rsidP="00E97D4C">
      <w:pPr>
        <w:pStyle w:val="Figures"/>
      </w:pPr>
      <w:bookmarkStart w:id="550" w:name="_Toc400456464"/>
      <w:bookmarkStart w:id="551" w:name="_Toc425849358"/>
      <w:r w:rsidRPr="00E97D4C">
        <w:t xml:space="preserve">Table </w:t>
      </w:r>
      <w:r w:rsidR="006D07F5" w:rsidRPr="00E97D4C">
        <w:fldChar w:fldCharType="begin"/>
      </w:r>
      <w:r w:rsidR="00BA5D9E" w:rsidRPr="00E97D4C">
        <w:instrText xml:space="preserve"> SEQ Table \* ARABIC </w:instrText>
      </w:r>
      <w:r w:rsidR="006D07F5" w:rsidRPr="00E97D4C">
        <w:rPr>
          <w:noProof/>
        </w:rPr>
        <w:fldChar w:fldCharType="separate"/>
      </w:r>
      <w:r w:rsidR="002F3000">
        <w:rPr>
          <w:noProof/>
        </w:rPr>
        <w:t>73</w:t>
      </w:r>
      <w:r w:rsidR="006D07F5" w:rsidRPr="00E97D4C">
        <w:rPr>
          <w:noProof/>
        </w:rPr>
        <w:fldChar w:fldCharType="end"/>
      </w:r>
      <w:r w:rsidRPr="00E97D4C">
        <w:t xml:space="preserve">: </w:t>
      </w:r>
      <w:r w:rsidRPr="00E97D4C">
        <w:tab/>
        <w:t>Summary of PFOS applications and estimates of PFOS use and stocks in 2013</w:t>
      </w:r>
      <w:bookmarkEnd w:id="550"/>
      <w:bookmarkEnd w:id="551"/>
    </w:p>
    <w:tbl>
      <w:tblPr>
        <w:tblStyle w:val="BETable1"/>
        <w:tblW w:w="9384" w:type="dxa"/>
        <w:tblInd w:w="0" w:type="dxa"/>
        <w:tblLayout w:type="fixed"/>
        <w:tblLook w:val="04A0"/>
      </w:tblPr>
      <w:tblGrid>
        <w:gridCol w:w="1260"/>
        <w:gridCol w:w="1887"/>
        <w:gridCol w:w="2155"/>
        <w:gridCol w:w="850"/>
        <w:gridCol w:w="851"/>
        <w:gridCol w:w="2381"/>
      </w:tblGrid>
      <w:tr w:rsidR="006B7EDD" w:rsidRPr="006B7EDD" w:rsidTr="003746F8">
        <w:trPr>
          <w:cnfStyle w:val="100000000000"/>
          <w:trHeight w:val="820"/>
        </w:trPr>
        <w:tc>
          <w:tcPr>
            <w:cnfStyle w:val="001000000000"/>
            <w:tcW w:w="1260" w:type="dxa"/>
          </w:tcPr>
          <w:p w:rsidR="003746F8" w:rsidRPr="00E97D4C" w:rsidRDefault="003746F8" w:rsidP="00E97D4C">
            <w:pPr>
              <w:spacing w:after="160" w:line="259" w:lineRule="auto"/>
              <w:rPr>
                <w:szCs w:val="20"/>
              </w:rPr>
            </w:pPr>
            <w:r w:rsidRPr="00E97D4C">
              <w:rPr>
                <w:szCs w:val="20"/>
              </w:rPr>
              <w:t>Application sector</w:t>
            </w:r>
          </w:p>
        </w:tc>
        <w:tc>
          <w:tcPr>
            <w:tcW w:w="1887" w:type="dxa"/>
          </w:tcPr>
          <w:p w:rsidR="003746F8" w:rsidRPr="00E97D4C" w:rsidRDefault="003746F8" w:rsidP="00E97D4C">
            <w:pPr>
              <w:spacing w:after="160" w:line="259" w:lineRule="auto"/>
              <w:cnfStyle w:val="100000000000"/>
              <w:rPr>
                <w:szCs w:val="20"/>
              </w:rPr>
            </w:pPr>
            <w:r w:rsidRPr="00E97D4C">
              <w:rPr>
                <w:szCs w:val="20"/>
              </w:rPr>
              <w:t>PFOS application</w:t>
            </w:r>
          </w:p>
        </w:tc>
        <w:tc>
          <w:tcPr>
            <w:tcW w:w="2155" w:type="dxa"/>
          </w:tcPr>
          <w:p w:rsidR="003746F8" w:rsidRPr="00E97D4C" w:rsidRDefault="003746F8" w:rsidP="00E97D4C">
            <w:pPr>
              <w:pStyle w:val="BodyText"/>
              <w:cnfStyle w:val="100000000000"/>
            </w:pPr>
            <w:r w:rsidRPr="00E97D4C">
              <w:rPr>
                <w:sz w:val="20"/>
                <w:szCs w:val="20"/>
              </w:rPr>
              <w:t>PFOS used in manufacturing process or incorporated into products?</w:t>
            </w:r>
          </w:p>
        </w:tc>
        <w:tc>
          <w:tcPr>
            <w:tcW w:w="850" w:type="dxa"/>
          </w:tcPr>
          <w:p w:rsidR="003746F8" w:rsidRPr="00E97D4C" w:rsidRDefault="003746F8" w:rsidP="00E97D4C">
            <w:pPr>
              <w:pStyle w:val="BodyText"/>
              <w:cnfStyle w:val="100000000000"/>
              <w:rPr>
                <w:sz w:val="20"/>
                <w:szCs w:val="20"/>
              </w:rPr>
            </w:pPr>
            <w:r w:rsidRPr="00E97D4C">
              <w:rPr>
                <w:sz w:val="20"/>
                <w:szCs w:val="20"/>
              </w:rPr>
              <w:t>PFOS use in 2013</w:t>
            </w:r>
          </w:p>
          <w:p w:rsidR="003746F8" w:rsidRPr="00E97D4C" w:rsidRDefault="003746F8" w:rsidP="00E97D4C">
            <w:pPr>
              <w:pStyle w:val="BodyText"/>
              <w:cnfStyle w:val="100000000000"/>
              <w:rPr>
                <w:sz w:val="20"/>
                <w:szCs w:val="20"/>
              </w:rPr>
            </w:pPr>
            <w:r w:rsidRPr="00E97D4C">
              <w:rPr>
                <w:sz w:val="20"/>
                <w:szCs w:val="20"/>
              </w:rPr>
              <w:t>(kg)</w:t>
            </w:r>
          </w:p>
        </w:tc>
        <w:tc>
          <w:tcPr>
            <w:tcW w:w="851" w:type="dxa"/>
          </w:tcPr>
          <w:p w:rsidR="003746F8" w:rsidRPr="00E97D4C" w:rsidRDefault="003746F8" w:rsidP="00E97D4C">
            <w:pPr>
              <w:pStyle w:val="BodyText"/>
              <w:cnfStyle w:val="100000000000"/>
              <w:rPr>
                <w:sz w:val="20"/>
                <w:szCs w:val="20"/>
              </w:rPr>
            </w:pPr>
            <w:r w:rsidRPr="00E97D4C">
              <w:rPr>
                <w:sz w:val="20"/>
                <w:szCs w:val="20"/>
              </w:rPr>
              <w:t>Stocks at end 2013</w:t>
            </w:r>
          </w:p>
          <w:p w:rsidR="003746F8" w:rsidRPr="00E97D4C" w:rsidRDefault="003746F8" w:rsidP="00E97D4C">
            <w:pPr>
              <w:pStyle w:val="BodyText"/>
              <w:cnfStyle w:val="100000000000"/>
              <w:rPr>
                <w:sz w:val="20"/>
                <w:szCs w:val="20"/>
              </w:rPr>
            </w:pPr>
            <w:r w:rsidRPr="00E97D4C">
              <w:rPr>
                <w:sz w:val="20"/>
                <w:szCs w:val="20"/>
              </w:rPr>
              <w:t>(kg)</w:t>
            </w:r>
          </w:p>
        </w:tc>
        <w:tc>
          <w:tcPr>
            <w:tcW w:w="2381" w:type="dxa"/>
          </w:tcPr>
          <w:p w:rsidR="003746F8" w:rsidRPr="00E97D4C" w:rsidRDefault="003746F8" w:rsidP="00E97D4C">
            <w:pPr>
              <w:spacing w:after="160" w:line="259" w:lineRule="auto"/>
              <w:cnfStyle w:val="100000000000"/>
              <w:rPr>
                <w:szCs w:val="20"/>
              </w:rPr>
            </w:pPr>
            <w:r w:rsidRPr="00E97D4C">
              <w:rPr>
                <w:szCs w:val="20"/>
              </w:rPr>
              <w:t>Stockholm Convention:</w:t>
            </w:r>
            <w:r w:rsidRPr="00E97D4C">
              <w:rPr>
                <w:szCs w:val="20"/>
              </w:rPr>
              <w:br/>
              <w:t>Acceptable purpose or</w:t>
            </w:r>
            <w:r w:rsidRPr="00E97D4C">
              <w:rPr>
                <w:szCs w:val="20"/>
              </w:rPr>
              <w:br/>
              <w:t>Specific exemption</w:t>
            </w:r>
          </w:p>
        </w:tc>
      </w:tr>
      <w:tr w:rsidR="006B7EDD" w:rsidRPr="006B7EDD" w:rsidTr="003746F8">
        <w:trPr>
          <w:trHeight w:val="785"/>
        </w:trPr>
        <w:tc>
          <w:tcPr>
            <w:cnfStyle w:val="001000000000"/>
            <w:tcW w:w="1260" w:type="dxa"/>
          </w:tcPr>
          <w:p w:rsidR="003746F8" w:rsidRPr="00E97D4C" w:rsidRDefault="003746F8" w:rsidP="00E97D4C">
            <w:pPr>
              <w:pStyle w:val="BodyText"/>
            </w:pPr>
            <w:r w:rsidRPr="00E97D4C">
              <w:rPr>
                <w:sz w:val="20"/>
                <w:szCs w:val="20"/>
              </w:rPr>
              <w:t>Surface finishing (metal plating)</w:t>
            </w:r>
          </w:p>
        </w:tc>
        <w:tc>
          <w:tcPr>
            <w:tcW w:w="1887" w:type="dxa"/>
          </w:tcPr>
          <w:p w:rsidR="003746F8" w:rsidRPr="00E97D4C" w:rsidRDefault="003746F8" w:rsidP="00E97D4C">
            <w:pPr>
              <w:pStyle w:val="BodyText"/>
              <w:cnfStyle w:val="000000000000"/>
            </w:pPr>
            <w:r w:rsidRPr="00E97D4C">
              <w:rPr>
                <w:sz w:val="20"/>
                <w:szCs w:val="20"/>
              </w:rPr>
              <w:t>Hard chromium plating (with closed loop recovery system)</w:t>
            </w:r>
          </w:p>
        </w:tc>
        <w:tc>
          <w:tcPr>
            <w:tcW w:w="2155" w:type="dxa"/>
          </w:tcPr>
          <w:p w:rsidR="003746F8" w:rsidRPr="00E97D4C" w:rsidRDefault="003746F8" w:rsidP="00E97D4C">
            <w:pPr>
              <w:spacing w:after="160" w:line="259" w:lineRule="auto"/>
              <w:cnfStyle w:val="000000000000"/>
              <w:rPr>
                <w:szCs w:val="20"/>
              </w:rPr>
            </w:pPr>
            <w:r w:rsidRPr="00E97D4C">
              <w:rPr>
                <w:szCs w:val="20"/>
              </w:rPr>
              <w:t>Manufacturing process</w:t>
            </w:r>
          </w:p>
        </w:tc>
        <w:tc>
          <w:tcPr>
            <w:tcW w:w="850" w:type="dxa"/>
            <w:vMerge w:val="restart"/>
          </w:tcPr>
          <w:p w:rsidR="003746F8" w:rsidRPr="00E97D4C" w:rsidRDefault="003746F8" w:rsidP="00E97D4C">
            <w:pPr>
              <w:spacing w:after="160" w:line="259" w:lineRule="auto"/>
              <w:cnfStyle w:val="000000000000"/>
              <w:rPr>
                <w:szCs w:val="20"/>
              </w:rPr>
            </w:pPr>
            <w:r w:rsidRPr="00E97D4C">
              <w:rPr>
                <w:szCs w:val="20"/>
              </w:rPr>
              <w:t>162</w:t>
            </w:r>
          </w:p>
        </w:tc>
        <w:tc>
          <w:tcPr>
            <w:tcW w:w="851" w:type="dxa"/>
            <w:vMerge w:val="restart"/>
          </w:tcPr>
          <w:p w:rsidR="003746F8" w:rsidRPr="00E97D4C" w:rsidRDefault="003746F8" w:rsidP="00E97D4C">
            <w:pPr>
              <w:spacing w:after="160" w:line="259" w:lineRule="auto"/>
              <w:cnfStyle w:val="000000000000"/>
              <w:rPr>
                <w:szCs w:val="20"/>
              </w:rPr>
            </w:pPr>
            <w:r w:rsidRPr="00E97D4C">
              <w:rPr>
                <w:szCs w:val="20"/>
              </w:rPr>
              <w:t>81</w:t>
            </w:r>
          </w:p>
        </w:tc>
        <w:tc>
          <w:tcPr>
            <w:tcW w:w="2381" w:type="dxa"/>
          </w:tcPr>
          <w:p w:rsidR="003746F8" w:rsidRPr="00E97D4C" w:rsidRDefault="003746F8" w:rsidP="00E97D4C">
            <w:pPr>
              <w:spacing w:after="160" w:line="259" w:lineRule="auto"/>
              <w:cnfStyle w:val="000000000000"/>
              <w:rPr>
                <w:szCs w:val="20"/>
              </w:rPr>
            </w:pPr>
            <w:r w:rsidRPr="00E97D4C">
              <w:rPr>
                <w:szCs w:val="20"/>
              </w:rPr>
              <w:t>Acceptable purpose</w:t>
            </w:r>
          </w:p>
        </w:tc>
      </w:tr>
      <w:tr w:rsidR="006B7EDD" w:rsidRPr="006B7EDD" w:rsidTr="003746F8">
        <w:tc>
          <w:tcPr>
            <w:cnfStyle w:val="001000000000"/>
            <w:tcW w:w="1260" w:type="dxa"/>
          </w:tcPr>
          <w:p w:rsidR="003746F8" w:rsidRPr="00E97D4C" w:rsidRDefault="003746F8" w:rsidP="00E97D4C">
            <w:pPr>
              <w:spacing w:after="160" w:line="259" w:lineRule="auto"/>
              <w:rPr>
                <w:szCs w:val="20"/>
              </w:rPr>
            </w:pPr>
          </w:p>
        </w:tc>
        <w:tc>
          <w:tcPr>
            <w:tcW w:w="1887" w:type="dxa"/>
          </w:tcPr>
          <w:p w:rsidR="003746F8" w:rsidRPr="00E97D4C" w:rsidRDefault="003746F8" w:rsidP="00E97D4C">
            <w:pPr>
              <w:pStyle w:val="BodyText"/>
              <w:cnfStyle w:val="000000000000"/>
            </w:pPr>
            <w:r w:rsidRPr="00E97D4C">
              <w:rPr>
                <w:sz w:val="20"/>
                <w:szCs w:val="20"/>
              </w:rPr>
              <w:t>Hard chromium plating (without closed loop recovery system)</w:t>
            </w:r>
          </w:p>
        </w:tc>
        <w:tc>
          <w:tcPr>
            <w:tcW w:w="2155" w:type="dxa"/>
          </w:tcPr>
          <w:p w:rsidR="003746F8" w:rsidRPr="00E97D4C" w:rsidRDefault="003746F8" w:rsidP="00E97D4C">
            <w:pPr>
              <w:spacing w:after="160" w:line="259" w:lineRule="auto"/>
              <w:cnfStyle w:val="000000000000"/>
              <w:rPr>
                <w:szCs w:val="20"/>
              </w:rPr>
            </w:pPr>
            <w:r w:rsidRPr="00E97D4C">
              <w:rPr>
                <w:szCs w:val="20"/>
              </w:rPr>
              <w:t>Manufacturing process</w:t>
            </w:r>
          </w:p>
        </w:tc>
        <w:tc>
          <w:tcPr>
            <w:tcW w:w="850" w:type="dxa"/>
            <w:vMerge/>
          </w:tcPr>
          <w:p w:rsidR="003746F8" w:rsidRPr="00E97D4C" w:rsidRDefault="003746F8" w:rsidP="00E97D4C">
            <w:pPr>
              <w:spacing w:after="160" w:line="259" w:lineRule="auto"/>
              <w:cnfStyle w:val="000000000000"/>
              <w:rPr>
                <w:szCs w:val="20"/>
              </w:rPr>
            </w:pPr>
          </w:p>
        </w:tc>
        <w:tc>
          <w:tcPr>
            <w:tcW w:w="851" w:type="dxa"/>
            <w:vMerge/>
          </w:tcPr>
          <w:p w:rsidR="003746F8" w:rsidRPr="00E97D4C" w:rsidRDefault="003746F8" w:rsidP="00E97D4C">
            <w:pPr>
              <w:spacing w:after="160" w:line="259" w:lineRule="auto"/>
              <w:cnfStyle w:val="000000000000"/>
              <w:rPr>
                <w:szCs w:val="20"/>
              </w:rPr>
            </w:pPr>
          </w:p>
        </w:tc>
        <w:tc>
          <w:tcPr>
            <w:tcW w:w="2381" w:type="dxa"/>
          </w:tcPr>
          <w:p w:rsidR="003746F8" w:rsidRPr="00E97D4C" w:rsidRDefault="003746F8" w:rsidP="00E97D4C">
            <w:pPr>
              <w:spacing w:after="160" w:line="259" w:lineRule="auto"/>
              <w:cnfStyle w:val="000000000000"/>
              <w:rPr>
                <w:szCs w:val="20"/>
              </w:rPr>
            </w:pPr>
            <w:r w:rsidRPr="00E97D4C">
              <w:rPr>
                <w:szCs w:val="20"/>
              </w:rPr>
              <w:t>Specific exemption</w:t>
            </w:r>
          </w:p>
        </w:tc>
      </w:tr>
      <w:tr w:rsidR="006B7EDD" w:rsidRPr="006B7EDD" w:rsidTr="003746F8">
        <w:tc>
          <w:tcPr>
            <w:cnfStyle w:val="001000000000"/>
            <w:tcW w:w="1260" w:type="dxa"/>
          </w:tcPr>
          <w:p w:rsidR="003746F8" w:rsidRPr="00E97D4C" w:rsidRDefault="003746F8" w:rsidP="00E97D4C">
            <w:pPr>
              <w:spacing w:after="160" w:line="259" w:lineRule="auto"/>
              <w:rPr>
                <w:szCs w:val="20"/>
              </w:rPr>
            </w:pPr>
          </w:p>
        </w:tc>
        <w:tc>
          <w:tcPr>
            <w:tcW w:w="1887" w:type="dxa"/>
          </w:tcPr>
          <w:p w:rsidR="003746F8" w:rsidRPr="00E97D4C" w:rsidRDefault="003746F8" w:rsidP="00E97D4C">
            <w:pPr>
              <w:pStyle w:val="BodyText"/>
              <w:cnfStyle w:val="000000000000"/>
            </w:pPr>
            <w:r w:rsidRPr="00E97D4C">
              <w:rPr>
                <w:sz w:val="20"/>
                <w:szCs w:val="20"/>
              </w:rPr>
              <w:t>Decorative chromium plating and plastics etching</w:t>
            </w:r>
          </w:p>
        </w:tc>
        <w:tc>
          <w:tcPr>
            <w:tcW w:w="2155" w:type="dxa"/>
          </w:tcPr>
          <w:p w:rsidR="003746F8" w:rsidRPr="00E97D4C" w:rsidRDefault="003746F8" w:rsidP="00E97D4C">
            <w:pPr>
              <w:spacing w:after="160" w:line="259" w:lineRule="auto"/>
              <w:cnfStyle w:val="000000000000"/>
              <w:rPr>
                <w:szCs w:val="20"/>
              </w:rPr>
            </w:pPr>
            <w:r w:rsidRPr="00E97D4C">
              <w:rPr>
                <w:szCs w:val="20"/>
              </w:rPr>
              <w:t>Manufacturing process</w:t>
            </w:r>
          </w:p>
        </w:tc>
        <w:tc>
          <w:tcPr>
            <w:tcW w:w="850" w:type="dxa"/>
          </w:tcPr>
          <w:p w:rsidR="003746F8" w:rsidRPr="00E97D4C" w:rsidRDefault="003746F8" w:rsidP="00E97D4C">
            <w:pPr>
              <w:spacing w:after="160" w:line="259" w:lineRule="auto"/>
              <w:cnfStyle w:val="000000000000"/>
              <w:rPr>
                <w:szCs w:val="20"/>
              </w:rPr>
            </w:pPr>
            <w:r w:rsidRPr="00E97D4C">
              <w:rPr>
                <w:szCs w:val="20"/>
              </w:rPr>
              <w:t>30</w:t>
            </w:r>
          </w:p>
        </w:tc>
        <w:tc>
          <w:tcPr>
            <w:tcW w:w="851" w:type="dxa"/>
          </w:tcPr>
          <w:p w:rsidR="003746F8" w:rsidRPr="00E97D4C" w:rsidRDefault="003746F8" w:rsidP="00E97D4C">
            <w:pPr>
              <w:spacing w:after="160" w:line="259" w:lineRule="auto"/>
              <w:cnfStyle w:val="000000000000"/>
              <w:rPr>
                <w:szCs w:val="20"/>
              </w:rPr>
            </w:pPr>
            <w:r w:rsidRPr="00E97D4C">
              <w:rPr>
                <w:szCs w:val="20"/>
              </w:rPr>
              <w:t>15</w:t>
            </w:r>
          </w:p>
        </w:tc>
        <w:tc>
          <w:tcPr>
            <w:tcW w:w="2381" w:type="dxa"/>
          </w:tcPr>
          <w:p w:rsidR="003746F8" w:rsidRPr="00E97D4C" w:rsidRDefault="003746F8" w:rsidP="00E97D4C">
            <w:pPr>
              <w:spacing w:after="160" w:line="259" w:lineRule="auto"/>
              <w:cnfStyle w:val="000000000000"/>
              <w:rPr>
                <w:szCs w:val="20"/>
              </w:rPr>
            </w:pPr>
            <w:r w:rsidRPr="00E97D4C">
              <w:rPr>
                <w:szCs w:val="20"/>
              </w:rPr>
              <w:t>Specific exemption</w:t>
            </w:r>
          </w:p>
        </w:tc>
      </w:tr>
      <w:tr w:rsidR="006B7EDD" w:rsidRPr="006B7EDD" w:rsidTr="003746F8">
        <w:tc>
          <w:tcPr>
            <w:cnfStyle w:val="001000000000"/>
            <w:tcW w:w="1260" w:type="dxa"/>
          </w:tcPr>
          <w:p w:rsidR="003746F8" w:rsidRPr="00E97D4C" w:rsidRDefault="003746F8" w:rsidP="00E97D4C">
            <w:pPr>
              <w:pStyle w:val="BodyText"/>
            </w:pPr>
            <w:r w:rsidRPr="00E97D4C">
              <w:rPr>
                <w:sz w:val="20"/>
                <w:szCs w:val="20"/>
              </w:rPr>
              <w:t>AFFF concentrates</w:t>
            </w:r>
          </w:p>
        </w:tc>
        <w:tc>
          <w:tcPr>
            <w:tcW w:w="1887" w:type="dxa"/>
          </w:tcPr>
          <w:p w:rsidR="003746F8" w:rsidRPr="00E97D4C" w:rsidRDefault="003746F8" w:rsidP="00E97D4C">
            <w:pPr>
              <w:pStyle w:val="BodyText"/>
              <w:cnfStyle w:val="000000000000"/>
              <w:rPr>
                <w:sz w:val="20"/>
                <w:szCs w:val="20"/>
              </w:rPr>
            </w:pPr>
            <w:r w:rsidRPr="00E97D4C">
              <w:rPr>
                <w:sz w:val="20"/>
                <w:szCs w:val="20"/>
              </w:rPr>
              <w:t xml:space="preserve">Aqueous film forming foams </w:t>
            </w:r>
          </w:p>
        </w:tc>
        <w:tc>
          <w:tcPr>
            <w:tcW w:w="2155" w:type="dxa"/>
          </w:tcPr>
          <w:p w:rsidR="003746F8" w:rsidRPr="00E97D4C" w:rsidRDefault="003746F8" w:rsidP="00E97D4C">
            <w:pPr>
              <w:spacing w:after="160" w:line="259" w:lineRule="auto"/>
              <w:cnfStyle w:val="000000000000"/>
              <w:rPr>
                <w:szCs w:val="20"/>
              </w:rPr>
            </w:pPr>
            <w:r w:rsidRPr="00E97D4C">
              <w:rPr>
                <w:szCs w:val="20"/>
              </w:rPr>
              <w:t>Products</w:t>
            </w:r>
          </w:p>
        </w:tc>
        <w:tc>
          <w:tcPr>
            <w:tcW w:w="850" w:type="dxa"/>
          </w:tcPr>
          <w:p w:rsidR="003746F8" w:rsidRPr="00E97D4C" w:rsidRDefault="003746F8" w:rsidP="00E97D4C">
            <w:pPr>
              <w:spacing w:after="160" w:line="259" w:lineRule="auto"/>
              <w:cnfStyle w:val="000000000000"/>
              <w:rPr>
                <w:szCs w:val="20"/>
              </w:rPr>
            </w:pPr>
            <w:r w:rsidRPr="00E97D4C">
              <w:rPr>
                <w:szCs w:val="20"/>
              </w:rPr>
              <w:t>4,200</w:t>
            </w:r>
          </w:p>
        </w:tc>
        <w:tc>
          <w:tcPr>
            <w:tcW w:w="851" w:type="dxa"/>
          </w:tcPr>
          <w:p w:rsidR="003746F8" w:rsidRPr="00E97D4C" w:rsidRDefault="003746F8" w:rsidP="00E97D4C">
            <w:pPr>
              <w:spacing w:after="160" w:line="259" w:lineRule="auto"/>
              <w:cnfStyle w:val="000000000000"/>
              <w:rPr>
                <w:szCs w:val="20"/>
              </w:rPr>
            </w:pPr>
            <w:r w:rsidRPr="00E97D4C">
              <w:rPr>
                <w:szCs w:val="20"/>
              </w:rPr>
              <w:t>37,700</w:t>
            </w:r>
          </w:p>
        </w:tc>
        <w:tc>
          <w:tcPr>
            <w:tcW w:w="2381" w:type="dxa"/>
          </w:tcPr>
          <w:p w:rsidR="003746F8" w:rsidRPr="00E97D4C" w:rsidRDefault="003746F8" w:rsidP="00E97D4C">
            <w:pPr>
              <w:spacing w:after="160" w:line="259" w:lineRule="auto"/>
              <w:cnfStyle w:val="000000000000"/>
              <w:rPr>
                <w:szCs w:val="20"/>
              </w:rPr>
            </w:pPr>
            <w:r w:rsidRPr="00E97D4C">
              <w:rPr>
                <w:szCs w:val="20"/>
              </w:rPr>
              <w:t>Acceptable purpose</w:t>
            </w:r>
          </w:p>
        </w:tc>
      </w:tr>
      <w:tr w:rsidR="006B7EDD" w:rsidRPr="006B7EDD" w:rsidTr="003746F8">
        <w:trPr>
          <w:trHeight w:val="42"/>
        </w:trPr>
        <w:tc>
          <w:tcPr>
            <w:cnfStyle w:val="001000000000"/>
            <w:tcW w:w="1260" w:type="dxa"/>
          </w:tcPr>
          <w:p w:rsidR="003746F8" w:rsidRPr="00E97D4C" w:rsidRDefault="003746F8" w:rsidP="00E97D4C">
            <w:pPr>
              <w:pStyle w:val="BodyText"/>
            </w:pPr>
            <w:r w:rsidRPr="00E97D4C">
              <w:rPr>
                <w:b/>
                <w:sz w:val="20"/>
                <w:szCs w:val="20"/>
              </w:rPr>
              <w:t>Totals</w:t>
            </w:r>
          </w:p>
        </w:tc>
        <w:tc>
          <w:tcPr>
            <w:tcW w:w="1887" w:type="dxa"/>
          </w:tcPr>
          <w:p w:rsidR="003746F8" w:rsidRPr="00E97D4C" w:rsidRDefault="003746F8" w:rsidP="00E97D4C">
            <w:pPr>
              <w:pStyle w:val="BodyText"/>
              <w:cnfStyle w:val="000000000000"/>
            </w:pPr>
            <w:r w:rsidRPr="00E97D4C">
              <w:rPr>
                <w:b/>
                <w:sz w:val="20"/>
                <w:szCs w:val="20"/>
              </w:rPr>
              <w:t>-</w:t>
            </w:r>
          </w:p>
        </w:tc>
        <w:tc>
          <w:tcPr>
            <w:tcW w:w="2155" w:type="dxa"/>
          </w:tcPr>
          <w:p w:rsidR="003746F8" w:rsidRPr="00E97D4C" w:rsidRDefault="003746F8" w:rsidP="00E97D4C">
            <w:pPr>
              <w:pStyle w:val="BodyText"/>
              <w:cnfStyle w:val="000000000000"/>
            </w:pPr>
            <w:r w:rsidRPr="00E97D4C">
              <w:rPr>
                <w:b/>
                <w:sz w:val="20"/>
                <w:szCs w:val="20"/>
              </w:rPr>
              <w:t>-</w:t>
            </w:r>
          </w:p>
        </w:tc>
        <w:tc>
          <w:tcPr>
            <w:tcW w:w="850" w:type="dxa"/>
          </w:tcPr>
          <w:p w:rsidR="003746F8" w:rsidRPr="00E97D4C" w:rsidRDefault="003746F8" w:rsidP="00E97D4C">
            <w:pPr>
              <w:spacing w:line="240" w:lineRule="auto"/>
              <w:contextualSpacing/>
              <w:cnfStyle w:val="000000000000"/>
              <w:rPr>
                <w:b/>
                <w:szCs w:val="20"/>
              </w:rPr>
            </w:pPr>
            <w:r w:rsidRPr="00E97D4C">
              <w:rPr>
                <w:b/>
                <w:szCs w:val="20"/>
              </w:rPr>
              <w:t>4,392</w:t>
            </w:r>
          </w:p>
        </w:tc>
        <w:tc>
          <w:tcPr>
            <w:tcW w:w="851" w:type="dxa"/>
          </w:tcPr>
          <w:p w:rsidR="003746F8" w:rsidRPr="00E97D4C" w:rsidRDefault="003746F8" w:rsidP="00E97D4C">
            <w:pPr>
              <w:spacing w:line="240" w:lineRule="auto"/>
              <w:contextualSpacing/>
              <w:cnfStyle w:val="000000000000"/>
              <w:rPr>
                <w:b/>
                <w:szCs w:val="20"/>
              </w:rPr>
            </w:pPr>
            <w:r w:rsidRPr="00E97D4C">
              <w:rPr>
                <w:b/>
                <w:szCs w:val="20"/>
              </w:rPr>
              <w:t>37,796</w:t>
            </w:r>
          </w:p>
        </w:tc>
        <w:tc>
          <w:tcPr>
            <w:tcW w:w="2381" w:type="dxa"/>
          </w:tcPr>
          <w:p w:rsidR="003746F8" w:rsidRPr="00E97D4C" w:rsidRDefault="003746F8" w:rsidP="00E97D4C">
            <w:pPr>
              <w:pStyle w:val="BodyText"/>
              <w:cnfStyle w:val="000000000000"/>
            </w:pPr>
            <w:r w:rsidRPr="00E97D4C">
              <w:rPr>
                <w:b/>
                <w:sz w:val="20"/>
                <w:szCs w:val="20"/>
              </w:rPr>
              <w:t>-</w:t>
            </w:r>
          </w:p>
        </w:tc>
      </w:tr>
    </w:tbl>
    <w:p w:rsidR="003746F8" w:rsidRPr="00E97D4C" w:rsidRDefault="003746F8" w:rsidP="00E97D4C">
      <w:pPr>
        <w:pStyle w:val="BodyText"/>
      </w:pPr>
      <w:r w:rsidRPr="00E97D4C">
        <w:rPr>
          <w:i/>
        </w:rPr>
        <w:t>(Source: PFOS information summary supplied confidentially by the Department of the Environment)</w:t>
      </w:r>
    </w:p>
    <w:p w:rsidR="003746F8" w:rsidRPr="00E97D4C" w:rsidRDefault="003746F8" w:rsidP="00E97D4C">
      <w:pPr>
        <w:pStyle w:val="BodyText"/>
      </w:pPr>
    </w:p>
    <w:p w:rsidR="003746F8" w:rsidRPr="00E97D4C" w:rsidRDefault="003746F8" w:rsidP="00E97D4C">
      <w:pPr>
        <w:pStyle w:val="BodyText"/>
      </w:pPr>
      <w:r w:rsidRPr="00E97D4C">
        <w:t>These figures suggest that 96% of PFOS in use and 99.7% of PFOS in stocks in Australia is for the purpose of firefighting with Aqueous Film Forming Foams (AFFF).</w:t>
      </w:r>
      <w:r w:rsidR="00F954D8" w:rsidRPr="00E97D4C">
        <w:t xml:space="preserve"> </w:t>
      </w:r>
      <w:r w:rsidRPr="00E97D4C">
        <w:t xml:space="preserve">AFFF is no longer sold containing PFOS, which means that the use of PFOS in AFFF is due to its presence in existing AFFF stocks. AFFF stocks have continued to decline and are estimated to stand at 37,700 kg, down around 25% from the 50,200 kg estimated for 2010. </w:t>
      </w:r>
    </w:p>
    <w:p w:rsidR="003746F8" w:rsidRPr="00E97D4C" w:rsidRDefault="003746F8" w:rsidP="00E97D4C">
      <w:pPr>
        <w:pStyle w:val="BodyText"/>
      </w:pPr>
    </w:p>
    <w:p w:rsidR="003746F8" w:rsidRPr="00E97D4C" w:rsidRDefault="003746F8" w:rsidP="00E97D4C">
      <w:pPr>
        <w:pStyle w:val="BodyText"/>
      </w:pPr>
      <w:r w:rsidRPr="00E97D4C">
        <w:t>AFFF concentrates in Australia are estimated to contain on average 2.5% w/v of PFOS (Infotech Research, 2012a, as summarized by DoE).</w:t>
      </w:r>
    </w:p>
    <w:p w:rsidR="003746F8" w:rsidRPr="00E97D4C" w:rsidRDefault="003746F8" w:rsidP="00E97D4C">
      <w:pPr>
        <w:pStyle w:val="BodyText"/>
      </w:pPr>
    </w:p>
    <w:p w:rsidR="003746F8" w:rsidRPr="00E97D4C" w:rsidRDefault="003746F8" w:rsidP="00E97D4C">
      <w:pPr>
        <w:pStyle w:val="BodyText"/>
        <w:spacing w:after="120"/>
        <w:rPr>
          <w:i/>
        </w:rPr>
      </w:pPr>
      <w:bookmarkStart w:id="552" w:name="_Toc403143627"/>
      <w:r w:rsidRPr="00E97D4C">
        <w:rPr>
          <w:i/>
        </w:rPr>
        <w:t>PFOS wastes (M160a)</w:t>
      </w:r>
      <w:bookmarkEnd w:id="552"/>
    </w:p>
    <w:p w:rsidR="003746F8" w:rsidRPr="00E97D4C" w:rsidRDefault="003746F8" w:rsidP="00E97D4C">
      <w:pPr>
        <w:pStyle w:val="BodyText"/>
      </w:pPr>
      <w:r w:rsidRPr="00E97D4C">
        <w:t xml:space="preserve">The Stockholm Convention </w:t>
      </w:r>
      <w:r w:rsidRPr="00E97D4C">
        <w:rPr>
          <w:u w:val="single"/>
        </w:rPr>
        <w:t>allows</w:t>
      </w:r>
      <w:r w:rsidRPr="00E97D4C">
        <w:t xml:space="preserve"> the use of PFOS in AFFF applications, however any resultant firewater from firefighting using this foam is a potential new waste that should be managed/ destroyed as per Stockholm requirements. Due to the phasing down and current emphasis on destruction of AFFF stored concentrates that contain PFOS, this is expected to be a diminishing waste stream.</w:t>
      </w:r>
    </w:p>
    <w:p w:rsidR="003746F8" w:rsidRPr="00E97D4C" w:rsidRDefault="003746F8" w:rsidP="00E97D4C">
      <w:pPr>
        <w:pStyle w:val="BodyText"/>
      </w:pPr>
    </w:p>
    <w:p w:rsidR="003746F8" w:rsidRPr="00E97D4C" w:rsidRDefault="003746F8" w:rsidP="00E97D4C">
      <w:pPr>
        <w:pStyle w:val="BodyText"/>
        <w:spacing w:after="120"/>
      </w:pPr>
      <w:r w:rsidRPr="00E97D4C">
        <w:t>Queensland drafted a policy for management of firefighting foam, specifically around the use of PFOS and other “fluorinated organic compounds” used as ingredients in these foams and their concentrates</w:t>
      </w:r>
      <w:r w:rsidRPr="00E97D4C">
        <w:rPr>
          <w:rStyle w:val="FootnoteReference"/>
        </w:rPr>
        <w:footnoteReference w:id="47"/>
      </w:r>
      <w:r w:rsidRPr="00E97D4C">
        <w:t>.</w:t>
      </w:r>
      <w:r w:rsidR="00F954D8" w:rsidRPr="00E97D4C">
        <w:t xml:space="preserve"> </w:t>
      </w:r>
      <w:r w:rsidRPr="00E97D4C">
        <w:t>This policy was released as a draft in September 2013, and as of October 2014 it does not appear to have been finalised.</w:t>
      </w:r>
      <w:r w:rsidR="00F954D8" w:rsidRPr="00E97D4C">
        <w:t xml:space="preserve"> </w:t>
      </w:r>
      <w:r w:rsidRPr="00E97D4C">
        <w:t>It states that:</w:t>
      </w:r>
    </w:p>
    <w:p w:rsidR="003746F8" w:rsidRPr="00E97D4C" w:rsidRDefault="003746F8" w:rsidP="00E97D4C">
      <w:pPr>
        <w:pStyle w:val="Bullet1"/>
        <w:rPr>
          <w:i/>
        </w:rPr>
      </w:pPr>
      <w:r w:rsidRPr="00E97D4C">
        <w:rPr>
          <w:i/>
        </w:rPr>
        <w:t>“Use of foams that contain the fluorinated organic compounds PFOS (perfluorooctanesulphonate) and PFOA (perfluorooctanoic acid) or any compound that degrades or converts to those compounds at a concentration of greater than 10mg/kg (in concentrate) are not to be used and must be withdrawn from service immediately and managed as a regulated waste.”</w:t>
      </w:r>
    </w:p>
    <w:p w:rsidR="003746F8" w:rsidRPr="00E97D4C" w:rsidRDefault="003746F8" w:rsidP="00E97D4C">
      <w:pPr>
        <w:pStyle w:val="Bullet1"/>
        <w:rPr>
          <w:i/>
        </w:rPr>
      </w:pPr>
      <w:r w:rsidRPr="00E97D4C">
        <w:rPr>
          <w:i/>
        </w:rPr>
        <w:t>“All solid and liquid wastes that contain fluorinated organic compounds (</w:t>
      </w:r>
      <w:r w:rsidR="00BB1256" w:rsidRPr="00E97D4C">
        <w:rPr>
          <w:i/>
        </w:rPr>
        <w:t>e.g.</w:t>
      </w:r>
      <w:r w:rsidRPr="00E97D4C">
        <w:rPr>
          <w:i/>
        </w:rPr>
        <w:t xml:space="preserve"> concentrates, firewater, wash-water, run-off, soils, absorbents, </w:t>
      </w:r>
      <w:r w:rsidR="00BB1256" w:rsidRPr="00E97D4C">
        <w:rPr>
          <w:i/>
        </w:rPr>
        <w:t>etc.</w:t>
      </w:r>
      <w:r w:rsidRPr="00E97D4C">
        <w:rPr>
          <w:i/>
        </w:rPr>
        <w:t xml:space="preserve">) are regarded as regulated wastes and must only be disposed of through a facility that is licensed to take regulated wastes.” </w:t>
      </w:r>
    </w:p>
    <w:p w:rsidR="003746F8" w:rsidRPr="00E97D4C" w:rsidRDefault="003746F8" w:rsidP="00E97D4C">
      <w:pPr>
        <w:pStyle w:val="Bullet1"/>
        <w:rPr>
          <w:i/>
        </w:rPr>
      </w:pPr>
      <w:r w:rsidRPr="00E97D4C">
        <w:rPr>
          <w:i/>
        </w:rPr>
        <w:lastRenderedPageBreak/>
        <w:t>“Notwithstanding that firefighting foams containing PFOS and PFOA must not be held or used, water contaminated by fluorinated organic compounds must not be released to the environment if the levels of fluorinated organics exceed the following levels</w:t>
      </w:r>
      <w:r w:rsidR="00223B25" w:rsidRPr="00E97D4C">
        <w:rPr>
          <w:i/>
        </w:rPr>
        <w:t>:</w:t>
      </w:r>
    </w:p>
    <w:p w:rsidR="008E4998" w:rsidRPr="00E97D4C" w:rsidRDefault="008E4998" w:rsidP="00E97D4C">
      <w:pPr>
        <w:spacing w:line="240" w:lineRule="auto"/>
        <w:rPr>
          <w:sz w:val="8"/>
          <w:szCs w:val="8"/>
        </w:rPr>
      </w:pPr>
    </w:p>
    <w:tbl>
      <w:tblPr>
        <w:tblStyle w:val="BETable1"/>
        <w:tblW w:w="8644" w:type="dxa"/>
        <w:tblInd w:w="483" w:type="dxa"/>
        <w:tblLayout w:type="fixed"/>
        <w:tblLook w:val="04A0"/>
      </w:tblPr>
      <w:tblGrid>
        <w:gridCol w:w="4109"/>
        <w:gridCol w:w="4535"/>
      </w:tblGrid>
      <w:tr w:rsidR="006B7EDD" w:rsidRPr="006B7EDD" w:rsidTr="008E4998">
        <w:trPr>
          <w:cnfStyle w:val="100000000000"/>
        </w:trPr>
        <w:tc>
          <w:tcPr>
            <w:cnfStyle w:val="001000000000"/>
            <w:tcW w:w="4109" w:type="dxa"/>
          </w:tcPr>
          <w:p w:rsidR="008E4998" w:rsidRPr="00E97D4C" w:rsidRDefault="008E4998" w:rsidP="00E97D4C">
            <w:pPr>
              <w:rPr>
                <w:i/>
              </w:rPr>
            </w:pPr>
            <w:r w:rsidRPr="00E97D4C">
              <w:rPr>
                <w:i/>
              </w:rPr>
              <w:t>Compound(s)</w:t>
            </w:r>
          </w:p>
        </w:tc>
        <w:tc>
          <w:tcPr>
            <w:tcW w:w="4535" w:type="dxa"/>
          </w:tcPr>
          <w:p w:rsidR="008E4998" w:rsidRPr="00E97D4C" w:rsidRDefault="008E4998" w:rsidP="00E97D4C">
            <w:pPr>
              <w:cnfStyle w:val="100000000000"/>
              <w:rPr>
                <w:i/>
              </w:rPr>
            </w:pPr>
            <w:r w:rsidRPr="00E97D4C">
              <w:rPr>
                <w:i/>
              </w:rPr>
              <w:t xml:space="preserve">Water trigger </w:t>
            </w:r>
            <w:r w:rsidR="00BB1256" w:rsidRPr="00E97D4C">
              <w:rPr>
                <w:i/>
              </w:rPr>
              <w:t>value</w:t>
            </w:r>
            <w:r w:rsidRPr="00E97D4C">
              <w:rPr>
                <w:i/>
              </w:rPr>
              <w:t xml:space="preserve"> (µg/L)</w:t>
            </w:r>
          </w:p>
        </w:tc>
      </w:tr>
      <w:tr w:rsidR="006B7EDD" w:rsidRPr="006B7EDD" w:rsidTr="008E4998">
        <w:tc>
          <w:tcPr>
            <w:cnfStyle w:val="001000000000"/>
            <w:tcW w:w="4109" w:type="dxa"/>
          </w:tcPr>
          <w:p w:rsidR="008E4998" w:rsidRPr="00E97D4C" w:rsidRDefault="008E4998" w:rsidP="00E97D4C">
            <w:pPr>
              <w:rPr>
                <w:i/>
              </w:rPr>
            </w:pPr>
            <w:r w:rsidRPr="00E97D4C">
              <w:rPr>
                <w:i/>
              </w:rPr>
              <w:t>PFOS</w:t>
            </w:r>
          </w:p>
        </w:tc>
        <w:tc>
          <w:tcPr>
            <w:tcW w:w="4535" w:type="dxa"/>
          </w:tcPr>
          <w:p w:rsidR="008E4998" w:rsidRPr="00E97D4C" w:rsidRDefault="008E4998" w:rsidP="00E97D4C">
            <w:pPr>
              <w:cnfStyle w:val="000000000000"/>
              <w:rPr>
                <w:i/>
              </w:rPr>
            </w:pPr>
            <w:r w:rsidRPr="00E97D4C">
              <w:rPr>
                <w:i/>
              </w:rPr>
              <w:t>0.3</w:t>
            </w:r>
          </w:p>
        </w:tc>
      </w:tr>
      <w:tr w:rsidR="006B7EDD" w:rsidRPr="006B7EDD" w:rsidTr="008E4998">
        <w:tc>
          <w:tcPr>
            <w:cnfStyle w:val="001000000000"/>
            <w:tcW w:w="4109" w:type="dxa"/>
          </w:tcPr>
          <w:p w:rsidR="008E4998" w:rsidRPr="00E97D4C" w:rsidRDefault="008E4998" w:rsidP="00E97D4C">
            <w:pPr>
              <w:rPr>
                <w:i/>
              </w:rPr>
            </w:pPr>
            <w:r w:rsidRPr="00E97D4C">
              <w:rPr>
                <w:i/>
              </w:rPr>
              <w:t>PFOA</w:t>
            </w:r>
          </w:p>
        </w:tc>
        <w:tc>
          <w:tcPr>
            <w:tcW w:w="4535" w:type="dxa"/>
          </w:tcPr>
          <w:p w:rsidR="008E4998" w:rsidRPr="00E97D4C" w:rsidRDefault="008E4998" w:rsidP="00E97D4C">
            <w:pPr>
              <w:cnfStyle w:val="000000000000"/>
              <w:rPr>
                <w:i/>
              </w:rPr>
            </w:pPr>
            <w:r w:rsidRPr="00E97D4C">
              <w:rPr>
                <w:i/>
              </w:rPr>
              <w:t>0.3</w:t>
            </w:r>
          </w:p>
        </w:tc>
      </w:tr>
      <w:tr w:rsidR="006B7EDD" w:rsidRPr="006B7EDD" w:rsidTr="008E4998">
        <w:tc>
          <w:tcPr>
            <w:cnfStyle w:val="001000000000"/>
            <w:tcW w:w="4109" w:type="dxa"/>
          </w:tcPr>
          <w:p w:rsidR="008E4998" w:rsidRPr="00E97D4C" w:rsidRDefault="008E4998" w:rsidP="00E97D4C">
            <w:pPr>
              <w:rPr>
                <w:i/>
              </w:rPr>
            </w:pPr>
            <w:r w:rsidRPr="00E97D4C">
              <w:rPr>
                <w:i/>
              </w:rPr>
              <w:t>Total fluorinated organic compounds</w:t>
            </w:r>
          </w:p>
        </w:tc>
        <w:tc>
          <w:tcPr>
            <w:tcW w:w="4535" w:type="dxa"/>
          </w:tcPr>
          <w:p w:rsidR="008E4998" w:rsidRPr="00E97D4C" w:rsidRDefault="008E4998" w:rsidP="00E97D4C">
            <w:pPr>
              <w:cnfStyle w:val="000000000000"/>
              <w:rPr>
                <w:i/>
              </w:rPr>
            </w:pPr>
            <w:r w:rsidRPr="00E97D4C">
              <w:rPr>
                <w:i/>
              </w:rPr>
              <w:t>0.3 (total excluding PFOS &amp; PFOA)”</w:t>
            </w:r>
          </w:p>
        </w:tc>
      </w:tr>
    </w:tbl>
    <w:p w:rsidR="003746F8" w:rsidRPr="00E97D4C" w:rsidRDefault="003746F8" w:rsidP="00E97D4C">
      <w:pPr>
        <w:pStyle w:val="BodyText"/>
        <w:ind w:left="426"/>
      </w:pPr>
      <w:r w:rsidRPr="00E97D4C">
        <w:t>(Extract from Queensland DEHP draft policy on the Management of Firefighting Foam</w:t>
      </w:r>
      <w:r w:rsidRPr="00E97D4C">
        <w:rPr>
          <w:vertAlign w:val="superscript"/>
        </w:rPr>
        <w:t>11</w:t>
      </w:r>
      <w:r w:rsidRPr="00E97D4C">
        <w:t>)</w:t>
      </w:r>
    </w:p>
    <w:p w:rsidR="003746F8" w:rsidRPr="00E97D4C" w:rsidRDefault="003746F8" w:rsidP="00E97D4C">
      <w:pPr>
        <w:pStyle w:val="BodyText"/>
      </w:pPr>
    </w:p>
    <w:p w:rsidR="003746F8" w:rsidRPr="00E97D4C" w:rsidRDefault="003746F8" w:rsidP="00E97D4C">
      <w:pPr>
        <w:pStyle w:val="BodyText"/>
      </w:pPr>
      <w:r w:rsidRPr="00E97D4C">
        <w:t xml:space="preserve">Provided in the following table is the change in estimated PFOS based AFFF concentrate and equivalent quantities of PFOS by industry sector between the end of 2010 and the end of 2013. PFOS in stocks has decreased by approximately 25% or around 12,500 kg of PFOS. A reasonable proportion of this has been reported as thermally destroyed </w:t>
      </w:r>
    </w:p>
    <w:p w:rsidR="003746F8" w:rsidRPr="00E97D4C" w:rsidRDefault="003746F8" w:rsidP="00E97D4C">
      <w:pPr>
        <w:pStyle w:val="BodyText"/>
      </w:pPr>
    </w:p>
    <w:p w:rsidR="003746F8" w:rsidRPr="00E97D4C" w:rsidRDefault="003746F8" w:rsidP="00E97D4C">
      <w:pPr>
        <w:pStyle w:val="Figures"/>
      </w:pPr>
      <w:bookmarkStart w:id="553" w:name="_Toc400456465"/>
      <w:bookmarkStart w:id="554" w:name="_Toc425849359"/>
      <w:r w:rsidRPr="00E97D4C">
        <w:t xml:space="preserve">Table </w:t>
      </w:r>
      <w:r w:rsidR="006D07F5" w:rsidRPr="00E97D4C">
        <w:fldChar w:fldCharType="begin"/>
      </w:r>
      <w:r w:rsidR="00BA5D9E" w:rsidRPr="00E97D4C">
        <w:instrText xml:space="preserve"> SEQ Table \* ARABIC </w:instrText>
      </w:r>
      <w:r w:rsidR="006D07F5" w:rsidRPr="00E97D4C">
        <w:rPr>
          <w:noProof/>
        </w:rPr>
        <w:fldChar w:fldCharType="separate"/>
      </w:r>
      <w:r w:rsidR="002F3000">
        <w:rPr>
          <w:noProof/>
        </w:rPr>
        <w:t>74</w:t>
      </w:r>
      <w:r w:rsidR="006D07F5" w:rsidRPr="00E97D4C">
        <w:rPr>
          <w:noProof/>
        </w:rPr>
        <w:fldChar w:fldCharType="end"/>
      </w:r>
      <w:r w:rsidRPr="00E97D4C">
        <w:t xml:space="preserve">: </w:t>
      </w:r>
      <w:r w:rsidRPr="00E97D4C">
        <w:tab/>
        <w:t>AFFF concentrates and PFOS in stocks by industry sector</w:t>
      </w:r>
      <w:bookmarkEnd w:id="553"/>
      <w:bookmarkEnd w:id="554"/>
    </w:p>
    <w:tbl>
      <w:tblPr>
        <w:tblStyle w:val="BETable1"/>
        <w:tblW w:w="9696" w:type="dxa"/>
        <w:tblInd w:w="0" w:type="dxa"/>
        <w:tblLayout w:type="fixed"/>
        <w:tblLook w:val="04A0"/>
      </w:tblPr>
      <w:tblGrid>
        <w:gridCol w:w="2042"/>
        <w:gridCol w:w="1913"/>
        <w:gridCol w:w="1914"/>
        <w:gridCol w:w="1913"/>
        <w:gridCol w:w="1914"/>
      </w:tblGrid>
      <w:tr w:rsidR="006B7EDD" w:rsidRPr="006B7EDD" w:rsidTr="003746F8">
        <w:trPr>
          <w:cnfStyle w:val="100000000000"/>
        </w:trPr>
        <w:tc>
          <w:tcPr>
            <w:cnfStyle w:val="001000000000"/>
            <w:tcW w:w="2042" w:type="dxa"/>
            <w:vMerge w:val="restart"/>
          </w:tcPr>
          <w:p w:rsidR="003746F8" w:rsidRPr="00E97D4C" w:rsidRDefault="003746F8" w:rsidP="00E97D4C">
            <w:pPr>
              <w:pStyle w:val="BodyText"/>
              <w:rPr>
                <w:rFonts w:asciiTheme="minorHAnsi" w:hAnsiTheme="minorHAnsi"/>
                <w:sz w:val="20"/>
                <w:szCs w:val="20"/>
              </w:rPr>
            </w:pPr>
            <w:r w:rsidRPr="00E97D4C">
              <w:rPr>
                <w:rFonts w:asciiTheme="minorHAnsi" w:hAnsiTheme="minorHAnsi"/>
                <w:sz w:val="20"/>
                <w:szCs w:val="20"/>
              </w:rPr>
              <w:t>Industry sector</w:t>
            </w:r>
          </w:p>
        </w:tc>
        <w:tc>
          <w:tcPr>
            <w:tcW w:w="3827" w:type="dxa"/>
            <w:gridSpan w:val="2"/>
          </w:tcPr>
          <w:p w:rsidR="003746F8" w:rsidRPr="00E97D4C" w:rsidRDefault="003746F8" w:rsidP="00E97D4C">
            <w:pPr>
              <w:pStyle w:val="BodyText"/>
              <w:cnfStyle w:val="100000000000"/>
              <w:rPr>
                <w:rFonts w:asciiTheme="minorHAnsi" w:hAnsiTheme="minorHAnsi"/>
                <w:sz w:val="20"/>
                <w:szCs w:val="20"/>
              </w:rPr>
            </w:pPr>
            <w:r w:rsidRPr="00E97D4C">
              <w:rPr>
                <w:rFonts w:asciiTheme="minorHAnsi" w:hAnsiTheme="minorHAnsi"/>
                <w:sz w:val="20"/>
                <w:szCs w:val="20"/>
              </w:rPr>
              <w:t>Estimated stocks</w:t>
            </w:r>
            <w:r w:rsidRPr="00E97D4C">
              <w:rPr>
                <w:rFonts w:asciiTheme="minorHAnsi" w:hAnsiTheme="minorHAnsi"/>
                <w:sz w:val="20"/>
                <w:szCs w:val="20"/>
              </w:rPr>
              <w:br/>
              <w:t xml:space="preserve"> – end 2010</w:t>
            </w:r>
          </w:p>
        </w:tc>
        <w:tc>
          <w:tcPr>
            <w:tcW w:w="3827" w:type="dxa"/>
            <w:gridSpan w:val="2"/>
          </w:tcPr>
          <w:p w:rsidR="003746F8" w:rsidRPr="00E97D4C" w:rsidRDefault="003746F8" w:rsidP="00E97D4C">
            <w:pPr>
              <w:pStyle w:val="BodyText"/>
              <w:cnfStyle w:val="100000000000"/>
              <w:rPr>
                <w:rFonts w:asciiTheme="minorHAnsi" w:hAnsiTheme="minorHAnsi"/>
                <w:sz w:val="20"/>
                <w:szCs w:val="20"/>
              </w:rPr>
            </w:pPr>
            <w:r w:rsidRPr="00E97D4C">
              <w:rPr>
                <w:rFonts w:asciiTheme="minorHAnsi" w:hAnsiTheme="minorHAnsi"/>
                <w:sz w:val="20"/>
                <w:szCs w:val="20"/>
              </w:rPr>
              <w:t>Estimated stocks</w:t>
            </w:r>
            <w:r w:rsidRPr="00E97D4C">
              <w:rPr>
                <w:rFonts w:asciiTheme="minorHAnsi" w:hAnsiTheme="minorHAnsi"/>
                <w:sz w:val="20"/>
                <w:szCs w:val="20"/>
              </w:rPr>
              <w:br/>
              <w:t xml:space="preserve"> – end 2013</w:t>
            </w:r>
          </w:p>
        </w:tc>
      </w:tr>
      <w:tr w:rsidR="006B7EDD" w:rsidRPr="006B7EDD" w:rsidTr="003746F8">
        <w:tc>
          <w:tcPr>
            <w:cnfStyle w:val="001000000000"/>
            <w:tcW w:w="2042" w:type="dxa"/>
            <w:vMerge/>
          </w:tcPr>
          <w:p w:rsidR="003746F8" w:rsidRPr="00E97D4C" w:rsidRDefault="003746F8" w:rsidP="00E97D4C">
            <w:pPr>
              <w:pStyle w:val="BodyText"/>
              <w:rPr>
                <w:rFonts w:asciiTheme="minorHAnsi" w:hAnsiTheme="minorHAnsi"/>
                <w:b/>
                <w:sz w:val="20"/>
                <w:szCs w:val="20"/>
              </w:rPr>
            </w:pPr>
          </w:p>
        </w:tc>
        <w:tc>
          <w:tcPr>
            <w:tcW w:w="1913" w:type="dxa"/>
          </w:tcPr>
          <w:p w:rsidR="003746F8" w:rsidRPr="00E97D4C" w:rsidRDefault="003746F8" w:rsidP="00E97D4C">
            <w:pPr>
              <w:pStyle w:val="BodyText"/>
              <w:cnfStyle w:val="000000000000"/>
              <w:rPr>
                <w:rFonts w:asciiTheme="minorHAnsi" w:hAnsiTheme="minorHAnsi"/>
                <w:b/>
                <w:sz w:val="20"/>
                <w:szCs w:val="20"/>
              </w:rPr>
            </w:pPr>
            <w:r w:rsidRPr="00E97D4C">
              <w:rPr>
                <w:rFonts w:asciiTheme="minorHAnsi" w:hAnsiTheme="minorHAnsi"/>
                <w:b/>
                <w:sz w:val="20"/>
                <w:szCs w:val="20"/>
              </w:rPr>
              <w:t>AFFF - PFOS based (L)</w:t>
            </w:r>
          </w:p>
        </w:tc>
        <w:tc>
          <w:tcPr>
            <w:tcW w:w="1914" w:type="dxa"/>
          </w:tcPr>
          <w:p w:rsidR="003746F8" w:rsidRPr="00E97D4C" w:rsidRDefault="003746F8" w:rsidP="00E97D4C">
            <w:pPr>
              <w:pStyle w:val="BodyText"/>
              <w:cnfStyle w:val="000000000000"/>
              <w:rPr>
                <w:rFonts w:asciiTheme="minorHAnsi" w:hAnsiTheme="minorHAnsi"/>
                <w:b/>
                <w:sz w:val="20"/>
                <w:szCs w:val="20"/>
              </w:rPr>
            </w:pPr>
            <w:r w:rsidRPr="00E97D4C">
              <w:rPr>
                <w:rFonts w:asciiTheme="minorHAnsi" w:hAnsiTheme="minorHAnsi"/>
                <w:b/>
                <w:sz w:val="20"/>
                <w:szCs w:val="20"/>
              </w:rPr>
              <w:t>Equivalent PFOS (kg)</w:t>
            </w:r>
          </w:p>
        </w:tc>
        <w:tc>
          <w:tcPr>
            <w:tcW w:w="1913" w:type="dxa"/>
          </w:tcPr>
          <w:p w:rsidR="003746F8" w:rsidRPr="00E97D4C" w:rsidRDefault="003746F8" w:rsidP="00E97D4C">
            <w:pPr>
              <w:pStyle w:val="BodyText"/>
              <w:cnfStyle w:val="000000000000"/>
              <w:rPr>
                <w:rFonts w:asciiTheme="minorHAnsi" w:hAnsiTheme="minorHAnsi"/>
                <w:b/>
                <w:sz w:val="20"/>
                <w:szCs w:val="20"/>
              </w:rPr>
            </w:pPr>
            <w:r w:rsidRPr="00E97D4C">
              <w:rPr>
                <w:rFonts w:asciiTheme="minorHAnsi" w:hAnsiTheme="minorHAnsi"/>
                <w:b/>
                <w:sz w:val="20"/>
                <w:szCs w:val="20"/>
              </w:rPr>
              <w:t>AFFF - PFOS based (L)</w:t>
            </w:r>
          </w:p>
        </w:tc>
        <w:tc>
          <w:tcPr>
            <w:tcW w:w="1914" w:type="dxa"/>
          </w:tcPr>
          <w:p w:rsidR="003746F8" w:rsidRPr="00E97D4C" w:rsidRDefault="003746F8" w:rsidP="00E97D4C">
            <w:pPr>
              <w:pStyle w:val="BodyText"/>
              <w:cnfStyle w:val="000000000000"/>
              <w:rPr>
                <w:rFonts w:asciiTheme="minorHAnsi" w:hAnsiTheme="minorHAnsi"/>
                <w:b/>
                <w:sz w:val="20"/>
                <w:szCs w:val="20"/>
              </w:rPr>
            </w:pPr>
            <w:r w:rsidRPr="00E97D4C">
              <w:rPr>
                <w:rFonts w:asciiTheme="minorHAnsi" w:hAnsiTheme="minorHAnsi"/>
                <w:b/>
                <w:sz w:val="20"/>
                <w:szCs w:val="20"/>
              </w:rPr>
              <w:t>Equivalent PFOS (kg)</w:t>
            </w:r>
          </w:p>
        </w:tc>
      </w:tr>
      <w:tr w:rsidR="006B7EDD" w:rsidRPr="006B7EDD" w:rsidTr="003746F8">
        <w:tc>
          <w:tcPr>
            <w:cnfStyle w:val="001000000000"/>
            <w:tcW w:w="2042" w:type="dxa"/>
          </w:tcPr>
          <w:p w:rsidR="003746F8" w:rsidRPr="00E97D4C" w:rsidRDefault="003746F8" w:rsidP="00E97D4C">
            <w:pPr>
              <w:pStyle w:val="BodyText"/>
              <w:rPr>
                <w:rFonts w:asciiTheme="minorHAnsi" w:hAnsiTheme="minorHAnsi"/>
                <w:sz w:val="20"/>
                <w:szCs w:val="20"/>
              </w:rPr>
            </w:pPr>
            <w:r w:rsidRPr="00E97D4C">
              <w:rPr>
                <w:rFonts w:asciiTheme="minorHAnsi" w:hAnsiTheme="minorHAnsi"/>
                <w:sz w:val="20"/>
                <w:szCs w:val="20"/>
              </w:rPr>
              <w:t>Fire-fighting authorities</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r>
      <w:tr w:rsidR="006B7EDD" w:rsidRPr="006B7EDD" w:rsidTr="003746F8">
        <w:tc>
          <w:tcPr>
            <w:cnfStyle w:val="001000000000"/>
            <w:tcW w:w="2042" w:type="dxa"/>
          </w:tcPr>
          <w:p w:rsidR="003746F8" w:rsidRPr="00E97D4C" w:rsidRDefault="003746F8" w:rsidP="00E97D4C">
            <w:pPr>
              <w:pStyle w:val="BodyText"/>
              <w:rPr>
                <w:rFonts w:asciiTheme="minorHAnsi" w:hAnsiTheme="minorHAnsi"/>
                <w:sz w:val="20"/>
                <w:szCs w:val="20"/>
              </w:rPr>
            </w:pPr>
            <w:r w:rsidRPr="00E97D4C">
              <w:rPr>
                <w:rFonts w:asciiTheme="minorHAnsi" w:hAnsiTheme="minorHAnsi"/>
                <w:sz w:val="20"/>
                <w:szCs w:val="20"/>
              </w:rPr>
              <w:t>Airports – mobile</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r>
      <w:tr w:rsidR="006B7EDD" w:rsidRPr="006B7EDD" w:rsidTr="003746F8">
        <w:tc>
          <w:tcPr>
            <w:cnfStyle w:val="001000000000"/>
            <w:tcW w:w="2042" w:type="dxa"/>
          </w:tcPr>
          <w:p w:rsidR="003746F8" w:rsidRPr="00E97D4C" w:rsidRDefault="003746F8" w:rsidP="00E97D4C">
            <w:pPr>
              <w:pStyle w:val="BodyText"/>
              <w:rPr>
                <w:rFonts w:asciiTheme="minorHAnsi" w:hAnsiTheme="minorHAnsi"/>
                <w:sz w:val="20"/>
                <w:szCs w:val="20"/>
              </w:rPr>
            </w:pPr>
            <w:r w:rsidRPr="00E97D4C">
              <w:rPr>
                <w:rFonts w:asciiTheme="minorHAnsi" w:hAnsiTheme="minorHAnsi"/>
                <w:sz w:val="20"/>
                <w:szCs w:val="20"/>
              </w:rPr>
              <w:t>Airports – hangers</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425,100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10,600</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319,300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8,000</w:t>
            </w:r>
          </w:p>
        </w:tc>
      </w:tr>
      <w:tr w:rsidR="006B7EDD" w:rsidRPr="006B7EDD" w:rsidTr="003746F8">
        <w:tc>
          <w:tcPr>
            <w:cnfStyle w:val="001000000000"/>
            <w:tcW w:w="2042" w:type="dxa"/>
          </w:tcPr>
          <w:p w:rsidR="003746F8" w:rsidRPr="00E97D4C" w:rsidRDefault="003746F8" w:rsidP="00E97D4C">
            <w:pPr>
              <w:pStyle w:val="BodyText"/>
              <w:rPr>
                <w:rFonts w:asciiTheme="minorHAnsi" w:hAnsiTheme="minorHAnsi"/>
                <w:sz w:val="20"/>
                <w:szCs w:val="20"/>
              </w:rPr>
            </w:pPr>
            <w:r w:rsidRPr="00E97D4C">
              <w:rPr>
                <w:rFonts w:asciiTheme="minorHAnsi" w:hAnsiTheme="minorHAnsi"/>
                <w:sz w:val="20"/>
                <w:szCs w:val="20"/>
              </w:rPr>
              <w:t>Docks</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340,100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8,500</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255,400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6,400</w:t>
            </w:r>
          </w:p>
        </w:tc>
      </w:tr>
      <w:tr w:rsidR="006B7EDD" w:rsidRPr="006B7EDD" w:rsidTr="003746F8">
        <w:tc>
          <w:tcPr>
            <w:cnfStyle w:val="001000000000"/>
            <w:tcW w:w="2042" w:type="dxa"/>
          </w:tcPr>
          <w:p w:rsidR="003746F8" w:rsidRPr="00E97D4C" w:rsidRDefault="003746F8" w:rsidP="00E97D4C">
            <w:pPr>
              <w:pStyle w:val="BodyText"/>
              <w:rPr>
                <w:rFonts w:asciiTheme="minorHAnsi" w:hAnsiTheme="minorHAnsi"/>
                <w:sz w:val="20"/>
                <w:szCs w:val="20"/>
              </w:rPr>
            </w:pPr>
            <w:r w:rsidRPr="00E97D4C">
              <w:rPr>
                <w:rFonts w:asciiTheme="minorHAnsi" w:hAnsiTheme="minorHAnsi"/>
                <w:sz w:val="20"/>
                <w:szCs w:val="20"/>
              </w:rPr>
              <w:t>Defence facilities</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~0</w:t>
            </w:r>
          </w:p>
        </w:tc>
      </w:tr>
      <w:tr w:rsidR="006B7EDD" w:rsidRPr="006B7EDD" w:rsidTr="003746F8">
        <w:tc>
          <w:tcPr>
            <w:cnfStyle w:val="001000000000"/>
            <w:tcW w:w="2042" w:type="dxa"/>
          </w:tcPr>
          <w:p w:rsidR="003746F8" w:rsidRPr="00E97D4C" w:rsidRDefault="003746F8" w:rsidP="00E97D4C">
            <w:pPr>
              <w:pStyle w:val="BodyText"/>
              <w:rPr>
                <w:rFonts w:asciiTheme="minorHAnsi" w:hAnsiTheme="minorHAnsi"/>
                <w:sz w:val="20"/>
                <w:szCs w:val="20"/>
              </w:rPr>
            </w:pPr>
            <w:r w:rsidRPr="00E97D4C">
              <w:rPr>
                <w:rFonts w:asciiTheme="minorHAnsi" w:hAnsiTheme="minorHAnsi"/>
                <w:sz w:val="20"/>
                <w:szCs w:val="20"/>
              </w:rPr>
              <w:t>Petrochem., mining, &amp; other industry</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1,241,300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31,000</w:t>
            </w:r>
          </w:p>
        </w:tc>
        <w:tc>
          <w:tcPr>
            <w:tcW w:w="1913"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932,300</w:t>
            </w:r>
          </w:p>
        </w:tc>
        <w:tc>
          <w:tcPr>
            <w:tcW w:w="1914" w:type="dxa"/>
          </w:tcPr>
          <w:p w:rsidR="003746F8" w:rsidRPr="00E97D4C" w:rsidRDefault="003746F8" w:rsidP="00E97D4C">
            <w:pPr>
              <w:pStyle w:val="BodyText"/>
              <w:cnfStyle w:val="000000000000"/>
              <w:rPr>
                <w:rFonts w:asciiTheme="minorHAnsi" w:hAnsiTheme="minorHAnsi"/>
                <w:sz w:val="20"/>
                <w:szCs w:val="20"/>
              </w:rPr>
            </w:pPr>
            <w:r w:rsidRPr="00E97D4C">
              <w:rPr>
                <w:rFonts w:asciiTheme="minorHAnsi" w:hAnsiTheme="minorHAnsi"/>
                <w:sz w:val="20"/>
                <w:szCs w:val="20"/>
              </w:rPr>
              <w:t>23,300</w:t>
            </w:r>
          </w:p>
        </w:tc>
      </w:tr>
      <w:tr w:rsidR="006B7EDD" w:rsidRPr="006B7EDD" w:rsidTr="003746F8">
        <w:tc>
          <w:tcPr>
            <w:cnfStyle w:val="001000000000"/>
            <w:tcW w:w="2042" w:type="dxa"/>
          </w:tcPr>
          <w:p w:rsidR="003746F8" w:rsidRPr="00E97D4C" w:rsidRDefault="003746F8" w:rsidP="00E97D4C">
            <w:pPr>
              <w:pStyle w:val="BodyText"/>
              <w:rPr>
                <w:rFonts w:asciiTheme="minorHAnsi" w:hAnsiTheme="minorHAnsi"/>
                <w:b/>
                <w:sz w:val="20"/>
                <w:szCs w:val="20"/>
              </w:rPr>
            </w:pPr>
            <w:r w:rsidRPr="00E97D4C">
              <w:rPr>
                <w:rFonts w:asciiTheme="minorHAnsi" w:hAnsiTheme="minorHAnsi"/>
                <w:b/>
                <w:sz w:val="20"/>
                <w:szCs w:val="20"/>
              </w:rPr>
              <w:t>Total</w:t>
            </w:r>
          </w:p>
        </w:tc>
        <w:tc>
          <w:tcPr>
            <w:tcW w:w="1913" w:type="dxa"/>
          </w:tcPr>
          <w:p w:rsidR="003746F8" w:rsidRPr="00E97D4C" w:rsidRDefault="003746F8" w:rsidP="00E97D4C">
            <w:pPr>
              <w:pStyle w:val="BodyText"/>
              <w:cnfStyle w:val="000000000000"/>
              <w:rPr>
                <w:rFonts w:asciiTheme="minorHAnsi" w:hAnsiTheme="minorHAnsi"/>
                <w:b/>
                <w:sz w:val="20"/>
                <w:szCs w:val="20"/>
              </w:rPr>
            </w:pPr>
            <w:r w:rsidRPr="00E97D4C">
              <w:rPr>
                <w:rFonts w:asciiTheme="minorHAnsi" w:hAnsiTheme="minorHAnsi"/>
                <w:b/>
                <w:sz w:val="20"/>
                <w:szCs w:val="20"/>
              </w:rPr>
              <w:t>2,006,400</w:t>
            </w:r>
          </w:p>
        </w:tc>
        <w:tc>
          <w:tcPr>
            <w:tcW w:w="1914" w:type="dxa"/>
          </w:tcPr>
          <w:p w:rsidR="003746F8" w:rsidRPr="00E97D4C" w:rsidRDefault="003746F8" w:rsidP="00E97D4C">
            <w:pPr>
              <w:pStyle w:val="BodyText"/>
              <w:cnfStyle w:val="000000000000"/>
              <w:rPr>
                <w:rFonts w:asciiTheme="minorHAnsi" w:hAnsiTheme="minorHAnsi"/>
                <w:b/>
                <w:sz w:val="20"/>
                <w:szCs w:val="20"/>
              </w:rPr>
            </w:pPr>
            <w:r w:rsidRPr="00E97D4C">
              <w:rPr>
                <w:rFonts w:asciiTheme="minorHAnsi" w:hAnsiTheme="minorHAnsi"/>
                <w:b/>
                <w:sz w:val="20"/>
                <w:szCs w:val="20"/>
              </w:rPr>
              <w:t>50,200</w:t>
            </w:r>
          </w:p>
        </w:tc>
        <w:tc>
          <w:tcPr>
            <w:tcW w:w="1913" w:type="dxa"/>
          </w:tcPr>
          <w:p w:rsidR="003746F8" w:rsidRPr="00E97D4C" w:rsidRDefault="003746F8" w:rsidP="00E97D4C">
            <w:pPr>
              <w:pStyle w:val="BodyText"/>
              <w:cnfStyle w:val="000000000000"/>
              <w:rPr>
                <w:rFonts w:asciiTheme="minorHAnsi" w:hAnsiTheme="minorHAnsi"/>
                <w:b/>
                <w:sz w:val="20"/>
                <w:szCs w:val="20"/>
              </w:rPr>
            </w:pPr>
            <w:r w:rsidRPr="00E97D4C">
              <w:rPr>
                <w:rFonts w:asciiTheme="minorHAnsi" w:hAnsiTheme="minorHAnsi"/>
                <w:b/>
                <w:sz w:val="20"/>
                <w:szCs w:val="20"/>
              </w:rPr>
              <w:t>1,507,000</w:t>
            </w:r>
          </w:p>
        </w:tc>
        <w:tc>
          <w:tcPr>
            <w:tcW w:w="1914" w:type="dxa"/>
          </w:tcPr>
          <w:p w:rsidR="003746F8" w:rsidRPr="00E97D4C" w:rsidRDefault="003746F8" w:rsidP="00E97D4C">
            <w:pPr>
              <w:pStyle w:val="BodyText"/>
              <w:cnfStyle w:val="000000000000"/>
              <w:rPr>
                <w:rFonts w:asciiTheme="minorHAnsi" w:hAnsiTheme="minorHAnsi"/>
                <w:b/>
                <w:sz w:val="20"/>
                <w:szCs w:val="20"/>
              </w:rPr>
            </w:pPr>
            <w:r w:rsidRPr="00E97D4C">
              <w:rPr>
                <w:rFonts w:asciiTheme="minorHAnsi" w:hAnsiTheme="minorHAnsi"/>
                <w:b/>
                <w:sz w:val="20"/>
                <w:szCs w:val="20"/>
              </w:rPr>
              <w:t>37,700</w:t>
            </w:r>
          </w:p>
        </w:tc>
      </w:tr>
    </w:tbl>
    <w:p w:rsidR="003746F8" w:rsidRPr="00E97D4C" w:rsidRDefault="003746F8" w:rsidP="00E97D4C">
      <w:pPr>
        <w:pStyle w:val="BodyText"/>
      </w:pPr>
      <w:r w:rsidRPr="00E97D4C">
        <w:rPr>
          <w:i/>
        </w:rPr>
        <w:t>(Source: PFOS information summary supplied confidentially by the Department of the Environment)</w:t>
      </w:r>
    </w:p>
    <w:p w:rsidR="003746F8" w:rsidRPr="00E97D4C" w:rsidRDefault="003746F8" w:rsidP="00E97D4C"/>
    <w:p w:rsidR="003746F8" w:rsidRPr="00E97D4C" w:rsidRDefault="003746F8" w:rsidP="00E97D4C">
      <w:pPr>
        <w:pStyle w:val="BodyText"/>
      </w:pPr>
      <w:r w:rsidRPr="00E97D4C">
        <w:t>Like POP-BDEs and HBCD, another waste consideration for PFOS is biosolids.</w:t>
      </w:r>
      <w:r w:rsidR="00F954D8" w:rsidRPr="00E97D4C">
        <w:t xml:space="preserve"> </w:t>
      </w:r>
      <w:r w:rsidRPr="00E97D4C">
        <w:t xml:space="preserve">Figures recently presented to a biosolids conference in the USA </w:t>
      </w:r>
      <w:r w:rsidRPr="00E97D4C">
        <w:rPr>
          <w:rStyle w:val="FootnoteReference"/>
        </w:rPr>
        <w:footnoteReference w:id="48"/>
      </w:r>
      <w:r w:rsidRPr="00E97D4C">
        <w:t xml:space="preserve"> show levels of PFOS in biosolids up to 5.4 mg/kg.</w:t>
      </w:r>
      <w:r w:rsidR="00F954D8" w:rsidRPr="00E97D4C">
        <w:t xml:space="preserve"> </w:t>
      </w:r>
      <w:r w:rsidRPr="00E97D4C">
        <w:t>The author understands that some preliminary unpublished data indicates levels in biosolids in Australia are lower than this by an order of magnitude.</w:t>
      </w:r>
    </w:p>
    <w:p w:rsidR="003746F8" w:rsidRPr="00E97D4C" w:rsidRDefault="003746F8" w:rsidP="00E97D4C">
      <w:pPr>
        <w:pStyle w:val="BodyText"/>
      </w:pPr>
    </w:p>
    <w:p w:rsidR="003746F8" w:rsidRPr="00E97D4C" w:rsidRDefault="003746F8" w:rsidP="00E97D4C">
      <w:pPr>
        <w:pStyle w:val="BodyText"/>
      </w:pPr>
      <w:r w:rsidRPr="00E97D4C">
        <w:t>ESWI (2011)</w:t>
      </w:r>
      <w:r w:rsidRPr="00E97D4C">
        <w:rPr>
          <w:rStyle w:val="FootnoteReference"/>
        </w:rPr>
        <w:footnoteReference w:id="49"/>
      </w:r>
      <w:r w:rsidRPr="00E97D4C">
        <w:t xml:space="preserve"> have recommended lower PFOS LPCLs (than POP-BDEs) for consideration: 1mg/kg (the lowest of three options discussed), but with specific reference made to 0.5mg/kg as a </w:t>
      </w:r>
      <w:r w:rsidRPr="00E97D4C">
        <w:rPr>
          <w:u w:val="single"/>
        </w:rPr>
        <w:t>biosolids-only</w:t>
      </w:r>
      <w:r w:rsidRPr="00E97D4C">
        <w:t xml:space="preserve"> level.</w:t>
      </w:r>
    </w:p>
    <w:p w:rsidR="003746F8" w:rsidRPr="00E97D4C" w:rsidRDefault="003746F8" w:rsidP="00E97D4C">
      <w:pPr>
        <w:pStyle w:val="BodyText"/>
      </w:pPr>
    </w:p>
    <w:p w:rsidR="003746F8" w:rsidRPr="00E97D4C" w:rsidRDefault="003746F8" w:rsidP="00E97D4C">
      <w:pPr>
        <w:pStyle w:val="BodyText"/>
      </w:pPr>
      <w:r w:rsidRPr="00E97D4C">
        <w:t>ESWI 2011</w:t>
      </w:r>
      <w:r w:rsidRPr="00E97D4C">
        <w:rPr>
          <w:vertAlign w:val="superscript"/>
        </w:rPr>
        <w:t>13</w:t>
      </w:r>
      <w:r w:rsidRPr="00E97D4C">
        <w:t xml:space="preserve"> states of PFOS: </w:t>
      </w:r>
    </w:p>
    <w:p w:rsidR="003746F8" w:rsidRPr="00E97D4C" w:rsidRDefault="003746F8" w:rsidP="00E97D4C">
      <w:pPr>
        <w:spacing w:before="120" w:line="240" w:lineRule="auto"/>
        <w:ind w:left="567" w:right="454"/>
        <w:rPr>
          <w:rFonts w:ascii="Times New Roman" w:hAnsi="Times New Roman" w:cs="Times New Roman"/>
          <w:i/>
          <w:color w:val="auto"/>
          <w:sz w:val="24"/>
          <w:szCs w:val="24"/>
        </w:rPr>
      </w:pPr>
      <w:r w:rsidRPr="00E97D4C">
        <w:rPr>
          <w:rFonts w:cs="Times New Roman"/>
          <w:i/>
          <w:color w:val="auto"/>
          <w:sz w:val="22"/>
        </w:rPr>
        <w:t>“It is oleophobic as well as hydrophobic and can therefore be used as a repellent for water, soil and dirt. The PFOS salt is more hydrophilic and disperses more easily in the water environment than the non-dissociated acid and sulfonamides, which are less hydrophilic and are more volatile and will be able to be transported long-range by air. “</w:t>
      </w:r>
    </w:p>
    <w:p w:rsidR="001E3AB5" w:rsidRPr="00E97D4C" w:rsidRDefault="001E3AB5" w:rsidP="00E97D4C">
      <w:pPr>
        <w:pStyle w:val="BodyText"/>
      </w:pPr>
    </w:p>
    <w:p w:rsidR="003746F8" w:rsidRPr="00E97D4C" w:rsidRDefault="003746F8" w:rsidP="00E97D4C">
      <w:pPr>
        <w:pStyle w:val="BodyText"/>
      </w:pPr>
      <w:r w:rsidRPr="00E97D4C">
        <w:t xml:space="preserve">This means that unlike the POP-BDEs and HBCD, PFOS </w:t>
      </w:r>
      <w:r w:rsidR="001E3AB5" w:rsidRPr="00E97D4C">
        <w:t>(</w:t>
      </w:r>
      <w:r w:rsidRPr="00E97D4C">
        <w:t>and</w:t>
      </w:r>
      <w:r w:rsidR="001E3AB5" w:rsidRPr="00E97D4C">
        <w:t>,</w:t>
      </w:r>
      <w:r w:rsidRPr="00E97D4C">
        <w:t xml:space="preserve"> in particular</w:t>
      </w:r>
      <w:r w:rsidR="001E3AB5" w:rsidRPr="00E97D4C">
        <w:t>,</w:t>
      </w:r>
      <w:r w:rsidRPr="00E97D4C">
        <w:t xml:space="preserve"> its salts</w:t>
      </w:r>
      <w:r w:rsidR="001E3AB5" w:rsidRPr="00E97D4C">
        <w:t>)</w:t>
      </w:r>
      <w:r w:rsidRPr="00E97D4C">
        <w:t xml:space="preserve"> could also be present in significant quantities in wastewaters.</w:t>
      </w:r>
    </w:p>
    <w:p w:rsidR="002F3000" w:rsidRPr="00E97D4C" w:rsidRDefault="006D07F5" w:rsidP="00E97D4C">
      <w:pPr>
        <w:pStyle w:val="BodyText"/>
      </w:pPr>
      <w:r w:rsidRPr="00E97D4C">
        <w:lastRenderedPageBreak/>
        <w:fldChar w:fldCharType="begin"/>
      </w:r>
      <w:r w:rsidR="00223B25" w:rsidRPr="00E97D4C">
        <w:instrText xml:space="preserve"> REF _Ref408329412 \h </w:instrText>
      </w:r>
      <w:r w:rsidR="007C6EF7" w:rsidRPr="00E97D4C">
        <w:instrText xml:space="preserve"> \* MERGEFORMAT </w:instrText>
      </w:r>
      <w:r w:rsidRPr="00E97D4C">
        <w:fldChar w:fldCharType="separate"/>
      </w:r>
    </w:p>
    <w:p w:rsidR="003746F8" w:rsidRPr="00E97D4C" w:rsidRDefault="002F3000" w:rsidP="00E97D4C">
      <w:pPr>
        <w:pStyle w:val="BodyText"/>
      </w:pPr>
      <w:r w:rsidRPr="00E97D4C">
        <w:t xml:space="preserve">Table </w:t>
      </w:r>
      <w:r>
        <w:rPr>
          <w:noProof/>
        </w:rPr>
        <w:t>75</w:t>
      </w:r>
      <w:r w:rsidR="006D07F5" w:rsidRPr="00E97D4C">
        <w:fldChar w:fldCharType="end"/>
      </w:r>
      <w:r w:rsidR="00223B25" w:rsidRPr="00E97D4C">
        <w:t xml:space="preserve"> </w:t>
      </w:r>
      <w:r w:rsidR="003746F8" w:rsidRPr="00E97D4C">
        <w:t>looks at the options for consideration as possible PFOS wastes for the purposes of arisings projection.</w:t>
      </w:r>
    </w:p>
    <w:p w:rsidR="003746F8" w:rsidRPr="00E97D4C" w:rsidRDefault="003746F8" w:rsidP="00E97D4C">
      <w:pPr>
        <w:pStyle w:val="BodyText"/>
      </w:pPr>
    </w:p>
    <w:p w:rsidR="003746F8" w:rsidRPr="00E97D4C" w:rsidRDefault="003746F8" w:rsidP="00E97D4C">
      <w:pPr>
        <w:pStyle w:val="BodyText"/>
      </w:pPr>
      <w:r w:rsidRPr="00E97D4C">
        <w:t>Based on discussion in the literature around possible LPCLs for PFOS</w:t>
      </w:r>
      <w:r w:rsidRPr="00E97D4C">
        <w:rPr>
          <w:rStyle w:val="FootnoteReference"/>
        </w:rPr>
        <w:footnoteReference w:id="50"/>
      </w:r>
      <w:r w:rsidRPr="00E97D4C">
        <w:t>, the following levels will be assumed for framing scenarios:</w:t>
      </w:r>
    </w:p>
    <w:p w:rsidR="003746F8" w:rsidRPr="00E97D4C" w:rsidRDefault="003746F8" w:rsidP="00E97D4C">
      <w:pPr>
        <w:pStyle w:val="BodyText"/>
      </w:pP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Assumed waste generation scenarios for PFOS are:</w:t>
      </w: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Low:</w:t>
      </w:r>
      <w:r w:rsidRPr="00E97D4C">
        <w:rPr>
          <w:rFonts w:asciiTheme="minorHAnsi" w:eastAsiaTheme="minorHAnsi" w:hAnsiTheme="minorHAnsi" w:cstheme="minorBidi"/>
          <w:b/>
          <w:color w:val="auto"/>
          <w:sz w:val="22"/>
        </w:rPr>
        <w:tab/>
        <w:t>100mg/kg LPCL</w:t>
      </w: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Best:</w:t>
      </w:r>
      <w:r w:rsidRPr="00E97D4C">
        <w:rPr>
          <w:rFonts w:asciiTheme="minorHAnsi" w:eastAsiaTheme="minorHAnsi" w:hAnsiTheme="minorHAnsi" w:cstheme="minorBidi"/>
          <w:b/>
          <w:color w:val="auto"/>
          <w:sz w:val="22"/>
        </w:rPr>
        <w:tab/>
        <w:t>10mg/kg LPCL</w:t>
      </w:r>
    </w:p>
    <w:p w:rsidR="003746F8" w:rsidRPr="00E97D4C" w:rsidRDefault="003746F8" w:rsidP="00E97D4C">
      <w:pPr>
        <w:pBdr>
          <w:top w:val="single" w:sz="4" w:space="1" w:color="auto"/>
          <w:left w:val="single" w:sz="4" w:space="4" w:color="auto"/>
          <w:bottom w:val="single" w:sz="4" w:space="1" w:color="auto"/>
          <w:right w:val="single" w:sz="4" w:space="4" w:color="auto"/>
        </w:pBdr>
        <w:spacing w:after="160" w:line="259" w:lineRule="auto"/>
        <w:rPr>
          <w:rFonts w:asciiTheme="minorHAnsi" w:eastAsiaTheme="minorHAnsi" w:hAnsiTheme="minorHAnsi" w:cstheme="minorBidi"/>
          <w:b/>
          <w:color w:val="auto"/>
          <w:sz w:val="22"/>
        </w:rPr>
      </w:pPr>
      <w:r w:rsidRPr="00E97D4C">
        <w:rPr>
          <w:rFonts w:asciiTheme="minorHAnsi" w:eastAsiaTheme="minorHAnsi" w:hAnsiTheme="minorHAnsi" w:cstheme="minorBidi"/>
          <w:b/>
          <w:color w:val="auto"/>
          <w:sz w:val="22"/>
        </w:rPr>
        <w:t>High:</w:t>
      </w:r>
      <w:r w:rsidRPr="00E97D4C">
        <w:rPr>
          <w:rFonts w:asciiTheme="minorHAnsi" w:eastAsiaTheme="minorHAnsi" w:hAnsiTheme="minorHAnsi" w:cstheme="minorBidi"/>
          <w:b/>
          <w:color w:val="auto"/>
          <w:sz w:val="22"/>
        </w:rPr>
        <w:tab/>
        <w:t>1mg/kg LPCL</w:t>
      </w:r>
    </w:p>
    <w:p w:rsidR="00223B25" w:rsidRPr="00E97D4C" w:rsidRDefault="00223B25" w:rsidP="00E97D4C">
      <w:pPr>
        <w:pStyle w:val="BodyText"/>
      </w:pPr>
      <w:bookmarkStart w:id="555" w:name="_Ref408329412"/>
    </w:p>
    <w:p w:rsidR="003746F8" w:rsidRPr="00E97D4C" w:rsidRDefault="003746F8" w:rsidP="00E97D4C">
      <w:pPr>
        <w:pStyle w:val="Figures"/>
      </w:pPr>
      <w:bookmarkStart w:id="556" w:name="_Toc425849360"/>
      <w:r w:rsidRPr="00E97D4C">
        <w:t xml:space="preserve">Table </w:t>
      </w:r>
      <w:r w:rsidR="006D07F5" w:rsidRPr="00E97D4C">
        <w:fldChar w:fldCharType="begin"/>
      </w:r>
      <w:r w:rsidR="00BA5D9E" w:rsidRPr="00E97D4C">
        <w:instrText xml:space="preserve"> SEQ Table \* ARABIC </w:instrText>
      </w:r>
      <w:r w:rsidR="006D07F5" w:rsidRPr="00E97D4C">
        <w:rPr>
          <w:noProof/>
        </w:rPr>
        <w:fldChar w:fldCharType="separate"/>
      </w:r>
      <w:r w:rsidR="002F3000">
        <w:rPr>
          <w:noProof/>
        </w:rPr>
        <w:t>75</w:t>
      </w:r>
      <w:r w:rsidR="006D07F5" w:rsidRPr="00E97D4C">
        <w:rPr>
          <w:noProof/>
        </w:rPr>
        <w:fldChar w:fldCharType="end"/>
      </w:r>
      <w:bookmarkEnd w:id="555"/>
      <w:r w:rsidRPr="00E97D4C">
        <w:t xml:space="preserve">: </w:t>
      </w:r>
      <w:r w:rsidR="00223B25" w:rsidRPr="00E97D4C">
        <w:tab/>
        <w:t>Potential PFOS w</w:t>
      </w:r>
      <w:r w:rsidRPr="00E97D4C">
        <w:t>astes</w:t>
      </w:r>
      <w:bookmarkEnd w:id="556"/>
    </w:p>
    <w:tbl>
      <w:tblPr>
        <w:tblStyle w:val="BETable1"/>
        <w:tblW w:w="10071" w:type="dxa"/>
        <w:tblInd w:w="0" w:type="dxa"/>
        <w:tblLayout w:type="fixed"/>
        <w:tblLook w:val="04A0"/>
      </w:tblPr>
      <w:tblGrid>
        <w:gridCol w:w="2184"/>
        <w:gridCol w:w="2126"/>
        <w:gridCol w:w="5761"/>
      </w:tblGrid>
      <w:tr w:rsidR="006B7EDD" w:rsidRPr="006B7EDD" w:rsidTr="003746F8">
        <w:trPr>
          <w:cnfStyle w:val="100000000000"/>
          <w:trHeight w:val="300"/>
        </w:trPr>
        <w:tc>
          <w:tcPr>
            <w:cnfStyle w:val="001000000000"/>
            <w:tcW w:w="2184" w:type="dxa"/>
          </w:tcPr>
          <w:p w:rsidR="003746F8" w:rsidRPr="00E97D4C" w:rsidRDefault="003746F8" w:rsidP="00E97D4C">
            <w:pPr>
              <w:pStyle w:val="BodyText"/>
              <w:rPr>
                <w:rFonts w:asciiTheme="minorHAnsi" w:hAnsiTheme="minorHAnsi"/>
                <w:sz w:val="20"/>
                <w:szCs w:val="20"/>
              </w:rPr>
            </w:pPr>
            <w:r w:rsidRPr="00E97D4C">
              <w:rPr>
                <w:rFonts w:asciiTheme="minorHAnsi" w:hAnsiTheme="minorHAnsi"/>
                <w:sz w:val="20"/>
                <w:szCs w:val="20"/>
              </w:rPr>
              <w:t>Potential PFOS Waste</w:t>
            </w:r>
          </w:p>
        </w:tc>
        <w:tc>
          <w:tcPr>
            <w:tcW w:w="2126" w:type="dxa"/>
          </w:tcPr>
          <w:p w:rsidR="003746F8" w:rsidRPr="00E97D4C" w:rsidRDefault="003746F8" w:rsidP="00E97D4C">
            <w:pPr>
              <w:pStyle w:val="BodyText"/>
              <w:cnfStyle w:val="100000000000"/>
              <w:rPr>
                <w:rFonts w:asciiTheme="minorHAnsi" w:hAnsiTheme="minorHAnsi"/>
                <w:sz w:val="20"/>
                <w:szCs w:val="20"/>
              </w:rPr>
            </w:pPr>
            <w:r w:rsidRPr="00E97D4C">
              <w:rPr>
                <w:rFonts w:asciiTheme="minorHAnsi" w:hAnsiTheme="minorHAnsi"/>
                <w:sz w:val="20"/>
                <w:szCs w:val="20"/>
              </w:rPr>
              <w:t>Waste generation site</w:t>
            </w:r>
          </w:p>
        </w:tc>
        <w:tc>
          <w:tcPr>
            <w:tcW w:w="5761" w:type="dxa"/>
          </w:tcPr>
          <w:p w:rsidR="003746F8" w:rsidRPr="00E97D4C" w:rsidRDefault="003746F8" w:rsidP="00E97D4C">
            <w:pPr>
              <w:pStyle w:val="BodyText"/>
              <w:cnfStyle w:val="100000000000"/>
              <w:rPr>
                <w:rFonts w:asciiTheme="minorHAnsi" w:hAnsiTheme="minorHAnsi"/>
                <w:sz w:val="20"/>
                <w:szCs w:val="20"/>
              </w:rPr>
            </w:pPr>
            <w:r w:rsidRPr="00E97D4C">
              <w:rPr>
                <w:rFonts w:asciiTheme="minorHAnsi" w:hAnsiTheme="minorHAnsi"/>
                <w:sz w:val="20"/>
                <w:szCs w:val="20"/>
              </w:rPr>
              <w:t>PFOS Waste stream?</w:t>
            </w:r>
          </w:p>
        </w:tc>
      </w:tr>
      <w:tr w:rsidR="006B7EDD" w:rsidRPr="006B7EDD" w:rsidTr="003746F8">
        <w:trPr>
          <w:trHeight w:val="344"/>
        </w:trPr>
        <w:tc>
          <w:tcPr>
            <w:cnfStyle w:val="001000000000"/>
            <w:tcW w:w="2184" w:type="dxa"/>
            <w:shd w:val="clear" w:color="auto" w:fill="CCCCFF" w:themeFill="accent1" w:themeFillTint="33"/>
          </w:tcPr>
          <w:p w:rsidR="003746F8" w:rsidRPr="00E97D4C" w:rsidRDefault="003746F8" w:rsidP="00E97D4C">
            <w:pPr>
              <w:pStyle w:val="ListParagraph"/>
              <w:numPr>
                <w:ilvl w:val="0"/>
                <w:numId w:val="14"/>
              </w:numPr>
              <w:spacing w:line="240" w:lineRule="auto"/>
              <w:ind w:left="426"/>
              <w:rPr>
                <w:rFonts w:cs="Arial"/>
                <w:color w:val="000000"/>
                <w:szCs w:val="20"/>
              </w:rPr>
            </w:pPr>
            <w:r w:rsidRPr="00E97D4C">
              <w:rPr>
                <w:rFonts w:cs="Arial"/>
                <w:color w:val="000000"/>
                <w:szCs w:val="20"/>
              </w:rPr>
              <w:t>AFFF stocks planned for thermal destruction</w:t>
            </w:r>
          </w:p>
        </w:tc>
        <w:tc>
          <w:tcPr>
            <w:tcW w:w="2126" w:type="dxa"/>
            <w:shd w:val="clear" w:color="auto" w:fill="CCCCFF" w:themeFill="accent1" w:themeFillTint="33"/>
          </w:tcPr>
          <w:p w:rsidR="003746F8" w:rsidRPr="00E97D4C" w:rsidRDefault="003746F8" w:rsidP="00E97D4C">
            <w:pPr>
              <w:cnfStyle w:val="000000000000"/>
              <w:rPr>
                <w:rFonts w:asciiTheme="minorHAnsi" w:hAnsiTheme="minorHAnsi" w:cs="Arial"/>
                <w:color w:val="auto"/>
                <w:szCs w:val="20"/>
              </w:rPr>
            </w:pPr>
            <w:r w:rsidRPr="00E97D4C">
              <w:rPr>
                <w:rFonts w:asciiTheme="minorHAnsi" w:hAnsiTheme="minorHAnsi" w:cs="Arial"/>
                <w:color w:val="auto"/>
                <w:szCs w:val="20"/>
              </w:rPr>
              <w:t>Airports, docks, other industrial facilities</w:t>
            </w:r>
          </w:p>
        </w:tc>
        <w:tc>
          <w:tcPr>
            <w:tcW w:w="5761" w:type="dxa"/>
            <w:shd w:val="clear" w:color="auto" w:fill="CCCCFF" w:themeFill="accent1" w:themeFillTint="33"/>
          </w:tcPr>
          <w:p w:rsidR="003746F8" w:rsidRPr="00E97D4C" w:rsidRDefault="003746F8" w:rsidP="00E97D4C">
            <w:pPr>
              <w:cnfStyle w:val="000000000000"/>
              <w:rPr>
                <w:rFonts w:asciiTheme="minorHAnsi" w:hAnsiTheme="minorHAnsi" w:cs="Arial"/>
                <w:color w:val="auto"/>
                <w:szCs w:val="20"/>
              </w:rPr>
            </w:pPr>
            <w:r w:rsidRPr="00E97D4C">
              <w:rPr>
                <w:rFonts w:asciiTheme="minorHAnsi" w:hAnsiTheme="minorHAnsi" w:cs="Arial"/>
                <w:color w:val="auto"/>
                <w:szCs w:val="20"/>
              </w:rPr>
              <w:t>Some AFFF concentrate stocks are currently being thermally destroyed.</w:t>
            </w:r>
            <w:r w:rsidR="00F954D8" w:rsidRPr="00E97D4C">
              <w:rPr>
                <w:rFonts w:asciiTheme="minorHAnsi" w:hAnsiTheme="minorHAnsi" w:cs="Arial"/>
                <w:color w:val="auto"/>
                <w:szCs w:val="20"/>
              </w:rPr>
              <w:t xml:space="preserve"> </w:t>
            </w:r>
            <w:r w:rsidRPr="00E97D4C">
              <w:rPr>
                <w:rFonts w:asciiTheme="minorHAnsi" w:hAnsiTheme="minorHAnsi" w:cs="Arial"/>
                <w:b/>
                <w:i/>
                <w:color w:val="auto"/>
                <w:szCs w:val="20"/>
              </w:rPr>
              <w:t>Consequently this will be considered as a POP-BDE waste stream, noting that its practical relevance will be limited</w:t>
            </w:r>
            <w:r w:rsidRPr="00E97D4C">
              <w:rPr>
                <w:rFonts w:asciiTheme="minorHAnsi" w:hAnsiTheme="minorHAnsi" w:cs="Arial"/>
                <w:color w:val="auto"/>
                <w:szCs w:val="20"/>
              </w:rPr>
              <w:t>.</w:t>
            </w:r>
          </w:p>
        </w:tc>
      </w:tr>
      <w:tr w:rsidR="006B7EDD" w:rsidRPr="006B7EDD" w:rsidTr="003746F8">
        <w:trPr>
          <w:trHeight w:val="344"/>
        </w:trPr>
        <w:tc>
          <w:tcPr>
            <w:cnfStyle w:val="001000000000"/>
            <w:tcW w:w="2184" w:type="dxa"/>
            <w:shd w:val="clear" w:color="auto" w:fill="CCCCFF" w:themeFill="accent1" w:themeFillTint="33"/>
          </w:tcPr>
          <w:p w:rsidR="003746F8" w:rsidRPr="00E97D4C" w:rsidRDefault="003746F8" w:rsidP="00E97D4C">
            <w:pPr>
              <w:pStyle w:val="ListParagraph"/>
              <w:numPr>
                <w:ilvl w:val="0"/>
                <w:numId w:val="14"/>
              </w:numPr>
              <w:spacing w:line="240" w:lineRule="auto"/>
              <w:ind w:left="426"/>
              <w:rPr>
                <w:rFonts w:cs="Arial"/>
                <w:color w:val="000000"/>
                <w:szCs w:val="20"/>
              </w:rPr>
            </w:pPr>
            <w:r w:rsidRPr="00E97D4C">
              <w:rPr>
                <w:rFonts w:cs="Arial"/>
                <w:color w:val="000000"/>
                <w:szCs w:val="20"/>
              </w:rPr>
              <w:t>AFFF-containing firewaters and debris</w:t>
            </w:r>
          </w:p>
        </w:tc>
        <w:tc>
          <w:tcPr>
            <w:tcW w:w="2126" w:type="dxa"/>
            <w:shd w:val="clear" w:color="auto" w:fill="CCCCFF" w:themeFill="accent1" w:themeFillTint="33"/>
          </w:tcPr>
          <w:p w:rsidR="003746F8" w:rsidRPr="00E97D4C" w:rsidRDefault="003746F8" w:rsidP="00E97D4C">
            <w:pPr>
              <w:cnfStyle w:val="000000000000"/>
              <w:rPr>
                <w:rFonts w:asciiTheme="minorHAnsi" w:hAnsiTheme="minorHAnsi" w:cs="Arial"/>
                <w:color w:val="auto"/>
                <w:szCs w:val="20"/>
              </w:rPr>
            </w:pPr>
            <w:r w:rsidRPr="00E97D4C">
              <w:rPr>
                <w:rFonts w:asciiTheme="minorHAnsi" w:hAnsiTheme="minorHAnsi" w:cs="Arial"/>
                <w:color w:val="auto"/>
                <w:szCs w:val="20"/>
              </w:rPr>
              <w:t>At and downstream of a fire fighting site</w:t>
            </w:r>
          </w:p>
        </w:tc>
        <w:tc>
          <w:tcPr>
            <w:tcW w:w="5761" w:type="dxa"/>
            <w:shd w:val="clear" w:color="auto" w:fill="CCCCFF" w:themeFill="accent1" w:themeFillTint="33"/>
          </w:tcPr>
          <w:p w:rsidR="003746F8" w:rsidRPr="00E97D4C" w:rsidRDefault="003746F8" w:rsidP="00E97D4C">
            <w:pPr>
              <w:cnfStyle w:val="000000000000"/>
              <w:rPr>
                <w:rFonts w:asciiTheme="minorHAnsi" w:hAnsiTheme="minorHAnsi" w:cs="Arial"/>
                <w:color w:val="auto"/>
                <w:szCs w:val="20"/>
              </w:rPr>
            </w:pPr>
            <w:r w:rsidRPr="00E97D4C">
              <w:rPr>
                <w:rFonts w:asciiTheme="minorHAnsi" w:hAnsiTheme="minorHAnsi" w:cs="Arial"/>
                <w:color w:val="auto"/>
                <w:szCs w:val="20"/>
              </w:rPr>
              <w:t>The volumes of firewater and debris from firefighting scenes annually could be very high, and at 2.5% PFOS in the concentrates it is possible that diluted fire waters could be above yet to be set LPCLs.</w:t>
            </w:r>
            <w:r w:rsidR="00F954D8" w:rsidRPr="00E97D4C">
              <w:rPr>
                <w:rFonts w:asciiTheme="minorHAnsi" w:hAnsiTheme="minorHAnsi" w:cs="Arial"/>
                <w:color w:val="auto"/>
                <w:szCs w:val="20"/>
              </w:rPr>
              <w:t xml:space="preserve"> </w:t>
            </w:r>
            <w:r w:rsidRPr="00E97D4C">
              <w:rPr>
                <w:rFonts w:asciiTheme="minorHAnsi" w:hAnsiTheme="minorHAnsi" w:cs="Arial"/>
                <w:color w:val="auto"/>
                <w:szCs w:val="20"/>
              </w:rPr>
              <w:t xml:space="preserve">While fire waters and debris are tracked as hazardous </w:t>
            </w:r>
            <w:proofErr w:type="gramStart"/>
            <w:r w:rsidRPr="00E97D4C">
              <w:rPr>
                <w:rFonts w:asciiTheme="minorHAnsi" w:hAnsiTheme="minorHAnsi" w:cs="Arial"/>
                <w:color w:val="auto"/>
                <w:szCs w:val="20"/>
              </w:rPr>
              <w:t>waste presently, the volumes reported suggest</w:t>
            </w:r>
            <w:proofErr w:type="gramEnd"/>
            <w:r w:rsidRPr="00E97D4C">
              <w:rPr>
                <w:rFonts w:asciiTheme="minorHAnsi" w:hAnsiTheme="minorHAnsi" w:cs="Arial"/>
                <w:color w:val="auto"/>
                <w:szCs w:val="20"/>
              </w:rPr>
              <w:t xml:space="preserve"> it is has not been a compliance priority in the past.</w:t>
            </w:r>
            <w:r w:rsidR="00F954D8" w:rsidRPr="00E97D4C">
              <w:rPr>
                <w:rFonts w:asciiTheme="minorHAnsi" w:hAnsiTheme="minorHAnsi" w:cs="Arial"/>
                <w:color w:val="auto"/>
                <w:szCs w:val="20"/>
              </w:rPr>
              <w:t xml:space="preserve"> </w:t>
            </w:r>
            <w:r w:rsidRPr="00E97D4C">
              <w:rPr>
                <w:rFonts w:asciiTheme="minorHAnsi" w:hAnsiTheme="minorHAnsi" w:cs="Arial"/>
                <w:color w:val="auto"/>
                <w:szCs w:val="20"/>
              </w:rPr>
              <w:t>Also, fire waters are likely to be uncontained at the scene, resulting in uncaptured run-off to stormwater and directly into the environment.</w:t>
            </w:r>
            <w:r w:rsidR="00F954D8" w:rsidRPr="00E97D4C">
              <w:rPr>
                <w:rFonts w:asciiTheme="minorHAnsi" w:hAnsiTheme="minorHAnsi" w:cs="Arial"/>
                <w:color w:val="auto"/>
                <w:szCs w:val="20"/>
              </w:rPr>
              <w:t xml:space="preserve"> </w:t>
            </w:r>
            <w:r w:rsidRPr="00E97D4C">
              <w:rPr>
                <w:rFonts w:asciiTheme="minorHAnsi" w:hAnsiTheme="minorHAnsi" w:cs="Arial"/>
                <w:color w:val="auto"/>
                <w:szCs w:val="20"/>
              </w:rPr>
              <w:t>Those quantities that run off to sewer will ultimately be reflected primarily in biosolids concentrations.</w:t>
            </w:r>
            <w:r w:rsidR="00F954D8" w:rsidRPr="00E97D4C">
              <w:rPr>
                <w:rFonts w:asciiTheme="minorHAnsi" w:hAnsiTheme="minorHAnsi" w:cs="Arial"/>
                <w:color w:val="auto"/>
                <w:szCs w:val="20"/>
              </w:rPr>
              <w:t xml:space="preserve"> </w:t>
            </w:r>
            <w:r w:rsidRPr="00E97D4C">
              <w:rPr>
                <w:rFonts w:asciiTheme="minorHAnsi" w:hAnsiTheme="minorHAnsi" w:cs="Arial"/>
                <w:b/>
                <w:i/>
                <w:color w:val="auto"/>
                <w:szCs w:val="20"/>
              </w:rPr>
              <w:t>While there is difficulty in estimating fire water quantities, and they may directly entering waste infrastructure at present, this will be indirectly considered as a PFOS waste stream</w:t>
            </w:r>
            <w:r w:rsidRPr="00E97D4C">
              <w:rPr>
                <w:rFonts w:asciiTheme="minorHAnsi" w:hAnsiTheme="minorHAnsi" w:cs="Arial"/>
                <w:color w:val="auto"/>
                <w:szCs w:val="20"/>
              </w:rPr>
              <w:t>.</w:t>
            </w:r>
          </w:p>
        </w:tc>
      </w:tr>
      <w:tr w:rsidR="006B7EDD" w:rsidRPr="006B7EDD" w:rsidTr="003746F8">
        <w:trPr>
          <w:trHeight w:val="344"/>
        </w:trPr>
        <w:tc>
          <w:tcPr>
            <w:cnfStyle w:val="001000000000"/>
            <w:tcW w:w="2184" w:type="dxa"/>
          </w:tcPr>
          <w:p w:rsidR="003746F8" w:rsidRPr="00E97D4C" w:rsidRDefault="003746F8" w:rsidP="00E97D4C">
            <w:pPr>
              <w:pStyle w:val="ListParagraph"/>
              <w:numPr>
                <w:ilvl w:val="0"/>
                <w:numId w:val="14"/>
              </w:numPr>
              <w:spacing w:line="240" w:lineRule="auto"/>
              <w:ind w:left="426"/>
              <w:rPr>
                <w:rFonts w:cs="Arial"/>
                <w:color w:val="000000"/>
                <w:szCs w:val="20"/>
              </w:rPr>
            </w:pPr>
            <w:r w:rsidRPr="00E97D4C">
              <w:rPr>
                <w:rFonts w:cs="Arial"/>
                <w:color w:val="000000"/>
                <w:szCs w:val="20"/>
              </w:rPr>
              <w:t>Industrial mist dispersant waste</w:t>
            </w:r>
          </w:p>
        </w:tc>
        <w:tc>
          <w:tcPr>
            <w:tcW w:w="2126" w:type="dxa"/>
          </w:tcPr>
          <w:p w:rsidR="003746F8" w:rsidRPr="00E97D4C" w:rsidRDefault="003746F8" w:rsidP="00E97D4C">
            <w:pPr>
              <w:cnfStyle w:val="000000000000"/>
              <w:rPr>
                <w:rFonts w:asciiTheme="minorHAnsi" w:hAnsiTheme="minorHAnsi" w:cs="Arial"/>
                <w:color w:val="auto"/>
                <w:szCs w:val="20"/>
              </w:rPr>
            </w:pPr>
            <w:r w:rsidRPr="00E97D4C">
              <w:rPr>
                <w:rFonts w:asciiTheme="minorHAnsi" w:hAnsiTheme="minorHAnsi" w:cs="Arial"/>
                <w:color w:val="auto"/>
                <w:szCs w:val="20"/>
              </w:rPr>
              <w:t>Industrial facilities conducting chrome plating and plastics etching</w:t>
            </w:r>
          </w:p>
        </w:tc>
        <w:tc>
          <w:tcPr>
            <w:tcW w:w="5761" w:type="dxa"/>
          </w:tcPr>
          <w:p w:rsidR="003746F8" w:rsidRPr="00E97D4C" w:rsidRDefault="003746F8" w:rsidP="00E97D4C">
            <w:pPr>
              <w:cnfStyle w:val="000000000000"/>
              <w:rPr>
                <w:rFonts w:asciiTheme="minorHAnsi" w:hAnsiTheme="minorHAnsi" w:cs="Arial"/>
                <w:color w:val="auto"/>
                <w:szCs w:val="20"/>
              </w:rPr>
            </w:pPr>
            <w:r w:rsidRPr="00E97D4C">
              <w:rPr>
                <w:rFonts w:asciiTheme="minorHAnsi" w:hAnsiTheme="minorHAnsi" w:cs="Arial"/>
                <w:color w:val="auto"/>
                <w:szCs w:val="20"/>
              </w:rPr>
              <w:t xml:space="preserve">Since these uses make up &lt;5% of PFOS imports used in Australia, </w:t>
            </w:r>
            <w:r w:rsidRPr="00E97D4C">
              <w:rPr>
                <w:rFonts w:asciiTheme="minorHAnsi" w:hAnsiTheme="minorHAnsi" w:cs="Arial"/>
                <w:b/>
                <w:i/>
                <w:color w:val="auto"/>
                <w:szCs w:val="20"/>
              </w:rPr>
              <w:t>this will not be considered as a POP-BDE waste stream</w:t>
            </w:r>
            <w:r w:rsidRPr="00E97D4C">
              <w:rPr>
                <w:rFonts w:asciiTheme="minorHAnsi" w:hAnsiTheme="minorHAnsi" w:cs="Arial"/>
                <w:color w:val="auto"/>
                <w:szCs w:val="20"/>
              </w:rPr>
              <w:t>.</w:t>
            </w:r>
          </w:p>
        </w:tc>
      </w:tr>
      <w:tr w:rsidR="006B7EDD" w:rsidRPr="006B7EDD" w:rsidTr="003746F8">
        <w:trPr>
          <w:trHeight w:val="344"/>
        </w:trPr>
        <w:tc>
          <w:tcPr>
            <w:cnfStyle w:val="001000000000"/>
            <w:tcW w:w="2184" w:type="dxa"/>
            <w:shd w:val="clear" w:color="auto" w:fill="CCCCFF" w:themeFill="accent1" w:themeFillTint="33"/>
          </w:tcPr>
          <w:p w:rsidR="003746F8" w:rsidRPr="00E97D4C" w:rsidRDefault="003746F8" w:rsidP="00E97D4C">
            <w:pPr>
              <w:pStyle w:val="ListParagraph"/>
              <w:numPr>
                <w:ilvl w:val="0"/>
                <w:numId w:val="14"/>
              </w:numPr>
              <w:spacing w:line="240" w:lineRule="auto"/>
              <w:ind w:left="426"/>
              <w:rPr>
                <w:rFonts w:cs="Arial"/>
                <w:color w:val="000000"/>
                <w:szCs w:val="20"/>
              </w:rPr>
            </w:pPr>
            <w:r w:rsidRPr="00E97D4C">
              <w:rPr>
                <w:rFonts w:cs="Arial"/>
                <w:color w:val="000000"/>
                <w:szCs w:val="20"/>
              </w:rPr>
              <w:t>Biosolids containing PFOS</w:t>
            </w:r>
          </w:p>
        </w:tc>
        <w:tc>
          <w:tcPr>
            <w:tcW w:w="2126" w:type="dxa"/>
            <w:shd w:val="clear" w:color="auto" w:fill="CCCCFF" w:themeFill="accent1" w:themeFillTint="33"/>
          </w:tcPr>
          <w:p w:rsidR="003746F8" w:rsidRPr="00E97D4C" w:rsidRDefault="003746F8" w:rsidP="00E97D4C">
            <w:pPr>
              <w:cnfStyle w:val="000000000000"/>
              <w:rPr>
                <w:rFonts w:asciiTheme="minorHAnsi" w:hAnsiTheme="minorHAnsi" w:cs="Arial"/>
                <w:color w:val="auto"/>
                <w:szCs w:val="20"/>
              </w:rPr>
            </w:pPr>
            <w:r w:rsidRPr="00E97D4C">
              <w:rPr>
                <w:rFonts w:asciiTheme="minorHAnsi" w:hAnsiTheme="minorHAnsi" w:cs="Arial"/>
                <w:color w:val="auto"/>
                <w:szCs w:val="20"/>
              </w:rPr>
              <w:t>Sewage Treatment Plant</w:t>
            </w:r>
          </w:p>
        </w:tc>
        <w:tc>
          <w:tcPr>
            <w:tcW w:w="5761" w:type="dxa"/>
            <w:shd w:val="clear" w:color="auto" w:fill="CCCCFF" w:themeFill="accent1" w:themeFillTint="33"/>
          </w:tcPr>
          <w:p w:rsidR="003746F8" w:rsidRPr="00E97D4C" w:rsidRDefault="003746F8" w:rsidP="00E97D4C">
            <w:pPr>
              <w:cnfStyle w:val="000000000000"/>
              <w:rPr>
                <w:rFonts w:asciiTheme="minorHAnsi" w:hAnsiTheme="minorHAnsi" w:cs="Arial"/>
                <w:color w:val="auto"/>
                <w:szCs w:val="20"/>
              </w:rPr>
            </w:pPr>
            <w:r w:rsidRPr="00E97D4C">
              <w:rPr>
                <w:rFonts w:asciiTheme="minorHAnsi" w:hAnsiTheme="minorHAnsi" w:cs="Arial"/>
                <w:color w:val="auto"/>
                <w:szCs w:val="20"/>
              </w:rPr>
              <w:t>The fact that a limit as low as 1 or even 0.5mg/kg could be set means that there is some risk that biosolids could be considered hazardous waste with respect to PFOS.</w:t>
            </w:r>
            <w:r w:rsidRPr="00E97D4C">
              <w:rPr>
                <w:rFonts w:asciiTheme="minorHAnsi" w:hAnsiTheme="minorHAnsi" w:cs="Arial"/>
                <w:b/>
                <w:i/>
                <w:color w:val="auto"/>
                <w:szCs w:val="20"/>
              </w:rPr>
              <w:t xml:space="preserve"> Consequently this will be considered as a PFOS waste stream</w:t>
            </w:r>
            <w:r w:rsidRPr="00E97D4C">
              <w:rPr>
                <w:rFonts w:asciiTheme="minorHAnsi" w:hAnsiTheme="minorHAnsi" w:cs="Arial"/>
                <w:color w:val="auto"/>
                <w:szCs w:val="20"/>
              </w:rPr>
              <w:t>.</w:t>
            </w:r>
          </w:p>
        </w:tc>
      </w:tr>
      <w:tr w:rsidR="006B7EDD" w:rsidRPr="006B7EDD" w:rsidTr="003746F8">
        <w:trPr>
          <w:trHeight w:val="344"/>
        </w:trPr>
        <w:tc>
          <w:tcPr>
            <w:cnfStyle w:val="001000000000"/>
            <w:tcW w:w="2184" w:type="dxa"/>
            <w:shd w:val="clear" w:color="auto" w:fill="auto"/>
          </w:tcPr>
          <w:p w:rsidR="003746F8" w:rsidRPr="00E97D4C" w:rsidRDefault="003746F8" w:rsidP="00E97D4C">
            <w:pPr>
              <w:pStyle w:val="ListParagraph"/>
              <w:numPr>
                <w:ilvl w:val="0"/>
                <w:numId w:val="14"/>
              </w:numPr>
              <w:spacing w:line="240" w:lineRule="auto"/>
              <w:ind w:left="426"/>
              <w:rPr>
                <w:rFonts w:cs="Arial"/>
                <w:color w:val="000000"/>
                <w:szCs w:val="20"/>
              </w:rPr>
            </w:pPr>
            <w:r w:rsidRPr="00E97D4C">
              <w:rPr>
                <w:rFonts w:cs="Arial"/>
                <w:color w:val="000000"/>
                <w:szCs w:val="20"/>
              </w:rPr>
              <w:t>Wastewater discharge from Sewage Treatment Plant</w:t>
            </w:r>
          </w:p>
        </w:tc>
        <w:tc>
          <w:tcPr>
            <w:tcW w:w="2126" w:type="dxa"/>
            <w:shd w:val="clear" w:color="auto" w:fill="auto"/>
          </w:tcPr>
          <w:p w:rsidR="003746F8" w:rsidRPr="00E97D4C" w:rsidRDefault="003746F8" w:rsidP="00E97D4C">
            <w:pPr>
              <w:cnfStyle w:val="000000000000"/>
              <w:rPr>
                <w:rFonts w:cs="Arial"/>
                <w:color w:val="000000"/>
                <w:szCs w:val="20"/>
              </w:rPr>
            </w:pPr>
            <w:r w:rsidRPr="00E97D4C">
              <w:rPr>
                <w:rFonts w:cs="Arial"/>
                <w:color w:val="000000"/>
                <w:szCs w:val="20"/>
              </w:rPr>
              <w:t>Sewage Treatment Plant</w:t>
            </w:r>
          </w:p>
        </w:tc>
        <w:tc>
          <w:tcPr>
            <w:tcW w:w="5761" w:type="dxa"/>
            <w:shd w:val="clear" w:color="auto" w:fill="auto"/>
          </w:tcPr>
          <w:p w:rsidR="003746F8" w:rsidRPr="00E97D4C" w:rsidRDefault="003746F8" w:rsidP="00E97D4C">
            <w:pPr>
              <w:cnfStyle w:val="000000000000"/>
              <w:rPr>
                <w:rFonts w:cs="Arial"/>
                <w:color w:val="000000"/>
                <w:szCs w:val="20"/>
              </w:rPr>
            </w:pPr>
            <w:r w:rsidRPr="00E97D4C">
              <w:rPr>
                <w:rFonts w:cs="Arial"/>
                <w:color w:val="000000"/>
                <w:szCs w:val="20"/>
              </w:rPr>
              <w:t>ESWI</w:t>
            </w:r>
            <w:r w:rsidRPr="00E97D4C">
              <w:rPr>
                <w:rFonts w:cs="Arial"/>
                <w:color w:val="000000"/>
                <w:szCs w:val="20"/>
                <w:vertAlign w:val="superscript"/>
              </w:rPr>
              <w:t>16</w:t>
            </w:r>
            <w:r w:rsidRPr="00E97D4C">
              <w:rPr>
                <w:rFonts w:cs="Arial"/>
                <w:color w:val="000000"/>
                <w:szCs w:val="20"/>
              </w:rPr>
              <w:t xml:space="preserve"> shows that PFOS’s chemistry means it could partition to waste waters (as opposed to suspended solids in waste waters) more than the other Stockholm POPs considered in this paper.</w:t>
            </w:r>
            <w:r w:rsidR="00F954D8" w:rsidRPr="00E97D4C">
              <w:rPr>
                <w:rFonts w:cs="Arial"/>
                <w:color w:val="000000"/>
                <w:szCs w:val="20"/>
              </w:rPr>
              <w:t xml:space="preserve"> </w:t>
            </w:r>
            <w:r w:rsidRPr="00E97D4C">
              <w:rPr>
                <w:rFonts w:cs="Arial"/>
                <w:color w:val="000000"/>
                <w:szCs w:val="20"/>
              </w:rPr>
              <w:t>While leachate volumes from landfills to sewer can be large (rainfall dependant) actual concentrations of PFOS in leachate in Australia is unknown at present. Assuming the most stringent LCPL of 1 mg/kg could also be applied to waters (at 1mg/L), an international review</w:t>
            </w:r>
            <w:r w:rsidRPr="00E97D4C">
              <w:rPr>
                <w:rStyle w:val="FootnoteReference"/>
                <w:rFonts w:cs="Arial"/>
                <w:color w:val="000000"/>
                <w:szCs w:val="20"/>
              </w:rPr>
              <w:footnoteReference w:id="51"/>
            </w:r>
            <w:r w:rsidRPr="00E97D4C">
              <w:rPr>
                <w:rFonts w:cs="Arial"/>
                <w:color w:val="000000"/>
                <w:szCs w:val="20"/>
              </w:rPr>
              <w:t xml:space="preserve"> </w:t>
            </w:r>
            <w:r w:rsidRPr="00E97D4C">
              <w:rPr>
                <w:rFonts w:cs="Arial"/>
                <w:color w:val="000000"/>
                <w:szCs w:val="20"/>
              </w:rPr>
              <w:lastRenderedPageBreak/>
              <w:t xml:space="preserve">notes average concentrations of PFOS in WWTP effluent of 0.011 ug/L, compared to 69 ug/kg for sewage sludge, well below the lowest LPCL. </w:t>
            </w:r>
            <w:r w:rsidRPr="00E97D4C">
              <w:rPr>
                <w:rFonts w:cs="Arial"/>
                <w:b/>
                <w:i/>
                <w:color w:val="000000"/>
                <w:szCs w:val="20"/>
              </w:rPr>
              <w:t>Consequently this will not be considered as a PFOS waste stream.</w:t>
            </w:r>
          </w:p>
        </w:tc>
      </w:tr>
      <w:tr w:rsidR="006B7EDD" w:rsidRPr="006B7EDD" w:rsidTr="003746F8">
        <w:trPr>
          <w:trHeight w:val="344"/>
        </w:trPr>
        <w:tc>
          <w:tcPr>
            <w:cnfStyle w:val="001000000000"/>
            <w:tcW w:w="2184" w:type="dxa"/>
            <w:shd w:val="clear" w:color="auto" w:fill="auto"/>
          </w:tcPr>
          <w:p w:rsidR="003746F8" w:rsidRPr="00E97D4C" w:rsidRDefault="003746F8" w:rsidP="00E97D4C">
            <w:pPr>
              <w:pStyle w:val="ListParagraph"/>
              <w:numPr>
                <w:ilvl w:val="0"/>
                <w:numId w:val="14"/>
              </w:numPr>
              <w:spacing w:line="240" w:lineRule="auto"/>
              <w:ind w:left="426"/>
              <w:rPr>
                <w:rFonts w:cs="Arial"/>
                <w:color w:val="000000"/>
                <w:szCs w:val="20"/>
              </w:rPr>
            </w:pPr>
            <w:r w:rsidRPr="00E97D4C">
              <w:rPr>
                <w:rFonts w:cs="Arial"/>
                <w:color w:val="000000"/>
                <w:szCs w:val="20"/>
              </w:rPr>
              <w:lastRenderedPageBreak/>
              <w:t>Landfill leachate containing PFOS</w:t>
            </w:r>
          </w:p>
        </w:tc>
        <w:tc>
          <w:tcPr>
            <w:tcW w:w="2126" w:type="dxa"/>
            <w:shd w:val="clear" w:color="auto" w:fill="auto"/>
          </w:tcPr>
          <w:p w:rsidR="003746F8" w:rsidRPr="00E97D4C" w:rsidRDefault="003746F8" w:rsidP="00E97D4C">
            <w:pPr>
              <w:cnfStyle w:val="000000000000"/>
              <w:rPr>
                <w:rFonts w:cs="Arial"/>
                <w:color w:val="000000"/>
                <w:szCs w:val="20"/>
              </w:rPr>
            </w:pPr>
            <w:r w:rsidRPr="00E97D4C">
              <w:rPr>
                <w:rFonts w:cs="Arial"/>
                <w:color w:val="000000"/>
                <w:szCs w:val="20"/>
              </w:rPr>
              <w:t>Landfill leachate collection pond discharge to sewer</w:t>
            </w:r>
          </w:p>
        </w:tc>
        <w:tc>
          <w:tcPr>
            <w:tcW w:w="5761" w:type="dxa"/>
            <w:shd w:val="clear" w:color="auto" w:fill="auto"/>
          </w:tcPr>
          <w:p w:rsidR="003746F8" w:rsidRPr="00E97D4C" w:rsidRDefault="003746F8" w:rsidP="00E97D4C">
            <w:pPr>
              <w:cnfStyle w:val="000000000000"/>
              <w:rPr>
                <w:rFonts w:cs="Arial"/>
                <w:color w:val="000000"/>
                <w:szCs w:val="20"/>
              </w:rPr>
            </w:pPr>
            <w:r w:rsidRPr="00E97D4C">
              <w:rPr>
                <w:rFonts w:cs="Arial"/>
                <w:color w:val="000000"/>
                <w:szCs w:val="20"/>
              </w:rPr>
              <w:t xml:space="preserve">In a similar vein to WWTP discharge, landfill leachate is unlikely to contain PFOS at concentrations above the lowest predicted LCPL (1ppm). </w:t>
            </w:r>
            <w:r w:rsidRPr="00E97D4C">
              <w:rPr>
                <w:rFonts w:cs="Arial"/>
                <w:b/>
                <w:i/>
                <w:color w:val="000000"/>
                <w:szCs w:val="20"/>
              </w:rPr>
              <w:t xml:space="preserve">Consequently this will not be considered as a PFOS waste stream. </w:t>
            </w:r>
          </w:p>
        </w:tc>
      </w:tr>
    </w:tbl>
    <w:p w:rsidR="003746F8" w:rsidRPr="00E97D4C" w:rsidRDefault="003746F8" w:rsidP="00E97D4C">
      <w:pPr>
        <w:pStyle w:val="BodyText"/>
      </w:pPr>
    </w:p>
    <w:p w:rsidR="003746F8" w:rsidRPr="00E97D4C" w:rsidRDefault="003746F8" w:rsidP="00E97D4C">
      <w:pPr>
        <w:pStyle w:val="BodyText"/>
      </w:pPr>
      <w:r w:rsidRPr="00E97D4C">
        <w:t>Consequently, AFFF stocks, firewaters and biosolids, over a yet to be set LPCL, are potential hazardous waste streams worthy of consideration for ‘new’ waste projections.</w:t>
      </w:r>
    </w:p>
    <w:p w:rsidR="003746F8" w:rsidRPr="00E97D4C" w:rsidRDefault="003746F8" w:rsidP="00E97D4C">
      <w:pPr>
        <w:pStyle w:val="BodyText"/>
      </w:pPr>
    </w:p>
    <w:p w:rsidR="003746F8" w:rsidRPr="00E97D4C" w:rsidRDefault="003746F8" w:rsidP="00E97D4C">
      <w:pPr>
        <w:pStyle w:val="BodyText"/>
      </w:pPr>
      <w:r w:rsidRPr="00E97D4C">
        <w:t xml:space="preserve">Although WWTP effluent volumes are extremely large and could represent a large </w:t>
      </w:r>
      <w:r w:rsidRPr="00E97D4C">
        <w:rPr>
          <w:u w:val="single"/>
        </w:rPr>
        <w:t>emission</w:t>
      </w:r>
      <w:r w:rsidRPr="00E97D4C">
        <w:t xml:space="preserve"> source of PFOS to the environment, likely concentrations of PFOS within these waste waters would be expected to be orders of magnitude less than LPCLs of 1mg/L.</w:t>
      </w:r>
    </w:p>
    <w:p w:rsidR="003746F8" w:rsidRPr="00E97D4C" w:rsidRDefault="003746F8" w:rsidP="00E97D4C">
      <w:pPr>
        <w:pStyle w:val="BodyText"/>
      </w:pPr>
    </w:p>
    <w:p w:rsidR="003746F8" w:rsidRPr="00E97D4C" w:rsidRDefault="003746F8" w:rsidP="00E97D4C">
      <w:pPr>
        <w:pStyle w:val="Heading3"/>
      </w:pPr>
      <w:bookmarkStart w:id="557" w:name="_Toc403143628"/>
      <w:r w:rsidRPr="00E97D4C">
        <w:t>Summary of arisings</w:t>
      </w:r>
      <w:bookmarkEnd w:id="557"/>
    </w:p>
    <w:p w:rsidR="003746F8" w:rsidRPr="00E97D4C" w:rsidRDefault="003746F8" w:rsidP="00E97D4C">
      <w:pPr>
        <w:pStyle w:val="BodyText"/>
        <w:spacing w:after="120"/>
        <w:rPr>
          <w:i/>
        </w:rPr>
      </w:pPr>
      <w:bookmarkStart w:id="558" w:name="_Toc403143629"/>
      <w:r w:rsidRPr="00E97D4C">
        <w:rPr>
          <w:i/>
        </w:rPr>
        <w:t>Potential biosolids volumes above LPCLs</w:t>
      </w:r>
      <w:bookmarkEnd w:id="558"/>
    </w:p>
    <w:p w:rsidR="003746F8" w:rsidRPr="00E97D4C" w:rsidRDefault="00A43CAB" w:rsidP="00E97D4C">
      <w:pPr>
        <w:pStyle w:val="BodyText"/>
      </w:pPr>
      <w:r w:rsidRPr="00E97D4C">
        <w:t xml:space="preserve">There is potentially </w:t>
      </w:r>
      <w:r w:rsidR="003746F8" w:rsidRPr="00E97D4C">
        <w:t>329,500t of biosolids produced in Australia in 2013</w:t>
      </w:r>
      <w:r w:rsidR="003746F8" w:rsidRPr="00E97D4C">
        <w:rPr>
          <w:rStyle w:val="FootnoteReference"/>
        </w:rPr>
        <w:footnoteReference w:id="52"/>
      </w:r>
      <w:r w:rsidR="003746F8" w:rsidRPr="00E97D4C">
        <w:t xml:space="preserve"> (dry weight)</w:t>
      </w:r>
      <w:r w:rsidRPr="00E97D4C">
        <w:t xml:space="preserve">. </w:t>
      </w:r>
      <w:r w:rsidR="003746F8" w:rsidRPr="00E97D4C">
        <w:t>This corresponds to 1,464,000t wet weight</w:t>
      </w:r>
      <w:r w:rsidRPr="00E97D4C">
        <w:t xml:space="preserve">. </w:t>
      </w:r>
      <w:r w:rsidR="003746F8" w:rsidRPr="00E97D4C">
        <w:t>The table below partitions these biosolids according to estimates of POP concentrations as di</w:t>
      </w:r>
      <w:r w:rsidRPr="00E97D4C">
        <w:t>scussed throughout this section.</w:t>
      </w:r>
    </w:p>
    <w:p w:rsidR="003746F8" w:rsidRPr="00E97D4C" w:rsidRDefault="003746F8" w:rsidP="00E97D4C">
      <w:pPr>
        <w:pStyle w:val="BodyText"/>
      </w:pPr>
    </w:p>
    <w:p w:rsidR="003746F8" w:rsidRPr="00E97D4C" w:rsidRDefault="003746F8" w:rsidP="00E97D4C">
      <w:pPr>
        <w:pStyle w:val="Figures"/>
      </w:pPr>
      <w:bookmarkStart w:id="559" w:name="_Toc400456467"/>
      <w:bookmarkStart w:id="560" w:name="_Toc425849361"/>
      <w:r w:rsidRPr="00E97D4C">
        <w:t xml:space="preserve">Table </w:t>
      </w:r>
      <w:r w:rsidR="006D07F5" w:rsidRPr="00E97D4C">
        <w:fldChar w:fldCharType="begin"/>
      </w:r>
      <w:r w:rsidR="00BA5D9E" w:rsidRPr="00E97D4C">
        <w:instrText xml:space="preserve"> SEQ Table \* ARABIC </w:instrText>
      </w:r>
      <w:r w:rsidR="006D07F5" w:rsidRPr="00E97D4C">
        <w:rPr>
          <w:noProof/>
        </w:rPr>
        <w:fldChar w:fldCharType="separate"/>
      </w:r>
      <w:r w:rsidR="002F3000">
        <w:rPr>
          <w:noProof/>
        </w:rPr>
        <w:t>76</w:t>
      </w:r>
      <w:r w:rsidR="006D07F5" w:rsidRPr="00E97D4C">
        <w:rPr>
          <w:noProof/>
        </w:rPr>
        <w:fldChar w:fldCharType="end"/>
      </w:r>
      <w:r w:rsidRPr="00E97D4C">
        <w:t xml:space="preserve">: </w:t>
      </w:r>
      <w:r w:rsidRPr="00E97D4C">
        <w:tab/>
      </w:r>
      <w:bookmarkEnd w:id="559"/>
      <w:r w:rsidRPr="00E97D4C">
        <w:t>Estimated baseline year arisings of POP</w:t>
      </w:r>
      <w:r w:rsidR="00236A0C" w:rsidRPr="00E97D4C">
        <w:t xml:space="preserve">s </w:t>
      </w:r>
      <w:r w:rsidRPr="00E97D4C">
        <w:t>in biosolids under different LPCL settings</w:t>
      </w:r>
      <w:bookmarkEnd w:id="560"/>
    </w:p>
    <w:tbl>
      <w:tblPr>
        <w:tblStyle w:val="BETable1"/>
        <w:tblW w:w="9439" w:type="dxa"/>
        <w:tblInd w:w="-369" w:type="dxa"/>
        <w:tblLook w:val="04A0"/>
      </w:tblPr>
      <w:tblGrid>
        <w:gridCol w:w="1419"/>
        <w:gridCol w:w="2693"/>
        <w:gridCol w:w="2767"/>
        <w:gridCol w:w="2560"/>
      </w:tblGrid>
      <w:tr w:rsidR="006B7EDD" w:rsidRPr="006B7EDD" w:rsidTr="00E028D4">
        <w:trPr>
          <w:cnfStyle w:val="100000000000"/>
        </w:trPr>
        <w:tc>
          <w:tcPr>
            <w:cnfStyle w:val="001000000000"/>
            <w:tcW w:w="1419" w:type="dxa"/>
            <w:vMerge w:val="restart"/>
          </w:tcPr>
          <w:p w:rsidR="003746F8" w:rsidRPr="00E97D4C" w:rsidRDefault="003746F8" w:rsidP="00E97D4C">
            <w:pPr>
              <w:rPr>
                <w:szCs w:val="20"/>
              </w:rPr>
            </w:pPr>
            <w:r w:rsidRPr="00E97D4C">
              <w:rPr>
                <w:szCs w:val="20"/>
              </w:rPr>
              <w:t>POP in biosolids</w:t>
            </w:r>
          </w:p>
        </w:tc>
        <w:tc>
          <w:tcPr>
            <w:tcW w:w="8020" w:type="dxa"/>
            <w:gridSpan w:val="3"/>
          </w:tcPr>
          <w:p w:rsidR="003746F8" w:rsidRPr="00E97D4C" w:rsidRDefault="003746F8" w:rsidP="00E97D4C">
            <w:pPr>
              <w:jc w:val="center"/>
              <w:cnfStyle w:val="100000000000"/>
              <w:rPr>
                <w:szCs w:val="20"/>
              </w:rPr>
            </w:pPr>
            <w:r w:rsidRPr="00E97D4C">
              <w:rPr>
                <w:szCs w:val="20"/>
              </w:rPr>
              <w:t>Waste Arising Scenario</w:t>
            </w:r>
          </w:p>
        </w:tc>
      </w:tr>
      <w:tr w:rsidR="006B7EDD" w:rsidRPr="006B7EDD" w:rsidTr="00E028D4">
        <w:tc>
          <w:tcPr>
            <w:cnfStyle w:val="001000000000"/>
            <w:tcW w:w="1419" w:type="dxa"/>
            <w:vMerge/>
          </w:tcPr>
          <w:p w:rsidR="003746F8" w:rsidRPr="00E97D4C" w:rsidRDefault="003746F8" w:rsidP="00E97D4C">
            <w:pPr>
              <w:rPr>
                <w:b/>
                <w:szCs w:val="20"/>
              </w:rPr>
            </w:pPr>
          </w:p>
        </w:tc>
        <w:tc>
          <w:tcPr>
            <w:tcW w:w="2693" w:type="dxa"/>
          </w:tcPr>
          <w:p w:rsidR="003746F8" w:rsidRPr="00E97D4C" w:rsidRDefault="003746F8" w:rsidP="00E97D4C">
            <w:pPr>
              <w:cnfStyle w:val="000000000000"/>
              <w:rPr>
                <w:b/>
                <w:szCs w:val="20"/>
              </w:rPr>
            </w:pPr>
            <w:r w:rsidRPr="00E97D4C">
              <w:rPr>
                <w:b/>
                <w:szCs w:val="20"/>
              </w:rPr>
              <w:t>High (assumed LPCL mg/kg)</w:t>
            </w:r>
          </w:p>
        </w:tc>
        <w:tc>
          <w:tcPr>
            <w:tcW w:w="2767" w:type="dxa"/>
          </w:tcPr>
          <w:p w:rsidR="003746F8" w:rsidRPr="00E97D4C" w:rsidRDefault="003746F8" w:rsidP="00E97D4C">
            <w:pPr>
              <w:cnfStyle w:val="000000000000"/>
              <w:rPr>
                <w:b/>
                <w:szCs w:val="20"/>
              </w:rPr>
            </w:pPr>
            <w:r w:rsidRPr="00E97D4C">
              <w:rPr>
                <w:b/>
                <w:szCs w:val="20"/>
              </w:rPr>
              <w:t>Best (assumed LPCL mg/kg)</w:t>
            </w:r>
          </w:p>
        </w:tc>
        <w:tc>
          <w:tcPr>
            <w:tcW w:w="2560" w:type="dxa"/>
          </w:tcPr>
          <w:p w:rsidR="003746F8" w:rsidRPr="00E97D4C" w:rsidRDefault="003746F8" w:rsidP="00E97D4C">
            <w:pPr>
              <w:cnfStyle w:val="000000000000"/>
              <w:rPr>
                <w:b/>
                <w:szCs w:val="20"/>
              </w:rPr>
            </w:pPr>
            <w:r w:rsidRPr="00E97D4C">
              <w:rPr>
                <w:b/>
                <w:szCs w:val="20"/>
              </w:rPr>
              <w:t>Low (assumed LPCL mg/kg)</w:t>
            </w:r>
          </w:p>
        </w:tc>
      </w:tr>
      <w:tr w:rsidR="006B7EDD" w:rsidRPr="006B7EDD" w:rsidTr="00E028D4">
        <w:tc>
          <w:tcPr>
            <w:cnfStyle w:val="001000000000"/>
            <w:tcW w:w="1419" w:type="dxa"/>
          </w:tcPr>
          <w:p w:rsidR="003746F8" w:rsidRPr="00E97D4C" w:rsidRDefault="003746F8" w:rsidP="00E97D4C">
            <w:pPr>
              <w:rPr>
                <w:szCs w:val="20"/>
              </w:rPr>
            </w:pPr>
            <w:r w:rsidRPr="00E97D4C">
              <w:rPr>
                <w:szCs w:val="20"/>
              </w:rPr>
              <w:t>PFOS</w:t>
            </w:r>
          </w:p>
        </w:tc>
        <w:tc>
          <w:tcPr>
            <w:tcW w:w="2693" w:type="dxa"/>
          </w:tcPr>
          <w:p w:rsidR="003746F8" w:rsidRPr="00E97D4C" w:rsidRDefault="003746F8" w:rsidP="00E97D4C">
            <w:pPr>
              <w:jc w:val="center"/>
              <w:cnfStyle w:val="000000000000"/>
              <w:rPr>
                <w:szCs w:val="20"/>
              </w:rPr>
            </w:pPr>
            <w:r w:rsidRPr="00E97D4C">
              <w:rPr>
                <w:szCs w:val="20"/>
              </w:rPr>
              <w:t>1</w:t>
            </w:r>
          </w:p>
        </w:tc>
        <w:tc>
          <w:tcPr>
            <w:tcW w:w="2767" w:type="dxa"/>
          </w:tcPr>
          <w:p w:rsidR="003746F8" w:rsidRPr="00E97D4C" w:rsidRDefault="003746F8" w:rsidP="00E97D4C">
            <w:pPr>
              <w:jc w:val="center"/>
              <w:cnfStyle w:val="000000000000"/>
              <w:rPr>
                <w:szCs w:val="20"/>
              </w:rPr>
            </w:pPr>
            <w:r w:rsidRPr="00E97D4C">
              <w:rPr>
                <w:szCs w:val="20"/>
              </w:rPr>
              <w:t>10</w:t>
            </w:r>
          </w:p>
        </w:tc>
        <w:tc>
          <w:tcPr>
            <w:tcW w:w="2560" w:type="dxa"/>
          </w:tcPr>
          <w:p w:rsidR="003746F8" w:rsidRPr="00E97D4C" w:rsidRDefault="003746F8" w:rsidP="00E97D4C">
            <w:pPr>
              <w:jc w:val="center"/>
              <w:cnfStyle w:val="000000000000"/>
              <w:rPr>
                <w:szCs w:val="20"/>
              </w:rPr>
            </w:pPr>
            <w:r w:rsidRPr="00E97D4C">
              <w:rPr>
                <w:szCs w:val="20"/>
              </w:rPr>
              <w:t>100</w:t>
            </w:r>
          </w:p>
        </w:tc>
      </w:tr>
      <w:tr w:rsidR="006B7EDD" w:rsidRPr="006B7EDD" w:rsidTr="00E028D4">
        <w:tc>
          <w:tcPr>
            <w:cnfStyle w:val="001000000000"/>
            <w:tcW w:w="1419" w:type="dxa"/>
          </w:tcPr>
          <w:p w:rsidR="003746F8" w:rsidRPr="00E97D4C" w:rsidRDefault="003746F8" w:rsidP="00E97D4C">
            <w:pPr>
              <w:rPr>
                <w:szCs w:val="20"/>
              </w:rPr>
            </w:pPr>
            <w:r w:rsidRPr="00E97D4C">
              <w:rPr>
                <w:szCs w:val="20"/>
              </w:rPr>
              <w:t>POP-BDEs</w:t>
            </w:r>
          </w:p>
        </w:tc>
        <w:tc>
          <w:tcPr>
            <w:tcW w:w="2693" w:type="dxa"/>
          </w:tcPr>
          <w:p w:rsidR="003746F8" w:rsidRPr="00E97D4C" w:rsidRDefault="003746F8" w:rsidP="00E97D4C">
            <w:pPr>
              <w:jc w:val="center"/>
              <w:cnfStyle w:val="000000000000"/>
              <w:rPr>
                <w:szCs w:val="20"/>
              </w:rPr>
            </w:pPr>
            <w:r w:rsidRPr="00E97D4C">
              <w:rPr>
                <w:szCs w:val="20"/>
              </w:rPr>
              <w:t>10</w:t>
            </w:r>
          </w:p>
        </w:tc>
        <w:tc>
          <w:tcPr>
            <w:tcW w:w="2767" w:type="dxa"/>
          </w:tcPr>
          <w:p w:rsidR="003746F8" w:rsidRPr="00E97D4C" w:rsidRDefault="003746F8" w:rsidP="00E97D4C">
            <w:pPr>
              <w:jc w:val="center"/>
              <w:cnfStyle w:val="000000000000"/>
              <w:rPr>
                <w:szCs w:val="20"/>
              </w:rPr>
            </w:pPr>
            <w:r w:rsidRPr="00E97D4C">
              <w:rPr>
                <w:szCs w:val="20"/>
              </w:rPr>
              <w:t>50</w:t>
            </w:r>
          </w:p>
        </w:tc>
        <w:tc>
          <w:tcPr>
            <w:tcW w:w="2560" w:type="dxa"/>
          </w:tcPr>
          <w:p w:rsidR="003746F8" w:rsidRPr="00E97D4C" w:rsidRDefault="003746F8" w:rsidP="00E97D4C">
            <w:pPr>
              <w:jc w:val="center"/>
              <w:cnfStyle w:val="000000000000"/>
              <w:rPr>
                <w:szCs w:val="20"/>
              </w:rPr>
            </w:pPr>
            <w:r w:rsidRPr="00E97D4C">
              <w:rPr>
                <w:szCs w:val="20"/>
              </w:rPr>
              <w:t>200</w:t>
            </w:r>
          </w:p>
        </w:tc>
      </w:tr>
      <w:tr w:rsidR="006B7EDD" w:rsidRPr="006B7EDD" w:rsidTr="00E028D4">
        <w:tc>
          <w:tcPr>
            <w:cnfStyle w:val="001000000000"/>
            <w:tcW w:w="1419" w:type="dxa"/>
          </w:tcPr>
          <w:p w:rsidR="003746F8" w:rsidRPr="00E97D4C" w:rsidRDefault="003746F8" w:rsidP="00E97D4C">
            <w:pPr>
              <w:rPr>
                <w:szCs w:val="20"/>
              </w:rPr>
            </w:pPr>
            <w:r w:rsidRPr="00E97D4C">
              <w:rPr>
                <w:szCs w:val="20"/>
              </w:rPr>
              <w:t>HBCD</w:t>
            </w:r>
          </w:p>
        </w:tc>
        <w:tc>
          <w:tcPr>
            <w:tcW w:w="2693" w:type="dxa"/>
          </w:tcPr>
          <w:p w:rsidR="003746F8" w:rsidRPr="00E97D4C" w:rsidRDefault="003746F8" w:rsidP="00E97D4C">
            <w:pPr>
              <w:jc w:val="center"/>
              <w:cnfStyle w:val="000000000000"/>
              <w:rPr>
                <w:szCs w:val="20"/>
              </w:rPr>
            </w:pPr>
            <w:r w:rsidRPr="00E97D4C">
              <w:rPr>
                <w:szCs w:val="20"/>
              </w:rPr>
              <w:t>10</w:t>
            </w:r>
          </w:p>
        </w:tc>
        <w:tc>
          <w:tcPr>
            <w:tcW w:w="2767" w:type="dxa"/>
          </w:tcPr>
          <w:p w:rsidR="003746F8" w:rsidRPr="00E97D4C" w:rsidRDefault="003746F8" w:rsidP="00E97D4C">
            <w:pPr>
              <w:jc w:val="center"/>
              <w:cnfStyle w:val="000000000000"/>
              <w:rPr>
                <w:szCs w:val="20"/>
              </w:rPr>
            </w:pPr>
            <w:r w:rsidRPr="00E97D4C">
              <w:rPr>
                <w:szCs w:val="20"/>
              </w:rPr>
              <w:t>50</w:t>
            </w:r>
          </w:p>
        </w:tc>
        <w:tc>
          <w:tcPr>
            <w:tcW w:w="2560" w:type="dxa"/>
          </w:tcPr>
          <w:p w:rsidR="003746F8" w:rsidRPr="00E97D4C" w:rsidRDefault="003746F8" w:rsidP="00E97D4C">
            <w:pPr>
              <w:jc w:val="center"/>
              <w:cnfStyle w:val="000000000000"/>
              <w:rPr>
                <w:szCs w:val="20"/>
              </w:rPr>
            </w:pPr>
            <w:r w:rsidRPr="00E97D4C">
              <w:rPr>
                <w:szCs w:val="20"/>
              </w:rPr>
              <w:t>200</w:t>
            </w:r>
          </w:p>
        </w:tc>
      </w:tr>
      <w:tr w:rsidR="006B7EDD" w:rsidRPr="006B7EDD" w:rsidTr="00E028D4">
        <w:tc>
          <w:tcPr>
            <w:cnfStyle w:val="001000000000"/>
            <w:tcW w:w="1419" w:type="dxa"/>
          </w:tcPr>
          <w:p w:rsidR="003746F8" w:rsidRPr="00E97D4C" w:rsidRDefault="00E028D4" w:rsidP="00E97D4C">
            <w:pPr>
              <w:rPr>
                <w:szCs w:val="20"/>
              </w:rPr>
            </w:pPr>
            <w:r w:rsidRPr="00E97D4C">
              <w:rPr>
                <w:szCs w:val="20"/>
              </w:rPr>
              <w:t>Assumptions &amp; a</w:t>
            </w:r>
            <w:r w:rsidR="003746F8" w:rsidRPr="00E97D4C">
              <w:rPr>
                <w:szCs w:val="20"/>
              </w:rPr>
              <w:t>ssessment for 2013 biosolids volumes</w:t>
            </w:r>
          </w:p>
          <w:p w:rsidR="003746F8" w:rsidRPr="00E97D4C" w:rsidRDefault="003746F8" w:rsidP="00E97D4C">
            <w:pPr>
              <w:rPr>
                <w:szCs w:val="20"/>
              </w:rPr>
            </w:pPr>
          </w:p>
          <w:p w:rsidR="003746F8" w:rsidRPr="00E97D4C" w:rsidRDefault="003746F8" w:rsidP="00E97D4C">
            <w:pPr>
              <w:rPr>
                <w:szCs w:val="20"/>
              </w:rPr>
            </w:pPr>
          </w:p>
          <w:p w:rsidR="003746F8" w:rsidRPr="00E97D4C" w:rsidRDefault="003746F8" w:rsidP="00E97D4C">
            <w:pPr>
              <w:rPr>
                <w:szCs w:val="20"/>
              </w:rPr>
            </w:pPr>
          </w:p>
          <w:p w:rsidR="003746F8" w:rsidRPr="00E97D4C" w:rsidRDefault="003746F8" w:rsidP="00E97D4C">
            <w:pPr>
              <w:rPr>
                <w:szCs w:val="20"/>
              </w:rPr>
            </w:pPr>
          </w:p>
          <w:p w:rsidR="00B205F8" w:rsidRPr="00E97D4C" w:rsidRDefault="00B205F8" w:rsidP="00E97D4C">
            <w:pPr>
              <w:rPr>
                <w:szCs w:val="20"/>
              </w:rPr>
            </w:pPr>
          </w:p>
          <w:p w:rsidR="00B205F8" w:rsidRPr="00E97D4C" w:rsidRDefault="00B205F8" w:rsidP="00E97D4C">
            <w:pPr>
              <w:rPr>
                <w:szCs w:val="20"/>
              </w:rPr>
            </w:pPr>
          </w:p>
          <w:p w:rsidR="003746F8" w:rsidRPr="00E97D4C" w:rsidRDefault="003746F8" w:rsidP="00E97D4C">
            <w:pPr>
              <w:rPr>
                <w:szCs w:val="20"/>
              </w:rPr>
            </w:pPr>
          </w:p>
          <w:p w:rsidR="003746F8" w:rsidRPr="00E97D4C" w:rsidRDefault="003746F8" w:rsidP="00E97D4C">
            <w:pPr>
              <w:rPr>
                <w:szCs w:val="20"/>
              </w:rPr>
            </w:pPr>
          </w:p>
          <w:p w:rsidR="003746F8" w:rsidRPr="00E97D4C" w:rsidRDefault="003746F8" w:rsidP="00E97D4C">
            <w:pPr>
              <w:rPr>
                <w:szCs w:val="20"/>
              </w:rPr>
            </w:pPr>
            <w:r w:rsidRPr="00E97D4C">
              <w:rPr>
                <w:szCs w:val="20"/>
              </w:rPr>
              <w:t>M160a – PFOS</w:t>
            </w:r>
          </w:p>
          <w:p w:rsidR="003746F8" w:rsidRPr="00E97D4C" w:rsidRDefault="003746F8" w:rsidP="00E97D4C">
            <w:pPr>
              <w:rPr>
                <w:szCs w:val="20"/>
              </w:rPr>
            </w:pPr>
          </w:p>
          <w:p w:rsidR="003746F8" w:rsidRPr="00E97D4C" w:rsidRDefault="003746F8" w:rsidP="00E97D4C">
            <w:pPr>
              <w:rPr>
                <w:szCs w:val="20"/>
              </w:rPr>
            </w:pPr>
          </w:p>
          <w:p w:rsidR="003746F8" w:rsidRPr="00E97D4C" w:rsidRDefault="003746F8" w:rsidP="00E97D4C">
            <w:pPr>
              <w:rPr>
                <w:szCs w:val="20"/>
              </w:rPr>
            </w:pPr>
          </w:p>
          <w:p w:rsidR="003746F8" w:rsidRPr="00E97D4C" w:rsidRDefault="003746F8" w:rsidP="00E97D4C">
            <w:pPr>
              <w:rPr>
                <w:szCs w:val="20"/>
              </w:rPr>
            </w:pPr>
            <w:r w:rsidRPr="00E97D4C">
              <w:rPr>
                <w:szCs w:val="20"/>
              </w:rPr>
              <w:t>M160b – POP-BDEs</w:t>
            </w:r>
          </w:p>
          <w:p w:rsidR="003746F8" w:rsidRPr="00E97D4C" w:rsidRDefault="003746F8" w:rsidP="00E97D4C">
            <w:pPr>
              <w:rPr>
                <w:szCs w:val="20"/>
              </w:rPr>
            </w:pPr>
          </w:p>
          <w:p w:rsidR="003746F8" w:rsidRPr="00E97D4C" w:rsidRDefault="003746F8" w:rsidP="00E97D4C">
            <w:pPr>
              <w:rPr>
                <w:szCs w:val="20"/>
              </w:rPr>
            </w:pPr>
          </w:p>
          <w:p w:rsidR="003746F8" w:rsidRPr="00E97D4C" w:rsidRDefault="003746F8" w:rsidP="00E97D4C">
            <w:pPr>
              <w:rPr>
                <w:szCs w:val="20"/>
              </w:rPr>
            </w:pPr>
          </w:p>
          <w:p w:rsidR="003746F8" w:rsidRPr="00E97D4C" w:rsidRDefault="003746F8" w:rsidP="00E97D4C">
            <w:pPr>
              <w:rPr>
                <w:szCs w:val="20"/>
              </w:rPr>
            </w:pPr>
            <w:r w:rsidRPr="00E97D4C">
              <w:rPr>
                <w:szCs w:val="20"/>
              </w:rPr>
              <w:t>M160c - HBCD</w:t>
            </w:r>
          </w:p>
        </w:tc>
        <w:tc>
          <w:tcPr>
            <w:tcW w:w="2693" w:type="dxa"/>
          </w:tcPr>
          <w:p w:rsidR="003746F8" w:rsidRPr="00E97D4C" w:rsidRDefault="003746F8" w:rsidP="00E97D4C">
            <w:pPr>
              <w:pStyle w:val="Bullet1"/>
              <w:spacing w:before="60"/>
              <w:ind w:left="199" w:hanging="142"/>
              <w:cnfStyle w:val="000000000000"/>
              <w:rPr>
                <w:sz w:val="20"/>
                <w:szCs w:val="20"/>
              </w:rPr>
            </w:pPr>
            <w:r w:rsidRPr="00E97D4C">
              <w:rPr>
                <w:sz w:val="20"/>
                <w:szCs w:val="20"/>
              </w:rPr>
              <w:lastRenderedPageBreak/>
              <w:t>Estimate 5% of biosolids contain PFOS &gt; 1 mg/kg</w:t>
            </w:r>
            <w:r w:rsidRPr="00E97D4C">
              <w:rPr>
                <w:rStyle w:val="FootnoteReference"/>
                <w:sz w:val="20"/>
                <w:szCs w:val="20"/>
              </w:rPr>
              <w:footnoteReference w:id="53"/>
            </w:r>
          </w:p>
          <w:p w:rsidR="003746F8" w:rsidRPr="00E97D4C" w:rsidRDefault="003746F8" w:rsidP="00E97D4C">
            <w:pPr>
              <w:pStyle w:val="Bullet1"/>
              <w:spacing w:before="60"/>
              <w:ind w:left="199" w:hanging="142"/>
              <w:cnfStyle w:val="000000000000"/>
              <w:rPr>
                <w:sz w:val="20"/>
                <w:szCs w:val="20"/>
              </w:rPr>
            </w:pPr>
            <w:r w:rsidRPr="00E97D4C">
              <w:rPr>
                <w:sz w:val="20"/>
                <w:szCs w:val="20"/>
              </w:rPr>
              <w:t>Negligible biosolids contain POP-BDEs &gt; 10mg/kg</w:t>
            </w:r>
          </w:p>
          <w:p w:rsidR="003746F8" w:rsidRPr="00E97D4C" w:rsidRDefault="003746F8" w:rsidP="00E97D4C">
            <w:pPr>
              <w:pStyle w:val="Bullet1"/>
              <w:spacing w:before="60"/>
              <w:ind w:left="199" w:hanging="142"/>
              <w:cnfStyle w:val="000000000000"/>
              <w:rPr>
                <w:sz w:val="20"/>
                <w:szCs w:val="20"/>
              </w:rPr>
            </w:pPr>
            <w:r w:rsidRPr="00E97D4C">
              <w:rPr>
                <w:sz w:val="20"/>
                <w:szCs w:val="20"/>
              </w:rPr>
              <w:t>Estimate 2% of biosolids contain HBCD &gt; 10 mg/kg (based on the one result from limited international data in Table 4 very close to the limit (9mg/kg))</w:t>
            </w:r>
          </w:p>
          <w:p w:rsidR="003746F8" w:rsidRPr="00E97D4C" w:rsidRDefault="003746F8" w:rsidP="00E97D4C">
            <w:pPr>
              <w:cnfStyle w:val="000000000000"/>
              <w:rPr>
                <w:szCs w:val="20"/>
              </w:rPr>
            </w:pPr>
          </w:p>
          <w:p w:rsidR="003746F8" w:rsidRPr="00E97D4C" w:rsidRDefault="003746F8" w:rsidP="00E97D4C">
            <w:pPr>
              <w:cnfStyle w:val="000000000000"/>
              <w:rPr>
                <w:szCs w:val="20"/>
              </w:rPr>
            </w:pPr>
            <w:r w:rsidRPr="00E97D4C">
              <w:rPr>
                <w:szCs w:val="20"/>
              </w:rPr>
              <w:t xml:space="preserve">Estimated biosolids as hazardous waste M160a = 1,464,000 x 0.05 = </w:t>
            </w:r>
            <w:r w:rsidRPr="00E97D4C">
              <w:rPr>
                <w:b/>
                <w:szCs w:val="20"/>
              </w:rPr>
              <w:t>73,000 t</w:t>
            </w:r>
            <w:r w:rsidRPr="00E97D4C">
              <w:rPr>
                <w:szCs w:val="20"/>
              </w:rPr>
              <w:t xml:space="preserve"> in 2013 (if LPCL was in place)</w:t>
            </w:r>
          </w:p>
          <w:p w:rsidR="003746F8" w:rsidRPr="00E97D4C" w:rsidRDefault="003746F8" w:rsidP="00E97D4C">
            <w:pPr>
              <w:cnfStyle w:val="000000000000"/>
              <w:rPr>
                <w:szCs w:val="20"/>
              </w:rPr>
            </w:pPr>
          </w:p>
          <w:p w:rsidR="003746F8" w:rsidRPr="00E97D4C" w:rsidRDefault="003746F8" w:rsidP="00E97D4C">
            <w:pPr>
              <w:cnfStyle w:val="000000000000"/>
              <w:rPr>
                <w:szCs w:val="20"/>
              </w:rPr>
            </w:pPr>
            <w:r w:rsidRPr="00E97D4C">
              <w:rPr>
                <w:szCs w:val="20"/>
              </w:rPr>
              <w:t xml:space="preserve">Estimated biosolids as hazardous waste M160b = </w:t>
            </w:r>
            <w:r w:rsidRPr="00E97D4C">
              <w:rPr>
                <w:szCs w:val="20"/>
              </w:rPr>
              <w:lastRenderedPageBreak/>
              <w:t>1,464,000</w:t>
            </w:r>
            <w:r w:rsidR="00F954D8" w:rsidRPr="00E97D4C">
              <w:rPr>
                <w:szCs w:val="20"/>
              </w:rPr>
              <w:t xml:space="preserve"> </w:t>
            </w:r>
            <w:r w:rsidRPr="00E97D4C">
              <w:rPr>
                <w:szCs w:val="20"/>
              </w:rPr>
              <w:t xml:space="preserve">x 0 = </w:t>
            </w:r>
            <w:r w:rsidRPr="00E97D4C">
              <w:rPr>
                <w:b/>
                <w:szCs w:val="20"/>
              </w:rPr>
              <w:t>0 t</w:t>
            </w:r>
            <w:r w:rsidRPr="00E97D4C">
              <w:rPr>
                <w:szCs w:val="20"/>
              </w:rPr>
              <w:t xml:space="preserve"> in 2013 (if LPCL was in place)</w:t>
            </w:r>
          </w:p>
          <w:p w:rsidR="003746F8" w:rsidRPr="00E97D4C" w:rsidRDefault="003746F8" w:rsidP="00E97D4C">
            <w:pPr>
              <w:cnfStyle w:val="000000000000"/>
              <w:rPr>
                <w:szCs w:val="20"/>
              </w:rPr>
            </w:pPr>
          </w:p>
          <w:p w:rsidR="003746F8" w:rsidRPr="00E97D4C" w:rsidRDefault="003746F8" w:rsidP="00E97D4C">
            <w:pPr>
              <w:cnfStyle w:val="000000000000"/>
              <w:rPr>
                <w:szCs w:val="20"/>
              </w:rPr>
            </w:pPr>
            <w:r w:rsidRPr="00E97D4C">
              <w:rPr>
                <w:szCs w:val="20"/>
              </w:rPr>
              <w:t xml:space="preserve">Estimated biosolids as hazardous waste M160c = 1,464,000 x 0.02 = </w:t>
            </w:r>
            <w:r w:rsidRPr="00E97D4C">
              <w:rPr>
                <w:b/>
                <w:szCs w:val="20"/>
              </w:rPr>
              <w:t>29,000 t</w:t>
            </w:r>
            <w:r w:rsidRPr="00E97D4C">
              <w:rPr>
                <w:szCs w:val="20"/>
              </w:rPr>
              <w:t xml:space="preserve"> in 2013 (if LPCL was in place)</w:t>
            </w:r>
          </w:p>
        </w:tc>
        <w:tc>
          <w:tcPr>
            <w:tcW w:w="2767" w:type="dxa"/>
          </w:tcPr>
          <w:p w:rsidR="003746F8" w:rsidRPr="00E97D4C" w:rsidRDefault="003746F8" w:rsidP="00E97D4C">
            <w:pPr>
              <w:pStyle w:val="Bullet1"/>
              <w:ind w:left="196" w:hanging="142"/>
              <w:cnfStyle w:val="000000000000"/>
              <w:rPr>
                <w:sz w:val="20"/>
                <w:szCs w:val="20"/>
              </w:rPr>
            </w:pPr>
            <w:r w:rsidRPr="00E97D4C">
              <w:rPr>
                <w:sz w:val="20"/>
                <w:szCs w:val="20"/>
              </w:rPr>
              <w:lastRenderedPageBreak/>
              <w:t>Estimate 0.5% of biosolids contain PFOS &gt; 10 mg/kg</w:t>
            </w:r>
          </w:p>
          <w:p w:rsidR="003746F8" w:rsidRPr="00E97D4C" w:rsidRDefault="003746F8" w:rsidP="00E97D4C">
            <w:pPr>
              <w:pStyle w:val="Bullet1"/>
              <w:ind w:left="196" w:hanging="142"/>
              <w:cnfStyle w:val="000000000000"/>
              <w:rPr>
                <w:sz w:val="20"/>
                <w:szCs w:val="20"/>
              </w:rPr>
            </w:pPr>
            <w:r w:rsidRPr="00E97D4C">
              <w:rPr>
                <w:sz w:val="20"/>
                <w:szCs w:val="20"/>
              </w:rPr>
              <w:t>Negligible biosolids contain POP-BDEs &gt; 50mg/kg</w:t>
            </w:r>
          </w:p>
          <w:p w:rsidR="003746F8" w:rsidRPr="00E97D4C" w:rsidRDefault="003746F8" w:rsidP="00E97D4C">
            <w:pPr>
              <w:pStyle w:val="Bullet1"/>
              <w:ind w:left="196" w:hanging="142"/>
              <w:cnfStyle w:val="000000000000"/>
              <w:rPr>
                <w:sz w:val="20"/>
                <w:szCs w:val="20"/>
              </w:rPr>
            </w:pPr>
            <w:r w:rsidRPr="00E97D4C">
              <w:rPr>
                <w:sz w:val="20"/>
                <w:szCs w:val="20"/>
              </w:rPr>
              <w:t>Negligible biosolids contain HBCD &gt; 50 mg/kg</w:t>
            </w: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r w:rsidRPr="00E97D4C">
              <w:rPr>
                <w:szCs w:val="20"/>
              </w:rPr>
              <w:t xml:space="preserve">Estimated biosolids as hazardous waste M160a = 1,464,000 x 0.005 = </w:t>
            </w:r>
            <w:r w:rsidRPr="00E97D4C">
              <w:rPr>
                <w:b/>
                <w:szCs w:val="20"/>
              </w:rPr>
              <w:t>7,300 t</w:t>
            </w:r>
            <w:r w:rsidRPr="00E97D4C">
              <w:rPr>
                <w:szCs w:val="20"/>
              </w:rPr>
              <w:t xml:space="preserve"> in 2013 (if LPCL was in place)</w:t>
            </w:r>
          </w:p>
          <w:p w:rsidR="003746F8" w:rsidRPr="00E97D4C" w:rsidRDefault="003746F8" w:rsidP="00E97D4C">
            <w:pPr>
              <w:cnfStyle w:val="000000000000"/>
              <w:rPr>
                <w:szCs w:val="20"/>
              </w:rPr>
            </w:pPr>
          </w:p>
          <w:p w:rsidR="003746F8" w:rsidRPr="00E97D4C" w:rsidRDefault="003746F8" w:rsidP="00E97D4C">
            <w:pPr>
              <w:cnfStyle w:val="000000000000"/>
              <w:rPr>
                <w:szCs w:val="20"/>
              </w:rPr>
            </w:pPr>
            <w:r w:rsidRPr="00E97D4C">
              <w:rPr>
                <w:szCs w:val="20"/>
              </w:rPr>
              <w:t xml:space="preserve">Estimated biosolids as hazardous waste M160b = </w:t>
            </w:r>
            <w:r w:rsidRPr="00E97D4C">
              <w:rPr>
                <w:b/>
                <w:szCs w:val="20"/>
              </w:rPr>
              <w:t>0 t</w:t>
            </w:r>
            <w:r w:rsidRPr="00E97D4C">
              <w:rPr>
                <w:szCs w:val="20"/>
              </w:rPr>
              <w:t xml:space="preserve"> in </w:t>
            </w:r>
            <w:r w:rsidRPr="00E97D4C">
              <w:rPr>
                <w:szCs w:val="20"/>
              </w:rPr>
              <w:lastRenderedPageBreak/>
              <w:t>2013 (if LPCL was in place)</w:t>
            </w: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r w:rsidRPr="00E97D4C">
              <w:rPr>
                <w:szCs w:val="20"/>
              </w:rPr>
              <w:t xml:space="preserve">Estimated biosolids as hazardous waste M160c = </w:t>
            </w:r>
            <w:r w:rsidRPr="00E97D4C">
              <w:rPr>
                <w:b/>
                <w:szCs w:val="20"/>
              </w:rPr>
              <w:t>0 t</w:t>
            </w:r>
            <w:r w:rsidRPr="00E97D4C">
              <w:rPr>
                <w:szCs w:val="20"/>
              </w:rPr>
              <w:t xml:space="preserve"> in 2013 (if LPCL was in place)</w:t>
            </w:r>
          </w:p>
        </w:tc>
        <w:tc>
          <w:tcPr>
            <w:tcW w:w="2560" w:type="dxa"/>
          </w:tcPr>
          <w:p w:rsidR="003746F8" w:rsidRPr="00E97D4C" w:rsidRDefault="003746F8" w:rsidP="00E97D4C">
            <w:pPr>
              <w:pStyle w:val="Bullet1"/>
              <w:ind w:left="196" w:hanging="142"/>
              <w:cnfStyle w:val="000000000000"/>
              <w:rPr>
                <w:sz w:val="20"/>
                <w:szCs w:val="20"/>
              </w:rPr>
            </w:pPr>
            <w:r w:rsidRPr="00E97D4C">
              <w:rPr>
                <w:sz w:val="20"/>
                <w:szCs w:val="20"/>
              </w:rPr>
              <w:lastRenderedPageBreak/>
              <w:t>Negligible biosolids contain PFOS &gt; 100mg/kg</w:t>
            </w:r>
          </w:p>
          <w:p w:rsidR="003746F8" w:rsidRPr="00E97D4C" w:rsidRDefault="003746F8" w:rsidP="00E97D4C">
            <w:pPr>
              <w:pStyle w:val="Bullet1"/>
              <w:ind w:left="196" w:hanging="142"/>
              <w:cnfStyle w:val="000000000000"/>
              <w:rPr>
                <w:sz w:val="20"/>
                <w:szCs w:val="20"/>
              </w:rPr>
            </w:pPr>
            <w:r w:rsidRPr="00E97D4C">
              <w:rPr>
                <w:sz w:val="20"/>
                <w:szCs w:val="20"/>
              </w:rPr>
              <w:t>Negligible biosolids contain POP-BDEs &gt; 200mg/kg</w:t>
            </w:r>
          </w:p>
          <w:p w:rsidR="003746F8" w:rsidRPr="00E97D4C" w:rsidRDefault="003746F8" w:rsidP="00E97D4C">
            <w:pPr>
              <w:pStyle w:val="Bullet1"/>
              <w:ind w:left="196" w:hanging="142"/>
              <w:cnfStyle w:val="000000000000"/>
              <w:rPr>
                <w:sz w:val="20"/>
                <w:szCs w:val="20"/>
              </w:rPr>
            </w:pPr>
            <w:r w:rsidRPr="00E97D4C">
              <w:rPr>
                <w:sz w:val="20"/>
                <w:szCs w:val="20"/>
              </w:rPr>
              <w:t>Negligible biosolids contain HBCD &gt; 200 mg/kg</w:t>
            </w: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r w:rsidRPr="00E97D4C">
              <w:rPr>
                <w:szCs w:val="20"/>
              </w:rPr>
              <w:t xml:space="preserve">Estimated biosolids as hazardous waste M160a = </w:t>
            </w:r>
            <w:r w:rsidRPr="00E97D4C">
              <w:rPr>
                <w:b/>
                <w:szCs w:val="20"/>
              </w:rPr>
              <w:t>0 t</w:t>
            </w:r>
            <w:r w:rsidRPr="00E97D4C">
              <w:rPr>
                <w:szCs w:val="20"/>
              </w:rPr>
              <w:t xml:space="preserve"> in 2013 (if LPCL was in place)</w:t>
            </w: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r w:rsidRPr="00E97D4C">
              <w:rPr>
                <w:szCs w:val="20"/>
              </w:rPr>
              <w:t xml:space="preserve">Estimated biosolids as hazardous waste M160b = </w:t>
            </w:r>
            <w:r w:rsidRPr="00E97D4C">
              <w:rPr>
                <w:b/>
                <w:szCs w:val="20"/>
              </w:rPr>
              <w:t>0 t</w:t>
            </w:r>
            <w:r w:rsidRPr="00E97D4C">
              <w:rPr>
                <w:szCs w:val="20"/>
              </w:rPr>
              <w:t xml:space="preserve"> </w:t>
            </w:r>
            <w:r w:rsidRPr="00E97D4C">
              <w:rPr>
                <w:szCs w:val="20"/>
              </w:rPr>
              <w:lastRenderedPageBreak/>
              <w:t>in 2013 (if LPCL was in place)</w:t>
            </w:r>
          </w:p>
          <w:p w:rsidR="003746F8" w:rsidRPr="00E97D4C" w:rsidRDefault="003746F8" w:rsidP="00E97D4C">
            <w:pPr>
              <w:cnfStyle w:val="000000000000"/>
              <w:rPr>
                <w:szCs w:val="20"/>
              </w:rPr>
            </w:pPr>
          </w:p>
          <w:p w:rsidR="003746F8" w:rsidRPr="00E97D4C" w:rsidRDefault="003746F8" w:rsidP="00E97D4C">
            <w:pPr>
              <w:cnfStyle w:val="000000000000"/>
              <w:rPr>
                <w:szCs w:val="20"/>
              </w:rPr>
            </w:pPr>
          </w:p>
          <w:p w:rsidR="003746F8" w:rsidRPr="00E97D4C" w:rsidRDefault="003746F8" w:rsidP="00E97D4C">
            <w:pPr>
              <w:cnfStyle w:val="000000000000"/>
              <w:rPr>
                <w:szCs w:val="20"/>
              </w:rPr>
            </w:pPr>
            <w:r w:rsidRPr="00E97D4C">
              <w:rPr>
                <w:szCs w:val="20"/>
              </w:rPr>
              <w:t xml:space="preserve">Estimated biosolids as hazardous waste M160c = </w:t>
            </w:r>
            <w:r w:rsidRPr="00E97D4C">
              <w:rPr>
                <w:b/>
                <w:szCs w:val="20"/>
              </w:rPr>
              <w:t>0 t</w:t>
            </w:r>
            <w:r w:rsidRPr="00E97D4C">
              <w:rPr>
                <w:szCs w:val="20"/>
              </w:rPr>
              <w:t xml:space="preserve"> in 2013 (if LPCL was in place)</w:t>
            </w:r>
          </w:p>
        </w:tc>
      </w:tr>
    </w:tbl>
    <w:p w:rsidR="003746F8" w:rsidRPr="00E97D4C" w:rsidRDefault="003746F8" w:rsidP="00E97D4C">
      <w:pPr>
        <w:pStyle w:val="BodyText"/>
      </w:pPr>
    </w:p>
    <w:p w:rsidR="003746F8" w:rsidRPr="00E97D4C" w:rsidRDefault="003746F8" w:rsidP="00E97D4C">
      <w:pPr>
        <w:pStyle w:val="BodyText"/>
        <w:spacing w:after="120"/>
        <w:rPr>
          <w:i/>
        </w:rPr>
      </w:pPr>
      <w:bookmarkStart w:id="561" w:name="_Toc403143630"/>
      <w:r w:rsidRPr="00E97D4C">
        <w:rPr>
          <w:i/>
        </w:rPr>
        <w:t>Potential other waste volumes above LPCLs</w:t>
      </w:r>
      <w:bookmarkEnd w:id="561"/>
    </w:p>
    <w:p w:rsidR="003746F8" w:rsidRPr="00E97D4C" w:rsidRDefault="003746F8" w:rsidP="00E97D4C">
      <w:pPr>
        <w:pStyle w:val="BodyText"/>
      </w:pPr>
      <w:r w:rsidRPr="00E97D4C">
        <w:t>Non-biosolids wastes are explored</w:t>
      </w:r>
      <w:r w:rsidR="00A43CAB" w:rsidRPr="00E97D4C">
        <w:t xml:space="preserve"> in the table below</w:t>
      </w:r>
      <w:r w:rsidRPr="00E97D4C">
        <w:t xml:space="preserve"> as potential new Stockholm POP wastes over</w:t>
      </w:r>
      <w:r w:rsidR="00A43CAB" w:rsidRPr="00E97D4C">
        <w:t xml:space="preserve"> the forecast period (20 years).</w:t>
      </w:r>
    </w:p>
    <w:p w:rsidR="003746F8" w:rsidRPr="00E97D4C" w:rsidRDefault="003746F8" w:rsidP="00E97D4C">
      <w:pPr>
        <w:pStyle w:val="BodyText"/>
      </w:pPr>
    </w:p>
    <w:p w:rsidR="003746F8" w:rsidRPr="00E97D4C" w:rsidRDefault="003746F8" w:rsidP="00E97D4C">
      <w:pPr>
        <w:pStyle w:val="Figures"/>
      </w:pPr>
      <w:bookmarkStart w:id="562" w:name="_Toc400456468"/>
      <w:bookmarkStart w:id="563" w:name="_Toc425849362"/>
      <w:r w:rsidRPr="00E97D4C">
        <w:t xml:space="preserve">Table </w:t>
      </w:r>
      <w:r w:rsidR="006D07F5" w:rsidRPr="00E97D4C">
        <w:fldChar w:fldCharType="begin"/>
      </w:r>
      <w:r w:rsidR="00BA5D9E" w:rsidRPr="00E97D4C">
        <w:instrText xml:space="preserve"> SEQ Table \* ARABIC </w:instrText>
      </w:r>
      <w:r w:rsidR="006D07F5" w:rsidRPr="00E97D4C">
        <w:rPr>
          <w:noProof/>
        </w:rPr>
        <w:fldChar w:fldCharType="separate"/>
      </w:r>
      <w:r w:rsidR="002F3000">
        <w:rPr>
          <w:noProof/>
        </w:rPr>
        <w:t>77</w:t>
      </w:r>
      <w:r w:rsidR="006D07F5" w:rsidRPr="00E97D4C">
        <w:rPr>
          <w:noProof/>
        </w:rPr>
        <w:fldChar w:fldCharType="end"/>
      </w:r>
      <w:r w:rsidRPr="00E97D4C">
        <w:t xml:space="preserve">: </w:t>
      </w:r>
      <w:r w:rsidRPr="00E97D4C">
        <w:tab/>
      </w:r>
      <w:bookmarkEnd w:id="562"/>
      <w:r w:rsidRPr="00E97D4C">
        <w:t>Estimated baseline year arisings of other POP-wastes, under different LPCL settings</w:t>
      </w:r>
      <w:bookmarkEnd w:id="563"/>
    </w:p>
    <w:tbl>
      <w:tblPr>
        <w:tblStyle w:val="TableGrid"/>
        <w:tblW w:w="9881" w:type="dxa"/>
        <w:tblInd w:w="-275" w:type="dxa"/>
        <w:tblLook w:val="04A0"/>
      </w:tblPr>
      <w:tblGrid>
        <w:gridCol w:w="1517"/>
        <w:gridCol w:w="2623"/>
        <w:gridCol w:w="71"/>
        <w:gridCol w:w="2835"/>
        <w:gridCol w:w="334"/>
        <w:gridCol w:w="2501"/>
      </w:tblGrid>
      <w:tr w:rsidR="006B7EDD" w:rsidRPr="006B7EDD" w:rsidTr="003746F8">
        <w:tc>
          <w:tcPr>
            <w:tcW w:w="1517" w:type="dxa"/>
            <w:vMerge w:val="restart"/>
            <w:vAlign w:val="bottom"/>
          </w:tcPr>
          <w:p w:rsidR="003746F8" w:rsidRPr="00E97D4C" w:rsidRDefault="003746F8" w:rsidP="00E97D4C">
            <w:pPr>
              <w:rPr>
                <w:rFonts w:asciiTheme="minorHAnsi" w:hAnsiTheme="minorHAnsi"/>
                <w:b/>
                <w:szCs w:val="20"/>
              </w:rPr>
            </w:pPr>
            <w:r w:rsidRPr="00E97D4C">
              <w:rPr>
                <w:rFonts w:asciiTheme="minorHAnsi" w:hAnsiTheme="minorHAnsi"/>
                <w:b/>
                <w:szCs w:val="20"/>
              </w:rPr>
              <w:t>POP in waste</w:t>
            </w:r>
          </w:p>
        </w:tc>
        <w:tc>
          <w:tcPr>
            <w:tcW w:w="8364" w:type="dxa"/>
            <w:gridSpan w:val="5"/>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Waste Arising Scenario</w:t>
            </w:r>
          </w:p>
        </w:tc>
      </w:tr>
      <w:tr w:rsidR="006B7EDD" w:rsidRPr="006B7EDD" w:rsidTr="003746F8">
        <w:tc>
          <w:tcPr>
            <w:tcW w:w="1517" w:type="dxa"/>
            <w:vMerge/>
          </w:tcPr>
          <w:p w:rsidR="003746F8" w:rsidRPr="00E97D4C" w:rsidRDefault="003746F8" w:rsidP="00E97D4C">
            <w:pPr>
              <w:rPr>
                <w:rFonts w:asciiTheme="minorHAnsi" w:hAnsiTheme="minorHAnsi"/>
                <w:b/>
                <w:szCs w:val="20"/>
              </w:rPr>
            </w:pPr>
          </w:p>
        </w:tc>
        <w:tc>
          <w:tcPr>
            <w:tcW w:w="2623" w:type="dxa"/>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High (assumed LPCL mg/kg)</w:t>
            </w:r>
          </w:p>
        </w:tc>
        <w:tc>
          <w:tcPr>
            <w:tcW w:w="3240" w:type="dxa"/>
            <w:gridSpan w:val="3"/>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Best (assumed LPCL mg/kg)</w:t>
            </w:r>
          </w:p>
        </w:tc>
        <w:tc>
          <w:tcPr>
            <w:tcW w:w="2501" w:type="dxa"/>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Low (assumed LPCL mg/kg)</w:t>
            </w:r>
          </w:p>
        </w:tc>
      </w:tr>
      <w:tr w:rsidR="006B7EDD" w:rsidRPr="006B7EDD" w:rsidTr="003746F8">
        <w:tc>
          <w:tcPr>
            <w:tcW w:w="1517" w:type="dxa"/>
            <w:vMerge w:val="restart"/>
          </w:tcPr>
          <w:p w:rsidR="003746F8" w:rsidRPr="00E97D4C" w:rsidRDefault="003746F8" w:rsidP="00E97D4C">
            <w:pPr>
              <w:rPr>
                <w:rFonts w:asciiTheme="minorHAnsi" w:hAnsiTheme="minorHAnsi"/>
                <w:b/>
                <w:szCs w:val="20"/>
              </w:rPr>
            </w:pPr>
            <w:r w:rsidRPr="00E97D4C">
              <w:rPr>
                <w:rFonts w:asciiTheme="minorHAnsi" w:hAnsiTheme="minorHAnsi"/>
                <w:b/>
                <w:szCs w:val="20"/>
              </w:rPr>
              <w:t>M160a - PFOS</w:t>
            </w:r>
          </w:p>
        </w:tc>
        <w:tc>
          <w:tcPr>
            <w:tcW w:w="8364" w:type="dxa"/>
            <w:gridSpan w:val="5"/>
            <w:tcBorders>
              <w:bottom w:val="double" w:sz="4" w:space="0" w:color="auto"/>
            </w:tcBorders>
          </w:tcPr>
          <w:p w:rsidR="003746F8" w:rsidRPr="00E97D4C" w:rsidRDefault="003746F8" w:rsidP="00E97D4C">
            <w:pPr>
              <w:rPr>
                <w:rFonts w:asciiTheme="minorHAnsi" w:hAnsiTheme="minorHAnsi"/>
                <w:szCs w:val="20"/>
              </w:rPr>
            </w:pPr>
            <w:r w:rsidRPr="00E97D4C">
              <w:rPr>
                <w:rFonts w:asciiTheme="minorHAnsi" w:hAnsiTheme="minorHAnsi"/>
                <w:b/>
                <w:szCs w:val="20"/>
              </w:rPr>
              <w:t>Fire Waters and AFFF concentrates containing PFOS</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2012 waste tracking data for N140 Fire debris and fire wash waters = 2,668 t</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This volume suggests that firefighting water/ debris is not fully captured in tracking systems and may not be well contained and recovered from fire scenes at all</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End 2013 estimates of AFFF stocks in Australia are 1,507 tonnes</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This has reduced 25% from 2010 estimates, which is approximately equivalent to a 10% reduction per year</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 xml:space="preserve">1,507 x 0.1 = </w:t>
            </w:r>
            <w:r w:rsidRPr="00E97D4C">
              <w:rPr>
                <w:rFonts w:asciiTheme="minorHAnsi" w:hAnsiTheme="minorHAnsi"/>
                <w:b/>
                <w:sz w:val="20"/>
                <w:szCs w:val="20"/>
              </w:rPr>
              <w:t>151 t</w:t>
            </w:r>
            <w:r w:rsidRPr="00E97D4C">
              <w:rPr>
                <w:rFonts w:asciiTheme="minorHAnsi" w:hAnsiTheme="minorHAnsi"/>
                <w:sz w:val="20"/>
                <w:szCs w:val="20"/>
              </w:rPr>
              <w:t xml:space="preserve"> will be reduced from stocks in 2014</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 xml:space="preserve">A ‘reasonable’ proportion of this 151 t is thermally destroyed (as described in DoE briefing information) </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 xml:space="preserve">On the basis that AFFF concentrates are still an allowable use under Stockholm and the concentrates are perfectly effective and functional in firefighting, we have assumed ‘reasonable’ to be 25% of 151 t = </w:t>
            </w:r>
            <w:r w:rsidRPr="00E97D4C">
              <w:rPr>
                <w:rFonts w:asciiTheme="minorHAnsi" w:hAnsiTheme="minorHAnsi"/>
                <w:b/>
                <w:sz w:val="20"/>
                <w:szCs w:val="20"/>
                <w:u w:val="single"/>
              </w:rPr>
              <w:t>38 t</w:t>
            </w:r>
            <w:r w:rsidRPr="00E97D4C">
              <w:rPr>
                <w:rFonts w:asciiTheme="minorHAnsi" w:hAnsiTheme="minorHAnsi"/>
                <w:sz w:val="20"/>
                <w:szCs w:val="20"/>
                <w:u w:val="single"/>
              </w:rPr>
              <w:t xml:space="preserve"> of AFFF concentrate will be destroyed in 2014</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 xml:space="preserve">This leaves </w:t>
            </w:r>
            <w:r w:rsidRPr="00E97D4C">
              <w:rPr>
                <w:rFonts w:asciiTheme="minorHAnsi" w:hAnsiTheme="minorHAnsi"/>
                <w:b/>
                <w:sz w:val="20"/>
                <w:szCs w:val="20"/>
              </w:rPr>
              <w:t>113 t</w:t>
            </w:r>
            <w:r w:rsidRPr="00E97D4C">
              <w:rPr>
                <w:rFonts w:asciiTheme="minorHAnsi" w:hAnsiTheme="minorHAnsi"/>
                <w:sz w:val="20"/>
                <w:szCs w:val="20"/>
              </w:rPr>
              <w:t xml:space="preserve"> of AFFF to be used in firefighting in 2014</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These concentrates are used in the field diluted at approximately 3% with water</w:t>
            </w:r>
            <w:r w:rsidRPr="00E97D4C">
              <w:rPr>
                <w:rStyle w:val="FootnoteReference"/>
                <w:rFonts w:asciiTheme="minorHAnsi" w:hAnsiTheme="minorHAnsi"/>
                <w:sz w:val="20"/>
                <w:szCs w:val="20"/>
              </w:rPr>
              <w:footnoteReference w:id="54"/>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 xml:space="preserve">Estimate total </w:t>
            </w:r>
            <w:r w:rsidRPr="00E97D4C">
              <w:rPr>
                <w:rFonts w:asciiTheme="minorHAnsi" w:hAnsiTheme="minorHAnsi"/>
                <w:sz w:val="20"/>
                <w:szCs w:val="20"/>
                <w:u w:val="single"/>
              </w:rPr>
              <w:t xml:space="preserve">working foam mixture consumed in firefighting in 2014 = 113 x 100/3 = </w:t>
            </w:r>
            <w:r w:rsidRPr="00E97D4C">
              <w:rPr>
                <w:rFonts w:asciiTheme="minorHAnsi" w:hAnsiTheme="minorHAnsi"/>
                <w:b/>
                <w:sz w:val="20"/>
                <w:szCs w:val="20"/>
                <w:u w:val="single"/>
              </w:rPr>
              <w:t>3,767 t</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Assume all of this volume becomes waste without further dilution, and all will be above any LCPLs to be set</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 xml:space="preserve">Total estimate of PFOS wastes as fire waters and AFFF concentrates presenting for disposal in 2014 = 3,767 + 38 = </w:t>
            </w:r>
            <w:r w:rsidRPr="00E97D4C">
              <w:rPr>
                <w:rFonts w:asciiTheme="minorHAnsi" w:hAnsiTheme="minorHAnsi"/>
                <w:b/>
                <w:sz w:val="20"/>
                <w:szCs w:val="20"/>
              </w:rPr>
              <w:t>3,805tpa</w:t>
            </w:r>
          </w:p>
        </w:tc>
      </w:tr>
      <w:tr w:rsidR="006B7EDD" w:rsidRPr="006B7EDD" w:rsidTr="003746F8">
        <w:tc>
          <w:tcPr>
            <w:tcW w:w="1517" w:type="dxa"/>
            <w:vMerge/>
            <w:tcBorders>
              <w:bottom w:val="double" w:sz="4" w:space="0" w:color="auto"/>
              <w:right w:val="double" w:sz="4" w:space="0" w:color="auto"/>
            </w:tcBorders>
          </w:tcPr>
          <w:p w:rsidR="003746F8" w:rsidRPr="00E97D4C" w:rsidRDefault="003746F8" w:rsidP="00E97D4C">
            <w:pPr>
              <w:rPr>
                <w:rFonts w:asciiTheme="minorHAnsi" w:hAnsiTheme="minorHAnsi"/>
                <w:b/>
                <w:szCs w:val="20"/>
              </w:rPr>
            </w:pPr>
          </w:p>
        </w:tc>
        <w:tc>
          <w:tcPr>
            <w:tcW w:w="2623"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1</w:t>
            </w:r>
          </w:p>
        </w:tc>
        <w:tc>
          <w:tcPr>
            <w:tcW w:w="3240" w:type="dxa"/>
            <w:gridSpan w:val="3"/>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10</w:t>
            </w:r>
          </w:p>
        </w:tc>
        <w:tc>
          <w:tcPr>
            <w:tcW w:w="2501"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100</w:t>
            </w:r>
          </w:p>
        </w:tc>
      </w:tr>
      <w:tr w:rsidR="006B7EDD" w:rsidRPr="006B7EDD" w:rsidTr="003746F8">
        <w:trPr>
          <w:trHeight w:val="293"/>
        </w:trPr>
        <w:tc>
          <w:tcPr>
            <w:tcW w:w="1517"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rPr>
                <w:rFonts w:asciiTheme="minorHAnsi" w:hAnsiTheme="minorHAnsi"/>
                <w:b/>
                <w:szCs w:val="20"/>
              </w:rPr>
            </w:pPr>
            <w:r w:rsidRPr="00E97D4C">
              <w:rPr>
                <w:rFonts w:asciiTheme="minorHAnsi" w:hAnsiTheme="minorHAnsi"/>
                <w:b/>
                <w:szCs w:val="20"/>
              </w:rPr>
              <w:t>AFFF concentrates for destruction</w:t>
            </w:r>
          </w:p>
        </w:tc>
        <w:tc>
          <w:tcPr>
            <w:tcW w:w="2623" w:type="dxa"/>
            <w:tcBorders>
              <w:top w:val="double" w:sz="4" w:space="0" w:color="auto"/>
              <w:left w:val="double" w:sz="4" w:space="0" w:color="auto"/>
              <w:bottom w:val="double" w:sz="4" w:space="0" w:color="auto"/>
              <w:right w:val="double" w:sz="4" w:space="0" w:color="auto"/>
            </w:tcBorders>
            <w:vAlign w:val="center"/>
          </w:tcPr>
          <w:p w:rsidR="003746F8" w:rsidRPr="00E97D4C" w:rsidRDefault="003746F8" w:rsidP="00E97D4C">
            <w:pPr>
              <w:jc w:val="center"/>
              <w:rPr>
                <w:rFonts w:asciiTheme="minorHAnsi" w:hAnsiTheme="minorHAnsi"/>
                <w:szCs w:val="20"/>
              </w:rPr>
            </w:pPr>
            <w:r w:rsidRPr="00E97D4C">
              <w:rPr>
                <w:rFonts w:asciiTheme="minorHAnsi" w:hAnsiTheme="minorHAnsi"/>
                <w:szCs w:val="20"/>
              </w:rPr>
              <w:t>38</w:t>
            </w:r>
          </w:p>
        </w:tc>
        <w:tc>
          <w:tcPr>
            <w:tcW w:w="3240" w:type="dxa"/>
            <w:gridSpan w:val="3"/>
            <w:tcBorders>
              <w:top w:val="double" w:sz="4" w:space="0" w:color="auto"/>
              <w:left w:val="double" w:sz="4" w:space="0" w:color="auto"/>
              <w:bottom w:val="double" w:sz="4" w:space="0" w:color="auto"/>
              <w:right w:val="double" w:sz="4" w:space="0" w:color="auto"/>
            </w:tcBorders>
            <w:vAlign w:val="center"/>
          </w:tcPr>
          <w:p w:rsidR="003746F8" w:rsidRPr="00E97D4C" w:rsidRDefault="003746F8" w:rsidP="00E97D4C">
            <w:pPr>
              <w:jc w:val="center"/>
              <w:rPr>
                <w:rFonts w:asciiTheme="minorHAnsi" w:hAnsiTheme="minorHAnsi"/>
                <w:szCs w:val="20"/>
              </w:rPr>
            </w:pPr>
            <w:r w:rsidRPr="00E97D4C">
              <w:rPr>
                <w:rFonts w:asciiTheme="minorHAnsi" w:hAnsiTheme="minorHAnsi"/>
                <w:szCs w:val="20"/>
              </w:rPr>
              <w:t>38</w:t>
            </w:r>
          </w:p>
        </w:tc>
        <w:tc>
          <w:tcPr>
            <w:tcW w:w="2501" w:type="dxa"/>
            <w:tcBorders>
              <w:top w:val="double" w:sz="4" w:space="0" w:color="auto"/>
              <w:left w:val="double" w:sz="4" w:space="0" w:color="auto"/>
              <w:bottom w:val="double" w:sz="4" w:space="0" w:color="auto"/>
              <w:right w:val="double" w:sz="4" w:space="0" w:color="auto"/>
            </w:tcBorders>
            <w:vAlign w:val="center"/>
          </w:tcPr>
          <w:p w:rsidR="003746F8" w:rsidRPr="00E97D4C" w:rsidRDefault="003746F8" w:rsidP="00E97D4C">
            <w:pPr>
              <w:jc w:val="center"/>
              <w:rPr>
                <w:rFonts w:asciiTheme="minorHAnsi" w:hAnsiTheme="minorHAnsi"/>
                <w:szCs w:val="20"/>
              </w:rPr>
            </w:pPr>
            <w:r w:rsidRPr="00E97D4C">
              <w:rPr>
                <w:rFonts w:asciiTheme="minorHAnsi" w:hAnsiTheme="minorHAnsi"/>
                <w:szCs w:val="20"/>
              </w:rPr>
              <w:t>38</w:t>
            </w:r>
          </w:p>
        </w:tc>
      </w:tr>
      <w:tr w:rsidR="006B7EDD" w:rsidRPr="006B7EDD" w:rsidTr="003746F8">
        <w:trPr>
          <w:trHeight w:val="293"/>
        </w:trPr>
        <w:tc>
          <w:tcPr>
            <w:tcW w:w="1517"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rPr>
                <w:rFonts w:asciiTheme="minorHAnsi" w:hAnsiTheme="minorHAnsi"/>
                <w:b/>
                <w:szCs w:val="20"/>
              </w:rPr>
            </w:pPr>
            <w:r w:rsidRPr="00E97D4C">
              <w:rPr>
                <w:rFonts w:asciiTheme="minorHAnsi" w:hAnsiTheme="minorHAnsi"/>
                <w:b/>
                <w:szCs w:val="20"/>
              </w:rPr>
              <w:t>Fire waters</w:t>
            </w:r>
          </w:p>
        </w:tc>
        <w:tc>
          <w:tcPr>
            <w:tcW w:w="2623"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szCs w:val="20"/>
              </w:rPr>
            </w:pPr>
            <w:r w:rsidRPr="00E97D4C">
              <w:rPr>
                <w:rFonts w:asciiTheme="minorHAnsi" w:hAnsiTheme="minorHAnsi"/>
                <w:szCs w:val="20"/>
              </w:rPr>
              <w:t>3,767</w:t>
            </w:r>
          </w:p>
        </w:tc>
        <w:tc>
          <w:tcPr>
            <w:tcW w:w="3240" w:type="dxa"/>
            <w:gridSpan w:val="3"/>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szCs w:val="20"/>
              </w:rPr>
            </w:pPr>
            <w:r w:rsidRPr="00E97D4C">
              <w:rPr>
                <w:rFonts w:asciiTheme="minorHAnsi" w:hAnsiTheme="minorHAnsi"/>
                <w:szCs w:val="20"/>
              </w:rPr>
              <w:t>3,767</w:t>
            </w:r>
          </w:p>
        </w:tc>
        <w:tc>
          <w:tcPr>
            <w:tcW w:w="2501"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szCs w:val="20"/>
              </w:rPr>
            </w:pPr>
            <w:r w:rsidRPr="00E97D4C">
              <w:rPr>
                <w:rFonts w:asciiTheme="minorHAnsi" w:hAnsiTheme="minorHAnsi"/>
                <w:szCs w:val="20"/>
              </w:rPr>
              <w:t>3,767</w:t>
            </w:r>
          </w:p>
        </w:tc>
      </w:tr>
      <w:tr w:rsidR="006B7EDD" w:rsidRPr="006B7EDD" w:rsidTr="003746F8">
        <w:tc>
          <w:tcPr>
            <w:tcW w:w="1517" w:type="dxa"/>
            <w:vMerge w:val="restart"/>
            <w:tcBorders>
              <w:top w:val="double" w:sz="4" w:space="0" w:color="auto"/>
            </w:tcBorders>
          </w:tcPr>
          <w:p w:rsidR="003746F8" w:rsidRPr="00E97D4C" w:rsidRDefault="003746F8" w:rsidP="00E97D4C">
            <w:pPr>
              <w:rPr>
                <w:rFonts w:asciiTheme="minorHAnsi" w:hAnsiTheme="minorHAnsi"/>
                <w:b/>
                <w:szCs w:val="20"/>
              </w:rPr>
            </w:pPr>
            <w:r w:rsidRPr="00E97D4C">
              <w:rPr>
                <w:rFonts w:asciiTheme="minorHAnsi" w:hAnsiTheme="minorHAnsi"/>
                <w:b/>
                <w:szCs w:val="20"/>
              </w:rPr>
              <w:t>M160b - POP-BDEs</w:t>
            </w:r>
          </w:p>
        </w:tc>
        <w:tc>
          <w:tcPr>
            <w:tcW w:w="8364" w:type="dxa"/>
            <w:gridSpan w:val="5"/>
            <w:tcBorders>
              <w:top w:val="double" w:sz="4" w:space="0" w:color="auto"/>
              <w:bottom w:val="double" w:sz="4" w:space="0" w:color="auto"/>
            </w:tcBorders>
          </w:tcPr>
          <w:p w:rsidR="003746F8" w:rsidRPr="00E97D4C" w:rsidRDefault="003746F8" w:rsidP="00E97D4C">
            <w:pPr>
              <w:rPr>
                <w:rFonts w:asciiTheme="minorHAnsi" w:hAnsiTheme="minorHAnsi"/>
                <w:b/>
                <w:szCs w:val="20"/>
              </w:rPr>
            </w:pPr>
            <w:r w:rsidRPr="00E97D4C">
              <w:rPr>
                <w:rFonts w:asciiTheme="minorHAnsi" w:hAnsiTheme="minorHAnsi"/>
                <w:b/>
                <w:szCs w:val="20"/>
              </w:rPr>
              <w:t>WEEE presenting for disposal (not recycling)</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Total WEEE in 2007/08 was 106,000 t and 10% recycled</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 xml:space="preserve">Projected to grow to 181,000 t by 2027/28 and assume max. penetration of TV &amp; Computers program is 80% </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Assuming linear growth this equates to 3,750 t growth in WEEE per year</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lastRenderedPageBreak/>
              <w:t>At 2012/13 estimate of WEEE is 124,750 t with approx. 30% recycled</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UNEP Inventory Guidelines indicate polymer content of average WEEE items is 30% of the weight of the article</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Estimate of ABS polymer casings at 2012/13 = 0.3 x 124,750 = 37,425t</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 xml:space="preserve">Assuming 30% recycling then 70% goes to landfill = 0.7 x 37,425 = </w:t>
            </w:r>
            <w:r w:rsidRPr="00E97D4C">
              <w:rPr>
                <w:rFonts w:asciiTheme="minorHAnsi" w:hAnsiTheme="minorHAnsi"/>
                <w:b/>
                <w:sz w:val="20"/>
                <w:szCs w:val="20"/>
              </w:rPr>
              <w:t>26,198t ABS polymer casings to landfill</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Latimer (2013)</w:t>
            </w:r>
            <w:r w:rsidRPr="00E97D4C">
              <w:rPr>
                <w:rStyle w:val="FootnoteReference"/>
                <w:rFonts w:asciiTheme="minorHAnsi" w:hAnsiTheme="minorHAnsi"/>
                <w:sz w:val="20"/>
                <w:szCs w:val="20"/>
              </w:rPr>
              <w:footnoteReference w:id="55"/>
            </w:r>
            <w:r w:rsidRPr="00E97D4C">
              <w:rPr>
                <w:rFonts w:asciiTheme="minorHAnsi" w:hAnsiTheme="minorHAnsi"/>
                <w:sz w:val="20"/>
                <w:szCs w:val="20"/>
              </w:rPr>
              <w:t xml:space="preserve"> found that the amount of WEEE presenting in Australia from 2014/15 onwards with POP-BDEs at flame retarding levels will be negligible</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Bentley (2013)</w:t>
            </w:r>
            <w:r w:rsidRPr="00E97D4C">
              <w:rPr>
                <w:rStyle w:val="FootnoteReference"/>
                <w:rFonts w:asciiTheme="minorHAnsi" w:hAnsiTheme="minorHAnsi"/>
                <w:sz w:val="20"/>
                <w:szCs w:val="20"/>
              </w:rPr>
              <w:footnoteReference w:id="56"/>
            </w:r>
            <w:r w:rsidRPr="00E97D4C">
              <w:rPr>
                <w:rFonts w:asciiTheme="minorHAnsi" w:hAnsiTheme="minorHAnsi"/>
                <w:sz w:val="20"/>
                <w:szCs w:val="20"/>
              </w:rPr>
              <w:t xml:space="preserve"> analysed 18 brand new TVs and computer equipment in Australia (amongst other EEE) and found 10 above 50ppm for octaBDE and 5 above 200ppm for octaBDE.</w:t>
            </w:r>
            <w:r w:rsidR="00F954D8" w:rsidRPr="00E97D4C">
              <w:rPr>
                <w:rFonts w:asciiTheme="minorHAnsi" w:hAnsiTheme="minorHAnsi"/>
                <w:sz w:val="20"/>
                <w:szCs w:val="20"/>
              </w:rPr>
              <w:t xml:space="preserve"> </w:t>
            </w:r>
            <w:r w:rsidRPr="00E97D4C">
              <w:rPr>
                <w:rFonts w:asciiTheme="minorHAnsi" w:hAnsiTheme="minorHAnsi"/>
                <w:sz w:val="20"/>
                <w:szCs w:val="20"/>
              </w:rPr>
              <w:t>Levels identified were too low for flame retardancy and are assumed to be due to contamination of ‘clean’ plastics with POP-BDE containing recyclate plastics, thereby maintaining a lower but significant level of POP-BDEs in new products.</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Latimer (2) (2013)</w:t>
            </w:r>
            <w:r w:rsidRPr="00E97D4C">
              <w:rPr>
                <w:rStyle w:val="FootnoteReference"/>
                <w:rFonts w:asciiTheme="minorHAnsi" w:hAnsiTheme="minorHAnsi"/>
                <w:sz w:val="20"/>
                <w:szCs w:val="20"/>
              </w:rPr>
              <w:footnoteReference w:id="57"/>
            </w:r>
            <w:r w:rsidRPr="00E97D4C">
              <w:rPr>
                <w:rFonts w:asciiTheme="minorHAnsi" w:hAnsiTheme="minorHAnsi"/>
                <w:sz w:val="20"/>
                <w:szCs w:val="20"/>
              </w:rPr>
              <w:t xml:space="preserve"> tested 124 WEEE samples in New Zealand for Br, and analysed 15 representative high positives for POP-BDEs, finding no detectable levels of POP-BDEs</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In the largest study conducted in recent years, Sindiku analysed 383 samples of CRT TVs and monitors aged from the mid ‘80s – 2004 (highest anticipated usage period for POP-BDEs).</w:t>
            </w:r>
            <w:r w:rsidR="00F954D8" w:rsidRPr="00E97D4C">
              <w:rPr>
                <w:rFonts w:asciiTheme="minorHAnsi" w:hAnsiTheme="minorHAnsi"/>
                <w:sz w:val="20"/>
                <w:szCs w:val="20"/>
              </w:rPr>
              <w:t xml:space="preserve"> </w:t>
            </w:r>
            <w:r w:rsidRPr="00E97D4C">
              <w:rPr>
                <w:rFonts w:asciiTheme="minorHAnsi" w:hAnsiTheme="minorHAnsi"/>
                <w:sz w:val="20"/>
                <w:szCs w:val="20"/>
              </w:rPr>
              <w:t>Only 2% of these results were positive for octaBDE, at average concentrations around 50,000 mg/kg</w:t>
            </w:r>
          </w:p>
        </w:tc>
      </w:tr>
      <w:tr w:rsidR="006B7EDD" w:rsidRPr="006B7EDD" w:rsidTr="00E028D4">
        <w:tc>
          <w:tcPr>
            <w:tcW w:w="1517" w:type="dxa"/>
            <w:vMerge/>
            <w:tcBorders>
              <w:bottom w:val="double" w:sz="4" w:space="0" w:color="auto"/>
              <w:right w:val="double" w:sz="4" w:space="0" w:color="auto"/>
            </w:tcBorders>
          </w:tcPr>
          <w:p w:rsidR="003746F8" w:rsidRPr="00E97D4C" w:rsidRDefault="003746F8" w:rsidP="00E97D4C">
            <w:pPr>
              <w:rPr>
                <w:rFonts w:asciiTheme="minorHAnsi" w:hAnsiTheme="minorHAnsi"/>
                <w:szCs w:val="20"/>
              </w:rPr>
            </w:pPr>
          </w:p>
        </w:tc>
        <w:tc>
          <w:tcPr>
            <w:tcW w:w="2694" w:type="dxa"/>
            <w:gridSpan w:val="2"/>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10</w:t>
            </w:r>
          </w:p>
        </w:tc>
        <w:tc>
          <w:tcPr>
            <w:tcW w:w="2835"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50</w:t>
            </w:r>
          </w:p>
        </w:tc>
        <w:tc>
          <w:tcPr>
            <w:tcW w:w="2835" w:type="dxa"/>
            <w:gridSpan w:val="2"/>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200</w:t>
            </w:r>
          </w:p>
        </w:tc>
      </w:tr>
      <w:tr w:rsidR="006B7EDD" w:rsidRPr="006B7EDD" w:rsidTr="00E028D4">
        <w:tc>
          <w:tcPr>
            <w:tcW w:w="1517"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rPr>
                <w:rFonts w:asciiTheme="minorHAnsi" w:hAnsiTheme="minorHAnsi"/>
                <w:szCs w:val="20"/>
              </w:rPr>
            </w:pPr>
            <w:r w:rsidRPr="00E97D4C">
              <w:rPr>
                <w:rFonts w:asciiTheme="minorHAnsi" w:hAnsiTheme="minorHAnsi"/>
                <w:szCs w:val="20"/>
              </w:rPr>
              <w:t>WEEE presenting for disposal</w:t>
            </w:r>
          </w:p>
        </w:tc>
        <w:tc>
          <w:tcPr>
            <w:tcW w:w="2694" w:type="dxa"/>
            <w:gridSpan w:val="2"/>
            <w:tcBorders>
              <w:top w:val="double" w:sz="4" w:space="0" w:color="auto"/>
              <w:left w:val="double" w:sz="4" w:space="0" w:color="auto"/>
              <w:bottom w:val="double" w:sz="4" w:space="0" w:color="auto"/>
              <w:right w:val="double" w:sz="4" w:space="0" w:color="auto"/>
            </w:tcBorders>
          </w:tcPr>
          <w:p w:rsidR="003746F8" w:rsidRPr="00E97D4C" w:rsidRDefault="003746F8" w:rsidP="00E97D4C">
            <w:pPr>
              <w:pStyle w:val="Bullet1"/>
              <w:ind w:left="316" w:hanging="280"/>
              <w:rPr>
                <w:rFonts w:asciiTheme="minorHAnsi" w:hAnsiTheme="minorHAnsi"/>
                <w:sz w:val="20"/>
                <w:szCs w:val="20"/>
              </w:rPr>
            </w:pPr>
            <w:r w:rsidRPr="00E97D4C">
              <w:rPr>
                <w:rFonts w:asciiTheme="minorHAnsi" w:hAnsiTheme="minorHAnsi"/>
                <w:sz w:val="20"/>
                <w:szCs w:val="20"/>
              </w:rPr>
              <w:t xml:space="preserve">Assume contaminated recyclate causes </w:t>
            </w:r>
            <w:r w:rsidRPr="00E97D4C">
              <w:rPr>
                <w:rFonts w:asciiTheme="minorHAnsi" w:hAnsiTheme="minorHAnsi"/>
                <w:b/>
                <w:sz w:val="20"/>
                <w:szCs w:val="20"/>
              </w:rPr>
              <w:t>10%</w:t>
            </w:r>
            <w:r w:rsidRPr="00E97D4C">
              <w:rPr>
                <w:rFonts w:asciiTheme="minorHAnsi" w:hAnsiTheme="minorHAnsi"/>
                <w:sz w:val="20"/>
                <w:szCs w:val="20"/>
              </w:rPr>
              <w:t xml:space="preserve"> of plastics in WEEE to be &gt; </w:t>
            </w:r>
            <w:r w:rsidRPr="00E97D4C">
              <w:rPr>
                <w:rFonts w:asciiTheme="minorHAnsi" w:hAnsiTheme="minorHAnsi"/>
                <w:sz w:val="20"/>
                <w:szCs w:val="20"/>
                <w:u w:val="single"/>
              </w:rPr>
              <w:t>10mg/kg</w:t>
            </w:r>
          </w:p>
          <w:p w:rsidR="003746F8" w:rsidRPr="00E97D4C" w:rsidRDefault="003746F8" w:rsidP="00E97D4C">
            <w:pPr>
              <w:pStyle w:val="Bullet1"/>
              <w:ind w:left="316" w:hanging="280"/>
              <w:rPr>
                <w:rFonts w:asciiTheme="minorHAnsi" w:hAnsiTheme="minorHAnsi"/>
                <w:sz w:val="20"/>
                <w:szCs w:val="20"/>
              </w:rPr>
            </w:pPr>
            <w:r w:rsidRPr="00E97D4C">
              <w:rPr>
                <w:rFonts w:asciiTheme="minorHAnsi" w:hAnsiTheme="minorHAnsi"/>
                <w:sz w:val="20"/>
                <w:szCs w:val="20"/>
              </w:rPr>
              <w:t xml:space="preserve">Estimated WEEE presenting for landfill that should be diverted </w:t>
            </w:r>
            <w:r w:rsidR="00E028D4" w:rsidRPr="00E97D4C">
              <w:rPr>
                <w:rFonts w:asciiTheme="minorHAnsi" w:hAnsiTheme="minorHAnsi"/>
                <w:sz w:val="20"/>
                <w:szCs w:val="20"/>
              </w:rPr>
              <w:t>&amp;</w:t>
            </w:r>
            <w:r w:rsidRPr="00E97D4C">
              <w:rPr>
                <w:rFonts w:asciiTheme="minorHAnsi" w:hAnsiTheme="minorHAnsi"/>
                <w:sz w:val="20"/>
                <w:szCs w:val="20"/>
              </w:rPr>
              <w:t xml:space="preserve"> treated as hazardous POP-BDE waste = 26,198 x 0.1 = </w:t>
            </w:r>
            <w:r w:rsidRPr="00E97D4C">
              <w:rPr>
                <w:rFonts w:asciiTheme="minorHAnsi" w:hAnsiTheme="minorHAnsi"/>
                <w:b/>
                <w:sz w:val="20"/>
                <w:szCs w:val="20"/>
              </w:rPr>
              <w:t>2,620t</w:t>
            </w:r>
            <w:r w:rsidRPr="00E97D4C">
              <w:rPr>
                <w:rFonts w:asciiTheme="minorHAnsi" w:hAnsiTheme="minorHAnsi"/>
                <w:sz w:val="20"/>
                <w:szCs w:val="20"/>
              </w:rPr>
              <w:t xml:space="preserve"> (if LPCL was in place)</w:t>
            </w:r>
          </w:p>
        </w:tc>
        <w:tc>
          <w:tcPr>
            <w:tcW w:w="2835"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pStyle w:val="Bullet1"/>
              <w:ind w:left="246" w:hanging="208"/>
              <w:rPr>
                <w:rFonts w:asciiTheme="minorHAnsi" w:hAnsiTheme="minorHAnsi"/>
                <w:sz w:val="20"/>
                <w:szCs w:val="20"/>
              </w:rPr>
            </w:pPr>
            <w:r w:rsidRPr="00E97D4C">
              <w:rPr>
                <w:rFonts w:asciiTheme="minorHAnsi" w:hAnsiTheme="minorHAnsi"/>
                <w:sz w:val="20"/>
                <w:szCs w:val="20"/>
              </w:rPr>
              <w:t xml:space="preserve">Assume contaminated recyclate causes </w:t>
            </w:r>
            <w:r w:rsidRPr="00E97D4C">
              <w:rPr>
                <w:rFonts w:asciiTheme="minorHAnsi" w:hAnsiTheme="minorHAnsi"/>
                <w:b/>
                <w:sz w:val="20"/>
                <w:szCs w:val="20"/>
              </w:rPr>
              <w:t>2%</w:t>
            </w:r>
            <w:r w:rsidRPr="00E97D4C">
              <w:rPr>
                <w:rFonts w:asciiTheme="minorHAnsi" w:hAnsiTheme="minorHAnsi"/>
                <w:sz w:val="20"/>
                <w:szCs w:val="20"/>
              </w:rPr>
              <w:t xml:space="preserve"> of plastics in WEEE to be &gt; </w:t>
            </w:r>
            <w:r w:rsidRPr="00E97D4C">
              <w:rPr>
                <w:rFonts w:asciiTheme="minorHAnsi" w:hAnsiTheme="minorHAnsi"/>
                <w:sz w:val="20"/>
                <w:szCs w:val="20"/>
                <w:u w:val="single"/>
              </w:rPr>
              <w:t>50mg/kg</w:t>
            </w:r>
          </w:p>
          <w:p w:rsidR="003746F8" w:rsidRPr="00E97D4C" w:rsidRDefault="003746F8" w:rsidP="00E97D4C">
            <w:pPr>
              <w:pStyle w:val="Bullet1"/>
              <w:ind w:left="246" w:hanging="208"/>
              <w:rPr>
                <w:rFonts w:asciiTheme="minorHAnsi" w:hAnsiTheme="minorHAnsi"/>
                <w:sz w:val="20"/>
                <w:szCs w:val="20"/>
              </w:rPr>
            </w:pPr>
            <w:r w:rsidRPr="00E97D4C">
              <w:rPr>
                <w:rFonts w:asciiTheme="minorHAnsi" w:hAnsiTheme="minorHAnsi"/>
                <w:sz w:val="20"/>
                <w:szCs w:val="20"/>
              </w:rPr>
              <w:t xml:space="preserve">Estimated WEEE presenting for landfill that should be diverted </w:t>
            </w:r>
            <w:r w:rsidR="00E028D4" w:rsidRPr="00E97D4C">
              <w:rPr>
                <w:rFonts w:asciiTheme="minorHAnsi" w:hAnsiTheme="minorHAnsi"/>
                <w:sz w:val="20"/>
                <w:szCs w:val="20"/>
              </w:rPr>
              <w:t>&amp;</w:t>
            </w:r>
            <w:r w:rsidRPr="00E97D4C">
              <w:rPr>
                <w:rFonts w:asciiTheme="minorHAnsi" w:hAnsiTheme="minorHAnsi"/>
                <w:sz w:val="20"/>
                <w:szCs w:val="20"/>
              </w:rPr>
              <w:t xml:space="preserve"> treated as hazardous POP-BDE waste = 26,198 x 0.02 = </w:t>
            </w:r>
            <w:r w:rsidRPr="00E97D4C">
              <w:rPr>
                <w:rFonts w:asciiTheme="minorHAnsi" w:hAnsiTheme="minorHAnsi"/>
                <w:b/>
                <w:sz w:val="20"/>
                <w:szCs w:val="20"/>
              </w:rPr>
              <w:t xml:space="preserve">524t </w:t>
            </w:r>
            <w:r w:rsidRPr="00E97D4C">
              <w:rPr>
                <w:rFonts w:asciiTheme="minorHAnsi" w:hAnsiTheme="minorHAnsi"/>
                <w:sz w:val="20"/>
                <w:szCs w:val="20"/>
              </w:rPr>
              <w:t>(if LPCL was in place)</w:t>
            </w:r>
          </w:p>
        </w:tc>
        <w:tc>
          <w:tcPr>
            <w:tcW w:w="2835" w:type="dxa"/>
            <w:gridSpan w:val="2"/>
            <w:tcBorders>
              <w:top w:val="double" w:sz="4" w:space="0" w:color="auto"/>
              <w:left w:val="double" w:sz="4" w:space="0" w:color="auto"/>
              <w:bottom w:val="double" w:sz="4" w:space="0" w:color="auto"/>
              <w:right w:val="double" w:sz="4" w:space="0" w:color="auto"/>
            </w:tcBorders>
          </w:tcPr>
          <w:p w:rsidR="003746F8" w:rsidRPr="00E97D4C" w:rsidRDefault="003746F8" w:rsidP="00E97D4C">
            <w:pPr>
              <w:pStyle w:val="Bullet1"/>
              <w:ind w:left="266" w:hanging="188"/>
              <w:rPr>
                <w:rFonts w:asciiTheme="minorHAnsi" w:hAnsiTheme="minorHAnsi"/>
                <w:sz w:val="20"/>
                <w:szCs w:val="20"/>
              </w:rPr>
            </w:pPr>
            <w:r w:rsidRPr="00E97D4C">
              <w:rPr>
                <w:rFonts w:asciiTheme="minorHAnsi" w:hAnsiTheme="minorHAnsi"/>
                <w:sz w:val="20"/>
                <w:szCs w:val="20"/>
              </w:rPr>
              <w:t xml:space="preserve">Assume contaminated recyclate causes </w:t>
            </w:r>
            <w:r w:rsidRPr="00E97D4C">
              <w:rPr>
                <w:rFonts w:asciiTheme="minorHAnsi" w:hAnsiTheme="minorHAnsi"/>
                <w:b/>
                <w:sz w:val="20"/>
                <w:szCs w:val="20"/>
              </w:rPr>
              <w:t>0.5%</w:t>
            </w:r>
            <w:r w:rsidRPr="00E97D4C">
              <w:rPr>
                <w:rFonts w:asciiTheme="minorHAnsi" w:hAnsiTheme="minorHAnsi"/>
                <w:sz w:val="20"/>
                <w:szCs w:val="20"/>
              </w:rPr>
              <w:t xml:space="preserve"> of plastics in WEEE to be &gt; </w:t>
            </w:r>
            <w:r w:rsidRPr="00E97D4C">
              <w:rPr>
                <w:rFonts w:asciiTheme="minorHAnsi" w:hAnsiTheme="minorHAnsi"/>
                <w:sz w:val="20"/>
                <w:szCs w:val="20"/>
                <w:u w:val="single"/>
              </w:rPr>
              <w:t>200mg/kg</w:t>
            </w:r>
          </w:p>
          <w:p w:rsidR="003746F8" w:rsidRPr="00E97D4C" w:rsidRDefault="003746F8" w:rsidP="00E97D4C">
            <w:pPr>
              <w:pStyle w:val="Bullet1"/>
              <w:ind w:left="266" w:hanging="188"/>
              <w:rPr>
                <w:rFonts w:asciiTheme="minorHAnsi" w:hAnsiTheme="minorHAnsi"/>
                <w:sz w:val="20"/>
                <w:szCs w:val="20"/>
              </w:rPr>
            </w:pPr>
            <w:r w:rsidRPr="00E97D4C">
              <w:rPr>
                <w:rFonts w:asciiTheme="minorHAnsi" w:hAnsiTheme="minorHAnsi"/>
                <w:sz w:val="20"/>
                <w:szCs w:val="20"/>
              </w:rPr>
              <w:t xml:space="preserve">Estimated WEEE presenting for landfill that should be diverted </w:t>
            </w:r>
            <w:r w:rsidR="00E028D4" w:rsidRPr="00E97D4C">
              <w:rPr>
                <w:rFonts w:asciiTheme="minorHAnsi" w:hAnsiTheme="minorHAnsi"/>
                <w:sz w:val="20"/>
                <w:szCs w:val="20"/>
              </w:rPr>
              <w:t>&amp;</w:t>
            </w:r>
            <w:r w:rsidRPr="00E97D4C">
              <w:rPr>
                <w:rFonts w:asciiTheme="minorHAnsi" w:hAnsiTheme="minorHAnsi"/>
                <w:sz w:val="20"/>
                <w:szCs w:val="20"/>
              </w:rPr>
              <w:t xml:space="preserve"> treated as hazardous POP-BDE waste = 26,198 x 0.005 = </w:t>
            </w:r>
            <w:r w:rsidRPr="00E97D4C">
              <w:rPr>
                <w:rFonts w:asciiTheme="minorHAnsi" w:hAnsiTheme="minorHAnsi"/>
                <w:b/>
                <w:sz w:val="20"/>
                <w:szCs w:val="20"/>
              </w:rPr>
              <w:t>131t</w:t>
            </w:r>
            <w:r w:rsidRPr="00E97D4C">
              <w:rPr>
                <w:rFonts w:asciiTheme="minorHAnsi" w:hAnsiTheme="minorHAnsi"/>
                <w:sz w:val="20"/>
                <w:szCs w:val="20"/>
              </w:rPr>
              <w:t xml:space="preserve"> (if LPCL was in place)</w:t>
            </w:r>
          </w:p>
        </w:tc>
      </w:tr>
      <w:tr w:rsidR="006B7EDD" w:rsidRPr="006B7EDD" w:rsidTr="003746F8">
        <w:tc>
          <w:tcPr>
            <w:tcW w:w="1517" w:type="dxa"/>
            <w:vMerge w:val="restart"/>
            <w:tcBorders>
              <w:top w:val="double" w:sz="4" w:space="0" w:color="auto"/>
            </w:tcBorders>
          </w:tcPr>
          <w:p w:rsidR="003746F8" w:rsidRPr="00E97D4C" w:rsidRDefault="003746F8" w:rsidP="00E97D4C">
            <w:pPr>
              <w:rPr>
                <w:rFonts w:asciiTheme="minorHAnsi" w:hAnsiTheme="minorHAnsi"/>
                <w:szCs w:val="20"/>
              </w:rPr>
            </w:pPr>
            <w:r w:rsidRPr="00E97D4C">
              <w:rPr>
                <w:rFonts w:asciiTheme="minorHAnsi" w:hAnsiTheme="minorHAnsi"/>
                <w:szCs w:val="20"/>
              </w:rPr>
              <w:t>M160c - HBCD</w:t>
            </w:r>
          </w:p>
        </w:tc>
        <w:tc>
          <w:tcPr>
            <w:tcW w:w="8364" w:type="dxa"/>
            <w:gridSpan w:val="5"/>
            <w:tcBorders>
              <w:top w:val="double" w:sz="4" w:space="0" w:color="auto"/>
              <w:bottom w:val="double" w:sz="4" w:space="0" w:color="auto"/>
            </w:tcBorders>
          </w:tcPr>
          <w:p w:rsidR="003746F8" w:rsidRPr="00E97D4C" w:rsidRDefault="003746F8" w:rsidP="00E97D4C">
            <w:pPr>
              <w:rPr>
                <w:rFonts w:asciiTheme="minorHAnsi" w:hAnsiTheme="minorHAnsi"/>
                <w:b/>
                <w:szCs w:val="20"/>
              </w:rPr>
            </w:pPr>
            <w:r w:rsidRPr="00E97D4C">
              <w:rPr>
                <w:rFonts w:asciiTheme="minorHAnsi" w:hAnsiTheme="minorHAnsi"/>
                <w:b/>
                <w:szCs w:val="20"/>
              </w:rPr>
              <w:t>End of Life EPS</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EPS building panels represent the major use article type, with HBCD present at ~ 0.5%</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112 t of HBCD are estimated to be imported into Australia in 2014, rising from ~36t in 1998/99</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NICNAS estimates the life span of building insulation EPS to be 20 years</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Assume the 36t import level in 1998/99 was the same in 1994 (20 years ago)</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Estimated quantities of end of life EPS building materials containing HBCD becoming waste in 2014 (at the end of their 20 year usable life) can calculated as follows:</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 xml:space="preserve">36 x (100/0.5) = </w:t>
            </w:r>
            <w:r w:rsidRPr="00E97D4C">
              <w:rPr>
                <w:rFonts w:asciiTheme="minorHAnsi" w:hAnsiTheme="minorHAnsi"/>
                <w:b/>
                <w:sz w:val="20"/>
                <w:szCs w:val="20"/>
              </w:rPr>
              <w:t>7,200tpa</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 xml:space="preserve">Following the same logic, this would be expected to increase to </w:t>
            </w:r>
            <w:r w:rsidRPr="00E97D4C">
              <w:rPr>
                <w:rFonts w:asciiTheme="minorHAnsi" w:hAnsiTheme="minorHAnsi"/>
                <w:b/>
                <w:sz w:val="20"/>
                <w:szCs w:val="20"/>
              </w:rPr>
              <w:t>22,400tpa</w:t>
            </w:r>
            <w:r w:rsidRPr="00E97D4C">
              <w:rPr>
                <w:rFonts w:asciiTheme="minorHAnsi" w:hAnsiTheme="minorHAnsi"/>
                <w:sz w:val="20"/>
                <w:szCs w:val="20"/>
              </w:rPr>
              <w:t xml:space="preserve"> by 2034 (the end of the projection period), based on the import figures projected for 2014</w:t>
            </w:r>
          </w:p>
          <w:p w:rsidR="003746F8" w:rsidRPr="00E97D4C" w:rsidRDefault="003746F8" w:rsidP="00E97D4C">
            <w:pPr>
              <w:pStyle w:val="Bullet1"/>
              <w:spacing w:before="60"/>
              <w:ind w:left="170" w:hanging="136"/>
              <w:rPr>
                <w:rFonts w:asciiTheme="minorHAnsi" w:hAnsiTheme="minorHAnsi"/>
                <w:sz w:val="20"/>
                <w:szCs w:val="20"/>
              </w:rPr>
            </w:pPr>
            <w:r w:rsidRPr="00E97D4C">
              <w:rPr>
                <w:rFonts w:asciiTheme="minorHAnsi" w:hAnsiTheme="minorHAnsi"/>
                <w:sz w:val="20"/>
                <w:szCs w:val="20"/>
              </w:rPr>
              <w:t>LPCLs are not relevant in distinguishing arisings scenarios for EPS end of life articles because the articles themselves will always be above any likely limit to be set.</w:t>
            </w:r>
            <w:r w:rsidR="00F954D8" w:rsidRPr="00E97D4C">
              <w:rPr>
                <w:rFonts w:asciiTheme="minorHAnsi" w:hAnsiTheme="minorHAnsi"/>
                <w:sz w:val="20"/>
                <w:szCs w:val="20"/>
              </w:rPr>
              <w:t xml:space="preserve"> </w:t>
            </w:r>
            <w:r w:rsidRPr="00E97D4C">
              <w:rPr>
                <w:rFonts w:asciiTheme="minorHAnsi" w:hAnsiTheme="minorHAnsi"/>
                <w:sz w:val="20"/>
                <w:szCs w:val="20"/>
              </w:rPr>
              <w:t>Other factors such as differing rates of building growth are better primary factors in projection scenarios</w:t>
            </w:r>
          </w:p>
        </w:tc>
      </w:tr>
      <w:tr w:rsidR="006B7EDD" w:rsidRPr="006B7EDD" w:rsidTr="003746F8">
        <w:tc>
          <w:tcPr>
            <w:tcW w:w="1517" w:type="dxa"/>
            <w:vMerge/>
            <w:tcBorders>
              <w:bottom w:val="double" w:sz="4" w:space="0" w:color="auto"/>
              <w:right w:val="double" w:sz="4" w:space="0" w:color="auto"/>
            </w:tcBorders>
          </w:tcPr>
          <w:p w:rsidR="003746F8" w:rsidRPr="00E97D4C" w:rsidRDefault="003746F8" w:rsidP="00E97D4C">
            <w:pPr>
              <w:rPr>
                <w:rFonts w:asciiTheme="minorHAnsi" w:hAnsiTheme="minorHAnsi"/>
                <w:szCs w:val="20"/>
              </w:rPr>
            </w:pPr>
          </w:p>
        </w:tc>
        <w:tc>
          <w:tcPr>
            <w:tcW w:w="2623"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10</w:t>
            </w:r>
          </w:p>
        </w:tc>
        <w:tc>
          <w:tcPr>
            <w:tcW w:w="3240" w:type="dxa"/>
            <w:gridSpan w:val="3"/>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50</w:t>
            </w:r>
          </w:p>
        </w:tc>
        <w:tc>
          <w:tcPr>
            <w:tcW w:w="2501"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b/>
                <w:szCs w:val="20"/>
              </w:rPr>
            </w:pPr>
            <w:r w:rsidRPr="00E97D4C">
              <w:rPr>
                <w:rFonts w:asciiTheme="minorHAnsi" w:hAnsiTheme="minorHAnsi"/>
                <w:b/>
                <w:szCs w:val="20"/>
              </w:rPr>
              <w:t>200</w:t>
            </w:r>
          </w:p>
        </w:tc>
      </w:tr>
      <w:tr w:rsidR="006B7EDD" w:rsidRPr="006B7EDD" w:rsidTr="003746F8">
        <w:tc>
          <w:tcPr>
            <w:tcW w:w="1517"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rPr>
                <w:rFonts w:asciiTheme="minorHAnsi" w:hAnsiTheme="minorHAnsi"/>
                <w:szCs w:val="20"/>
              </w:rPr>
            </w:pPr>
            <w:r w:rsidRPr="00E97D4C">
              <w:rPr>
                <w:rFonts w:asciiTheme="minorHAnsi" w:hAnsiTheme="minorHAnsi"/>
                <w:szCs w:val="20"/>
              </w:rPr>
              <w:lastRenderedPageBreak/>
              <w:t>End of Life EPS</w:t>
            </w:r>
          </w:p>
        </w:tc>
        <w:tc>
          <w:tcPr>
            <w:tcW w:w="2623"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szCs w:val="20"/>
              </w:rPr>
            </w:pPr>
            <w:r w:rsidRPr="00E97D4C">
              <w:rPr>
                <w:rFonts w:asciiTheme="minorHAnsi" w:hAnsiTheme="minorHAnsi"/>
                <w:szCs w:val="20"/>
              </w:rPr>
              <w:t>7,200tpa</w:t>
            </w:r>
          </w:p>
        </w:tc>
        <w:tc>
          <w:tcPr>
            <w:tcW w:w="3240" w:type="dxa"/>
            <w:gridSpan w:val="3"/>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szCs w:val="20"/>
              </w:rPr>
            </w:pPr>
            <w:r w:rsidRPr="00E97D4C">
              <w:rPr>
                <w:rFonts w:asciiTheme="minorHAnsi" w:hAnsiTheme="minorHAnsi"/>
                <w:szCs w:val="20"/>
              </w:rPr>
              <w:t>7,200tpa</w:t>
            </w:r>
          </w:p>
        </w:tc>
        <w:tc>
          <w:tcPr>
            <w:tcW w:w="2501" w:type="dxa"/>
            <w:tcBorders>
              <w:top w:val="double" w:sz="4" w:space="0" w:color="auto"/>
              <w:left w:val="double" w:sz="4" w:space="0" w:color="auto"/>
              <w:bottom w:val="double" w:sz="4" w:space="0" w:color="auto"/>
              <w:right w:val="double" w:sz="4" w:space="0" w:color="auto"/>
            </w:tcBorders>
          </w:tcPr>
          <w:p w:rsidR="003746F8" w:rsidRPr="00E97D4C" w:rsidRDefault="003746F8" w:rsidP="00E97D4C">
            <w:pPr>
              <w:jc w:val="center"/>
              <w:rPr>
                <w:rFonts w:asciiTheme="minorHAnsi" w:hAnsiTheme="minorHAnsi"/>
                <w:szCs w:val="20"/>
              </w:rPr>
            </w:pPr>
            <w:r w:rsidRPr="00E97D4C">
              <w:rPr>
                <w:rFonts w:asciiTheme="minorHAnsi" w:hAnsiTheme="minorHAnsi"/>
                <w:szCs w:val="20"/>
              </w:rPr>
              <w:t>7,200tpa</w:t>
            </w:r>
          </w:p>
        </w:tc>
      </w:tr>
    </w:tbl>
    <w:p w:rsidR="003746F8" w:rsidRPr="00E97D4C" w:rsidRDefault="003746F8" w:rsidP="00E97D4C">
      <w:pPr>
        <w:rPr>
          <w:b/>
        </w:rPr>
      </w:pPr>
    </w:p>
    <w:p w:rsidR="003746F8" w:rsidRPr="00E97D4C" w:rsidRDefault="003746F8" w:rsidP="00E97D4C">
      <w:pPr>
        <w:pStyle w:val="BodyText"/>
        <w:spacing w:after="120"/>
        <w:rPr>
          <w:i/>
        </w:rPr>
      </w:pPr>
      <w:bookmarkStart w:id="564" w:name="_Toc403143631"/>
      <w:r w:rsidRPr="00E97D4C">
        <w:rPr>
          <w:i/>
        </w:rPr>
        <w:t>All ‘new’ Stockholm POPs waste</w:t>
      </w:r>
      <w:bookmarkEnd w:id="564"/>
    </w:p>
    <w:p w:rsidR="003746F8" w:rsidRPr="00E97D4C" w:rsidRDefault="003746F8" w:rsidP="00E97D4C">
      <w:pPr>
        <w:pStyle w:val="BodyText"/>
      </w:pPr>
      <w:r w:rsidRPr="00E97D4C">
        <w:t>The total ‘new’ Stockholm POPs waste presenting to waste infrastructure in the baseline year (2013) is estimated below.</w:t>
      </w:r>
    </w:p>
    <w:p w:rsidR="003746F8" w:rsidRPr="00E97D4C" w:rsidRDefault="003746F8" w:rsidP="00E97D4C">
      <w:pPr>
        <w:pStyle w:val="BodyText"/>
      </w:pPr>
    </w:p>
    <w:p w:rsidR="003746F8" w:rsidRPr="00E97D4C" w:rsidRDefault="003746F8" w:rsidP="00E97D4C">
      <w:pPr>
        <w:pStyle w:val="Figures"/>
      </w:pPr>
      <w:bookmarkStart w:id="565" w:name="_Toc400456469"/>
      <w:bookmarkStart w:id="566" w:name="_Toc425849363"/>
      <w:r w:rsidRPr="00E97D4C">
        <w:t xml:space="preserve">Table </w:t>
      </w:r>
      <w:r w:rsidR="006D07F5" w:rsidRPr="00E97D4C">
        <w:fldChar w:fldCharType="begin"/>
      </w:r>
      <w:r w:rsidR="00BA5D9E" w:rsidRPr="00E97D4C">
        <w:instrText xml:space="preserve"> SEQ Table \* ARABIC </w:instrText>
      </w:r>
      <w:r w:rsidR="006D07F5" w:rsidRPr="00E97D4C">
        <w:rPr>
          <w:noProof/>
        </w:rPr>
        <w:fldChar w:fldCharType="separate"/>
      </w:r>
      <w:r w:rsidR="002F3000">
        <w:rPr>
          <w:noProof/>
        </w:rPr>
        <w:t>78</w:t>
      </w:r>
      <w:r w:rsidR="006D07F5" w:rsidRPr="00E97D4C">
        <w:rPr>
          <w:noProof/>
        </w:rPr>
        <w:fldChar w:fldCharType="end"/>
      </w:r>
      <w:r w:rsidRPr="00E97D4C">
        <w:t xml:space="preserve">: </w:t>
      </w:r>
      <w:r w:rsidRPr="00E97D4C">
        <w:tab/>
      </w:r>
      <w:bookmarkEnd w:id="565"/>
      <w:r w:rsidRPr="00E97D4C">
        <w:t>Estimated baseline year arisings of all ‘new’ POP-wastes, under different LPCL settings</w:t>
      </w:r>
      <w:bookmarkEnd w:id="566"/>
    </w:p>
    <w:tbl>
      <w:tblPr>
        <w:tblStyle w:val="BETable1"/>
        <w:tblW w:w="9555" w:type="dxa"/>
        <w:tblInd w:w="0" w:type="dxa"/>
        <w:tblLayout w:type="fixed"/>
        <w:tblLook w:val="04A0"/>
      </w:tblPr>
      <w:tblGrid>
        <w:gridCol w:w="837"/>
        <w:gridCol w:w="1489"/>
        <w:gridCol w:w="2409"/>
        <w:gridCol w:w="2410"/>
        <w:gridCol w:w="2410"/>
      </w:tblGrid>
      <w:tr w:rsidR="006B7EDD" w:rsidRPr="006B7EDD" w:rsidTr="003746F8">
        <w:trPr>
          <w:cnfStyle w:val="100000000000"/>
          <w:trHeight w:val="286"/>
        </w:trPr>
        <w:tc>
          <w:tcPr>
            <w:cnfStyle w:val="001000000000"/>
            <w:tcW w:w="837" w:type="dxa"/>
            <w:vMerge w:val="restart"/>
          </w:tcPr>
          <w:p w:rsidR="003746F8" w:rsidRPr="00E97D4C" w:rsidRDefault="003746F8" w:rsidP="00E97D4C">
            <w:pPr>
              <w:rPr>
                <w:rFonts w:asciiTheme="minorHAnsi" w:hAnsiTheme="minorHAnsi"/>
                <w:szCs w:val="20"/>
              </w:rPr>
            </w:pPr>
            <w:r w:rsidRPr="00E97D4C">
              <w:rPr>
                <w:rFonts w:asciiTheme="minorHAnsi" w:hAnsiTheme="minorHAnsi"/>
                <w:szCs w:val="20"/>
              </w:rPr>
              <w:t>POP Waste</w:t>
            </w:r>
          </w:p>
        </w:tc>
        <w:tc>
          <w:tcPr>
            <w:tcW w:w="1489" w:type="dxa"/>
            <w:vMerge w:val="restart"/>
          </w:tcPr>
          <w:p w:rsidR="003746F8" w:rsidRPr="00E97D4C" w:rsidRDefault="003746F8" w:rsidP="00E97D4C">
            <w:pPr>
              <w:cnfStyle w:val="100000000000"/>
              <w:rPr>
                <w:rFonts w:asciiTheme="minorHAnsi" w:hAnsiTheme="minorHAnsi"/>
                <w:szCs w:val="20"/>
              </w:rPr>
            </w:pPr>
            <w:r w:rsidRPr="00E97D4C">
              <w:rPr>
                <w:rFonts w:asciiTheme="minorHAnsi" w:hAnsiTheme="minorHAnsi"/>
                <w:szCs w:val="20"/>
              </w:rPr>
              <w:t>POP Waste stream</w:t>
            </w:r>
          </w:p>
        </w:tc>
        <w:tc>
          <w:tcPr>
            <w:tcW w:w="7229" w:type="dxa"/>
            <w:gridSpan w:val="3"/>
          </w:tcPr>
          <w:p w:rsidR="003746F8" w:rsidRPr="00E97D4C" w:rsidRDefault="003746F8" w:rsidP="00E97D4C">
            <w:pPr>
              <w:jc w:val="center"/>
              <w:cnfStyle w:val="100000000000"/>
              <w:rPr>
                <w:rFonts w:asciiTheme="minorHAnsi" w:hAnsiTheme="minorHAnsi"/>
                <w:szCs w:val="20"/>
              </w:rPr>
            </w:pPr>
            <w:r w:rsidRPr="00E97D4C">
              <w:rPr>
                <w:rFonts w:asciiTheme="minorHAnsi" w:hAnsiTheme="minorHAnsi"/>
                <w:szCs w:val="20"/>
              </w:rPr>
              <w:t>Waste Arising Scenario (tpa base year 2013)</w:t>
            </w:r>
          </w:p>
        </w:tc>
      </w:tr>
      <w:tr w:rsidR="006B7EDD" w:rsidRPr="006B7EDD" w:rsidTr="003746F8">
        <w:trPr>
          <w:trHeight w:val="144"/>
        </w:trPr>
        <w:tc>
          <w:tcPr>
            <w:cnfStyle w:val="001000000000"/>
            <w:tcW w:w="837" w:type="dxa"/>
            <w:vMerge/>
          </w:tcPr>
          <w:p w:rsidR="003746F8" w:rsidRPr="00E97D4C" w:rsidRDefault="003746F8" w:rsidP="00E97D4C">
            <w:pPr>
              <w:rPr>
                <w:rFonts w:asciiTheme="minorHAnsi" w:hAnsiTheme="minorHAnsi"/>
                <w:b/>
                <w:szCs w:val="20"/>
              </w:rPr>
            </w:pPr>
          </w:p>
        </w:tc>
        <w:tc>
          <w:tcPr>
            <w:tcW w:w="1489" w:type="dxa"/>
            <w:vMerge/>
          </w:tcPr>
          <w:p w:rsidR="003746F8" w:rsidRPr="00E97D4C" w:rsidRDefault="003746F8" w:rsidP="00E97D4C">
            <w:pPr>
              <w:cnfStyle w:val="000000000000"/>
              <w:rPr>
                <w:rFonts w:asciiTheme="minorHAnsi" w:hAnsiTheme="minorHAnsi"/>
                <w:b/>
                <w:szCs w:val="20"/>
              </w:rPr>
            </w:pPr>
          </w:p>
        </w:tc>
        <w:tc>
          <w:tcPr>
            <w:tcW w:w="2409" w:type="dxa"/>
          </w:tcPr>
          <w:p w:rsidR="003746F8" w:rsidRPr="00E97D4C" w:rsidRDefault="003746F8" w:rsidP="00E97D4C">
            <w:pPr>
              <w:cnfStyle w:val="000000000000"/>
              <w:rPr>
                <w:rFonts w:asciiTheme="minorHAnsi" w:hAnsiTheme="minorHAnsi"/>
                <w:b/>
                <w:szCs w:val="20"/>
              </w:rPr>
            </w:pPr>
            <w:r w:rsidRPr="00E97D4C">
              <w:rPr>
                <w:rFonts w:asciiTheme="minorHAnsi" w:hAnsiTheme="minorHAnsi"/>
                <w:b/>
                <w:szCs w:val="20"/>
              </w:rPr>
              <w:t>High (assumed LPCL mg/kg)</w:t>
            </w:r>
          </w:p>
        </w:tc>
        <w:tc>
          <w:tcPr>
            <w:tcW w:w="2410" w:type="dxa"/>
          </w:tcPr>
          <w:p w:rsidR="003746F8" w:rsidRPr="00E97D4C" w:rsidRDefault="003746F8" w:rsidP="00E97D4C">
            <w:pPr>
              <w:cnfStyle w:val="000000000000"/>
              <w:rPr>
                <w:rFonts w:asciiTheme="minorHAnsi" w:hAnsiTheme="minorHAnsi"/>
                <w:b/>
                <w:szCs w:val="20"/>
              </w:rPr>
            </w:pPr>
            <w:r w:rsidRPr="00E97D4C">
              <w:rPr>
                <w:rFonts w:asciiTheme="minorHAnsi" w:hAnsiTheme="minorHAnsi"/>
                <w:b/>
                <w:szCs w:val="20"/>
              </w:rPr>
              <w:t>Best (assumed LPCL mg/kg)</w:t>
            </w:r>
          </w:p>
        </w:tc>
        <w:tc>
          <w:tcPr>
            <w:tcW w:w="2410" w:type="dxa"/>
          </w:tcPr>
          <w:p w:rsidR="003746F8" w:rsidRPr="00E97D4C" w:rsidRDefault="003746F8" w:rsidP="00E97D4C">
            <w:pPr>
              <w:cnfStyle w:val="000000000000"/>
              <w:rPr>
                <w:rFonts w:asciiTheme="minorHAnsi" w:hAnsiTheme="minorHAnsi"/>
                <w:b/>
                <w:szCs w:val="20"/>
              </w:rPr>
            </w:pPr>
            <w:r w:rsidRPr="00E97D4C">
              <w:rPr>
                <w:rFonts w:asciiTheme="minorHAnsi" w:hAnsiTheme="minorHAnsi"/>
                <w:b/>
                <w:szCs w:val="20"/>
              </w:rPr>
              <w:t>Low (assumed LPCL mg/kg)</w:t>
            </w:r>
          </w:p>
        </w:tc>
      </w:tr>
      <w:tr w:rsidR="006B7EDD" w:rsidRPr="006B7EDD" w:rsidTr="003746F8">
        <w:trPr>
          <w:trHeight w:val="271"/>
        </w:trPr>
        <w:tc>
          <w:tcPr>
            <w:cnfStyle w:val="001000000000"/>
            <w:tcW w:w="2326" w:type="dxa"/>
            <w:gridSpan w:val="2"/>
          </w:tcPr>
          <w:p w:rsidR="003746F8" w:rsidRPr="00E97D4C" w:rsidRDefault="003746F8" w:rsidP="00E97D4C">
            <w:pPr>
              <w:rPr>
                <w:rFonts w:asciiTheme="minorHAnsi" w:hAnsiTheme="minorHAnsi"/>
                <w:b/>
                <w:szCs w:val="20"/>
              </w:rPr>
            </w:pPr>
            <w:r w:rsidRPr="00E97D4C">
              <w:rPr>
                <w:rFonts w:asciiTheme="minorHAnsi" w:hAnsiTheme="minorHAnsi"/>
                <w:b/>
                <w:szCs w:val="20"/>
              </w:rPr>
              <w:t>PFOS (M160a)</w:t>
            </w:r>
          </w:p>
        </w:tc>
        <w:tc>
          <w:tcPr>
            <w:tcW w:w="2409" w:type="dxa"/>
          </w:tcPr>
          <w:p w:rsidR="003746F8" w:rsidRPr="00E97D4C" w:rsidRDefault="003746F8" w:rsidP="00E97D4C">
            <w:pPr>
              <w:jc w:val="center"/>
              <w:cnfStyle w:val="000000000000"/>
              <w:rPr>
                <w:rFonts w:asciiTheme="minorHAnsi" w:hAnsiTheme="minorHAnsi"/>
                <w:b/>
                <w:szCs w:val="20"/>
                <w:vertAlign w:val="superscript"/>
              </w:rPr>
            </w:pPr>
            <w:r w:rsidRPr="00E97D4C">
              <w:rPr>
                <w:rFonts w:asciiTheme="minorHAnsi" w:hAnsiTheme="minorHAnsi"/>
                <w:b/>
                <w:szCs w:val="20"/>
              </w:rPr>
              <w:t>1</w:t>
            </w:r>
          </w:p>
        </w:tc>
        <w:tc>
          <w:tcPr>
            <w:tcW w:w="2410" w:type="dxa"/>
          </w:tcPr>
          <w:p w:rsidR="003746F8" w:rsidRPr="00E97D4C" w:rsidRDefault="003746F8" w:rsidP="00E97D4C">
            <w:pPr>
              <w:jc w:val="center"/>
              <w:cnfStyle w:val="000000000000"/>
              <w:rPr>
                <w:rFonts w:asciiTheme="minorHAnsi" w:hAnsiTheme="minorHAnsi"/>
                <w:b/>
                <w:szCs w:val="20"/>
                <w:vertAlign w:val="superscript"/>
              </w:rPr>
            </w:pPr>
            <w:r w:rsidRPr="00E97D4C">
              <w:rPr>
                <w:rFonts w:asciiTheme="minorHAnsi" w:hAnsiTheme="minorHAnsi"/>
                <w:b/>
                <w:szCs w:val="20"/>
              </w:rPr>
              <w:t>10</w:t>
            </w:r>
          </w:p>
        </w:tc>
        <w:tc>
          <w:tcPr>
            <w:tcW w:w="2410" w:type="dxa"/>
          </w:tcPr>
          <w:p w:rsidR="003746F8" w:rsidRPr="00E97D4C" w:rsidRDefault="003746F8" w:rsidP="00E97D4C">
            <w:pPr>
              <w:jc w:val="center"/>
              <w:cnfStyle w:val="000000000000"/>
              <w:rPr>
                <w:rFonts w:asciiTheme="minorHAnsi" w:hAnsiTheme="minorHAnsi"/>
                <w:b/>
                <w:szCs w:val="20"/>
                <w:vertAlign w:val="superscript"/>
              </w:rPr>
            </w:pPr>
            <w:r w:rsidRPr="00E97D4C">
              <w:rPr>
                <w:rFonts w:asciiTheme="minorHAnsi" w:hAnsiTheme="minorHAnsi"/>
                <w:b/>
                <w:szCs w:val="20"/>
              </w:rPr>
              <w:t>100</w:t>
            </w:r>
          </w:p>
        </w:tc>
      </w:tr>
      <w:tr w:rsidR="006B7EDD" w:rsidRPr="006B7EDD" w:rsidTr="003746F8">
        <w:trPr>
          <w:trHeight w:val="271"/>
        </w:trPr>
        <w:tc>
          <w:tcPr>
            <w:cnfStyle w:val="001000000000"/>
            <w:tcW w:w="837" w:type="dxa"/>
          </w:tcPr>
          <w:p w:rsidR="003746F8" w:rsidRPr="00E97D4C" w:rsidRDefault="003746F8" w:rsidP="00E97D4C">
            <w:pPr>
              <w:rPr>
                <w:rFonts w:asciiTheme="minorHAnsi" w:hAnsiTheme="minorHAnsi"/>
                <w:szCs w:val="20"/>
              </w:rPr>
            </w:pPr>
          </w:p>
        </w:tc>
        <w:tc>
          <w:tcPr>
            <w:tcW w:w="1489" w:type="dxa"/>
          </w:tcPr>
          <w:p w:rsidR="003746F8" w:rsidRPr="00E97D4C" w:rsidRDefault="003746F8" w:rsidP="00E97D4C">
            <w:pPr>
              <w:cnfStyle w:val="000000000000"/>
              <w:rPr>
                <w:rFonts w:asciiTheme="minorHAnsi" w:hAnsiTheme="minorHAnsi"/>
                <w:szCs w:val="20"/>
              </w:rPr>
            </w:pPr>
            <w:r w:rsidRPr="00E97D4C">
              <w:rPr>
                <w:rFonts w:asciiTheme="minorHAnsi" w:hAnsiTheme="minorHAnsi"/>
                <w:szCs w:val="20"/>
              </w:rPr>
              <w:t>Biosolids</w:t>
            </w:r>
          </w:p>
        </w:tc>
        <w:tc>
          <w:tcPr>
            <w:tcW w:w="2409"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73,000</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7,300</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Neg.</w:t>
            </w:r>
            <w:r w:rsidRPr="00E97D4C">
              <w:rPr>
                <w:rFonts w:asciiTheme="minorHAnsi" w:hAnsiTheme="minorHAnsi"/>
                <w:szCs w:val="20"/>
                <w:vertAlign w:val="superscript"/>
              </w:rPr>
              <w:t>1</w:t>
            </w:r>
          </w:p>
        </w:tc>
      </w:tr>
      <w:tr w:rsidR="006B7EDD" w:rsidRPr="006B7EDD" w:rsidTr="003746F8">
        <w:trPr>
          <w:trHeight w:val="526"/>
        </w:trPr>
        <w:tc>
          <w:tcPr>
            <w:cnfStyle w:val="001000000000"/>
            <w:tcW w:w="837" w:type="dxa"/>
          </w:tcPr>
          <w:p w:rsidR="003746F8" w:rsidRPr="00E97D4C" w:rsidRDefault="003746F8" w:rsidP="00E97D4C">
            <w:pPr>
              <w:rPr>
                <w:rFonts w:asciiTheme="minorHAnsi" w:hAnsiTheme="minorHAnsi"/>
                <w:szCs w:val="20"/>
              </w:rPr>
            </w:pPr>
          </w:p>
        </w:tc>
        <w:tc>
          <w:tcPr>
            <w:tcW w:w="1489" w:type="dxa"/>
          </w:tcPr>
          <w:p w:rsidR="003746F8" w:rsidRPr="00E97D4C" w:rsidRDefault="003746F8" w:rsidP="00E97D4C">
            <w:pPr>
              <w:cnfStyle w:val="000000000000"/>
              <w:rPr>
                <w:rFonts w:asciiTheme="minorHAnsi" w:hAnsiTheme="minorHAnsi"/>
                <w:szCs w:val="20"/>
              </w:rPr>
            </w:pPr>
            <w:r w:rsidRPr="00E97D4C">
              <w:rPr>
                <w:rFonts w:asciiTheme="minorHAnsi" w:hAnsiTheme="minorHAnsi"/>
                <w:szCs w:val="20"/>
              </w:rPr>
              <w:t>AFFF conc. for destruction</w:t>
            </w:r>
            <w:r w:rsidRPr="00E97D4C">
              <w:rPr>
                <w:rFonts w:asciiTheme="minorHAnsi" w:hAnsiTheme="minorHAnsi"/>
                <w:szCs w:val="20"/>
                <w:vertAlign w:val="superscript"/>
              </w:rPr>
              <w:t>2</w:t>
            </w:r>
          </w:p>
        </w:tc>
        <w:tc>
          <w:tcPr>
            <w:tcW w:w="2409"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38</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38</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38</w:t>
            </w:r>
          </w:p>
        </w:tc>
      </w:tr>
      <w:tr w:rsidR="006B7EDD" w:rsidRPr="006B7EDD" w:rsidTr="003746F8">
        <w:trPr>
          <w:trHeight w:val="256"/>
        </w:trPr>
        <w:tc>
          <w:tcPr>
            <w:cnfStyle w:val="001000000000"/>
            <w:tcW w:w="837" w:type="dxa"/>
          </w:tcPr>
          <w:p w:rsidR="003746F8" w:rsidRPr="00E97D4C" w:rsidRDefault="003746F8" w:rsidP="00E97D4C">
            <w:pPr>
              <w:rPr>
                <w:rFonts w:asciiTheme="minorHAnsi" w:hAnsiTheme="minorHAnsi"/>
                <w:szCs w:val="20"/>
              </w:rPr>
            </w:pPr>
          </w:p>
        </w:tc>
        <w:tc>
          <w:tcPr>
            <w:tcW w:w="1489" w:type="dxa"/>
          </w:tcPr>
          <w:p w:rsidR="003746F8" w:rsidRPr="00E97D4C" w:rsidRDefault="003746F8" w:rsidP="00E97D4C">
            <w:pPr>
              <w:cnfStyle w:val="000000000000"/>
              <w:rPr>
                <w:rFonts w:asciiTheme="minorHAnsi" w:hAnsiTheme="minorHAnsi"/>
                <w:szCs w:val="20"/>
              </w:rPr>
            </w:pPr>
            <w:r w:rsidRPr="00E97D4C">
              <w:rPr>
                <w:rFonts w:asciiTheme="minorHAnsi" w:hAnsiTheme="minorHAnsi"/>
                <w:szCs w:val="20"/>
              </w:rPr>
              <w:t>Fire waters</w:t>
            </w:r>
            <w:r w:rsidRPr="00E97D4C">
              <w:rPr>
                <w:rFonts w:asciiTheme="minorHAnsi" w:hAnsiTheme="minorHAnsi"/>
                <w:szCs w:val="20"/>
                <w:vertAlign w:val="superscript"/>
              </w:rPr>
              <w:t>2</w:t>
            </w:r>
          </w:p>
        </w:tc>
        <w:tc>
          <w:tcPr>
            <w:tcW w:w="2409"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3,767</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3,767</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3,767</w:t>
            </w:r>
          </w:p>
        </w:tc>
      </w:tr>
      <w:tr w:rsidR="006B7EDD" w:rsidRPr="006B7EDD" w:rsidTr="003746F8">
        <w:trPr>
          <w:trHeight w:val="271"/>
        </w:trPr>
        <w:tc>
          <w:tcPr>
            <w:cnfStyle w:val="001000000000"/>
            <w:tcW w:w="837" w:type="dxa"/>
          </w:tcPr>
          <w:p w:rsidR="003746F8" w:rsidRPr="00E97D4C" w:rsidRDefault="003746F8" w:rsidP="00E97D4C">
            <w:pPr>
              <w:rPr>
                <w:rFonts w:asciiTheme="minorHAnsi" w:hAnsiTheme="minorHAnsi"/>
                <w:szCs w:val="20"/>
              </w:rPr>
            </w:pPr>
          </w:p>
        </w:tc>
        <w:tc>
          <w:tcPr>
            <w:tcW w:w="1489" w:type="dxa"/>
          </w:tcPr>
          <w:p w:rsidR="003746F8" w:rsidRPr="00E97D4C" w:rsidRDefault="003746F8" w:rsidP="00E97D4C">
            <w:pPr>
              <w:cnfStyle w:val="000000000000"/>
              <w:rPr>
                <w:rFonts w:asciiTheme="minorHAnsi" w:hAnsiTheme="minorHAnsi"/>
                <w:szCs w:val="20"/>
              </w:rPr>
            </w:pPr>
            <w:r w:rsidRPr="00E97D4C">
              <w:rPr>
                <w:rFonts w:asciiTheme="minorHAnsi" w:hAnsiTheme="minorHAnsi"/>
                <w:szCs w:val="20"/>
              </w:rPr>
              <w:t>Total</w:t>
            </w:r>
          </w:p>
        </w:tc>
        <w:tc>
          <w:tcPr>
            <w:tcW w:w="2409"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77,000</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11,000</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3,800</w:t>
            </w:r>
          </w:p>
        </w:tc>
      </w:tr>
      <w:tr w:rsidR="006B7EDD" w:rsidRPr="006B7EDD" w:rsidTr="003746F8">
        <w:trPr>
          <w:trHeight w:val="256"/>
        </w:trPr>
        <w:tc>
          <w:tcPr>
            <w:cnfStyle w:val="001000000000"/>
            <w:tcW w:w="2326" w:type="dxa"/>
            <w:gridSpan w:val="2"/>
          </w:tcPr>
          <w:p w:rsidR="003746F8" w:rsidRPr="00E97D4C" w:rsidRDefault="003746F8" w:rsidP="00E97D4C">
            <w:pPr>
              <w:rPr>
                <w:rFonts w:asciiTheme="minorHAnsi" w:hAnsiTheme="minorHAnsi"/>
                <w:b/>
                <w:szCs w:val="20"/>
              </w:rPr>
            </w:pPr>
            <w:r w:rsidRPr="00E97D4C">
              <w:rPr>
                <w:rFonts w:asciiTheme="minorHAnsi" w:hAnsiTheme="minorHAnsi"/>
                <w:b/>
                <w:szCs w:val="20"/>
              </w:rPr>
              <w:t>POP-BDEs (M160b)</w:t>
            </w:r>
          </w:p>
        </w:tc>
        <w:tc>
          <w:tcPr>
            <w:tcW w:w="2409" w:type="dxa"/>
          </w:tcPr>
          <w:p w:rsidR="003746F8" w:rsidRPr="00E97D4C" w:rsidRDefault="003746F8" w:rsidP="00E97D4C">
            <w:pPr>
              <w:jc w:val="center"/>
              <w:cnfStyle w:val="000000000000"/>
              <w:rPr>
                <w:rFonts w:asciiTheme="minorHAnsi" w:hAnsiTheme="minorHAnsi"/>
                <w:b/>
                <w:szCs w:val="20"/>
              </w:rPr>
            </w:pPr>
            <w:r w:rsidRPr="00E97D4C">
              <w:rPr>
                <w:rFonts w:asciiTheme="minorHAnsi" w:hAnsiTheme="minorHAnsi"/>
                <w:b/>
                <w:szCs w:val="20"/>
              </w:rPr>
              <w:t>10</w:t>
            </w:r>
          </w:p>
        </w:tc>
        <w:tc>
          <w:tcPr>
            <w:tcW w:w="2410" w:type="dxa"/>
          </w:tcPr>
          <w:p w:rsidR="003746F8" w:rsidRPr="00E97D4C" w:rsidRDefault="003746F8" w:rsidP="00E97D4C">
            <w:pPr>
              <w:jc w:val="center"/>
              <w:cnfStyle w:val="000000000000"/>
              <w:rPr>
                <w:rFonts w:asciiTheme="minorHAnsi" w:hAnsiTheme="minorHAnsi"/>
                <w:b/>
                <w:szCs w:val="20"/>
              </w:rPr>
            </w:pPr>
            <w:r w:rsidRPr="00E97D4C">
              <w:rPr>
                <w:rFonts w:asciiTheme="minorHAnsi" w:hAnsiTheme="minorHAnsi"/>
                <w:b/>
                <w:szCs w:val="20"/>
              </w:rPr>
              <w:t>50</w:t>
            </w:r>
          </w:p>
        </w:tc>
        <w:tc>
          <w:tcPr>
            <w:tcW w:w="2410" w:type="dxa"/>
          </w:tcPr>
          <w:p w:rsidR="003746F8" w:rsidRPr="00E97D4C" w:rsidRDefault="003746F8" w:rsidP="00E97D4C">
            <w:pPr>
              <w:jc w:val="center"/>
              <w:cnfStyle w:val="000000000000"/>
              <w:rPr>
                <w:rFonts w:asciiTheme="minorHAnsi" w:hAnsiTheme="minorHAnsi"/>
                <w:b/>
                <w:szCs w:val="20"/>
              </w:rPr>
            </w:pPr>
            <w:r w:rsidRPr="00E97D4C">
              <w:rPr>
                <w:rFonts w:asciiTheme="minorHAnsi" w:hAnsiTheme="minorHAnsi"/>
                <w:b/>
                <w:szCs w:val="20"/>
              </w:rPr>
              <w:t>200</w:t>
            </w:r>
          </w:p>
        </w:tc>
      </w:tr>
      <w:tr w:rsidR="006B7EDD" w:rsidRPr="006B7EDD" w:rsidTr="003746F8">
        <w:trPr>
          <w:trHeight w:val="271"/>
        </w:trPr>
        <w:tc>
          <w:tcPr>
            <w:cnfStyle w:val="001000000000"/>
            <w:tcW w:w="837" w:type="dxa"/>
          </w:tcPr>
          <w:p w:rsidR="003746F8" w:rsidRPr="00E97D4C" w:rsidRDefault="003746F8" w:rsidP="00E97D4C">
            <w:pPr>
              <w:rPr>
                <w:rFonts w:asciiTheme="minorHAnsi" w:hAnsiTheme="minorHAnsi"/>
                <w:szCs w:val="20"/>
              </w:rPr>
            </w:pPr>
          </w:p>
        </w:tc>
        <w:tc>
          <w:tcPr>
            <w:tcW w:w="1489" w:type="dxa"/>
          </w:tcPr>
          <w:p w:rsidR="003746F8" w:rsidRPr="00E97D4C" w:rsidRDefault="003746F8" w:rsidP="00E97D4C">
            <w:pPr>
              <w:cnfStyle w:val="000000000000"/>
              <w:rPr>
                <w:rFonts w:asciiTheme="minorHAnsi" w:hAnsiTheme="minorHAnsi"/>
                <w:szCs w:val="20"/>
              </w:rPr>
            </w:pPr>
            <w:r w:rsidRPr="00E97D4C">
              <w:rPr>
                <w:rFonts w:asciiTheme="minorHAnsi" w:hAnsiTheme="minorHAnsi"/>
                <w:szCs w:val="20"/>
              </w:rPr>
              <w:t>Biosolids</w:t>
            </w:r>
          </w:p>
        </w:tc>
        <w:tc>
          <w:tcPr>
            <w:tcW w:w="2409" w:type="dxa"/>
          </w:tcPr>
          <w:p w:rsidR="003746F8" w:rsidRPr="00E97D4C" w:rsidRDefault="003746F8" w:rsidP="00E97D4C">
            <w:pPr>
              <w:jc w:val="center"/>
              <w:cnfStyle w:val="000000000000"/>
              <w:rPr>
                <w:rFonts w:asciiTheme="minorHAnsi" w:hAnsiTheme="minorHAnsi"/>
                <w:szCs w:val="20"/>
                <w:vertAlign w:val="superscript"/>
              </w:rPr>
            </w:pPr>
            <w:r w:rsidRPr="00E97D4C">
              <w:rPr>
                <w:rFonts w:asciiTheme="minorHAnsi" w:hAnsiTheme="minorHAnsi"/>
                <w:szCs w:val="20"/>
              </w:rPr>
              <w:t>Neg.</w:t>
            </w:r>
            <w:r w:rsidRPr="00E97D4C">
              <w:rPr>
                <w:rFonts w:asciiTheme="minorHAnsi" w:hAnsiTheme="minorHAnsi"/>
                <w:szCs w:val="20"/>
                <w:vertAlign w:val="superscript"/>
              </w:rPr>
              <w:t>1</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Neg.</w:t>
            </w:r>
            <w:r w:rsidRPr="00E97D4C">
              <w:rPr>
                <w:rFonts w:asciiTheme="minorHAnsi" w:hAnsiTheme="minorHAnsi"/>
                <w:szCs w:val="20"/>
                <w:vertAlign w:val="superscript"/>
              </w:rPr>
              <w:t>1</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Neg.</w:t>
            </w:r>
            <w:r w:rsidRPr="00E97D4C">
              <w:rPr>
                <w:rFonts w:asciiTheme="minorHAnsi" w:hAnsiTheme="minorHAnsi"/>
                <w:szCs w:val="20"/>
                <w:vertAlign w:val="superscript"/>
              </w:rPr>
              <w:t>1</w:t>
            </w:r>
          </w:p>
        </w:tc>
      </w:tr>
      <w:tr w:rsidR="006B7EDD" w:rsidRPr="006B7EDD" w:rsidTr="003746F8">
        <w:trPr>
          <w:trHeight w:val="271"/>
        </w:trPr>
        <w:tc>
          <w:tcPr>
            <w:cnfStyle w:val="001000000000"/>
            <w:tcW w:w="837" w:type="dxa"/>
          </w:tcPr>
          <w:p w:rsidR="003746F8" w:rsidRPr="00E97D4C" w:rsidRDefault="003746F8" w:rsidP="00E97D4C">
            <w:pPr>
              <w:rPr>
                <w:rFonts w:asciiTheme="minorHAnsi" w:hAnsiTheme="minorHAnsi"/>
                <w:szCs w:val="20"/>
              </w:rPr>
            </w:pPr>
          </w:p>
        </w:tc>
        <w:tc>
          <w:tcPr>
            <w:tcW w:w="1489" w:type="dxa"/>
          </w:tcPr>
          <w:p w:rsidR="003746F8" w:rsidRPr="00E97D4C" w:rsidRDefault="003746F8" w:rsidP="00E97D4C">
            <w:pPr>
              <w:cnfStyle w:val="000000000000"/>
              <w:rPr>
                <w:rFonts w:asciiTheme="minorHAnsi" w:hAnsiTheme="minorHAnsi"/>
                <w:szCs w:val="20"/>
              </w:rPr>
            </w:pPr>
            <w:r w:rsidRPr="00E97D4C">
              <w:rPr>
                <w:rFonts w:asciiTheme="minorHAnsi" w:hAnsiTheme="minorHAnsi"/>
                <w:szCs w:val="20"/>
              </w:rPr>
              <w:t>WEEE (for disposal)</w:t>
            </w:r>
          </w:p>
        </w:tc>
        <w:tc>
          <w:tcPr>
            <w:tcW w:w="2409"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2,620</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524</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131</w:t>
            </w:r>
          </w:p>
        </w:tc>
      </w:tr>
      <w:tr w:rsidR="006B7EDD" w:rsidRPr="006B7EDD" w:rsidTr="003746F8">
        <w:trPr>
          <w:trHeight w:val="271"/>
        </w:trPr>
        <w:tc>
          <w:tcPr>
            <w:cnfStyle w:val="001000000000"/>
            <w:tcW w:w="837" w:type="dxa"/>
          </w:tcPr>
          <w:p w:rsidR="003746F8" w:rsidRPr="00E97D4C" w:rsidRDefault="003746F8" w:rsidP="00E97D4C">
            <w:pPr>
              <w:rPr>
                <w:rFonts w:asciiTheme="minorHAnsi" w:hAnsiTheme="minorHAnsi"/>
                <w:szCs w:val="20"/>
              </w:rPr>
            </w:pPr>
          </w:p>
        </w:tc>
        <w:tc>
          <w:tcPr>
            <w:tcW w:w="1489" w:type="dxa"/>
          </w:tcPr>
          <w:p w:rsidR="003746F8" w:rsidRPr="00E97D4C" w:rsidRDefault="003746F8" w:rsidP="00E97D4C">
            <w:pPr>
              <w:cnfStyle w:val="000000000000"/>
              <w:rPr>
                <w:rFonts w:asciiTheme="minorHAnsi" w:hAnsiTheme="minorHAnsi"/>
                <w:szCs w:val="20"/>
              </w:rPr>
            </w:pPr>
            <w:r w:rsidRPr="00E97D4C">
              <w:rPr>
                <w:rFonts w:asciiTheme="minorHAnsi" w:hAnsiTheme="minorHAnsi"/>
                <w:szCs w:val="20"/>
              </w:rPr>
              <w:t>Total</w:t>
            </w:r>
          </w:p>
        </w:tc>
        <w:tc>
          <w:tcPr>
            <w:tcW w:w="2409"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2,620</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524</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131</w:t>
            </w:r>
          </w:p>
        </w:tc>
      </w:tr>
      <w:tr w:rsidR="006B7EDD" w:rsidRPr="006B7EDD" w:rsidTr="003746F8">
        <w:trPr>
          <w:trHeight w:val="271"/>
        </w:trPr>
        <w:tc>
          <w:tcPr>
            <w:cnfStyle w:val="001000000000"/>
            <w:tcW w:w="2326" w:type="dxa"/>
            <w:gridSpan w:val="2"/>
          </w:tcPr>
          <w:p w:rsidR="003746F8" w:rsidRPr="00E97D4C" w:rsidRDefault="003746F8" w:rsidP="00E97D4C">
            <w:pPr>
              <w:rPr>
                <w:rFonts w:asciiTheme="minorHAnsi" w:hAnsiTheme="minorHAnsi"/>
                <w:b/>
                <w:szCs w:val="20"/>
              </w:rPr>
            </w:pPr>
            <w:r w:rsidRPr="00E97D4C">
              <w:rPr>
                <w:rFonts w:asciiTheme="minorHAnsi" w:hAnsiTheme="minorHAnsi"/>
                <w:b/>
                <w:szCs w:val="20"/>
              </w:rPr>
              <w:t>HBCD (M160c)</w:t>
            </w:r>
          </w:p>
        </w:tc>
        <w:tc>
          <w:tcPr>
            <w:tcW w:w="2409" w:type="dxa"/>
          </w:tcPr>
          <w:p w:rsidR="003746F8" w:rsidRPr="00E97D4C" w:rsidRDefault="003746F8" w:rsidP="00E97D4C">
            <w:pPr>
              <w:jc w:val="center"/>
              <w:cnfStyle w:val="000000000000"/>
              <w:rPr>
                <w:rFonts w:asciiTheme="minorHAnsi" w:hAnsiTheme="minorHAnsi"/>
                <w:b/>
                <w:szCs w:val="20"/>
                <w:vertAlign w:val="superscript"/>
              </w:rPr>
            </w:pPr>
            <w:r w:rsidRPr="00E97D4C">
              <w:rPr>
                <w:rFonts w:asciiTheme="minorHAnsi" w:hAnsiTheme="minorHAnsi"/>
                <w:b/>
                <w:szCs w:val="20"/>
              </w:rPr>
              <w:t>10</w:t>
            </w:r>
          </w:p>
        </w:tc>
        <w:tc>
          <w:tcPr>
            <w:tcW w:w="2410" w:type="dxa"/>
          </w:tcPr>
          <w:p w:rsidR="003746F8" w:rsidRPr="00E97D4C" w:rsidRDefault="003746F8" w:rsidP="00E97D4C">
            <w:pPr>
              <w:jc w:val="center"/>
              <w:cnfStyle w:val="000000000000"/>
              <w:rPr>
                <w:rFonts w:asciiTheme="minorHAnsi" w:hAnsiTheme="minorHAnsi"/>
                <w:b/>
                <w:szCs w:val="20"/>
                <w:vertAlign w:val="superscript"/>
              </w:rPr>
            </w:pPr>
            <w:r w:rsidRPr="00E97D4C">
              <w:rPr>
                <w:rFonts w:asciiTheme="minorHAnsi" w:hAnsiTheme="minorHAnsi"/>
                <w:b/>
                <w:szCs w:val="20"/>
              </w:rPr>
              <w:t>50</w:t>
            </w:r>
          </w:p>
        </w:tc>
        <w:tc>
          <w:tcPr>
            <w:tcW w:w="2410" w:type="dxa"/>
          </w:tcPr>
          <w:p w:rsidR="003746F8" w:rsidRPr="00E97D4C" w:rsidRDefault="003746F8" w:rsidP="00E97D4C">
            <w:pPr>
              <w:jc w:val="center"/>
              <w:cnfStyle w:val="000000000000"/>
              <w:rPr>
                <w:rFonts w:asciiTheme="minorHAnsi" w:hAnsiTheme="minorHAnsi"/>
                <w:b/>
                <w:szCs w:val="20"/>
                <w:vertAlign w:val="superscript"/>
              </w:rPr>
            </w:pPr>
            <w:r w:rsidRPr="00E97D4C">
              <w:rPr>
                <w:rFonts w:asciiTheme="minorHAnsi" w:hAnsiTheme="minorHAnsi"/>
                <w:b/>
                <w:szCs w:val="20"/>
              </w:rPr>
              <w:t>200</w:t>
            </w:r>
          </w:p>
        </w:tc>
      </w:tr>
      <w:tr w:rsidR="006B7EDD" w:rsidRPr="006B7EDD" w:rsidTr="003746F8">
        <w:trPr>
          <w:trHeight w:val="271"/>
        </w:trPr>
        <w:tc>
          <w:tcPr>
            <w:cnfStyle w:val="001000000000"/>
            <w:tcW w:w="837" w:type="dxa"/>
          </w:tcPr>
          <w:p w:rsidR="003746F8" w:rsidRPr="00E97D4C" w:rsidRDefault="003746F8" w:rsidP="00E97D4C">
            <w:pPr>
              <w:rPr>
                <w:rFonts w:asciiTheme="minorHAnsi" w:hAnsiTheme="minorHAnsi"/>
                <w:szCs w:val="20"/>
              </w:rPr>
            </w:pPr>
          </w:p>
        </w:tc>
        <w:tc>
          <w:tcPr>
            <w:tcW w:w="1489" w:type="dxa"/>
          </w:tcPr>
          <w:p w:rsidR="003746F8" w:rsidRPr="00E97D4C" w:rsidRDefault="003746F8" w:rsidP="00E97D4C">
            <w:pPr>
              <w:cnfStyle w:val="000000000000"/>
              <w:rPr>
                <w:rFonts w:asciiTheme="minorHAnsi" w:hAnsiTheme="minorHAnsi"/>
                <w:szCs w:val="20"/>
              </w:rPr>
            </w:pPr>
            <w:r w:rsidRPr="00E97D4C">
              <w:rPr>
                <w:rFonts w:asciiTheme="minorHAnsi" w:hAnsiTheme="minorHAnsi"/>
                <w:szCs w:val="20"/>
              </w:rPr>
              <w:t>Biosolids</w:t>
            </w:r>
          </w:p>
        </w:tc>
        <w:tc>
          <w:tcPr>
            <w:tcW w:w="2409" w:type="dxa"/>
          </w:tcPr>
          <w:p w:rsidR="003746F8" w:rsidRPr="00E97D4C" w:rsidRDefault="003746F8" w:rsidP="00E97D4C">
            <w:pPr>
              <w:jc w:val="center"/>
              <w:cnfStyle w:val="000000000000"/>
              <w:rPr>
                <w:rFonts w:asciiTheme="minorHAnsi" w:hAnsiTheme="minorHAnsi"/>
                <w:szCs w:val="20"/>
                <w:vertAlign w:val="superscript"/>
              </w:rPr>
            </w:pPr>
            <w:r w:rsidRPr="00E97D4C">
              <w:rPr>
                <w:rFonts w:asciiTheme="minorHAnsi" w:hAnsiTheme="minorHAnsi"/>
                <w:szCs w:val="20"/>
              </w:rPr>
              <w:t>29,000</w:t>
            </w:r>
            <w:r w:rsidRPr="00E97D4C">
              <w:rPr>
                <w:rFonts w:asciiTheme="minorHAnsi" w:hAnsiTheme="minorHAnsi"/>
                <w:szCs w:val="20"/>
                <w:vertAlign w:val="superscript"/>
              </w:rPr>
              <w:t>3</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Neg.</w:t>
            </w:r>
            <w:r w:rsidRPr="00E97D4C">
              <w:rPr>
                <w:rFonts w:asciiTheme="minorHAnsi" w:hAnsiTheme="minorHAnsi"/>
                <w:szCs w:val="20"/>
                <w:vertAlign w:val="superscript"/>
              </w:rPr>
              <w:t>1</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Neg.</w:t>
            </w:r>
            <w:r w:rsidRPr="00E97D4C">
              <w:rPr>
                <w:rFonts w:asciiTheme="minorHAnsi" w:hAnsiTheme="minorHAnsi"/>
                <w:szCs w:val="20"/>
                <w:vertAlign w:val="superscript"/>
              </w:rPr>
              <w:t>1</w:t>
            </w:r>
          </w:p>
        </w:tc>
      </w:tr>
      <w:tr w:rsidR="006B7EDD" w:rsidRPr="006B7EDD" w:rsidTr="003746F8">
        <w:trPr>
          <w:trHeight w:val="271"/>
        </w:trPr>
        <w:tc>
          <w:tcPr>
            <w:cnfStyle w:val="001000000000"/>
            <w:tcW w:w="837" w:type="dxa"/>
          </w:tcPr>
          <w:p w:rsidR="003746F8" w:rsidRPr="00E97D4C" w:rsidRDefault="003746F8" w:rsidP="00E97D4C">
            <w:pPr>
              <w:rPr>
                <w:rFonts w:asciiTheme="minorHAnsi" w:hAnsiTheme="minorHAnsi"/>
                <w:szCs w:val="20"/>
              </w:rPr>
            </w:pPr>
          </w:p>
        </w:tc>
        <w:tc>
          <w:tcPr>
            <w:tcW w:w="1489" w:type="dxa"/>
          </w:tcPr>
          <w:p w:rsidR="003746F8" w:rsidRPr="00E97D4C" w:rsidRDefault="003746F8" w:rsidP="00E97D4C">
            <w:pPr>
              <w:cnfStyle w:val="000000000000"/>
              <w:rPr>
                <w:rFonts w:asciiTheme="minorHAnsi" w:hAnsiTheme="minorHAnsi"/>
                <w:szCs w:val="20"/>
              </w:rPr>
            </w:pPr>
            <w:r w:rsidRPr="00E97D4C">
              <w:rPr>
                <w:rFonts w:asciiTheme="minorHAnsi" w:hAnsiTheme="minorHAnsi"/>
                <w:szCs w:val="20"/>
              </w:rPr>
              <w:t>End of Life EPS</w:t>
            </w:r>
            <w:r w:rsidRPr="00E97D4C">
              <w:rPr>
                <w:rFonts w:asciiTheme="minorHAnsi" w:hAnsiTheme="minorHAnsi"/>
                <w:szCs w:val="20"/>
                <w:vertAlign w:val="superscript"/>
              </w:rPr>
              <w:t>3</w:t>
            </w:r>
          </w:p>
        </w:tc>
        <w:tc>
          <w:tcPr>
            <w:tcW w:w="2409"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7,200</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7,200</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7,200</w:t>
            </w:r>
          </w:p>
        </w:tc>
      </w:tr>
      <w:tr w:rsidR="006B7EDD" w:rsidRPr="006B7EDD" w:rsidTr="003746F8">
        <w:trPr>
          <w:trHeight w:val="271"/>
        </w:trPr>
        <w:tc>
          <w:tcPr>
            <w:cnfStyle w:val="001000000000"/>
            <w:tcW w:w="837" w:type="dxa"/>
          </w:tcPr>
          <w:p w:rsidR="003746F8" w:rsidRPr="00E97D4C" w:rsidRDefault="003746F8" w:rsidP="00E97D4C">
            <w:pPr>
              <w:rPr>
                <w:rFonts w:asciiTheme="minorHAnsi" w:hAnsiTheme="minorHAnsi"/>
                <w:szCs w:val="20"/>
              </w:rPr>
            </w:pPr>
          </w:p>
        </w:tc>
        <w:tc>
          <w:tcPr>
            <w:tcW w:w="1489" w:type="dxa"/>
          </w:tcPr>
          <w:p w:rsidR="003746F8" w:rsidRPr="00E97D4C" w:rsidRDefault="003746F8" w:rsidP="00E97D4C">
            <w:pPr>
              <w:cnfStyle w:val="000000000000"/>
              <w:rPr>
                <w:rFonts w:asciiTheme="minorHAnsi" w:hAnsiTheme="minorHAnsi"/>
                <w:szCs w:val="20"/>
              </w:rPr>
            </w:pPr>
            <w:r w:rsidRPr="00E97D4C">
              <w:rPr>
                <w:rFonts w:asciiTheme="minorHAnsi" w:hAnsiTheme="minorHAnsi"/>
                <w:szCs w:val="20"/>
              </w:rPr>
              <w:t>Total</w:t>
            </w:r>
          </w:p>
        </w:tc>
        <w:tc>
          <w:tcPr>
            <w:tcW w:w="2409"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36,000</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7,200</w:t>
            </w:r>
          </w:p>
        </w:tc>
        <w:tc>
          <w:tcPr>
            <w:tcW w:w="2410" w:type="dxa"/>
          </w:tcPr>
          <w:p w:rsidR="003746F8" w:rsidRPr="00E97D4C" w:rsidRDefault="003746F8" w:rsidP="00E97D4C">
            <w:pPr>
              <w:jc w:val="center"/>
              <w:cnfStyle w:val="000000000000"/>
              <w:rPr>
                <w:rFonts w:asciiTheme="minorHAnsi" w:hAnsiTheme="minorHAnsi"/>
                <w:szCs w:val="20"/>
              </w:rPr>
            </w:pPr>
            <w:r w:rsidRPr="00E97D4C">
              <w:rPr>
                <w:rFonts w:asciiTheme="minorHAnsi" w:hAnsiTheme="minorHAnsi"/>
                <w:szCs w:val="20"/>
              </w:rPr>
              <w:t>7,200</w:t>
            </w:r>
          </w:p>
        </w:tc>
      </w:tr>
      <w:tr w:rsidR="006B7EDD" w:rsidRPr="006B7EDD" w:rsidTr="003746F8">
        <w:trPr>
          <w:trHeight w:val="271"/>
        </w:trPr>
        <w:tc>
          <w:tcPr>
            <w:cnfStyle w:val="001000000000"/>
            <w:tcW w:w="2326" w:type="dxa"/>
            <w:gridSpan w:val="2"/>
          </w:tcPr>
          <w:p w:rsidR="003746F8" w:rsidRPr="00E97D4C" w:rsidRDefault="003746F8" w:rsidP="00E97D4C">
            <w:pPr>
              <w:rPr>
                <w:rFonts w:asciiTheme="minorHAnsi" w:hAnsiTheme="minorHAnsi"/>
                <w:b/>
                <w:szCs w:val="20"/>
                <w:vertAlign w:val="superscript"/>
              </w:rPr>
            </w:pPr>
            <w:r w:rsidRPr="00E97D4C">
              <w:rPr>
                <w:rFonts w:asciiTheme="minorHAnsi" w:hAnsiTheme="minorHAnsi"/>
                <w:b/>
                <w:szCs w:val="20"/>
              </w:rPr>
              <w:t>TOTAL POP WASTE (as M160)</w:t>
            </w:r>
            <w:r w:rsidRPr="00E97D4C">
              <w:rPr>
                <w:rFonts w:asciiTheme="minorHAnsi" w:hAnsiTheme="minorHAnsi"/>
                <w:b/>
                <w:szCs w:val="20"/>
                <w:vertAlign w:val="superscript"/>
              </w:rPr>
              <w:t>3</w:t>
            </w:r>
          </w:p>
        </w:tc>
        <w:tc>
          <w:tcPr>
            <w:tcW w:w="2409" w:type="dxa"/>
          </w:tcPr>
          <w:p w:rsidR="003746F8" w:rsidRPr="00E97D4C" w:rsidRDefault="003746F8" w:rsidP="00E97D4C">
            <w:pPr>
              <w:jc w:val="center"/>
              <w:cnfStyle w:val="000000000000"/>
              <w:rPr>
                <w:rFonts w:asciiTheme="minorHAnsi" w:hAnsiTheme="minorHAnsi"/>
                <w:b/>
                <w:szCs w:val="20"/>
              </w:rPr>
            </w:pPr>
            <w:r w:rsidRPr="00E97D4C">
              <w:rPr>
                <w:rFonts w:asciiTheme="minorHAnsi" w:hAnsiTheme="minorHAnsi"/>
                <w:b/>
                <w:szCs w:val="20"/>
              </w:rPr>
              <w:t>87,000 t</w:t>
            </w:r>
          </w:p>
        </w:tc>
        <w:tc>
          <w:tcPr>
            <w:tcW w:w="2410" w:type="dxa"/>
          </w:tcPr>
          <w:p w:rsidR="003746F8" w:rsidRPr="00E97D4C" w:rsidRDefault="003746F8" w:rsidP="00E97D4C">
            <w:pPr>
              <w:jc w:val="center"/>
              <w:cnfStyle w:val="000000000000"/>
              <w:rPr>
                <w:rFonts w:asciiTheme="minorHAnsi" w:hAnsiTheme="minorHAnsi"/>
                <w:b/>
                <w:szCs w:val="20"/>
              </w:rPr>
            </w:pPr>
            <w:r w:rsidRPr="00E97D4C">
              <w:rPr>
                <w:rFonts w:asciiTheme="minorHAnsi" w:hAnsiTheme="minorHAnsi"/>
                <w:b/>
                <w:szCs w:val="20"/>
              </w:rPr>
              <w:t>19,000 t</w:t>
            </w:r>
          </w:p>
        </w:tc>
        <w:tc>
          <w:tcPr>
            <w:tcW w:w="2410" w:type="dxa"/>
          </w:tcPr>
          <w:p w:rsidR="003746F8" w:rsidRPr="00E97D4C" w:rsidRDefault="003746F8" w:rsidP="00E97D4C">
            <w:pPr>
              <w:jc w:val="center"/>
              <w:cnfStyle w:val="000000000000"/>
              <w:rPr>
                <w:rFonts w:asciiTheme="minorHAnsi" w:hAnsiTheme="minorHAnsi"/>
                <w:b/>
                <w:szCs w:val="20"/>
              </w:rPr>
            </w:pPr>
            <w:r w:rsidRPr="00E97D4C">
              <w:rPr>
                <w:rFonts w:asciiTheme="minorHAnsi" w:hAnsiTheme="minorHAnsi"/>
                <w:b/>
                <w:szCs w:val="20"/>
              </w:rPr>
              <w:t>11,000 t</w:t>
            </w:r>
          </w:p>
        </w:tc>
      </w:tr>
      <w:tr w:rsidR="006B7EDD" w:rsidRPr="006B7EDD" w:rsidTr="003746F8">
        <w:trPr>
          <w:trHeight w:val="932"/>
        </w:trPr>
        <w:tc>
          <w:tcPr>
            <w:cnfStyle w:val="001000000000"/>
            <w:tcW w:w="9555" w:type="dxa"/>
            <w:gridSpan w:val="5"/>
          </w:tcPr>
          <w:p w:rsidR="003746F8" w:rsidRPr="00E97D4C" w:rsidRDefault="003746F8" w:rsidP="00E97D4C">
            <w:pPr>
              <w:ind w:left="360"/>
              <w:rPr>
                <w:rFonts w:asciiTheme="minorHAnsi" w:hAnsiTheme="minorHAnsi"/>
                <w:szCs w:val="20"/>
              </w:rPr>
            </w:pPr>
            <w:r w:rsidRPr="00E97D4C">
              <w:rPr>
                <w:rFonts w:asciiTheme="minorHAnsi" w:hAnsiTheme="minorHAnsi"/>
                <w:szCs w:val="20"/>
              </w:rPr>
              <w:t>Notes:</w:t>
            </w:r>
          </w:p>
          <w:p w:rsidR="003746F8" w:rsidRPr="00E97D4C" w:rsidRDefault="003746F8" w:rsidP="00E97D4C">
            <w:pPr>
              <w:pStyle w:val="ListParagraph"/>
              <w:numPr>
                <w:ilvl w:val="0"/>
                <w:numId w:val="13"/>
              </w:numPr>
              <w:spacing w:line="276" w:lineRule="auto"/>
              <w:rPr>
                <w:rFonts w:asciiTheme="minorHAnsi" w:hAnsiTheme="minorHAnsi"/>
                <w:szCs w:val="20"/>
              </w:rPr>
            </w:pPr>
            <w:r w:rsidRPr="00E97D4C">
              <w:rPr>
                <w:rFonts w:asciiTheme="minorHAnsi" w:hAnsiTheme="minorHAnsi"/>
                <w:szCs w:val="20"/>
              </w:rPr>
              <w:t>Neg. = Negligible</w:t>
            </w:r>
          </w:p>
          <w:p w:rsidR="003746F8" w:rsidRPr="00E97D4C" w:rsidRDefault="003746F8" w:rsidP="00E97D4C">
            <w:pPr>
              <w:pStyle w:val="ListParagraph"/>
              <w:numPr>
                <w:ilvl w:val="0"/>
                <w:numId w:val="13"/>
              </w:numPr>
              <w:spacing w:line="276" w:lineRule="auto"/>
              <w:rPr>
                <w:rFonts w:asciiTheme="minorHAnsi" w:hAnsiTheme="minorHAnsi"/>
                <w:szCs w:val="20"/>
              </w:rPr>
            </w:pPr>
            <w:r w:rsidRPr="00E97D4C">
              <w:rPr>
                <w:rFonts w:asciiTheme="minorHAnsi" w:hAnsiTheme="minorHAnsi"/>
                <w:szCs w:val="20"/>
              </w:rPr>
              <w:t>Scenarios do not vary based on estimates of possible LCPL settings.</w:t>
            </w:r>
            <w:r w:rsidR="00F954D8" w:rsidRPr="00E97D4C">
              <w:rPr>
                <w:rFonts w:asciiTheme="minorHAnsi" w:hAnsiTheme="minorHAnsi"/>
                <w:szCs w:val="20"/>
              </w:rPr>
              <w:t xml:space="preserve"> </w:t>
            </w:r>
            <w:r w:rsidRPr="00E97D4C">
              <w:rPr>
                <w:rFonts w:asciiTheme="minorHAnsi" w:hAnsiTheme="minorHAnsi"/>
                <w:szCs w:val="20"/>
              </w:rPr>
              <w:t>Other causal factors will be used.</w:t>
            </w:r>
          </w:p>
          <w:p w:rsidR="003746F8" w:rsidRPr="00E97D4C" w:rsidRDefault="003746F8" w:rsidP="00E97D4C">
            <w:pPr>
              <w:pStyle w:val="ListParagraph"/>
              <w:numPr>
                <w:ilvl w:val="0"/>
                <w:numId w:val="13"/>
              </w:numPr>
              <w:spacing w:line="276" w:lineRule="auto"/>
              <w:rPr>
                <w:rFonts w:asciiTheme="minorHAnsi" w:hAnsiTheme="minorHAnsi"/>
                <w:szCs w:val="20"/>
              </w:rPr>
            </w:pPr>
            <w:r w:rsidRPr="00E97D4C">
              <w:rPr>
                <w:rFonts w:asciiTheme="minorHAnsi" w:hAnsiTheme="minorHAnsi"/>
                <w:szCs w:val="20"/>
              </w:rPr>
              <w:t>Assume the HBCD-containing biosolids are a subset of the PFOS-containing biosolids</w:t>
            </w:r>
          </w:p>
        </w:tc>
      </w:tr>
    </w:tbl>
    <w:p w:rsidR="003746F8" w:rsidRPr="00E97D4C" w:rsidRDefault="003746F8" w:rsidP="00E97D4C">
      <w:pPr>
        <w:rPr>
          <w:b/>
        </w:rPr>
      </w:pPr>
    </w:p>
    <w:p w:rsidR="003746F8" w:rsidRPr="00E97D4C" w:rsidRDefault="003746F8" w:rsidP="00E97D4C">
      <w:pPr>
        <w:rPr>
          <w:b/>
        </w:rPr>
      </w:pPr>
    </w:p>
    <w:p w:rsidR="003746F8" w:rsidRPr="00E97D4C" w:rsidRDefault="003746F8" w:rsidP="00E97D4C">
      <w:pPr>
        <w:pStyle w:val="BodyText"/>
        <w:spacing w:after="120"/>
        <w:rPr>
          <w:i/>
        </w:rPr>
      </w:pPr>
      <w:bookmarkStart w:id="567" w:name="_Toc403143632"/>
      <w:r w:rsidRPr="00E97D4C">
        <w:rPr>
          <w:i/>
        </w:rPr>
        <w:t>Projections</w:t>
      </w:r>
      <w:bookmarkEnd w:id="567"/>
    </w:p>
    <w:p w:rsidR="003746F8" w:rsidRPr="00E97D4C" w:rsidRDefault="003746F8" w:rsidP="00E97D4C">
      <w:pPr>
        <w:pStyle w:val="BodyText"/>
        <w:rPr>
          <w:b/>
        </w:rPr>
      </w:pPr>
      <w:r w:rsidRPr="00E97D4C">
        <w:rPr>
          <w:b/>
        </w:rPr>
        <w:t>Biosolids (relevant waste stream for PFOS and HBCD)</w:t>
      </w:r>
    </w:p>
    <w:p w:rsidR="003746F8" w:rsidRPr="00E97D4C" w:rsidRDefault="003746F8" w:rsidP="00E97D4C">
      <w:pPr>
        <w:pStyle w:val="BodyText"/>
      </w:pPr>
      <w:r w:rsidRPr="00E97D4C">
        <w:t>Causal factors:</w:t>
      </w:r>
    </w:p>
    <w:p w:rsidR="003746F8" w:rsidRPr="00E97D4C" w:rsidRDefault="003746F8" w:rsidP="00E97D4C">
      <w:pPr>
        <w:pStyle w:val="BodyText"/>
      </w:pPr>
      <w:r w:rsidRPr="00E97D4C">
        <w:t>Best</w:t>
      </w:r>
    </w:p>
    <w:p w:rsidR="003746F8" w:rsidRPr="00E97D4C" w:rsidRDefault="003746F8" w:rsidP="00E97D4C">
      <w:pPr>
        <w:pStyle w:val="Bullet1"/>
      </w:pPr>
      <w:r w:rsidRPr="00E97D4C">
        <w:t>Population growth</w:t>
      </w:r>
    </w:p>
    <w:p w:rsidR="003746F8" w:rsidRPr="00E97D4C" w:rsidRDefault="003746F8" w:rsidP="00E97D4C">
      <w:pPr>
        <w:pStyle w:val="Bullet1"/>
      </w:pPr>
      <w:r w:rsidRPr="00E97D4C">
        <w:t>Existing historical national biosolids generation information (good data for 2010 and 2013)</w:t>
      </w:r>
    </w:p>
    <w:p w:rsidR="003746F8" w:rsidRPr="00E97D4C" w:rsidRDefault="003746F8" w:rsidP="00E97D4C">
      <w:pPr>
        <w:pStyle w:val="Bullet1"/>
      </w:pPr>
      <w:r w:rsidRPr="00E97D4C">
        <w:t>Biosolids concentrations of POP-BDEs, HBCD and PFOS reporting in literature</w:t>
      </w:r>
    </w:p>
    <w:p w:rsidR="003746F8" w:rsidRPr="00E97D4C" w:rsidRDefault="003746F8" w:rsidP="00E97D4C">
      <w:pPr>
        <w:pStyle w:val="Bullet1"/>
      </w:pPr>
      <w:r w:rsidRPr="00E97D4C">
        <w:t>Likely LPCL’s to be set for POP-BDEs, HBCD and PFOS, below which the Stockholm Convention will not apply</w:t>
      </w:r>
    </w:p>
    <w:p w:rsidR="003746F8" w:rsidRPr="00E97D4C" w:rsidRDefault="003746F8" w:rsidP="00E97D4C">
      <w:pPr>
        <w:pStyle w:val="Bullet1"/>
      </w:pPr>
      <w:r w:rsidRPr="00E97D4C">
        <w:t>Estimated time for LPCL to come into effect – minimum 2 years from now</w:t>
      </w:r>
    </w:p>
    <w:p w:rsidR="003746F8" w:rsidRPr="00E97D4C" w:rsidRDefault="003746F8" w:rsidP="00E97D4C">
      <w:pPr>
        <w:pStyle w:val="Bullet1"/>
      </w:pPr>
      <w:r w:rsidRPr="00E97D4C">
        <w:t>Assuming that Australia ratifies the Stockholm Convention’s new POPs</w:t>
      </w:r>
    </w:p>
    <w:p w:rsidR="003746F8" w:rsidRPr="00E97D4C" w:rsidRDefault="003746F8" w:rsidP="00E97D4C">
      <w:pPr>
        <w:pStyle w:val="Bullet1"/>
      </w:pPr>
      <w:r w:rsidRPr="00E97D4C">
        <w:lastRenderedPageBreak/>
        <w:t>See ‘biosolids’ N205a projection</w:t>
      </w:r>
    </w:p>
    <w:p w:rsidR="003746F8" w:rsidRPr="00E97D4C" w:rsidRDefault="003746F8" w:rsidP="00E97D4C">
      <w:pPr>
        <w:pStyle w:val="Bullet1"/>
        <w:numPr>
          <w:ilvl w:val="0"/>
          <w:numId w:val="0"/>
        </w:numPr>
        <w:rPr>
          <w:b/>
        </w:rPr>
      </w:pPr>
    </w:p>
    <w:p w:rsidR="003746F8" w:rsidRPr="00E97D4C" w:rsidRDefault="003746F8" w:rsidP="00E97D4C">
      <w:pPr>
        <w:pStyle w:val="Bullet1"/>
        <w:numPr>
          <w:ilvl w:val="0"/>
          <w:numId w:val="0"/>
        </w:numPr>
        <w:rPr>
          <w:b/>
        </w:rPr>
      </w:pPr>
      <w:r w:rsidRPr="00E97D4C">
        <w:rPr>
          <w:b/>
        </w:rPr>
        <w:t>WEEE for disposal (relevant waste stream for POP-BDEs)</w:t>
      </w:r>
    </w:p>
    <w:p w:rsidR="003746F8" w:rsidRPr="00E97D4C" w:rsidRDefault="003746F8" w:rsidP="00E97D4C">
      <w:pPr>
        <w:pStyle w:val="BodyText"/>
      </w:pPr>
      <w:r w:rsidRPr="00E97D4C">
        <w:t>Causal factors:</w:t>
      </w:r>
    </w:p>
    <w:p w:rsidR="003746F8" w:rsidRPr="00E97D4C" w:rsidRDefault="003746F8" w:rsidP="00E97D4C">
      <w:pPr>
        <w:pStyle w:val="Bullet1"/>
      </w:pPr>
      <w:r w:rsidRPr="00E97D4C">
        <w:t>National TV and Computers Recycling Scheme RIS projections for recycling</w:t>
      </w:r>
    </w:p>
    <w:p w:rsidR="003746F8" w:rsidRPr="00E97D4C" w:rsidRDefault="003746F8" w:rsidP="00E97D4C">
      <w:pPr>
        <w:pStyle w:val="BodyText"/>
        <w:spacing w:before="80"/>
      </w:pPr>
    </w:p>
    <w:p w:rsidR="003746F8" w:rsidRPr="00E97D4C" w:rsidRDefault="003746F8" w:rsidP="00E97D4C">
      <w:pPr>
        <w:pStyle w:val="BodyText"/>
        <w:rPr>
          <w:b/>
        </w:rPr>
      </w:pPr>
      <w:r w:rsidRPr="00E97D4C">
        <w:rPr>
          <w:b/>
        </w:rPr>
        <w:t>End of Life EPS (relevant waste stream for HBCD)</w:t>
      </w:r>
    </w:p>
    <w:p w:rsidR="003746F8" w:rsidRPr="00E97D4C" w:rsidRDefault="003746F8" w:rsidP="00E97D4C">
      <w:pPr>
        <w:pStyle w:val="BodyText"/>
      </w:pPr>
      <w:r w:rsidRPr="00E97D4C">
        <w:t>Causal factors:</w:t>
      </w:r>
    </w:p>
    <w:p w:rsidR="003746F8" w:rsidRPr="00E97D4C" w:rsidRDefault="003746F8" w:rsidP="00E97D4C">
      <w:pPr>
        <w:pStyle w:val="Bullet1"/>
      </w:pPr>
      <w:r w:rsidRPr="00E97D4C">
        <w:t>ACIL Allen Consulting CBA and Decision RIS – summary information provided in confidence by DoE</w:t>
      </w:r>
    </w:p>
    <w:p w:rsidR="003746F8" w:rsidRPr="00E97D4C" w:rsidRDefault="003746F8" w:rsidP="00E97D4C">
      <w:pPr>
        <w:pStyle w:val="Bullet1"/>
      </w:pPr>
      <w:r w:rsidRPr="00E97D4C">
        <w:t>Limited projections of HBCD imports (AAC CBA and RIS)</w:t>
      </w:r>
    </w:p>
    <w:p w:rsidR="003746F8" w:rsidRPr="00E97D4C" w:rsidRDefault="003746F8" w:rsidP="00E97D4C">
      <w:pPr>
        <w:pStyle w:val="Bullet1"/>
      </w:pPr>
      <w:r w:rsidRPr="00E97D4C">
        <w:t>Construction activity data</w:t>
      </w:r>
    </w:p>
    <w:p w:rsidR="003746F8" w:rsidRPr="00E97D4C" w:rsidRDefault="003746F8" w:rsidP="00E97D4C">
      <w:pPr>
        <w:pStyle w:val="BodyText"/>
      </w:pPr>
    </w:p>
    <w:p w:rsidR="003746F8" w:rsidRPr="00E97D4C" w:rsidRDefault="003746F8" w:rsidP="00E97D4C">
      <w:pPr>
        <w:pStyle w:val="BodyText"/>
        <w:rPr>
          <w:b/>
        </w:rPr>
      </w:pPr>
      <w:r w:rsidRPr="00E97D4C">
        <w:rPr>
          <w:b/>
        </w:rPr>
        <w:t>AFFF Concentrates (for destruction) – relevant waste stream for PFOS</w:t>
      </w:r>
    </w:p>
    <w:p w:rsidR="003746F8" w:rsidRPr="00E97D4C" w:rsidRDefault="003746F8" w:rsidP="00E97D4C">
      <w:pPr>
        <w:pStyle w:val="BodyText"/>
      </w:pPr>
      <w:r w:rsidRPr="00E97D4C">
        <w:t>Causal factors:</w:t>
      </w:r>
    </w:p>
    <w:p w:rsidR="003746F8" w:rsidRPr="00E97D4C" w:rsidRDefault="003746F8" w:rsidP="00E97D4C">
      <w:pPr>
        <w:pStyle w:val="Bullet1"/>
      </w:pPr>
      <w:r w:rsidRPr="00E97D4C">
        <w:t>Previous reports – summary information provided in confidence by DoE</w:t>
      </w:r>
    </w:p>
    <w:p w:rsidR="003746F8" w:rsidRPr="00E97D4C" w:rsidRDefault="003746F8" w:rsidP="00E97D4C">
      <w:pPr>
        <w:pStyle w:val="Bullet2"/>
      </w:pPr>
      <w:r w:rsidRPr="00E97D4C">
        <w:t>Provides historical and limited projections about national stocks of AFFF concentrates, and their likely rate of decline, including the fact that PFOS-containing concentrates are no longer manufactured – only historical stocks</w:t>
      </w:r>
    </w:p>
    <w:p w:rsidR="003746F8" w:rsidRPr="00E97D4C" w:rsidRDefault="003746F8" w:rsidP="00E97D4C">
      <w:pPr>
        <w:pStyle w:val="Bullet1"/>
      </w:pPr>
      <w:r w:rsidRPr="00E97D4C">
        <w:t>Rate of change in bushfires/ other fires due to warmer climate scenarios, mitigated by rapidly declining stocks of AFFF containing PFOS</w:t>
      </w:r>
    </w:p>
    <w:p w:rsidR="003746F8" w:rsidRPr="00E97D4C" w:rsidRDefault="003746F8" w:rsidP="00E97D4C">
      <w:pPr>
        <w:pStyle w:val="BodyText"/>
      </w:pPr>
    </w:p>
    <w:p w:rsidR="003746F8" w:rsidRPr="00E97D4C" w:rsidRDefault="003746F8" w:rsidP="00E97D4C">
      <w:pPr>
        <w:pStyle w:val="BodyText"/>
        <w:rPr>
          <w:b/>
        </w:rPr>
      </w:pPr>
      <w:r w:rsidRPr="00E97D4C">
        <w:rPr>
          <w:b/>
        </w:rPr>
        <w:t>Firewaters – relevant waste stream for PFOS</w:t>
      </w:r>
    </w:p>
    <w:p w:rsidR="003746F8" w:rsidRPr="00E97D4C" w:rsidRDefault="003746F8" w:rsidP="00E97D4C">
      <w:pPr>
        <w:pStyle w:val="BodyText"/>
      </w:pPr>
      <w:r w:rsidRPr="00E97D4C">
        <w:t>Causal factors:</w:t>
      </w:r>
    </w:p>
    <w:p w:rsidR="003746F8" w:rsidRPr="00E97D4C" w:rsidRDefault="003746F8" w:rsidP="00E97D4C">
      <w:pPr>
        <w:pStyle w:val="BodyText"/>
      </w:pPr>
      <w:r w:rsidRPr="00E97D4C">
        <w:t>Difficult to quantify due to unknown wash-down volumes of fire waters, but tracking data exists for fire waters and debris (N140) and potential volumes and changes in volumes can be deduced from modelled changes in stocks.</w:t>
      </w:r>
    </w:p>
    <w:p w:rsidR="003746F8" w:rsidRPr="00816657" w:rsidRDefault="003746F8" w:rsidP="003746F8">
      <w:pPr>
        <w:pStyle w:val="BodyText"/>
      </w:pPr>
    </w:p>
    <w:p w:rsidR="003746F8" w:rsidRPr="00816657" w:rsidRDefault="003746F8" w:rsidP="003746F8">
      <w:pPr>
        <w:pStyle w:val="BodyText"/>
      </w:pPr>
    </w:p>
    <w:p w:rsidR="000E5702" w:rsidRPr="00816657" w:rsidRDefault="000E5702" w:rsidP="000E5702">
      <w:pPr>
        <w:pStyle w:val="BodyText"/>
      </w:pPr>
    </w:p>
    <w:p w:rsidR="003746F8" w:rsidRPr="00816657" w:rsidRDefault="003746F8" w:rsidP="000E5702">
      <w:pPr>
        <w:pStyle w:val="BodyText"/>
      </w:pPr>
    </w:p>
    <w:p w:rsidR="000E5702" w:rsidRPr="00816657" w:rsidRDefault="000E5702" w:rsidP="000E5702">
      <w:pPr>
        <w:pStyle w:val="BodyText"/>
        <w:sectPr w:rsidR="000E5702" w:rsidRPr="00816657" w:rsidSect="005D48DD">
          <w:headerReference w:type="even" r:id="rId281"/>
          <w:headerReference w:type="default" r:id="rId282"/>
          <w:footerReference w:type="even" r:id="rId283"/>
          <w:footerReference w:type="default" r:id="rId284"/>
          <w:headerReference w:type="first" r:id="rId285"/>
          <w:footerReference w:type="first" r:id="rId286"/>
          <w:pgSz w:w="11907" w:h="16840" w:code="9"/>
          <w:pgMar w:top="1531" w:right="1077" w:bottom="1417" w:left="1304" w:header="709" w:footer="709" w:gutter="0"/>
          <w:cols w:space="708"/>
          <w:docGrid w:linePitch="360"/>
        </w:sectPr>
      </w:pPr>
    </w:p>
    <w:p w:rsidR="000E5702" w:rsidRPr="00816657" w:rsidRDefault="000E5702" w:rsidP="000E5702">
      <w:pPr>
        <w:pStyle w:val="AppendixHeading1"/>
        <w:ind w:left="851"/>
      </w:pPr>
      <w:bookmarkStart w:id="568" w:name="_Ref408390288"/>
      <w:bookmarkStart w:id="569" w:name="_Toc425849215"/>
      <w:r w:rsidRPr="00816657">
        <w:lastRenderedPageBreak/>
        <w:t>Contaminated biosolids arising</w:t>
      </w:r>
      <w:bookmarkEnd w:id="568"/>
      <w:bookmarkEnd w:id="569"/>
    </w:p>
    <w:p w:rsidR="00BC2DEE" w:rsidRPr="00816657" w:rsidRDefault="00BA2C01" w:rsidP="00BA2C01">
      <w:pPr>
        <w:pStyle w:val="BodyText"/>
      </w:pPr>
      <w:r w:rsidRPr="00816657">
        <w:t xml:space="preserve">The Australia and New Zealand Biosolids Partnership produces data on the quantities of biosolids produced. </w:t>
      </w:r>
      <w:r w:rsidR="00BC2DEE" w:rsidRPr="00816657">
        <w:t xml:space="preserve">Data on dry weights from ANZBP (2013) were used, and previous more detailed data from 2010 (reported in BE &amp; REC 2013) were applied to this data set to estimate wet weight and end fates of these materials. Melbourne Water (2010) data were used to estimate the size of the large Victorian stockpiles. </w:t>
      </w:r>
    </w:p>
    <w:p w:rsidR="00BC2DEE" w:rsidRPr="00816657" w:rsidRDefault="00BC2DEE" w:rsidP="00BA2C01">
      <w:pPr>
        <w:pStyle w:val="BodyText"/>
      </w:pPr>
    </w:p>
    <w:p w:rsidR="00BC2DEE" w:rsidRPr="00816657" w:rsidRDefault="00BC2DEE" w:rsidP="00BA2C01">
      <w:pPr>
        <w:pStyle w:val="BodyText"/>
      </w:pPr>
      <w:r w:rsidRPr="00816657">
        <w:t>The quantities of biosolids to be classified under each scenario as contaminated, and therefore hazardous, were based on the assumptions set out below.</w:t>
      </w:r>
    </w:p>
    <w:p w:rsidR="00BC2DEE" w:rsidRPr="00816657" w:rsidRDefault="00BC2DEE" w:rsidP="00BA2C01">
      <w:pPr>
        <w:pStyle w:val="BodyText"/>
      </w:pPr>
    </w:p>
    <w:p w:rsidR="00BC2DEE" w:rsidRPr="00816657" w:rsidRDefault="00BC2DEE" w:rsidP="00BC2DEE">
      <w:pPr>
        <w:pStyle w:val="BodyText"/>
        <w:spacing w:after="120"/>
      </w:pPr>
      <w:r w:rsidRPr="00816657">
        <w:rPr>
          <w:i/>
        </w:rPr>
        <w:t>Best estimate</w:t>
      </w:r>
    </w:p>
    <w:p w:rsidR="00E152C0" w:rsidRPr="00816657" w:rsidRDefault="00E152C0" w:rsidP="00E152C0">
      <w:pPr>
        <w:pStyle w:val="Bullet1"/>
      </w:pPr>
      <w:r w:rsidRPr="00816657">
        <w:t>Biosolids are contaminated when contaminant levels</w:t>
      </w:r>
      <w:r w:rsidR="0020390A">
        <w:t xml:space="preserve"> fall into the Victorian C3 classification; that is, they exceed the</w:t>
      </w:r>
      <w:r w:rsidR="001116CF">
        <w:t xml:space="preserve"> </w:t>
      </w:r>
      <w:r w:rsidR="000E7713">
        <w:t xml:space="preserve">EPA Vic (2004) </w:t>
      </w:r>
      <w:r w:rsidR="001116CF">
        <w:t>limits for</w:t>
      </w:r>
      <w:r w:rsidR="000E7713">
        <w:t xml:space="preserve"> classification as</w:t>
      </w:r>
      <w:r w:rsidR="0020390A">
        <w:t xml:space="preserve"> C2</w:t>
      </w:r>
      <w:r w:rsidR="001116CF">
        <w:t xml:space="preserve"> biosolids</w:t>
      </w:r>
      <w:r w:rsidR="000E7713">
        <w:t xml:space="preserve"> (see below). C3 biosolids cannot be applied to land in Victoria.</w:t>
      </w:r>
    </w:p>
    <w:p w:rsidR="00E152C0" w:rsidRPr="00816657" w:rsidRDefault="00E152C0" w:rsidP="00E152C0">
      <w:pPr>
        <w:pStyle w:val="Bullet1"/>
      </w:pPr>
      <w:r w:rsidRPr="00816657">
        <w:t>Biosolids exceed this level if they are stockpiled.</w:t>
      </w:r>
      <w:r w:rsidR="00357EE6" w:rsidRPr="00816657">
        <w:t xml:space="preserve"> This covers the some quantity of biosolids produced in Victoria (Western Treatment Plant only), WA and NT.</w:t>
      </w:r>
      <w:r w:rsidR="00F954D8" w:rsidRPr="00816657">
        <w:t xml:space="preserve"> </w:t>
      </w:r>
    </w:p>
    <w:p w:rsidR="00357EE6" w:rsidRPr="00816657" w:rsidRDefault="00E152C0" w:rsidP="00E152C0">
      <w:pPr>
        <w:pStyle w:val="Bullet1"/>
      </w:pPr>
      <w:r w:rsidRPr="00816657">
        <w:t xml:space="preserve">For </w:t>
      </w:r>
      <w:r w:rsidR="00357EE6" w:rsidRPr="00816657">
        <w:t>other jurisdictions, the proportion of biosolids that are contaminated can be estimated with reference to the Victorian proportion, multiplied a factor that represents the degree to which those states are ‘industrialised’ relative to Victoria, namely: NSW 1; Qld 0.5; ACT, NT, SA and Tas 0.25.</w:t>
      </w:r>
    </w:p>
    <w:p w:rsidR="00357EE6" w:rsidRPr="00816657" w:rsidRDefault="00357EE6" w:rsidP="00E152C0">
      <w:pPr>
        <w:pStyle w:val="Bullet1"/>
      </w:pPr>
      <w:r w:rsidRPr="00816657">
        <w:t>Stockpiled biosolids do not enter the waste stream during the projection period.</w:t>
      </w:r>
    </w:p>
    <w:p w:rsidR="00BC2DEE" w:rsidRPr="00816657" w:rsidRDefault="00357EE6" w:rsidP="00357EE6">
      <w:pPr>
        <w:pStyle w:val="Bullet1"/>
      </w:pPr>
      <w:r w:rsidRPr="00816657">
        <w:t xml:space="preserve">The quantities of contaminated biosolids produced grow annually by 1% until 2024, </w:t>
      </w:r>
      <w:proofErr w:type="gramStart"/>
      <w:r w:rsidRPr="00816657">
        <w:t>then</w:t>
      </w:r>
      <w:proofErr w:type="gramEnd"/>
      <w:r w:rsidRPr="00816657">
        <w:t xml:space="preserve"> decline annually by 1% as wastewater quality improves.</w:t>
      </w:r>
    </w:p>
    <w:p w:rsidR="00BA2C01" w:rsidRPr="00816657" w:rsidRDefault="00BA2C01" w:rsidP="00BA2C01">
      <w:pPr>
        <w:pStyle w:val="BodyText"/>
      </w:pPr>
    </w:p>
    <w:p w:rsidR="00357EE6" w:rsidRPr="00816657" w:rsidRDefault="00357EE6" w:rsidP="00357EE6">
      <w:pPr>
        <w:pStyle w:val="BodyText"/>
        <w:spacing w:after="120"/>
      </w:pPr>
      <w:r w:rsidRPr="00816657">
        <w:rPr>
          <w:i/>
        </w:rPr>
        <w:t>High estimate</w:t>
      </w:r>
    </w:p>
    <w:p w:rsidR="009C5EA3" w:rsidRPr="00816657" w:rsidRDefault="009C5EA3" w:rsidP="00357EE6">
      <w:pPr>
        <w:pStyle w:val="Bullet1"/>
      </w:pPr>
      <w:r w:rsidRPr="00816657">
        <w:t>The quantity of b</w:t>
      </w:r>
      <w:r w:rsidR="00357EE6" w:rsidRPr="00816657">
        <w:t>iosolids</w:t>
      </w:r>
      <w:r w:rsidRPr="00816657">
        <w:t xml:space="preserve"> that is contaminated is equal to the highest of the following estimates:</w:t>
      </w:r>
    </w:p>
    <w:p w:rsidR="009C5EA3" w:rsidRPr="00816657" w:rsidRDefault="00357EE6" w:rsidP="009C5EA3">
      <w:pPr>
        <w:pStyle w:val="Bullet2"/>
      </w:pPr>
      <w:r w:rsidRPr="00816657">
        <w:t xml:space="preserve">all </w:t>
      </w:r>
      <w:r w:rsidR="009C5EA3" w:rsidRPr="00816657">
        <w:t xml:space="preserve">biosolids except those </w:t>
      </w:r>
      <w:r w:rsidRPr="00816657">
        <w:t>are used for agriculture, landscaping</w:t>
      </w:r>
      <w:r w:rsidR="009C5EA3" w:rsidRPr="00816657">
        <w:t xml:space="preserve"> or</w:t>
      </w:r>
      <w:r w:rsidRPr="00816657">
        <w:t xml:space="preserve"> land rehab</w:t>
      </w:r>
      <w:r w:rsidR="009C5EA3" w:rsidRPr="00816657">
        <w:t>ilitation</w:t>
      </w:r>
    </w:p>
    <w:p w:rsidR="00357EE6" w:rsidRPr="00816657" w:rsidRDefault="009C5EA3" w:rsidP="009C5EA3">
      <w:pPr>
        <w:pStyle w:val="Bullet2"/>
      </w:pPr>
      <w:proofErr w:type="gramStart"/>
      <w:r w:rsidRPr="00816657">
        <w:t>the</w:t>
      </w:r>
      <w:proofErr w:type="gramEnd"/>
      <w:r w:rsidR="00357EE6" w:rsidRPr="00816657">
        <w:t xml:space="preserve"> best estimate.</w:t>
      </w:r>
    </w:p>
    <w:p w:rsidR="009C5EA3" w:rsidRPr="00816657" w:rsidRDefault="009C5EA3" w:rsidP="009C5EA3">
      <w:pPr>
        <w:pStyle w:val="Bullet1"/>
      </w:pPr>
      <w:r w:rsidRPr="00816657">
        <w:t>Stockpiles are contaminated. They start to enter the waste stream in 2016 and are fully treated over 15 years.</w:t>
      </w:r>
    </w:p>
    <w:p w:rsidR="009C5EA3" w:rsidRPr="00816657" w:rsidRDefault="009C5EA3" w:rsidP="009C5EA3">
      <w:pPr>
        <w:pStyle w:val="Bullet1"/>
      </w:pPr>
      <w:r w:rsidRPr="00816657">
        <w:t>The quantities of contaminated biosolids produced grow in proportion to population growth.</w:t>
      </w:r>
    </w:p>
    <w:p w:rsidR="009C5EA3" w:rsidRPr="00816657" w:rsidRDefault="009C5EA3" w:rsidP="00BA2C01">
      <w:pPr>
        <w:pStyle w:val="BodyText"/>
      </w:pPr>
    </w:p>
    <w:p w:rsidR="009C5EA3" w:rsidRPr="00816657" w:rsidRDefault="009C5EA3" w:rsidP="009C5EA3">
      <w:pPr>
        <w:pStyle w:val="BodyText"/>
        <w:spacing w:after="120"/>
      </w:pPr>
      <w:r w:rsidRPr="00816657">
        <w:rPr>
          <w:i/>
        </w:rPr>
        <w:t>Low estimate</w:t>
      </w:r>
    </w:p>
    <w:p w:rsidR="009C5EA3" w:rsidRPr="00816657" w:rsidRDefault="009C5EA3" w:rsidP="009C5EA3">
      <w:pPr>
        <w:pStyle w:val="Bullet1"/>
      </w:pPr>
      <w:r w:rsidRPr="00816657">
        <w:t>The proportion of biosolids that is contaminated is equal to half the ‘best estimate’ proportion.</w:t>
      </w:r>
    </w:p>
    <w:p w:rsidR="009C5EA3" w:rsidRPr="00816657" w:rsidRDefault="009C5EA3" w:rsidP="009C5EA3">
      <w:pPr>
        <w:pStyle w:val="Bullet1"/>
      </w:pPr>
      <w:r w:rsidRPr="00816657">
        <w:t>Stockpiled biosolids do not enter the waste stream during the projection period.</w:t>
      </w:r>
    </w:p>
    <w:p w:rsidR="009C5EA3" w:rsidRPr="00816657" w:rsidRDefault="009C5EA3" w:rsidP="009C5EA3">
      <w:pPr>
        <w:pStyle w:val="Bullet1"/>
      </w:pPr>
      <w:r w:rsidRPr="00816657">
        <w:t xml:space="preserve">Reducing contaminant levels result in </w:t>
      </w:r>
      <w:r w:rsidR="00BB1256" w:rsidRPr="00816657">
        <w:t>an</w:t>
      </w:r>
      <w:r w:rsidRPr="00816657">
        <w:t xml:space="preserve"> annual net reduction in contaminated biosolids of -2%.</w:t>
      </w:r>
    </w:p>
    <w:p w:rsidR="00357EE6" w:rsidRDefault="00357EE6" w:rsidP="00BA2C01">
      <w:pPr>
        <w:pStyle w:val="BodyText"/>
      </w:pPr>
    </w:p>
    <w:p w:rsidR="000E7713" w:rsidRPr="00816657" w:rsidRDefault="000E7713" w:rsidP="00655F62">
      <w:pPr>
        <w:pStyle w:val="Figures"/>
      </w:pPr>
      <w:bookmarkStart w:id="570" w:name="_Toc308623316"/>
      <w:bookmarkStart w:id="571" w:name="_Toc425849364"/>
      <w:r>
        <w:t>T</w:t>
      </w:r>
      <w:r w:rsidRPr="001D2480">
        <w:t xml:space="preserve">able </w:t>
      </w:r>
      <w:fldSimple w:instr=" SEQ Table \* ARABIC ">
        <w:r w:rsidR="002F3000">
          <w:rPr>
            <w:noProof/>
          </w:rPr>
          <w:t>79</w:t>
        </w:r>
      </w:fldSimple>
      <w:r w:rsidRPr="001D2480">
        <w:t xml:space="preserve">: </w:t>
      </w:r>
      <w:bookmarkEnd w:id="570"/>
      <w:r>
        <w:tab/>
        <w:t>Upper limits for classification of biosolids as C2 in Victoria (see EPA Vic 2004)</w:t>
      </w:r>
      <w:bookmarkEnd w:id="571"/>
    </w:p>
    <w:tbl>
      <w:tblPr>
        <w:tblStyle w:val="BETable1"/>
        <w:tblW w:w="9070" w:type="dxa"/>
        <w:tblLayout w:type="fixed"/>
        <w:tblLook w:val="04A0"/>
      </w:tblPr>
      <w:tblGrid>
        <w:gridCol w:w="2267"/>
        <w:gridCol w:w="2267"/>
        <w:gridCol w:w="2268"/>
        <w:gridCol w:w="2268"/>
      </w:tblGrid>
      <w:tr w:rsidR="000E7713" w:rsidTr="000E7713">
        <w:trPr>
          <w:cnfStyle w:val="100000000000"/>
        </w:trPr>
        <w:tc>
          <w:tcPr>
            <w:cnfStyle w:val="001000000000"/>
            <w:tcW w:w="2267" w:type="dxa"/>
            <w:tcBorders>
              <w:left w:val="single" w:sz="4" w:space="0" w:color="7F7F7F" w:themeColor="background2"/>
              <w:bottom w:val="single" w:sz="4" w:space="0" w:color="7F7F7F" w:themeColor="background2"/>
            </w:tcBorders>
          </w:tcPr>
          <w:p w:rsidR="000E7713" w:rsidRDefault="000E7713" w:rsidP="000C12D4">
            <w:r>
              <w:t>Contaminant</w:t>
            </w:r>
          </w:p>
        </w:tc>
        <w:tc>
          <w:tcPr>
            <w:tcW w:w="2267" w:type="dxa"/>
            <w:tcBorders>
              <w:bottom w:val="single" w:sz="4" w:space="0" w:color="7F7F7F" w:themeColor="background2"/>
              <w:right w:val="single" w:sz="4" w:space="0" w:color="7F7F7F" w:themeColor="background2"/>
            </w:tcBorders>
          </w:tcPr>
          <w:p w:rsidR="000E7713" w:rsidRPr="000E7713" w:rsidRDefault="000E7713" w:rsidP="000C12D4">
            <w:pPr>
              <w:cnfStyle w:val="100000000000"/>
              <w:rPr>
                <w:b w:val="0"/>
              </w:rPr>
            </w:pPr>
            <w:r>
              <w:t xml:space="preserve">C2 threshold </w:t>
            </w:r>
            <w:r>
              <w:rPr>
                <w:b w:val="0"/>
              </w:rPr>
              <w:t>(mg/kg dry)</w:t>
            </w:r>
          </w:p>
        </w:tc>
        <w:tc>
          <w:tcPr>
            <w:tcW w:w="2268" w:type="dxa"/>
            <w:tcBorders>
              <w:left w:val="single" w:sz="4" w:space="0" w:color="7F7F7F" w:themeColor="background2"/>
              <w:bottom w:val="single" w:sz="4" w:space="0" w:color="7F7F7F" w:themeColor="background2"/>
            </w:tcBorders>
          </w:tcPr>
          <w:p w:rsidR="000E7713" w:rsidRDefault="000E7713" w:rsidP="000C12D4">
            <w:pPr>
              <w:cnfStyle w:val="100000000000"/>
            </w:pPr>
            <w:r>
              <w:t>Contaminant</w:t>
            </w:r>
          </w:p>
        </w:tc>
        <w:tc>
          <w:tcPr>
            <w:tcW w:w="2268" w:type="dxa"/>
            <w:tcBorders>
              <w:bottom w:val="single" w:sz="4" w:space="0" w:color="7F7F7F" w:themeColor="background2"/>
              <w:right w:val="single" w:sz="4" w:space="0" w:color="7F7F7F" w:themeColor="background2"/>
            </w:tcBorders>
          </w:tcPr>
          <w:p w:rsidR="000E7713" w:rsidRPr="000E7713" w:rsidRDefault="000E7713" w:rsidP="000C12D4">
            <w:pPr>
              <w:cnfStyle w:val="100000000000"/>
              <w:rPr>
                <w:b w:val="0"/>
              </w:rPr>
            </w:pPr>
            <w:r>
              <w:t xml:space="preserve">C2 threshold </w:t>
            </w:r>
            <w:r>
              <w:rPr>
                <w:b w:val="0"/>
              </w:rPr>
              <w:t>(mg/kg dry)</w:t>
            </w:r>
          </w:p>
        </w:tc>
      </w:tr>
      <w:tr w:rsidR="000E7713" w:rsidTr="000E7713">
        <w:tc>
          <w:tcPr>
            <w:cnfStyle w:val="001000000000"/>
            <w:tcW w:w="2267" w:type="dxa"/>
            <w:tcBorders>
              <w:left w:val="single" w:sz="4" w:space="0" w:color="7F7F7F" w:themeColor="background2"/>
              <w:bottom w:val="single" w:sz="4" w:space="0" w:color="7F7F7F" w:themeColor="background2"/>
            </w:tcBorders>
          </w:tcPr>
          <w:p w:rsidR="000E7713" w:rsidRDefault="000E7713" w:rsidP="000C12D4">
            <w:r>
              <w:t>Arsenic</w:t>
            </w:r>
          </w:p>
        </w:tc>
        <w:tc>
          <w:tcPr>
            <w:tcW w:w="2267" w:type="dxa"/>
            <w:tcBorders>
              <w:bottom w:val="single" w:sz="4" w:space="0" w:color="7F7F7F" w:themeColor="background2"/>
              <w:right w:val="single" w:sz="4" w:space="0" w:color="7F7F7F" w:themeColor="background2"/>
            </w:tcBorders>
          </w:tcPr>
          <w:p w:rsidR="000E7713" w:rsidRDefault="000E7713" w:rsidP="000E7713">
            <w:pPr>
              <w:jc w:val="right"/>
              <w:cnfStyle w:val="000000000000"/>
            </w:pPr>
            <w:r>
              <w:t>60</w:t>
            </w:r>
          </w:p>
        </w:tc>
        <w:tc>
          <w:tcPr>
            <w:tcW w:w="2268" w:type="dxa"/>
            <w:tcBorders>
              <w:left w:val="single" w:sz="4" w:space="0" w:color="7F7F7F" w:themeColor="background2"/>
              <w:bottom w:val="single" w:sz="4" w:space="0" w:color="7F7F7F" w:themeColor="background2"/>
            </w:tcBorders>
          </w:tcPr>
          <w:p w:rsidR="000E7713" w:rsidRDefault="000E7713" w:rsidP="000C12D4">
            <w:pPr>
              <w:cnfStyle w:val="000000000000"/>
            </w:pPr>
            <w:r>
              <w:t>Nickel</w:t>
            </w:r>
          </w:p>
        </w:tc>
        <w:tc>
          <w:tcPr>
            <w:tcW w:w="2268" w:type="dxa"/>
            <w:tcBorders>
              <w:bottom w:val="single" w:sz="4" w:space="0" w:color="7F7F7F" w:themeColor="background2"/>
              <w:right w:val="single" w:sz="4" w:space="0" w:color="7F7F7F" w:themeColor="background2"/>
            </w:tcBorders>
          </w:tcPr>
          <w:p w:rsidR="000E7713" w:rsidRDefault="000E7713" w:rsidP="000E7713">
            <w:pPr>
              <w:jc w:val="right"/>
              <w:cnfStyle w:val="000000000000"/>
            </w:pPr>
            <w:r>
              <w:t>270</w:t>
            </w:r>
          </w:p>
        </w:tc>
      </w:tr>
      <w:tr w:rsidR="000E7713" w:rsidTr="000E7713">
        <w:tc>
          <w:tcPr>
            <w:cnfStyle w:val="001000000000"/>
            <w:tcW w:w="2267" w:type="dxa"/>
            <w:tcBorders>
              <w:left w:val="single" w:sz="4" w:space="0" w:color="7F7F7F" w:themeColor="background2"/>
              <w:bottom w:val="single" w:sz="4" w:space="0" w:color="7F7F7F" w:themeColor="background2"/>
            </w:tcBorders>
          </w:tcPr>
          <w:p w:rsidR="000E7713" w:rsidRDefault="000E7713" w:rsidP="000C12D4">
            <w:r>
              <w:t>Cadmium</w:t>
            </w:r>
          </w:p>
        </w:tc>
        <w:tc>
          <w:tcPr>
            <w:tcW w:w="2267" w:type="dxa"/>
            <w:tcBorders>
              <w:bottom w:val="single" w:sz="4" w:space="0" w:color="7F7F7F" w:themeColor="background2"/>
              <w:right w:val="single" w:sz="4" w:space="0" w:color="7F7F7F" w:themeColor="background2"/>
            </w:tcBorders>
          </w:tcPr>
          <w:p w:rsidR="000E7713" w:rsidRDefault="000E7713" w:rsidP="000E7713">
            <w:pPr>
              <w:jc w:val="right"/>
              <w:cnfStyle w:val="000000000000"/>
            </w:pPr>
            <w:r>
              <w:t>10</w:t>
            </w:r>
          </w:p>
        </w:tc>
        <w:tc>
          <w:tcPr>
            <w:tcW w:w="2268" w:type="dxa"/>
            <w:tcBorders>
              <w:left w:val="single" w:sz="4" w:space="0" w:color="7F7F7F" w:themeColor="background2"/>
              <w:bottom w:val="single" w:sz="4" w:space="0" w:color="7F7F7F" w:themeColor="background2"/>
            </w:tcBorders>
          </w:tcPr>
          <w:p w:rsidR="000E7713" w:rsidRDefault="000E7713" w:rsidP="000C12D4">
            <w:pPr>
              <w:cnfStyle w:val="000000000000"/>
            </w:pPr>
            <w:r>
              <w:t>Selenium</w:t>
            </w:r>
          </w:p>
        </w:tc>
        <w:tc>
          <w:tcPr>
            <w:tcW w:w="2268" w:type="dxa"/>
            <w:tcBorders>
              <w:bottom w:val="single" w:sz="4" w:space="0" w:color="7F7F7F" w:themeColor="background2"/>
              <w:right w:val="single" w:sz="4" w:space="0" w:color="7F7F7F" w:themeColor="background2"/>
            </w:tcBorders>
          </w:tcPr>
          <w:p w:rsidR="000E7713" w:rsidRDefault="000E7713" w:rsidP="000E7713">
            <w:pPr>
              <w:jc w:val="right"/>
              <w:cnfStyle w:val="000000000000"/>
            </w:pPr>
            <w:r>
              <w:t>50</w:t>
            </w:r>
          </w:p>
        </w:tc>
      </w:tr>
      <w:tr w:rsidR="000E7713" w:rsidTr="000E7713">
        <w:tc>
          <w:tcPr>
            <w:cnfStyle w:val="001000000000"/>
            <w:tcW w:w="2267" w:type="dxa"/>
            <w:tcBorders>
              <w:left w:val="single" w:sz="4" w:space="0" w:color="7F7F7F" w:themeColor="background2"/>
              <w:bottom w:val="single" w:sz="4" w:space="0" w:color="7F7F7F" w:themeColor="background2"/>
            </w:tcBorders>
          </w:tcPr>
          <w:p w:rsidR="000E7713" w:rsidRDefault="000E7713" w:rsidP="000C12D4">
            <w:r>
              <w:t>Chromium</w:t>
            </w:r>
          </w:p>
        </w:tc>
        <w:tc>
          <w:tcPr>
            <w:tcW w:w="2267" w:type="dxa"/>
            <w:tcBorders>
              <w:bottom w:val="single" w:sz="4" w:space="0" w:color="7F7F7F" w:themeColor="background2"/>
              <w:right w:val="single" w:sz="4" w:space="0" w:color="7F7F7F" w:themeColor="background2"/>
            </w:tcBorders>
          </w:tcPr>
          <w:p w:rsidR="000E7713" w:rsidRDefault="000E7713" w:rsidP="000E7713">
            <w:pPr>
              <w:jc w:val="right"/>
              <w:cnfStyle w:val="000000000000"/>
            </w:pPr>
            <w:r>
              <w:t>3000</w:t>
            </w:r>
          </w:p>
        </w:tc>
        <w:tc>
          <w:tcPr>
            <w:tcW w:w="2268" w:type="dxa"/>
            <w:tcBorders>
              <w:left w:val="single" w:sz="4" w:space="0" w:color="7F7F7F" w:themeColor="background2"/>
              <w:bottom w:val="single" w:sz="4" w:space="0" w:color="7F7F7F" w:themeColor="background2"/>
            </w:tcBorders>
          </w:tcPr>
          <w:p w:rsidR="000E7713" w:rsidRDefault="000E7713" w:rsidP="000C12D4">
            <w:pPr>
              <w:cnfStyle w:val="000000000000"/>
            </w:pPr>
            <w:r>
              <w:t>Zinc</w:t>
            </w:r>
          </w:p>
        </w:tc>
        <w:tc>
          <w:tcPr>
            <w:tcW w:w="2268" w:type="dxa"/>
            <w:tcBorders>
              <w:bottom w:val="single" w:sz="4" w:space="0" w:color="7F7F7F" w:themeColor="background2"/>
              <w:right w:val="single" w:sz="4" w:space="0" w:color="7F7F7F" w:themeColor="background2"/>
            </w:tcBorders>
          </w:tcPr>
          <w:p w:rsidR="000E7713" w:rsidRDefault="000E7713" w:rsidP="000E7713">
            <w:pPr>
              <w:jc w:val="right"/>
              <w:cnfStyle w:val="000000000000"/>
            </w:pPr>
            <w:r>
              <w:t>2500</w:t>
            </w:r>
          </w:p>
        </w:tc>
      </w:tr>
      <w:tr w:rsidR="000E7713" w:rsidTr="000E7713">
        <w:tc>
          <w:tcPr>
            <w:cnfStyle w:val="001000000000"/>
            <w:tcW w:w="2267" w:type="dxa"/>
            <w:tcBorders>
              <w:left w:val="single" w:sz="4" w:space="0" w:color="7F7F7F" w:themeColor="background2"/>
              <w:bottom w:val="single" w:sz="4" w:space="0" w:color="7F7F7F" w:themeColor="background2"/>
            </w:tcBorders>
          </w:tcPr>
          <w:p w:rsidR="000E7713" w:rsidRDefault="000E7713" w:rsidP="000C12D4">
            <w:r>
              <w:t>Copper</w:t>
            </w:r>
          </w:p>
        </w:tc>
        <w:tc>
          <w:tcPr>
            <w:tcW w:w="2267" w:type="dxa"/>
            <w:tcBorders>
              <w:bottom w:val="single" w:sz="4" w:space="0" w:color="7F7F7F" w:themeColor="background2"/>
              <w:right w:val="single" w:sz="4" w:space="0" w:color="7F7F7F" w:themeColor="background2"/>
            </w:tcBorders>
          </w:tcPr>
          <w:p w:rsidR="000E7713" w:rsidRDefault="000E7713" w:rsidP="000E7713">
            <w:pPr>
              <w:jc w:val="right"/>
              <w:cnfStyle w:val="000000000000"/>
            </w:pPr>
            <w:r>
              <w:t>2000</w:t>
            </w:r>
          </w:p>
        </w:tc>
        <w:tc>
          <w:tcPr>
            <w:tcW w:w="2268" w:type="dxa"/>
            <w:tcBorders>
              <w:left w:val="single" w:sz="4" w:space="0" w:color="7F7F7F" w:themeColor="background2"/>
              <w:bottom w:val="single" w:sz="4" w:space="0" w:color="7F7F7F" w:themeColor="background2"/>
            </w:tcBorders>
          </w:tcPr>
          <w:p w:rsidR="000E7713" w:rsidRDefault="000E7713" w:rsidP="000C12D4">
            <w:pPr>
              <w:cnfStyle w:val="000000000000"/>
            </w:pPr>
            <w:r>
              <w:t>DDT &amp; derivatives</w:t>
            </w:r>
          </w:p>
        </w:tc>
        <w:tc>
          <w:tcPr>
            <w:tcW w:w="2268" w:type="dxa"/>
            <w:tcBorders>
              <w:bottom w:val="single" w:sz="4" w:space="0" w:color="7F7F7F" w:themeColor="background2"/>
              <w:right w:val="single" w:sz="4" w:space="0" w:color="7F7F7F" w:themeColor="background2"/>
            </w:tcBorders>
          </w:tcPr>
          <w:p w:rsidR="000E7713" w:rsidRDefault="000E7713" w:rsidP="000E7713">
            <w:pPr>
              <w:jc w:val="right"/>
              <w:cnfStyle w:val="000000000000"/>
            </w:pPr>
            <w:r>
              <w:t>1</w:t>
            </w:r>
          </w:p>
        </w:tc>
      </w:tr>
      <w:tr w:rsidR="000E7713" w:rsidTr="000E7713">
        <w:tc>
          <w:tcPr>
            <w:cnfStyle w:val="001000000000"/>
            <w:tcW w:w="2267" w:type="dxa"/>
            <w:tcBorders>
              <w:left w:val="single" w:sz="4" w:space="0" w:color="7F7F7F" w:themeColor="background2"/>
              <w:bottom w:val="single" w:sz="4" w:space="0" w:color="7F7F7F" w:themeColor="background2"/>
            </w:tcBorders>
          </w:tcPr>
          <w:p w:rsidR="000E7713" w:rsidRDefault="000E7713" w:rsidP="000C12D4">
            <w:r>
              <w:t>Lead</w:t>
            </w:r>
          </w:p>
        </w:tc>
        <w:tc>
          <w:tcPr>
            <w:tcW w:w="2267" w:type="dxa"/>
            <w:tcBorders>
              <w:bottom w:val="single" w:sz="4" w:space="0" w:color="7F7F7F" w:themeColor="background2"/>
              <w:right w:val="single" w:sz="4" w:space="0" w:color="7F7F7F" w:themeColor="background2"/>
            </w:tcBorders>
          </w:tcPr>
          <w:p w:rsidR="000E7713" w:rsidRDefault="000E7713" w:rsidP="000E7713">
            <w:pPr>
              <w:jc w:val="right"/>
              <w:cnfStyle w:val="000000000000"/>
            </w:pPr>
            <w:r>
              <w:t>500</w:t>
            </w:r>
          </w:p>
        </w:tc>
        <w:tc>
          <w:tcPr>
            <w:tcW w:w="2268" w:type="dxa"/>
            <w:tcBorders>
              <w:left w:val="single" w:sz="4" w:space="0" w:color="7F7F7F" w:themeColor="background2"/>
              <w:bottom w:val="single" w:sz="4" w:space="0" w:color="7F7F7F" w:themeColor="background2"/>
            </w:tcBorders>
          </w:tcPr>
          <w:p w:rsidR="000E7713" w:rsidRDefault="000E7713" w:rsidP="000C12D4">
            <w:pPr>
              <w:cnfStyle w:val="000000000000"/>
            </w:pPr>
            <w:r>
              <w:t>Organochlorine pesticides</w:t>
            </w:r>
          </w:p>
        </w:tc>
        <w:tc>
          <w:tcPr>
            <w:tcW w:w="2268" w:type="dxa"/>
            <w:tcBorders>
              <w:bottom w:val="single" w:sz="4" w:space="0" w:color="7F7F7F" w:themeColor="background2"/>
              <w:right w:val="single" w:sz="4" w:space="0" w:color="7F7F7F" w:themeColor="background2"/>
            </w:tcBorders>
          </w:tcPr>
          <w:p w:rsidR="000E7713" w:rsidRDefault="000E7713" w:rsidP="000E7713">
            <w:pPr>
              <w:jc w:val="right"/>
              <w:cnfStyle w:val="000000000000"/>
            </w:pPr>
            <w:r>
              <w:t>0.5</w:t>
            </w:r>
          </w:p>
        </w:tc>
      </w:tr>
      <w:tr w:rsidR="000E7713" w:rsidTr="000E7713">
        <w:tc>
          <w:tcPr>
            <w:cnfStyle w:val="001000000000"/>
            <w:tcW w:w="2267" w:type="dxa"/>
            <w:tcBorders>
              <w:left w:val="single" w:sz="4" w:space="0" w:color="7F7F7F" w:themeColor="background2"/>
              <w:bottom w:val="single" w:sz="4" w:space="0" w:color="808080" w:themeColor="background1" w:themeShade="80"/>
            </w:tcBorders>
          </w:tcPr>
          <w:p w:rsidR="000E7713" w:rsidRDefault="000E7713" w:rsidP="000C12D4">
            <w:r>
              <w:t>Mercury</w:t>
            </w:r>
          </w:p>
        </w:tc>
        <w:tc>
          <w:tcPr>
            <w:tcW w:w="2267" w:type="dxa"/>
            <w:tcBorders>
              <w:bottom w:val="single" w:sz="4" w:space="0" w:color="808080" w:themeColor="background1" w:themeShade="80"/>
              <w:right w:val="single" w:sz="4" w:space="0" w:color="7F7F7F" w:themeColor="background2"/>
            </w:tcBorders>
          </w:tcPr>
          <w:p w:rsidR="000E7713" w:rsidRDefault="000E7713" w:rsidP="000E7713">
            <w:pPr>
              <w:jc w:val="right"/>
              <w:cnfStyle w:val="000000000000"/>
            </w:pPr>
            <w:r>
              <w:t>5</w:t>
            </w:r>
          </w:p>
        </w:tc>
        <w:tc>
          <w:tcPr>
            <w:tcW w:w="2268" w:type="dxa"/>
            <w:tcBorders>
              <w:left w:val="single" w:sz="4" w:space="0" w:color="7F7F7F" w:themeColor="background2"/>
              <w:bottom w:val="single" w:sz="4" w:space="0" w:color="808080" w:themeColor="background1" w:themeShade="80"/>
            </w:tcBorders>
          </w:tcPr>
          <w:p w:rsidR="000E7713" w:rsidRDefault="000E7713" w:rsidP="000C12D4">
            <w:pPr>
              <w:cnfStyle w:val="000000000000"/>
            </w:pPr>
            <w:r>
              <w:t>PCBs</w:t>
            </w:r>
          </w:p>
        </w:tc>
        <w:tc>
          <w:tcPr>
            <w:tcW w:w="2268" w:type="dxa"/>
            <w:tcBorders>
              <w:bottom w:val="single" w:sz="4" w:space="0" w:color="808080" w:themeColor="background1" w:themeShade="80"/>
              <w:right w:val="single" w:sz="4" w:space="0" w:color="7F7F7F" w:themeColor="background2"/>
            </w:tcBorders>
          </w:tcPr>
          <w:p w:rsidR="000E7713" w:rsidRDefault="000E7713" w:rsidP="000E7713">
            <w:pPr>
              <w:jc w:val="right"/>
              <w:cnfStyle w:val="000000000000"/>
            </w:pPr>
            <w:r>
              <w:t>1</w:t>
            </w:r>
          </w:p>
        </w:tc>
      </w:tr>
    </w:tbl>
    <w:p w:rsidR="000E7713" w:rsidRPr="00816657" w:rsidRDefault="000E7713" w:rsidP="00BA2C01">
      <w:pPr>
        <w:pStyle w:val="BodyText"/>
      </w:pPr>
    </w:p>
    <w:p w:rsidR="000E5702" w:rsidRPr="00816657" w:rsidRDefault="000E5702" w:rsidP="000E5702">
      <w:pPr>
        <w:pStyle w:val="BodyText"/>
        <w:sectPr w:rsidR="000E5702" w:rsidRPr="00816657" w:rsidSect="005D48DD">
          <w:pgSz w:w="11907" w:h="16840" w:code="9"/>
          <w:pgMar w:top="1531" w:right="1077" w:bottom="1417" w:left="1304" w:header="709" w:footer="709" w:gutter="0"/>
          <w:cols w:space="708"/>
          <w:docGrid w:linePitch="360"/>
        </w:sectPr>
      </w:pPr>
    </w:p>
    <w:p w:rsidR="000E5702" w:rsidRPr="00816657" w:rsidRDefault="000E5702" w:rsidP="000E5702">
      <w:pPr>
        <w:pStyle w:val="AppendixHeading1"/>
        <w:ind w:left="851"/>
      </w:pPr>
      <w:bookmarkStart w:id="572" w:name="_Ref408390300"/>
      <w:bookmarkStart w:id="573" w:name="_Toc425849216"/>
      <w:r w:rsidRPr="00816657">
        <w:lastRenderedPageBreak/>
        <w:t>Waste lithium-ion batteries arising</w:t>
      </w:r>
      <w:bookmarkEnd w:id="572"/>
      <w:bookmarkEnd w:id="573"/>
    </w:p>
    <w:p w:rsidR="00803950" w:rsidRDefault="00803950">
      <w:pPr>
        <w:pStyle w:val="BodyText"/>
      </w:pPr>
      <w:r w:rsidRPr="00803950">
        <w:t xml:space="preserve">Although lithium-ion batteries are not regulated as hazardous waste, they are assessed in this report because of their potential to have a significant impact on hazardous waste infrastructure. Lithium-ion battery </w:t>
      </w:r>
      <w:proofErr w:type="gramStart"/>
      <w:r w:rsidRPr="00803950">
        <w:t>use has been increasing strongly and</w:t>
      </w:r>
      <w:r w:rsidR="00A6715A">
        <w:t>,</w:t>
      </w:r>
      <w:r w:rsidRPr="00803950">
        <w:t xml:space="preserve"> if not appropriately managed</w:t>
      </w:r>
      <w:r w:rsidR="00A6715A">
        <w:t>, represent</w:t>
      </w:r>
      <w:proofErr w:type="gramEnd"/>
      <w:r w:rsidR="00A6715A">
        <w:t xml:space="preserve"> </w:t>
      </w:r>
      <w:r w:rsidRPr="00803950">
        <w:t>a safety hazard due to risks of causing explosions and or fire (ABRI 2014).</w:t>
      </w:r>
    </w:p>
    <w:p w:rsidR="00803950" w:rsidRPr="00803950" w:rsidRDefault="00803950">
      <w:pPr>
        <w:pStyle w:val="BodyText"/>
      </w:pPr>
    </w:p>
    <w:p w:rsidR="000E5702" w:rsidRPr="00816657" w:rsidRDefault="00C32A26" w:rsidP="000E5702">
      <w:pPr>
        <w:pStyle w:val="BodyText"/>
      </w:pPr>
      <w:r w:rsidRPr="00816657">
        <w:t>Following Lewis (2014), lithium-ion batteries are considered in three categories:</w:t>
      </w:r>
    </w:p>
    <w:p w:rsidR="00C32A26" w:rsidRPr="00816657" w:rsidRDefault="00C32A26" w:rsidP="00C32A26">
      <w:pPr>
        <w:pStyle w:val="Bullet1"/>
      </w:pPr>
      <w:r w:rsidRPr="00816657">
        <w:t>handheld (&lt; 1 kg)</w:t>
      </w:r>
    </w:p>
    <w:p w:rsidR="00C32A26" w:rsidRPr="00816657" w:rsidRDefault="00C32A26" w:rsidP="00C32A26">
      <w:pPr>
        <w:pStyle w:val="Bullet1"/>
      </w:pPr>
      <w:r w:rsidRPr="00816657">
        <w:t>automotive</w:t>
      </w:r>
    </w:p>
    <w:p w:rsidR="00C32A26" w:rsidRPr="00816657" w:rsidRDefault="00C32A26" w:rsidP="00C32A26">
      <w:pPr>
        <w:pStyle w:val="Bullet1"/>
      </w:pPr>
      <w:proofErr w:type="gramStart"/>
      <w:r w:rsidRPr="00816657">
        <w:t>large</w:t>
      </w:r>
      <w:proofErr w:type="gramEnd"/>
      <w:r w:rsidRPr="00816657">
        <w:t xml:space="preserve"> and industrial. </w:t>
      </w:r>
    </w:p>
    <w:p w:rsidR="00AD06FA" w:rsidRPr="00816657" w:rsidRDefault="00AD06FA" w:rsidP="00C32A26">
      <w:pPr>
        <w:pStyle w:val="BodyText"/>
      </w:pPr>
    </w:p>
    <w:p w:rsidR="006E7A24" w:rsidRPr="00816657" w:rsidRDefault="006E7A24" w:rsidP="006E7A24">
      <w:pPr>
        <w:pStyle w:val="BodyText"/>
      </w:pPr>
      <w:r w:rsidRPr="00816657">
        <w:t>Note that the large increases in waste lithium-ion battery waste of all types and in all scenarios is contingent on the expected decline in costs as production ramps up and economies of scale are achieved.</w:t>
      </w:r>
    </w:p>
    <w:p w:rsidR="006E7A24" w:rsidRPr="00816657" w:rsidRDefault="006E7A24" w:rsidP="006E7A24">
      <w:pPr>
        <w:pStyle w:val="BodyText"/>
      </w:pPr>
    </w:p>
    <w:p w:rsidR="00C32A26" w:rsidRPr="00816657" w:rsidRDefault="00C32A26" w:rsidP="00C32A26">
      <w:pPr>
        <w:pStyle w:val="BodyText"/>
        <w:spacing w:after="120"/>
        <w:rPr>
          <w:i/>
        </w:rPr>
      </w:pPr>
      <w:r w:rsidRPr="00816657">
        <w:rPr>
          <w:i/>
        </w:rPr>
        <w:t>Handheld batteries</w:t>
      </w:r>
    </w:p>
    <w:p w:rsidR="00C32A26" w:rsidRPr="00816657" w:rsidRDefault="00C32A26" w:rsidP="00C32A26">
      <w:pPr>
        <w:pStyle w:val="BodyText"/>
      </w:pPr>
      <w:r w:rsidRPr="00816657">
        <w:t>The projections follow the large increases in consumption and waste proposed in a recent national study by NC &amp; SRU (2014) to 2020. After that year and until 2034:</w:t>
      </w:r>
    </w:p>
    <w:p w:rsidR="00C32A26" w:rsidRPr="00816657" w:rsidRDefault="00982F49" w:rsidP="00C32A26">
      <w:pPr>
        <w:pStyle w:val="Bullet1"/>
      </w:pPr>
      <w:r w:rsidRPr="00816657">
        <w:t>b</w:t>
      </w:r>
      <w:r w:rsidR="00C32A26" w:rsidRPr="00816657">
        <w:t>est estimate</w:t>
      </w:r>
      <w:r w:rsidRPr="00816657">
        <w:t xml:space="preserve"> – the </w:t>
      </w:r>
      <w:r w:rsidR="00C32A26" w:rsidRPr="00816657">
        <w:t>rate of increase declines by 50% as other technologies become competitive</w:t>
      </w:r>
    </w:p>
    <w:p w:rsidR="00C32A26" w:rsidRPr="00816657" w:rsidRDefault="00C32A26" w:rsidP="00C32A26">
      <w:pPr>
        <w:pStyle w:val="Bullet1"/>
      </w:pPr>
      <w:r w:rsidRPr="00816657">
        <w:t>high estimate</w:t>
      </w:r>
      <w:r w:rsidR="00982F49" w:rsidRPr="00816657">
        <w:t xml:space="preserve"> – the</w:t>
      </w:r>
      <w:r w:rsidRPr="00816657">
        <w:t xml:space="preserve"> rate of increase continues as before</w:t>
      </w:r>
    </w:p>
    <w:p w:rsidR="00C32A26" w:rsidRPr="00816657" w:rsidRDefault="00C32A26" w:rsidP="00C32A26">
      <w:pPr>
        <w:pStyle w:val="Bullet1"/>
      </w:pPr>
      <w:proofErr w:type="gramStart"/>
      <w:r w:rsidRPr="00816657">
        <w:t>low</w:t>
      </w:r>
      <w:proofErr w:type="gramEnd"/>
      <w:r w:rsidRPr="00816657">
        <w:t xml:space="preserve"> estimate</w:t>
      </w:r>
      <w:r w:rsidR="00982F49" w:rsidRPr="00816657">
        <w:t xml:space="preserve"> – the</w:t>
      </w:r>
      <w:r w:rsidRPr="00816657">
        <w:t xml:space="preserve"> rate of increase is proportional to population growth.</w:t>
      </w:r>
    </w:p>
    <w:p w:rsidR="00C32A26" w:rsidRPr="00816657" w:rsidRDefault="00C32A26" w:rsidP="00C32A26">
      <w:pPr>
        <w:pStyle w:val="BodyText"/>
      </w:pPr>
    </w:p>
    <w:p w:rsidR="00C32A26" w:rsidRPr="00816657" w:rsidRDefault="00C32A26" w:rsidP="00C32A26">
      <w:pPr>
        <w:pStyle w:val="BodyText"/>
        <w:spacing w:after="120"/>
        <w:rPr>
          <w:i/>
        </w:rPr>
      </w:pPr>
      <w:r w:rsidRPr="00816657">
        <w:rPr>
          <w:i/>
        </w:rPr>
        <w:t>Automotive batteries</w:t>
      </w:r>
    </w:p>
    <w:p w:rsidR="00C32A26" w:rsidRPr="00816657" w:rsidRDefault="00982F49" w:rsidP="00C32A26">
      <w:pPr>
        <w:pStyle w:val="BodyText"/>
      </w:pPr>
      <w:r w:rsidRPr="00816657">
        <w:t>The projections are founded on: Baylis (2012)</w:t>
      </w:r>
      <w:r w:rsidR="0094291D" w:rsidRPr="00816657">
        <w:t xml:space="preserve"> best, high and low estimates </w:t>
      </w:r>
      <w:r w:rsidRPr="00816657">
        <w:t xml:space="preserve">of future global sales of electric vehicles to 2010; OICA (2014) data on the proportions of vehicles sold in Australia; and Battery University (2014) data on the average weights of batteries. </w:t>
      </w:r>
      <w:r w:rsidR="0094291D" w:rsidRPr="00816657">
        <w:t xml:space="preserve">For each scenario, it is assumed that after 2020 growth in the sale of automotive lithium-ion batteries increases at half the Baylis (2012) estimate as alternative technologies become competitive and the rate of increase of electric vehicle sales declines. </w:t>
      </w:r>
    </w:p>
    <w:p w:rsidR="00C32A26" w:rsidRPr="00816657" w:rsidRDefault="00C32A26" w:rsidP="00C32A26">
      <w:pPr>
        <w:pStyle w:val="BodyText"/>
      </w:pPr>
    </w:p>
    <w:p w:rsidR="00CD54B9" w:rsidRPr="00816657" w:rsidRDefault="00CD54B9" w:rsidP="00CD54B9">
      <w:pPr>
        <w:pStyle w:val="BodyText"/>
        <w:spacing w:after="120"/>
        <w:rPr>
          <w:i/>
        </w:rPr>
      </w:pPr>
      <w:r w:rsidRPr="00816657">
        <w:rPr>
          <w:i/>
        </w:rPr>
        <w:t>Large and industrial batteries</w:t>
      </w:r>
    </w:p>
    <w:p w:rsidR="00CD54B9" w:rsidRPr="00816657" w:rsidRDefault="00CD54B9" w:rsidP="00C32A26">
      <w:pPr>
        <w:pStyle w:val="BodyText"/>
      </w:pPr>
      <w:r w:rsidRPr="00816657">
        <w:t xml:space="preserve">Baylis 2012 provides estimates of global projections of the amounts of grid storage from </w:t>
      </w:r>
      <w:r w:rsidR="00A22992" w:rsidRPr="00816657">
        <w:t>lithium-ion</w:t>
      </w:r>
      <w:r w:rsidRPr="00816657">
        <w:t xml:space="preserve"> batteries. These projections are supported by a separate analysis of the expected future storage market by MHC (2012), which </w:t>
      </w:r>
      <w:proofErr w:type="gramStart"/>
      <w:r w:rsidRPr="00816657">
        <w:t>extend</w:t>
      </w:r>
      <w:proofErr w:type="gramEnd"/>
      <w:r w:rsidRPr="00816657">
        <w:t xml:space="preserve"> to 2030. This suggests average annual growth of 12% (low estimate), 14% (high estimate) and 10% (low estimate). The quantity of grid storage (in MW) is converted to tonnes of material using a Ragone chart given at electronicdesign.com. </w:t>
      </w:r>
    </w:p>
    <w:p w:rsidR="0094291D" w:rsidRPr="00816657" w:rsidRDefault="0094291D" w:rsidP="00C32A26">
      <w:pPr>
        <w:pStyle w:val="BodyText"/>
      </w:pPr>
    </w:p>
    <w:p w:rsidR="00C32A26" w:rsidRPr="00816657" w:rsidRDefault="00C32A26" w:rsidP="00C32A26">
      <w:pPr>
        <w:pStyle w:val="BodyText"/>
      </w:pPr>
    </w:p>
    <w:p w:rsidR="00C32A26" w:rsidRPr="00816657" w:rsidRDefault="00C32A26" w:rsidP="00C32A26">
      <w:pPr>
        <w:pStyle w:val="BodyText"/>
      </w:pPr>
    </w:p>
    <w:p w:rsidR="00C32A26" w:rsidRPr="00816657" w:rsidRDefault="00C32A26" w:rsidP="00C32A26">
      <w:pPr>
        <w:pStyle w:val="BodyText"/>
      </w:pPr>
    </w:p>
    <w:p w:rsidR="00C32A26" w:rsidRPr="00816657" w:rsidRDefault="00C32A26" w:rsidP="00C32A26">
      <w:pPr>
        <w:pStyle w:val="BodyText"/>
      </w:pPr>
    </w:p>
    <w:p w:rsidR="00C32A26" w:rsidRPr="00816657" w:rsidRDefault="00C32A26" w:rsidP="00C32A26">
      <w:pPr>
        <w:pStyle w:val="BodyText"/>
      </w:pPr>
    </w:p>
    <w:p w:rsidR="00C32A26" w:rsidRPr="00816657" w:rsidRDefault="00C32A26" w:rsidP="00C32A26">
      <w:pPr>
        <w:pStyle w:val="BodyText"/>
      </w:pPr>
    </w:p>
    <w:p w:rsidR="00C32A26" w:rsidRPr="00816657" w:rsidRDefault="00C32A26" w:rsidP="00C32A26">
      <w:pPr>
        <w:pStyle w:val="BodyText"/>
      </w:pPr>
    </w:p>
    <w:p w:rsidR="00C32A26" w:rsidRPr="00816657" w:rsidRDefault="00C32A26">
      <w:pPr>
        <w:spacing w:line="240" w:lineRule="auto"/>
      </w:pPr>
    </w:p>
    <w:p w:rsidR="00C32A26" w:rsidRPr="00816657" w:rsidRDefault="00C32A26">
      <w:pPr>
        <w:spacing w:line="240" w:lineRule="auto"/>
        <w:sectPr w:rsidR="00C32A26" w:rsidRPr="00816657" w:rsidSect="005D48DD">
          <w:pgSz w:w="11907" w:h="16840" w:code="9"/>
          <w:pgMar w:top="1531" w:right="1077" w:bottom="1417" w:left="1304" w:header="709" w:footer="709" w:gutter="0"/>
          <w:cols w:space="708"/>
          <w:docGrid w:linePitch="360"/>
        </w:sectPr>
      </w:pPr>
    </w:p>
    <w:p w:rsidR="004B0B08" w:rsidRPr="00816657" w:rsidRDefault="004B0B08">
      <w:pPr>
        <w:spacing w:line="240" w:lineRule="auto"/>
        <w:rPr>
          <w:color w:val="080808"/>
          <w:sz w:val="22"/>
        </w:rPr>
      </w:pPr>
    </w:p>
    <w:p w:rsidR="009D4E50" w:rsidRPr="00816657" w:rsidRDefault="00CE7600" w:rsidP="00DD4ED8">
      <w:pPr>
        <w:pStyle w:val="AppendixHeading1"/>
        <w:ind w:left="851"/>
      </w:pPr>
      <w:bookmarkStart w:id="574" w:name="_Toc425849217"/>
      <w:r w:rsidRPr="00816657">
        <w:t>National projected arisings scenarios of hazardous waste by waste group</w:t>
      </w:r>
      <w:bookmarkEnd w:id="574"/>
      <w:r w:rsidRPr="00816657">
        <w:t xml:space="preserve"> </w:t>
      </w:r>
    </w:p>
    <w:p w:rsidR="00783665" w:rsidRPr="00816657" w:rsidRDefault="006270A8" w:rsidP="00655F62">
      <w:pPr>
        <w:pStyle w:val="Figures"/>
      </w:pPr>
      <w:bookmarkStart w:id="575" w:name="_Ref408497956"/>
      <w:bookmarkStart w:id="576" w:name="_Toc425849365"/>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80</w:t>
      </w:r>
      <w:r w:rsidR="006D07F5" w:rsidRPr="00816657">
        <w:rPr>
          <w:noProof/>
        </w:rPr>
        <w:fldChar w:fldCharType="end"/>
      </w:r>
      <w:bookmarkEnd w:id="575"/>
      <w:r w:rsidRPr="00816657">
        <w:t xml:space="preserve">: </w:t>
      </w:r>
      <w:r w:rsidRPr="00816657">
        <w:tab/>
        <w:t>Best estimate scenario for all groups</w:t>
      </w:r>
      <w:bookmarkEnd w:id="576"/>
    </w:p>
    <w:tbl>
      <w:tblPr>
        <w:tblW w:w="15735" w:type="dxa"/>
        <w:tblInd w:w="-885" w:type="dxa"/>
        <w:tblLayout w:type="fixed"/>
        <w:tblLook w:val="04A0"/>
      </w:tblPr>
      <w:tblGrid>
        <w:gridCol w:w="851"/>
        <w:gridCol w:w="3686"/>
        <w:gridCol w:w="1018"/>
        <w:gridCol w:w="1018"/>
        <w:gridCol w:w="1018"/>
        <w:gridCol w:w="1018"/>
        <w:gridCol w:w="1018"/>
        <w:gridCol w:w="1018"/>
        <w:gridCol w:w="1018"/>
        <w:gridCol w:w="1018"/>
        <w:gridCol w:w="1018"/>
        <w:gridCol w:w="1018"/>
        <w:gridCol w:w="1018"/>
      </w:tblGrid>
      <w:tr w:rsidR="00783665" w:rsidRPr="00816657" w:rsidTr="00783665">
        <w:tc>
          <w:tcPr>
            <w:tcW w:w="4537" w:type="dxa"/>
            <w:gridSpan w:val="2"/>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Hazardous waste groups</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2014</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2015</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2016</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2017</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2018</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2019</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2020</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2021</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2022</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2023</w:t>
            </w:r>
          </w:p>
        </w:tc>
        <w:tc>
          <w:tcPr>
            <w:tcW w:w="1018" w:type="dxa"/>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2024</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A</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Plating &amp; heat treatment</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6,270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6,483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6,703</w:t>
            </w:r>
          </w:p>
        </w:tc>
        <w:tc>
          <w:tcPr>
            <w:tcW w:w="1018" w:type="dxa"/>
            <w:tcBorders>
              <w:top w:val="nil"/>
              <w:left w:val="nil"/>
              <w:bottom w:val="nil"/>
              <w:right w:val="nil"/>
            </w:tcBorders>
            <w:shd w:val="clear" w:color="auto" w:fill="auto"/>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6,931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7,167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7,411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7,664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7,925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8,196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8,476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8,766</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B</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Acids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43,304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42,004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40,744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39,522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38,336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37,186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C</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Alkalis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300,047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313,094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327,237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342,561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359,153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377,108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396,530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417,529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440,224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464,744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491,227</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D120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Mercury; mercury compounds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1,510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1,525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1,540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1,556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1,571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1,587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1,603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1,619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1,635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1,651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1,635</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D220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Lead; lead compounds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165,387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167,867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170,386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172,941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175,535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178,168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180,841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183,554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186,307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189,101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191,938</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D300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Non-toxic salts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85,110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91,760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99,113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107,237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116,209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126,114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137,043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149,099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162,393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177,049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193,202</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D</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inorganic chemicals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200,247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196,242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192,317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188,471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184,702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181,008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177,387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173,840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170,363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166,956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163,617</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E</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Reactive chemicals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F</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Paints, resins, inks, organic sludges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44,900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45,573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46,257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46,951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47,655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48,370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49,096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49,832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50,579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51,338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52,108</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G</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Organic solvents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31,202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32,075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32,973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33,897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34,846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35,821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36,824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37,855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38,915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40,005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41,125</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H</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Pesticides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3,733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3,838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3,945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4,056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4,169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4,286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4,406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4,530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4,656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4,787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4,921</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J</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Oils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669,037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703,665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740,960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781,126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824,386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870,976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921,153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975,195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1,033,397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1,096,081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1,163,592</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K100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Animal effluent and residues (+ food processing waste)</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293,354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299,808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306,404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313,145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320,034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327,075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334,271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341,624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349,140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356,821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364,671</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K110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Grease trap waste</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537,039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552,076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567,535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583,426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599,762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616,555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633,818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651,565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669,809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688,564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707,844</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K140 &amp; 190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Tannery &amp; wool scouring wastes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6,893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6,610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6,339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6,079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5,830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5,591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5,362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5,142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4,931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4,729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4,535</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M160a</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PFOS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3,805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3,425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10,603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10,407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10,245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10,111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10,004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9,922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9,861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9,821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9,799</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M160b</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POP-BDEs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379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322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233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121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103</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M160c</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HBCD</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7,609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7,974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8,357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8,758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9,178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9,619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10,081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10,564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11,072</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M160d</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HCB</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M</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organic chemicals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21,634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21,116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20,619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20,142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19,682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19,298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18,921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18,551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18,189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17,834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17,486</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N120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Contaminated soils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N205a</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Contaminated biosolids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269,319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272,012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267,212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269,846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272,507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275,193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277,906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280,645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283,411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286,204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283,133</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N205b</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industrial treatment residues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242,782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249,580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256,568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263,752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271,137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278,729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286,533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294,556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302,804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311,282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319,998</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N220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Asbestos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854,769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898,703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923,307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948,599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974,600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1,001,329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1,008,806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1,037,052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1,066,090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1,095,940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1,126,627</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N</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soil/sludges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103,864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102,826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101,797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115,779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114,772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113,774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112,786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111,808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110,840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109,882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108,933</w:t>
            </w:r>
          </w:p>
        </w:tc>
      </w:tr>
      <w:tr w:rsidR="00755035" w:rsidRPr="00816657" w:rsidTr="0020737E">
        <w:tc>
          <w:tcPr>
            <w:tcW w:w="851" w:type="dxa"/>
            <w:tcBorders>
              <w:top w:val="nil"/>
              <w:left w:val="nil"/>
              <w:bottom w:val="nil"/>
              <w:right w:val="nil"/>
            </w:tcBorders>
            <w:shd w:val="clear" w:color="000000" w:fill="F2F2F2"/>
            <w:hideMark/>
          </w:tcPr>
          <w:p w:rsidR="00755035" w:rsidRPr="00816657" w:rsidRDefault="00755035" w:rsidP="00783665">
            <w:pPr>
              <w:spacing w:line="240" w:lineRule="auto"/>
              <w:rPr>
                <w:rFonts w:cs="Times New Roman"/>
                <w:color w:val="000000"/>
                <w:sz w:val="18"/>
                <w:szCs w:val="18"/>
                <w:lang w:eastAsia="en-AU"/>
              </w:rPr>
            </w:pPr>
            <w:r w:rsidRPr="00816657">
              <w:rPr>
                <w:rFonts w:cs="Times New Roman"/>
                <w:color w:val="000000"/>
                <w:sz w:val="18"/>
                <w:szCs w:val="18"/>
                <w:lang w:eastAsia="en-AU"/>
              </w:rPr>
              <w:t>R</w:t>
            </w:r>
          </w:p>
        </w:tc>
        <w:tc>
          <w:tcPr>
            <w:tcW w:w="3686" w:type="dxa"/>
            <w:tcBorders>
              <w:top w:val="nil"/>
              <w:left w:val="nil"/>
              <w:bottom w:val="nil"/>
              <w:right w:val="nil"/>
            </w:tcBorders>
            <w:shd w:val="clear" w:color="000000" w:fill="F2F2F2"/>
            <w:noWrap/>
            <w:hideMark/>
          </w:tcPr>
          <w:p w:rsidR="00755035" w:rsidRPr="00816657" w:rsidRDefault="00755035" w:rsidP="00783665">
            <w:pPr>
              <w:spacing w:line="240" w:lineRule="auto"/>
              <w:rPr>
                <w:rFonts w:cs="Times New Roman"/>
                <w:color w:val="000000"/>
                <w:sz w:val="18"/>
                <w:szCs w:val="18"/>
                <w:lang w:eastAsia="en-AU"/>
              </w:rPr>
            </w:pPr>
            <w:r w:rsidRPr="00816657">
              <w:rPr>
                <w:rFonts w:cs="Times New Roman"/>
                <w:color w:val="000000"/>
                <w:sz w:val="18"/>
                <w:szCs w:val="18"/>
                <w:lang w:eastAsia="en-AU"/>
              </w:rPr>
              <w:t>Clinical &amp; pharmaceutical</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71,353</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72,726</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74,126</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75,608</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77,120</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78,663</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80,236</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81,841</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83,478</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85,231</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87,021</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T140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Tyres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411,138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417,305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423,565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429,918</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436,367</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442,913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449,556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456,300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463,144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470,091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477,143</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T</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miscellaneous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7,002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6,961</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6,940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6,939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6,953</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6,980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7,020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7,070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7,129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7,196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7,270</w:t>
            </w:r>
          </w:p>
        </w:tc>
      </w:tr>
      <w:tr w:rsidR="00783665" w:rsidRPr="00816657" w:rsidTr="00783665">
        <w:tc>
          <w:tcPr>
            <w:tcW w:w="851" w:type="dxa"/>
            <w:tcBorders>
              <w:top w:val="nil"/>
              <w:left w:val="nil"/>
              <w:bottom w:val="single" w:sz="4" w:space="0" w:color="7F7F7F"/>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Lithium-ion batteries</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8,190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9,705</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11,504</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13,642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16,182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19,202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22,792</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24,989</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27,400</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30,046</w:t>
            </w:r>
          </w:p>
        </w:tc>
        <w:tc>
          <w:tcPr>
            <w:tcW w:w="1018"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32,950</w:t>
            </w:r>
          </w:p>
        </w:tc>
      </w:tr>
      <w:tr w:rsidR="00783665" w:rsidRPr="00816657" w:rsidTr="00783665">
        <w:tc>
          <w:tcPr>
            <w:tcW w:w="851"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single" w:sz="4" w:space="0" w:color="7F7F7F"/>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 </w:t>
            </w:r>
            <w:r w:rsidRPr="00816657">
              <w:rPr>
                <w:rFonts w:cs="Times New Roman"/>
                <w:b/>
                <w:bCs/>
                <w:color w:val="000000"/>
                <w:sz w:val="18"/>
                <w:szCs w:val="18"/>
                <w:lang w:eastAsia="en-AU"/>
              </w:rPr>
              <w:t>Total (millions of tonnes)</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5.73</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5.87</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6.00</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6.14</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6.27</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6.41</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6.57</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6.73</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6.90</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7.08</w:t>
            </w:r>
          </w:p>
        </w:tc>
        <w:tc>
          <w:tcPr>
            <w:tcW w:w="1018" w:type="dxa"/>
            <w:tcBorders>
              <w:top w:val="single" w:sz="4" w:space="0" w:color="7F7F7F"/>
              <w:left w:val="nil"/>
              <w:bottom w:val="nil"/>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7.27</w:t>
            </w:r>
          </w:p>
        </w:tc>
      </w:tr>
    </w:tbl>
    <w:p w:rsidR="0034784A" w:rsidRPr="00816657" w:rsidRDefault="0034784A" w:rsidP="00CE7600">
      <w:pPr>
        <w:pStyle w:val="BodyText"/>
      </w:pPr>
    </w:p>
    <w:p w:rsidR="00783665" w:rsidRPr="00816657" w:rsidRDefault="00783665" w:rsidP="00CE7600">
      <w:pPr>
        <w:pStyle w:val="BodyText"/>
      </w:pPr>
    </w:p>
    <w:p w:rsidR="00783665" w:rsidRPr="00816657" w:rsidRDefault="00783665" w:rsidP="00CE7600">
      <w:pPr>
        <w:pStyle w:val="BodyText"/>
      </w:pPr>
    </w:p>
    <w:p w:rsidR="00783665" w:rsidRPr="00816657" w:rsidRDefault="00783665" w:rsidP="00CE7600">
      <w:pPr>
        <w:pStyle w:val="BodyText"/>
      </w:pPr>
    </w:p>
    <w:p w:rsidR="00783665" w:rsidRPr="00816657" w:rsidRDefault="00783665" w:rsidP="00CE7600">
      <w:pPr>
        <w:pStyle w:val="BodyText"/>
      </w:pPr>
    </w:p>
    <w:p w:rsidR="0034784A" w:rsidRPr="00816657" w:rsidRDefault="0034784A" w:rsidP="00CE7600">
      <w:pPr>
        <w:pStyle w:val="BodyText"/>
      </w:pPr>
    </w:p>
    <w:p w:rsidR="006270A8" w:rsidRPr="00816657" w:rsidRDefault="006D07F5" w:rsidP="00CE7600">
      <w:pPr>
        <w:pStyle w:val="BodyText"/>
      </w:pPr>
      <w:r w:rsidRPr="00816657">
        <w:fldChar w:fldCharType="begin"/>
      </w:r>
      <w:r w:rsidR="006270A8" w:rsidRPr="00816657">
        <w:instrText xml:space="preserve"> REF _Ref408497956 \h </w:instrText>
      </w:r>
      <w:r w:rsidRPr="00816657">
        <w:fldChar w:fldCharType="separate"/>
      </w:r>
      <w:proofErr w:type="gramStart"/>
      <w:r w:rsidR="002F3000" w:rsidRPr="00816657">
        <w:t xml:space="preserve">Table </w:t>
      </w:r>
      <w:r w:rsidR="002F3000">
        <w:rPr>
          <w:noProof/>
        </w:rPr>
        <w:t>80</w:t>
      </w:r>
      <w:r w:rsidRPr="00816657">
        <w:fldChar w:fldCharType="end"/>
      </w:r>
      <w:r w:rsidR="006270A8" w:rsidRPr="00816657">
        <w:t xml:space="preserve"> cont.</w:t>
      </w:r>
      <w:proofErr w:type="gramEnd"/>
    </w:p>
    <w:tbl>
      <w:tblPr>
        <w:tblW w:w="15735" w:type="dxa"/>
        <w:tblInd w:w="-885" w:type="dxa"/>
        <w:tblLayout w:type="fixed"/>
        <w:tblLook w:val="04A0"/>
      </w:tblPr>
      <w:tblGrid>
        <w:gridCol w:w="851"/>
        <w:gridCol w:w="3686"/>
        <w:gridCol w:w="1119"/>
        <w:gridCol w:w="1120"/>
        <w:gridCol w:w="1120"/>
        <w:gridCol w:w="1120"/>
        <w:gridCol w:w="1120"/>
        <w:gridCol w:w="1119"/>
        <w:gridCol w:w="1120"/>
        <w:gridCol w:w="1120"/>
        <w:gridCol w:w="1120"/>
        <w:gridCol w:w="1120"/>
      </w:tblGrid>
      <w:tr w:rsidR="00783665" w:rsidRPr="00816657" w:rsidTr="00783665">
        <w:tc>
          <w:tcPr>
            <w:tcW w:w="4537" w:type="dxa"/>
            <w:gridSpan w:val="2"/>
            <w:tcBorders>
              <w:top w:val="nil"/>
              <w:left w:val="nil"/>
              <w:bottom w:val="single" w:sz="4" w:space="0" w:color="7F7F7F"/>
              <w:right w:val="nil"/>
            </w:tcBorders>
            <w:shd w:val="clear" w:color="000000" w:fill="F2F2F2"/>
            <w:noWrap/>
            <w:hideMark/>
          </w:tcPr>
          <w:p w:rsidR="00783665" w:rsidRPr="00816657" w:rsidRDefault="00783665" w:rsidP="00783665">
            <w:pPr>
              <w:spacing w:line="240" w:lineRule="auto"/>
              <w:rPr>
                <w:rFonts w:cs="Times New Roman"/>
                <w:b/>
                <w:bCs/>
                <w:color w:val="000000"/>
                <w:sz w:val="18"/>
                <w:szCs w:val="18"/>
                <w:lang w:eastAsia="en-AU"/>
              </w:rPr>
            </w:pPr>
            <w:r w:rsidRPr="00816657">
              <w:rPr>
                <w:rFonts w:cs="Times New Roman"/>
                <w:b/>
                <w:bCs/>
                <w:color w:val="000000"/>
                <w:sz w:val="18"/>
                <w:szCs w:val="18"/>
                <w:lang w:eastAsia="en-AU"/>
              </w:rPr>
              <w:t>Hazardous waste groups</w:t>
            </w:r>
          </w:p>
        </w:tc>
        <w:tc>
          <w:tcPr>
            <w:tcW w:w="1119" w:type="dxa"/>
            <w:tcBorders>
              <w:top w:val="nil"/>
              <w:left w:val="nil"/>
              <w:bottom w:val="single" w:sz="4" w:space="0" w:color="7F7F7F"/>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2025</w:t>
            </w:r>
          </w:p>
        </w:tc>
        <w:tc>
          <w:tcPr>
            <w:tcW w:w="1120" w:type="dxa"/>
            <w:tcBorders>
              <w:top w:val="nil"/>
              <w:left w:val="nil"/>
              <w:bottom w:val="single" w:sz="4" w:space="0" w:color="7F7F7F"/>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2026</w:t>
            </w:r>
          </w:p>
        </w:tc>
        <w:tc>
          <w:tcPr>
            <w:tcW w:w="1120" w:type="dxa"/>
            <w:tcBorders>
              <w:top w:val="nil"/>
              <w:left w:val="nil"/>
              <w:bottom w:val="single" w:sz="4" w:space="0" w:color="7F7F7F"/>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2027</w:t>
            </w:r>
          </w:p>
        </w:tc>
        <w:tc>
          <w:tcPr>
            <w:tcW w:w="1120" w:type="dxa"/>
            <w:tcBorders>
              <w:top w:val="nil"/>
              <w:left w:val="nil"/>
              <w:bottom w:val="single" w:sz="4" w:space="0" w:color="7F7F7F"/>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2028</w:t>
            </w:r>
          </w:p>
        </w:tc>
        <w:tc>
          <w:tcPr>
            <w:tcW w:w="1120" w:type="dxa"/>
            <w:tcBorders>
              <w:top w:val="nil"/>
              <w:left w:val="nil"/>
              <w:bottom w:val="single" w:sz="4" w:space="0" w:color="7F7F7F"/>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2029</w:t>
            </w:r>
          </w:p>
        </w:tc>
        <w:tc>
          <w:tcPr>
            <w:tcW w:w="1119" w:type="dxa"/>
            <w:tcBorders>
              <w:top w:val="nil"/>
              <w:left w:val="nil"/>
              <w:bottom w:val="single" w:sz="4" w:space="0" w:color="7F7F7F"/>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2030</w:t>
            </w:r>
          </w:p>
        </w:tc>
        <w:tc>
          <w:tcPr>
            <w:tcW w:w="1120" w:type="dxa"/>
            <w:tcBorders>
              <w:top w:val="nil"/>
              <w:left w:val="nil"/>
              <w:bottom w:val="single" w:sz="4" w:space="0" w:color="7F7F7F"/>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2031</w:t>
            </w:r>
          </w:p>
        </w:tc>
        <w:tc>
          <w:tcPr>
            <w:tcW w:w="1120" w:type="dxa"/>
            <w:tcBorders>
              <w:top w:val="nil"/>
              <w:left w:val="nil"/>
              <w:bottom w:val="single" w:sz="4" w:space="0" w:color="7F7F7F"/>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2032</w:t>
            </w:r>
          </w:p>
        </w:tc>
        <w:tc>
          <w:tcPr>
            <w:tcW w:w="1120" w:type="dxa"/>
            <w:tcBorders>
              <w:top w:val="nil"/>
              <w:left w:val="nil"/>
              <w:bottom w:val="single" w:sz="4" w:space="0" w:color="7F7F7F"/>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2033</w:t>
            </w:r>
          </w:p>
        </w:tc>
        <w:tc>
          <w:tcPr>
            <w:tcW w:w="1120" w:type="dxa"/>
            <w:tcBorders>
              <w:top w:val="nil"/>
              <w:left w:val="nil"/>
              <w:bottom w:val="single" w:sz="4" w:space="0" w:color="7F7F7F"/>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2034</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A</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Plating &amp; heat treatment</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9,066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9,377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9,698</w:t>
            </w:r>
          </w:p>
        </w:tc>
        <w:tc>
          <w:tcPr>
            <w:tcW w:w="1120" w:type="dxa"/>
            <w:tcBorders>
              <w:top w:val="nil"/>
              <w:left w:val="nil"/>
              <w:bottom w:val="nil"/>
              <w:right w:val="nil"/>
            </w:tcBorders>
            <w:shd w:val="clear" w:color="auto" w:fill="auto"/>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10,031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10,375</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10,732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11,101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11,483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11,878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12,287</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B</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Acids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36,071</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C</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Alkalis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519,822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550,690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584,003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619,947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658,724</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700,548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745,653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794,288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846,725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903,252</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D120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Mercury; mercury compounds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1,618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1,602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1,586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1,570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1,555</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1,539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1,524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1,508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1,493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1,478</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D220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Lead; lead compounds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194,817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197,739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200,705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203,716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206,772</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209,873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213,021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216,217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219,460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222,752</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D300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Non-toxic salts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211,002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230,612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252,213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276,004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302,202</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331,047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362,805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397,766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436,249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478,606</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D</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inorganic chemicals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160,344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157,137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153,995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150,915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147,896</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144,938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142,040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139,199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136,415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133,687</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E</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Reactive chemicals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113</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F</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Paints, resins, inks, organic sludges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52,890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53,683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54,488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55,306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56,135</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56,977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57,832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58,700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59,580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60,474</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G</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Organic solvents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42,277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43,460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44,677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45,928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47,214</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48,536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49,895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51,292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52,729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54,205</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H</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Pesticides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5,059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5,200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5,346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5,495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5,649</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5,808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5,970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6,137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6,309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6,486</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J</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Oils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1,236,301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1,314,608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1,398,946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1,489,777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1,587,602</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1,692,960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1,806,430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1,928,638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2,060,256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2,202,008</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K100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Animal effluent and residues (+ food processing waste)</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372,694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380,893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389,273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397,837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406,589</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415,534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424,676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434,019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443,567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453,326</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K110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Grease trap waste</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727,663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748,038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768,983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790,514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812,649</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835,403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858,794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882,840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907,560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932,972</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K140 &amp; 190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Tannery &amp; wool scouring wastes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4,349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4,171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4,000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3,836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3,679</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3,528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3,383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3,244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3,111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2,984</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M160a</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PFOS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9,793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9,803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9,826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9,862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9,910</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9,969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10,037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10,115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10,201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10,295</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M160b</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POP-BDEs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63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46</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20</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M160c</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HBCD</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11,603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12,160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12,744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13,355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13,996</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14,668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15,372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16,110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16,883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17,694</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M160d</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HCB</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0</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M</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organic chemicals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17,146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16,812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16,484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16,164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15,849</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15,541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15,239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14,943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14,653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14,369</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N120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Contaminated soils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1,360,347</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N205a</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Contaminated biosolids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280,090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277,074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274,085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271,123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268,187</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265,277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262,392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259,533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256,699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253,890</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N205b</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industrial treatment residues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328,958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338,169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347,638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357,372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367,378</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377,665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388,239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399,110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410,285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421,773</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N220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Asbestos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1,158,172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1,190,601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1,223,938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1,258,208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1,293,438</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1,329,654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1,366,885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1,405,157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1,444,502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1,484,948</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N</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soil/sludges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107,994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107,064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106,143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105,232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104,329</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103,436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102,552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101,676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100,809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99,951</w:t>
            </w:r>
          </w:p>
        </w:tc>
      </w:tr>
      <w:tr w:rsidR="00755035" w:rsidRPr="00816657" w:rsidTr="0020737E">
        <w:tc>
          <w:tcPr>
            <w:tcW w:w="851" w:type="dxa"/>
            <w:tcBorders>
              <w:top w:val="nil"/>
              <w:left w:val="nil"/>
              <w:bottom w:val="nil"/>
              <w:right w:val="nil"/>
            </w:tcBorders>
            <w:shd w:val="clear" w:color="000000" w:fill="F2F2F2"/>
            <w:hideMark/>
          </w:tcPr>
          <w:p w:rsidR="00755035" w:rsidRPr="00816657" w:rsidRDefault="00755035" w:rsidP="00783665">
            <w:pPr>
              <w:spacing w:line="240" w:lineRule="auto"/>
              <w:rPr>
                <w:rFonts w:cs="Times New Roman"/>
                <w:color w:val="000000"/>
                <w:sz w:val="18"/>
                <w:szCs w:val="18"/>
                <w:lang w:eastAsia="en-AU"/>
              </w:rPr>
            </w:pPr>
            <w:r w:rsidRPr="00816657">
              <w:rPr>
                <w:rFonts w:cs="Times New Roman"/>
                <w:color w:val="000000"/>
                <w:sz w:val="18"/>
                <w:szCs w:val="18"/>
                <w:lang w:eastAsia="en-AU"/>
              </w:rPr>
              <w:t>R</w:t>
            </w:r>
          </w:p>
        </w:tc>
        <w:tc>
          <w:tcPr>
            <w:tcW w:w="3686" w:type="dxa"/>
            <w:tcBorders>
              <w:top w:val="nil"/>
              <w:left w:val="nil"/>
              <w:bottom w:val="nil"/>
              <w:right w:val="nil"/>
            </w:tcBorders>
            <w:shd w:val="clear" w:color="000000" w:fill="F2F2F2"/>
            <w:noWrap/>
            <w:hideMark/>
          </w:tcPr>
          <w:p w:rsidR="00755035" w:rsidRPr="00816657" w:rsidRDefault="00755035" w:rsidP="00783665">
            <w:pPr>
              <w:spacing w:line="240" w:lineRule="auto"/>
              <w:rPr>
                <w:rFonts w:cs="Times New Roman"/>
                <w:color w:val="000000"/>
                <w:sz w:val="18"/>
                <w:szCs w:val="18"/>
                <w:lang w:eastAsia="en-AU"/>
              </w:rPr>
            </w:pPr>
            <w:r w:rsidRPr="00816657">
              <w:rPr>
                <w:rFonts w:cs="Times New Roman"/>
                <w:color w:val="000000"/>
                <w:sz w:val="18"/>
                <w:szCs w:val="18"/>
                <w:lang w:eastAsia="en-AU"/>
              </w:rPr>
              <w:t>Clinical &amp; pharmaceutical</w:t>
            </w:r>
          </w:p>
        </w:tc>
        <w:tc>
          <w:tcPr>
            <w:tcW w:w="1119"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88,848</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90,714</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92,619</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94,564</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96,550</w:t>
            </w:r>
          </w:p>
        </w:tc>
        <w:tc>
          <w:tcPr>
            <w:tcW w:w="1119"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98,577</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100,647</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102,761</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104,919</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107,122</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T140</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Tyres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484,300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491,564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498,938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506,422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514,018</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521,729</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529,555</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537,498</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545,560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553,744</w:t>
            </w:r>
          </w:p>
        </w:tc>
      </w:tr>
      <w:tr w:rsidR="00783665" w:rsidRPr="00816657" w:rsidTr="00783665">
        <w:tc>
          <w:tcPr>
            <w:tcW w:w="851" w:type="dxa"/>
            <w:tcBorders>
              <w:top w:val="nil"/>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T</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Other miscellaneous</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7,350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7,436</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7,527</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7,622</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7,721</w:t>
            </w:r>
          </w:p>
        </w:tc>
        <w:tc>
          <w:tcPr>
            <w:tcW w:w="1119"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7,824</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7,931</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8,040</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8,153</w:t>
            </w:r>
          </w:p>
        </w:tc>
        <w:tc>
          <w:tcPr>
            <w:tcW w:w="1120" w:type="dxa"/>
            <w:tcBorders>
              <w:top w:val="nil"/>
              <w:left w:val="nil"/>
              <w:bottom w:val="nil"/>
              <w:right w:val="nil"/>
            </w:tcBorders>
            <w:shd w:val="clear" w:color="auto" w:fill="auto"/>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8,269</w:t>
            </w:r>
          </w:p>
        </w:tc>
      </w:tr>
      <w:tr w:rsidR="00783665" w:rsidRPr="00816657" w:rsidTr="00783665">
        <w:tc>
          <w:tcPr>
            <w:tcW w:w="851" w:type="dxa"/>
            <w:tcBorders>
              <w:top w:val="nil"/>
              <w:left w:val="nil"/>
              <w:bottom w:val="single" w:sz="4" w:space="0" w:color="7F7F7F"/>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Lithium-ion batteries</w:t>
            </w:r>
          </w:p>
        </w:tc>
        <w:tc>
          <w:tcPr>
            <w:tcW w:w="1119" w:type="dxa"/>
            <w:tcBorders>
              <w:top w:val="nil"/>
              <w:left w:val="nil"/>
              <w:bottom w:val="nil"/>
              <w:right w:val="nil"/>
            </w:tcBorders>
            <w:shd w:val="clear" w:color="auto" w:fill="auto"/>
            <w:noWrap/>
            <w:hideMark/>
          </w:tcPr>
          <w:p w:rsidR="00783665" w:rsidRPr="00816657" w:rsidRDefault="00783665" w:rsidP="00783665">
            <w:pPr>
              <w:rPr>
                <w:color w:val="000000"/>
                <w:sz w:val="18"/>
                <w:szCs w:val="18"/>
              </w:rPr>
            </w:pPr>
            <w:r w:rsidRPr="00816657">
              <w:rPr>
                <w:color w:val="000000"/>
                <w:sz w:val="18"/>
                <w:szCs w:val="18"/>
              </w:rPr>
              <w:t>36,138</w:t>
            </w:r>
          </w:p>
        </w:tc>
        <w:tc>
          <w:tcPr>
            <w:tcW w:w="1120" w:type="dxa"/>
            <w:tcBorders>
              <w:top w:val="nil"/>
              <w:left w:val="nil"/>
              <w:bottom w:val="nil"/>
              <w:right w:val="nil"/>
            </w:tcBorders>
            <w:shd w:val="clear" w:color="auto" w:fill="auto"/>
            <w:noWrap/>
            <w:hideMark/>
          </w:tcPr>
          <w:p w:rsidR="00783665" w:rsidRPr="00816657" w:rsidRDefault="00783665" w:rsidP="00783665">
            <w:pPr>
              <w:rPr>
                <w:color w:val="000000"/>
                <w:sz w:val="18"/>
                <w:szCs w:val="18"/>
              </w:rPr>
            </w:pPr>
            <w:r w:rsidRPr="00816657">
              <w:rPr>
                <w:color w:val="000000"/>
                <w:sz w:val="18"/>
                <w:szCs w:val="18"/>
              </w:rPr>
              <w:t>39,637</w:t>
            </w:r>
          </w:p>
        </w:tc>
        <w:tc>
          <w:tcPr>
            <w:tcW w:w="1120" w:type="dxa"/>
            <w:tcBorders>
              <w:top w:val="nil"/>
              <w:left w:val="nil"/>
              <w:bottom w:val="nil"/>
              <w:right w:val="nil"/>
            </w:tcBorders>
            <w:shd w:val="clear" w:color="auto" w:fill="auto"/>
            <w:noWrap/>
            <w:hideMark/>
          </w:tcPr>
          <w:p w:rsidR="00783665" w:rsidRPr="00816657" w:rsidRDefault="00783665" w:rsidP="00783665">
            <w:pPr>
              <w:rPr>
                <w:color w:val="000000"/>
                <w:sz w:val="18"/>
                <w:szCs w:val="18"/>
              </w:rPr>
            </w:pPr>
            <w:r w:rsidRPr="00816657">
              <w:rPr>
                <w:color w:val="000000"/>
                <w:sz w:val="18"/>
                <w:szCs w:val="18"/>
              </w:rPr>
              <w:t>43,478</w:t>
            </w:r>
          </w:p>
        </w:tc>
        <w:tc>
          <w:tcPr>
            <w:tcW w:w="1120" w:type="dxa"/>
            <w:tcBorders>
              <w:top w:val="nil"/>
              <w:left w:val="nil"/>
              <w:bottom w:val="nil"/>
              <w:right w:val="nil"/>
            </w:tcBorders>
            <w:shd w:val="clear" w:color="auto" w:fill="auto"/>
            <w:noWrap/>
            <w:hideMark/>
          </w:tcPr>
          <w:p w:rsidR="00783665" w:rsidRPr="00816657" w:rsidRDefault="00783665" w:rsidP="00783665">
            <w:pPr>
              <w:rPr>
                <w:color w:val="000000"/>
                <w:sz w:val="18"/>
                <w:szCs w:val="18"/>
              </w:rPr>
            </w:pPr>
            <w:r w:rsidRPr="00816657">
              <w:rPr>
                <w:color w:val="000000"/>
                <w:sz w:val="18"/>
                <w:szCs w:val="18"/>
              </w:rPr>
              <w:t>47,695</w:t>
            </w:r>
          </w:p>
        </w:tc>
        <w:tc>
          <w:tcPr>
            <w:tcW w:w="1120" w:type="dxa"/>
            <w:tcBorders>
              <w:top w:val="nil"/>
              <w:left w:val="nil"/>
              <w:bottom w:val="nil"/>
              <w:right w:val="nil"/>
            </w:tcBorders>
            <w:shd w:val="clear" w:color="auto" w:fill="auto"/>
            <w:noWrap/>
            <w:hideMark/>
          </w:tcPr>
          <w:p w:rsidR="00783665" w:rsidRPr="00816657" w:rsidRDefault="00783665" w:rsidP="00783665">
            <w:pPr>
              <w:rPr>
                <w:color w:val="000000"/>
                <w:sz w:val="18"/>
                <w:szCs w:val="18"/>
              </w:rPr>
            </w:pPr>
            <w:r w:rsidRPr="00816657">
              <w:rPr>
                <w:color w:val="000000"/>
                <w:sz w:val="18"/>
                <w:szCs w:val="18"/>
              </w:rPr>
              <w:t>52,326</w:t>
            </w:r>
          </w:p>
        </w:tc>
        <w:tc>
          <w:tcPr>
            <w:tcW w:w="1119" w:type="dxa"/>
            <w:tcBorders>
              <w:top w:val="nil"/>
              <w:left w:val="nil"/>
              <w:bottom w:val="nil"/>
              <w:right w:val="nil"/>
            </w:tcBorders>
            <w:shd w:val="clear" w:color="auto" w:fill="auto"/>
            <w:noWrap/>
            <w:hideMark/>
          </w:tcPr>
          <w:p w:rsidR="00783665" w:rsidRPr="00816657" w:rsidRDefault="00783665" w:rsidP="00783665">
            <w:pPr>
              <w:rPr>
                <w:color w:val="000000"/>
                <w:sz w:val="18"/>
                <w:szCs w:val="18"/>
              </w:rPr>
            </w:pPr>
            <w:r w:rsidRPr="00816657">
              <w:rPr>
                <w:color w:val="000000"/>
                <w:sz w:val="18"/>
                <w:szCs w:val="18"/>
              </w:rPr>
              <w:t>57,411</w:t>
            </w:r>
          </w:p>
        </w:tc>
        <w:tc>
          <w:tcPr>
            <w:tcW w:w="1120" w:type="dxa"/>
            <w:tcBorders>
              <w:top w:val="nil"/>
              <w:left w:val="nil"/>
              <w:bottom w:val="nil"/>
              <w:right w:val="nil"/>
            </w:tcBorders>
            <w:shd w:val="clear" w:color="auto" w:fill="auto"/>
            <w:noWrap/>
            <w:hideMark/>
          </w:tcPr>
          <w:p w:rsidR="00783665" w:rsidRPr="00816657" w:rsidRDefault="00783665" w:rsidP="00783665">
            <w:pPr>
              <w:rPr>
                <w:color w:val="000000"/>
                <w:sz w:val="18"/>
                <w:szCs w:val="18"/>
              </w:rPr>
            </w:pPr>
            <w:r w:rsidRPr="00816657">
              <w:rPr>
                <w:color w:val="000000"/>
                <w:sz w:val="18"/>
                <w:szCs w:val="18"/>
              </w:rPr>
              <w:t>62,995</w:t>
            </w:r>
          </w:p>
        </w:tc>
        <w:tc>
          <w:tcPr>
            <w:tcW w:w="1120" w:type="dxa"/>
            <w:tcBorders>
              <w:top w:val="nil"/>
              <w:left w:val="nil"/>
              <w:bottom w:val="nil"/>
              <w:right w:val="nil"/>
            </w:tcBorders>
            <w:shd w:val="clear" w:color="auto" w:fill="auto"/>
            <w:noWrap/>
            <w:hideMark/>
          </w:tcPr>
          <w:p w:rsidR="00783665" w:rsidRPr="00816657" w:rsidRDefault="00783665" w:rsidP="00783665">
            <w:pPr>
              <w:rPr>
                <w:color w:val="000000"/>
                <w:sz w:val="18"/>
                <w:szCs w:val="18"/>
              </w:rPr>
            </w:pPr>
            <w:r w:rsidRPr="00816657">
              <w:rPr>
                <w:color w:val="000000"/>
                <w:sz w:val="18"/>
                <w:szCs w:val="18"/>
              </w:rPr>
              <w:t>69,128</w:t>
            </w:r>
          </w:p>
        </w:tc>
        <w:tc>
          <w:tcPr>
            <w:tcW w:w="1120" w:type="dxa"/>
            <w:tcBorders>
              <w:top w:val="nil"/>
              <w:left w:val="nil"/>
              <w:bottom w:val="nil"/>
              <w:right w:val="nil"/>
            </w:tcBorders>
            <w:shd w:val="clear" w:color="auto" w:fill="auto"/>
            <w:noWrap/>
            <w:hideMark/>
          </w:tcPr>
          <w:p w:rsidR="00783665" w:rsidRPr="00816657" w:rsidRDefault="00783665" w:rsidP="00783665">
            <w:pPr>
              <w:rPr>
                <w:color w:val="000000"/>
                <w:sz w:val="18"/>
                <w:szCs w:val="18"/>
              </w:rPr>
            </w:pPr>
            <w:r w:rsidRPr="00816657">
              <w:rPr>
                <w:color w:val="000000"/>
                <w:sz w:val="18"/>
                <w:szCs w:val="18"/>
              </w:rPr>
              <w:t>75,864</w:t>
            </w:r>
          </w:p>
        </w:tc>
        <w:tc>
          <w:tcPr>
            <w:tcW w:w="1120" w:type="dxa"/>
            <w:tcBorders>
              <w:top w:val="nil"/>
              <w:left w:val="nil"/>
              <w:bottom w:val="nil"/>
              <w:right w:val="nil"/>
            </w:tcBorders>
            <w:shd w:val="clear" w:color="auto" w:fill="auto"/>
            <w:noWrap/>
            <w:hideMark/>
          </w:tcPr>
          <w:p w:rsidR="00783665" w:rsidRPr="00816657" w:rsidRDefault="00783665" w:rsidP="00783665">
            <w:pPr>
              <w:rPr>
                <w:color w:val="000000"/>
                <w:sz w:val="18"/>
                <w:szCs w:val="18"/>
              </w:rPr>
            </w:pPr>
            <w:r w:rsidRPr="00816657">
              <w:rPr>
                <w:color w:val="000000"/>
                <w:sz w:val="18"/>
                <w:szCs w:val="18"/>
              </w:rPr>
              <w:t>83,263</w:t>
            </w:r>
          </w:p>
        </w:tc>
      </w:tr>
      <w:tr w:rsidR="00783665" w:rsidRPr="00816657" w:rsidTr="00783665">
        <w:tc>
          <w:tcPr>
            <w:tcW w:w="851" w:type="dxa"/>
            <w:tcBorders>
              <w:top w:val="nil"/>
              <w:left w:val="nil"/>
              <w:bottom w:val="nil"/>
              <w:right w:val="nil"/>
            </w:tcBorders>
            <w:shd w:val="clear" w:color="000000" w:fill="F2F2F2"/>
            <w:noWrap/>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single" w:sz="4" w:space="0" w:color="7F7F7F"/>
              <w:left w:val="nil"/>
              <w:bottom w:val="nil"/>
              <w:right w:val="nil"/>
            </w:tcBorders>
            <w:shd w:val="clear" w:color="000000" w:fill="F2F2F2"/>
            <w:hideMark/>
          </w:tcPr>
          <w:p w:rsidR="00783665" w:rsidRPr="00816657" w:rsidRDefault="00783665" w:rsidP="00783665">
            <w:pPr>
              <w:spacing w:line="240" w:lineRule="auto"/>
              <w:rPr>
                <w:rFonts w:cs="Times New Roman"/>
                <w:color w:val="000000"/>
                <w:sz w:val="18"/>
                <w:szCs w:val="18"/>
                <w:lang w:eastAsia="en-AU"/>
              </w:rPr>
            </w:pPr>
            <w:r w:rsidRPr="00816657">
              <w:rPr>
                <w:rFonts w:cs="Times New Roman"/>
                <w:color w:val="000000"/>
                <w:sz w:val="18"/>
                <w:szCs w:val="18"/>
                <w:lang w:eastAsia="en-AU"/>
              </w:rPr>
              <w:t> </w:t>
            </w:r>
            <w:r w:rsidRPr="00816657">
              <w:rPr>
                <w:rFonts w:cs="Times New Roman"/>
                <w:b/>
                <w:bCs/>
                <w:color w:val="000000"/>
                <w:sz w:val="18"/>
                <w:szCs w:val="18"/>
                <w:lang w:eastAsia="en-AU"/>
              </w:rPr>
              <w:t>Total (millions of tonnes)</w:t>
            </w:r>
          </w:p>
        </w:tc>
        <w:tc>
          <w:tcPr>
            <w:tcW w:w="1119" w:type="dxa"/>
            <w:tcBorders>
              <w:top w:val="single" w:sz="4" w:space="0" w:color="7F7F7F"/>
              <w:left w:val="nil"/>
              <w:bottom w:val="nil"/>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7.46</w:t>
            </w:r>
          </w:p>
        </w:tc>
        <w:tc>
          <w:tcPr>
            <w:tcW w:w="1120" w:type="dxa"/>
            <w:tcBorders>
              <w:top w:val="single" w:sz="4" w:space="0" w:color="7F7F7F"/>
              <w:left w:val="nil"/>
              <w:bottom w:val="nil"/>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7.67</w:t>
            </w:r>
          </w:p>
        </w:tc>
        <w:tc>
          <w:tcPr>
            <w:tcW w:w="1120" w:type="dxa"/>
            <w:tcBorders>
              <w:top w:val="single" w:sz="4" w:space="0" w:color="7F7F7F"/>
              <w:left w:val="nil"/>
              <w:bottom w:val="nil"/>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7.90</w:t>
            </w:r>
          </w:p>
        </w:tc>
        <w:tc>
          <w:tcPr>
            <w:tcW w:w="1120" w:type="dxa"/>
            <w:tcBorders>
              <w:top w:val="single" w:sz="4" w:space="0" w:color="7F7F7F"/>
              <w:left w:val="nil"/>
              <w:bottom w:val="nil"/>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8.13</w:t>
            </w:r>
          </w:p>
        </w:tc>
        <w:tc>
          <w:tcPr>
            <w:tcW w:w="1120" w:type="dxa"/>
            <w:tcBorders>
              <w:top w:val="single" w:sz="4" w:space="0" w:color="7F7F7F"/>
              <w:left w:val="nil"/>
              <w:bottom w:val="nil"/>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8.39</w:t>
            </w:r>
          </w:p>
        </w:tc>
        <w:tc>
          <w:tcPr>
            <w:tcW w:w="1119" w:type="dxa"/>
            <w:tcBorders>
              <w:top w:val="single" w:sz="4" w:space="0" w:color="7F7F7F"/>
              <w:left w:val="nil"/>
              <w:bottom w:val="nil"/>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8.65</w:t>
            </w:r>
          </w:p>
        </w:tc>
        <w:tc>
          <w:tcPr>
            <w:tcW w:w="1120" w:type="dxa"/>
            <w:tcBorders>
              <w:top w:val="single" w:sz="4" w:space="0" w:color="7F7F7F"/>
              <w:left w:val="nil"/>
              <w:bottom w:val="nil"/>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8.94</w:t>
            </w:r>
          </w:p>
        </w:tc>
        <w:tc>
          <w:tcPr>
            <w:tcW w:w="1120" w:type="dxa"/>
            <w:tcBorders>
              <w:top w:val="single" w:sz="4" w:space="0" w:color="7F7F7F"/>
              <w:left w:val="nil"/>
              <w:bottom w:val="nil"/>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9.24</w:t>
            </w:r>
          </w:p>
        </w:tc>
        <w:tc>
          <w:tcPr>
            <w:tcW w:w="1120" w:type="dxa"/>
            <w:tcBorders>
              <w:top w:val="single" w:sz="4" w:space="0" w:color="7F7F7F"/>
              <w:left w:val="nil"/>
              <w:bottom w:val="nil"/>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9.57</w:t>
            </w:r>
          </w:p>
        </w:tc>
        <w:tc>
          <w:tcPr>
            <w:tcW w:w="1120" w:type="dxa"/>
            <w:tcBorders>
              <w:top w:val="single" w:sz="4" w:space="0" w:color="7F7F7F"/>
              <w:left w:val="nil"/>
              <w:bottom w:val="nil"/>
              <w:right w:val="nil"/>
            </w:tcBorders>
            <w:shd w:val="clear" w:color="000000" w:fill="F2F2F2"/>
            <w:noWrap/>
            <w:hideMark/>
          </w:tcPr>
          <w:p w:rsidR="00783665" w:rsidRPr="00816657" w:rsidRDefault="00783665" w:rsidP="00783665">
            <w:pPr>
              <w:rPr>
                <w:b/>
                <w:bCs/>
                <w:color w:val="000000"/>
                <w:sz w:val="18"/>
                <w:szCs w:val="18"/>
              </w:rPr>
            </w:pPr>
            <w:r w:rsidRPr="00816657">
              <w:rPr>
                <w:b/>
                <w:bCs/>
                <w:color w:val="000000"/>
                <w:sz w:val="18"/>
                <w:szCs w:val="18"/>
              </w:rPr>
              <w:t>9.91</w:t>
            </w:r>
          </w:p>
        </w:tc>
      </w:tr>
    </w:tbl>
    <w:p w:rsidR="0034784A" w:rsidRPr="00816657" w:rsidRDefault="0034784A" w:rsidP="00CE7600">
      <w:pPr>
        <w:pStyle w:val="BodyText"/>
      </w:pPr>
    </w:p>
    <w:p w:rsidR="0034784A" w:rsidRPr="00816657" w:rsidRDefault="0034784A" w:rsidP="00CE7600">
      <w:pPr>
        <w:pStyle w:val="BodyText"/>
      </w:pPr>
    </w:p>
    <w:p w:rsidR="0034784A" w:rsidRPr="00816657" w:rsidRDefault="0034784A" w:rsidP="00CE7600">
      <w:pPr>
        <w:pStyle w:val="BodyText"/>
      </w:pPr>
    </w:p>
    <w:p w:rsidR="0034784A" w:rsidRPr="00816657" w:rsidRDefault="0034784A" w:rsidP="00CE7600">
      <w:pPr>
        <w:pStyle w:val="BodyText"/>
      </w:pPr>
    </w:p>
    <w:p w:rsidR="0034784A" w:rsidRPr="00816657" w:rsidRDefault="0034784A" w:rsidP="00CE7600">
      <w:pPr>
        <w:pStyle w:val="BodyText"/>
      </w:pPr>
    </w:p>
    <w:p w:rsidR="006270A8" w:rsidRPr="00816657" w:rsidRDefault="006270A8">
      <w:pPr>
        <w:spacing w:line="240" w:lineRule="auto"/>
      </w:pPr>
    </w:p>
    <w:p w:rsidR="006270A8" w:rsidRPr="00816657" w:rsidRDefault="006270A8" w:rsidP="00655F62">
      <w:pPr>
        <w:pStyle w:val="Figures"/>
      </w:pPr>
    </w:p>
    <w:p w:rsidR="006270A8" w:rsidRPr="00816657" w:rsidRDefault="006270A8" w:rsidP="00655F62">
      <w:pPr>
        <w:pStyle w:val="Figures"/>
      </w:pPr>
      <w:bookmarkStart w:id="577" w:name="_Ref408497968"/>
      <w:bookmarkStart w:id="578" w:name="_Toc425849366"/>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81</w:t>
      </w:r>
      <w:r w:rsidR="006D07F5" w:rsidRPr="00816657">
        <w:rPr>
          <w:noProof/>
        </w:rPr>
        <w:fldChar w:fldCharType="end"/>
      </w:r>
      <w:bookmarkEnd w:id="577"/>
      <w:r w:rsidRPr="00816657">
        <w:t xml:space="preserve">: </w:t>
      </w:r>
      <w:r w:rsidRPr="00816657">
        <w:tab/>
        <w:t>High estimate scenario for all groups</w:t>
      </w:r>
      <w:bookmarkEnd w:id="578"/>
    </w:p>
    <w:tbl>
      <w:tblPr>
        <w:tblW w:w="15735" w:type="dxa"/>
        <w:tblInd w:w="-885" w:type="dxa"/>
        <w:tblLayout w:type="fixed"/>
        <w:tblLook w:val="04A0"/>
      </w:tblPr>
      <w:tblGrid>
        <w:gridCol w:w="851"/>
        <w:gridCol w:w="3686"/>
        <w:gridCol w:w="1018"/>
        <w:gridCol w:w="1018"/>
        <w:gridCol w:w="1018"/>
        <w:gridCol w:w="1018"/>
        <w:gridCol w:w="1018"/>
        <w:gridCol w:w="1018"/>
        <w:gridCol w:w="1018"/>
        <w:gridCol w:w="1018"/>
        <w:gridCol w:w="1018"/>
        <w:gridCol w:w="1018"/>
        <w:gridCol w:w="1018"/>
      </w:tblGrid>
      <w:tr w:rsidR="006270A8" w:rsidRPr="00816657" w:rsidTr="00BA5D9E">
        <w:tc>
          <w:tcPr>
            <w:tcW w:w="4537" w:type="dxa"/>
            <w:gridSpan w:val="2"/>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Hazardous waste groups</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2014</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2015</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2016</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2017</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2018</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2019</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2020</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2021</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2022</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2023</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A</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Plating &amp; heat treatment</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6,475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6,921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7,397</w:t>
            </w:r>
          </w:p>
        </w:tc>
        <w:tc>
          <w:tcPr>
            <w:tcW w:w="1018" w:type="dxa"/>
            <w:tcBorders>
              <w:top w:val="nil"/>
              <w:left w:val="nil"/>
              <w:bottom w:val="nil"/>
              <w:right w:val="nil"/>
            </w:tcBorders>
            <w:shd w:val="clear" w:color="auto" w:fill="auto"/>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8,451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9,034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9,657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10,323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11,036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11,799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12,614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B</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Acids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C</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Alkalis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307,428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329,293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353,096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379,024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407,282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438,095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471,713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508,406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548,476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592,251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640,094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D120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Mercury; mercury compounds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1,521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1,582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1,645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1,711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1,780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1,887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2,000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2,247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D220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Lead; lead compounds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165,763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171,565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177,569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183,784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190,217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196,874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203,765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210,897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218,278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225,918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233,825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D300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Non-toxic salts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86,214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94,663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104,126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114,725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126,596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139,891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154,782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171,459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190,138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211,058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234,489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D</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inorganic chemicals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292,574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292,574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292,574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292,574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292,574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292,574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292,574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292,574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E</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Reactive chemicals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F</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Paints, resins, inks, organic sludges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45,217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46,935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48,718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50,570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52,491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54,486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56,556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58,706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60,936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63,252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65,656</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G</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Organic solvents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31,562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33,077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34,665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36,329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38,073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39,900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41,815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43,822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45,926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48,130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50,441</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H</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Pesticides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3,777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3,958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4,148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4,347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4,556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4,775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5,004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5,244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5,496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5,760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6,036</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J</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Oils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678,720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729,040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784,041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844,185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909,977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981,976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1,060,795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1,147,108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1,241,658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1,345,259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1,458,808</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K100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Animal effluent and residues (+ food processing waste)</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296,083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308,518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321,476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334,978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349,047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363,707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378,983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394,900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411,486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428,768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446,777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K110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Grease trap waste</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541,388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567,374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594,608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623,150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653,061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684,408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717,259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751,688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787,769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825,582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865,210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K140 &amp; 190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Tannery &amp; wool scouring wastes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7,016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6,869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6,724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6,583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6,445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6,310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6,177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6,047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5,796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5,674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M160a</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PFOS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4,521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80,765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82,275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83,874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85,559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87,327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89,177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91,106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93,113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95,198</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M160b</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POP-BDEs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2,415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2,225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2,136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2,051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1,969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1,890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1,814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1,742</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M160c</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HBCD</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38,376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39,359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40,367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41,402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42,462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43,551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44,667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45,811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46,985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M160d</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HCB</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1,997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3,594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3,394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3,194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2,995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2,795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2,595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2,396</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M</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organic chemicals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21,807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21,955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22,110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22,272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22,440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22,686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22,937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23,191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23,448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23,710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23,976</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N120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Contaminated soils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N205a</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Contaminated biosolids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486,375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493,670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1,519,896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1,524,733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1,529,616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1,534,544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1,539,519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1,544,539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1,549,604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1,554,716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1,559,873</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N205b</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industrial treatment residues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247,774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262,145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277,349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293,435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310,454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328,461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347,512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367,667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388,992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411,553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435,424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N220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Asbestos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1,278,892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1,332,825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1,357,429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1,382,721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1,408,722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1,435,451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1,432,928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1,461,175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1,490,212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1,520,063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1,550,749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N</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soil/sludges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104,578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105,624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106,680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122,747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123,824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167,662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168,762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169,872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170,993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172,125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173,269</w:t>
            </w:r>
          </w:p>
        </w:tc>
      </w:tr>
      <w:tr w:rsidR="00755035" w:rsidRPr="00816657" w:rsidTr="0020737E">
        <w:tc>
          <w:tcPr>
            <w:tcW w:w="851" w:type="dxa"/>
            <w:tcBorders>
              <w:top w:val="nil"/>
              <w:left w:val="nil"/>
              <w:bottom w:val="nil"/>
              <w:right w:val="nil"/>
            </w:tcBorders>
            <w:shd w:val="clear" w:color="000000" w:fill="F2F2F2"/>
            <w:hideMark/>
          </w:tcPr>
          <w:p w:rsidR="00755035" w:rsidRPr="00816657" w:rsidRDefault="00755035" w:rsidP="00BA5D9E">
            <w:pPr>
              <w:spacing w:line="240" w:lineRule="auto"/>
              <w:rPr>
                <w:rFonts w:cs="Times New Roman"/>
                <w:color w:val="000000"/>
                <w:sz w:val="18"/>
                <w:szCs w:val="18"/>
                <w:lang w:eastAsia="en-AU"/>
              </w:rPr>
            </w:pPr>
            <w:r w:rsidRPr="00816657">
              <w:rPr>
                <w:rFonts w:cs="Times New Roman"/>
                <w:color w:val="000000"/>
                <w:sz w:val="18"/>
                <w:szCs w:val="18"/>
                <w:lang w:eastAsia="en-AU"/>
              </w:rPr>
              <w:t>R</w:t>
            </w:r>
          </w:p>
        </w:tc>
        <w:tc>
          <w:tcPr>
            <w:tcW w:w="3686" w:type="dxa"/>
            <w:tcBorders>
              <w:top w:val="nil"/>
              <w:left w:val="nil"/>
              <w:bottom w:val="nil"/>
              <w:right w:val="nil"/>
            </w:tcBorders>
            <w:shd w:val="clear" w:color="000000" w:fill="F2F2F2"/>
            <w:noWrap/>
            <w:hideMark/>
          </w:tcPr>
          <w:p w:rsidR="00755035" w:rsidRPr="00816657" w:rsidRDefault="00755035" w:rsidP="00BA5D9E">
            <w:pPr>
              <w:spacing w:line="240" w:lineRule="auto"/>
              <w:rPr>
                <w:rFonts w:cs="Times New Roman"/>
                <w:color w:val="000000"/>
                <w:sz w:val="18"/>
                <w:szCs w:val="18"/>
                <w:lang w:eastAsia="en-AU"/>
              </w:rPr>
            </w:pPr>
            <w:r w:rsidRPr="00816657">
              <w:rPr>
                <w:rFonts w:cs="Times New Roman"/>
                <w:color w:val="000000"/>
                <w:sz w:val="18"/>
                <w:szCs w:val="18"/>
                <w:lang w:eastAsia="en-AU"/>
              </w:rPr>
              <w:t>Clinical &amp; pharmaceutical</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71,957</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74,781</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77,716</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80,824</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84,057</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87,420</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90,917</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94,553</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98,335</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102,367</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106,564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T140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Tyres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414,859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429,379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444,407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459,961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476,060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492,722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509,967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527,816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546,290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565,410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585,199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T</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miscellaneous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7,069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7,241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7,423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7,614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7,816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8,028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8,251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8,484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8,728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8,984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9,250</w:t>
            </w:r>
          </w:p>
        </w:tc>
      </w:tr>
      <w:tr w:rsidR="006270A8" w:rsidRPr="00816657" w:rsidTr="006270A8">
        <w:tc>
          <w:tcPr>
            <w:tcW w:w="851" w:type="dxa"/>
            <w:tcBorders>
              <w:top w:val="nil"/>
              <w:left w:val="nil"/>
              <w:bottom w:val="single" w:sz="4" w:space="0" w:color="7F7F7F"/>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Lithium-ion batteries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8,190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9,896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11,968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14,488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17,554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21,288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25,838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29,279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33,191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37,639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42,699</w:t>
            </w:r>
          </w:p>
        </w:tc>
      </w:tr>
      <w:tr w:rsidR="006270A8" w:rsidRPr="00816657" w:rsidTr="006270A8">
        <w:tc>
          <w:tcPr>
            <w:tcW w:w="851"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single" w:sz="4" w:space="0" w:color="7F7F7F"/>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 </w:t>
            </w:r>
            <w:r w:rsidRPr="00816657">
              <w:rPr>
                <w:rFonts w:cs="Times New Roman"/>
                <w:b/>
                <w:bCs/>
                <w:color w:val="000000"/>
                <w:sz w:val="18"/>
                <w:szCs w:val="18"/>
                <w:lang w:eastAsia="en-AU"/>
              </w:rPr>
              <w:t>Total (millions of tonnes)</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7.10</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7.32</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8.66</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8.98</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9.22</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9.51</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9.77</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10.05</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10.36</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10.68</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11.03</w:t>
            </w:r>
          </w:p>
        </w:tc>
      </w:tr>
    </w:tbl>
    <w:p w:rsidR="006270A8" w:rsidRPr="00816657" w:rsidRDefault="006270A8" w:rsidP="006270A8">
      <w:pPr>
        <w:pStyle w:val="BodyText"/>
      </w:pPr>
    </w:p>
    <w:p w:rsidR="006270A8" w:rsidRPr="00816657" w:rsidRDefault="006270A8" w:rsidP="006270A8">
      <w:pPr>
        <w:pStyle w:val="BodyText"/>
      </w:pPr>
    </w:p>
    <w:p w:rsidR="006270A8" w:rsidRPr="00816657" w:rsidRDefault="006270A8" w:rsidP="006270A8">
      <w:pPr>
        <w:pStyle w:val="BodyText"/>
      </w:pPr>
    </w:p>
    <w:p w:rsidR="006270A8" w:rsidRPr="00816657" w:rsidRDefault="006270A8" w:rsidP="006270A8">
      <w:pPr>
        <w:pStyle w:val="BodyText"/>
      </w:pPr>
    </w:p>
    <w:p w:rsidR="006270A8" w:rsidRPr="00816657" w:rsidRDefault="006270A8" w:rsidP="006270A8">
      <w:pPr>
        <w:pStyle w:val="BodyText"/>
      </w:pPr>
    </w:p>
    <w:p w:rsidR="006270A8" w:rsidRPr="00816657" w:rsidRDefault="006270A8" w:rsidP="006270A8">
      <w:pPr>
        <w:pStyle w:val="BodyText"/>
      </w:pPr>
    </w:p>
    <w:p w:rsidR="006270A8" w:rsidRPr="00816657" w:rsidRDefault="006270A8" w:rsidP="006270A8">
      <w:pPr>
        <w:pStyle w:val="BodyText"/>
      </w:pPr>
    </w:p>
    <w:p w:rsidR="006270A8" w:rsidRPr="00816657" w:rsidRDefault="006D07F5" w:rsidP="006270A8">
      <w:pPr>
        <w:pStyle w:val="BodyText"/>
        <w:rPr>
          <w:b/>
          <w:color w:val="0000FF" w:themeColor="text2"/>
        </w:rPr>
      </w:pPr>
      <w:r>
        <w:fldChar w:fldCharType="begin"/>
      </w:r>
      <w:r>
        <w:instrText xml:space="preserve"> REF _Ref408497968 \h  \* MERGEFORMAT </w:instrText>
      </w:r>
      <w:r>
        <w:fldChar w:fldCharType="separate"/>
      </w:r>
      <w:proofErr w:type="gramStart"/>
      <w:r w:rsidR="002F3000" w:rsidRPr="002F3000">
        <w:rPr>
          <w:b/>
          <w:color w:val="0000FF" w:themeColor="text2"/>
        </w:rPr>
        <w:t xml:space="preserve">Table </w:t>
      </w:r>
      <w:r w:rsidR="002F3000" w:rsidRPr="002F3000">
        <w:rPr>
          <w:b/>
          <w:noProof/>
          <w:color w:val="0000FF" w:themeColor="text2"/>
        </w:rPr>
        <w:t>81</w:t>
      </w:r>
      <w:r>
        <w:fldChar w:fldCharType="end"/>
      </w:r>
      <w:r w:rsidR="006270A8" w:rsidRPr="00816657">
        <w:rPr>
          <w:b/>
          <w:color w:val="0000FF" w:themeColor="text2"/>
        </w:rPr>
        <w:t xml:space="preserve"> cont.</w:t>
      </w:r>
      <w:proofErr w:type="gramEnd"/>
    </w:p>
    <w:tbl>
      <w:tblPr>
        <w:tblW w:w="15735" w:type="dxa"/>
        <w:tblInd w:w="-885" w:type="dxa"/>
        <w:tblLayout w:type="fixed"/>
        <w:tblLook w:val="04A0"/>
      </w:tblPr>
      <w:tblGrid>
        <w:gridCol w:w="851"/>
        <w:gridCol w:w="3686"/>
        <w:gridCol w:w="1119"/>
        <w:gridCol w:w="1120"/>
        <w:gridCol w:w="1120"/>
        <w:gridCol w:w="1120"/>
        <w:gridCol w:w="1120"/>
        <w:gridCol w:w="1119"/>
        <w:gridCol w:w="1120"/>
        <w:gridCol w:w="1120"/>
        <w:gridCol w:w="1120"/>
        <w:gridCol w:w="1120"/>
      </w:tblGrid>
      <w:tr w:rsidR="006270A8" w:rsidRPr="00816657" w:rsidTr="006270A8">
        <w:tc>
          <w:tcPr>
            <w:tcW w:w="4537" w:type="dxa"/>
            <w:gridSpan w:val="2"/>
            <w:tcBorders>
              <w:top w:val="nil"/>
              <w:left w:val="nil"/>
              <w:bottom w:val="single" w:sz="4" w:space="0" w:color="7F7F7F"/>
              <w:right w:val="nil"/>
            </w:tcBorders>
            <w:shd w:val="clear" w:color="000000" w:fill="F2F2F2"/>
            <w:noWrap/>
            <w:hideMark/>
          </w:tcPr>
          <w:p w:rsidR="006270A8" w:rsidRPr="00816657" w:rsidRDefault="006270A8" w:rsidP="006270A8">
            <w:pPr>
              <w:spacing w:line="240" w:lineRule="auto"/>
              <w:rPr>
                <w:rFonts w:cs="Times New Roman"/>
                <w:b/>
                <w:bCs/>
                <w:color w:val="000000"/>
                <w:sz w:val="18"/>
                <w:szCs w:val="18"/>
                <w:lang w:eastAsia="en-AU"/>
              </w:rPr>
            </w:pPr>
            <w:r w:rsidRPr="00816657">
              <w:rPr>
                <w:rFonts w:cs="Times New Roman"/>
                <w:b/>
                <w:bCs/>
                <w:color w:val="000000"/>
                <w:sz w:val="18"/>
                <w:szCs w:val="18"/>
                <w:lang w:eastAsia="en-AU"/>
              </w:rPr>
              <w:t>Hazardous waste groups</w:t>
            </w:r>
          </w:p>
        </w:tc>
        <w:tc>
          <w:tcPr>
            <w:tcW w:w="1119"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2025</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2026</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2027</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2028</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2029</w:t>
            </w:r>
          </w:p>
        </w:tc>
        <w:tc>
          <w:tcPr>
            <w:tcW w:w="1119"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2030</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2031</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2032</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2033</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2034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A</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Plating &amp; heat treatment</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13,487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14,420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15,418</w:t>
            </w:r>
          </w:p>
        </w:tc>
        <w:tc>
          <w:tcPr>
            <w:tcW w:w="1120" w:type="dxa"/>
            <w:tcBorders>
              <w:top w:val="nil"/>
              <w:left w:val="nil"/>
              <w:bottom w:val="nil"/>
              <w:right w:val="nil"/>
            </w:tcBorders>
            <w:shd w:val="clear" w:color="auto" w:fill="auto"/>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16,486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17,628</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18,850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20,157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21,555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23,051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24,651</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B</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Acids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43,812</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C</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Alkalis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692,402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749,613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812,209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880,718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955,722</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1,037,860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1,127,837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1,226,424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1,334,472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1,452,916</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D120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Mercury; mercury compounds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2,382</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D220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Lead; lead compounds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242,009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250,479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259,246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268,320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277,711</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287,431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297,491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307,903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318,679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329,833</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D300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Non-toxic salts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260,732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290,123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323,042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359,910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401,203</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447,451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499,249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557,263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622,238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695,011</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D</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inorganic chemicals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292,574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292,574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202,574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E</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Reactive chemicals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153</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F</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Paints, resins, inks, organic sludges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68,151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70,740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73,428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76,219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79,115</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82,121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85,242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88,481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91,843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95,333</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G</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Organic solvents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52,862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55,399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58,058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60,845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63,766</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66,826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70,034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73,396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76,919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80,611</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H</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Pesticides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6,326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6,629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6,948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7,281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7,631</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7,997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8,381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8,783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9,205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9,647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J</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Oils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1,583,294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1,719,800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1,869,520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2,033,766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2,213,984</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2,411,760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2,628,841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2,867,148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3,128,794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3,416,104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K100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Animal effluent and residues (+ food processing waste)</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465,541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485,094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505,468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526,697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548,819</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571,869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595,888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620,915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646,993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674,167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K110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Grease trap waste</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906,740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950,263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995,876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1,043,678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1,093,774</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1,146,276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1,201,297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1,258,959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1,319,389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1,382,720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K140 &amp; 190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Tannery &amp; wool scouring wastes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5,555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5,438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5,324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5,212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5,103</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4,996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4,891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4,788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4,688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4,589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M160a</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PFOS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97,359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99,596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101,908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104,296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106,760</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109,300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111,916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114,609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117,380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120,230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M160b</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POP-BDEs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1,672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1,541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1,479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1,420</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1,363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1,309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1,257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1,206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1,158</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M160c</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HBCD</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48,189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49,425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50,692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51,991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53,324</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54,691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56,093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57,531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59,006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60,520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M160d</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HCB</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2,196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1,997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M</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organic chemicals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24,245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24,519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24,797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25,080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25,367</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25,659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25,955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26,257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26,564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26,876</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N120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Contaminated soils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2,040,520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N205a</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Contaminated biosolids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1,565,076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1,570,324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1,575,617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1,580,956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1,586,339</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1,591,767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471,256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476,772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482,333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487,937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N205b</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industrial treatment residues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460,678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487,397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515,667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545,575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577,219</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610,697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646,118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683,592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723,241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765,189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N220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Asbestos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1,582,295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1,614,723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1,648,060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1,682,331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1,717,560</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1,753,777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1,791,007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1,829,280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1,868,624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1,909,070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N</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soil/sludges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174,424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175,591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176,769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177,960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179,162</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180,376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181,602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182,841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184,092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185,355</w:t>
            </w:r>
          </w:p>
        </w:tc>
      </w:tr>
      <w:tr w:rsidR="00755035" w:rsidRPr="00816657" w:rsidTr="0020737E">
        <w:tc>
          <w:tcPr>
            <w:tcW w:w="851" w:type="dxa"/>
            <w:tcBorders>
              <w:top w:val="nil"/>
              <w:left w:val="nil"/>
              <w:bottom w:val="nil"/>
              <w:right w:val="nil"/>
            </w:tcBorders>
            <w:shd w:val="clear" w:color="000000" w:fill="F2F2F2"/>
            <w:hideMark/>
          </w:tcPr>
          <w:p w:rsidR="00755035" w:rsidRPr="00816657" w:rsidRDefault="00755035" w:rsidP="006270A8">
            <w:pPr>
              <w:spacing w:line="240" w:lineRule="auto"/>
              <w:rPr>
                <w:rFonts w:cs="Times New Roman"/>
                <w:color w:val="000000"/>
                <w:sz w:val="18"/>
                <w:szCs w:val="18"/>
                <w:lang w:eastAsia="en-AU"/>
              </w:rPr>
            </w:pPr>
            <w:r w:rsidRPr="00816657">
              <w:rPr>
                <w:rFonts w:cs="Times New Roman"/>
                <w:color w:val="000000"/>
                <w:sz w:val="18"/>
                <w:szCs w:val="18"/>
                <w:lang w:eastAsia="en-AU"/>
              </w:rPr>
              <w:t>R</w:t>
            </w:r>
          </w:p>
        </w:tc>
        <w:tc>
          <w:tcPr>
            <w:tcW w:w="3686" w:type="dxa"/>
            <w:tcBorders>
              <w:top w:val="nil"/>
              <w:left w:val="nil"/>
              <w:bottom w:val="nil"/>
              <w:right w:val="nil"/>
            </w:tcBorders>
            <w:shd w:val="clear" w:color="000000" w:fill="F2F2F2"/>
            <w:noWrap/>
            <w:hideMark/>
          </w:tcPr>
          <w:p w:rsidR="00755035" w:rsidRPr="00816657" w:rsidRDefault="00755035" w:rsidP="006270A8">
            <w:pPr>
              <w:spacing w:line="240" w:lineRule="auto"/>
              <w:rPr>
                <w:rFonts w:cs="Times New Roman"/>
                <w:color w:val="000000"/>
                <w:sz w:val="18"/>
                <w:szCs w:val="18"/>
                <w:lang w:eastAsia="en-AU"/>
              </w:rPr>
            </w:pPr>
            <w:r w:rsidRPr="00816657">
              <w:rPr>
                <w:rFonts w:cs="Times New Roman"/>
                <w:color w:val="000000"/>
                <w:sz w:val="18"/>
                <w:szCs w:val="18"/>
                <w:lang w:eastAsia="en-AU"/>
              </w:rPr>
              <w:t>Clinical &amp; pharmaceutical</w:t>
            </w:r>
          </w:p>
        </w:tc>
        <w:tc>
          <w:tcPr>
            <w:tcW w:w="1119"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110,933</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115,482</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120,216</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125,145</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130,276</w:t>
            </w:r>
          </w:p>
        </w:tc>
        <w:tc>
          <w:tcPr>
            <w:tcW w:w="1119"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135,617</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141,178</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146,966</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152,992</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159,264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T140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Tyres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605,681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626,880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648,821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671,530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695,033</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719,359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744,537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770,596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797,566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825,481</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T</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miscellaneous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9,529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9,819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10,122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10,438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10,766</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11,108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11,464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11,833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12,218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12,617</w:t>
            </w:r>
          </w:p>
        </w:tc>
      </w:tr>
      <w:tr w:rsidR="006270A8" w:rsidRPr="00816657" w:rsidTr="006270A8">
        <w:tc>
          <w:tcPr>
            <w:tcW w:w="851" w:type="dxa"/>
            <w:tcBorders>
              <w:top w:val="nil"/>
              <w:left w:val="nil"/>
              <w:bottom w:val="single" w:sz="4" w:space="0" w:color="7F7F7F"/>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Lithium-ion batteries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48,458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55,014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62,483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70,993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80,695</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91,759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104,383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118,793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135,249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154,049</w:t>
            </w:r>
          </w:p>
        </w:tc>
      </w:tr>
      <w:tr w:rsidR="006270A8" w:rsidRPr="00816657" w:rsidTr="006270A8">
        <w:tc>
          <w:tcPr>
            <w:tcW w:w="851"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single" w:sz="4" w:space="0" w:color="7F7F7F"/>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 </w:t>
            </w:r>
            <w:r w:rsidRPr="00816657">
              <w:rPr>
                <w:rFonts w:cs="Times New Roman"/>
                <w:b/>
                <w:bCs/>
                <w:color w:val="000000"/>
                <w:sz w:val="18"/>
                <w:szCs w:val="18"/>
                <w:lang w:eastAsia="en-AU"/>
              </w:rPr>
              <w:t>Total (millions of tonnes)</w:t>
            </w:r>
          </w:p>
        </w:tc>
        <w:tc>
          <w:tcPr>
            <w:tcW w:w="1119"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11.41</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11.81</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12.15</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12.61</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13.12</w:t>
            </w:r>
          </w:p>
        </w:tc>
        <w:tc>
          <w:tcPr>
            <w:tcW w:w="1119"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13.66</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13.11</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13.74</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14.42</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15.16</w:t>
            </w:r>
          </w:p>
        </w:tc>
      </w:tr>
    </w:tbl>
    <w:p w:rsidR="0034784A" w:rsidRPr="00816657" w:rsidRDefault="0034784A">
      <w:pPr>
        <w:spacing w:line="240" w:lineRule="auto"/>
        <w:rPr>
          <w:color w:val="080808"/>
          <w:sz w:val="22"/>
        </w:rPr>
      </w:pPr>
      <w:r w:rsidRPr="00816657">
        <w:br w:type="page"/>
      </w:r>
    </w:p>
    <w:p w:rsidR="0034784A" w:rsidRPr="00816657" w:rsidRDefault="0034784A" w:rsidP="00CE7600">
      <w:pPr>
        <w:pStyle w:val="BodyText"/>
      </w:pPr>
    </w:p>
    <w:p w:rsidR="006270A8" w:rsidRPr="00816657" w:rsidRDefault="006270A8" w:rsidP="00CE7600">
      <w:pPr>
        <w:pStyle w:val="BodyText"/>
      </w:pPr>
    </w:p>
    <w:p w:rsidR="006270A8" w:rsidRPr="00816657" w:rsidRDefault="006270A8" w:rsidP="00655F62">
      <w:pPr>
        <w:pStyle w:val="Figures"/>
      </w:pPr>
      <w:bookmarkStart w:id="579" w:name="_Ref408498010"/>
      <w:bookmarkStart w:id="580" w:name="_Toc425849367"/>
      <w:r w:rsidRPr="00816657">
        <w:t xml:space="preserve">Table </w:t>
      </w:r>
      <w:r w:rsidR="006D07F5" w:rsidRPr="00816657">
        <w:fldChar w:fldCharType="begin"/>
      </w:r>
      <w:r w:rsidR="00BA5D9E" w:rsidRPr="00816657">
        <w:instrText xml:space="preserve"> SEQ Table \* ARABIC </w:instrText>
      </w:r>
      <w:r w:rsidR="006D07F5" w:rsidRPr="00816657">
        <w:fldChar w:fldCharType="separate"/>
      </w:r>
      <w:r w:rsidR="002F3000">
        <w:rPr>
          <w:noProof/>
        </w:rPr>
        <w:t>82</w:t>
      </w:r>
      <w:r w:rsidR="006D07F5" w:rsidRPr="00816657">
        <w:rPr>
          <w:noProof/>
        </w:rPr>
        <w:fldChar w:fldCharType="end"/>
      </w:r>
      <w:bookmarkEnd w:id="579"/>
      <w:r w:rsidRPr="00816657">
        <w:t xml:space="preserve">: </w:t>
      </w:r>
      <w:r w:rsidRPr="00816657">
        <w:tab/>
        <w:t>Low estimate scenario for all groups</w:t>
      </w:r>
      <w:bookmarkEnd w:id="580"/>
    </w:p>
    <w:tbl>
      <w:tblPr>
        <w:tblW w:w="15735" w:type="dxa"/>
        <w:tblInd w:w="-885" w:type="dxa"/>
        <w:tblLayout w:type="fixed"/>
        <w:tblLook w:val="04A0"/>
      </w:tblPr>
      <w:tblGrid>
        <w:gridCol w:w="851"/>
        <w:gridCol w:w="3686"/>
        <w:gridCol w:w="1018"/>
        <w:gridCol w:w="1018"/>
        <w:gridCol w:w="1018"/>
        <w:gridCol w:w="1018"/>
        <w:gridCol w:w="1018"/>
        <w:gridCol w:w="1018"/>
        <w:gridCol w:w="1018"/>
        <w:gridCol w:w="1018"/>
        <w:gridCol w:w="1018"/>
        <w:gridCol w:w="1018"/>
        <w:gridCol w:w="1018"/>
      </w:tblGrid>
      <w:tr w:rsidR="006270A8" w:rsidRPr="00816657" w:rsidTr="00BA5D9E">
        <w:tc>
          <w:tcPr>
            <w:tcW w:w="4537" w:type="dxa"/>
            <w:gridSpan w:val="2"/>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Hazardous waste groups</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2014</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2015</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2016</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2017</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2018</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2019</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2020</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2021</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2022</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2023</w:t>
            </w:r>
          </w:p>
        </w:tc>
        <w:tc>
          <w:tcPr>
            <w:tcW w:w="1018" w:type="dxa"/>
            <w:tcBorders>
              <w:top w:val="nil"/>
              <w:left w:val="nil"/>
              <w:bottom w:val="single" w:sz="4" w:space="0" w:color="7F7F7F"/>
              <w:right w:val="nil"/>
            </w:tcBorders>
            <w:shd w:val="clear" w:color="000000" w:fill="F2F2F2"/>
            <w:noWrap/>
            <w:hideMark/>
          </w:tcPr>
          <w:p w:rsidR="006270A8" w:rsidRPr="00816657" w:rsidRDefault="006270A8" w:rsidP="00BA5D9E">
            <w:pPr>
              <w:spacing w:line="240" w:lineRule="auto"/>
              <w:rPr>
                <w:rFonts w:cs="Times New Roman"/>
                <w:b/>
                <w:bCs/>
                <w:color w:val="000000"/>
                <w:sz w:val="18"/>
                <w:szCs w:val="18"/>
                <w:lang w:eastAsia="en-AU"/>
              </w:rPr>
            </w:pPr>
            <w:r w:rsidRPr="00816657">
              <w:rPr>
                <w:rFonts w:cs="Times New Roman"/>
                <w:b/>
                <w:bCs/>
                <w:color w:val="000000"/>
                <w:sz w:val="18"/>
                <w:szCs w:val="18"/>
                <w:lang w:eastAsia="en-AU"/>
              </w:rPr>
              <w:t>2024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A</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Plating &amp; heat treatment</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6,064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6,059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6,053</w:t>
            </w:r>
          </w:p>
        </w:tc>
        <w:tc>
          <w:tcPr>
            <w:tcW w:w="1018" w:type="dxa"/>
            <w:tcBorders>
              <w:top w:val="nil"/>
              <w:left w:val="nil"/>
              <w:bottom w:val="nil"/>
              <w:right w:val="nil"/>
            </w:tcBorders>
            <w:shd w:val="clear" w:color="auto" w:fill="auto"/>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6,048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6,042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6,037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6,032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6,028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6,023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6,019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6,014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B</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Acids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42,117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37,905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34,114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30,703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27,633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24,869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22,382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22,159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21,937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21,718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21,501</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C</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Alkalis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289,323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290,319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291,632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293,257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295,191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297,431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299,973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302,816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305,957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309,396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313,130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D120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Mercury; mercury compounds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1,461</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D220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Lead; lead compounds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D300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Non-toxic salts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81,905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83,164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84,499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85,912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87,402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88,971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90,618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92,346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94,154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96,044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98,017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D</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inorganic chemicals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197,920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190,003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182,403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175,107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168,103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161,379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154,924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148,727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142,778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137,066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131,584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E</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Reactive chemicals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92</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F</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Paints, resins, inks, organic sludges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44,625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44,401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44,179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43,959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43,739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43,520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43,302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43,086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42,871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42,656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42,443</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G</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Organic solvents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30,841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31,088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31,336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31,587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31,840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32,094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32,351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32,610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32,871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33,134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33,399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H</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Pesticides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3,690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3,719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3,749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3,779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3,809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3,840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3,870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3,901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3,933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3,964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3,996</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J</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Oils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648,497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656,132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664,190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672,681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681,611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690,990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700,825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711,126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721,902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733,162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744,917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K100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Animal effluent and residues (+ food processing waste)</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290,626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291,207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291,790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292,373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292,958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293,544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294,131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294,719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295,309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295,899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296,491</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K110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Grease trap waste</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532,691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536,952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541,248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545,578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549,943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554,342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558,777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563,247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567,753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572,295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576,874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K140 &amp; 190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Tannery &amp; wool scouring wastes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6,770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6,357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5,969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5,263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4,942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4,641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4,358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4,092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3,842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3,608</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M160a</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PFOS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2,543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2,289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2,060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1,854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1,669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1,502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1,351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1,216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1,095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985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M160b</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POP-BDEs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M160c</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HBCD</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7,316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7,374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7,433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7,493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7,553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7,613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7,674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7,735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7,797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M160d</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HCB</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M</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organic chemicals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21,461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20,287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19,190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18,162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17,198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16,338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15,521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14,745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14,008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13,308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12,642</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N120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Contaminated soils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N205a</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Contaminated biosolids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130,660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128,047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125,486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122,976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120,516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118,106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115,744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113,429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111,161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108,937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106,759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N205b</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industrial treatment residues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237,790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237,315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236,840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236,366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235,894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235,422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234,951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234,481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234,012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233,544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233,077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N220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Asbestos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430,647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464,581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489,184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514,477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540,478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567,206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584,684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612,930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641,968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671,818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702,505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N</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soil/sludges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103,151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100,056</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97,054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94,143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91,318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88,579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85,922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83,344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80,844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78,418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76,066</w:t>
            </w:r>
          </w:p>
        </w:tc>
      </w:tr>
      <w:tr w:rsidR="00755035" w:rsidRPr="00816657" w:rsidTr="0020737E">
        <w:tc>
          <w:tcPr>
            <w:tcW w:w="851" w:type="dxa"/>
            <w:tcBorders>
              <w:top w:val="nil"/>
              <w:left w:val="nil"/>
              <w:bottom w:val="nil"/>
              <w:right w:val="nil"/>
            </w:tcBorders>
            <w:shd w:val="clear" w:color="000000" w:fill="F2F2F2"/>
            <w:hideMark/>
          </w:tcPr>
          <w:p w:rsidR="00755035" w:rsidRPr="00816657" w:rsidRDefault="00755035" w:rsidP="00BA5D9E">
            <w:pPr>
              <w:spacing w:line="240" w:lineRule="auto"/>
              <w:rPr>
                <w:rFonts w:cs="Times New Roman"/>
                <w:color w:val="000000"/>
                <w:sz w:val="18"/>
                <w:szCs w:val="18"/>
                <w:lang w:eastAsia="en-AU"/>
              </w:rPr>
            </w:pPr>
            <w:r w:rsidRPr="00816657">
              <w:rPr>
                <w:rFonts w:cs="Times New Roman"/>
                <w:color w:val="000000"/>
                <w:sz w:val="18"/>
                <w:szCs w:val="18"/>
                <w:lang w:eastAsia="en-AU"/>
              </w:rPr>
              <w:t>R</w:t>
            </w:r>
          </w:p>
        </w:tc>
        <w:tc>
          <w:tcPr>
            <w:tcW w:w="3686" w:type="dxa"/>
            <w:tcBorders>
              <w:top w:val="nil"/>
              <w:left w:val="nil"/>
              <w:bottom w:val="nil"/>
              <w:right w:val="nil"/>
            </w:tcBorders>
            <w:shd w:val="clear" w:color="000000" w:fill="F2F2F2"/>
            <w:noWrap/>
            <w:hideMark/>
          </w:tcPr>
          <w:p w:rsidR="00755035" w:rsidRPr="00816657" w:rsidRDefault="00755035" w:rsidP="00BA5D9E">
            <w:pPr>
              <w:spacing w:line="240" w:lineRule="auto"/>
              <w:rPr>
                <w:rFonts w:cs="Times New Roman"/>
                <w:color w:val="000000"/>
                <w:sz w:val="18"/>
                <w:szCs w:val="18"/>
                <w:lang w:eastAsia="en-AU"/>
              </w:rPr>
            </w:pPr>
            <w:r w:rsidRPr="00816657">
              <w:rPr>
                <w:rFonts w:cs="Times New Roman"/>
                <w:color w:val="000000"/>
                <w:sz w:val="18"/>
                <w:szCs w:val="18"/>
                <w:lang w:eastAsia="en-AU"/>
              </w:rPr>
              <w:t>Clinical &amp; pharmaceutical</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70,749</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70,695</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70,642</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70,642</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70,642</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70,642</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70,642</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70,642</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70,642</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70,713</w:t>
            </w:r>
          </w:p>
        </w:tc>
        <w:tc>
          <w:tcPr>
            <w:tcW w:w="1018"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70,783</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T140</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Tyres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407,418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405,381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403,354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401,337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399,330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397,334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395,347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393,370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391,404</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389,447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387,499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T</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Other miscellaneous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6,935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6,727</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6,555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6,412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6,291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6,188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6,101</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6,025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5,958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5,899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5,847</w:t>
            </w:r>
          </w:p>
        </w:tc>
      </w:tr>
      <w:tr w:rsidR="006270A8" w:rsidRPr="00816657" w:rsidTr="006270A8">
        <w:tc>
          <w:tcPr>
            <w:tcW w:w="851" w:type="dxa"/>
            <w:tcBorders>
              <w:top w:val="nil"/>
              <w:left w:val="nil"/>
              <w:bottom w:val="single" w:sz="4" w:space="0" w:color="7F7F7F"/>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Lithium-ion batteries</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8,190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9,143</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10,218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11,432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12,805</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14,359</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16,120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16,682</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17,270</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17,888</w:t>
            </w:r>
          </w:p>
        </w:tc>
        <w:tc>
          <w:tcPr>
            <w:tcW w:w="1018"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18,536</w:t>
            </w:r>
          </w:p>
        </w:tc>
      </w:tr>
      <w:tr w:rsidR="006270A8" w:rsidRPr="00816657" w:rsidTr="006270A8">
        <w:tc>
          <w:tcPr>
            <w:tcW w:w="851" w:type="dxa"/>
            <w:tcBorders>
              <w:top w:val="nil"/>
              <w:left w:val="nil"/>
              <w:bottom w:val="nil"/>
              <w:right w:val="nil"/>
            </w:tcBorders>
            <w:shd w:val="clear" w:color="000000" w:fill="F2F2F2"/>
            <w:noWrap/>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single" w:sz="4" w:space="0" w:color="7F7F7F"/>
              <w:left w:val="nil"/>
              <w:bottom w:val="nil"/>
              <w:right w:val="nil"/>
            </w:tcBorders>
            <w:shd w:val="clear" w:color="000000" w:fill="F2F2F2"/>
            <w:hideMark/>
          </w:tcPr>
          <w:p w:rsidR="006270A8" w:rsidRPr="00816657" w:rsidRDefault="006270A8" w:rsidP="00BA5D9E">
            <w:pPr>
              <w:spacing w:line="240" w:lineRule="auto"/>
              <w:rPr>
                <w:rFonts w:cs="Times New Roman"/>
                <w:color w:val="000000"/>
                <w:sz w:val="18"/>
                <w:szCs w:val="18"/>
                <w:lang w:eastAsia="en-AU"/>
              </w:rPr>
            </w:pPr>
            <w:r w:rsidRPr="00816657">
              <w:rPr>
                <w:rFonts w:cs="Times New Roman"/>
                <w:color w:val="000000"/>
                <w:sz w:val="18"/>
                <w:szCs w:val="18"/>
                <w:lang w:eastAsia="en-AU"/>
              </w:rPr>
              <w:t> </w:t>
            </w:r>
            <w:r w:rsidRPr="00816657">
              <w:rPr>
                <w:rFonts w:cs="Times New Roman"/>
                <w:b/>
                <w:bCs/>
                <w:color w:val="000000"/>
                <w:sz w:val="18"/>
                <w:szCs w:val="18"/>
                <w:lang w:eastAsia="en-AU"/>
              </w:rPr>
              <w:t>Total (millions of tonnes)</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4.43</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4.46</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4.49</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4.51</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4.53</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4.56</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4.59</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4.63</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4.66</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4.70</w:t>
            </w:r>
          </w:p>
        </w:tc>
        <w:tc>
          <w:tcPr>
            <w:tcW w:w="1018"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4.74</w:t>
            </w:r>
          </w:p>
        </w:tc>
      </w:tr>
    </w:tbl>
    <w:p w:rsidR="006270A8" w:rsidRPr="00816657" w:rsidRDefault="006270A8" w:rsidP="006270A8">
      <w:pPr>
        <w:pStyle w:val="BodyText"/>
      </w:pPr>
    </w:p>
    <w:p w:rsidR="006270A8" w:rsidRPr="00816657" w:rsidRDefault="006270A8" w:rsidP="006270A8">
      <w:pPr>
        <w:pStyle w:val="BodyText"/>
      </w:pPr>
    </w:p>
    <w:p w:rsidR="006270A8" w:rsidRPr="00816657" w:rsidRDefault="006270A8" w:rsidP="006270A8">
      <w:pPr>
        <w:pStyle w:val="BodyText"/>
      </w:pPr>
    </w:p>
    <w:p w:rsidR="006270A8" w:rsidRPr="00816657" w:rsidRDefault="006270A8" w:rsidP="006270A8">
      <w:pPr>
        <w:pStyle w:val="BodyText"/>
      </w:pPr>
    </w:p>
    <w:p w:rsidR="006270A8" w:rsidRPr="00816657" w:rsidRDefault="006270A8" w:rsidP="006270A8">
      <w:pPr>
        <w:pStyle w:val="BodyText"/>
      </w:pPr>
    </w:p>
    <w:p w:rsidR="006270A8" w:rsidRPr="00816657" w:rsidRDefault="006270A8" w:rsidP="006270A8">
      <w:pPr>
        <w:pStyle w:val="BodyText"/>
      </w:pPr>
    </w:p>
    <w:p w:rsidR="006270A8" w:rsidRPr="00816657" w:rsidRDefault="006D07F5" w:rsidP="006270A8">
      <w:pPr>
        <w:pStyle w:val="BodyText"/>
        <w:rPr>
          <w:b/>
          <w:color w:val="0000FF" w:themeColor="text2"/>
        </w:rPr>
      </w:pPr>
      <w:r>
        <w:fldChar w:fldCharType="begin"/>
      </w:r>
      <w:r>
        <w:instrText xml:space="preserve"> REF _Ref408498010 \h  \* MERGEFORMAT </w:instrText>
      </w:r>
      <w:r>
        <w:fldChar w:fldCharType="separate"/>
      </w:r>
      <w:proofErr w:type="gramStart"/>
      <w:r w:rsidR="002F3000" w:rsidRPr="002F3000">
        <w:rPr>
          <w:b/>
          <w:color w:val="0000FF" w:themeColor="text2"/>
        </w:rPr>
        <w:t xml:space="preserve">Table </w:t>
      </w:r>
      <w:r w:rsidR="002F3000" w:rsidRPr="002F3000">
        <w:rPr>
          <w:b/>
          <w:noProof/>
          <w:color w:val="0000FF" w:themeColor="text2"/>
        </w:rPr>
        <w:t>82</w:t>
      </w:r>
      <w:r>
        <w:fldChar w:fldCharType="end"/>
      </w:r>
      <w:r w:rsidR="00C66B76" w:rsidRPr="00816657">
        <w:rPr>
          <w:b/>
          <w:color w:val="0000FF" w:themeColor="text2"/>
        </w:rPr>
        <w:t xml:space="preserve"> </w:t>
      </w:r>
      <w:r w:rsidR="006270A8" w:rsidRPr="00816657">
        <w:rPr>
          <w:b/>
          <w:color w:val="0000FF" w:themeColor="text2"/>
        </w:rPr>
        <w:t>cont.</w:t>
      </w:r>
      <w:proofErr w:type="gramEnd"/>
    </w:p>
    <w:tbl>
      <w:tblPr>
        <w:tblW w:w="15735" w:type="dxa"/>
        <w:tblInd w:w="-885" w:type="dxa"/>
        <w:tblLayout w:type="fixed"/>
        <w:tblLook w:val="04A0"/>
      </w:tblPr>
      <w:tblGrid>
        <w:gridCol w:w="851"/>
        <w:gridCol w:w="3686"/>
        <w:gridCol w:w="1119"/>
        <w:gridCol w:w="1120"/>
        <w:gridCol w:w="1120"/>
        <w:gridCol w:w="1120"/>
        <w:gridCol w:w="1120"/>
        <w:gridCol w:w="1119"/>
        <w:gridCol w:w="1120"/>
        <w:gridCol w:w="1120"/>
        <w:gridCol w:w="1120"/>
        <w:gridCol w:w="1120"/>
      </w:tblGrid>
      <w:tr w:rsidR="006270A8" w:rsidRPr="00816657" w:rsidTr="006270A8">
        <w:tc>
          <w:tcPr>
            <w:tcW w:w="4537" w:type="dxa"/>
            <w:gridSpan w:val="2"/>
            <w:tcBorders>
              <w:top w:val="nil"/>
              <w:left w:val="nil"/>
              <w:bottom w:val="single" w:sz="4" w:space="0" w:color="7F7F7F"/>
              <w:right w:val="nil"/>
            </w:tcBorders>
            <w:shd w:val="clear" w:color="000000" w:fill="F2F2F2"/>
            <w:noWrap/>
            <w:hideMark/>
          </w:tcPr>
          <w:p w:rsidR="006270A8" w:rsidRPr="00816657" w:rsidRDefault="006270A8" w:rsidP="006270A8">
            <w:pPr>
              <w:spacing w:line="240" w:lineRule="auto"/>
              <w:rPr>
                <w:rFonts w:cs="Times New Roman"/>
                <w:b/>
                <w:bCs/>
                <w:color w:val="000000"/>
                <w:sz w:val="18"/>
                <w:szCs w:val="18"/>
                <w:lang w:eastAsia="en-AU"/>
              </w:rPr>
            </w:pPr>
            <w:r w:rsidRPr="00816657">
              <w:rPr>
                <w:rFonts w:cs="Times New Roman"/>
                <w:b/>
                <w:bCs/>
                <w:color w:val="000000"/>
                <w:sz w:val="18"/>
                <w:szCs w:val="18"/>
                <w:lang w:eastAsia="en-AU"/>
              </w:rPr>
              <w:t>Hazardous waste groups</w:t>
            </w:r>
          </w:p>
        </w:tc>
        <w:tc>
          <w:tcPr>
            <w:tcW w:w="1119"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2025</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2026</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2027</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2028</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2029</w:t>
            </w:r>
          </w:p>
        </w:tc>
        <w:tc>
          <w:tcPr>
            <w:tcW w:w="1119"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2030</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2031</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2032</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2033</w:t>
            </w:r>
          </w:p>
        </w:tc>
        <w:tc>
          <w:tcPr>
            <w:tcW w:w="1120" w:type="dxa"/>
            <w:tcBorders>
              <w:top w:val="nil"/>
              <w:left w:val="nil"/>
              <w:bottom w:val="single" w:sz="4" w:space="0" w:color="7F7F7F"/>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2034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A</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Plating &amp; heat treatment</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6,010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6,006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6,002</w:t>
            </w:r>
          </w:p>
        </w:tc>
        <w:tc>
          <w:tcPr>
            <w:tcW w:w="1120" w:type="dxa"/>
            <w:tcBorders>
              <w:top w:val="nil"/>
              <w:left w:val="nil"/>
              <w:bottom w:val="nil"/>
              <w:right w:val="nil"/>
            </w:tcBorders>
            <w:shd w:val="clear" w:color="auto" w:fill="auto"/>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5,998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5,994</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5,991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5,987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5,984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5,980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5,977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B</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Acids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21,286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21,073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20,862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20,653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20,447</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20,242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20,040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19,839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19,641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19,445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C</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Alkalis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317,159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321,483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326,102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331,015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336,225</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341,731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347,535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353,640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360,046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366,757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D120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Mercury; mercury compounds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1,417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1,333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1,293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1,254</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1,217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1,180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1,145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1,111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1,077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D220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Lead; lead compounds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165,105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D300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Non-toxic salts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100,074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102,216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104,444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106,760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109,165</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111,661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114,249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116,931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119,709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122,585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D</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inorganic chemicals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126,320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121,268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116,417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111,760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107,290</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102,998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98,878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94,923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91,126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87,481</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E</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Reactive chemicals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83</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F</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Paints, resins, inks, organic sludges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42,231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42,020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41,809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41,600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41,392</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41,185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40,979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40,775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40,571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40,368</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G</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Organic solvents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33,666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33,936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34,207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34,481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34,756</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35,035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35,315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35,597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35,882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36,169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H</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Pesticides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4,028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4,060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4,092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4,125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4,158</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4,191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4,225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4,259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4,293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4,327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J</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Oils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757,176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769,950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783,251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797,089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811,477</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826,426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841,949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858,059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874,769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892,094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K100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Animal effluent and residues (+ food processing waste)</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297,084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297,678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298,274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298,870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299,468</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300,067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300,667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301,268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301,871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302,475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K110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Grease trap waste</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581,489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586,140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590,830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595,556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600,321</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605,123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609,964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614,844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619,763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624,721</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K140 &amp; 190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Tannery &amp; wool scouring wastes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3,388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3,181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2,987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2,805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2,634</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2,322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2,181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2,048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1,923</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M160a</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PFOS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887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718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646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582</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524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471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424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344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M160b</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POP-BDEs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M160c</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HBCD</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7,860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7,922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7,986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8,050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8,114</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8,179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8,244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8,310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8,377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8,444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M160d</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HCB</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M</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organic chemicals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12,010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11,410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10,839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10,297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9,782</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9,293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8,829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8,387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7,968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7,569</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N120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Contaminated soils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680,173</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N205a</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Contaminated biosolids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104,623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102,531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100,480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98,471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96,501</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94,571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92,680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90,826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89,010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87,230</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N205b</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industrial treatment residues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232,611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232,146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231,681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231,218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230,756</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230,294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229,834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229,374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228,915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228,457</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N220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Asbestos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734,050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766,479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799,816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834,086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869,316</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905,532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942,762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981,035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1,020,380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1,060,826</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N</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soil/sludges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73,784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71,570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69,423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67,340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65,320</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63,361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61,460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59,616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57,828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56,093</w:t>
            </w:r>
          </w:p>
        </w:tc>
      </w:tr>
      <w:tr w:rsidR="00755035" w:rsidRPr="00816657" w:rsidTr="0020737E">
        <w:tc>
          <w:tcPr>
            <w:tcW w:w="851" w:type="dxa"/>
            <w:tcBorders>
              <w:top w:val="nil"/>
              <w:left w:val="nil"/>
              <w:bottom w:val="nil"/>
              <w:right w:val="nil"/>
            </w:tcBorders>
            <w:shd w:val="clear" w:color="000000" w:fill="F2F2F2"/>
            <w:hideMark/>
          </w:tcPr>
          <w:p w:rsidR="00755035" w:rsidRPr="00816657" w:rsidRDefault="00755035" w:rsidP="006270A8">
            <w:pPr>
              <w:spacing w:line="240" w:lineRule="auto"/>
              <w:rPr>
                <w:rFonts w:cs="Times New Roman"/>
                <w:color w:val="000000"/>
                <w:sz w:val="18"/>
                <w:szCs w:val="18"/>
                <w:lang w:eastAsia="en-AU"/>
              </w:rPr>
            </w:pPr>
            <w:r w:rsidRPr="00816657">
              <w:rPr>
                <w:rFonts w:cs="Times New Roman"/>
                <w:color w:val="000000"/>
                <w:sz w:val="18"/>
                <w:szCs w:val="18"/>
                <w:lang w:eastAsia="en-AU"/>
              </w:rPr>
              <w:t>R</w:t>
            </w:r>
          </w:p>
        </w:tc>
        <w:tc>
          <w:tcPr>
            <w:tcW w:w="3686" w:type="dxa"/>
            <w:tcBorders>
              <w:top w:val="nil"/>
              <w:left w:val="nil"/>
              <w:bottom w:val="nil"/>
              <w:right w:val="nil"/>
            </w:tcBorders>
            <w:shd w:val="clear" w:color="000000" w:fill="F2F2F2"/>
            <w:noWrap/>
            <w:hideMark/>
          </w:tcPr>
          <w:p w:rsidR="00755035" w:rsidRPr="00816657" w:rsidRDefault="00755035" w:rsidP="006270A8">
            <w:pPr>
              <w:spacing w:line="240" w:lineRule="auto"/>
              <w:rPr>
                <w:rFonts w:cs="Times New Roman"/>
                <w:color w:val="000000"/>
                <w:sz w:val="18"/>
                <w:szCs w:val="18"/>
                <w:lang w:eastAsia="en-AU"/>
              </w:rPr>
            </w:pPr>
            <w:r w:rsidRPr="00816657">
              <w:rPr>
                <w:rFonts w:cs="Times New Roman"/>
                <w:color w:val="000000"/>
                <w:sz w:val="18"/>
                <w:szCs w:val="18"/>
                <w:lang w:eastAsia="en-AU"/>
              </w:rPr>
              <w:t>Clinical &amp; pharmaceutical</w:t>
            </w:r>
          </w:p>
        </w:tc>
        <w:tc>
          <w:tcPr>
            <w:tcW w:w="1119"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70,854</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70,925</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70,996</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71,067</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71,138</w:t>
            </w:r>
          </w:p>
        </w:tc>
        <w:tc>
          <w:tcPr>
            <w:tcW w:w="1119"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71,209</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71,280</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71,352</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71,423</w:t>
            </w:r>
          </w:p>
        </w:tc>
        <w:tc>
          <w:tcPr>
            <w:tcW w:w="1120" w:type="dxa"/>
            <w:tcBorders>
              <w:top w:val="nil"/>
              <w:left w:val="nil"/>
              <w:bottom w:val="nil"/>
              <w:right w:val="nil"/>
            </w:tcBorders>
            <w:shd w:val="clear" w:color="auto" w:fill="auto"/>
            <w:noWrap/>
            <w:vAlign w:val="bottom"/>
            <w:hideMark/>
          </w:tcPr>
          <w:p w:rsidR="00755035" w:rsidRPr="00816657" w:rsidRDefault="00755035" w:rsidP="00755035">
            <w:pPr>
              <w:spacing w:line="240" w:lineRule="auto"/>
              <w:rPr>
                <w:rFonts w:cs="Times New Roman"/>
                <w:color w:val="000000"/>
                <w:sz w:val="18"/>
                <w:szCs w:val="18"/>
                <w:lang w:eastAsia="en-AU"/>
              </w:rPr>
            </w:pPr>
            <w:r w:rsidRPr="00816657">
              <w:rPr>
                <w:rFonts w:cs="Times New Roman"/>
                <w:color w:val="000000"/>
                <w:sz w:val="18"/>
                <w:szCs w:val="18"/>
                <w:lang w:eastAsia="en-AU"/>
              </w:rPr>
              <w:t>71,494</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T140</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Tyres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385,562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383,634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381,716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379,807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377,908</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376,019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374,139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372,268</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370,407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368,555</w:t>
            </w:r>
          </w:p>
        </w:tc>
      </w:tr>
      <w:tr w:rsidR="006270A8" w:rsidRPr="00816657" w:rsidTr="006270A8">
        <w:tc>
          <w:tcPr>
            <w:tcW w:w="851" w:type="dxa"/>
            <w:tcBorders>
              <w:top w:val="nil"/>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T</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Other miscellaneous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5,799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5,755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5,714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5,676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5,640</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5,606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5,573</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5,541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5,510</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5,480</w:t>
            </w:r>
          </w:p>
        </w:tc>
      </w:tr>
      <w:tr w:rsidR="006270A8" w:rsidRPr="00816657" w:rsidTr="006270A8">
        <w:tc>
          <w:tcPr>
            <w:tcW w:w="851" w:type="dxa"/>
            <w:tcBorders>
              <w:top w:val="nil"/>
              <w:left w:val="nil"/>
              <w:bottom w:val="single" w:sz="4" w:space="0" w:color="7F7F7F"/>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Lithium-ion batteries</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19,216</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19,932</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20,685</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21,477</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22,311</w:t>
            </w:r>
          </w:p>
        </w:tc>
        <w:tc>
          <w:tcPr>
            <w:tcW w:w="1119"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23,191</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24,119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25,099</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26,134</w:t>
            </w:r>
          </w:p>
        </w:tc>
        <w:tc>
          <w:tcPr>
            <w:tcW w:w="1120" w:type="dxa"/>
            <w:tcBorders>
              <w:top w:val="nil"/>
              <w:left w:val="nil"/>
              <w:bottom w:val="nil"/>
              <w:right w:val="nil"/>
            </w:tcBorders>
            <w:shd w:val="clear" w:color="auto" w:fill="auto"/>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27,228</w:t>
            </w:r>
          </w:p>
        </w:tc>
      </w:tr>
      <w:tr w:rsidR="006270A8" w:rsidRPr="00816657" w:rsidTr="006270A8">
        <w:tc>
          <w:tcPr>
            <w:tcW w:w="851" w:type="dxa"/>
            <w:tcBorders>
              <w:top w:val="nil"/>
              <w:left w:val="nil"/>
              <w:bottom w:val="nil"/>
              <w:right w:val="nil"/>
            </w:tcBorders>
            <w:shd w:val="clear" w:color="000000" w:fill="F2F2F2"/>
            <w:noWrap/>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 </w:t>
            </w:r>
          </w:p>
        </w:tc>
        <w:tc>
          <w:tcPr>
            <w:tcW w:w="3686" w:type="dxa"/>
            <w:tcBorders>
              <w:top w:val="single" w:sz="4" w:space="0" w:color="7F7F7F"/>
              <w:left w:val="nil"/>
              <w:bottom w:val="nil"/>
              <w:right w:val="nil"/>
            </w:tcBorders>
            <w:shd w:val="clear" w:color="000000" w:fill="F2F2F2"/>
            <w:hideMark/>
          </w:tcPr>
          <w:p w:rsidR="006270A8" w:rsidRPr="00816657" w:rsidRDefault="006270A8" w:rsidP="006270A8">
            <w:pPr>
              <w:spacing w:line="240" w:lineRule="auto"/>
              <w:rPr>
                <w:rFonts w:cs="Times New Roman"/>
                <w:color w:val="000000"/>
                <w:sz w:val="18"/>
                <w:szCs w:val="18"/>
                <w:lang w:eastAsia="en-AU"/>
              </w:rPr>
            </w:pPr>
            <w:r w:rsidRPr="00816657">
              <w:rPr>
                <w:rFonts w:cs="Times New Roman"/>
                <w:color w:val="000000"/>
                <w:sz w:val="18"/>
                <w:szCs w:val="18"/>
                <w:lang w:eastAsia="en-AU"/>
              </w:rPr>
              <w:t> </w:t>
            </w:r>
            <w:r w:rsidRPr="00816657">
              <w:rPr>
                <w:rFonts w:cs="Times New Roman"/>
                <w:b/>
                <w:bCs/>
                <w:color w:val="000000"/>
                <w:sz w:val="18"/>
                <w:szCs w:val="18"/>
                <w:lang w:eastAsia="en-AU"/>
              </w:rPr>
              <w:t>Total (millions of tonnes)</w:t>
            </w:r>
          </w:p>
        </w:tc>
        <w:tc>
          <w:tcPr>
            <w:tcW w:w="1119"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4.78</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4.83</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4.88</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4.92</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4.98</w:t>
            </w:r>
          </w:p>
        </w:tc>
        <w:tc>
          <w:tcPr>
            <w:tcW w:w="1119"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5.03</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5.09</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5.15</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5.21</w:t>
            </w:r>
          </w:p>
        </w:tc>
        <w:tc>
          <w:tcPr>
            <w:tcW w:w="1120" w:type="dxa"/>
            <w:tcBorders>
              <w:top w:val="single" w:sz="4" w:space="0" w:color="7F7F7F"/>
              <w:left w:val="nil"/>
              <w:bottom w:val="nil"/>
              <w:right w:val="nil"/>
            </w:tcBorders>
            <w:shd w:val="clear" w:color="000000" w:fill="F2F2F2"/>
            <w:noWrap/>
            <w:hideMark/>
          </w:tcPr>
          <w:p w:rsidR="006270A8" w:rsidRPr="00816657" w:rsidRDefault="006270A8" w:rsidP="006270A8">
            <w:pPr>
              <w:rPr>
                <w:b/>
                <w:bCs/>
                <w:color w:val="000000"/>
                <w:sz w:val="18"/>
                <w:szCs w:val="18"/>
              </w:rPr>
            </w:pPr>
            <w:r w:rsidRPr="00816657">
              <w:rPr>
                <w:b/>
                <w:bCs/>
                <w:color w:val="000000"/>
                <w:sz w:val="18"/>
                <w:szCs w:val="18"/>
              </w:rPr>
              <w:t>5.27</w:t>
            </w:r>
          </w:p>
        </w:tc>
      </w:tr>
    </w:tbl>
    <w:p w:rsidR="00CE7600" w:rsidRPr="00816657" w:rsidRDefault="00CE7600" w:rsidP="00781777">
      <w:pPr>
        <w:pStyle w:val="BodyText"/>
      </w:pPr>
    </w:p>
    <w:sectPr w:rsidR="00CE7600" w:rsidRPr="00816657" w:rsidSect="00CE7600">
      <w:headerReference w:type="even" r:id="rId287"/>
      <w:headerReference w:type="default" r:id="rId288"/>
      <w:footerReference w:type="even" r:id="rId289"/>
      <w:footerReference w:type="default" r:id="rId290"/>
      <w:headerReference w:type="first" r:id="rId291"/>
      <w:footerReference w:type="first" r:id="rId292"/>
      <w:pgSz w:w="16840" w:h="11907" w:orient="landscape" w:code="9"/>
      <w:pgMar w:top="106" w:right="1531" w:bottom="107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096" w:rsidRDefault="002D3096" w:rsidP="00E82ECD">
      <w:r>
        <w:separator/>
      </w:r>
    </w:p>
  </w:endnote>
  <w:endnote w:type="continuationSeparator" w:id="0">
    <w:p w:rsidR="002D3096" w:rsidRDefault="002D3096" w:rsidP="00E82E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Arial Rounded MT Bold">
    <w:altName w:val="Nyal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AB5D3F">
    <w:pPr>
      <w:pStyle w:val="Footer"/>
      <w:pBdr>
        <w:top w:val="none" w:sz="0" w:space="0" w:color="auto"/>
      </w:pBd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101CB1">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101CB1">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34</w:t>
    </w:r>
    <w:r w:rsidR="006D07F5" w:rsidRPr="00EE4519">
      <w:rPr>
        <w:rStyle w:val="PageNumber"/>
        <w:rFonts w:cs="Arial"/>
        <w:szCs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42</w:t>
    </w:r>
    <w:r w:rsidR="006D07F5" w:rsidRPr="00EE4519">
      <w:rPr>
        <w:rStyle w:val="PageNumber"/>
        <w:rFonts w:cs="Arial"/>
        <w:szCs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542624">
    <w:pPr>
      <w:pStyle w:val="FooterLandscape"/>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542624">
    <w:pPr>
      <w:pStyle w:val="FooterLandscape"/>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35</w:t>
    </w:r>
    <w:r w:rsidR="006D07F5" w:rsidRPr="00EE4519">
      <w:rPr>
        <w:rStyle w:val="PageNumber"/>
        <w:rFonts w:cs="Arial"/>
        <w:szCs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44</w:t>
    </w:r>
    <w:r w:rsidR="006D07F5" w:rsidRPr="00EE4519">
      <w:rPr>
        <w:rStyle w:val="PageNumber"/>
        <w:rFonts w:cs="Arial"/>
        <w:szCs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EA57B5">
    <w:pPr>
      <w:pStyle w:val="FooterLandscape"/>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EA57B5">
    <w:pPr>
      <w:pStyle w:val="FooterLandscape"/>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41</w:t>
    </w:r>
    <w:r w:rsidR="006D07F5" w:rsidRPr="00EE4519">
      <w:rPr>
        <w:rStyle w:val="PageNumber"/>
        <w:rFonts w:cs="Arial"/>
        <w:szCs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49</w:t>
    </w:r>
    <w:r w:rsidR="006D07F5" w:rsidRPr="00EE4519">
      <w:rPr>
        <w:rStyle w:val="PageNumber"/>
        <w:rFonts w:cs="Arial"/>
        <w:szCs w:val="18"/>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F34D00" w:rsidRDefault="002D3096" w:rsidP="00F34D00">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DC45F1">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DC45F1">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45</w:t>
    </w:r>
    <w:r w:rsidR="006D07F5" w:rsidRPr="00EE4519">
      <w:rPr>
        <w:rStyle w:val="PageNumber"/>
        <w:rFonts w:cs="Arial"/>
        <w:szCs w:val="18"/>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52</w:t>
    </w:r>
    <w:r w:rsidR="006D07F5" w:rsidRPr="00EE4519">
      <w:rPr>
        <w:rStyle w:val="PageNumber"/>
        <w:rFonts w:cs="Arial"/>
        <w:szCs w:val="18"/>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3F1105">
    <w:pPr>
      <w:pStyle w:val="FooterLandscape"/>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3F1105">
    <w:pPr>
      <w:pStyle w:val="FooterLandscape"/>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46</w:t>
    </w:r>
    <w:r w:rsidR="006D07F5" w:rsidRPr="00EE4519">
      <w:rPr>
        <w:rStyle w:val="PageNumber"/>
        <w:rFonts w:cs="Arial"/>
        <w:szCs w:val="18"/>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53</w:t>
    </w:r>
    <w:r w:rsidR="006D07F5" w:rsidRPr="00EE4519">
      <w:rPr>
        <w:rStyle w:val="PageNumber"/>
        <w:rFonts w:cs="Arial"/>
        <w:szCs w:val="18"/>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EA7F18">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EA7F18">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47</w:t>
    </w:r>
    <w:r w:rsidR="006D07F5" w:rsidRPr="00EE4519">
      <w:rPr>
        <w:rStyle w:val="PageNumber"/>
        <w:rFonts w:cs="Arial"/>
        <w:szCs w:val="18"/>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54</w:t>
    </w:r>
    <w:r w:rsidR="006D07F5" w:rsidRPr="00EE4519">
      <w:rPr>
        <w:rStyle w:val="PageNumber"/>
        <w:rFonts w:cs="Arial"/>
        <w:szCs w:val="18"/>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EA7F18">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EA7F18">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50</w:t>
    </w:r>
    <w:r w:rsidR="006D07F5" w:rsidRPr="00EE4519">
      <w:rPr>
        <w:rStyle w:val="PageNumber"/>
        <w:rFonts w:cs="Arial"/>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C6EEF">
    <w:pPr>
      <w:pStyle w:val="Footernoline"/>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55</w:t>
    </w:r>
    <w:r w:rsidR="006D07F5" w:rsidRPr="00EE4519">
      <w:rPr>
        <w:rStyle w:val="PageNumber"/>
        <w:rFonts w:cs="Arial"/>
        <w:szCs w:val="18"/>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56</w:t>
    </w:r>
    <w:r w:rsidR="006D07F5" w:rsidRPr="00EE4519">
      <w:rPr>
        <w:rStyle w:val="PageNumber"/>
        <w:rFonts w:cs="Arial"/>
        <w:szCs w:val="18"/>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EA7F18">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EA7F18">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55</w:t>
    </w:r>
    <w:r w:rsidR="006D07F5" w:rsidRPr="00EE4519">
      <w:rPr>
        <w:rStyle w:val="PageNumber"/>
        <w:rFonts w:cs="Arial"/>
        <w:szCs w:val="18"/>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60</w:t>
    </w:r>
    <w:r w:rsidR="006D07F5" w:rsidRPr="00EE4519">
      <w:rPr>
        <w:rStyle w:val="PageNumber"/>
        <w:rFonts w:cs="Arial"/>
        <w:szCs w:val="18"/>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C97294">
    <w:pPr>
      <w:pStyle w:val="FooterLandscape"/>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C97294">
    <w:pPr>
      <w:pStyle w:val="FooterLandscape"/>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57</w:t>
    </w:r>
    <w:r w:rsidR="006D07F5" w:rsidRPr="00EE4519">
      <w:rPr>
        <w:rStyle w:val="PageNumber"/>
        <w:rFonts w:cs="Arial"/>
        <w:szCs w:val="18"/>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62</w:t>
    </w:r>
    <w:r w:rsidR="006D07F5" w:rsidRPr="00EE4519">
      <w:rPr>
        <w:rStyle w:val="PageNumber"/>
        <w:rFonts w:cs="Arial"/>
        <w:szCs w:val="18"/>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EC1B0C">
    <w:pPr>
      <w:pStyle w:val="Footer"/>
      <w:tabs>
        <w:tab w:val="clear" w:pos="9356"/>
        <w:tab w:val="right" w:pos="9498"/>
      </w:tabs>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xv</w:t>
    </w:r>
    <w:r w:rsidR="006D07F5" w:rsidRPr="00EE4519">
      <w:rPr>
        <w:rStyle w:val="PageNumber"/>
        <w:rFonts w:cs="Arial"/>
        <w:szCs w:val="18"/>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D5FC4">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FD5FC4">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62</w:t>
    </w:r>
    <w:r w:rsidR="006D07F5" w:rsidRPr="00EE4519">
      <w:rPr>
        <w:rStyle w:val="PageNumber"/>
        <w:rFonts w:cs="Arial"/>
        <w:szCs w:val="18"/>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80</w:t>
    </w:r>
    <w:r w:rsidR="006D07F5" w:rsidRPr="00EE4519">
      <w:rPr>
        <w:rStyle w:val="PageNumber"/>
        <w:rFonts w:cs="Arial"/>
        <w:szCs w:val="18"/>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3A4815">
    <w:pPr>
      <w:pStyle w:val="Footer"/>
      <w:tabs>
        <w:tab w:val="clear" w:pos="9356"/>
        <w:tab w:val="right" w:pos="9498"/>
      </w:tabs>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FD5FC4">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71</w:t>
    </w:r>
    <w:r w:rsidR="006D07F5" w:rsidRPr="00EE4519">
      <w:rPr>
        <w:rStyle w:val="PageNumber"/>
        <w:rFonts w:cs="Arial"/>
        <w:szCs w:val="18"/>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D5FC4">
    <w:pPr>
      <w:pStyle w:val="Footer"/>
    </w:pPr>
    <w:r w:rsidRPr="003F328C">
      <w:t>Hazardous waste infrastructure needs and capacity assessment</w:t>
    </w:r>
    <w:r>
      <w:t xml:space="preserve"> </w:t>
    </w:r>
    <w:r>
      <w:tab/>
    </w:r>
    <w:r>
      <w:tab/>
    </w:r>
    <w:r>
      <w:tab/>
    </w:r>
    <w:r>
      <w:tab/>
    </w:r>
    <w:r>
      <w:tab/>
    </w:r>
    <w:r>
      <w:tab/>
    </w:r>
    <w:r>
      <w:tab/>
    </w:r>
    <w:r>
      <w:tab/>
    </w:r>
    <w:fldSimple w:instr=" DOCPROPERTY  xProjectNumber  \* MERGEFORMAT ">
      <w:r w:rsidR="002F3000">
        <w:t>P530</w:t>
      </w:r>
    </w:fldSimple>
    <w:r>
      <w:t xml:space="preserve"> Final</w:t>
    </w:r>
  </w:p>
  <w:p w:rsidR="002D3096" w:rsidRPr="00EE4519" w:rsidRDefault="002D3096" w:rsidP="00806E64">
    <w:pPr>
      <w:pStyle w:val="Footer"/>
      <w:tabs>
        <w:tab w:val="clear" w:pos="4678"/>
        <w:tab w:val="center" w:pos="7513"/>
      </w:tabs>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72</w:t>
    </w:r>
    <w:r w:rsidR="006D07F5" w:rsidRPr="00EE4519">
      <w:rPr>
        <w:rStyle w:val="PageNumber"/>
        <w:rFonts w:cs="Arial"/>
        <w:szCs w:val="18"/>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D5FC4">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FD5FC4">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77</w:t>
    </w:r>
    <w:r w:rsidR="006D07F5" w:rsidRPr="00EE4519">
      <w:rPr>
        <w:rStyle w:val="PageNumber"/>
        <w:rFonts w:cs="Arial"/>
        <w:szCs w:val="18"/>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01CDD">
    <w:pPr>
      <w:pStyle w:val="FooterLandscape"/>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F01CDD">
    <w:pPr>
      <w:pStyle w:val="FooterLandscape"/>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79</w:t>
    </w:r>
    <w:r w:rsidR="006D07F5" w:rsidRPr="00EE4519">
      <w:rPr>
        <w:rStyle w:val="PageNumber"/>
        <w:rFonts w:cs="Arial"/>
        <w:szCs w:val="18"/>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92</w:t>
    </w:r>
    <w:r w:rsidR="006D07F5" w:rsidRPr="00EE4519">
      <w:rPr>
        <w:rStyle w:val="PageNumber"/>
        <w:rFonts w:cs="Arial"/>
        <w:szCs w:val="18"/>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341C59">
    <w:pPr>
      <w:pStyle w:val="Footer"/>
      <w:tabs>
        <w:tab w:val="clear" w:pos="4678"/>
        <w:tab w:val="clear" w:pos="9356"/>
        <w:tab w:val="center" w:pos="3261"/>
        <w:tab w:val="left" w:pos="8080"/>
        <w:tab w:val="right" w:pos="14742"/>
      </w:tabs>
    </w:pPr>
    <w:r w:rsidRPr="003F328C">
      <w:t>Hazardous waste infrastructure needs and capacity assessment</w:t>
    </w:r>
    <w:r>
      <w:t xml:space="preserve"> </w:t>
    </w:r>
    <w:r>
      <w:tab/>
    </w:r>
    <w:fldSimple w:instr=" DOCPROPERTY  xProjectNumber  \* MERGEFORMAT ">
      <w:r w:rsidR="002F3000">
        <w:t>P530</w:t>
      </w:r>
    </w:fldSimple>
    <w:r>
      <w:t xml:space="preserve"> Final</w:t>
    </w:r>
  </w:p>
  <w:p w:rsidR="002D3096" w:rsidRPr="00EE4519" w:rsidRDefault="002D3096" w:rsidP="007F5BD4">
    <w:pPr>
      <w:pStyle w:val="Footer"/>
      <w:tabs>
        <w:tab w:val="clear" w:pos="4678"/>
        <w:tab w:val="center" w:pos="4962"/>
      </w:tabs>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82</w:t>
    </w:r>
    <w:r w:rsidR="006D07F5" w:rsidRPr="00EE4519">
      <w:rPr>
        <w:rStyle w:val="PageNumber"/>
        <w:rFonts w:cs="Arial"/>
        <w:szCs w:val="18"/>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D09CA">
    <w:pPr>
      <w:pStyle w:val="Footer"/>
      <w:tabs>
        <w:tab w:val="clear" w:pos="9356"/>
        <w:tab w:val="right" w:pos="14742"/>
      </w:tabs>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FD09CA">
    <w:pPr>
      <w:pStyle w:val="Footer"/>
      <w:tabs>
        <w:tab w:val="clear" w:pos="4678"/>
        <w:tab w:val="center" w:pos="7371"/>
      </w:tabs>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93</w:t>
    </w:r>
    <w:r w:rsidR="006D07F5" w:rsidRPr="00EE4519">
      <w:rPr>
        <w:rStyle w:val="PageNumber"/>
        <w:rFonts w:cs="Arial"/>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xiii</w:t>
    </w:r>
    <w:r w:rsidR="006D07F5" w:rsidRPr="00EE4519">
      <w:rPr>
        <w:rStyle w:val="PageNumber"/>
        <w:rFonts w:cs="Arial"/>
        <w:szCs w:val="18"/>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D5FC4">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FD5FC4">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112</w:t>
    </w:r>
    <w:r w:rsidR="006D07F5" w:rsidRPr="00EE4519">
      <w:rPr>
        <w:rStyle w:val="PageNumber"/>
        <w:rFonts w:cs="Arial"/>
        <w:szCs w:val="18"/>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4D33C7">
    <w:pPr>
      <w:pStyle w:val="Foote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3F328C">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9A582D" w:rsidRDefault="002D3096" w:rsidP="00A16765">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117</w:t>
    </w:r>
    <w:r w:rsidR="006D07F5" w:rsidRPr="00EE4519">
      <w:rPr>
        <w:rStyle w:val="PageNumber"/>
        <w:rFonts w:cs="Arial"/>
        <w:szCs w:val="18"/>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4D33C7">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4D33C7">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97</w:t>
    </w:r>
    <w:r w:rsidR="006D07F5" w:rsidRPr="00EE4519">
      <w:rPr>
        <w:rStyle w:val="PageNumber"/>
        <w:rFonts w:cs="Arial"/>
        <w:szCs w:val="18"/>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C6EEF">
    <w:pPr>
      <w:pStyle w:val="Foote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9954B2">
    <w:pPr>
      <w:pStyle w:val="FooterLandscape"/>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9A582D" w:rsidRDefault="002D3096" w:rsidP="009954B2">
    <w:pPr>
      <w:pStyle w:val="FooterLandscape"/>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120</w:t>
    </w:r>
    <w:r w:rsidR="006D07F5" w:rsidRPr="00EE4519">
      <w:rPr>
        <w:rStyle w:val="PageNumber"/>
        <w:rFonts w:cs="Arial"/>
        <w:szCs w:val="18"/>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C6EEF">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C6EEF">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100</w:t>
    </w:r>
    <w:r w:rsidR="006D07F5" w:rsidRPr="00EE4519">
      <w:rPr>
        <w:rStyle w:val="PageNumber"/>
        <w:rFonts w:cs="Arial"/>
        <w:szCs w:val="18"/>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C6EEF">
    <w:pPr>
      <w:pStyle w:val="Foote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E067EE">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9A582D" w:rsidRDefault="002D3096" w:rsidP="00E067EE">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131</w:t>
    </w:r>
    <w:r w:rsidR="006D07F5" w:rsidRPr="00EE4519">
      <w:rPr>
        <w:rStyle w:val="PageNumber"/>
        <w:rFonts w:cs="Arial"/>
        <w:szCs w:val="18"/>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C6EEF">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C6EEF">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109</w:t>
    </w:r>
    <w:r w:rsidR="006D07F5" w:rsidRPr="00EE4519">
      <w:rPr>
        <w:rStyle w:val="PageNumber"/>
        <w:rFonts w:cs="Arial"/>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810CB">
    <w:pPr>
      <w:pStyle w:val="Footer"/>
    </w:pPr>
    <w:r w:rsidRPr="003F328C">
      <w:t>Hazardous waste infrastructure needs and capacity assessment</w:t>
    </w:r>
    <w:r>
      <w:t xml:space="preserve"> </w:t>
    </w:r>
    <w:r>
      <w:tab/>
    </w:r>
    <w:r>
      <w:tab/>
    </w:r>
    <w:r>
      <w:tab/>
    </w:r>
    <w:r>
      <w:tab/>
    </w:r>
    <w:r>
      <w:tab/>
    </w:r>
    <w:r>
      <w:tab/>
    </w:r>
    <w:r>
      <w:tab/>
    </w:r>
    <w:fldSimple w:instr=" DOCPROPERTY  xProjectNumber  \* MERGEFORMAT ">
      <w:r w:rsidR="002F3000">
        <w:t>P530</w:t>
      </w:r>
    </w:fldSimple>
    <w:r>
      <w:t xml:space="preserve"> Final</w:t>
    </w:r>
  </w:p>
  <w:p w:rsidR="002D3096" w:rsidRPr="00EE4519" w:rsidRDefault="002D3096" w:rsidP="007F5BD4">
    <w:pPr>
      <w:pStyle w:val="Footer"/>
      <w:tabs>
        <w:tab w:val="clear" w:pos="4678"/>
        <w:tab w:val="center" w:pos="6946"/>
      </w:tabs>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xvi</w:t>
    </w:r>
    <w:r w:rsidR="006D07F5" w:rsidRPr="00EE4519">
      <w:rPr>
        <w:rStyle w:val="PageNumber"/>
        <w:rFonts w:cs="Arial"/>
        <w:szCs w:val="18"/>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C6EEF">
    <w:pPr>
      <w:pStyle w:val="Foote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5D48DD">
    <w:pPr>
      <w:pStyle w:val="FooterLandscape"/>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9A582D" w:rsidRDefault="002D3096" w:rsidP="005D48DD">
    <w:pPr>
      <w:pStyle w:val="FooterLandscape"/>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154</w:t>
    </w:r>
    <w:r w:rsidR="006D07F5" w:rsidRPr="00EE4519">
      <w:rPr>
        <w:rStyle w:val="PageNumber"/>
        <w:rFonts w:cs="Arial"/>
        <w:szCs w:val="18"/>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C6EEF">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C6EEF">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132</w:t>
    </w:r>
    <w:r w:rsidR="006D07F5" w:rsidRPr="00EE4519">
      <w:rPr>
        <w:rStyle w:val="PageNumber"/>
        <w:rFonts w:cs="Arial"/>
        <w:szCs w:val="18"/>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C6EEF">
    <w:pPr>
      <w:pStyle w:val="Foote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5D48DD">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9A582D" w:rsidRDefault="002D3096" w:rsidP="005D48DD">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171</w:t>
    </w:r>
    <w:r w:rsidR="006D07F5" w:rsidRPr="00EE4519">
      <w:rPr>
        <w:rStyle w:val="PageNumber"/>
        <w:rFonts w:cs="Arial"/>
        <w:szCs w:val="18"/>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C6EEF">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C6EEF">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149</w:t>
    </w:r>
    <w:r w:rsidR="006D07F5" w:rsidRPr="00EE4519">
      <w:rPr>
        <w:rStyle w:val="PageNumber"/>
        <w:rFonts w:cs="Arial"/>
        <w:szCs w:val="18"/>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C6EEF">
    <w:pPr>
      <w:pStyle w:val="Foote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920D3C">
    <w:pPr>
      <w:pStyle w:val="FooterLandscape"/>
      <w:tabs>
        <w:tab w:val="clear" w:pos="14600"/>
        <w:tab w:val="right" w:pos="13892"/>
      </w:tabs>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9A582D" w:rsidRDefault="002D3096" w:rsidP="00AD06FA">
    <w:pPr>
      <w:pStyle w:val="FooterLandscape"/>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177</w:t>
    </w:r>
    <w:r w:rsidR="006D07F5" w:rsidRPr="00EE4519">
      <w:rPr>
        <w:rStyle w:val="PageNumber"/>
        <w:rFonts w:cs="Arial"/>
        <w:szCs w:val="18"/>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C6EEF">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bookmarkStart w:id="581" w:name="_Toc333863319"/>
  </w:p>
  <w:p w:rsidR="002D3096" w:rsidRPr="005459E4" w:rsidRDefault="002D3096" w:rsidP="00FC6EEF">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155</w:t>
    </w:r>
    <w:r w:rsidR="006D07F5" w:rsidRPr="00EE4519">
      <w:rPr>
        <w:rStyle w:val="PageNumber"/>
        <w:rFonts w:cs="Arial"/>
        <w:szCs w:val="18"/>
      </w:rPr>
      <w:fldChar w:fldCharType="end"/>
    </w:r>
    <w:bookmarkEnd w:id="581"/>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F810CB">
    <w:pPr>
      <w:pStyle w:val="Footer"/>
    </w:pPr>
    <w:r w:rsidRPr="003F328C">
      <w:t>Hazardous waste infrastructure needs and capacity assessment</w:t>
    </w:r>
    <w:r>
      <w:t xml:space="preserve"> </w:t>
    </w:r>
    <w:r>
      <w:tab/>
    </w:r>
    <w:r>
      <w:tab/>
    </w:r>
    <w:fldSimple w:instr=" DOCPROPERTY  xProjectNumber  \* MERGEFORMAT ">
      <w:r w:rsidR="002F3000">
        <w:t>P530</w:t>
      </w:r>
    </w:fldSimple>
    <w:r>
      <w:t xml:space="preserve"> Final</w:t>
    </w:r>
  </w:p>
  <w:p w:rsidR="002D3096" w:rsidRPr="00EE4519"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sidR="00D9787A">
      <w:rPr>
        <w:rStyle w:val="PageNumber"/>
        <w:rFonts w:cs="Arial"/>
        <w:noProof/>
        <w:szCs w:val="18"/>
      </w:rPr>
      <w:t>23</w:t>
    </w:r>
    <w:r w:rsidR="006D07F5" w:rsidRPr="00EE4519">
      <w:rPr>
        <w:rStyle w:val="PageNumber"/>
        <w:rFonts w:cs="Arial"/>
        <w:szCs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6D07F5" w:rsidP="00F810CB">
    <w:pPr>
      <w:pStyle w:val="Footer"/>
    </w:pPr>
    <w:fldSimple w:instr=" DOCPROPERTY  xTitle  \* MERGEFORMAT ">
      <w:r w:rsidR="002F3000">
        <w:t>Reporting hazardous waste under the Basel Convention - guidance to states, territories and the Commonwealth (2014 version)</w:t>
      </w:r>
    </w:fldSimple>
    <w:r w:rsidR="002D3096">
      <w:tab/>
    </w:r>
    <w:r w:rsidR="002D3096">
      <w:tab/>
    </w:r>
    <w:r w:rsidR="002D3096" w:rsidRPr="00E45412">
      <w:t>Project</w:t>
    </w:r>
    <w:r w:rsidR="002D3096">
      <w:t xml:space="preserve"> number </w:t>
    </w:r>
    <w:fldSimple w:instr=" DOCPROPERTY  xProjectNumber  \* MERGEFORMAT ">
      <w:r w:rsidR="002F3000">
        <w:t>P530</w:t>
      </w:r>
    </w:fldSimple>
    <w:r w:rsidR="002D3096">
      <w:t xml:space="preserve"> </w:t>
    </w:r>
    <w:fldSimple w:instr=" DOCPROPERTY  xDraft  \* MERGEFORMAT ">
      <w:r w:rsidR="002F3000">
        <w:t>Final</w:t>
      </w:r>
    </w:fldSimple>
    <w:r w:rsidR="002D3096">
      <w:t xml:space="preserve"> report Version </w:t>
    </w:r>
  </w:p>
  <w:p w:rsidR="002D3096" w:rsidRPr="005459E4" w:rsidRDefault="002D3096" w:rsidP="00F810CB">
    <w:pPr>
      <w:pStyle w:val="Footer"/>
    </w:pPr>
    <w:r>
      <w:tab/>
    </w:r>
    <w:r w:rsidRPr="00EE4519">
      <w:t xml:space="preserve">Page </w:t>
    </w:r>
    <w:r w:rsidR="006D07F5" w:rsidRPr="00EE4519">
      <w:rPr>
        <w:rStyle w:val="PageNumber"/>
        <w:rFonts w:cs="Arial"/>
        <w:szCs w:val="18"/>
      </w:rPr>
      <w:fldChar w:fldCharType="begin"/>
    </w:r>
    <w:r w:rsidRPr="00EE4519">
      <w:rPr>
        <w:rStyle w:val="PageNumber"/>
        <w:rFonts w:cs="Arial"/>
        <w:szCs w:val="18"/>
      </w:rPr>
      <w:instrText xml:space="preserve"> PAGE </w:instrText>
    </w:r>
    <w:r w:rsidR="006D07F5" w:rsidRPr="00EE4519">
      <w:rPr>
        <w:rStyle w:val="PageNumber"/>
        <w:rFonts w:cs="Arial"/>
        <w:szCs w:val="18"/>
      </w:rPr>
      <w:fldChar w:fldCharType="separate"/>
    </w:r>
    <w:r>
      <w:rPr>
        <w:rStyle w:val="PageNumber"/>
        <w:rFonts w:cs="Arial"/>
        <w:noProof/>
        <w:szCs w:val="18"/>
      </w:rPr>
      <w:t>33</w:t>
    </w:r>
    <w:r w:rsidR="006D07F5" w:rsidRPr="00EE4519">
      <w:rPr>
        <w:rStyle w:val="PageNumber"/>
        <w:rFonts w:cs="Arial"/>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096" w:rsidRDefault="002D3096" w:rsidP="00E82ECD">
      <w:r>
        <w:separator/>
      </w:r>
    </w:p>
  </w:footnote>
  <w:footnote w:type="continuationSeparator" w:id="0">
    <w:p w:rsidR="002D3096" w:rsidRDefault="002D3096" w:rsidP="00E82ECD">
      <w:r>
        <w:continuationSeparator/>
      </w:r>
    </w:p>
  </w:footnote>
  <w:footnote w:id="1">
    <w:p w:rsidR="002D3096" w:rsidRDefault="002D3096" w:rsidP="002D12F3">
      <w:pPr>
        <w:pStyle w:val="FootnoteText"/>
      </w:pPr>
      <w:r>
        <w:rPr>
          <w:rStyle w:val="FootnoteReference"/>
        </w:rPr>
        <w:footnoteRef/>
      </w:r>
      <w:r>
        <w:t xml:space="preserve"> Lithium-ion batteries are not currently regulated as hazardous waste. This may change in future due mainly to issues of flammability.</w:t>
      </w:r>
    </w:p>
  </w:footnote>
  <w:footnote w:id="2">
    <w:p w:rsidR="002D3096" w:rsidRDefault="002D3096" w:rsidP="007C635B">
      <w:pPr>
        <w:pStyle w:val="FootnoteText"/>
      </w:pPr>
      <w:r>
        <w:rPr>
          <w:rStyle w:val="FootnoteReference"/>
        </w:rPr>
        <w:footnoteRef/>
      </w:r>
      <w:r>
        <w:t xml:space="preserve"> The ‘primary function’ of the infrastructure refers to the waste fates that the infrastructure provides (e.g. recycling, treatment).</w:t>
      </w:r>
    </w:p>
  </w:footnote>
  <w:footnote w:id="3">
    <w:p w:rsidR="002D3096" w:rsidRDefault="002D3096" w:rsidP="0047222F">
      <w:pPr>
        <w:pStyle w:val="FootnoteText"/>
      </w:pPr>
      <w:r>
        <w:rPr>
          <w:rStyle w:val="FootnoteReference"/>
        </w:rPr>
        <w:footnoteRef/>
      </w:r>
      <w:r>
        <w:t xml:space="preserve"> Estimate based on a three year average of wastes received at the site.</w:t>
      </w:r>
    </w:p>
  </w:footnote>
  <w:footnote w:id="4">
    <w:p w:rsidR="002D3096" w:rsidRDefault="002D3096" w:rsidP="0047222F">
      <w:pPr>
        <w:pStyle w:val="FootnoteText"/>
      </w:pPr>
      <w:r>
        <w:rPr>
          <w:rStyle w:val="FootnoteReference"/>
        </w:rPr>
        <w:footnoteRef/>
      </w:r>
      <w:r>
        <w:t xml:space="preserve"> Refers to the maximum capacity </w:t>
      </w:r>
      <w:r w:rsidRPr="00A650B1">
        <w:t xml:space="preserve">that the current infrastructure set </w:t>
      </w:r>
      <w:r w:rsidRPr="00A650B1">
        <w:rPr>
          <w:u w:val="single"/>
        </w:rPr>
        <w:t>and</w:t>
      </w:r>
      <w:r>
        <w:t xml:space="preserve"> those facilities that are under development </w:t>
      </w:r>
      <w:r w:rsidRPr="00A650B1">
        <w:rPr>
          <w:u w:val="single"/>
        </w:rPr>
        <w:t>could</w:t>
      </w:r>
      <w:r>
        <w:t xml:space="preserve"> process on an annual basis.</w:t>
      </w:r>
    </w:p>
  </w:footnote>
  <w:footnote w:id="5">
    <w:p w:rsidR="002D3096" w:rsidRDefault="002D3096">
      <w:pPr>
        <w:pStyle w:val="FootnoteText"/>
      </w:pPr>
      <w:r>
        <w:rPr>
          <w:rStyle w:val="FootnoteReference"/>
        </w:rPr>
        <w:footnoteRef/>
      </w:r>
      <w:r>
        <w:t xml:space="preserve"> The contaminated biosolids waste group only includes estimated arisings from inorganic contamination.  ‘POPs contaminated biosolids’ arisings are included in the M160a-c waste groups (see Table 1) which are assumed to be sent to POP thermal destruction facilities.  </w:t>
      </w:r>
    </w:p>
  </w:footnote>
  <w:footnote w:id="6">
    <w:p w:rsidR="002D3096" w:rsidRDefault="002D3096" w:rsidP="006F3572">
      <w:pPr>
        <w:pStyle w:val="FootnoteText"/>
      </w:pPr>
      <w:r>
        <w:rPr>
          <w:rStyle w:val="FootnoteReference"/>
        </w:rPr>
        <w:footnoteRef/>
      </w:r>
      <w:r>
        <w:t xml:space="preserve"> The ‘primary function’ of the infrastructure refers to the waste fates that the infrastructure provides (e.g. recycling, treatment).</w:t>
      </w:r>
    </w:p>
  </w:footnote>
  <w:footnote w:id="7">
    <w:p w:rsidR="002D3096" w:rsidRDefault="002D3096" w:rsidP="0001725B">
      <w:pPr>
        <w:pStyle w:val="FootnoteText"/>
      </w:pPr>
      <w:r>
        <w:rPr>
          <w:rStyle w:val="FootnoteReference"/>
        </w:rPr>
        <w:footnoteRef/>
      </w:r>
      <w:r>
        <w:t xml:space="preserve"> The ‘starting point’ of 5.7 Mt is less than the number stated in Australia’s 2013 report to the Basel Convention because: A. The Basel report conservatively included all biosolids whereas these projections do not (see the report Appendix </w:t>
      </w:r>
      <w:r w:rsidR="006D07F5">
        <w:fldChar w:fldCharType="begin"/>
      </w:r>
      <w:r>
        <w:instrText xml:space="preserve"> REF _Ref408390288 \r \h </w:instrText>
      </w:r>
      <w:r w:rsidR="006D07F5">
        <w:fldChar w:fldCharType="separate"/>
      </w:r>
      <w:r w:rsidR="002F3000">
        <w:t>A.6</w:t>
      </w:r>
      <w:r w:rsidR="006D07F5">
        <w:fldChar w:fldCharType="end"/>
      </w:r>
      <w:r>
        <w:t>); B. The initial year here is 2013-14, whereas Basel covers the 2013 calendar year; C. baseline figures for some waste groups and jurisdictions were assessed to be above the trend due to releases from storage and adjusted downwards (see report method section).</w:t>
      </w:r>
    </w:p>
  </w:footnote>
  <w:footnote w:id="8">
    <w:p w:rsidR="002D3096" w:rsidRDefault="002D3096">
      <w:pPr>
        <w:pStyle w:val="FootnoteText"/>
      </w:pPr>
      <w:r>
        <w:rPr>
          <w:rStyle w:val="FootnoteReference"/>
        </w:rPr>
        <w:footnoteRef/>
      </w:r>
      <w:r>
        <w:t xml:space="preserve"> These quantities are not included in the ‘contaminated biosolids’ projection to avoid double-counting.</w:t>
      </w:r>
    </w:p>
  </w:footnote>
  <w:footnote w:id="9">
    <w:p w:rsidR="002D3096" w:rsidRDefault="002D3096">
      <w:pPr>
        <w:pStyle w:val="FootnoteText"/>
      </w:pPr>
      <w:r>
        <w:rPr>
          <w:rStyle w:val="FootnoteReference"/>
        </w:rPr>
        <w:footnoteRef/>
      </w:r>
      <w:r>
        <w:t xml:space="preserve"> The data obtained from these three jurisdictions included Australia and New Zealand Standard Industrial Classification (ANZSIC) codes, allowing this level of analysis. Other jurisdictions did not provide this data. </w:t>
      </w:r>
    </w:p>
  </w:footnote>
  <w:footnote w:id="10">
    <w:p w:rsidR="002D3096" w:rsidRPr="008C055C" w:rsidRDefault="002D3096" w:rsidP="00E714E1">
      <w:pPr>
        <w:pStyle w:val="FootnoteText"/>
        <w:rPr>
          <w:lang w:val="en-US"/>
        </w:rPr>
      </w:pPr>
      <w:r>
        <w:rPr>
          <w:rStyle w:val="FootnoteReference"/>
        </w:rPr>
        <w:footnoteRef/>
      </w:r>
      <w:r>
        <w:t xml:space="preserve"> </w:t>
      </w:r>
      <w:hyperlink r:id="rId1" w:history="1">
        <w:r w:rsidRPr="000B1D70">
          <w:rPr>
            <w:rStyle w:val="Hyperlink"/>
          </w:rPr>
          <w:t>http://www.mercuryconvention.org/Convention</w:t>
        </w:r>
      </w:hyperlink>
      <w:r>
        <w:t xml:space="preserve"> </w:t>
      </w:r>
    </w:p>
  </w:footnote>
  <w:footnote w:id="11">
    <w:p w:rsidR="002D3096" w:rsidRPr="00554844" w:rsidRDefault="002D3096" w:rsidP="00D12722">
      <w:pPr>
        <w:pStyle w:val="FootnoteText"/>
        <w:rPr>
          <w:lang w:val="en-US"/>
        </w:rPr>
      </w:pPr>
      <w:r>
        <w:rPr>
          <w:rStyle w:val="FootnoteReference"/>
        </w:rPr>
        <w:footnoteRef/>
      </w:r>
      <w:r>
        <w:t xml:space="preserve"> </w:t>
      </w:r>
      <w:proofErr w:type="gramStart"/>
      <w:r w:rsidRPr="00554844">
        <w:rPr>
          <w:lang w:val="en-US"/>
        </w:rPr>
        <w:t>Geoscience Australia (2015).</w:t>
      </w:r>
      <w:proofErr w:type="gramEnd"/>
      <w:r w:rsidRPr="00554844">
        <w:rPr>
          <w:lang w:val="en-US"/>
        </w:rPr>
        <w:t xml:space="preserve"> </w:t>
      </w:r>
      <w:proofErr w:type="gramStart"/>
      <w:r w:rsidRPr="00554844">
        <w:rPr>
          <w:lang w:val="en-US"/>
        </w:rPr>
        <w:t>Zinc-Lead-Silver.</w:t>
      </w:r>
      <w:proofErr w:type="gramEnd"/>
      <w:r w:rsidRPr="00554844">
        <w:rPr>
          <w:lang w:val="en-US"/>
        </w:rPr>
        <w:t xml:space="preserve"> Accessed April 14, 2015 from </w:t>
      </w:r>
    </w:p>
    <w:p w:rsidR="002D3096" w:rsidRPr="00554844" w:rsidRDefault="006D07F5" w:rsidP="00D12722">
      <w:pPr>
        <w:pStyle w:val="FootnoteText"/>
        <w:rPr>
          <w:lang w:val="en-US"/>
        </w:rPr>
      </w:pPr>
      <w:hyperlink r:id="rId2" w:history="1">
        <w:r w:rsidR="002D3096" w:rsidRPr="003B4BCC">
          <w:rPr>
            <w:rStyle w:val="Hyperlink"/>
            <w:lang w:val="en-US"/>
          </w:rPr>
          <w:t>http://www.ga.gov.au/scientific-topics/minerals/mineral-resources/aimr/zinc-lead-silver</w:t>
        </w:r>
      </w:hyperlink>
      <w:r w:rsidR="002D3096">
        <w:rPr>
          <w:lang w:val="en-US"/>
        </w:rPr>
        <w:t xml:space="preserve"> </w:t>
      </w:r>
      <w:r w:rsidR="002D3096" w:rsidRPr="00554844">
        <w:rPr>
          <w:lang w:val="en-US"/>
        </w:rPr>
        <w:t xml:space="preserve"> </w:t>
      </w:r>
    </w:p>
    <w:p w:rsidR="002D3096" w:rsidRPr="00554844" w:rsidRDefault="002D3096" w:rsidP="00D12722">
      <w:pPr>
        <w:pStyle w:val="FootnoteText"/>
        <w:rPr>
          <w:lang w:val="en-US"/>
        </w:rPr>
      </w:pPr>
    </w:p>
  </w:footnote>
  <w:footnote w:id="12">
    <w:p w:rsidR="002D3096" w:rsidRDefault="002D3096">
      <w:pPr>
        <w:pStyle w:val="FootnoteText"/>
      </w:pPr>
      <w:r>
        <w:rPr>
          <w:rStyle w:val="FootnoteReference"/>
        </w:rPr>
        <w:footnoteRef/>
      </w:r>
      <w:r>
        <w:t xml:space="preserve"> </w:t>
      </w:r>
      <w:proofErr w:type="gramStart"/>
      <w:r>
        <w:t>Also including compounds containing these elements.</w:t>
      </w:r>
      <w:proofErr w:type="gramEnd"/>
    </w:p>
  </w:footnote>
  <w:footnote w:id="13">
    <w:p w:rsidR="002D3096" w:rsidRDefault="002D3096" w:rsidP="001360BD">
      <w:pPr>
        <w:pStyle w:val="FootnoteText"/>
      </w:pPr>
      <w:r>
        <w:rPr>
          <w:rStyle w:val="FootnoteReference"/>
        </w:rPr>
        <w:footnoteRef/>
      </w:r>
      <w:r>
        <w:t xml:space="preserve"> Source: DoE website </w:t>
      </w:r>
      <w:hyperlink r:id="rId3" w:history="1">
        <w:r w:rsidRPr="00956B25">
          <w:rPr>
            <w:rStyle w:val="Hyperlink"/>
          </w:rPr>
          <w:t>http://www.environment.gov.au/protection/used-oil-recycling/product-stewardship-oil-program</w:t>
        </w:r>
      </w:hyperlink>
      <w:r>
        <w:t xml:space="preserve"> accessed May 2015</w:t>
      </w:r>
    </w:p>
  </w:footnote>
  <w:footnote w:id="14">
    <w:p w:rsidR="002D3096" w:rsidRDefault="002D3096">
      <w:pPr>
        <w:pStyle w:val="FootnoteText"/>
      </w:pPr>
      <w:r>
        <w:rPr>
          <w:rStyle w:val="FootnoteReference"/>
        </w:rPr>
        <w:footnoteRef/>
      </w:r>
      <w:r>
        <w:t xml:space="preserve"> The large temporary increase in the high scenario is associated with the release into the waste stream of contaminated biosolids that are currently stored on-site at two locations in Victoria.</w:t>
      </w:r>
    </w:p>
  </w:footnote>
  <w:footnote w:id="15">
    <w:p w:rsidR="002D3096" w:rsidRPr="00470A7D" w:rsidRDefault="002D3096" w:rsidP="00CC78E1">
      <w:pPr>
        <w:pStyle w:val="FootnoteText"/>
        <w:rPr>
          <w:lang w:val="en-US"/>
        </w:rPr>
      </w:pPr>
      <w:r>
        <w:rPr>
          <w:rStyle w:val="FootnoteReference"/>
        </w:rPr>
        <w:footnoteRef/>
      </w:r>
      <w:r>
        <w:t xml:space="preserve"> </w:t>
      </w:r>
      <w:r w:rsidRPr="00470A7D">
        <w:t xml:space="preserve">Table 2 of Hyder Consulting (2012) </w:t>
      </w:r>
      <w:r w:rsidRPr="008F3133">
        <w:rPr>
          <w:i/>
        </w:rPr>
        <w:t>Study into Domestic and International Fate of End- of-Life Tyres</w:t>
      </w:r>
      <w:r w:rsidRPr="00470A7D">
        <w:t xml:space="preserve">, prepared for COAG, available from: </w:t>
      </w:r>
      <w:hyperlink r:id="rId4" w:history="1">
        <w:r w:rsidRPr="005850C2">
          <w:rPr>
            <w:rStyle w:val="Hyperlink"/>
          </w:rPr>
          <w:t>http://www.scew.gov.au/resource/study-domestic-and-international-fate-end-life-tyres-final-report</w:t>
        </w:r>
      </w:hyperlink>
      <w:r>
        <w:t xml:space="preserve"> </w:t>
      </w:r>
    </w:p>
  </w:footnote>
  <w:footnote w:id="16">
    <w:p w:rsidR="002D3096" w:rsidRDefault="002D3096">
      <w:pPr>
        <w:pStyle w:val="FootnoteText"/>
      </w:pPr>
      <w:r>
        <w:rPr>
          <w:rStyle w:val="FootnoteReference"/>
        </w:rPr>
        <w:footnoteRef/>
      </w:r>
      <w:r>
        <w:t xml:space="preserve"> Some figures are incomplete due to lack of tracking data. ‘Tannery and wool scouring wastes’ &amp; ‘asbestos’ exclude NSW; ‘contaminated soils’ exclude NSW &amp; Qld; ‘other industrial treatment residues’ exclude Vic; ‘tyres’ data are incomplete for all.  </w:t>
      </w:r>
    </w:p>
    <w:p w:rsidR="002D3096" w:rsidRDefault="002D3096">
      <w:pPr>
        <w:pStyle w:val="FootnoteText"/>
      </w:pPr>
      <w:r w:rsidRPr="00816657">
        <w:t xml:space="preserve">The widely different quantities of the various waste </w:t>
      </w:r>
      <w:proofErr w:type="gramStart"/>
      <w:r w:rsidRPr="00816657">
        <w:t>groups</w:t>
      </w:r>
      <w:proofErr w:type="gramEnd"/>
      <w:r w:rsidRPr="00816657">
        <w:t xml:space="preserve"> means that </w:t>
      </w:r>
      <w:r>
        <w:t>arisings of ‘r</w:t>
      </w:r>
      <w:r w:rsidRPr="00816657">
        <w:t>eactive chemicals’ are too small to be seen</w:t>
      </w:r>
      <w:r>
        <w:t>.</w:t>
      </w:r>
    </w:p>
  </w:footnote>
  <w:footnote w:id="17">
    <w:p w:rsidR="002D3096" w:rsidRDefault="002D3096" w:rsidP="00D715B9">
      <w:pPr>
        <w:pStyle w:val="FootnoteText"/>
      </w:pPr>
      <w:r>
        <w:rPr>
          <w:rStyle w:val="FootnoteReference"/>
        </w:rPr>
        <w:footnoteRef/>
      </w:r>
      <w:r>
        <w:t xml:space="preserve"> See </w:t>
      </w:r>
      <w:hyperlink r:id="rId5" w:history="1">
        <w:r w:rsidRPr="006E1801">
          <w:rPr>
            <w:rStyle w:val="Hyperlink"/>
          </w:rPr>
          <w:t>http://archive.basel.int/natreporting/questables/dnn-frBody.html</w:t>
        </w:r>
      </w:hyperlink>
      <w:r>
        <w:t>. Australia exported 21kt of hazardous waste in 2010.</w:t>
      </w:r>
    </w:p>
  </w:footnote>
  <w:footnote w:id="18">
    <w:p w:rsidR="002D3096" w:rsidRDefault="002D3096">
      <w:pPr>
        <w:pStyle w:val="FootnoteText"/>
      </w:pPr>
      <w:r>
        <w:rPr>
          <w:rStyle w:val="FootnoteReference"/>
        </w:rPr>
        <w:footnoteRef/>
      </w:r>
      <w:r>
        <w:t xml:space="preserve"> The entry for fate given for most of these tonnages is blank. Most of the remainder appear to be errors.</w:t>
      </w:r>
    </w:p>
  </w:footnote>
  <w:footnote w:id="19">
    <w:p w:rsidR="002D3096" w:rsidRDefault="002D3096" w:rsidP="000A7416">
      <w:pPr>
        <w:pStyle w:val="FootnoteText"/>
      </w:pPr>
      <w:r>
        <w:rPr>
          <w:rStyle w:val="FootnoteReference"/>
        </w:rPr>
        <w:footnoteRef/>
      </w:r>
      <w:r>
        <w:t xml:space="preserve"> Potential infrastructure capacity: Refers to the maximum capacity </w:t>
      </w:r>
      <w:r w:rsidRPr="00A650B1">
        <w:t xml:space="preserve">that the current infrastructure set </w:t>
      </w:r>
      <w:r w:rsidRPr="00A650B1">
        <w:rPr>
          <w:u w:val="single"/>
        </w:rPr>
        <w:t>and</w:t>
      </w:r>
      <w:r>
        <w:t xml:space="preserve"> those facilities that are under development </w:t>
      </w:r>
      <w:r w:rsidRPr="00A650B1">
        <w:rPr>
          <w:u w:val="single"/>
        </w:rPr>
        <w:t>could</w:t>
      </w:r>
      <w:r>
        <w:t xml:space="preserve"> process on an annual basis. </w:t>
      </w:r>
    </w:p>
  </w:footnote>
  <w:footnote w:id="20">
    <w:p w:rsidR="002D3096" w:rsidRPr="00243718" w:rsidRDefault="002D3096" w:rsidP="00464591">
      <w:pPr>
        <w:pStyle w:val="BodyText"/>
        <w:rPr>
          <w:rFonts w:asciiTheme="minorHAnsi" w:hAnsiTheme="minorHAnsi" w:cs="Times New Roman"/>
          <w:color w:val="000000"/>
          <w:sz w:val="18"/>
          <w:szCs w:val="18"/>
          <w:lang w:eastAsia="en-AU"/>
        </w:rPr>
      </w:pPr>
      <w:r w:rsidRPr="00243718">
        <w:rPr>
          <w:rStyle w:val="FootnoteReference"/>
          <w:sz w:val="18"/>
          <w:szCs w:val="18"/>
        </w:rPr>
        <w:footnoteRef/>
      </w:r>
      <w:r w:rsidRPr="00243718">
        <w:rPr>
          <w:sz w:val="18"/>
          <w:szCs w:val="18"/>
        </w:rPr>
        <w:t xml:space="preserve"> Available from: </w:t>
      </w:r>
      <w:hyperlink r:id="rId6" w:history="1">
        <w:r w:rsidRPr="00243718">
          <w:rPr>
            <w:rStyle w:val="Hyperlink"/>
            <w:rFonts w:asciiTheme="minorHAnsi" w:hAnsiTheme="minorHAnsi" w:cs="Times New Roman"/>
            <w:sz w:val="18"/>
            <w:szCs w:val="18"/>
            <w:lang w:eastAsia="en-AU"/>
          </w:rPr>
          <w:t>http://www.environment.gov.au/protection/publications/hazardous-waste-infrastructure-australia</w:t>
        </w:r>
      </w:hyperlink>
    </w:p>
    <w:p w:rsidR="002D3096" w:rsidRDefault="002D3096" w:rsidP="00464591">
      <w:pPr>
        <w:pStyle w:val="FootnoteText"/>
      </w:pPr>
    </w:p>
  </w:footnote>
  <w:footnote w:id="21">
    <w:p w:rsidR="002D3096" w:rsidRDefault="002D3096" w:rsidP="005E1510">
      <w:pPr>
        <w:pStyle w:val="FootnoteText"/>
      </w:pPr>
      <w:r>
        <w:rPr>
          <w:rStyle w:val="FootnoteReference"/>
        </w:rPr>
        <w:footnoteRef/>
      </w:r>
      <w:r>
        <w:t xml:space="preserve"> The ‘primary function’ of the infrastructure refers to the waste fates provided (e.g. waste recycling, waste treatment).</w:t>
      </w:r>
    </w:p>
  </w:footnote>
  <w:footnote w:id="22">
    <w:p w:rsidR="002D3096" w:rsidRDefault="002D3096" w:rsidP="00464591">
      <w:pPr>
        <w:pStyle w:val="FootnoteText"/>
      </w:pPr>
      <w:r>
        <w:rPr>
          <w:rStyle w:val="FootnoteReference"/>
        </w:rPr>
        <w:footnoteRef/>
      </w:r>
      <w:r>
        <w:t xml:space="preserve"> The waste hierarchy expresses a policy preference in which recovery of waste is seen as inherently preferable to treatment, and treatment is seen as inherently preferable to untreated disposal.</w:t>
      </w:r>
    </w:p>
  </w:footnote>
  <w:footnote w:id="23">
    <w:p w:rsidR="002D3096" w:rsidRDefault="002D3096" w:rsidP="00464591">
      <w:pPr>
        <w:pStyle w:val="FootnoteText"/>
      </w:pPr>
      <w:r>
        <w:rPr>
          <w:rStyle w:val="FootnoteReference"/>
        </w:rPr>
        <w:footnoteRef/>
      </w:r>
      <w:r>
        <w:t xml:space="preserve"> For example, the database listed both the Southern Oil waste oil re-refining facility and the Transpacific Homebush Bay facility (which treats many wastes groups) as CPT. To be able to analyse the potential capacity constraints for the waste oil group, as distinct from sites receiving other waste groups, it was necessary to allocate the Southern Oil facility to a more specific infrastructure group (i.e. oil re-recycling).</w:t>
      </w:r>
    </w:p>
  </w:footnote>
  <w:footnote w:id="24">
    <w:p w:rsidR="002D3096" w:rsidRDefault="002D3096" w:rsidP="00464591">
      <w:pPr>
        <w:pStyle w:val="FootnoteText"/>
      </w:pPr>
      <w:r>
        <w:rPr>
          <w:rStyle w:val="FootnoteReference"/>
        </w:rPr>
        <w:footnoteRef/>
      </w:r>
      <w:r>
        <w:t xml:space="preserve"> CPT plants are assumed to take D300 Non-toxic salts, which is the waste group that accounts for CSG wastes.</w:t>
      </w:r>
    </w:p>
  </w:footnote>
  <w:footnote w:id="25">
    <w:p w:rsidR="002D3096" w:rsidRDefault="002D3096" w:rsidP="00464591">
      <w:pPr>
        <w:pStyle w:val="FootnoteText"/>
      </w:pPr>
      <w:r>
        <w:rPr>
          <w:rStyle w:val="FootnoteReference"/>
        </w:rPr>
        <w:footnoteRef/>
      </w:r>
      <w:r>
        <w:t xml:space="preserve"> </w:t>
      </w:r>
      <w:r>
        <w:rPr>
          <w:rFonts w:cs="Times New Roman"/>
          <w:color w:val="000000"/>
          <w:szCs w:val="20"/>
          <w:lang w:eastAsia="en-AU"/>
        </w:rPr>
        <w:t xml:space="preserve">Note: cement kilns disposing of POPs by thermal destruction are not included in the infrastructure assessment (see Section </w:t>
      </w:r>
      <w:r w:rsidR="006D07F5">
        <w:rPr>
          <w:rFonts w:cs="Times New Roman"/>
          <w:color w:val="000000"/>
          <w:szCs w:val="20"/>
          <w:lang w:eastAsia="en-AU"/>
        </w:rPr>
        <w:fldChar w:fldCharType="begin"/>
      </w:r>
      <w:r>
        <w:rPr>
          <w:rFonts w:cs="Times New Roman"/>
          <w:color w:val="000000"/>
          <w:szCs w:val="20"/>
          <w:lang w:eastAsia="en-AU"/>
        </w:rPr>
        <w:instrText xml:space="preserve"> REF _Ref421281642 \r \h </w:instrText>
      </w:r>
      <w:r w:rsidR="006D07F5">
        <w:rPr>
          <w:rFonts w:cs="Times New Roman"/>
          <w:color w:val="000000"/>
          <w:szCs w:val="20"/>
          <w:lang w:eastAsia="en-AU"/>
        </w:rPr>
      </w:r>
      <w:r w:rsidR="006D07F5">
        <w:rPr>
          <w:rFonts w:cs="Times New Roman"/>
          <w:color w:val="000000"/>
          <w:szCs w:val="20"/>
          <w:lang w:eastAsia="en-AU"/>
        </w:rPr>
        <w:fldChar w:fldCharType="separate"/>
      </w:r>
      <w:r w:rsidR="002F3000">
        <w:rPr>
          <w:rFonts w:cs="Times New Roman"/>
          <w:color w:val="000000"/>
          <w:szCs w:val="20"/>
          <w:lang w:eastAsia="en-AU"/>
        </w:rPr>
        <w:t>3.1</w:t>
      </w:r>
      <w:r w:rsidR="006D07F5">
        <w:rPr>
          <w:rFonts w:cs="Times New Roman"/>
          <w:color w:val="000000"/>
          <w:szCs w:val="20"/>
          <w:lang w:eastAsia="en-AU"/>
        </w:rPr>
        <w:fldChar w:fldCharType="end"/>
      </w:r>
      <w:r>
        <w:rPr>
          <w:rFonts w:cs="Times New Roman"/>
          <w:color w:val="000000"/>
          <w:szCs w:val="20"/>
          <w:lang w:eastAsia="en-AU"/>
        </w:rPr>
        <w:t>).</w:t>
      </w:r>
    </w:p>
  </w:footnote>
  <w:footnote w:id="26">
    <w:p w:rsidR="002D3096" w:rsidRDefault="002D3096" w:rsidP="00464591">
      <w:pPr>
        <w:pStyle w:val="BodyText"/>
      </w:pPr>
      <w:r>
        <w:rPr>
          <w:rStyle w:val="FootnoteReference"/>
        </w:rPr>
        <w:footnoteRef/>
      </w:r>
      <w:r>
        <w:t xml:space="preserve"> </w:t>
      </w:r>
      <w:r w:rsidRPr="00D81A4A">
        <w:rPr>
          <w:rFonts w:cs="Times New Roman"/>
          <w:color w:val="000000"/>
          <w:sz w:val="18"/>
          <w:szCs w:val="20"/>
          <w:lang w:eastAsia="en-AU"/>
        </w:rPr>
        <w:t xml:space="preserve">Rawtec (2014) lists waste storage as a treatment activity for around 60% of CPT sites and 20% of recycling sites. Whilst these sites do offer both CPT or recycling and storage, it presents another challenge in assessing sites processing capacity v’s the transfer or storage capacity. Where possible sites have been grouped under the transfer or storage group, however, it is noted that significant transfer and storage capacity is </w:t>
      </w:r>
      <w:r>
        <w:rPr>
          <w:rFonts w:cs="Times New Roman"/>
          <w:color w:val="000000"/>
          <w:sz w:val="18"/>
          <w:szCs w:val="20"/>
          <w:lang w:eastAsia="en-AU"/>
        </w:rPr>
        <w:t xml:space="preserve">likely to be </w:t>
      </w:r>
      <w:r w:rsidRPr="00D81A4A">
        <w:rPr>
          <w:rFonts w:cs="Times New Roman"/>
          <w:color w:val="000000"/>
          <w:sz w:val="18"/>
          <w:szCs w:val="20"/>
          <w:lang w:eastAsia="en-AU"/>
        </w:rPr>
        <w:t xml:space="preserve">within CPT and recycling </w:t>
      </w:r>
      <w:proofErr w:type="gramStart"/>
      <w:r>
        <w:rPr>
          <w:rFonts w:cs="Times New Roman"/>
          <w:color w:val="000000"/>
          <w:sz w:val="18"/>
          <w:szCs w:val="20"/>
          <w:lang w:eastAsia="en-AU"/>
        </w:rPr>
        <w:t>groups</w:t>
      </w:r>
      <w:proofErr w:type="gramEnd"/>
      <w:r>
        <w:rPr>
          <w:rFonts w:cs="Times New Roman"/>
          <w:color w:val="000000"/>
          <w:sz w:val="18"/>
          <w:szCs w:val="20"/>
          <w:lang w:eastAsia="en-AU"/>
        </w:rPr>
        <w:t xml:space="preserve"> </w:t>
      </w:r>
      <w:r w:rsidRPr="00D81A4A">
        <w:rPr>
          <w:rFonts w:cs="Times New Roman"/>
          <w:color w:val="000000"/>
          <w:sz w:val="18"/>
          <w:szCs w:val="20"/>
          <w:lang w:eastAsia="en-AU"/>
        </w:rPr>
        <w:t>capacity.</w:t>
      </w:r>
    </w:p>
  </w:footnote>
  <w:footnote w:id="27">
    <w:p w:rsidR="002D3096" w:rsidRDefault="002D3096" w:rsidP="00464591">
      <w:pPr>
        <w:pStyle w:val="FootnoteText"/>
      </w:pPr>
      <w:r>
        <w:rPr>
          <w:rStyle w:val="FootnoteReference"/>
        </w:rPr>
        <w:footnoteRef/>
      </w:r>
      <w:r>
        <w:t xml:space="preserve"> Potential infrastructure capacity is the maximum tonnage of hazardous waste </w:t>
      </w:r>
      <w:r w:rsidRPr="00A650B1">
        <w:t xml:space="preserve">that the current infrastructure set </w:t>
      </w:r>
      <w:r w:rsidRPr="00D00A73">
        <w:t>and</w:t>
      </w:r>
      <w:r>
        <w:t xml:space="preserve"> those facilities that are under development </w:t>
      </w:r>
      <w:r w:rsidRPr="00D00A73">
        <w:t>could</w:t>
      </w:r>
      <w:r>
        <w:t xml:space="preserve"> process on an annual basis.</w:t>
      </w:r>
    </w:p>
  </w:footnote>
  <w:footnote w:id="28">
    <w:p w:rsidR="002D3096" w:rsidRDefault="002D3096" w:rsidP="00464591">
      <w:pPr>
        <w:pStyle w:val="FootnoteText"/>
      </w:pPr>
      <w:r>
        <w:rPr>
          <w:rStyle w:val="FootnoteReference"/>
        </w:rPr>
        <w:footnoteRef/>
      </w:r>
      <w:r>
        <w:t xml:space="preserve"> Estimate based on a three year average of wastes received at the site.</w:t>
      </w:r>
    </w:p>
  </w:footnote>
  <w:footnote w:id="29">
    <w:p w:rsidR="002D3096" w:rsidRDefault="002D3096" w:rsidP="00464591">
      <w:pPr>
        <w:pStyle w:val="FootnoteText"/>
      </w:pPr>
      <w:r>
        <w:rPr>
          <w:rStyle w:val="FootnoteReference"/>
        </w:rPr>
        <w:footnoteRef/>
      </w:r>
      <w:r>
        <w:t xml:space="preserve"> </w:t>
      </w:r>
      <w:r>
        <w:rPr>
          <w:b/>
        </w:rPr>
        <w:t xml:space="preserve">Potential capacity: </w:t>
      </w:r>
      <w:r>
        <w:t xml:space="preserve">refers to the maximum capacity </w:t>
      </w:r>
      <w:r w:rsidRPr="00A650B1">
        <w:t xml:space="preserve">that the current infrastructure set </w:t>
      </w:r>
      <w:r w:rsidRPr="00410666">
        <w:t>and</w:t>
      </w:r>
      <w:r>
        <w:t xml:space="preserve"> those facilities that are under development </w:t>
      </w:r>
      <w:r w:rsidRPr="00A650B1">
        <w:rPr>
          <w:u w:val="single"/>
        </w:rPr>
        <w:t>could</w:t>
      </w:r>
      <w:r>
        <w:t xml:space="preserve"> process on an annual basis. The maximum capacity at current operating infrastructure has been combined with the capacity of planned infrastructure, that industry identified during consultation, to protect the commercial information regarding planned site developments. Industry stated that planned infrastructure information is particularly sensitive and must be protected. Of the 232 sites identified, a total of 20 sites (only) are new sites that industry identified as planned capacity.  </w:t>
      </w:r>
    </w:p>
  </w:footnote>
  <w:footnote w:id="30">
    <w:p w:rsidR="002D3096" w:rsidRPr="009E1437" w:rsidRDefault="002D3096" w:rsidP="00464591">
      <w:pPr>
        <w:pStyle w:val="FootnoteText"/>
      </w:pPr>
      <w:r w:rsidRPr="00E849F5">
        <w:rPr>
          <w:rStyle w:val="FootnoteReference"/>
        </w:rPr>
        <w:footnoteRef/>
      </w:r>
      <w:r w:rsidRPr="009E1437">
        <w:rPr>
          <w:b/>
        </w:rPr>
        <w:t xml:space="preserve"> Landfill 'potential capacity'</w:t>
      </w:r>
      <w:r w:rsidRPr="009E1437">
        <w:t xml:space="preserve">: refers to the potential tonnages that the site can landfill in a year. It does not refer to the total amount of waste the site can receive before closure. Where the potential capacity is exceeded, it indicates that the landfill(s) would need to increase capabilities to dispose more waste each year. This could require amendment to EPA site licences. </w:t>
      </w:r>
    </w:p>
    <w:p w:rsidR="002D3096" w:rsidRDefault="002D3096" w:rsidP="00464591">
      <w:pPr>
        <w:pStyle w:val="FootnoteText"/>
      </w:pPr>
    </w:p>
  </w:footnote>
  <w:footnote w:id="31">
    <w:p w:rsidR="002D3096" w:rsidRPr="007F5BD4" w:rsidRDefault="002D3096" w:rsidP="0015115E">
      <w:pPr>
        <w:pStyle w:val="BodyText"/>
        <w:tabs>
          <w:tab w:val="left" w:pos="8647"/>
        </w:tabs>
        <w:ind w:right="879"/>
        <w:rPr>
          <w:sz w:val="18"/>
        </w:rPr>
      </w:pPr>
      <w:r>
        <w:rPr>
          <w:rStyle w:val="FootnoteReference"/>
        </w:rPr>
        <w:footnoteRef/>
      </w:r>
      <w:r>
        <w:t xml:space="preserve"> </w:t>
      </w:r>
      <w:r w:rsidRPr="007F5BD4">
        <w:rPr>
          <w:sz w:val="18"/>
        </w:rPr>
        <w:t xml:space="preserve">Source: EPA website </w:t>
      </w:r>
      <w:r w:rsidRPr="007F5BD4">
        <w:rPr>
          <w:i/>
          <w:sz w:val="18"/>
        </w:rPr>
        <w:t>EPA tightens regulations on tyre stockpiling</w:t>
      </w:r>
      <w:r>
        <w:rPr>
          <w:i/>
          <w:sz w:val="18"/>
        </w:rPr>
        <w:t xml:space="preserve"> </w:t>
      </w:r>
      <w:hyperlink r:id="rId7" w:history="1">
        <w:r w:rsidRPr="00516A32">
          <w:rPr>
            <w:rStyle w:val="Hyperlink"/>
            <w:i/>
            <w:sz w:val="18"/>
          </w:rPr>
          <w:t>http://www.epa.vic.gov.au/about-us/news-centre/news-and-updates/news/2015/april/15/epa-tightens-regulations-on-tyre-stockpiling</w:t>
        </w:r>
      </w:hyperlink>
      <w:r>
        <w:rPr>
          <w:i/>
          <w:sz w:val="18"/>
        </w:rPr>
        <w:t xml:space="preserve"> </w:t>
      </w:r>
      <w:r>
        <w:rPr>
          <w:sz w:val="18"/>
        </w:rPr>
        <w:t>(June 2015)</w:t>
      </w:r>
    </w:p>
    <w:p w:rsidR="002D3096" w:rsidRDefault="002D3096">
      <w:pPr>
        <w:pStyle w:val="FootnoteText"/>
      </w:pPr>
    </w:p>
  </w:footnote>
  <w:footnote w:id="32">
    <w:p w:rsidR="002D3096" w:rsidRDefault="002D3096" w:rsidP="00EF7EBD">
      <w:pPr>
        <w:pStyle w:val="FootnoteText"/>
      </w:pPr>
      <w:r>
        <w:rPr>
          <w:rStyle w:val="FootnoteReference"/>
        </w:rPr>
        <w:footnoteRef/>
      </w:r>
      <w:r>
        <w:t xml:space="preserve"> Gate fee: refers to the cost of tipping net of landfill levy.</w:t>
      </w:r>
    </w:p>
  </w:footnote>
  <w:footnote w:id="33">
    <w:p w:rsidR="002D3096" w:rsidRDefault="002D3096" w:rsidP="0069009E">
      <w:pPr>
        <w:pStyle w:val="FootnoteText"/>
      </w:pPr>
      <w:r>
        <w:rPr>
          <w:rStyle w:val="FootnoteReference"/>
        </w:rPr>
        <w:footnoteRef/>
      </w:r>
      <w:r>
        <w:t xml:space="preserve"> The ‘primary function’ of the infrastructure is related to waste fates. The primary function refers to the waste fates that the infrastructure provides (e.g. waste recycling, waste treatment).</w:t>
      </w:r>
    </w:p>
  </w:footnote>
  <w:footnote w:id="34">
    <w:p w:rsidR="002D3096" w:rsidRDefault="002D3096">
      <w:pPr>
        <w:pStyle w:val="FootnoteText"/>
      </w:pPr>
      <w:r>
        <w:rPr>
          <w:rStyle w:val="FootnoteReference"/>
        </w:rPr>
        <w:footnoteRef/>
      </w:r>
      <w:r>
        <w:t xml:space="preserve"> Where an infrastructure groups can provided capacity for more than the primary function identified (e.g. Oil re-refining facilities often have a transfer and storage capacity) the capacity of the primary function is </w:t>
      </w:r>
      <w:r w:rsidRPr="007F5BD4">
        <w:rPr>
          <w:u w:val="single"/>
        </w:rPr>
        <w:t>over estimated</w:t>
      </w:r>
      <w:r>
        <w:t xml:space="preserve">. It follows that where the capacity of an infrastructure group is included within other groups (e.g. transfer station and temp storage capacity is provided by many other groups) the capacity of the group is </w:t>
      </w:r>
      <w:r w:rsidRPr="007F5BD4">
        <w:rPr>
          <w:u w:val="single"/>
        </w:rPr>
        <w:t>under estimated.</w:t>
      </w:r>
      <w:r>
        <w:t xml:space="preserve"> </w:t>
      </w:r>
    </w:p>
  </w:footnote>
  <w:footnote w:id="35">
    <w:p w:rsidR="002D3096" w:rsidRDefault="002D3096">
      <w:pPr>
        <w:pStyle w:val="FootnoteText"/>
      </w:pPr>
      <w:r>
        <w:rPr>
          <w:rStyle w:val="FootnoteReference"/>
        </w:rPr>
        <w:footnoteRef/>
      </w:r>
      <w:r>
        <w:t xml:space="preserve"> </w:t>
      </w:r>
      <w:r>
        <w:rPr>
          <w:color w:val="000000"/>
          <w:szCs w:val="20"/>
        </w:rPr>
        <w:t>We maintain two infrastructure groups for solvents/paints despite the uncertain allocations, because the types of infrastructure and fate are fundamentally different (recycling; energy recovery).</w:t>
      </w:r>
    </w:p>
  </w:footnote>
  <w:footnote w:id="36">
    <w:p w:rsidR="002D3096" w:rsidRDefault="002D3096" w:rsidP="00C727C2">
      <w:pPr>
        <w:pStyle w:val="FootnoteText"/>
      </w:pPr>
      <w:r>
        <w:rPr>
          <w:rStyle w:val="FootnoteReference"/>
        </w:rPr>
        <w:footnoteRef/>
      </w:r>
      <w:r>
        <w:t xml:space="preserve"> The contaminated biosolids waste group only includes estimated arisings from inorganic contamination.  ‘POPs contaminated biosolids’ arisings are included in the M160a-c waste groups (see Table 1) which are assumed to be sent to POP thermal destruction facilities.  </w:t>
      </w:r>
    </w:p>
  </w:footnote>
  <w:footnote w:id="37">
    <w:p w:rsidR="002D3096" w:rsidRDefault="002D3096" w:rsidP="003746F8">
      <w:pPr>
        <w:pStyle w:val="FootnoteText"/>
      </w:pPr>
      <w:r>
        <w:rPr>
          <w:rStyle w:val="FootnoteReference"/>
        </w:rPr>
        <w:footnoteRef/>
      </w:r>
      <w:r>
        <w:t xml:space="preserve"> </w:t>
      </w:r>
      <w:r w:rsidRPr="00726B07">
        <w:t>Study on waste related issues of newly listed POPs and candidate POPs, ESWI, 2011.</w:t>
      </w:r>
    </w:p>
  </w:footnote>
  <w:footnote w:id="38">
    <w:p w:rsidR="002D3096" w:rsidRDefault="002D3096" w:rsidP="003746F8">
      <w:pPr>
        <w:pStyle w:val="FootnoteText"/>
      </w:pPr>
      <w:r w:rsidRPr="00B20CC1">
        <w:rPr>
          <w:rStyle w:val="FootnoteReference"/>
        </w:rPr>
        <w:footnoteRef/>
      </w:r>
      <w:r w:rsidRPr="00B20CC1">
        <w:t xml:space="preserve"> </w:t>
      </w:r>
      <w:proofErr w:type="gramStart"/>
      <w:r w:rsidRPr="00B20CC1">
        <w:t>KMH Environmental, 2013.</w:t>
      </w:r>
      <w:proofErr w:type="gramEnd"/>
      <w:r w:rsidRPr="00B20CC1">
        <w:t xml:space="preserve"> “Reducing Releases of POP-BDEs to the Environment – Option Impact Analysis,” Geoff Latimer (not yet published)</w:t>
      </w:r>
    </w:p>
  </w:footnote>
  <w:footnote w:id="39">
    <w:p w:rsidR="002D3096" w:rsidRPr="00BE0D5C" w:rsidRDefault="002D3096" w:rsidP="003746F8">
      <w:pPr>
        <w:pStyle w:val="FootnoteText"/>
        <w:rPr>
          <w:lang w:val="en-US"/>
        </w:rPr>
      </w:pPr>
      <w:r>
        <w:rPr>
          <w:rStyle w:val="FootnoteReference"/>
        </w:rPr>
        <w:footnoteRef/>
      </w:r>
      <w:r>
        <w:t xml:space="preserve"> </w:t>
      </w:r>
      <w:proofErr w:type="gramStart"/>
      <w:r w:rsidRPr="00BE0D5C">
        <w:t>KMH Environmental, 2013.</w:t>
      </w:r>
      <w:proofErr w:type="gramEnd"/>
      <w:r w:rsidRPr="00BE0D5C">
        <w:t xml:space="preserve"> “Reducing Releases of POP-BDEs to the Environment – Option Impact Analysis,” Geoff Latimer (not yet published)</w:t>
      </w:r>
    </w:p>
  </w:footnote>
  <w:footnote w:id="40">
    <w:p w:rsidR="002D3096" w:rsidRPr="00BE0D5C" w:rsidRDefault="002D3096" w:rsidP="003746F8">
      <w:pPr>
        <w:pStyle w:val="FootnoteText"/>
        <w:rPr>
          <w:lang w:val="en-US"/>
        </w:rPr>
      </w:pPr>
      <w:r w:rsidRPr="0001215D">
        <w:rPr>
          <w:rStyle w:val="FootnoteReference"/>
        </w:rPr>
        <w:footnoteRef/>
      </w:r>
      <w:r w:rsidRPr="0001215D">
        <w:t xml:space="preserve"> Study on waste related issues of newly listed POPs and candidate POPs, ESWI, 2011.</w:t>
      </w:r>
    </w:p>
  </w:footnote>
  <w:footnote w:id="41">
    <w:p w:rsidR="002D3096" w:rsidRDefault="002D3096" w:rsidP="003746F8">
      <w:pPr>
        <w:pStyle w:val="FootnoteText"/>
      </w:pPr>
      <w:r>
        <w:rPr>
          <w:rStyle w:val="FootnoteReference"/>
        </w:rPr>
        <w:footnoteRef/>
      </w:r>
      <w:r>
        <w:t xml:space="preserve"> Waara et al (2003), OSako et al (2004), Odusanya et al (2009), POPRC7 website, Keet et al (2010)</w:t>
      </w:r>
    </w:p>
  </w:footnote>
  <w:footnote w:id="42">
    <w:p w:rsidR="002D3096" w:rsidRDefault="002D3096" w:rsidP="003746F8">
      <w:pPr>
        <w:pStyle w:val="FootnoteText"/>
      </w:pPr>
      <w:r>
        <w:rPr>
          <w:rStyle w:val="FootnoteReference"/>
        </w:rPr>
        <w:footnoteRef/>
      </w:r>
      <w:r>
        <w:t xml:space="preserve"> </w:t>
      </w:r>
      <w:r w:rsidRPr="00726B07">
        <w:rPr>
          <w:lang w:eastAsia="en-AU"/>
        </w:rPr>
        <w:t>Clarke, B., Porter, N., Symons, R., Marriott, P., Ades, P., Stevenson, G., Blackbeard, J. Polybrominated diphenyl ethers and polybrominated biphenyls in Australian sewage sludge.</w:t>
      </w:r>
      <w:r>
        <w:rPr>
          <w:lang w:eastAsia="en-AU"/>
        </w:rPr>
        <w:t xml:space="preserve"> </w:t>
      </w:r>
      <w:r w:rsidRPr="00726B07">
        <w:rPr>
          <w:lang w:eastAsia="en-AU"/>
        </w:rPr>
        <w:t>Chemosphere 2008, 73, 980–989.</w:t>
      </w:r>
    </w:p>
  </w:footnote>
  <w:footnote w:id="43">
    <w:p w:rsidR="002D3096" w:rsidRDefault="002D3096" w:rsidP="003746F8">
      <w:pPr>
        <w:pStyle w:val="FootnoteText"/>
      </w:pPr>
      <w:r>
        <w:rPr>
          <w:rStyle w:val="FootnoteReference"/>
        </w:rPr>
        <w:footnoteRef/>
      </w:r>
      <w:r>
        <w:t xml:space="preserve"> </w:t>
      </w:r>
      <w:r w:rsidRPr="00726B07">
        <w:rPr>
          <w:lang w:eastAsia="en-AU"/>
        </w:rPr>
        <w:t>Davis, E. F., Klosterhaus</w:t>
      </w:r>
      <w:proofErr w:type="gramStart"/>
      <w:r w:rsidRPr="00726B07">
        <w:rPr>
          <w:lang w:eastAsia="en-AU"/>
        </w:rPr>
        <w:t>,S</w:t>
      </w:r>
      <w:proofErr w:type="gramEnd"/>
      <w:r w:rsidRPr="00726B07">
        <w:rPr>
          <w:lang w:eastAsia="en-AU"/>
        </w:rPr>
        <w:t xml:space="preserve">. L. and Stapleton, H. M. 2011. </w:t>
      </w:r>
      <w:proofErr w:type="gramStart"/>
      <w:r w:rsidRPr="00726B07">
        <w:rPr>
          <w:lang w:eastAsia="en-AU"/>
        </w:rPr>
        <w:t>Measurement of flame retardants and triclosan in municipal sewage sludge and biosolids.</w:t>
      </w:r>
      <w:proofErr w:type="gramEnd"/>
      <w:r w:rsidRPr="00726B07">
        <w:rPr>
          <w:lang w:eastAsia="en-AU"/>
        </w:rPr>
        <w:t xml:space="preserve"> Environmental International 40 (2012) 1–7</w:t>
      </w:r>
    </w:p>
  </w:footnote>
  <w:footnote w:id="44">
    <w:p w:rsidR="002D3096" w:rsidRDefault="002D3096" w:rsidP="003746F8">
      <w:pPr>
        <w:pStyle w:val="FootnoteText"/>
      </w:pPr>
      <w:r>
        <w:rPr>
          <w:rStyle w:val="FootnoteReference"/>
        </w:rPr>
        <w:footnoteRef/>
      </w:r>
      <w:r>
        <w:t xml:space="preserve"> </w:t>
      </w:r>
      <w:r w:rsidRPr="00726B07">
        <w:t>Xianzhi Peng a, Caiming Tang, Yiyi Yu et al, Concentrations, transport, fate, and releases of polybrominated diphenyl ethers in sewage treatment plants in the Pearl River Delta, South China, Environment International 35 (2009) 303–309</w:t>
      </w:r>
    </w:p>
  </w:footnote>
  <w:footnote w:id="45">
    <w:p w:rsidR="002D3096" w:rsidRDefault="002D3096" w:rsidP="003746F8">
      <w:pPr>
        <w:pStyle w:val="FootnoteText"/>
      </w:pPr>
      <w:r>
        <w:rPr>
          <w:rStyle w:val="FootnoteReference"/>
        </w:rPr>
        <w:footnoteRef/>
      </w:r>
      <w:r>
        <w:t xml:space="preserve"> PACIA 2011, National Plastics Recycling Survey </w:t>
      </w:r>
    </w:p>
  </w:footnote>
  <w:footnote w:id="46">
    <w:p w:rsidR="002D3096" w:rsidRDefault="002D3096" w:rsidP="003746F8">
      <w:pPr>
        <w:pStyle w:val="FootnoteText"/>
      </w:pPr>
      <w:r>
        <w:rPr>
          <w:rStyle w:val="FootnoteReference"/>
        </w:rPr>
        <w:footnoteRef/>
      </w:r>
      <w:r>
        <w:t xml:space="preserve"> Levels set for PBDEs in the “China RoHS”, officially known as the </w:t>
      </w:r>
      <w:r w:rsidRPr="001F5019">
        <w:rPr>
          <w:i/>
        </w:rPr>
        <w:t>Administrative Measure on the Control of Pollution Caused by Electronic Information Products</w:t>
      </w:r>
    </w:p>
  </w:footnote>
  <w:footnote w:id="47">
    <w:p w:rsidR="002D3096" w:rsidRPr="001E7421" w:rsidRDefault="002D3096" w:rsidP="003746F8">
      <w:pPr>
        <w:pStyle w:val="FootnoteText"/>
        <w:rPr>
          <w:lang w:val="en-US"/>
        </w:rPr>
      </w:pPr>
      <w:r w:rsidRPr="00B20CC1">
        <w:rPr>
          <w:rStyle w:val="FootnoteReference"/>
        </w:rPr>
        <w:footnoteRef/>
      </w:r>
      <w:r w:rsidRPr="00B20CC1">
        <w:t xml:space="preserve"> </w:t>
      </w:r>
      <w:hyperlink r:id="rId8" w:history="1">
        <w:r w:rsidRPr="00B20CC1">
          <w:rPr>
            <w:rStyle w:val="Hyperlink"/>
          </w:rPr>
          <w:t>http://www.amerex-aust.com.au/sites/default/files/web/Solberg/Policy-QLDFirefightingFoamsV3-0.pdf</w:t>
        </w:r>
      </w:hyperlink>
      <w:r>
        <w:t xml:space="preserve"> </w:t>
      </w:r>
    </w:p>
  </w:footnote>
  <w:footnote w:id="48">
    <w:p w:rsidR="002D3096" w:rsidRDefault="002D3096" w:rsidP="003746F8">
      <w:pPr>
        <w:pStyle w:val="FootnoteText"/>
      </w:pPr>
      <w:r>
        <w:rPr>
          <w:rStyle w:val="FootnoteReference"/>
        </w:rPr>
        <w:footnoteRef/>
      </w:r>
      <w:r>
        <w:t xml:space="preserve"> Hundal, L, Metropolitan Water Reclamation District of Greater Chicago, MWEA Biosolids Conference, Big Rapids, Michigan, March 2014 (</w:t>
      </w:r>
      <w:r w:rsidRPr="00B22905">
        <w:t>http://www.mi-wea.org/docs/Dr.%20Hundal%20-%20Exposure%20Risks.pdf</w:t>
      </w:r>
      <w:r>
        <w:t>)</w:t>
      </w:r>
    </w:p>
  </w:footnote>
  <w:footnote w:id="49">
    <w:p w:rsidR="002D3096" w:rsidRPr="005D49A5" w:rsidRDefault="002D3096" w:rsidP="003746F8">
      <w:pPr>
        <w:pStyle w:val="FootnoteText"/>
        <w:rPr>
          <w:lang w:val="en-US"/>
        </w:rPr>
      </w:pPr>
      <w:r>
        <w:rPr>
          <w:rStyle w:val="FootnoteReference"/>
        </w:rPr>
        <w:footnoteRef/>
      </w:r>
      <w:r>
        <w:t xml:space="preserve"> </w:t>
      </w:r>
      <w:r w:rsidRPr="00726B07">
        <w:t>Study on waste related issues of newly listed POPs and candidate POPs, ESWI, 2011.</w:t>
      </w:r>
    </w:p>
  </w:footnote>
  <w:footnote w:id="50">
    <w:p w:rsidR="002D3096" w:rsidRPr="005D49A5" w:rsidRDefault="002D3096" w:rsidP="003746F8">
      <w:pPr>
        <w:pStyle w:val="FootnoteText"/>
        <w:rPr>
          <w:lang w:val="en-US"/>
        </w:rPr>
      </w:pPr>
      <w:r>
        <w:rPr>
          <w:rStyle w:val="FootnoteReference"/>
        </w:rPr>
        <w:footnoteRef/>
      </w:r>
      <w:r>
        <w:t xml:space="preserve"> </w:t>
      </w:r>
      <w:r w:rsidRPr="00726B07">
        <w:t>Study on waste related issues of newly listed POPs and candidate POPs, ESWI, 2011.</w:t>
      </w:r>
    </w:p>
  </w:footnote>
  <w:footnote w:id="51">
    <w:p w:rsidR="002D3096" w:rsidRPr="00735DBB" w:rsidRDefault="002D3096" w:rsidP="003746F8">
      <w:pPr>
        <w:pStyle w:val="FootnoteText"/>
        <w:rPr>
          <w:lang w:val="en-US"/>
        </w:rPr>
      </w:pPr>
      <w:r>
        <w:rPr>
          <w:rStyle w:val="FootnoteReference"/>
        </w:rPr>
        <w:footnoteRef/>
      </w:r>
      <w:r>
        <w:t xml:space="preserve"> </w:t>
      </w:r>
      <w:r>
        <w:rPr>
          <w:lang w:val="en-US"/>
        </w:rPr>
        <w:t xml:space="preserve">Zareitalabad, et al, </w:t>
      </w:r>
      <w:r w:rsidRPr="00735DBB">
        <w:rPr>
          <w:lang w:val="en-US"/>
        </w:rPr>
        <w:t>Perfluorooctanoic acid (PFOA) and perfluorooctanesulfonic acid (PFOS) in surface waters, sediments, soils and wastewater – A review on concentrations and distribution coefficients</w:t>
      </w:r>
      <w:r>
        <w:rPr>
          <w:lang w:val="en-US"/>
        </w:rPr>
        <w:t xml:space="preserve">, </w:t>
      </w:r>
      <w:r w:rsidRPr="00735DBB">
        <w:rPr>
          <w:lang w:val="en-US"/>
        </w:rPr>
        <w:t>Chemosphere 91 (2013) 725–732</w:t>
      </w:r>
    </w:p>
  </w:footnote>
  <w:footnote w:id="52">
    <w:p w:rsidR="002D3096" w:rsidRPr="005D49A5" w:rsidRDefault="002D3096" w:rsidP="003746F8">
      <w:pPr>
        <w:pStyle w:val="FootnoteText"/>
        <w:rPr>
          <w:lang w:val="en-US"/>
        </w:rPr>
      </w:pPr>
      <w:r>
        <w:rPr>
          <w:rStyle w:val="FootnoteReference"/>
        </w:rPr>
        <w:footnoteRef/>
      </w:r>
      <w:r>
        <w:t xml:space="preserve"> </w:t>
      </w:r>
      <w:r w:rsidRPr="005D49A5">
        <w:t>Australian &amp; New Zealand Biosolids Partnership - 2013 survey</w:t>
      </w:r>
    </w:p>
  </w:footnote>
  <w:footnote w:id="53">
    <w:p w:rsidR="002D3096" w:rsidRPr="00B575C8" w:rsidRDefault="002D3096" w:rsidP="003746F8">
      <w:pPr>
        <w:pStyle w:val="FootnoteText"/>
        <w:rPr>
          <w:lang w:val="en-US"/>
        </w:rPr>
      </w:pPr>
      <w:r>
        <w:rPr>
          <w:rStyle w:val="FootnoteReference"/>
        </w:rPr>
        <w:footnoteRef/>
      </w:r>
      <w:r>
        <w:t xml:space="preserve"> </w:t>
      </w:r>
      <w:r>
        <w:rPr>
          <w:lang w:val="en-US"/>
        </w:rPr>
        <w:t xml:space="preserve">Estimate for European biosolids from p.242: </w:t>
      </w:r>
      <w:r w:rsidRPr="00B575C8">
        <w:rPr>
          <w:i/>
        </w:rPr>
        <w:t>Study on waste related issues of newly listed POPs and candidate POPs, ESWI, 2011</w:t>
      </w:r>
    </w:p>
  </w:footnote>
  <w:footnote w:id="54">
    <w:p w:rsidR="002D3096" w:rsidRDefault="002D3096" w:rsidP="003746F8">
      <w:pPr>
        <w:pStyle w:val="FootnoteText"/>
      </w:pPr>
      <w:r>
        <w:rPr>
          <w:rStyle w:val="FootnoteReference"/>
        </w:rPr>
        <w:footnoteRef/>
      </w:r>
      <w:r>
        <w:t xml:space="preserve"> Chemguard Specialty Chemicals and Equipment Data Sheet, 2005 (</w:t>
      </w:r>
      <w:hyperlink r:id="rId9" w:history="1">
        <w:r w:rsidRPr="00C845FB">
          <w:rPr>
            <w:rStyle w:val="Hyperlink"/>
          </w:rPr>
          <w:t>http://www.chemguard.com/pdf/General-Foam-Information.pdf</w:t>
        </w:r>
      </w:hyperlink>
      <w:r>
        <w:t xml:space="preserve">) </w:t>
      </w:r>
    </w:p>
  </w:footnote>
  <w:footnote w:id="55">
    <w:p w:rsidR="002D3096" w:rsidRDefault="002D3096" w:rsidP="003746F8">
      <w:pPr>
        <w:pStyle w:val="FootnoteText"/>
      </w:pPr>
      <w:r>
        <w:rPr>
          <w:rStyle w:val="FootnoteReference"/>
        </w:rPr>
        <w:footnoteRef/>
      </w:r>
      <w:r>
        <w:t xml:space="preserve"> </w:t>
      </w:r>
      <w:proofErr w:type="gramStart"/>
      <w:r w:rsidRPr="00BE0D5C">
        <w:t>KMH Environmental, 2013.</w:t>
      </w:r>
      <w:proofErr w:type="gramEnd"/>
      <w:r w:rsidRPr="00BE0D5C">
        <w:t xml:space="preserve"> “Reducing Releases of POP-BDEs to the Environment – Option Impact Analysis,” Geoff Latimer (not yet published)</w:t>
      </w:r>
    </w:p>
  </w:footnote>
  <w:footnote w:id="56">
    <w:p w:rsidR="002D3096" w:rsidRDefault="002D3096" w:rsidP="003746F8">
      <w:pPr>
        <w:pStyle w:val="FootnoteText"/>
      </w:pPr>
      <w:r w:rsidRPr="005C6525">
        <w:rPr>
          <w:rStyle w:val="FootnoteReference"/>
        </w:rPr>
        <w:footnoteRef/>
      </w:r>
      <w:r w:rsidRPr="005C6525">
        <w:t xml:space="preserve"> </w:t>
      </w:r>
      <w:proofErr w:type="gramStart"/>
      <w:r w:rsidRPr="005C6525">
        <w:t>Entox Innovations, 2013.</w:t>
      </w:r>
      <w:proofErr w:type="gramEnd"/>
      <w:r w:rsidRPr="005C6525">
        <w:t xml:space="preserve"> “Testing of Articles for Persistent Organic Pollutants (Draft),” Christie Bentley (not yet published)</w:t>
      </w:r>
    </w:p>
  </w:footnote>
  <w:footnote w:id="57">
    <w:p w:rsidR="002D3096" w:rsidRDefault="002D3096" w:rsidP="003746F8">
      <w:pPr>
        <w:pStyle w:val="FootnoteText"/>
      </w:pPr>
      <w:r>
        <w:rPr>
          <w:rStyle w:val="FootnoteReference"/>
        </w:rPr>
        <w:footnoteRef/>
      </w:r>
      <w:r>
        <w:t xml:space="preserve"> Latimer (ENVIRON Australia), BRF Research: A Pilot Study of E-waste Plastic Sorting in New Zealand, for the Ministry for the Environment, New Zealand,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5"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011"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012"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21568" behindDoc="0" locked="0" layoutInCell="1" allowOverlap="1">
          <wp:simplePos x="0" y="0"/>
          <wp:positionH relativeFrom="column">
            <wp:posOffset>4201160</wp:posOffset>
          </wp:positionH>
          <wp:positionV relativeFrom="paragraph">
            <wp:posOffset>-43815</wp:posOffset>
          </wp:positionV>
          <wp:extent cx="1660525" cy="322580"/>
          <wp:effectExtent l="0" t="0" r="0" b="1270"/>
          <wp:wrapSquare wrapText="bothSides"/>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53984"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1014" name="Picture 66"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51936"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015" name="Picture 6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016"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017"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23616" behindDoc="0" locked="0" layoutInCell="1" allowOverlap="1">
          <wp:simplePos x="0" y="0"/>
          <wp:positionH relativeFrom="column">
            <wp:posOffset>7596505</wp:posOffset>
          </wp:positionH>
          <wp:positionV relativeFrom="paragraph">
            <wp:posOffset>-82550</wp:posOffset>
          </wp:positionV>
          <wp:extent cx="1660525" cy="322580"/>
          <wp:effectExtent l="0" t="0" r="0" b="1270"/>
          <wp:wrapSquare wrapText="bothSides"/>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62176" behindDoc="0" locked="0" layoutInCell="1" allowOverlap="1">
          <wp:simplePos x="0" y="0"/>
          <wp:positionH relativeFrom="column">
            <wp:posOffset>4176395</wp:posOffset>
          </wp:positionH>
          <wp:positionV relativeFrom="paragraph">
            <wp:posOffset>-161290</wp:posOffset>
          </wp:positionV>
          <wp:extent cx="1758950" cy="548640"/>
          <wp:effectExtent l="0" t="0" r="0" b="0"/>
          <wp:wrapSquare wrapText="bothSides"/>
          <wp:docPr id="1019" name="Picture 66"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60128"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020" name="Picture 6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021"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022"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25664" behindDoc="0" locked="0" layoutInCell="1" allowOverlap="1">
          <wp:simplePos x="0" y="0"/>
          <wp:positionH relativeFrom="column">
            <wp:posOffset>7748905</wp:posOffset>
          </wp:positionH>
          <wp:positionV relativeFrom="paragraph">
            <wp:posOffset>-107315</wp:posOffset>
          </wp:positionV>
          <wp:extent cx="1660525" cy="322580"/>
          <wp:effectExtent l="0" t="0" r="0" b="1270"/>
          <wp:wrapSquare wrapText="bothSides"/>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66272" behindDoc="0" locked="0" layoutInCell="1" allowOverlap="1">
          <wp:simplePos x="0" y="0"/>
          <wp:positionH relativeFrom="column">
            <wp:posOffset>3939540</wp:posOffset>
          </wp:positionH>
          <wp:positionV relativeFrom="paragraph">
            <wp:posOffset>-193040</wp:posOffset>
          </wp:positionV>
          <wp:extent cx="1758950" cy="548640"/>
          <wp:effectExtent l="0" t="0" r="0" b="0"/>
          <wp:wrapSquare wrapText="bothSides"/>
          <wp:docPr id="96" name="Picture 66"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64224"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97" name="Picture 6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98"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D76756" w:rsidRDefault="002D3096" w:rsidP="00DE2F0B">
    <w:pPr>
      <w:pStyle w:val="Header"/>
      <w:jc w:val="center"/>
    </w:pPr>
    <w:r>
      <w:rPr>
        <w:noProof/>
        <w:lang w:eastAsia="en-AU"/>
      </w:rPr>
      <w:drawing>
        <wp:anchor distT="0" distB="0" distL="114300" distR="114300" simplePos="0" relativeHeight="251817472" behindDoc="0" locked="0" layoutInCell="1" allowOverlap="1">
          <wp:simplePos x="0" y="0"/>
          <wp:positionH relativeFrom="column">
            <wp:posOffset>4340860</wp:posOffset>
          </wp:positionH>
          <wp:positionV relativeFrom="paragraph">
            <wp:posOffset>36195</wp:posOffset>
          </wp:positionV>
          <wp:extent cx="1660525" cy="322580"/>
          <wp:effectExtent l="0" t="0" r="0" b="1270"/>
          <wp:wrapSquare wrapText="bothSides"/>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21216" behindDoc="1" locked="0" layoutInCell="1" allowOverlap="1">
          <wp:simplePos x="0" y="0"/>
          <wp:positionH relativeFrom="margin">
            <wp:align>left</wp:align>
          </wp:positionH>
          <wp:positionV relativeFrom="page">
            <wp:posOffset>521635</wp:posOffset>
          </wp:positionV>
          <wp:extent cx="1776095" cy="307340"/>
          <wp:effectExtent l="0" t="0" r="0" b="0"/>
          <wp:wrapNone/>
          <wp:docPr id="1001"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2"/>
                  <a:srcRect/>
                  <a:stretch>
                    <a:fillRect/>
                  </a:stretch>
                </pic:blipFill>
                <pic:spPr bwMode="auto">
                  <a:xfrm>
                    <a:off x="0" y="0"/>
                    <a:ext cx="1776095" cy="307340"/>
                  </a:xfrm>
                  <a:prstGeom prst="rect">
                    <a:avLst/>
                  </a:prstGeom>
                  <a:noFill/>
                  <a:ln w="9525">
                    <a:noFill/>
                    <a:miter lim="800000"/>
                    <a:headEnd/>
                    <a:tailEnd/>
                  </a:ln>
                </pic:spPr>
              </pic:pic>
            </a:graphicData>
          </a:graphic>
        </wp:anchor>
      </w:drawing>
    </w:r>
    <w:r w:rsidRPr="00FD2A4F">
      <w:rPr>
        <w:noProof/>
        <w:lang w:eastAsia="en-AU"/>
      </w:rPr>
      <w:drawing>
        <wp:anchor distT="0" distB="0" distL="114300" distR="114300" simplePos="0" relativeHeight="251720192" behindDoc="0" locked="0" layoutInCell="1" allowOverlap="1">
          <wp:simplePos x="0" y="0"/>
          <wp:positionH relativeFrom="column">
            <wp:posOffset>2228215</wp:posOffset>
          </wp:positionH>
          <wp:positionV relativeFrom="paragraph">
            <wp:posOffset>-52070</wp:posOffset>
          </wp:positionV>
          <wp:extent cx="1758950" cy="548640"/>
          <wp:effectExtent l="0" t="0" r="0" b="0"/>
          <wp:wrapSquare wrapText="bothSides"/>
          <wp:docPr id="1002" name="Picture 1002"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99"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27712" behindDoc="0" locked="0" layoutInCell="1" allowOverlap="1">
          <wp:simplePos x="0" y="0"/>
          <wp:positionH relativeFrom="column">
            <wp:posOffset>4359275</wp:posOffset>
          </wp:positionH>
          <wp:positionV relativeFrom="paragraph">
            <wp:posOffset>-45085</wp:posOffset>
          </wp:positionV>
          <wp:extent cx="1660525" cy="322580"/>
          <wp:effectExtent l="0" t="0" r="0" b="127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70368"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125" name="Picture 66"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68320"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26" name="Picture 6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27"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32"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29760" behindDoc="0" locked="0" layoutInCell="1" allowOverlap="1">
          <wp:simplePos x="0" y="0"/>
          <wp:positionH relativeFrom="column">
            <wp:posOffset>7748905</wp:posOffset>
          </wp:positionH>
          <wp:positionV relativeFrom="paragraph">
            <wp:posOffset>-55880</wp:posOffset>
          </wp:positionV>
          <wp:extent cx="1660525" cy="322580"/>
          <wp:effectExtent l="0" t="0" r="0" b="127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74464" behindDoc="0" locked="0" layoutInCell="1" allowOverlap="1">
          <wp:simplePos x="0" y="0"/>
          <wp:positionH relativeFrom="column">
            <wp:posOffset>4207510</wp:posOffset>
          </wp:positionH>
          <wp:positionV relativeFrom="paragraph">
            <wp:posOffset>-160655</wp:posOffset>
          </wp:positionV>
          <wp:extent cx="1758950" cy="548640"/>
          <wp:effectExtent l="0" t="0" r="0" b="0"/>
          <wp:wrapSquare wrapText="bothSides"/>
          <wp:docPr id="139" name="Picture 66"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72416"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40" name="Picture 6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41"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43"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31808" behindDoc="0" locked="0" layoutInCell="1" allowOverlap="1">
          <wp:simplePos x="0" y="0"/>
          <wp:positionH relativeFrom="column">
            <wp:posOffset>4307840</wp:posOffset>
          </wp:positionH>
          <wp:positionV relativeFrom="paragraph">
            <wp:posOffset>-12700</wp:posOffset>
          </wp:positionV>
          <wp:extent cx="1660525" cy="322580"/>
          <wp:effectExtent l="0" t="0" r="0" b="127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78560"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145" name="Picture 66"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76512"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46" name="Picture 6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58"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59"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5459E4" w:rsidRDefault="002D3096" w:rsidP="005459E4">
    <w:pPr>
      <w:pStyle w:val="Header"/>
    </w:pPr>
    <w:r w:rsidRPr="00F4272F">
      <w:rPr>
        <w:noProof/>
        <w:lang w:eastAsia="en-AU"/>
      </w:rPr>
      <w:drawing>
        <wp:anchor distT="0" distB="0" distL="114300" distR="114300" simplePos="0" relativeHeight="251611648" behindDoc="1" locked="0" layoutInCell="1" allowOverlap="1">
          <wp:simplePos x="0" y="0"/>
          <wp:positionH relativeFrom="page">
            <wp:posOffset>1135469</wp:posOffset>
          </wp:positionH>
          <wp:positionV relativeFrom="page">
            <wp:posOffset>457200</wp:posOffset>
          </wp:positionV>
          <wp:extent cx="2979331" cy="531627"/>
          <wp:effectExtent l="19050" t="0" r="0" b="0"/>
          <wp:wrapNone/>
          <wp:docPr id="142"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979331" cy="531627"/>
                  </a:xfrm>
                  <a:prstGeom prst="rect">
                    <a:avLst/>
                  </a:prstGeom>
                  <a:noFill/>
                  <a:ln w="9525">
                    <a:noFill/>
                    <a:miter lim="800000"/>
                    <a:headEnd/>
                    <a:tailEnd/>
                  </a:ln>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33856" behindDoc="0" locked="0" layoutInCell="1" allowOverlap="1">
          <wp:simplePos x="0" y="0"/>
          <wp:positionH relativeFrom="column">
            <wp:posOffset>4321175</wp:posOffset>
          </wp:positionH>
          <wp:positionV relativeFrom="paragraph">
            <wp:posOffset>-62230</wp:posOffset>
          </wp:positionV>
          <wp:extent cx="1660525" cy="322580"/>
          <wp:effectExtent l="0" t="0" r="0" b="127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82656"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161" name="Picture 66"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80608"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62" name="Picture 6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63"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64"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65" name="Picture 165"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66"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35904" behindDoc="0" locked="0" layoutInCell="1" allowOverlap="1">
          <wp:simplePos x="0" y="0"/>
          <wp:positionH relativeFrom="column">
            <wp:posOffset>4265295</wp:posOffset>
          </wp:positionH>
          <wp:positionV relativeFrom="paragraph">
            <wp:posOffset>-66675</wp:posOffset>
          </wp:positionV>
          <wp:extent cx="1660525" cy="322580"/>
          <wp:effectExtent l="0" t="0" r="0" b="127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90848"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168" name="Picture 66"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88800"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69" name="Picture 6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70"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71"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792896" behindDoc="1" locked="0" layoutInCell="1" allowOverlap="1">
          <wp:simplePos x="0" y="0"/>
          <wp:positionH relativeFrom="margin">
            <wp:posOffset>46990</wp:posOffset>
          </wp:positionH>
          <wp:positionV relativeFrom="page">
            <wp:posOffset>297502</wp:posOffset>
          </wp:positionV>
          <wp:extent cx="1675130" cy="290195"/>
          <wp:effectExtent l="0" t="0" r="1270" b="0"/>
          <wp:wrapNone/>
          <wp:docPr id="172" name="Picture 6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30" cy="29019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837952" behindDoc="0" locked="0" layoutInCell="1" allowOverlap="1">
          <wp:simplePos x="0" y="0"/>
          <wp:positionH relativeFrom="column">
            <wp:posOffset>7748905</wp:posOffset>
          </wp:positionH>
          <wp:positionV relativeFrom="paragraph">
            <wp:posOffset>-160020</wp:posOffset>
          </wp:positionV>
          <wp:extent cx="1660525" cy="322580"/>
          <wp:effectExtent l="0" t="0" r="0" b="127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94944" behindDoc="0" locked="0" layoutInCell="1" allowOverlap="1">
          <wp:simplePos x="0" y="0"/>
          <wp:positionH relativeFrom="column">
            <wp:posOffset>3772535</wp:posOffset>
          </wp:positionH>
          <wp:positionV relativeFrom="paragraph">
            <wp:posOffset>-273050</wp:posOffset>
          </wp:positionV>
          <wp:extent cx="1758950" cy="548640"/>
          <wp:effectExtent l="0" t="0" r="0" b="0"/>
          <wp:wrapSquare wrapText="bothSides"/>
          <wp:docPr id="174" name="Picture 66"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76"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rsidP="005459E4">
    <w:pPr>
      <w:pStyle w:val="Header"/>
    </w:pPr>
    <w:r>
      <w:rPr>
        <w:noProof/>
        <w:lang w:eastAsia="en-AU"/>
      </w:rPr>
      <w:drawing>
        <wp:anchor distT="0" distB="0" distL="114300" distR="114300" simplePos="0" relativeHeight="251612672" behindDoc="1" locked="0" layoutInCell="1" allowOverlap="1">
          <wp:simplePos x="0" y="0"/>
          <wp:positionH relativeFrom="page">
            <wp:posOffset>1135469</wp:posOffset>
          </wp:positionH>
          <wp:positionV relativeFrom="page">
            <wp:posOffset>435934</wp:posOffset>
          </wp:positionV>
          <wp:extent cx="2288215" cy="404038"/>
          <wp:effectExtent l="19050" t="0" r="0" b="0"/>
          <wp:wrapNone/>
          <wp:docPr id="147"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288215" cy="404038"/>
                  </a:xfrm>
                  <a:prstGeom prst="rect">
                    <a:avLst/>
                  </a:prstGeom>
                  <a:noFill/>
                  <a:ln w="9525">
                    <a:noFill/>
                    <a:miter lim="800000"/>
                    <a:headEnd/>
                    <a:tailEnd/>
                  </a:ln>
                </pic:spPr>
              </pic:pic>
            </a:graphicData>
          </a:graphic>
        </wp:anchor>
      </w:drawing>
    </w:r>
  </w:p>
  <w:p w:rsidR="002D3096" w:rsidRPr="005459E4" w:rsidRDefault="002D3096" w:rsidP="005459E4">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77"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40000" behindDoc="0" locked="0" layoutInCell="1" allowOverlap="1">
          <wp:simplePos x="0" y="0"/>
          <wp:positionH relativeFrom="column">
            <wp:posOffset>4417060</wp:posOffset>
          </wp:positionH>
          <wp:positionV relativeFrom="paragraph">
            <wp:posOffset>-34925</wp:posOffset>
          </wp:positionV>
          <wp:extent cx="1660525" cy="322580"/>
          <wp:effectExtent l="0" t="0" r="0" b="127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688448"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179"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678208"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80"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81"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243718" w:rsidRDefault="002D3096" w:rsidP="00243718">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42048" behindDoc="0" locked="0" layoutInCell="1" allowOverlap="1">
          <wp:simplePos x="0" y="0"/>
          <wp:positionH relativeFrom="column">
            <wp:posOffset>4321175</wp:posOffset>
          </wp:positionH>
          <wp:positionV relativeFrom="paragraph">
            <wp:posOffset>-36195</wp:posOffset>
          </wp:positionV>
          <wp:extent cx="1660525" cy="322580"/>
          <wp:effectExtent l="0" t="0" r="0" b="127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45792"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183"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43744"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84"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44096" behindDoc="0" locked="0" layoutInCell="1" allowOverlap="1">
          <wp:simplePos x="0" y="0"/>
          <wp:positionH relativeFrom="column">
            <wp:posOffset>7748905</wp:posOffset>
          </wp:positionH>
          <wp:positionV relativeFrom="paragraph">
            <wp:posOffset>-120650</wp:posOffset>
          </wp:positionV>
          <wp:extent cx="1660525" cy="322580"/>
          <wp:effectExtent l="0" t="0" r="0" b="127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99040" behindDoc="0" locked="0" layoutInCell="1" allowOverlap="1">
          <wp:simplePos x="0" y="0"/>
          <wp:positionH relativeFrom="column">
            <wp:posOffset>3943985</wp:posOffset>
          </wp:positionH>
          <wp:positionV relativeFrom="paragraph">
            <wp:posOffset>-193675</wp:posOffset>
          </wp:positionV>
          <wp:extent cx="1758950" cy="548640"/>
          <wp:effectExtent l="0" t="0" r="0" b="0"/>
          <wp:wrapSquare wrapText="bothSides"/>
          <wp:docPr id="186"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96992"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88"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46144" behindDoc="0" locked="0" layoutInCell="1" allowOverlap="1">
          <wp:simplePos x="0" y="0"/>
          <wp:positionH relativeFrom="column">
            <wp:posOffset>4444365</wp:posOffset>
          </wp:positionH>
          <wp:positionV relativeFrom="paragraph">
            <wp:posOffset>-11430</wp:posOffset>
          </wp:positionV>
          <wp:extent cx="1660525" cy="322580"/>
          <wp:effectExtent l="0" t="0" r="0" b="127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803136"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190"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801088"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91"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288"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48192" behindDoc="0" locked="0" layoutInCell="1" allowOverlap="1">
          <wp:simplePos x="0" y="0"/>
          <wp:positionH relativeFrom="column">
            <wp:posOffset>7748905</wp:posOffset>
          </wp:positionH>
          <wp:positionV relativeFrom="paragraph">
            <wp:posOffset>-112395</wp:posOffset>
          </wp:positionV>
          <wp:extent cx="1660525" cy="322580"/>
          <wp:effectExtent l="0" t="0" r="0" b="127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815424" behindDoc="0" locked="0" layoutInCell="1" allowOverlap="1">
          <wp:simplePos x="0" y="0"/>
          <wp:positionH relativeFrom="column">
            <wp:posOffset>3792855</wp:posOffset>
          </wp:positionH>
          <wp:positionV relativeFrom="paragraph">
            <wp:posOffset>-209550</wp:posOffset>
          </wp:positionV>
          <wp:extent cx="1758950" cy="548640"/>
          <wp:effectExtent l="0" t="0" r="0" b="0"/>
          <wp:wrapSquare wrapText="bothSides"/>
          <wp:docPr id="290"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813376"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291"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292"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F810CB">
    <w:pPr>
      <w:pStyle w:val="Header"/>
    </w:pPr>
    <w:r>
      <w:rPr>
        <w:noProof/>
        <w:lang w:eastAsia="en-AU"/>
      </w:rPr>
      <w:drawing>
        <wp:inline distT="0" distB="0" distL="0" distR="0">
          <wp:extent cx="2286000" cy="393700"/>
          <wp:effectExtent l="19050" t="0" r="0" b="0"/>
          <wp:docPr id="148" name="Picture 14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F810CB">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05184" behindDoc="1" locked="0" layoutInCell="1" allowOverlap="1">
          <wp:simplePos x="0" y="0"/>
          <wp:positionH relativeFrom="margin">
            <wp:posOffset>46990</wp:posOffset>
          </wp:positionH>
          <wp:positionV relativeFrom="page">
            <wp:posOffset>389364</wp:posOffset>
          </wp:positionV>
          <wp:extent cx="1675130" cy="290195"/>
          <wp:effectExtent l="0" t="0" r="1270" b="0"/>
          <wp:wrapNone/>
          <wp:docPr id="293"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1675130" cy="29019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850240" behindDoc="0" locked="0" layoutInCell="1" allowOverlap="1">
          <wp:simplePos x="0" y="0"/>
          <wp:positionH relativeFrom="column">
            <wp:posOffset>4472940</wp:posOffset>
          </wp:positionH>
          <wp:positionV relativeFrom="paragraph">
            <wp:posOffset>-90805</wp:posOffset>
          </wp:positionV>
          <wp:extent cx="1660525" cy="322580"/>
          <wp:effectExtent l="0" t="0" r="0" b="127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807232" behindDoc="0" locked="0" layoutInCell="1" allowOverlap="1">
          <wp:simplePos x="0" y="0"/>
          <wp:positionH relativeFrom="column">
            <wp:posOffset>2312670</wp:posOffset>
          </wp:positionH>
          <wp:positionV relativeFrom="paragraph">
            <wp:posOffset>-192405</wp:posOffset>
          </wp:positionV>
          <wp:extent cx="1758950" cy="548640"/>
          <wp:effectExtent l="0" t="0" r="0" b="0"/>
          <wp:wrapSquare wrapText="bothSides"/>
          <wp:docPr id="295"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70720" behindDoc="0" locked="0" layoutInCell="1" allowOverlap="1">
          <wp:simplePos x="0" y="0"/>
          <wp:positionH relativeFrom="column">
            <wp:posOffset>7748905</wp:posOffset>
          </wp:positionH>
          <wp:positionV relativeFrom="paragraph">
            <wp:posOffset>-83820</wp:posOffset>
          </wp:positionV>
          <wp:extent cx="1660525" cy="322580"/>
          <wp:effectExtent l="0" t="0" r="0" b="127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869696" behindDoc="0" locked="0" layoutInCell="1" allowOverlap="1">
          <wp:simplePos x="0" y="0"/>
          <wp:positionH relativeFrom="column">
            <wp:posOffset>4223385</wp:posOffset>
          </wp:positionH>
          <wp:positionV relativeFrom="paragraph">
            <wp:posOffset>-193040</wp:posOffset>
          </wp:positionV>
          <wp:extent cx="1758950" cy="548640"/>
          <wp:effectExtent l="0" t="0" r="0" b="0"/>
          <wp:wrapSquare wrapText="bothSides"/>
          <wp:docPr id="297"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868672"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298"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52288" behindDoc="0" locked="0" layoutInCell="1" allowOverlap="1">
          <wp:simplePos x="0" y="0"/>
          <wp:positionH relativeFrom="column">
            <wp:posOffset>4266565</wp:posOffset>
          </wp:positionH>
          <wp:positionV relativeFrom="paragraph">
            <wp:posOffset>-20955</wp:posOffset>
          </wp:positionV>
          <wp:extent cx="1660525" cy="322580"/>
          <wp:effectExtent l="0" t="0" r="0" b="127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811328"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310"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809280"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311"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4D33C7">
    <w:pPr>
      <w:pStyle w:val="Header"/>
    </w:pPr>
    <w:r>
      <w:rPr>
        <w:noProof/>
        <w:lang w:eastAsia="en-AU"/>
      </w:rPr>
      <w:drawing>
        <wp:inline distT="0" distB="0" distL="0" distR="0">
          <wp:extent cx="2286000" cy="393700"/>
          <wp:effectExtent l="19050" t="0" r="0" b="0"/>
          <wp:docPr id="312"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4D33C7">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sidRPr="00FD2A4F">
      <w:rPr>
        <w:noProof/>
        <w:lang w:eastAsia="en-AU"/>
      </w:rPr>
      <w:drawing>
        <wp:anchor distT="0" distB="0" distL="114300" distR="114300" simplePos="0" relativeHeight="251666944" behindDoc="0" locked="0" layoutInCell="1" allowOverlap="1">
          <wp:simplePos x="0" y="0"/>
          <wp:positionH relativeFrom="column">
            <wp:posOffset>3912235</wp:posOffset>
          </wp:positionH>
          <wp:positionV relativeFrom="paragraph">
            <wp:posOffset>-197485</wp:posOffset>
          </wp:positionV>
          <wp:extent cx="1758950" cy="548640"/>
          <wp:effectExtent l="0" t="0" r="0" b="0"/>
          <wp:wrapSquare wrapText="bothSides"/>
          <wp:docPr id="313"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854336" behindDoc="0" locked="0" layoutInCell="1" allowOverlap="1">
          <wp:simplePos x="0" y="0"/>
          <wp:positionH relativeFrom="column">
            <wp:posOffset>7748905</wp:posOffset>
          </wp:positionH>
          <wp:positionV relativeFrom="paragraph">
            <wp:posOffset>-57150</wp:posOffset>
          </wp:positionV>
          <wp:extent cx="1660525" cy="322580"/>
          <wp:effectExtent l="0" t="0" r="0" b="127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Pr>
        <w:noProof/>
        <w:lang w:eastAsia="en-AU"/>
      </w:rPr>
      <w:drawing>
        <wp:anchor distT="0" distB="0" distL="114300" distR="114300" simplePos="0" relativeHeight="251662848"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315"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5459E4">
    <w:pPr>
      <w:pStyle w:val="Header"/>
    </w:pPr>
    <w:r>
      <w:rPr>
        <w:noProof/>
        <w:lang w:eastAsia="en-AU"/>
      </w:rPr>
      <w:drawing>
        <wp:inline distT="0" distB="0" distL="0" distR="0">
          <wp:extent cx="2286000" cy="393700"/>
          <wp:effectExtent l="19050" t="0" r="0" b="0"/>
          <wp:docPr id="316"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5459E4">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5459E4">
    <w:pPr>
      <w:pStyle w:val="Header"/>
    </w:pPr>
    <w:r>
      <w:rPr>
        <w:noProof/>
        <w:lang w:eastAsia="en-AU"/>
      </w:rPr>
      <w:drawing>
        <wp:inline distT="0" distB="0" distL="0" distR="0">
          <wp:extent cx="2286000" cy="393700"/>
          <wp:effectExtent l="19050" t="0" r="0" b="0"/>
          <wp:docPr id="317"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5459E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19520" behindDoc="0" locked="0" layoutInCell="1" allowOverlap="1">
          <wp:simplePos x="0" y="0"/>
          <wp:positionH relativeFrom="column">
            <wp:posOffset>4376420</wp:posOffset>
          </wp:positionH>
          <wp:positionV relativeFrom="paragraph">
            <wp:posOffset>-42545</wp:posOffset>
          </wp:positionV>
          <wp:extent cx="1660525" cy="322580"/>
          <wp:effectExtent l="0" t="0" r="0" b="127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660800"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150" name="Picture 150"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618816"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51" name="Picture 151"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56384" behindDoc="0" locked="0" layoutInCell="1" allowOverlap="1">
          <wp:simplePos x="0" y="0"/>
          <wp:positionH relativeFrom="column">
            <wp:posOffset>4415790</wp:posOffset>
          </wp:positionH>
          <wp:positionV relativeFrom="paragraph">
            <wp:posOffset>-50800</wp:posOffset>
          </wp:positionV>
          <wp:extent cx="1660525" cy="322580"/>
          <wp:effectExtent l="0" t="0" r="0" b="127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07904" behindDoc="0" locked="0" layoutInCell="1" allowOverlap="1">
          <wp:simplePos x="0" y="0"/>
          <wp:positionH relativeFrom="column">
            <wp:posOffset>2190115</wp:posOffset>
          </wp:positionH>
          <wp:positionV relativeFrom="paragraph">
            <wp:posOffset>-170815</wp:posOffset>
          </wp:positionV>
          <wp:extent cx="1758950" cy="548640"/>
          <wp:effectExtent l="0" t="0" r="0" b="0"/>
          <wp:wrapSquare wrapText="bothSides"/>
          <wp:docPr id="319"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03808"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544"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58432" behindDoc="0" locked="0" layoutInCell="1" allowOverlap="1">
          <wp:simplePos x="0" y="0"/>
          <wp:positionH relativeFrom="column">
            <wp:posOffset>7630160</wp:posOffset>
          </wp:positionH>
          <wp:positionV relativeFrom="paragraph">
            <wp:posOffset>-83185</wp:posOffset>
          </wp:positionV>
          <wp:extent cx="1660525" cy="322580"/>
          <wp:effectExtent l="0" t="0" r="0" b="127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695616" behindDoc="0" locked="0" layoutInCell="1" allowOverlap="1">
          <wp:simplePos x="0" y="0"/>
          <wp:positionH relativeFrom="column">
            <wp:posOffset>3950335</wp:posOffset>
          </wp:positionH>
          <wp:positionV relativeFrom="paragraph">
            <wp:posOffset>-161290</wp:posOffset>
          </wp:positionV>
          <wp:extent cx="1758950" cy="548640"/>
          <wp:effectExtent l="0" t="0" r="0" b="0"/>
          <wp:wrapSquare wrapText="bothSides"/>
          <wp:docPr id="546"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691520"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547"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5459E4">
    <w:pPr>
      <w:pStyle w:val="Header"/>
    </w:pPr>
    <w:r>
      <w:rPr>
        <w:noProof/>
        <w:lang w:eastAsia="en-AU"/>
      </w:rPr>
      <w:drawing>
        <wp:inline distT="0" distB="0" distL="0" distR="0">
          <wp:extent cx="2286000" cy="393700"/>
          <wp:effectExtent l="19050" t="0" r="0" b="0"/>
          <wp:docPr id="548"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5459E4">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60480" behindDoc="0" locked="0" layoutInCell="1" allowOverlap="1">
          <wp:simplePos x="0" y="0"/>
          <wp:positionH relativeFrom="column">
            <wp:posOffset>4280535</wp:posOffset>
          </wp:positionH>
          <wp:positionV relativeFrom="paragraph">
            <wp:posOffset>-55245</wp:posOffset>
          </wp:positionV>
          <wp:extent cx="1660525" cy="322580"/>
          <wp:effectExtent l="0" t="0" r="0" b="1270"/>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01760"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550"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697664"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551"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5459E4">
    <w:pPr>
      <w:pStyle w:val="Header"/>
    </w:pPr>
    <w:r>
      <w:rPr>
        <w:noProof/>
        <w:lang w:eastAsia="en-AU"/>
      </w:rPr>
      <w:drawing>
        <wp:inline distT="0" distB="0" distL="0" distR="0">
          <wp:extent cx="2286000" cy="393700"/>
          <wp:effectExtent l="19050" t="0" r="0" b="0"/>
          <wp:docPr id="552"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5459E4">
    <w:pPr>
      <w:pStyle w:val="Heade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62528" behindDoc="0" locked="0" layoutInCell="1" allowOverlap="1">
          <wp:simplePos x="0" y="0"/>
          <wp:positionH relativeFrom="column">
            <wp:posOffset>7668895</wp:posOffset>
          </wp:positionH>
          <wp:positionV relativeFrom="paragraph">
            <wp:posOffset>-259715</wp:posOffset>
          </wp:positionV>
          <wp:extent cx="1660525" cy="322580"/>
          <wp:effectExtent l="0" t="0" r="0" b="1270"/>
          <wp:wrapSquare wrapText="bothSides"/>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Pr>
        <w:noProof/>
        <w:lang w:eastAsia="en-AU"/>
      </w:rPr>
      <w:drawing>
        <wp:anchor distT="0" distB="0" distL="114300" distR="114300" simplePos="0" relativeHeight="251737600" behindDoc="0" locked="0" layoutInCell="1" allowOverlap="1">
          <wp:simplePos x="0" y="0"/>
          <wp:positionH relativeFrom="column">
            <wp:posOffset>3946525</wp:posOffset>
          </wp:positionH>
          <wp:positionV relativeFrom="paragraph">
            <wp:posOffset>-318770</wp:posOffset>
          </wp:positionV>
          <wp:extent cx="1762125" cy="552450"/>
          <wp:effectExtent l="0" t="0" r="0" b="0"/>
          <wp:wrapSquare wrapText="bothSides"/>
          <wp:docPr id="909"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552450"/>
                  </a:xfrm>
                  <a:prstGeom prst="rect">
                    <a:avLst/>
                  </a:prstGeom>
                  <a:noFill/>
                  <a:ln>
                    <a:noFill/>
                  </a:ln>
                </pic:spPr>
              </pic:pic>
            </a:graphicData>
          </a:graphic>
        </wp:anchor>
      </w:drawing>
    </w:r>
    <w:r>
      <w:rPr>
        <w:noProof/>
        <w:lang w:eastAsia="en-AU"/>
      </w:rPr>
      <w:drawing>
        <wp:anchor distT="0" distB="0" distL="114300" distR="114300" simplePos="0" relativeHeight="251735552" behindDoc="1" locked="0" layoutInCell="1" allowOverlap="1">
          <wp:simplePos x="0" y="0"/>
          <wp:positionH relativeFrom="margin">
            <wp:posOffset>43180</wp:posOffset>
          </wp:positionH>
          <wp:positionV relativeFrom="page">
            <wp:posOffset>314325</wp:posOffset>
          </wp:positionV>
          <wp:extent cx="1675130" cy="285750"/>
          <wp:effectExtent l="19050" t="0" r="1270" b="0"/>
          <wp:wrapNone/>
          <wp:docPr id="910"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85750"/>
                  </a:xfrm>
                  <a:prstGeom prst="rect">
                    <a:avLst/>
                  </a:prstGeom>
                  <a:noFill/>
                  <a:ln w="9525">
                    <a:noFill/>
                    <a:miter lim="800000"/>
                    <a:headEnd/>
                    <a:tailEnd/>
                  </a:ln>
                </pic:spPr>
              </pic:pic>
            </a:graphicData>
          </a:graphic>
        </wp:anchor>
      </w:drawing>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7F6A5B" w:rsidRDefault="002D3096" w:rsidP="005459E4">
    <w:pPr>
      <w:pStyle w:val="Header"/>
    </w:pPr>
    <w:r>
      <w:rPr>
        <w:noProof/>
        <w:lang w:eastAsia="en-AU"/>
      </w:rPr>
      <w:drawing>
        <wp:inline distT="0" distB="0" distL="0" distR="0">
          <wp:extent cx="2286000" cy="393700"/>
          <wp:effectExtent l="19050" t="0" r="0" b="0"/>
          <wp:docPr id="911"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D3096" w:rsidRPr="005459E4" w:rsidRDefault="002D3096" w:rsidP="005459E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sidRPr="00FD2A4F">
      <w:rPr>
        <w:noProof/>
        <w:lang w:eastAsia="en-AU"/>
      </w:rPr>
      <w:drawing>
        <wp:anchor distT="0" distB="0" distL="114300" distR="114300" simplePos="0" relativeHeight="251877888" behindDoc="0" locked="0" layoutInCell="1" allowOverlap="1">
          <wp:simplePos x="0" y="0"/>
          <wp:positionH relativeFrom="column">
            <wp:posOffset>3882390</wp:posOffset>
          </wp:positionH>
          <wp:positionV relativeFrom="paragraph">
            <wp:posOffset>-161290</wp:posOffset>
          </wp:positionV>
          <wp:extent cx="1758950" cy="548640"/>
          <wp:effectExtent l="0" t="0" r="0" b="0"/>
          <wp:wrapSquare wrapText="bothSides"/>
          <wp:docPr id="152" name="Picture 152"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878912" behindDoc="0" locked="0" layoutInCell="1" allowOverlap="1">
          <wp:simplePos x="0" y="0"/>
          <wp:positionH relativeFrom="column">
            <wp:posOffset>7296785</wp:posOffset>
          </wp:positionH>
          <wp:positionV relativeFrom="paragraph">
            <wp:posOffset>-42545</wp:posOffset>
          </wp:positionV>
          <wp:extent cx="1660525" cy="322580"/>
          <wp:effectExtent l="0" t="0" r="0" b="127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Pr>
        <w:noProof/>
        <w:lang w:eastAsia="en-AU"/>
      </w:rPr>
      <w:drawing>
        <wp:anchor distT="0" distB="0" distL="114300" distR="114300" simplePos="0" relativeHeight="251876864"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54" name="Picture 15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Pr="00C71B0F" w:rsidRDefault="002D3096" w:rsidP="00CE7600">
    <w:pPr>
      <w:pStyle w:val="Header"/>
    </w:pPr>
    <w:r>
      <w:rPr>
        <w:noProof/>
        <w:lang w:eastAsia="en-AU"/>
      </w:rPr>
      <w:drawing>
        <wp:anchor distT="0" distB="0" distL="114300" distR="114300" simplePos="0" relativeHeight="251874816" behindDoc="0" locked="0" layoutInCell="1" allowOverlap="1">
          <wp:simplePos x="0" y="0"/>
          <wp:positionH relativeFrom="column">
            <wp:posOffset>4376420</wp:posOffset>
          </wp:positionH>
          <wp:positionV relativeFrom="paragraph">
            <wp:posOffset>-42545</wp:posOffset>
          </wp:positionV>
          <wp:extent cx="1660525" cy="322580"/>
          <wp:effectExtent l="0" t="0" r="0" b="127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873792"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156" name="Picture 156"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872768"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57" name="Picture 157"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096" w:rsidRDefault="002D3096">
    <w:pPr>
      <w:pStyle w:val="Header"/>
    </w:pPr>
    <w:r w:rsidRPr="00D95F6B">
      <w:rPr>
        <w:noProof/>
        <w:lang w:eastAsia="en-AU"/>
      </w:rPr>
      <w:drawing>
        <wp:inline distT="0" distB="0" distL="0" distR="0">
          <wp:extent cx="2447925" cy="430112"/>
          <wp:effectExtent l="19050" t="0" r="0" b="0"/>
          <wp:docPr id="1010"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5B2DF7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9E5064"/>
    <w:multiLevelType w:val="hybridMultilevel"/>
    <w:tmpl w:val="E1286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0CA6FB7"/>
    <w:multiLevelType w:val="hybridMultilevel"/>
    <w:tmpl w:val="00ECB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15F17"/>
    <w:multiLevelType w:val="hybridMultilevel"/>
    <w:tmpl w:val="7F4AD8BA"/>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
    <w:nsid w:val="0444555F"/>
    <w:multiLevelType w:val="hybridMultilevel"/>
    <w:tmpl w:val="BE16C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FC5F39"/>
    <w:multiLevelType w:val="multilevel"/>
    <w:tmpl w:val="AE2C595C"/>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50F50C1"/>
    <w:multiLevelType w:val="hybridMultilevel"/>
    <w:tmpl w:val="12BAC2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9B05D41"/>
    <w:multiLevelType w:val="hybridMultilevel"/>
    <w:tmpl w:val="A35EF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ED543D"/>
    <w:multiLevelType w:val="hybridMultilevel"/>
    <w:tmpl w:val="B9B2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B70230"/>
    <w:multiLevelType w:val="hybridMultilevel"/>
    <w:tmpl w:val="4572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CE6FB8"/>
    <w:multiLevelType w:val="hybridMultilevel"/>
    <w:tmpl w:val="3CDC2F7A"/>
    <w:lvl w:ilvl="0" w:tplc="D45C57AE">
      <w:start w:val="1"/>
      <w:numFmt w:val="decimal"/>
      <w:pStyle w:val="SRUTableHeading"/>
      <w:lvlText w:val="Table %1"/>
      <w:lvlJc w:val="left"/>
      <w:pPr>
        <w:ind w:left="1495"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11">
    <w:nsid w:val="123119FB"/>
    <w:multiLevelType w:val="hybridMultilevel"/>
    <w:tmpl w:val="D968E70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nsid w:val="125B55C0"/>
    <w:multiLevelType w:val="multilevel"/>
    <w:tmpl w:val="DBF62AB0"/>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12D64EE6"/>
    <w:multiLevelType w:val="hybridMultilevel"/>
    <w:tmpl w:val="2E143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AF7A37"/>
    <w:multiLevelType w:val="hybridMultilevel"/>
    <w:tmpl w:val="DF94F17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7B419E9"/>
    <w:multiLevelType w:val="hybridMultilevel"/>
    <w:tmpl w:val="87EAB5AA"/>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6">
    <w:nsid w:val="18942DA3"/>
    <w:multiLevelType w:val="hybridMultilevel"/>
    <w:tmpl w:val="F468C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5579BC"/>
    <w:multiLevelType w:val="hybridMultilevel"/>
    <w:tmpl w:val="DC0C7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F430D45"/>
    <w:multiLevelType w:val="hybridMultilevel"/>
    <w:tmpl w:val="5E38F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6C26D7"/>
    <w:multiLevelType w:val="hybridMultilevel"/>
    <w:tmpl w:val="ACFE2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F9666F4"/>
    <w:multiLevelType w:val="hybridMultilevel"/>
    <w:tmpl w:val="EE026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1207BBB"/>
    <w:multiLevelType w:val="hybridMultilevel"/>
    <w:tmpl w:val="1BE6A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39B2D32"/>
    <w:multiLevelType w:val="hybridMultilevel"/>
    <w:tmpl w:val="4628F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440633B"/>
    <w:multiLevelType w:val="hybridMultilevel"/>
    <w:tmpl w:val="468E0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AC1028"/>
    <w:multiLevelType w:val="hybridMultilevel"/>
    <w:tmpl w:val="058A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D24067"/>
    <w:multiLevelType w:val="multilevel"/>
    <w:tmpl w:val="44E20926"/>
    <w:lvl w:ilvl="0">
      <w:start w:val="1"/>
      <w:numFmt w:val="decimal"/>
      <w:pStyle w:val="Level1"/>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rPr>
    </w:lvl>
    <w:lvl w:ilvl="3">
      <w:start w:val="1"/>
      <w:numFmt w:val="lowerRoman"/>
      <w:pStyle w:val="Leveli"/>
      <w:lvlText w:val="(%4)"/>
      <w:lvlJc w:val="left"/>
      <w:pPr>
        <w:tabs>
          <w:tab w:val="num" w:pos="2160"/>
        </w:tabs>
        <w:ind w:left="2160" w:hanging="720"/>
      </w:pPr>
      <w:rPr>
        <w:rFonts w:ascii="Palatino" w:hAnsi="Palatino" w:hint="default"/>
        <w:b w:val="0"/>
        <w:i w:val="0"/>
        <w:caps w:val="0"/>
        <w:strike w:val="0"/>
        <w:dstrike w:val="0"/>
        <w:vanish w:val="0"/>
        <w:color w:val="000000"/>
        <w:sz w:val="24"/>
        <w:vertAlign w:val="baseline"/>
      </w:rPr>
    </w:lvl>
    <w:lvl w:ilvl="4">
      <w:start w:val="1"/>
      <w:numFmt w:val="upperLetter"/>
      <w:pStyle w:val="LevelA0"/>
      <w:lvlText w:val="(%5)"/>
      <w:lvlJc w:val="left"/>
      <w:pPr>
        <w:tabs>
          <w:tab w:val="num" w:pos="2880"/>
        </w:tabs>
        <w:ind w:left="2880" w:hanging="720"/>
      </w:pPr>
      <w:rPr>
        <w:rFonts w:ascii="Palatino" w:hAnsi="Palatino" w:hint="default"/>
        <w:b w:val="0"/>
        <w:i w:val="0"/>
        <w:caps w:val="0"/>
        <w:strike w:val="0"/>
        <w:dstrike w:val="0"/>
        <w:vanish w:val="0"/>
        <w:color w:val="000000"/>
        <w:sz w:val="24"/>
        <w:vertAlign w:val="baseline"/>
      </w:rPr>
    </w:lvl>
    <w:lvl w:ilvl="5">
      <w:start w:val="1"/>
      <w:numFmt w:val="upperRoman"/>
      <w:pStyle w:val="LevelI0"/>
      <w:lvlText w:val="(%6)"/>
      <w:lvlJc w:val="left"/>
      <w:pPr>
        <w:tabs>
          <w:tab w:val="num" w:pos="3600"/>
        </w:tabs>
        <w:ind w:left="3600" w:hanging="720"/>
      </w:pPr>
      <w:rPr>
        <w:rFonts w:ascii="Palatino" w:hAnsi="Palatino" w:hint="default"/>
        <w:b w:val="0"/>
        <w:i w:val="0"/>
        <w:caps w:val="0"/>
        <w:strike w:val="0"/>
        <w:dstrike w:val="0"/>
        <w:vanish w:val="0"/>
        <w:color w:val="000000"/>
        <w:sz w:val="24"/>
        <w:vertAlign w:val="baseline"/>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276F0527"/>
    <w:multiLevelType w:val="hybridMultilevel"/>
    <w:tmpl w:val="9E023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2B1804E6"/>
    <w:multiLevelType w:val="hybridMultilevel"/>
    <w:tmpl w:val="2C5295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2BF50C62"/>
    <w:multiLevelType w:val="multilevel"/>
    <w:tmpl w:val="7AE8B8C0"/>
    <w:lvl w:ilvl="0">
      <w:start w:val="1"/>
      <w:numFmt w:val="lowerLetter"/>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2C851C01"/>
    <w:multiLevelType w:val="hybridMultilevel"/>
    <w:tmpl w:val="FB322F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FAD4A34"/>
    <w:multiLevelType w:val="hybridMultilevel"/>
    <w:tmpl w:val="C45EC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0641F83"/>
    <w:multiLevelType w:val="hybridMultilevel"/>
    <w:tmpl w:val="132AB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16D5307"/>
    <w:multiLevelType w:val="hybridMultilevel"/>
    <w:tmpl w:val="DAC68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329A05E9"/>
    <w:multiLevelType w:val="multilevel"/>
    <w:tmpl w:val="A036B586"/>
    <w:styleLink w:val="Dotpoints"/>
    <w:lvl w:ilvl="0">
      <w:start w:val="1"/>
      <w:numFmt w:val="bullet"/>
      <w:lvlText w:val=""/>
      <w:lvlJc w:val="left"/>
      <w:pPr>
        <w:ind w:left="357" w:hanging="357"/>
      </w:pPr>
      <w:rPr>
        <w:rFonts w:ascii="Symbol" w:hAnsi="Symbol" w:hint="default"/>
        <w:color w:val="auto"/>
      </w:rPr>
    </w:lvl>
    <w:lvl w:ilvl="1">
      <w:start w:val="1"/>
      <w:numFmt w:val="bullet"/>
      <w:lvlText w:val="-"/>
      <w:lvlJc w:val="left"/>
      <w:pPr>
        <w:tabs>
          <w:tab w:val="num" w:pos="907"/>
        </w:tabs>
        <w:ind w:left="907" w:hanging="550"/>
      </w:pPr>
      <w:rPr>
        <w:rFonts w:ascii="Courier New" w:hAnsi="Courier New" w:hint="default"/>
      </w:rPr>
    </w:lvl>
    <w:lvl w:ilvl="2">
      <w:start w:val="1"/>
      <w:numFmt w:val="bullet"/>
      <w:lvlText w:val=""/>
      <w:lvlJc w:val="left"/>
      <w:pPr>
        <w:tabs>
          <w:tab w:val="num" w:pos="1474"/>
        </w:tabs>
        <w:ind w:left="1474"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5814FAE"/>
    <w:multiLevelType w:val="hybridMultilevel"/>
    <w:tmpl w:val="10285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7DC2418"/>
    <w:multiLevelType w:val="multilevel"/>
    <w:tmpl w:val="10A4E958"/>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FF" w:themeColor="text2"/>
        <w:spacing w:val="0"/>
        <w:kern w:val="0"/>
        <w:position w:val="0"/>
        <w:u w:val="none"/>
        <w:vertAlign w:val="baseline"/>
        <w:em w:val="none"/>
      </w:rPr>
    </w:lvl>
    <w:lvl w:ilvl="1">
      <w:start w:val="1"/>
      <w:numFmt w:val="decimal"/>
      <w:pStyle w:val="Heading2"/>
      <w:lvlText w:val="%1.%2"/>
      <w:lvlJc w:val="left"/>
      <w:pPr>
        <w:ind w:left="851" w:hanging="851"/>
      </w:pPr>
      <w:rPr>
        <w:b w:val="0"/>
        <w:bCs w:val="0"/>
        <w:i w:val="0"/>
        <w:iCs w:val="0"/>
        <w:caps w:val="0"/>
        <w:smallCaps w:val="0"/>
        <w:strike w:val="0"/>
        <w:dstrike w:val="0"/>
        <w:noProof w:val="0"/>
        <w:vanish w:val="0"/>
        <w:color w:val="0000FF" w:themeColor="text2"/>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3B196AB0"/>
    <w:multiLevelType w:val="multilevel"/>
    <w:tmpl w:val="7AE8B8C0"/>
    <w:lvl w:ilvl="0">
      <w:start w:val="1"/>
      <w:numFmt w:val="lowerLetter"/>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B3E66B9"/>
    <w:multiLevelType w:val="hybridMultilevel"/>
    <w:tmpl w:val="6CD0CE0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3C1400F6"/>
    <w:multiLevelType w:val="hybridMultilevel"/>
    <w:tmpl w:val="0B58A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C233F7B"/>
    <w:multiLevelType w:val="hybridMultilevel"/>
    <w:tmpl w:val="E1286C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3CBC364D"/>
    <w:multiLevelType w:val="hybridMultilevel"/>
    <w:tmpl w:val="E1286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43457B78"/>
    <w:multiLevelType w:val="hybridMultilevel"/>
    <w:tmpl w:val="E1286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4215DFE"/>
    <w:multiLevelType w:val="hybridMultilevel"/>
    <w:tmpl w:val="3CB8C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9FD3656"/>
    <w:multiLevelType w:val="hybridMultilevel"/>
    <w:tmpl w:val="A35478F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4">
    <w:nsid w:val="502724D0"/>
    <w:multiLevelType w:val="hybridMultilevel"/>
    <w:tmpl w:val="12BAC2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534C5A65"/>
    <w:multiLevelType w:val="hybridMultilevel"/>
    <w:tmpl w:val="7D80FBF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6">
    <w:nsid w:val="5569643F"/>
    <w:multiLevelType w:val="hybridMultilevel"/>
    <w:tmpl w:val="027EEA0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63A247F"/>
    <w:multiLevelType w:val="hybridMultilevel"/>
    <w:tmpl w:val="C76E7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78673A8"/>
    <w:multiLevelType w:val="multilevel"/>
    <w:tmpl w:val="6352C660"/>
    <w:styleLink w:val="BEList"/>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9027015"/>
    <w:multiLevelType w:val="multilevel"/>
    <w:tmpl w:val="497A5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A5C36F9"/>
    <w:multiLevelType w:val="multilevel"/>
    <w:tmpl w:val="56209EFE"/>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nsid w:val="5B2E320D"/>
    <w:multiLevelType w:val="hybridMultilevel"/>
    <w:tmpl w:val="AE2EBF6A"/>
    <w:lvl w:ilvl="0" w:tplc="8AA07F9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BC31490"/>
    <w:multiLevelType w:val="hybridMultilevel"/>
    <w:tmpl w:val="4498FF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F5526D"/>
    <w:multiLevelType w:val="multilevel"/>
    <w:tmpl w:val="DD92D058"/>
    <w:lvl w:ilvl="0">
      <w:start w:val="1"/>
      <w:numFmt w:val="bullet"/>
      <w:lvlText w:val=""/>
      <w:lvlJc w:val="left"/>
      <w:pPr>
        <w:ind w:left="454" w:hanging="454"/>
      </w:pPr>
      <w:rPr>
        <w:rFonts w:ascii="Symbol" w:hAnsi="Symbol"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nsid w:val="5DF95756"/>
    <w:multiLevelType w:val="multilevel"/>
    <w:tmpl w:val="DDCA3D52"/>
    <w:lvl w:ilvl="0">
      <w:start w:val="1"/>
      <w:numFmt w:val="bullet"/>
      <w:pStyle w:val="Bullet1"/>
      <w:lvlText w:val=""/>
      <w:lvlJc w:val="left"/>
      <w:pPr>
        <w:ind w:left="454" w:hanging="454"/>
      </w:pPr>
      <w:rPr>
        <w:rFonts w:ascii="Symbol" w:hAnsi="Symbol" w:hint="default"/>
        <w:color w:val="080808"/>
      </w:rPr>
    </w:lvl>
    <w:lvl w:ilvl="1">
      <w:start w:val="1"/>
      <w:numFmt w:val="bullet"/>
      <w:pStyle w:val="Bullet2"/>
      <w:lvlText w:val=""/>
      <w:lvlJc w:val="left"/>
      <w:pPr>
        <w:ind w:left="907" w:hanging="453"/>
      </w:pPr>
      <w:rPr>
        <w:rFonts w:ascii="Symbol" w:hAnsi="Symbol" w:hint="default"/>
      </w:rPr>
    </w:lvl>
    <w:lvl w:ilvl="2">
      <w:start w:val="1"/>
      <w:numFmt w:val="bullet"/>
      <w:pStyle w:val="Bullet3"/>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nsid w:val="5EC567BA"/>
    <w:multiLevelType w:val="hybridMultilevel"/>
    <w:tmpl w:val="E1286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61490232"/>
    <w:multiLevelType w:val="multilevel"/>
    <w:tmpl w:val="DBF62AB0"/>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nsid w:val="618A2CB5"/>
    <w:multiLevelType w:val="multilevel"/>
    <w:tmpl w:val="5AEC97BC"/>
    <w:name w:val="BE Appendix Headings"/>
    <w:lvl w:ilvl="0">
      <w:start w:val="1"/>
      <w:numFmt w:val="upperLetter"/>
      <w:pStyle w:val="AppendixSectionnumber"/>
      <w:lvlText w:val="Appendix %1"/>
      <w:lvlJc w:val="left"/>
      <w:pPr>
        <w:ind w:left="851" w:hanging="851"/>
      </w:pPr>
      <w:rPr>
        <w:rFonts w:hint="default"/>
        <w:b w:val="0"/>
        <w:bCs w:val="0"/>
        <w:i w:val="0"/>
        <w:iCs w:val="0"/>
        <w:caps w:val="0"/>
        <w:smallCaps w:val="0"/>
        <w:strike w:val="0"/>
        <w:dstrike w:val="0"/>
        <w:vanish w:val="0"/>
        <w:color w:val="0000FF" w:themeColor="text2"/>
        <w:spacing w:val="0"/>
        <w:kern w:val="0"/>
        <w:position w:val="0"/>
        <w:u w:val="none"/>
        <w:vertAlign w:val="baseline"/>
        <w:em w:val="none"/>
      </w:rPr>
    </w:lvl>
    <w:lvl w:ilvl="1">
      <w:start w:val="1"/>
      <w:numFmt w:val="decimal"/>
      <w:pStyle w:val="AppendixHeading1"/>
      <w:lvlText w:val="%1.%2"/>
      <w:lvlJc w:val="left"/>
      <w:pPr>
        <w:ind w:left="3971" w:hanging="851"/>
      </w:pPr>
      <w:rPr>
        <w:rFonts w:ascii="Arial Rounded MT Bold" w:hAnsi="Arial Rounded MT Bold"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5A37397"/>
    <w:multiLevelType w:val="hybridMultilevel"/>
    <w:tmpl w:val="4DC847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nsid w:val="67D46CE9"/>
    <w:multiLevelType w:val="hybridMultilevel"/>
    <w:tmpl w:val="B6F2EDB6"/>
    <w:lvl w:ilvl="0" w:tplc="3A1CAC84">
      <w:start w:val="56"/>
      <w:numFmt w:val="bullet"/>
      <w:lvlText w:val="-"/>
      <w:lvlJc w:val="left"/>
      <w:pPr>
        <w:ind w:left="405" w:hanging="360"/>
      </w:pPr>
      <w:rPr>
        <w:rFonts w:ascii="Calibri" w:eastAsia="Times New Roman" w:hAnsi="Calibri" w:cstheme="minorHAns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0">
    <w:nsid w:val="6C9C7276"/>
    <w:multiLevelType w:val="hybridMultilevel"/>
    <w:tmpl w:val="B316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B53176"/>
    <w:multiLevelType w:val="multilevel"/>
    <w:tmpl w:val="4CD64356"/>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F0B5228"/>
    <w:multiLevelType w:val="hybridMultilevel"/>
    <w:tmpl w:val="7D80FBF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3">
    <w:nsid w:val="71477219"/>
    <w:multiLevelType w:val="hybridMultilevel"/>
    <w:tmpl w:val="0F9E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2CC465D"/>
    <w:multiLevelType w:val="hybridMultilevel"/>
    <w:tmpl w:val="E1286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77747681"/>
    <w:multiLevelType w:val="multilevel"/>
    <w:tmpl w:val="054A2CEE"/>
    <w:name w:val="BE_Appendix"/>
    <w:lvl w:ilvl="0">
      <w:start w:val="1"/>
      <w:numFmt w:val="decimal"/>
      <w:lvlText w:val="A%1"/>
      <w:lvlJc w:val="left"/>
      <w:pPr>
        <w:ind w:left="0" w:firstLine="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6">
    <w:nsid w:val="779261E3"/>
    <w:multiLevelType w:val="hybridMultilevel"/>
    <w:tmpl w:val="2FD4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8355936"/>
    <w:multiLevelType w:val="hybridMultilevel"/>
    <w:tmpl w:val="8BBA0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85535B3"/>
    <w:multiLevelType w:val="hybridMultilevel"/>
    <w:tmpl w:val="9BBE6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7AC1107F"/>
    <w:multiLevelType w:val="hybridMultilevel"/>
    <w:tmpl w:val="0A84E3F4"/>
    <w:lvl w:ilvl="0" w:tplc="B888B0BC">
      <w:start w:val="1"/>
      <w:numFmt w:val="bullet"/>
      <w:pStyle w:val="PointsBulletsSRU"/>
      <w:lvlText w:val=""/>
      <w:lvlJc w:val="left"/>
      <w:pPr>
        <w:tabs>
          <w:tab w:val="num" w:pos="1701"/>
        </w:tabs>
        <w:ind w:left="1701"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7BFA70AD"/>
    <w:multiLevelType w:val="multilevel"/>
    <w:tmpl w:val="DBF62AB0"/>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51"/>
  </w:num>
  <w:num w:numId="2">
    <w:abstractNumId w:val="33"/>
  </w:num>
  <w:num w:numId="3">
    <w:abstractNumId w:val="48"/>
  </w:num>
  <w:num w:numId="4">
    <w:abstractNumId w:val="54"/>
  </w:num>
  <w:num w:numId="5">
    <w:abstractNumId w:val="35"/>
  </w:num>
  <w:num w:numId="6">
    <w:abstractNumId w:val="57"/>
  </w:num>
  <w:num w:numId="7">
    <w:abstractNumId w:val="7"/>
  </w:num>
  <w:num w:numId="8">
    <w:abstractNumId w:val="36"/>
  </w:num>
  <w:num w:numId="9">
    <w:abstractNumId w:val="28"/>
  </w:num>
  <w:num w:numId="10">
    <w:abstractNumId w:val="61"/>
  </w:num>
  <w:num w:numId="11">
    <w:abstractNumId w:val="23"/>
  </w:num>
  <w:num w:numId="12">
    <w:abstractNumId w:val="10"/>
  </w:num>
  <w:num w:numId="13">
    <w:abstractNumId w:val="2"/>
  </w:num>
  <w:num w:numId="14">
    <w:abstractNumId w:val="13"/>
  </w:num>
  <w:num w:numId="15">
    <w:abstractNumId w:val="0"/>
  </w:num>
  <w:num w:numId="16">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50"/>
  </w:num>
  <w:num w:numId="21">
    <w:abstractNumId w:val="53"/>
  </w:num>
  <w:num w:numId="22">
    <w:abstractNumId w:val="19"/>
  </w:num>
  <w:num w:numId="23">
    <w:abstractNumId w:val="58"/>
  </w:num>
  <w:num w:numId="24">
    <w:abstractNumId w:val="15"/>
  </w:num>
  <w:num w:numId="25">
    <w:abstractNumId w:val="29"/>
  </w:num>
  <w:num w:numId="26">
    <w:abstractNumId w:val="5"/>
  </w:num>
  <w:num w:numId="27">
    <w:abstractNumId w:val="44"/>
  </w:num>
  <w:num w:numId="28">
    <w:abstractNumId w:val="37"/>
  </w:num>
  <w:num w:numId="29">
    <w:abstractNumId w:val="27"/>
  </w:num>
  <w:num w:numId="30">
    <w:abstractNumId w:val="54"/>
  </w:num>
  <w:num w:numId="31">
    <w:abstractNumId w:val="32"/>
  </w:num>
  <w:num w:numId="32">
    <w:abstractNumId w:val="22"/>
  </w:num>
  <w:num w:numId="33">
    <w:abstractNumId w:val="6"/>
  </w:num>
  <w:num w:numId="34">
    <w:abstractNumId w:val="20"/>
  </w:num>
  <w:num w:numId="35">
    <w:abstractNumId w:val="26"/>
  </w:num>
  <w:num w:numId="36">
    <w:abstractNumId w:val="35"/>
  </w:num>
  <w:num w:numId="37">
    <w:abstractNumId w:val="42"/>
  </w:num>
  <w:num w:numId="38">
    <w:abstractNumId w:val="41"/>
  </w:num>
  <w:num w:numId="39">
    <w:abstractNumId w:val="11"/>
  </w:num>
  <w:num w:numId="40">
    <w:abstractNumId w:val="45"/>
  </w:num>
  <w:num w:numId="41">
    <w:abstractNumId w:val="55"/>
  </w:num>
  <w:num w:numId="42">
    <w:abstractNumId w:val="64"/>
  </w:num>
  <w:num w:numId="43">
    <w:abstractNumId w:val="40"/>
  </w:num>
  <w:num w:numId="44">
    <w:abstractNumId w:val="3"/>
  </w:num>
  <w:num w:numId="45">
    <w:abstractNumId w:val="1"/>
  </w:num>
  <w:num w:numId="46">
    <w:abstractNumId w:val="52"/>
  </w:num>
  <w:num w:numId="47">
    <w:abstractNumId w:val="51"/>
  </w:num>
  <w:num w:numId="48">
    <w:abstractNumId w:val="51"/>
  </w:num>
  <w:num w:numId="49">
    <w:abstractNumId w:val="9"/>
  </w:num>
  <w:num w:numId="50">
    <w:abstractNumId w:val="8"/>
  </w:num>
  <w:num w:numId="51">
    <w:abstractNumId w:val="60"/>
  </w:num>
  <w:num w:numId="52">
    <w:abstractNumId w:val="59"/>
  </w:num>
  <w:num w:numId="53">
    <w:abstractNumId w:val="63"/>
  </w:num>
  <w:num w:numId="54">
    <w:abstractNumId w:val="67"/>
  </w:num>
  <w:num w:numId="55">
    <w:abstractNumId w:val="38"/>
  </w:num>
  <w:num w:numId="56">
    <w:abstractNumId w:val="30"/>
  </w:num>
  <w:num w:numId="57">
    <w:abstractNumId w:val="4"/>
  </w:num>
  <w:num w:numId="58">
    <w:abstractNumId w:val="68"/>
  </w:num>
  <w:num w:numId="59">
    <w:abstractNumId w:val="16"/>
  </w:num>
  <w:num w:numId="60">
    <w:abstractNumId w:val="51"/>
  </w:num>
  <w:num w:numId="61">
    <w:abstractNumId w:val="21"/>
  </w:num>
  <w:num w:numId="62">
    <w:abstractNumId w:val="17"/>
  </w:num>
  <w:num w:numId="63">
    <w:abstractNumId w:val="31"/>
  </w:num>
  <w:num w:numId="64">
    <w:abstractNumId w:val="34"/>
  </w:num>
  <w:num w:numId="65">
    <w:abstractNumId w:val="24"/>
  </w:num>
  <w:num w:numId="66">
    <w:abstractNumId w:val="47"/>
  </w:num>
  <w:num w:numId="67">
    <w:abstractNumId w:val="46"/>
  </w:num>
  <w:num w:numId="68">
    <w:abstractNumId w:val="14"/>
  </w:num>
  <w:num w:numId="69">
    <w:abstractNumId w:val="66"/>
  </w:num>
  <w:num w:numId="70">
    <w:abstractNumId w:val="49"/>
  </w:num>
  <w:num w:numId="71">
    <w:abstractNumId w:val="56"/>
  </w:num>
  <w:num w:numId="72">
    <w:abstractNumId w:val="39"/>
  </w:num>
  <w:num w:numId="73">
    <w:abstractNumId w:val="12"/>
  </w:num>
  <w:num w:numId="74">
    <w:abstractNumId w:val="43"/>
  </w:num>
  <w:num w:numId="75">
    <w:abstractNumId w:val="70"/>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grammar="clean"/>
  <w:attachedTemplate r:id="rId1"/>
  <w:stylePaneFormatFilter w:val="7F04"/>
  <w:defaultTabStop w:val="720"/>
  <w:drawingGridHorizontalSpacing w:val="100"/>
  <w:displayHorizontalDrawingGridEvery w:val="2"/>
  <w:noPunctuationKerning/>
  <w:characterSpacingControl w:val="doNotCompress"/>
  <w:hdrShapeDefaults>
    <o:shapedefaults v:ext="edit" spidmax="10241">
      <o:colormru v:ext="edit" colors="#c5c5ff,#dbe5f1"/>
    </o:shapedefaults>
  </w:hdrShapeDefaults>
  <w:footnotePr>
    <w:footnote w:id="-1"/>
    <w:footnote w:id="0"/>
  </w:footnotePr>
  <w:endnotePr>
    <w:endnote w:id="-1"/>
    <w:endnote w:id="0"/>
  </w:endnotePr>
  <w:compat/>
  <w:rsids>
    <w:rsidRoot w:val="00985C2E"/>
    <w:rsid w:val="00001169"/>
    <w:rsid w:val="000011BE"/>
    <w:rsid w:val="000011C5"/>
    <w:rsid w:val="00003B64"/>
    <w:rsid w:val="00003EEF"/>
    <w:rsid w:val="000041C8"/>
    <w:rsid w:val="00004297"/>
    <w:rsid w:val="00004BA6"/>
    <w:rsid w:val="00004F9F"/>
    <w:rsid w:val="000062A2"/>
    <w:rsid w:val="00006344"/>
    <w:rsid w:val="00010C2F"/>
    <w:rsid w:val="00012496"/>
    <w:rsid w:val="00012580"/>
    <w:rsid w:val="00012E7F"/>
    <w:rsid w:val="00012E83"/>
    <w:rsid w:val="000130F5"/>
    <w:rsid w:val="00013409"/>
    <w:rsid w:val="000140D2"/>
    <w:rsid w:val="000143BC"/>
    <w:rsid w:val="0001548D"/>
    <w:rsid w:val="000170CD"/>
    <w:rsid w:val="0001725B"/>
    <w:rsid w:val="00017B40"/>
    <w:rsid w:val="00020580"/>
    <w:rsid w:val="000208C6"/>
    <w:rsid w:val="00021BDA"/>
    <w:rsid w:val="000229E1"/>
    <w:rsid w:val="00022D51"/>
    <w:rsid w:val="00022DC1"/>
    <w:rsid w:val="0002354C"/>
    <w:rsid w:val="00023770"/>
    <w:rsid w:val="00023E0F"/>
    <w:rsid w:val="000244FC"/>
    <w:rsid w:val="00025712"/>
    <w:rsid w:val="00025AFF"/>
    <w:rsid w:val="0002606B"/>
    <w:rsid w:val="00026103"/>
    <w:rsid w:val="00026545"/>
    <w:rsid w:val="00027B92"/>
    <w:rsid w:val="00030167"/>
    <w:rsid w:val="000303B3"/>
    <w:rsid w:val="00030BB9"/>
    <w:rsid w:val="00032EC4"/>
    <w:rsid w:val="00032F41"/>
    <w:rsid w:val="00033F91"/>
    <w:rsid w:val="0003467D"/>
    <w:rsid w:val="00034C0B"/>
    <w:rsid w:val="00035BB8"/>
    <w:rsid w:val="0003696E"/>
    <w:rsid w:val="00040DDD"/>
    <w:rsid w:val="0004393D"/>
    <w:rsid w:val="00043A29"/>
    <w:rsid w:val="00043CC8"/>
    <w:rsid w:val="000441AC"/>
    <w:rsid w:val="000448B5"/>
    <w:rsid w:val="00044C93"/>
    <w:rsid w:val="000450B9"/>
    <w:rsid w:val="000465F7"/>
    <w:rsid w:val="0004687D"/>
    <w:rsid w:val="00047114"/>
    <w:rsid w:val="00051EC3"/>
    <w:rsid w:val="00051EC9"/>
    <w:rsid w:val="00051F80"/>
    <w:rsid w:val="00052090"/>
    <w:rsid w:val="0005251D"/>
    <w:rsid w:val="00053750"/>
    <w:rsid w:val="0005436B"/>
    <w:rsid w:val="0005491C"/>
    <w:rsid w:val="0005651E"/>
    <w:rsid w:val="0005717D"/>
    <w:rsid w:val="00057CD2"/>
    <w:rsid w:val="00057DB0"/>
    <w:rsid w:val="0006014E"/>
    <w:rsid w:val="000608F5"/>
    <w:rsid w:val="00061613"/>
    <w:rsid w:val="00061A5B"/>
    <w:rsid w:val="00061B2C"/>
    <w:rsid w:val="00061F1C"/>
    <w:rsid w:val="00062CFF"/>
    <w:rsid w:val="00063E72"/>
    <w:rsid w:val="00064D6C"/>
    <w:rsid w:val="000654C1"/>
    <w:rsid w:val="000658F0"/>
    <w:rsid w:val="00066026"/>
    <w:rsid w:val="000663A0"/>
    <w:rsid w:val="00066D45"/>
    <w:rsid w:val="00066DB0"/>
    <w:rsid w:val="00066ECB"/>
    <w:rsid w:val="00066FE6"/>
    <w:rsid w:val="00067B49"/>
    <w:rsid w:val="00070985"/>
    <w:rsid w:val="000711DB"/>
    <w:rsid w:val="00071561"/>
    <w:rsid w:val="000742EE"/>
    <w:rsid w:val="00074B9D"/>
    <w:rsid w:val="00075F62"/>
    <w:rsid w:val="00076997"/>
    <w:rsid w:val="00076FD5"/>
    <w:rsid w:val="00077D36"/>
    <w:rsid w:val="0008004E"/>
    <w:rsid w:val="00080AB1"/>
    <w:rsid w:val="000818BD"/>
    <w:rsid w:val="00081C38"/>
    <w:rsid w:val="0008201A"/>
    <w:rsid w:val="0008278B"/>
    <w:rsid w:val="000829A3"/>
    <w:rsid w:val="00083D93"/>
    <w:rsid w:val="00083E9B"/>
    <w:rsid w:val="000848FC"/>
    <w:rsid w:val="00085AEA"/>
    <w:rsid w:val="0008604B"/>
    <w:rsid w:val="00086F85"/>
    <w:rsid w:val="00086FA8"/>
    <w:rsid w:val="000872DE"/>
    <w:rsid w:val="000878AB"/>
    <w:rsid w:val="00090B3F"/>
    <w:rsid w:val="00090E8F"/>
    <w:rsid w:val="0009187B"/>
    <w:rsid w:val="00092E4D"/>
    <w:rsid w:val="00093F02"/>
    <w:rsid w:val="00094314"/>
    <w:rsid w:val="00095DC9"/>
    <w:rsid w:val="00097CE6"/>
    <w:rsid w:val="000A0C5D"/>
    <w:rsid w:val="000A17C4"/>
    <w:rsid w:val="000A2CA8"/>
    <w:rsid w:val="000A3220"/>
    <w:rsid w:val="000A38C6"/>
    <w:rsid w:val="000A442C"/>
    <w:rsid w:val="000A4C31"/>
    <w:rsid w:val="000A57B0"/>
    <w:rsid w:val="000A5B03"/>
    <w:rsid w:val="000A6811"/>
    <w:rsid w:val="000A6A37"/>
    <w:rsid w:val="000A6FC2"/>
    <w:rsid w:val="000A7416"/>
    <w:rsid w:val="000A7E55"/>
    <w:rsid w:val="000B0EAA"/>
    <w:rsid w:val="000B2F34"/>
    <w:rsid w:val="000B307C"/>
    <w:rsid w:val="000B31F5"/>
    <w:rsid w:val="000B3246"/>
    <w:rsid w:val="000B3523"/>
    <w:rsid w:val="000B3766"/>
    <w:rsid w:val="000B41C4"/>
    <w:rsid w:val="000B557F"/>
    <w:rsid w:val="000B5B7D"/>
    <w:rsid w:val="000B5FF7"/>
    <w:rsid w:val="000B7AA9"/>
    <w:rsid w:val="000B7D07"/>
    <w:rsid w:val="000C09F5"/>
    <w:rsid w:val="000C0F5E"/>
    <w:rsid w:val="000C12D4"/>
    <w:rsid w:val="000C1394"/>
    <w:rsid w:val="000C2024"/>
    <w:rsid w:val="000C2967"/>
    <w:rsid w:val="000C2E84"/>
    <w:rsid w:val="000C30C7"/>
    <w:rsid w:val="000C32BD"/>
    <w:rsid w:val="000C3AC6"/>
    <w:rsid w:val="000C4804"/>
    <w:rsid w:val="000C620D"/>
    <w:rsid w:val="000C685B"/>
    <w:rsid w:val="000C6A7B"/>
    <w:rsid w:val="000C7135"/>
    <w:rsid w:val="000D0ED2"/>
    <w:rsid w:val="000D1313"/>
    <w:rsid w:val="000D18A0"/>
    <w:rsid w:val="000D1B24"/>
    <w:rsid w:val="000D348B"/>
    <w:rsid w:val="000D395D"/>
    <w:rsid w:val="000D443F"/>
    <w:rsid w:val="000D530A"/>
    <w:rsid w:val="000D7DD5"/>
    <w:rsid w:val="000E17A4"/>
    <w:rsid w:val="000E223B"/>
    <w:rsid w:val="000E3929"/>
    <w:rsid w:val="000E3F9D"/>
    <w:rsid w:val="000E4077"/>
    <w:rsid w:val="000E48F3"/>
    <w:rsid w:val="000E5702"/>
    <w:rsid w:val="000E6849"/>
    <w:rsid w:val="000E6CE3"/>
    <w:rsid w:val="000E73DF"/>
    <w:rsid w:val="000E7713"/>
    <w:rsid w:val="000E78FD"/>
    <w:rsid w:val="000F0282"/>
    <w:rsid w:val="000F2166"/>
    <w:rsid w:val="000F2903"/>
    <w:rsid w:val="000F302B"/>
    <w:rsid w:val="000F35CC"/>
    <w:rsid w:val="000F4349"/>
    <w:rsid w:val="000F4399"/>
    <w:rsid w:val="000F55BA"/>
    <w:rsid w:val="000F5766"/>
    <w:rsid w:val="000F602A"/>
    <w:rsid w:val="000F6552"/>
    <w:rsid w:val="001008D3"/>
    <w:rsid w:val="00100F27"/>
    <w:rsid w:val="0010187A"/>
    <w:rsid w:val="00101CB1"/>
    <w:rsid w:val="00102AF6"/>
    <w:rsid w:val="00103AA3"/>
    <w:rsid w:val="00104C22"/>
    <w:rsid w:val="00104DA0"/>
    <w:rsid w:val="0010595C"/>
    <w:rsid w:val="001061A8"/>
    <w:rsid w:val="00106781"/>
    <w:rsid w:val="00107A76"/>
    <w:rsid w:val="00110D18"/>
    <w:rsid w:val="00110D33"/>
    <w:rsid w:val="001116CF"/>
    <w:rsid w:val="00111E0C"/>
    <w:rsid w:val="001127D3"/>
    <w:rsid w:val="00113126"/>
    <w:rsid w:val="00113339"/>
    <w:rsid w:val="0011356E"/>
    <w:rsid w:val="001139EA"/>
    <w:rsid w:val="00114053"/>
    <w:rsid w:val="001141E6"/>
    <w:rsid w:val="0011445C"/>
    <w:rsid w:val="00114CB5"/>
    <w:rsid w:val="00114E3C"/>
    <w:rsid w:val="001150EF"/>
    <w:rsid w:val="001164F8"/>
    <w:rsid w:val="0011738B"/>
    <w:rsid w:val="00117CFF"/>
    <w:rsid w:val="0012047D"/>
    <w:rsid w:val="00120B35"/>
    <w:rsid w:val="00120E5B"/>
    <w:rsid w:val="00120EC5"/>
    <w:rsid w:val="00121441"/>
    <w:rsid w:val="0012221E"/>
    <w:rsid w:val="001228ED"/>
    <w:rsid w:val="00122C00"/>
    <w:rsid w:val="00123C7B"/>
    <w:rsid w:val="001240C7"/>
    <w:rsid w:val="00124F14"/>
    <w:rsid w:val="00125CD4"/>
    <w:rsid w:val="00126A20"/>
    <w:rsid w:val="00127FCA"/>
    <w:rsid w:val="001306C7"/>
    <w:rsid w:val="001307CC"/>
    <w:rsid w:val="00130C95"/>
    <w:rsid w:val="001324E5"/>
    <w:rsid w:val="00132E22"/>
    <w:rsid w:val="00132E70"/>
    <w:rsid w:val="00133C32"/>
    <w:rsid w:val="0013571C"/>
    <w:rsid w:val="00135F0C"/>
    <w:rsid w:val="001360BD"/>
    <w:rsid w:val="00136BD8"/>
    <w:rsid w:val="00137623"/>
    <w:rsid w:val="00137A0F"/>
    <w:rsid w:val="00137CEB"/>
    <w:rsid w:val="001401B7"/>
    <w:rsid w:val="00140240"/>
    <w:rsid w:val="00140A37"/>
    <w:rsid w:val="001413AF"/>
    <w:rsid w:val="00141CA1"/>
    <w:rsid w:val="00141D3C"/>
    <w:rsid w:val="00141EF8"/>
    <w:rsid w:val="00143A04"/>
    <w:rsid w:val="00143F63"/>
    <w:rsid w:val="00144201"/>
    <w:rsid w:val="001444C0"/>
    <w:rsid w:val="00144AD0"/>
    <w:rsid w:val="001467C6"/>
    <w:rsid w:val="00146BE8"/>
    <w:rsid w:val="00146CF7"/>
    <w:rsid w:val="001476D0"/>
    <w:rsid w:val="00147762"/>
    <w:rsid w:val="00147F12"/>
    <w:rsid w:val="0015115E"/>
    <w:rsid w:val="00151264"/>
    <w:rsid w:val="001521A7"/>
    <w:rsid w:val="00152601"/>
    <w:rsid w:val="00153038"/>
    <w:rsid w:val="00153AE3"/>
    <w:rsid w:val="00153BD8"/>
    <w:rsid w:val="00153F9C"/>
    <w:rsid w:val="0015422E"/>
    <w:rsid w:val="001542BA"/>
    <w:rsid w:val="00154894"/>
    <w:rsid w:val="0015518C"/>
    <w:rsid w:val="00155B66"/>
    <w:rsid w:val="00155E47"/>
    <w:rsid w:val="00157465"/>
    <w:rsid w:val="00160D00"/>
    <w:rsid w:val="001618DE"/>
    <w:rsid w:val="00162488"/>
    <w:rsid w:val="0016395D"/>
    <w:rsid w:val="00164317"/>
    <w:rsid w:val="00164B4F"/>
    <w:rsid w:val="00164E93"/>
    <w:rsid w:val="001651F9"/>
    <w:rsid w:val="00165B96"/>
    <w:rsid w:val="00165E40"/>
    <w:rsid w:val="00166045"/>
    <w:rsid w:val="00166B74"/>
    <w:rsid w:val="00166FE3"/>
    <w:rsid w:val="00167CD1"/>
    <w:rsid w:val="00167D78"/>
    <w:rsid w:val="001707BB"/>
    <w:rsid w:val="00170F40"/>
    <w:rsid w:val="00171040"/>
    <w:rsid w:val="001711AE"/>
    <w:rsid w:val="00171242"/>
    <w:rsid w:val="00172288"/>
    <w:rsid w:val="001731D9"/>
    <w:rsid w:val="0017374C"/>
    <w:rsid w:val="00173C69"/>
    <w:rsid w:val="001745F8"/>
    <w:rsid w:val="00175067"/>
    <w:rsid w:val="001750A7"/>
    <w:rsid w:val="0017550B"/>
    <w:rsid w:val="00175DC6"/>
    <w:rsid w:val="00176087"/>
    <w:rsid w:val="001764D0"/>
    <w:rsid w:val="00177095"/>
    <w:rsid w:val="001771C0"/>
    <w:rsid w:val="001774D6"/>
    <w:rsid w:val="00177D21"/>
    <w:rsid w:val="001800F0"/>
    <w:rsid w:val="00180464"/>
    <w:rsid w:val="00180AB0"/>
    <w:rsid w:val="00180BE8"/>
    <w:rsid w:val="001815F7"/>
    <w:rsid w:val="00182987"/>
    <w:rsid w:val="0018301D"/>
    <w:rsid w:val="00183491"/>
    <w:rsid w:val="00184E75"/>
    <w:rsid w:val="00185150"/>
    <w:rsid w:val="00185CC5"/>
    <w:rsid w:val="00186C62"/>
    <w:rsid w:val="00187DA5"/>
    <w:rsid w:val="00187DCA"/>
    <w:rsid w:val="00187F9A"/>
    <w:rsid w:val="00190B4C"/>
    <w:rsid w:val="00190E99"/>
    <w:rsid w:val="0019121B"/>
    <w:rsid w:val="00191494"/>
    <w:rsid w:val="00192ED3"/>
    <w:rsid w:val="00193634"/>
    <w:rsid w:val="00193C54"/>
    <w:rsid w:val="001944DC"/>
    <w:rsid w:val="00194BEB"/>
    <w:rsid w:val="00194CDD"/>
    <w:rsid w:val="00196339"/>
    <w:rsid w:val="00196889"/>
    <w:rsid w:val="0019721A"/>
    <w:rsid w:val="001A01C0"/>
    <w:rsid w:val="001A1311"/>
    <w:rsid w:val="001A1455"/>
    <w:rsid w:val="001A25D9"/>
    <w:rsid w:val="001A3025"/>
    <w:rsid w:val="001A32F5"/>
    <w:rsid w:val="001A4CD6"/>
    <w:rsid w:val="001A5B7B"/>
    <w:rsid w:val="001A7BBA"/>
    <w:rsid w:val="001B01E9"/>
    <w:rsid w:val="001B152C"/>
    <w:rsid w:val="001B157E"/>
    <w:rsid w:val="001B256E"/>
    <w:rsid w:val="001B33EE"/>
    <w:rsid w:val="001B4B35"/>
    <w:rsid w:val="001B5A7B"/>
    <w:rsid w:val="001B5F44"/>
    <w:rsid w:val="001C267D"/>
    <w:rsid w:val="001C3159"/>
    <w:rsid w:val="001C3239"/>
    <w:rsid w:val="001C3B23"/>
    <w:rsid w:val="001C4669"/>
    <w:rsid w:val="001C5D6B"/>
    <w:rsid w:val="001C5D88"/>
    <w:rsid w:val="001C5E46"/>
    <w:rsid w:val="001C5FD3"/>
    <w:rsid w:val="001C65A0"/>
    <w:rsid w:val="001C66B3"/>
    <w:rsid w:val="001C6E03"/>
    <w:rsid w:val="001C707E"/>
    <w:rsid w:val="001D01E2"/>
    <w:rsid w:val="001D086E"/>
    <w:rsid w:val="001D0BEA"/>
    <w:rsid w:val="001D1FBF"/>
    <w:rsid w:val="001D2480"/>
    <w:rsid w:val="001D2906"/>
    <w:rsid w:val="001D3391"/>
    <w:rsid w:val="001D34B9"/>
    <w:rsid w:val="001D4352"/>
    <w:rsid w:val="001D4C0B"/>
    <w:rsid w:val="001D6798"/>
    <w:rsid w:val="001D6DE1"/>
    <w:rsid w:val="001D7EBA"/>
    <w:rsid w:val="001E2074"/>
    <w:rsid w:val="001E2495"/>
    <w:rsid w:val="001E2F09"/>
    <w:rsid w:val="001E3352"/>
    <w:rsid w:val="001E3AB5"/>
    <w:rsid w:val="001E44CE"/>
    <w:rsid w:val="001E5AE0"/>
    <w:rsid w:val="001E7095"/>
    <w:rsid w:val="001F0B73"/>
    <w:rsid w:val="001F0E73"/>
    <w:rsid w:val="001F1692"/>
    <w:rsid w:val="001F2356"/>
    <w:rsid w:val="001F330F"/>
    <w:rsid w:val="001F3DE9"/>
    <w:rsid w:val="001F4CB2"/>
    <w:rsid w:val="001F5241"/>
    <w:rsid w:val="001F5421"/>
    <w:rsid w:val="001F5DDD"/>
    <w:rsid w:val="001F7191"/>
    <w:rsid w:val="001F7C37"/>
    <w:rsid w:val="00200249"/>
    <w:rsid w:val="002008E3"/>
    <w:rsid w:val="00200C9E"/>
    <w:rsid w:val="00201EAD"/>
    <w:rsid w:val="002024AA"/>
    <w:rsid w:val="0020390A"/>
    <w:rsid w:val="002049A8"/>
    <w:rsid w:val="00205FDA"/>
    <w:rsid w:val="0020675C"/>
    <w:rsid w:val="0020737E"/>
    <w:rsid w:val="00211092"/>
    <w:rsid w:val="00211331"/>
    <w:rsid w:val="00211AB2"/>
    <w:rsid w:val="002121DA"/>
    <w:rsid w:val="00212B37"/>
    <w:rsid w:val="002136D5"/>
    <w:rsid w:val="00213A21"/>
    <w:rsid w:val="0021518E"/>
    <w:rsid w:val="0021523D"/>
    <w:rsid w:val="00215453"/>
    <w:rsid w:val="0021626F"/>
    <w:rsid w:val="00216F9A"/>
    <w:rsid w:val="002207FE"/>
    <w:rsid w:val="00220890"/>
    <w:rsid w:val="002209E1"/>
    <w:rsid w:val="0022168E"/>
    <w:rsid w:val="002217F9"/>
    <w:rsid w:val="00221B10"/>
    <w:rsid w:val="00221BC1"/>
    <w:rsid w:val="00221ECF"/>
    <w:rsid w:val="00222ACC"/>
    <w:rsid w:val="00222D8D"/>
    <w:rsid w:val="00223B25"/>
    <w:rsid w:val="0022497F"/>
    <w:rsid w:val="00224D07"/>
    <w:rsid w:val="00225209"/>
    <w:rsid w:val="00225478"/>
    <w:rsid w:val="0022660C"/>
    <w:rsid w:val="00227F36"/>
    <w:rsid w:val="002300BE"/>
    <w:rsid w:val="002305FB"/>
    <w:rsid w:val="00231C31"/>
    <w:rsid w:val="00232E53"/>
    <w:rsid w:val="00233039"/>
    <w:rsid w:val="00234408"/>
    <w:rsid w:val="0023493C"/>
    <w:rsid w:val="002349B6"/>
    <w:rsid w:val="00234C89"/>
    <w:rsid w:val="00235960"/>
    <w:rsid w:val="00236A0C"/>
    <w:rsid w:val="00236ADF"/>
    <w:rsid w:val="00240442"/>
    <w:rsid w:val="00240BED"/>
    <w:rsid w:val="00240F2A"/>
    <w:rsid w:val="00240F7E"/>
    <w:rsid w:val="00241D75"/>
    <w:rsid w:val="00243262"/>
    <w:rsid w:val="00243718"/>
    <w:rsid w:val="00244003"/>
    <w:rsid w:val="00244D8C"/>
    <w:rsid w:val="002458A1"/>
    <w:rsid w:val="0024611D"/>
    <w:rsid w:val="0024759C"/>
    <w:rsid w:val="0025029F"/>
    <w:rsid w:val="00250396"/>
    <w:rsid w:val="00250F61"/>
    <w:rsid w:val="002512BE"/>
    <w:rsid w:val="002513F7"/>
    <w:rsid w:val="00251788"/>
    <w:rsid w:val="00251BE0"/>
    <w:rsid w:val="00251CAB"/>
    <w:rsid w:val="00256B5E"/>
    <w:rsid w:val="00257208"/>
    <w:rsid w:val="00257C03"/>
    <w:rsid w:val="002603AF"/>
    <w:rsid w:val="002606C6"/>
    <w:rsid w:val="00260955"/>
    <w:rsid w:val="00261351"/>
    <w:rsid w:val="002613ED"/>
    <w:rsid w:val="002614DD"/>
    <w:rsid w:val="0026221C"/>
    <w:rsid w:val="002622DD"/>
    <w:rsid w:val="00262543"/>
    <w:rsid w:val="0026356A"/>
    <w:rsid w:val="002636A5"/>
    <w:rsid w:val="002640D6"/>
    <w:rsid w:val="002647EB"/>
    <w:rsid w:val="00265F3D"/>
    <w:rsid w:val="002664B1"/>
    <w:rsid w:val="002669F2"/>
    <w:rsid w:val="00270388"/>
    <w:rsid w:val="00271068"/>
    <w:rsid w:val="00273500"/>
    <w:rsid w:val="0027352E"/>
    <w:rsid w:val="002757D6"/>
    <w:rsid w:val="002763ED"/>
    <w:rsid w:val="00280264"/>
    <w:rsid w:val="0028049B"/>
    <w:rsid w:val="002805B8"/>
    <w:rsid w:val="00280E66"/>
    <w:rsid w:val="002815CA"/>
    <w:rsid w:val="00281703"/>
    <w:rsid w:val="002819D4"/>
    <w:rsid w:val="00282800"/>
    <w:rsid w:val="0028286E"/>
    <w:rsid w:val="00282C60"/>
    <w:rsid w:val="00283123"/>
    <w:rsid w:val="002838D7"/>
    <w:rsid w:val="00287BFF"/>
    <w:rsid w:val="00290BE7"/>
    <w:rsid w:val="0029121A"/>
    <w:rsid w:val="00291593"/>
    <w:rsid w:val="002923A3"/>
    <w:rsid w:val="0029323D"/>
    <w:rsid w:val="00293BA9"/>
    <w:rsid w:val="002956F7"/>
    <w:rsid w:val="002959CC"/>
    <w:rsid w:val="002969D1"/>
    <w:rsid w:val="002A069D"/>
    <w:rsid w:val="002A07C3"/>
    <w:rsid w:val="002A08D1"/>
    <w:rsid w:val="002A0F82"/>
    <w:rsid w:val="002A0F8C"/>
    <w:rsid w:val="002A2050"/>
    <w:rsid w:val="002A25E2"/>
    <w:rsid w:val="002A2D86"/>
    <w:rsid w:val="002A34E5"/>
    <w:rsid w:val="002A34EA"/>
    <w:rsid w:val="002A41C5"/>
    <w:rsid w:val="002A633C"/>
    <w:rsid w:val="002A7439"/>
    <w:rsid w:val="002B17E5"/>
    <w:rsid w:val="002B1FBC"/>
    <w:rsid w:val="002B25DD"/>
    <w:rsid w:val="002B2757"/>
    <w:rsid w:val="002B3855"/>
    <w:rsid w:val="002B3B7D"/>
    <w:rsid w:val="002B3F60"/>
    <w:rsid w:val="002B7877"/>
    <w:rsid w:val="002B78C3"/>
    <w:rsid w:val="002B7C23"/>
    <w:rsid w:val="002B7E2C"/>
    <w:rsid w:val="002C0070"/>
    <w:rsid w:val="002C00DA"/>
    <w:rsid w:val="002C07A4"/>
    <w:rsid w:val="002C0BAE"/>
    <w:rsid w:val="002C1946"/>
    <w:rsid w:val="002C1A0F"/>
    <w:rsid w:val="002C20A0"/>
    <w:rsid w:val="002C26B8"/>
    <w:rsid w:val="002C2890"/>
    <w:rsid w:val="002C367E"/>
    <w:rsid w:val="002C4D6B"/>
    <w:rsid w:val="002C52E3"/>
    <w:rsid w:val="002C5480"/>
    <w:rsid w:val="002C5F04"/>
    <w:rsid w:val="002C702B"/>
    <w:rsid w:val="002D026B"/>
    <w:rsid w:val="002D0869"/>
    <w:rsid w:val="002D0EFA"/>
    <w:rsid w:val="002D12F3"/>
    <w:rsid w:val="002D2641"/>
    <w:rsid w:val="002D2962"/>
    <w:rsid w:val="002D2D6C"/>
    <w:rsid w:val="002D3055"/>
    <w:rsid w:val="002D3096"/>
    <w:rsid w:val="002D3FDF"/>
    <w:rsid w:val="002D5077"/>
    <w:rsid w:val="002D6440"/>
    <w:rsid w:val="002E0D24"/>
    <w:rsid w:val="002E12BF"/>
    <w:rsid w:val="002E1717"/>
    <w:rsid w:val="002E1801"/>
    <w:rsid w:val="002E19E4"/>
    <w:rsid w:val="002E1E18"/>
    <w:rsid w:val="002E2276"/>
    <w:rsid w:val="002E28CF"/>
    <w:rsid w:val="002E2983"/>
    <w:rsid w:val="002E2B19"/>
    <w:rsid w:val="002E2D11"/>
    <w:rsid w:val="002E2EAB"/>
    <w:rsid w:val="002E3243"/>
    <w:rsid w:val="002E33B0"/>
    <w:rsid w:val="002E33C7"/>
    <w:rsid w:val="002E57AB"/>
    <w:rsid w:val="002E64B5"/>
    <w:rsid w:val="002E762B"/>
    <w:rsid w:val="002E79F2"/>
    <w:rsid w:val="002F0583"/>
    <w:rsid w:val="002F089D"/>
    <w:rsid w:val="002F0CF6"/>
    <w:rsid w:val="002F248F"/>
    <w:rsid w:val="002F2C51"/>
    <w:rsid w:val="002F3000"/>
    <w:rsid w:val="002F33E3"/>
    <w:rsid w:val="002F3B32"/>
    <w:rsid w:val="002F54A0"/>
    <w:rsid w:val="002F5C69"/>
    <w:rsid w:val="002F6A6E"/>
    <w:rsid w:val="002F7810"/>
    <w:rsid w:val="002F7DCB"/>
    <w:rsid w:val="00300407"/>
    <w:rsid w:val="00301D93"/>
    <w:rsid w:val="003020DE"/>
    <w:rsid w:val="00302ADC"/>
    <w:rsid w:val="0030319E"/>
    <w:rsid w:val="00303A0D"/>
    <w:rsid w:val="00303DDE"/>
    <w:rsid w:val="00304557"/>
    <w:rsid w:val="00304B54"/>
    <w:rsid w:val="00307003"/>
    <w:rsid w:val="003075BC"/>
    <w:rsid w:val="00307623"/>
    <w:rsid w:val="00307D06"/>
    <w:rsid w:val="00310224"/>
    <w:rsid w:val="0031034C"/>
    <w:rsid w:val="00310BCB"/>
    <w:rsid w:val="00310EE2"/>
    <w:rsid w:val="00312A30"/>
    <w:rsid w:val="00314534"/>
    <w:rsid w:val="00314FA7"/>
    <w:rsid w:val="00315FA8"/>
    <w:rsid w:val="003176B3"/>
    <w:rsid w:val="00317B6B"/>
    <w:rsid w:val="0032060A"/>
    <w:rsid w:val="00320F39"/>
    <w:rsid w:val="00321469"/>
    <w:rsid w:val="003219B1"/>
    <w:rsid w:val="00322CC6"/>
    <w:rsid w:val="003246AE"/>
    <w:rsid w:val="00325485"/>
    <w:rsid w:val="00325B21"/>
    <w:rsid w:val="00325BC9"/>
    <w:rsid w:val="00325FF0"/>
    <w:rsid w:val="0032741C"/>
    <w:rsid w:val="00327FC6"/>
    <w:rsid w:val="0033033D"/>
    <w:rsid w:val="00330986"/>
    <w:rsid w:val="00330AB6"/>
    <w:rsid w:val="00330BF2"/>
    <w:rsid w:val="003329FA"/>
    <w:rsid w:val="00333DBB"/>
    <w:rsid w:val="00334FB8"/>
    <w:rsid w:val="00336029"/>
    <w:rsid w:val="00337DB1"/>
    <w:rsid w:val="00337EB0"/>
    <w:rsid w:val="00341A8B"/>
    <w:rsid w:val="00341C59"/>
    <w:rsid w:val="0034206D"/>
    <w:rsid w:val="00342AD9"/>
    <w:rsid w:val="00343084"/>
    <w:rsid w:val="00343BBB"/>
    <w:rsid w:val="00345132"/>
    <w:rsid w:val="0034544E"/>
    <w:rsid w:val="00346A46"/>
    <w:rsid w:val="00346EEF"/>
    <w:rsid w:val="00347647"/>
    <w:rsid w:val="0034784A"/>
    <w:rsid w:val="00347D84"/>
    <w:rsid w:val="00350C90"/>
    <w:rsid w:val="003510B6"/>
    <w:rsid w:val="00351A62"/>
    <w:rsid w:val="00351B9D"/>
    <w:rsid w:val="00352C13"/>
    <w:rsid w:val="00352D3B"/>
    <w:rsid w:val="00352F03"/>
    <w:rsid w:val="00353197"/>
    <w:rsid w:val="0035339C"/>
    <w:rsid w:val="0035351C"/>
    <w:rsid w:val="00354AA4"/>
    <w:rsid w:val="00355BDE"/>
    <w:rsid w:val="00356B7E"/>
    <w:rsid w:val="0035798C"/>
    <w:rsid w:val="00357B03"/>
    <w:rsid w:val="00357EE6"/>
    <w:rsid w:val="00361228"/>
    <w:rsid w:val="003612E3"/>
    <w:rsid w:val="003617AD"/>
    <w:rsid w:val="00361E53"/>
    <w:rsid w:val="003629B1"/>
    <w:rsid w:val="00362FF7"/>
    <w:rsid w:val="003633DF"/>
    <w:rsid w:val="003638AD"/>
    <w:rsid w:val="0036403B"/>
    <w:rsid w:val="003647F5"/>
    <w:rsid w:val="00364E47"/>
    <w:rsid w:val="0036577D"/>
    <w:rsid w:val="00365A14"/>
    <w:rsid w:val="00365AC2"/>
    <w:rsid w:val="00365FA6"/>
    <w:rsid w:val="00366F8A"/>
    <w:rsid w:val="0037083E"/>
    <w:rsid w:val="00370AE6"/>
    <w:rsid w:val="00370D82"/>
    <w:rsid w:val="003717A6"/>
    <w:rsid w:val="00371EF9"/>
    <w:rsid w:val="00372AD0"/>
    <w:rsid w:val="00373385"/>
    <w:rsid w:val="00373E50"/>
    <w:rsid w:val="003746F8"/>
    <w:rsid w:val="0037474C"/>
    <w:rsid w:val="00375CD7"/>
    <w:rsid w:val="00376103"/>
    <w:rsid w:val="003762F2"/>
    <w:rsid w:val="00376588"/>
    <w:rsid w:val="003765AA"/>
    <w:rsid w:val="0037748D"/>
    <w:rsid w:val="00377810"/>
    <w:rsid w:val="00377911"/>
    <w:rsid w:val="00380838"/>
    <w:rsid w:val="0038084C"/>
    <w:rsid w:val="00380DD9"/>
    <w:rsid w:val="00381180"/>
    <w:rsid w:val="00381698"/>
    <w:rsid w:val="003819B8"/>
    <w:rsid w:val="003826E4"/>
    <w:rsid w:val="00382F93"/>
    <w:rsid w:val="00386517"/>
    <w:rsid w:val="003868F1"/>
    <w:rsid w:val="0038763A"/>
    <w:rsid w:val="00387BAF"/>
    <w:rsid w:val="00387EBD"/>
    <w:rsid w:val="00390D79"/>
    <w:rsid w:val="003915A8"/>
    <w:rsid w:val="00391799"/>
    <w:rsid w:val="00392D66"/>
    <w:rsid w:val="00393B84"/>
    <w:rsid w:val="0039410B"/>
    <w:rsid w:val="003944BD"/>
    <w:rsid w:val="00394A22"/>
    <w:rsid w:val="00395AF7"/>
    <w:rsid w:val="00395C9B"/>
    <w:rsid w:val="00396064"/>
    <w:rsid w:val="0039630C"/>
    <w:rsid w:val="003966F7"/>
    <w:rsid w:val="00397CB9"/>
    <w:rsid w:val="003A0546"/>
    <w:rsid w:val="003A07DC"/>
    <w:rsid w:val="003A14F3"/>
    <w:rsid w:val="003A1AA8"/>
    <w:rsid w:val="003A290E"/>
    <w:rsid w:val="003A3A58"/>
    <w:rsid w:val="003A4554"/>
    <w:rsid w:val="003A4815"/>
    <w:rsid w:val="003A5862"/>
    <w:rsid w:val="003A634B"/>
    <w:rsid w:val="003A64A1"/>
    <w:rsid w:val="003A665A"/>
    <w:rsid w:val="003A6FBB"/>
    <w:rsid w:val="003B0955"/>
    <w:rsid w:val="003B1E58"/>
    <w:rsid w:val="003B205E"/>
    <w:rsid w:val="003B28A0"/>
    <w:rsid w:val="003B3107"/>
    <w:rsid w:val="003B34D2"/>
    <w:rsid w:val="003B3BBE"/>
    <w:rsid w:val="003B665D"/>
    <w:rsid w:val="003B6AC4"/>
    <w:rsid w:val="003B7797"/>
    <w:rsid w:val="003C01E3"/>
    <w:rsid w:val="003C07F4"/>
    <w:rsid w:val="003C1196"/>
    <w:rsid w:val="003C1216"/>
    <w:rsid w:val="003C13DA"/>
    <w:rsid w:val="003C2E4A"/>
    <w:rsid w:val="003C34CD"/>
    <w:rsid w:val="003C38FB"/>
    <w:rsid w:val="003C3903"/>
    <w:rsid w:val="003C40D5"/>
    <w:rsid w:val="003C412C"/>
    <w:rsid w:val="003C4994"/>
    <w:rsid w:val="003C4A0D"/>
    <w:rsid w:val="003C510F"/>
    <w:rsid w:val="003C58CB"/>
    <w:rsid w:val="003C5AF2"/>
    <w:rsid w:val="003C5FAB"/>
    <w:rsid w:val="003C69D2"/>
    <w:rsid w:val="003C6A48"/>
    <w:rsid w:val="003C6F3C"/>
    <w:rsid w:val="003C7C69"/>
    <w:rsid w:val="003D0254"/>
    <w:rsid w:val="003D12DF"/>
    <w:rsid w:val="003D17DE"/>
    <w:rsid w:val="003D2622"/>
    <w:rsid w:val="003D31F3"/>
    <w:rsid w:val="003D3E56"/>
    <w:rsid w:val="003D5B29"/>
    <w:rsid w:val="003D63F8"/>
    <w:rsid w:val="003D7EAE"/>
    <w:rsid w:val="003D7F65"/>
    <w:rsid w:val="003E0704"/>
    <w:rsid w:val="003E1885"/>
    <w:rsid w:val="003E4848"/>
    <w:rsid w:val="003E4F62"/>
    <w:rsid w:val="003E5E57"/>
    <w:rsid w:val="003E67CB"/>
    <w:rsid w:val="003E6A95"/>
    <w:rsid w:val="003E6D92"/>
    <w:rsid w:val="003E6F9B"/>
    <w:rsid w:val="003E767E"/>
    <w:rsid w:val="003E7B7B"/>
    <w:rsid w:val="003E7BFA"/>
    <w:rsid w:val="003F0014"/>
    <w:rsid w:val="003F01B1"/>
    <w:rsid w:val="003F0A43"/>
    <w:rsid w:val="003F1105"/>
    <w:rsid w:val="003F1AB2"/>
    <w:rsid w:val="003F2FC5"/>
    <w:rsid w:val="003F3270"/>
    <w:rsid w:val="003F328C"/>
    <w:rsid w:val="003F351E"/>
    <w:rsid w:val="003F51EE"/>
    <w:rsid w:val="003F526B"/>
    <w:rsid w:val="003F52B6"/>
    <w:rsid w:val="003F543A"/>
    <w:rsid w:val="003F56AD"/>
    <w:rsid w:val="003F5732"/>
    <w:rsid w:val="003F5C0F"/>
    <w:rsid w:val="003F68EA"/>
    <w:rsid w:val="004000AA"/>
    <w:rsid w:val="0040095B"/>
    <w:rsid w:val="00401139"/>
    <w:rsid w:val="00401210"/>
    <w:rsid w:val="004015E8"/>
    <w:rsid w:val="0040188C"/>
    <w:rsid w:val="00401AA2"/>
    <w:rsid w:val="00402258"/>
    <w:rsid w:val="004034C0"/>
    <w:rsid w:val="004035E9"/>
    <w:rsid w:val="00403C42"/>
    <w:rsid w:val="0040543B"/>
    <w:rsid w:val="004058BC"/>
    <w:rsid w:val="00405CCE"/>
    <w:rsid w:val="0040603D"/>
    <w:rsid w:val="00406757"/>
    <w:rsid w:val="00406E23"/>
    <w:rsid w:val="00406F6A"/>
    <w:rsid w:val="0041006D"/>
    <w:rsid w:val="004105F3"/>
    <w:rsid w:val="00410666"/>
    <w:rsid w:val="00410C2B"/>
    <w:rsid w:val="0041250F"/>
    <w:rsid w:val="004136EC"/>
    <w:rsid w:val="00414120"/>
    <w:rsid w:val="004148A8"/>
    <w:rsid w:val="004148F6"/>
    <w:rsid w:val="00414F62"/>
    <w:rsid w:val="004151B0"/>
    <w:rsid w:val="00415355"/>
    <w:rsid w:val="004153AC"/>
    <w:rsid w:val="004153D5"/>
    <w:rsid w:val="004171C3"/>
    <w:rsid w:val="004178BE"/>
    <w:rsid w:val="004206C8"/>
    <w:rsid w:val="00420DA1"/>
    <w:rsid w:val="00420FE8"/>
    <w:rsid w:val="00421851"/>
    <w:rsid w:val="00421CEE"/>
    <w:rsid w:val="0042240D"/>
    <w:rsid w:val="0042377A"/>
    <w:rsid w:val="0042387C"/>
    <w:rsid w:val="0042523F"/>
    <w:rsid w:val="004252D0"/>
    <w:rsid w:val="004254E4"/>
    <w:rsid w:val="004255DA"/>
    <w:rsid w:val="0042693B"/>
    <w:rsid w:val="0042794D"/>
    <w:rsid w:val="00427EAB"/>
    <w:rsid w:val="0043050D"/>
    <w:rsid w:val="004307FD"/>
    <w:rsid w:val="00430ADB"/>
    <w:rsid w:val="004312B4"/>
    <w:rsid w:val="00432577"/>
    <w:rsid w:val="0043326C"/>
    <w:rsid w:val="00433832"/>
    <w:rsid w:val="00434305"/>
    <w:rsid w:val="004366AC"/>
    <w:rsid w:val="00437594"/>
    <w:rsid w:val="00437A9F"/>
    <w:rsid w:val="00440212"/>
    <w:rsid w:val="00441524"/>
    <w:rsid w:val="004418CE"/>
    <w:rsid w:val="00441A6B"/>
    <w:rsid w:val="00442006"/>
    <w:rsid w:val="00443080"/>
    <w:rsid w:val="0044363C"/>
    <w:rsid w:val="004456B8"/>
    <w:rsid w:val="0044597C"/>
    <w:rsid w:val="004459D2"/>
    <w:rsid w:val="004463AA"/>
    <w:rsid w:val="00446F16"/>
    <w:rsid w:val="0044704B"/>
    <w:rsid w:val="00447B5B"/>
    <w:rsid w:val="004501A7"/>
    <w:rsid w:val="0045278D"/>
    <w:rsid w:val="00452E8F"/>
    <w:rsid w:val="004533A6"/>
    <w:rsid w:val="004545E0"/>
    <w:rsid w:val="00455058"/>
    <w:rsid w:val="00457651"/>
    <w:rsid w:val="00457733"/>
    <w:rsid w:val="00457A84"/>
    <w:rsid w:val="00457BB8"/>
    <w:rsid w:val="00460EE5"/>
    <w:rsid w:val="0046118D"/>
    <w:rsid w:val="0046179C"/>
    <w:rsid w:val="00461C0E"/>
    <w:rsid w:val="00461CB9"/>
    <w:rsid w:val="004623E7"/>
    <w:rsid w:val="00462C48"/>
    <w:rsid w:val="00463D0F"/>
    <w:rsid w:val="00464395"/>
    <w:rsid w:val="00464591"/>
    <w:rsid w:val="00466B83"/>
    <w:rsid w:val="004713CF"/>
    <w:rsid w:val="0047222F"/>
    <w:rsid w:val="00472D3E"/>
    <w:rsid w:val="00473FB5"/>
    <w:rsid w:val="0047538F"/>
    <w:rsid w:val="00475393"/>
    <w:rsid w:val="004768F7"/>
    <w:rsid w:val="00476A1A"/>
    <w:rsid w:val="00476B2E"/>
    <w:rsid w:val="004801BA"/>
    <w:rsid w:val="00480ECE"/>
    <w:rsid w:val="00481D91"/>
    <w:rsid w:val="00482242"/>
    <w:rsid w:val="0048246D"/>
    <w:rsid w:val="004829EF"/>
    <w:rsid w:val="00482B94"/>
    <w:rsid w:val="004837C1"/>
    <w:rsid w:val="00483F16"/>
    <w:rsid w:val="0048404E"/>
    <w:rsid w:val="00484BEC"/>
    <w:rsid w:val="00484E39"/>
    <w:rsid w:val="004877E0"/>
    <w:rsid w:val="00487AD1"/>
    <w:rsid w:val="00490266"/>
    <w:rsid w:val="0049029A"/>
    <w:rsid w:val="00490CEC"/>
    <w:rsid w:val="00490CF1"/>
    <w:rsid w:val="00490D5B"/>
    <w:rsid w:val="00491D1B"/>
    <w:rsid w:val="00491F1D"/>
    <w:rsid w:val="004920C3"/>
    <w:rsid w:val="00495919"/>
    <w:rsid w:val="004A1BEA"/>
    <w:rsid w:val="004A1C99"/>
    <w:rsid w:val="004A2588"/>
    <w:rsid w:val="004A3976"/>
    <w:rsid w:val="004A4BF9"/>
    <w:rsid w:val="004A4D92"/>
    <w:rsid w:val="004A4E6E"/>
    <w:rsid w:val="004A51D8"/>
    <w:rsid w:val="004A5425"/>
    <w:rsid w:val="004A6234"/>
    <w:rsid w:val="004A6A3B"/>
    <w:rsid w:val="004A759B"/>
    <w:rsid w:val="004A76F9"/>
    <w:rsid w:val="004B0099"/>
    <w:rsid w:val="004B0B08"/>
    <w:rsid w:val="004B1A41"/>
    <w:rsid w:val="004B20BF"/>
    <w:rsid w:val="004B2A28"/>
    <w:rsid w:val="004B3465"/>
    <w:rsid w:val="004B3645"/>
    <w:rsid w:val="004B427A"/>
    <w:rsid w:val="004B43E8"/>
    <w:rsid w:val="004B464D"/>
    <w:rsid w:val="004B4767"/>
    <w:rsid w:val="004B4EAA"/>
    <w:rsid w:val="004B5883"/>
    <w:rsid w:val="004B5B62"/>
    <w:rsid w:val="004B6252"/>
    <w:rsid w:val="004B62AA"/>
    <w:rsid w:val="004B639D"/>
    <w:rsid w:val="004B6801"/>
    <w:rsid w:val="004B7187"/>
    <w:rsid w:val="004C0112"/>
    <w:rsid w:val="004C0B71"/>
    <w:rsid w:val="004C1A9D"/>
    <w:rsid w:val="004C2598"/>
    <w:rsid w:val="004C34D7"/>
    <w:rsid w:val="004C3A31"/>
    <w:rsid w:val="004C3D5C"/>
    <w:rsid w:val="004C4ABA"/>
    <w:rsid w:val="004C4E65"/>
    <w:rsid w:val="004C50AA"/>
    <w:rsid w:val="004C5347"/>
    <w:rsid w:val="004C7FF4"/>
    <w:rsid w:val="004D030D"/>
    <w:rsid w:val="004D077D"/>
    <w:rsid w:val="004D0CD8"/>
    <w:rsid w:val="004D0D47"/>
    <w:rsid w:val="004D0F1B"/>
    <w:rsid w:val="004D172F"/>
    <w:rsid w:val="004D1897"/>
    <w:rsid w:val="004D25C7"/>
    <w:rsid w:val="004D288F"/>
    <w:rsid w:val="004D29DA"/>
    <w:rsid w:val="004D33C7"/>
    <w:rsid w:val="004D383B"/>
    <w:rsid w:val="004D3E3F"/>
    <w:rsid w:val="004D43AB"/>
    <w:rsid w:val="004D4B6E"/>
    <w:rsid w:val="004D4CA6"/>
    <w:rsid w:val="004D4E94"/>
    <w:rsid w:val="004D65F6"/>
    <w:rsid w:val="004D7956"/>
    <w:rsid w:val="004E090B"/>
    <w:rsid w:val="004E0945"/>
    <w:rsid w:val="004E14D8"/>
    <w:rsid w:val="004E1F7D"/>
    <w:rsid w:val="004E287C"/>
    <w:rsid w:val="004E3240"/>
    <w:rsid w:val="004E3E10"/>
    <w:rsid w:val="004E40E4"/>
    <w:rsid w:val="004E5467"/>
    <w:rsid w:val="004E655F"/>
    <w:rsid w:val="004E68DC"/>
    <w:rsid w:val="004E7578"/>
    <w:rsid w:val="004E7BB5"/>
    <w:rsid w:val="004F00CB"/>
    <w:rsid w:val="004F0930"/>
    <w:rsid w:val="004F1280"/>
    <w:rsid w:val="004F13E0"/>
    <w:rsid w:val="004F17AB"/>
    <w:rsid w:val="004F184B"/>
    <w:rsid w:val="004F1E0F"/>
    <w:rsid w:val="004F363C"/>
    <w:rsid w:val="004F5A80"/>
    <w:rsid w:val="004F6776"/>
    <w:rsid w:val="004F6DD7"/>
    <w:rsid w:val="004F7433"/>
    <w:rsid w:val="005000DC"/>
    <w:rsid w:val="00500347"/>
    <w:rsid w:val="0050112D"/>
    <w:rsid w:val="005028EA"/>
    <w:rsid w:val="0050321A"/>
    <w:rsid w:val="0050339F"/>
    <w:rsid w:val="00503564"/>
    <w:rsid w:val="005039AE"/>
    <w:rsid w:val="00503B29"/>
    <w:rsid w:val="005046D3"/>
    <w:rsid w:val="00504836"/>
    <w:rsid w:val="00506340"/>
    <w:rsid w:val="00506875"/>
    <w:rsid w:val="00507B34"/>
    <w:rsid w:val="00507B4A"/>
    <w:rsid w:val="00507BC0"/>
    <w:rsid w:val="005115EE"/>
    <w:rsid w:val="00512566"/>
    <w:rsid w:val="00512AD6"/>
    <w:rsid w:val="00514AE2"/>
    <w:rsid w:val="005150C9"/>
    <w:rsid w:val="005151CF"/>
    <w:rsid w:val="005153B4"/>
    <w:rsid w:val="005160B5"/>
    <w:rsid w:val="00516C07"/>
    <w:rsid w:val="00516D00"/>
    <w:rsid w:val="005176D5"/>
    <w:rsid w:val="005176F8"/>
    <w:rsid w:val="00517943"/>
    <w:rsid w:val="005204DB"/>
    <w:rsid w:val="00520EDF"/>
    <w:rsid w:val="00521DA6"/>
    <w:rsid w:val="00522642"/>
    <w:rsid w:val="00523EB1"/>
    <w:rsid w:val="00523FB8"/>
    <w:rsid w:val="0052408E"/>
    <w:rsid w:val="00524167"/>
    <w:rsid w:val="005246EC"/>
    <w:rsid w:val="005258F6"/>
    <w:rsid w:val="00525F50"/>
    <w:rsid w:val="005265CD"/>
    <w:rsid w:val="005272CD"/>
    <w:rsid w:val="00527B14"/>
    <w:rsid w:val="00527BFB"/>
    <w:rsid w:val="00527F30"/>
    <w:rsid w:val="00530FFD"/>
    <w:rsid w:val="00531A6F"/>
    <w:rsid w:val="00534375"/>
    <w:rsid w:val="005348EE"/>
    <w:rsid w:val="00534A93"/>
    <w:rsid w:val="005351A2"/>
    <w:rsid w:val="00536BD2"/>
    <w:rsid w:val="00536FB8"/>
    <w:rsid w:val="005375A5"/>
    <w:rsid w:val="00537D8A"/>
    <w:rsid w:val="00540877"/>
    <w:rsid w:val="00540B41"/>
    <w:rsid w:val="00541C7C"/>
    <w:rsid w:val="00542277"/>
    <w:rsid w:val="00542624"/>
    <w:rsid w:val="00542991"/>
    <w:rsid w:val="00543EB0"/>
    <w:rsid w:val="00544590"/>
    <w:rsid w:val="00544C02"/>
    <w:rsid w:val="00544D86"/>
    <w:rsid w:val="005459E4"/>
    <w:rsid w:val="005465B4"/>
    <w:rsid w:val="00546ACD"/>
    <w:rsid w:val="00546D4C"/>
    <w:rsid w:val="00547623"/>
    <w:rsid w:val="005478EC"/>
    <w:rsid w:val="00550238"/>
    <w:rsid w:val="00550E67"/>
    <w:rsid w:val="00552764"/>
    <w:rsid w:val="00552E93"/>
    <w:rsid w:val="00553462"/>
    <w:rsid w:val="005543AC"/>
    <w:rsid w:val="005559BF"/>
    <w:rsid w:val="00555A21"/>
    <w:rsid w:val="0055652A"/>
    <w:rsid w:val="005569CC"/>
    <w:rsid w:val="0055775F"/>
    <w:rsid w:val="005577A0"/>
    <w:rsid w:val="00557C6A"/>
    <w:rsid w:val="00560449"/>
    <w:rsid w:val="00560B9E"/>
    <w:rsid w:val="0056114F"/>
    <w:rsid w:val="00561683"/>
    <w:rsid w:val="005622E4"/>
    <w:rsid w:val="00562CB3"/>
    <w:rsid w:val="00563136"/>
    <w:rsid w:val="00563F1A"/>
    <w:rsid w:val="00565EFA"/>
    <w:rsid w:val="00566246"/>
    <w:rsid w:val="00570710"/>
    <w:rsid w:val="0057079B"/>
    <w:rsid w:val="00571217"/>
    <w:rsid w:val="00571FA0"/>
    <w:rsid w:val="00572467"/>
    <w:rsid w:val="00573DBB"/>
    <w:rsid w:val="00575882"/>
    <w:rsid w:val="00576F7A"/>
    <w:rsid w:val="005800B4"/>
    <w:rsid w:val="00580D99"/>
    <w:rsid w:val="00580E90"/>
    <w:rsid w:val="005816B4"/>
    <w:rsid w:val="00581D1A"/>
    <w:rsid w:val="00581E62"/>
    <w:rsid w:val="005821CB"/>
    <w:rsid w:val="00582570"/>
    <w:rsid w:val="00583502"/>
    <w:rsid w:val="005853F9"/>
    <w:rsid w:val="00585B75"/>
    <w:rsid w:val="00585F91"/>
    <w:rsid w:val="0058659C"/>
    <w:rsid w:val="00586DE2"/>
    <w:rsid w:val="00587BE0"/>
    <w:rsid w:val="00587E13"/>
    <w:rsid w:val="00587F77"/>
    <w:rsid w:val="00590247"/>
    <w:rsid w:val="005902B9"/>
    <w:rsid w:val="005909A0"/>
    <w:rsid w:val="00590DDB"/>
    <w:rsid w:val="0059182A"/>
    <w:rsid w:val="00594416"/>
    <w:rsid w:val="00594565"/>
    <w:rsid w:val="005949DC"/>
    <w:rsid w:val="00594B4D"/>
    <w:rsid w:val="005954F3"/>
    <w:rsid w:val="005955EE"/>
    <w:rsid w:val="00595976"/>
    <w:rsid w:val="00596AE0"/>
    <w:rsid w:val="00597452"/>
    <w:rsid w:val="0059783B"/>
    <w:rsid w:val="005A0312"/>
    <w:rsid w:val="005A09B1"/>
    <w:rsid w:val="005A1160"/>
    <w:rsid w:val="005A1683"/>
    <w:rsid w:val="005A1992"/>
    <w:rsid w:val="005A1ABF"/>
    <w:rsid w:val="005A1E54"/>
    <w:rsid w:val="005A245B"/>
    <w:rsid w:val="005A2F44"/>
    <w:rsid w:val="005A3F4F"/>
    <w:rsid w:val="005A4513"/>
    <w:rsid w:val="005A498D"/>
    <w:rsid w:val="005A4C8D"/>
    <w:rsid w:val="005A653A"/>
    <w:rsid w:val="005B0674"/>
    <w:rsid w:val="005B0AAF"/>
    <w:rsid w:val="005B109F"/>
    <w:rsid w:val="005B1495"/>
    <w:rsid w:val="005B1E60"/>
    <w:rsid w:val="005B1FE2"/>
    <w:rsid w:val="005B229A"/>
    <w:rsid w:val="005B388F"/>
    <w:rsid w:val="005B3EB9"/>
    <w:rsid w:val="005B411E"/>
    <w:rsid w:val="005B4280"/>
    <w:rsid w:val="005B4CFD"/>
    <w:rsid w:val="005B62B3"/>
    <w:rsid w:val="005B6B74"/>
    <w:rsid w:val="005B7055"/>
    <w:rsid w:val="005B7205"/>
    <w:rsid w:val="005C009B"/>
    <w:rsid w:val="005C04CA"/>
    <w:rsid w:val="005C1D21"/>
    <w:rsid w:val="005C250D"/>
    <w:rsid w:val="005C3259"/>
    <w:rsid w:val="005C36C9"/>
    <w:rsid w:val="005C3A9C"/>
    <w:rsid w:val="005C4C6E"/>
    <w:rsid w:val="005C513C"/>
    <w:rsid w:val="005C51FA"/>
    <w:rsid w:val="005C5589"/>
    <w:rsid w:val="005C5F68"/>
    <w:rsid w:val="005C7219"/>
    <w:rsid w:val="005C7A54"/>
    <w:rsid w:val="005D0192"/>
    <w:rsid w:val="005D03B5"/>
    <w:rsid w:val="005D12E7"/>
    <w:rsid w:val="005D13AC"/>
    <w:rsid w:val="005D1AA6"/>
    <w:rsid w:val="005D1E4E"/>
    <w:rsid w:val="005D28BC"/>
    <w:rsid w:val="005D2A33"/>
    <w:rsid w:val="005D3211"/>
    <w:rsid w:val="005D324E"/>
    <w:rsid w:val="005D41C9"/>
    <w:rsid w:val="005D48DD"/>
    <w:rsid w:val="005D5468"/>
    <w:rsid w:val="005D56E4"/>
    <w:rsid w:val="005D600A"/>
    <w:rsid w:val="005D6078"/>
    <w:rsid w:val="005D6267"/>
    <w:rsid w:val="005D6532"/>
    <w:rsid w:val="005D672B"/>
    <w:rsid w:val="005E1510"/>
    <w:rsid w:val="005E1E87"/>
    <w:rsid w:val="005E1F2E"/>
    <w:rsid w:val="005E1F3E"/>
    <w:rsid w:val="005E200B"/>
    <w:rsid w:val="005E20F5"/>
    <w:rsid w:val="005E2517"/>
    <w:rsid w:val="005E340F"/>
    <w:rsid w:val="005E385D"/>
    <w:rsid w:val="005E3D0E"/>
    <w:rsid w:val="005E4250"/>
    <w:rsid w:val="005E4328"/>
    <w:rsid w:val="005E447E"/>
    <w:rsid w:val="005E5352"/>
    <w:rsid w:val="005E5E9F"/>
    <w:rsid w:val="005E626A"/>
    <w:rsid w:val="005E6D4D"/>
    <w:rsid w:val="005E72DC"/>
    <w:rsid w:val="005F0657"/>
    <w:rsid w:val="005F1AA7"/>
    <w:rsid w:val="005F1AAC"/>
    <w:rsid w:val="005F2747"/>
    <w:rsid w:val="005F39E1"/>
    <w:rsid w:val="005F3E3A"/>
    <w:rsid w:val="005F5680"/>
    <w:rsid w:val="005F6187"/>
    <w:rsid w:val="005F61E2"/>
    <w:rsid w:val="005F6233"/>
    <w:rsid w:val="005F666B"/>
    <w:rsid w:val="005F6ACE"/>
    <w:rsid w:val="005F7213"/>
    <w:rsid w:val="0060120B"/>
    <w:rsid w:val="0060163A"/>
    <w:rsid w:val="0060201B"/>
    <w:rsid w:val="00602628"/>
    <w:rsid w:val="00605E1B"/>
    <w:rsid w:val="006063B8"/>
    <w:rsid w:val="00607A1E"/>
    <w:rsid w:val="00607B3E"/>
    <w:rsid w:val="00607C7B"/>
    <w:rsid w:val="00610ECB"/>
    <w:rsid w:val="00612003"/>
    <w:rsid w:val="006124FA"/>
    <w:rsid w:val="00615C46"/>
    <w:rsid w:val="00616503"/>
    <w:rsid w:val="00616C74"/>
    <w:rsid w:val="006171A4"/>
    <w:rsid w:val="00617794"/>
    <w:rsid w:val="00617812"/>
    <w:rsid w:val="00617816"/>
    <w:rsid w:val="00617BEE"/>
    <w:rsid w:val="006202D3"/>
    <w:rsid w:val="006202F6"/>
    <w:rsid w:val="00620580"/>
    <w:rsid w:val="0062069C"/>
    <w:rsid w:val="00621761"/>
    <w:rsid w:val="00621F9C"/>
    <w:rsid w:val="00623630"/>
    <w:rsid w:val="006260EC"/>
    <w:rsid w:val="006270A8"/>
    <w:rsid w:val="0062721C"/>
    <w:rsid w:val="006272FE"/>
    <w:rsid w:val="0062795D"/>
    <w:rsid w:val="00631491"/>
    <w:rsid w:val="00633936"/>
    <w:rsid w:val="006341B3"/>
    <w:rsid w:val="00634BFB"/>
    <w:rsid w:val="00635605"/>
    <w:rsid w:val="0063650A"/>
    <w:rsid w:val="00637415"/>
    <w:rsid w:val="00637630"/>
    <w:rsid w:val="006406A9"/>
    <w:rsid w:val="00640D2D"/>
    <w:rsid w:val="006412A8"/>
    <w:rsid w:val="0064280F"/>
    <w:rsid w:val="006428A3"/>
    <w:rsid w:val="00642E1D"/>
    <w:rsid w:val="00643403"/>
    <w:rsid w:val="00644FFC"/>
    <w:rsid w:val="006456BD"/>
    <w:rsid w:val="00645DD9"/>
    <w:rsid w:val="00646C15"/>
    <w:rsid w:val="00647846"/>
    <w:rsid w:val="006479C9"/>
    <w:rsid w:val="00647B78"/>
    <w:rsid w:val="006502DB"/>
    <w:rsid w:val="00652140"/>
    <w:rsid w:val="0065269F"/>
    <w:rsid w:val="0065329C"/>
    <w:rsid w:val="006533AD"/>
    <w:rsid w:val="0065382B"/>
    <w:rsid w:val="006540CE"/>
    <w:rsid w:val="006543DD"/>
    <w:rsid w:val="006545F1"/>
    <w:rsid w:val="006558FF"/>
    <w:rsid w:val="00655F62"/>
    <w:rsid w:val="006562BA"/>
    <w:rsid w:val="00656BE1"/>
    <w:rsid w:val="006572D4"/>
    <w:rsid w:val="00661635"/>
    <w:rsid w:val="00661975"/>
    <w:rsid w:val="00661C82"/>
    <w:rsid w:val="00661E13"/>
    <w:rsid w:val="00662086"/>
    <w:rsid w:val="006622AD"/>
    <w:rsid w:val="00662365"/>
    <w:rsid w:val="00662421"/>
    <w:rsid w:val="00662C9D"/>
    <w:rsid w:val="00663202"/>
    <w:rsid w:val="00663777"/>
    <w:rsid w:val="006640D2"/>
    <w:rsid w:val="006652BF"/>
    <w:rsid w:val="00665DEC"/>
    <w:rsid w:val="00665FD6"/>
    <w:rsid w:val="00666797"/>
    <w:rsid w:val="006667DF"/>
    <w:rsid w:val="00666BDC"/>
    <w:rsid w:val="006676BF"/>
    <w:rsid w:val="0067009E"/>
    <w:rsid w:val="00670992"/>
    <w:rsid w:val="006719D9"/>
    <w:rsid w:val="006722C7"/>
    <w:rsid w:val="00673220"/>
    <w:rsid w:val="006733DB"/>
    <w:rsid w:val="00673DA9"/>
    <w:rsid w:val="00673E5C"/>
    <w:rsid w:val="00674E7F"/>
    <w:rsid w:val="0067519C"/>
    <w:rsid w:val="00676450"/>
    <w:rsid w:val="006775DD"/>
    <w:rsid w:val="00677849"/>
    <w:rsid w:val="00677A6D"/>
    <w:rsid w:val="00677F7B"/>
    <w:rsid w:val="00680F3F"/>
    <w:rsid w:val="0068220B"/>
    <w:rsid w:val="00683071"/>
    <w:rsid w:val="00684317"/>
    <w:rsid w:val="00684DE6"/>
    <w:rsid w:val="0068536E"/>
    <w:rsid w:val="00685443"/>
    <w:rsid w:val="0068729F"/>
    <w:rsid w:val="00687661"/>
    <w:rsid w:val="0069009E"/>
    <w:rsid w:val="006909E5"/>
    <w:rsid w:val="00690D9F"/>
    <w:rsid w:val="006910ED"/>
    <w:rsid w:val="0069227C"/>
    <w:rsid w:val="00693425"/>
    <w:rsid w:val="006935B1"/>
    <w:rsid w:val="006939BA"/>
    <w:rsid w:val="006946D4"/>
    <w:rsid w:val="006962C3"/>
    <w:rsid w:val="00697340"/>
    <w:rsid w:val="00697C30"/>
    <w:rsid w:val="00697CCA"/>
    <w:rsid w:val="006A0CF5"/>
    <w:rsid w:val="006A2172"/>
    <w:rsid w:val="006A2213"/>
    <w:rsid w:val="006A2838"/>
    <w:rsid w:val="006A3A1C"/>
    <w:rsid w:val="006A3B02"/>
    <w:rsid w:val="006A425C"/>
    <w:rsid w:val="006A4B61"/>
    <w:rsid w:val="006A4C32"/>
    <w:rsid w:val="006A5552"/>
    <w:rsid w:val="006A593B"/>
    <w:rsid w:val="006A64D5"/>
    <w:rsid w:val="006A65B1"/>
    <w:rsid w:val="006A6A3C"/>
    <w:rsid w:val="006A7EA3"/>
    <w:rsid w:val="006A7F00"/>
    <w:rsid w:val="006B04F6"/>
    <w:rsid w:val="006B0FC6"/>
    <w:rsid w:val="006B29CB"/>
    <w:rsid w:val="006B31C1"/>
    <w:rsid w:val="006B367C"/>
    <w:rsid w:val="006B3C2B"/>
    <w:rsid w:val="006B4203"/>
    <w:rsid w:val="006B52C5"/>
    <w:rsid w:val="006B53E3"/>
    <w:rsid w:val="006B626F"/>
    <w:rsid w:val="006B6987"/>
    <w:rsid w:val="006B6D9F"/>
    <w:rsid w:val="006B7881"/>
    <w:rsid w:val="006B7EC5"/>
    <w:rsid w:val="006B7EDD"/>
    <w:rsid w:val="006C06DF"/>
    <w:rsid w:val="006C1DF5"/>
    <w:rsid w:val="006C2D72"/>
    <w:rsid w:val="006C30CB"/>
    <w:rsid w:val="006C3633"/>
    <w:rsid w:val="006C4334"/>
    <w:rsid w:val="006C56D6"/>
    <w:rsid w:val="006C6A4B"/>
    <w:rsid w:val="006C6AA9"/>
    <w:rsid w:val="006C6C2F"/>
    <w:rsid w:val="006C7143"/>
    <w:rsid w:val="006C7617"/>
    <w:rsid w:val="006D0317"/>
    <w:rsid w:val="006D07F5"/>
    <w:rsid w:val="006D0E9D"/>
    <w:rsid w:val="006D2345"/>
    <w:rsid w:val="006D28BC"/>
    <w:rsid w:val="006D2C68"/>
    <w:rsid w:val="006D2D99"/>
    <w:rsid w:val="006D434F"/>
    <w:rsid w:val="006D514D"/>
    <w:rsid w:val="006D53EB"/>
    <w:rsid w:val="006D59DF"/>
    <w:rsid w:val="006D684C"/>
    <w:rsid w:val="006D6B36"/>
    <w:rsid w:val="006D6D95"/>
    <w:rsid w:val="006D6FE0"/>
    <w:rsid w:val="006D739F"/>
    <w:rsid w:val="006D7909"/>
    <w:rsid w:val="006E0080"/>
    <w:rsid w:val="006E0AE8"/>
    <w:rsid w:val="006E1059"/>
    <w:rsid w:val="006E20AC"/>
    <w:rsid w:val="006E22C8"/>
    <w:rsid w:val="006E561D"/>
    <w:rsid w:val="006E6956"/>
    <w:rsid w:val="006E6AB4"/>
    <w:rsid w:val="006E7A24"/>
    <w:rsid w:val="006E7C65"/>
    <w:rsid w:val="006F02D4"/>
    <w:rsid w:val="006F03CD"/>
    <w:rsid w:val="006F0A96"/>
    <w:rsid w:val="006F1D43"/>
    <w:rsid w:val="006F21E2"/>
    <w:rsid w:val="006F2E74"/>
    <w:rsid w:val="006F3572"/>
    <w:rsid w:val="006F365B"/>
    <w:rsid w:val="006F44BD"/>
    <w:rsid w:val="006F4938"/>
    <w:rsid w:val="006F4BFF"/>
    <w:rsid w:val="006F4C4C"/>
    <w:rsid w:val="006F59F6"/>
    <w:rsid w:val="006F65F7"/>
    <w:rsid w:val="006F7DEB"/>
    <w:rsid w:val="00702140"/>
    <w:rsid w:val="007032EA"/>
    <w:rsid w:val="00704BD3"/>
    <w:rsid w:val="00704FF6"/>
    <w:rsid w:val="007077A5"/>
    <w:rsid w:val="00710119"/>
    <w:rsid w:val="00710139"/>
    <w:rsid w:val="00710288"/>
    <w:rsid w:val="007103EA"/>
    <w:rsid w:val="007104F6"/>
    <w:rsid w:val="00710586"/>
    <w:rsid w:val="0071113B"/>
    <w:rsid w:val="00711251"/>
    <w:rsid w:val="00712B84"/>
    <w:rsid w:val="007130A3"/>
    <w:rsid w:val="00714AE6"/>
    <w:rsid w:val="007156F0"/>
    <w:rsid w:val="00715857"/>
    <w:rsid w:val="00715C37"/>
    <w:rsid w:val="00716312"/>
    <w:rsid w:val="00716B78"/>
    <w:rsid w:val="00716D4A"/>
    <w:rsid w:val="00717461"/>
    <w:rsid w:val="00720802"/>
    <w:rsid w:val="007221FE"/>
    <w:rsid w:val="00722403"/>
    <w:rsid w:val="00722444"/>
    <w:rsid w:val="00722A4C"/>
    <w:rsid w:val="0072342B"/>
    <w:rsid w:val="00723594"/>
    <w:rsid w:val="0072366B"/>
    <w:rsid w:val="007240F3"/>
    <w:rsid w:val="0072467F"/>
    <w:rsid w:val="0072469A"/>
    <w:rsid w:val="00724F69"/>
    <w:rsid w:val="00725DFC"/>
    <w:rsid w:val="00726992"/>
    <w:rsid w:val="007279B6"/>
    <w:rsid w:val="00727C1F"/>
    <w:rsid w:val="00730809"/>
    <w:rsid w:val="00730B08"/>
    <w:rsid w:val="00730BD8"/>
    <w:rsid w:val="00730D49"/>
    <w:rsid w:val="007320A3"/>
    <w:rsid w:val="00733DF1"/>
    <w:rsid w:val="00734266"/>
    <w:rsid w:val="00734451"/>
    <w:rsid w:val="00734E40"/>
    <w:rsid w:val="00735A95"/>
    <w:rsid w:val="00736141"/>
    <w:rsid w:val="0073652B"/>
    <w:rsid w:val="007373D6"/>
    <w:rsid w:val="00740D10"/>
    <w:rsid w:val="0074160C"/>
    <w:rsid w:val="0074175B"/>
    <w:rsid w:val="007419F7"/>
    <w:rsid w:val="00741A99"/>
    <w:rsid w:val="0074239B"/>
    <w:rsid w:val="00742C41"/>
    <w:rsid w:val="00742EEB"/>
    <w:rsid w:val="00742F2A"/>
    <w:rsid w:val="00743340"/>
    <w:rsid w:val="00743692"/>
    <w:rsid w:val="00744591"/>
    <w:rsid w:val="007445BF"/>
    <w:rsid w:val="00744B74"/>
    <w:rsid w:val="007456DC"/>
    <w:rsid w:val="00745746"/>
    <w:rsid w:val="00746373"/>
    <w:rsid w:val="007469AC"/>
    <w:rsid w:val="00746AC5"/>
    <w:rsid w:val="00747199"/>
    <w:rsid w:val="00747841"/>
    <w:rsid w:val="00750B8A"/>
    <w:rsid w:val="0075119D"/>
    <w:rsid w:val="00751811"/>
    <w:rsid w:val="0075205D"/>
    <w:rsid w:val="00752A84"/>
    <w:rsid w:val="00752A95"/>
    <w:rsid w:val="0075338D"/>
    <w:rsid w:val="0075442C"/>
    <w:rsid w:val="00754C5B"/>
    <w:rsid w:val="00754F2A"/>
    <w:rsid w:val="00755035"/>
    <w:rsid w:val="007553F8"/>
    <w:rsid w:val="0075546B"/>
    <w:rsid w:val="00757282"/>
    <w:rsid w:val="007572FA"/>
    <w:rsid w:val="00757B6B"/>
    <w:rsid w:val="007611DE"/>
    <w:rsid w:val="007619D2"/>
    <w:rsid w:val="007624C2"/>
    <w:rsid w:val="00763890"/>
    <w:rsid w:val="007657B6"/>
    <w:rsid w:val="00765D47"/>
    <w:rsid w:val="00765F03"/>
    <w:rsid w:val="0076602E"/>
    <w:rsid w:val="007660AC"/>
    <w:rsid w:val="00766E31"/>
    <w:rsid w:val="0076755C"/>
    <w:rsid w:val="00767E83"/>
    <w:rsid w:val="007710A6"/>
    <w:rsid w:val="007718CF"/>
    <w:rsid w:val="00771D48"/>
    <w:rsid w:val="00772334"/>
    <w:rsid w:val="007726D6"/>
    <w:rsid w:val="0077348C"/>
    <w:rsid w:val="00775869"/>
    <w:rsid w:val="00775889"/>
    <w:rsid w:val="00780AB1"/>
    <w:rsid w:val="00780D64"/>
    <w:rsid w:val="00780FB4"/>
    <w:rsid w:val="00781373"/>
    <w:rsid w:val="00781777"/>
    <w:rsid w:val="00781F3B"/>
    <w:rsid w:val="007822A0"/>
    <w:rsid w:val="00782733"/>
    <w:rsid w:val="00782F55"/>
    <w:rsid w:val="00783238"/>
    <w:rsid w:val="007835E4"/>
    <w:rsid w:val="00783665"/>
    <w:rsid w:val="00784D41"/>
    <w:rsid w:val="00784DD6"/>
    <w:rsid w:val="00786286"/>
    <w:rsid w:val="007865FC"/>
    <w:rsid w:val="00786962"/>
    <w:rsid w:val="00786995"/>
    <w:rsid w:val="00786F30"/>
    <w:rsid w:val="00787126"/>
    <w:rsid w:val="00787776"/>
    <w:rsid w:val="00787A17"/>
    <w:rsid w:val="00787E1C"/>
    <w:rsid w:val="00790A46"/>
    <w:rsid w:val="00790FF8"/>
    <w:rsid w:val="007911AD"/>
    <w:rsid w:val="00791C80"/>
    <w:rsid w:val="00792F9C"/>
    <w:rsid w:val="00794147"/>
    <w:rsid w:val="00795276"/>
    <w:rsid w:val="007953CC"/>
    <w:rsid w:val="00796FD5"/>
    <w:rsid w:val="007A041F"/>
    <w:rsid w:val="007A05B4"/>
    <w:rsid w:val="007A090F"/>
    <w:rsid w:val="007A1BC8"/>
    <w:rsid w:val="007A272B"/>
    <w:rsid w:val="007A29FB"/>
    <w:rsid w:val="007A3174"/>
    <w:rsid w:val="007A4480"/>
    <w:rsid w:val="007A5125"/>
    <w:rsid w:val="007A562D"/>
    <w:rsid w:val="007A56B9"/>
    <w:rsid w:val="007A5D61"/>
    <w:rsid w:val="007A5F84"/>
    <w:rsid w:val="007A6C82"/>
    <w:rsid w:val="007B1046"/>
    <w:rsid w:val="007B2045"/>
    <w:rsid w:val="007B4DC2"/>
    <w:rsid w:val="007B53FA"/>
    <w:rsid w:val="007B575F"/>
    <w:rsid w:val="007B6B76"/>
    <w:rsid w:val="007B6C10"/>
    <w:rsid w:val="007B6CA5"/>
    <w:rsid w:val="007B7480"/>
    <w:rsid w:val="007C0243"/>
    <w:rsid w:val="007C04C9"/>
    <w:rsid w:val="007C207B"/>
    <w:rsid w:val="007C237A"/>
    <w:rsid w:val="007C28C6"/>
    <w:rsid w:val="007C2A04"/>
    <w:rsid w:val="007C4870"/>
    <w:rsid w:val="007C635B"/>
    <w:rsid w:val="007C6856"/>
    <w:rsid w:val="007C6937"/>
    <w:rsid w:val="007C6963"/>
    <w:rsid w:val="007C6EF7"/>
    <w:rsid w:val="007C757D"/>
    <w:rsid w:val="007C7A57"/>
    <w:rsid w:val="007D03AC"/>
    <w:rsid w:val="007D1DCC"/>
    <w:rsid w:val="007D254B"/>
    <w:rsid w:val="007D3461"/>
    <w:rsid w:val="007D34D5"/>
    <w:rsid w:val="007D35C6"/>
    <w:rsid w:val="007D3D62"/>
    <w:rsid w:val="007D4498"/>
    <w:rsid w:val="007D4722"/>
    <w:rsid w:val="007D4D1E"/>
    <w:rsid w:val="007D4DB1"/>
    <w:rsid w:val="007D5482"/>
    <w:rsid w:val="007D590E"/>
    <w:rsid w:val="007D65F6"/>
    <w:rsid w:val="007D6D25"/>
    <w:rsid w:val="007D7223"/>
    <w:rsid w:val="007E154D"/>
    <w:rsid w:val="007E1999"/>
    <w:rsid w:val="007E1A56"/>
    <w:rsid w:val="007E1BB2"/>
    <w:rsid w:val="007E2860"/>
    <w:rsid w:val="007E2DC3"/>
    <w:rsid w:val="007E3446"/>
    <w:rsid w:val="007E3F46"/>
    <w:rsid w:val="007E43D3"/>
    <w:rsid w:val="007E44F7"/>
    <w:rsid w:val="007E597F"/>
    <w:rsid w:val="007E5E0A"/>
    <w:rsid w:val="007E656E"/>
    <w:rsid w:val="007E7FB2"/>
    <w:rsid w:val="007F0748"/>
    <w:rsid w:val="007F42C8"/>
    <w:rsid w:val="007F4CD4"/>
    <w:rsid w:val="007F4FAB"/>
    <w:rsid w:val="007F5455"/>
    <w:rsid w:val="007F5949"/>
    <w:rsid w:val="007F59EA"/>
    <w:rsid w:val="007F5BD4"/>
    <w:rsid w:val="007F6405"/>
    <w:rsid w:val="007F6637"/>
    <w:rsid w:val="007F6A5B"/>
    <w:rsid w:val="007F6FEE"/>
    <w:rsid w:val="007F7AEB"/>
    <w:rsid w:val="007F7C3B"/>
    <w:rsid w:val="00800DE9"/>
    <w:rsid w:val="00801340"/>
    <w:rsid w:val="00802F70"/>
    <w:rsid w:val="00803950"/>
    <w:rsid w:val="00803E52"/>
    <w:rsid w:val="0080461F"/>
    <w:rsid w:val="008047C4"/>
    <w:rsid w:val="00805190"/>
    <w:rsid w:val="008066DE"/>
    <w:rsid w:val="00806E64"/>
    <w:rsid w:val="00807B36"/>
    <w:rsid w:val="008102F8"/>
    <w:rsid w:val="00810F89"/>
    <w:rsid w:val="00813EE6"/>
    <w:rsid w:val="00814434"/>
    <w:rsid w:val="008153F5"/>
    <w:rsid w:val="00815951"/>
    <w:rsid w:val="00815DD0"/>
    <w:rsid w:val="00816657"/>
    <w:rsid w:val="00816934"/>
    <w:rsid w:val="00817607"/>
    <w:rsid w:val="0082013A"/>
    <w:rsid w:val="00820164"/>
    <w:rsid w:val="00820696"/>
    <w:rsid w:val="00820709"/>
    <w:rsid w:val="008218A5"/>
    <w:rsid w:val="00821A58"/>
    <w:rsid w:val="00823652"/>
    <w:rsid w:val="008239F6"/>
    <w:rsid w:val="0082541E"/>
    <w:rsid w:val="0082612F"/>
    <w:rsid w:val="00826A06"/>
    <w:rsid w:val="00827230"/>
    <w:rsid w:val="008300BE"/>
    <w:rsid w:val="00831656"/>
    <w:rsid w:val="008316C5"/>
    <w:rsid w:val="00832787"/>
    <w:rsid w:val="00833134"/>
    <w:rsid w:val="00833396"/>
    <w:rsid w:val="00833657"/>
    <w:rsid w:val="00834251"/>
    <w:rsid w:val="008349AD"/>
    <w:rsid w:val="00835D9A"/>
    <w:rsid w:val="0083750C"/>
    <w:rsid w:val="00840645"/>
    <w:rsid w:val="00840C93"/>
    <w:rsid w:val="00841A13"/>
    <w:rsid w:val="008423F4"/>
    <w:rsid w:val="0084327A"/>
    <w:rsid w:val="00843995"/>
    <w:rsid w:val="00843A35"/>
    <w:rsid w:val="00843D2C"/>
    <w:rsid w:val="00844275"/>
    <w:rsid w:val="00844515"/>
    <w:rsid w:val="0084607F"/>
    <w:rsid w:val="0084779C"/>
    <w:rsid w:val="008501FC"/>
    <w:rsid w:val="00850914"/>
    <w:rsid w:val="008511C5"/>
    <w:rsid w:val="008518C5"/>
    <w:rsid w:val="008522C0"/>
    <w:rsid w:val="00852CE6"/>
    <w:rsid w:val="00852E8A"/>
    <w:rsid w:val="00854D0C"/>
    <w:rsid w:val="008562CB"/>
    <w:rsid w:val="008568E5"/>
    <w:rsid w:val="0086013C"/>
    <w:rsid w:val="00860F83"/>
    <w:rsid w:val="008610A8"/>
    <w:rsid w:val="00861B07"/>
    <w:rsid w:val="00861DA3"/>
    <w:rsid w:val="00862DFD"/>
    <w:rsid w:val="00863628"/>
    <w:rsid w:val="008637D6"/>
    <w:rsid w:val="00865D1D"/>
    <w:rsid w:val="008665ED"/>
    <w:rsid w:val="00866892"/>
    <w:rsid w:val="00870492"/>
    <w:rsid w:val="008704AD"/>
    <w:rsid w:val="008705CE"/>
    <w:rsid w:val="00870BAF"/>
    <w:rsid w:val="0087149E"/>
    <w:rsid w:val="008717A1"/>
    <w:rsid w:val="0087273E"/>
    <w:rsid w:val="008727A9"/>
    <w:rsid w:val="00873278"/>
    <w:rsid w:val="00873388"/>
    <w:rsid w:val="008746B2"/>
    <w:rsid w:val="00874E04"/>
    <w:rsid w:val="00874ED9"/>
    <w:rsid w:val="00875272"/>
    <w:rsid w:val="00875FE9"/>
    <w:rsid w:val="00876043"/>
    <w:rsid w:val="00876494"/>
    <w:rsid w:val="00876B72"/>
    <w:rsid w:val="00877CF8"/>
    <w:rsid w:val="0088026E"/>
    <w:rsid w:val="00881E52"/>
    <w:rsid w:val="008822B4"/>
    <w:rsid w:val="00884101"/>
    <w:rsid w:val="00885950"/>
    <w:rsid w:val="0088666A"/>
    <w:rsid w:val="00886CD7"/>
    <w:rsid w:val="00887454"/>
    <w:rsid w:val="00890187"/>
    <w:rsid w:val="00891830"/>
    <w:rsid w:val="00892E75"/>
    <w:rsid w:val="008945C7"/>
    <w:rsid w:val="00895197"/>
    <w:rsid w:val="00895C6D"/>
    <w:rsid w:val="00896CAB"/>
    <w:rsid w:val="00897B55"/>
    <w:rsid w:val="008A0976"/>
    <w:rsid w:val="008A0B1D"/>
    <w:rsid w:val="008A1AC9"/>
    <w:rsid w:val="008A20E0"/>
    <w:rsid w:val="008A250B"/>
    <w:rsid w:val="008A28C1"/>
    <w:rsid w:val="008A30BE"/>
    <w:rsid w:val="008A37B8"/>
    <w:rsid w:val="008A3967"/>
    <w:rsid w:val="008A3E1C"/>
    <w:rsid w:val="008A3EC3"/>
    <w:rsid w:val="008A51C6"/>
    <w:rsid w:val="008A6574"/>
    <w:rsid w:val="008A6836"/>
    <w:rsid w:val="008A6E48"/>
    <w:rsid w:val="008A6E52"/>
    <w:rsid w:val="008A6FEC"/>
    <w:rsid w:val="008A77E6"/>
    <w:rsid w:val="008B085A"/>
    <w:rsid w:val="008B0FCB"/>
    <w:rsid w:val="008B1108"/>
    <w:rsid w:val="008B12B9"/>
    <w:rsid w:val="008B23AF"/>
    <w:rsid w:val="008B30D5"/>
    <w:rsid w:val="008B3350"/>
    <w:rsid w:val="008B3373"/>
    <w:rsid w:val="008B433C"/>
    <w:rsid w:val="008B4825"/>
    <w:rsid w:val="008B4A24"/>
    <w:rsid w:val="008B523B"/>
    <w:rsid w:val="008C01B9"/>
    <w:rsid w:val="008C03CB"/>
    <w:rsid w:val="008C0AE0"/>
    <w:rsid w:val="008C33E2"/>
    <w:rsid w:val="008C34C9"/>
    <w:rsid w:val="008C5315"/>
    <w:rsid w:val="008C54F9"/>
    <w:rsid w:val="008C59EF"/>
    <w:rsid w:val="008C5A4A"/>
    <w:rsid w:val="008C6430"/>
    <w:rsid w:val="008C69B0"/>
    <w:rsid w:val="008C6BBD"/>
    <w:rsid w:val="008C7C07"/>
    <w:rsid w:val="008C7F61"/>
    <w:rsid w:val="008C7F84"/>
    <w:rsid w:val="008D079D"/>
    <w:rsid w:val="008D2289"/>
    <w:rsid w:val="008D2D3F"/>
    <w:rsid w:val="008D33C9"/>
    <w:rsid w:val="008D4B18"/>
    <w:rsid w:val="008D4B6C"/>
    <w:rsid w:val="008D608C"/>
    <w:rsid w:val="008D7EEA"/>
    <w:rsid w:val="008E01C2"/>
    <w:rsid w:val="008E022D"/>
    <w:rsid w:val="008E06AA"/>
    <w:rsid w:val="008E0919"/>
    <w:rsid w:val="008E23DB"/>
    <w:rsid w:val="008E25F4"/>
    <w:rsid w:val="008E2924"/>
    <w:rsid w:val="008E2AAB"/>
    <w:rsid w:val="008E3EE5"/>
    <w:rsid w:val="008E4998"/>
    <w:rsid w:val="008E4CCB"/>
    <w:rsid w:val="008E52AC"/>
    <w:rsid w:val="008E5B24"/>
    <w:rsid w:val="008E5D9B"/>
    <w:rsid w:val="008E663F"/>
    <w:rsid w:val="008E6758"/>
    <w:rsid w:val="008E6EDC"/>
    <w:rsid w:val="008E79EE"/>
    <w:rsid w:val="008F01BF"/>
    <w:rsid w:val="008F14CE"/>
    <w:rsid w:val="008F3285"/>
    <w:rsid w:val="008F3625"/>
    <w:rsid w:val="008F4BE0"/>
    <w:rsid w:val="008F4E67"/>
    <w:rsid w:val="008F5061"/>
    <w:rsid w:val="008F556D"/>
    <w:rsid w:val="008F5A72"/>
    <w:rsid w:val="008F5E99"/>
    <w:rsid w:val="008F63BF"/>
    <w:rsid w:val="008F66B7"/>
    <w:rsid w:val="008F6B8D"/>
    <w:rsid w:val="008F6DD8"/>
    <w:rsid w:val="008F782C"/>
    <w:rsid w:val="00900B8C"/>
    <w:rsid w:val="009014A7"/>
    <w:rsid w:val="00901618"/>
    <w:rsid w:val="00901CDA"/>
    <w:rsid w:val="00902403"/>
    <w:rsid w:val="00903C21"/>
    <w:rsid w:val="00903F10"/>
    <w:rsid w:val="00904479"/>
    <w:rsid w:val="00904667"/>
    <w:rsid w:val="009046D9"/>
    <w:rsid w:val="00905755"/>
    <w:rsid w:val="00905B28"/>
    <w:rsid w:val="00906517"/>
    <w:rsid w:val="00906B33"/>
    <w:rsid w:val="009107A1"/>
    <w:rsid w:val="009111AA"/>
    <w:rsid w:val="009123D4"/>
    <w:rsid w:val="0091319E"/>
    <w:rsid w:val="0091328A"/>
    <w:rsid w:val="00913B6C"/>
    <w:rsid w:val="00915214"/>
    <w:rsid w:val="009176EB"/>
    <w:rsid w:val="00917B86"/>
    <w:rsid w:val="00917D0E"/>
    <w:rsid w:val="00920029"/>
    <w:rsid w:val="00920CFE"/>
    <w:rsid w:val="00920D3C"/>
    <w:rsid w:val="009210D8"/>
    <w:rsid w:val="00921643"/>
    <w:rsid w:val="00922823"/>
    <w:rsid w:val="00922F8E"/>
    <w:rsid w:val="00923849"/>
    <w:rsid w:val="00923B9E"/>
    <w:rsid w:val="009240C4"/>
    <w:rsid w:val="00924AFB"/>
    <w:rsid w:val="009253DF"/>
    <w:rsid w:val="009272D3"/>
    <w:rsid w:val="00930998"/>
    <w:rsid w:val="00931630"/>
    <w:rsid w:val="0093164B"/>
    <w:rsid w:val="00931683"/>
    <w:rsid w:val="00932F24"/>
    <w:rsid w:val="0093525E"/>
    <w:rsid w:val="009368D6"/>
    <w:rsid w:val="00936986"/>
    <w:rsid w:val="009370BA"/>
    <w:rsid w:val="0094068C"/>
    <w:rsid w:val="00940CA0"/>
    <w:rsid w:val="0094230A"/>
    <w:rsid w:val="009424EC"/>
    <w:rsid w:val="00942907"/>
    <w:rsid w:val="0094291D"/>
    <w:rsid w:val="00942ADC"/>
    <w:rsid w:val="00942C16"/>
    <w:rsid w:val="00944095"/>
    <w:rsid w:val="0094550B"/>
    <w:rsid w:val="0094666C"/>
    <w:rsid w:val="009471FA"/>
    <w:rsid w:val="00947F6F"/>
    <w:rsid w:val="00947FCA"/>
    <w:rsid w:val="00951642"/>
    <w:rsid w:val="009516F6"/>
    <w:rsid w:val="00951733"/>
    <w:rsid w:val="0095313A"/>
    <w:rsid w:val="00953922"/>
    <w:rsid w:val="00953E61"/>
    <w:rsid w:val="00956160"/>
    <w:rsid w:val="0095632E"/>
    <w:rsid w:val="00956B8B"/>
    <w:rsid w:val="00956BC9"/>
    <w:rsid w:val="00956D70"/>
    <w:rsid w:val="00956ED9"/>
    <w:rsid w:val="00960A71"/>
    <w:rsid w:val="00961454"/>
    <w:rsid w:val="00961536"/>
    <w:rsid w:val="0096168F"/>
    <w:rsid w:val="00962490"/>
    <w:rsid w:val="00962992"/>
    <w:rsid w:val="009638EA"/>
    <w:rsid w:val="00963C6C"/>
    <w:rsid w:val="00963F10"/>
    <w:rsid w:val="00964383"/>
    <w:rsid w:val="0096646E"/>
    <w:rsid w:val="009671DA"/>
    <w:rsid w:val="00971717"/>
    <w:rsid w:val="00972AE7"/>
    <w:rsid w:val="00972B1B"/>
    <w:rsid w:val="00973E3A"/>
    <w:rsid w:val="00974E1F"/>
    <w:rsid w:val="00975FB9"/>
    <w:rsid w:val="0097686C"/>
    <w:rsid w:val="00976F33"/>
    <w:rsid w:val="00980BE0"/>
    <w:rsid w:val="00982D24"/>
    <w:rsid w:val="00982F49"/>
    <w:rsid w:val="009837BF"/>
    <w:rsid w:val="00984AEF"/>
    <w:rsid w:val="00985670"/>
    <w:rsid w:val="0098585B"/>
    <w:rsid w:val="00985C2E"/>
    <w:rsid w:val="0098685F"/>
    <w:rsid w:val="009877A5"/>
    <w:rsid w:val="00987D6E"/>
    <w:rsid w:val="00990510"/>
    <w:rsid w:val="00991B3A"/>
    <w:rsid w:val="00992106"/>
    <w:rsid w:val="0099287C"/>
    <w:rsid w:val="00992BFF"/>
    <w:rsid w:val="00993D8E"/>
    <w:rsid w:val="00993F0C"/>
    <w:rsid w:val="0099442E"/>
    <w:rsid w:val="00994785"/>
    <w:rsid w:val="00994ACC"/>
    <w:rsid w:val="009954B2"/>
    <w:rsid w:val="00995A05"/>
    <w:rsid w:val="00997A0A"/>
    <w:rsid w:val="009A062E"/>
    <w:rsid w:val="009A1CDF"/>
    <w:rsid w:val="009A1D53"/>
    <w:rsid w:val="009A1F08"/>
    <w:rsid w:val="009A2825"/>
    <w:rsid w:val="009A37EA"/>
    <w:rsid w:val="009A3992"/>
    <w:rsid w:val="009A4380"/>
    <w:rsid w:val="009A4840"/>
    <w:rsid w:val="009A582D"/>
    <w:rsid w:val="009A605A"/>
    <w:rsid w:val="009A606F"/>
    <w:rsid w:val="009A6578"/>
    <w:rsid w:val="009A6923"/>
    <w:rsid w:val="009A6F88"/>
    <w:rsid w:val="009A78A8"/>
    <w:rsid w:val="009B196A"/>
    <w:rsid w:val="009B3A1A"/>
    <w:rsid w:val="009B4487"/>
    <w:rsid w:val="009B4996"/>
    <w:rsid w:val="009B5ADD"/>
    <w:rsid w:val="009B682A"/>
    <w:rsid w:val="009B6DAE"/>
    <w:rsid w:val="009B76E5"/>
    <w:rsid w:val="009B780D"/>
    <w:rsid w:val="009B7D53"/>
    <w:rsid w:val="009C0FAD"/>
    <w:rsid w:val="009C1C85"/>
    <w:rsid w:val="009C2080"/>
    <w:rsid w:val="009C2484"/>
    <w:rsid w:val="009C3A8A"/>
    <w:rsid w:val="009C4A30"/>
    <w:rsid w:val="009C4BA8"/>
    <w:rsid w:val="009C4BE7"/>
    <w:rsid w:val="009C4CFE"/>
    <w:rsid w:val="009C4D3E"/>
    <w:rsid w:val="009C5EA3"/>
    <w:rsid w:val="009C6048"/>
    <w:rsid w:val="009C61AA"/>
    <w:rsid w:val="009C677C"/>
    <w:rsid w:val="009C68A5"/>
    <w:rsid w:val="009C6E76"/>
    <w:rsid w:val="009C7E01"/>
    <w:rsid w:val="009D147E"/>
    <w:rsid w:val="009D299D"/>
    <w:rsid w:val="009D440E"/>
    <w:rsid w:val="009D45A2"/>
    <w:rsid w:val="009D4B8F"/>
    <w:rsid w:val="009D4CB6"/>
    <w:rsid w:val="009D4E50"/>
    <w:rsid w:val="009D53B8"/>
    <w:rsid w:val="009D5DDA"/>
    <w:rsid w:val="009D5E1D"/>
    <w:rsid w:val="009D67EE"/>
    <w:rsid w:val="009D6B92"/>
    <w:rsid w:val="009D7527"/>
    <w:rsid w:val="009D7707"/>
    <w:rsid w:val="009D78ED"/>
    <w:rsid w:val="009D7DC4"/>
    <w:rsid w:val="009E053D"/>
    <w:rsid w:val="009E06BC"/>
    <w:rsid w:val="009E0CE6"/>
    <w:rsid w:val="009E0EF7"/>
    <w:rsid w:val="009E2171"/>
    <w:rsid w:val="009E2867"/>
    <w:rsid w:val="009E2A7C"/>
    <w:rsid w:val="009E2F9B"/>
    <w:rsid w:val="009E3715"/>
    <w:rsid w:val="009E4190"/>
    <w:rsid w:val="009E4864"/>
    <w:rsid w:val="009E5EA5"/>
    <w:rsid w:val="009E6AFC"/>
    <w:rsid w:val="009E6CF2"/>
    <w:rsid w:val="009F033B"/>
    <w:rsid w:val="009F0A5E"/>
    <w:rsid w:val="009F0A62"/>
    <w:rsid w:val="009F23E5"/>
    <w:rsid w:val="009F31BB"/>
    <w:rsid w:val="009F33EF"/>
    <w:rsid w:val="009F53C6"/>
    <w:rsid w:val="009F5582"/>
    <w:rsid w:val="009F7E4C"/>
    <w:rsid w:val="00A000D7"/>
    <w:rsid w:val="00A00C74"/>
    <w:rsid w:val="00A00C92"/>
    <w:rsid w:val="00A01806"/>
    <w:rsid w:val="00A01C56"/>
    <w:rsid w:val="00A0253C"/>
    <w:rsid w:val="00A02B28"/>
    <w:rsid w:val="00A03112"/>
    <w:rsid w:val="00A03972"/>
    <w:rsid w:val="00A042CA"/>
    <w:rsid w:val="00A043C7"/>
    <w:rsid w:val="00A053A3"/>
    <w:rsid w:val="00A05A70"/>
    <w:rsid w:val="00A06AE8"/>
    <w:rsid w:val="00A075C2"/>
    <w:rsid w:val="00A111C4"/>
    <w:rsid w:val="00A11BBE"/>
    <w:rsid w:val="00A12303"/>
    <w:rsid w:val="00A13C38"/>
    <w:rsid w:val="00A13EDE"/>
    <w:rsid w:val="00A147BD"/>
    <w:rsid w:val="00A149C9"/>
    <w:rsid w:val="00A15A5F"/>
    <w:rsid w:val="00A1672A"/>
    <w:rsid w:val="00A16765"/>
    <w:rsid w:val="00A21E78"/>
    <w:rsid w:val="00A223EB"/>
    <w:rsid w:val="00A227FD"/>
    <w:rsid w:val="00A22992"/>
    <w:rsid w:val="00A23290"/>
    <w:rsid w:val="00A2446E"/>
    <w:rsid w:val="00A25662"/>
    <w:rsid w:val="00A26BDF"/>
    <w:rsid w:val="00A30131"/>
    <w:rsid w:val="00A311C3"/>
    <w:rsid w:val="00A3215E"/>
    <w:rsid w:val="00A33020"/>
    <w:rsid w:val="00A33056"/>
    <w:rsid w:val="00A3490C"/>
    <w:rsid w:val="00A34B40"/>
    <w:rsid w:val="00A35BC3"/>
    <w:rsid w:val="00A35D8A"/>
    <w:rsid w:val="00A36302"/>
    <w:rsid w:val="00A3634C"/>
    <w:rsid w:val="00A370C0"/>
    <w:rsid w:val="00A402C9"/>
    <w:rsid w:val="00A40349"/>
    <w:rsid w:val="00A40C86"/>
    <w:rsid w:val="00A40EE7"/>
    <w:rsid w:val="00A4117C"/>
    <w:rsid w:val="00A41F00"/>
    <w:rsid w:val="00A42C72"/>
    <w:rsid w:val="00A4303E"/>
    <w:rsid w:val="00A43CAB"/>
    <w:rsid w:val="00A45B78"/>
    <w:rsid w:val="00A45C13"/>
    <w:rsid w:val="00A45CDA"/>
    <w:rsid w:val="00A5062A"/>
    <w:rsid w:val="00A51543"/>
    <w:rsid w:val="00A522F5"/>
    <w:rsid w:val="00A52FC0"/>
    <w:rsid w:val="00A53CC6"/>
    <w:rsid w:val="00A54E3E"/>
    <w:rsid w:val="00A55C59"/>
    <w:rsid w:val="00A55F87"/>
    <w:rsid w:val="00A566C7"/>
    <w:rsid w:val="00A57483"/>
    <w:rsid w:val="00A60C42"/>
    <w:rsid w:val="00A62DB8"/>
    <w:rsid w:val="00A62E6F"/>
    <w:rsid w:val="00A6362C"/>
    <w:rsid w:val="00A650B1"/>
    <w:rsid w:val="00A65883"/>
    <w:rsid w:val="00A65A5F"/>
    <w:rsid w:val="00A65EBA"/>
    <w:rsid w:val="00A6715A"/>
    <w:rsid w:val="00A70602"/>
    <w:rsid w:val="00A70DAE"/>
    <w:rsid w:val="00A71C5E"/>
    <w:rsid w:val="00A72EB7"/>
    <w:rsid w:val="00A745AF"/>
    <w:rsid w:val="00A74C09"/>
    <w:rsid w:val="00A7623C"/>
    <w:rsid w:val="00A7743C"/>
    <w:rsid w:val="00A775B6"/>
    <w:rsid w:val="00A807CE"/>
    <w:rsid w:val="00A80B4A"/>
    <w:rsid w:val="00A820D7"/>
    <w:rsid w:val="00A82192"/>
    <w:rsid w:val="00A82EBF"/>
    <w:rsid w:val="00A8359D"/>
    <w:rsid w:val="00A84116"/>
    <w:rsid w:val="00A842EA"/>
    <w:rsid w:val="00A84BEA"/>
    <w:rsid w:val="00A87AD8"/>
    <w:rsid w:val="00A9077B"/>
    <w:rsid w:val="00A91A2A"/>
    <w:rsid w:val="00A922AD"/>
    <w:rsid w:val="00A92B33"/>
    <w:rsid w:val="00A92F4D"/>
    <w:rsid w:val="00A93577"/>
    <w:rsid w:val="00A93E31"/>
    <w:rsid w:val="00A951B0"/>
    <w:rsid w:val="00A955C0"/>
    <w:rsid w:val="00A959A0"/>
    <w:rsid w:val="00A96A2F"/>
    <w:rsid w:val="00A96C91"/>
    <w:rsid w:val="00A9701C"/>
    <w:rsid w:val="00AA024E"/>
    <w:rsid w:val="00AA0BB6"/>
    <w:rsid w:val="00AA0E54"/>
    <w:rsid w:val="00AA1D39"/>
    <w:rsid w:val="00AA258B"/>
    <w:rsid w:val="00AA283D"/>
    <w:rsid w:val="00AA33C2"/>
    <w:rsid w:val="00AA3DBF"/>
    <w:rsid w:val="00AA4419"/>
    <w:rsid w:val="00AA4F99"/>
    <w:rsid w:val="00AA680B"/>
    <w:rsid w:val="00AA6994"/>
    <w:rsid w:val="00AA6A1A"/>
    <w:rsid w:val="00AA6CD5"/>
    <w:rsid w:val="00AA6F6E"/>
    <w:rsid w:val="00AA7598"/>
    <w:rsid w:val="00AA7F95"/>
    <w:rsid w:val="00AB105B"/>
    <w:rsid w:val="00AB1443"/>
    <w:rsid w:val="00AB1C21"/>
    <w:rsid w:val="00AB4294"/>
    <w:rsid w:val="00AB50C7"/>
    <w:rsid w:val="00AB5191"/>
    <w:rsid w:val="00AB5D3F"/>
    <w:rsid w:val="00AB5D76"/>
    <w:rsid w:val="00AB64F9"/>
    <w:rsid w:val="00AB7C41"/>
    <w:rsid w:val="00AC0001"/>
    <w:rsid w:val="00AC0044"/>
    <w:rsid w:val="00AC0FB5"/>
    <w:rsid w:val="00AC1D9F"/>
    <w:rsid w:val="00AC23E0"/>
    <w:rsid w:val="00AC39C5"/>
    <w:rsid w:val="00AC3E73"/>
    <w:rsid w:val="00AC4AF2"/>
    <w:rsid w:val="00AC5CEC"/>
    <w:rsid w:val="00AC6166"/>
    <w:rsid w:val="00AC6CFD"/>
    <w:rsid w:val="00AC6FAF"/>
    <w:rsid w:val="00AC77ED"/>
    <w:rsid w:val="00AD023A"/>
    <w:rsid w:val="00AD06FA"/>
    <w:rsid w:val="00AD1240"/>
    <w:rsid w:val="00AD148D"/>
    <w:rsid w:val="00AD2726"/>
    <w:rsid w:val="00AD3EED"/>
    <w:rsid w:val="00AD45DD"/>
    <w:rsid w:val="00AD4FE9"/>
    <w:rsid w:val="00AD57B5"/>
    <w:rsid w:val="00AD58B0"/>
    <w:rsid w:val="00AD6094"/>
    <w:rsid w:val="00AD663C"/>
    <w:rsid w:val="00AD7317"/>
    <w:rsid w:val="00AD75B2"/>
    <w:rsid w:val="00AE22A0"/>
    <w:rsid w:val="00AE4650"/>
    <w:rsid w:val="00AE475C"/>
    <w:rsid w:val="00AE4A02"/>
    <w:rsid w:val="00AE6141"/>
    <w:rsid w:val="00AE680A"/>
    <w:rsid w:val="00AE6AEA"/>
    <w:rsid w:val="00AE7611"/>
    <w:rsid w:val="00AE76DB"/>
    <w:rsid w:val="00AF02BF"/>
    <w:rsid w:val="00AF0C48"/>
    <w:rsid w:val="00AF1C2D"/>
    <w:rsid w:val="00AF1DE4"/>
    <w:rsid w:val="00AF1F2C"/>
    <w:rsid w:val="00AF2641"/>
    <w:rsid w:val="00AF3044"/>
    <w:rsid w:val="00AF3776"/>
    <w:rsid w:val="00AF3EDF"/>
    <w:rsid w:val="00AF5C77"/>
    <w:rsid w:val="00AF606A"/>
    <w:rsid w:val="00AF6749"/>
    <w:rsid w:val="00AF6C3E"/>
    <w:rsid w:val="00B00C35"/>
    <w:rsid w:val="00B013FA"/>
    <w:rsid w:val="00B01981"/>
    <w:rsid w:val="00B034C3"/>
    <w:rsid w:val="00B0424E"/>
    <w:rsid w:val="00B044DC"/>
    <w:rsid w:val="00B05609"/>
    <w:rsid w:val="00B05A6C"/>
    <w:rsid w:val="00B06A1A"/>
    <w:rsid w:val="00B07635"/>
    <w:rsid w:val="00B1004A"/>
    <w:rsid w:val="00B10388"/>
    <w:rsid w:val="00B1082B"/>
    <w:rsid w:val="00B10DAD"/>
    <w:rsid w:val="00B11625"/>
    <w:rsid w:val="00B11B11"/>
    <w:rsid w:val="00B13534"/>
    <w:rsid w:val="00B13594"/>
    <w:rsid w:val="00B139BD"/>
    <w:rsid w:val="00B14D96"/>
    <w:rsid w:val="00B16CE3"/>
    <w:rsid w:val="00B173E0"/>
    <w:rsid w:val="00B17D26"/>
    <w:rsid w:val="00B20097"/>
    <w:rsid w:val="00B201A6"/>
    <w:rsid w:val="00B205F8"/>
    <w:rsid w:val="00B2138D"/>
    <w:rsid w:val="00B21983"/>
    <w:rsid w:val="00B2225C"/>
    <w:rsid w:val="00B2251D"/>
    <w:rsid w:val="00B2264F"/>
    <w:rsid w:val="00B24DA7"/>
    <w:rsid w:val="00B24FDC"/>
    <w:rsid w:val="00B25AAF"/>
    <w:rsid w:val="00B2699B"/>
    <w:rsid w:val="00B27D28"/>
    <w:rsid w:val="00B30359"/>
    <w:rsid w:val="00B30810"/>
    <w:rsid w:val="00B32877"/>
    <w:rsid w:val="00B36570"/>
    <w:rsid w:val="00B36590"/>
    <w:rsid w:val="00B36F53"/>
    <w:rsid w:val="00B36FCF"/>
    <w:rsid w:val="00B40CBB"/>
    <w:rsid w:val="00B414A2"/>
    <w:rsid w:val="00B42B9E"/>
    <w:rsid w:val="00B43931"/>
    <w:rsid w:val="00B43C10"/>
    <w:rsid w:val="00B44C66"/>
    <w:rsid w:val="00B44CC2"/>
    <w:rsid w:val="00B45406"/>
    <w:rsid w:val="00B4586C"/>
    <w:rsid w:val="00B4629E"/>
    <w:rsid w:val="00B472EB"/>
    <w:rsid w:val="00B4732F"/>
    <w:rsid w:val="00B47C0A"/>
    <w:rsid w:val="00B50A85"/>
    <w:rsid w:val="00B50CFB"/>
    <w:rsid w:val="00B50E5B"/>
    <w:rsid w:val="00B50EEB"/>
    <w:rsid w:val="00B5206A"/>
    <w:rsid w:val="00B520D1"/>
    <w:rsid w:val="00B52E19"/>
    <w:rsid w:val="00B5376C"/>
    <w:rsid w:val="00B5447A"/>
    <w:rsid w:val="00B551E6"/>
    <w:rsid w:val="00B55AAE"/>
    <w:rsid w:val="00B55B3A"/>
    <w:rsid w:val="00B573C3"/>
    <w:rsid w:val="00B57A9B"/>
    <w:rsid w:val="00B60192"/>
    <w:rsid w:val="00B61AFA"/>
    <w:rsid w:val="00B61ED5"/>
    <w:rsid w:val="00B62889"/>
    <w:rsid w:val="00B63449"/>
    <w:rsid w:val="00B64483"/>
    <w:rsid w:val="00B6474F"/>
    <w:rsid w:val="00B6480C"/>
    <w:rsid w:val="00B64B80"/>
    <w:rsid w:val="00B658B1"/>
    <w:rsid w:val="00B668FB"/>
    <w:rsid w:val="00B70288"/>
    <w:rsid w:val="00B70465"/>
    <w:rsid w:val="00B712E8"/>
    <w:rsid w:val="00B71BAB"/>
    <w:rsid w:val="00B71D2C"/>
    <w:rsid w:val="00B7217A"/>
    <w:rsid w:val="00B72E67"/>
    <w:rsid w:val="00B75D0D"/>
    <w:rsid w:val="00B75D1A"/>
    <w:rsid w:val="00B7648A"/>
    <w:rsid w:val="00B76D48"/>
    <w:rsid w:val="00B80C20"/>
    <w:rsid w:val="00B820C9"/>
    <w:rsid w:val="00B8270F"/>
    <w:rsid w:val="00B8294D"/>
    <w:rsid w:val="00B82B9A"/>
    <w:rsid w:val="00B82D60"/>
    <w:rsid w:val="00B82FA1"/>
    <w:rsid w:val="00B8309B"/>
    <w:rsid w:val="00B8410A"/>
    <w:rsid w:val="00B8412B"/>
    <w:rsid w:val="00B84AEC"/>
    <w:rsid w:val="00B84C63"/>
    <w:rsid w:val="00B84CFF"/>
    <w:rsid w:val="00B850A8"/>
    <w:rsid w:val="00B85218"/>
    <w:rsid w:val="00B86974"/>
    <w:rsid w:val="00B8783E"/>
    <w:rsid w:val="00B87A34"/>
    <w:rsid w:val="00B90162"/>
    <w:rsid w:val="00B90699"/>
    <w:rsid w:val="00B91387"/>
    <w:rsid w:val="00B91DE8"/>
    <w:rsid w:val="00B91ED9"/>
    <w:rsid w:val="00B924D3"/>
    <w:rsid w:val="00B931B6"/>
    <w:rsid w:val="00B933F1"/>
    <w:rsid w:val="00B941A7"/>
    <w:rsid w:val="00B94336"/>
    <w:rsid w:val="00B947F7"/>
    <w:rsid w:val="00B94B3E"/>
    <w:rsid w:val="00B95661"/>
    <w:rsid w:val="00B95FAB"/>
    <w:rsid w:val="00B967D1"/>
    <w:rsid w:val="00B96CBE"/>
    <w:rsid w:val="00B9737F"/>
    <w:rsid w:val="00B97E44"/>
    <w:rsid w:val="00BA06F3"/>
    <w:rsid w:val="00BA112F"/>
    <w:rsid w:val="00BA18A9"/>
    <w:rsid w:val="00BA18DE"/>
    <w:rsid w:val="00BA1AB9"/>
    <w:rsid w:val="00BA1D14"/>
    <w:rsid w:val="00BA276B"/>
    <w:rsid w:val="00BA2A3B"/>
    <w:rsid w:val="00BA2C01"/>
    <w:rsid w:val="00BA3F72"/>
    <w:rsid w:val="00BA4748"/>
    <w:rsid w:val="00BA4A84"/>
    <w:rsid w:val="00BA5D9E"/>
    <w:rsid w:val="00BA643F"/>
    <w:rsid w:val="00BA665B"/>
    <w:rsid w:val="00BA6A15"/>
    <w:rsid w:val="00BA7A1E"/>
    <w:rsid w:val="00BB0C8E"/>
    <w:rsid w:val="00BB1256"/>
    <w:rsid w:val="00BB137B"/>
    <w:rsid w:val="00BB1479"/>
    <w:rsid w:val="00BB1513"/>
    <w:rsid w:val="00BB22D7"/>
    <w:rsid w:val="00BB48B2"/>
    <w:rsid w:val="00BB5629"/>
    <w:rsid w:val="00BB56A2"/>
    <w:rsid w:val="00BB56EC"/>
    <w:rsid w:val="00BB6DBA"/>
    <w:rsid w:val="00BB7A23"/>
    <w:rsid w:val="00BC00BF"/>
    <w:rsid w:val="00BC05C9"/>
    <w:rsid w:val="00BC142D"/>
    <w:rsid w:val="00BC22AB"/>
    <w:rsid w:val="00BC29A4"/>
    <w:rsid w:val="00BC2DEE"/>
    <w:rsid w:val="00BC31C7"/>
    <w:rsid w:val="00BC3462"/>
    <w:rsid w:val="00BC35E3"/>
    <w:rsid w:val="00BC3BD0"/>
    <w:rsid w:val="00BC43F9"/>
    <w:rsid w:val="00BC4C9D"/>
    <w:rsid w:val="00BC5145"/>
    <w:rsid w:val="00BC5A3D"/>
    <w:rsid w:val="00BC5D6F"/>
    <w:rsid w:val="00BC6487"/>
    <w:rsid w:val="00BC6504"/>
    <w:rsid w:val="00BC6523"/>
    <w:rsid w:val="00BC660D"/>
    <w:rsid w:val="00BD0595"/>
    <w:rsid w:val="00BD2405"/>
    <w:rsid w:val="00BD37A4"/>
    <w:rsid w:val="00BD4DF6"/>
    <w:rsid w:val="00BD4E26"/>
    <w:rsid w:val="00BD4EFB"/>
    <w:rsid w:val="00BD57B3"/>
    <w:rsid w:val="00BD6874"/>
    <w:rsid w:val="00BD7711"/>
    <w:rsid w:val="00BE0391"/>
    <w:rsid w:val="00BE4229"/>
    <w:rsid w:val="00BE4A90"/>
    <w:rsid w:val="00BE5552"/>
    <w:rsid w:val="00BE5F61"/>
    <w:rsid w:val="00BE6A48"/>
    <w:rsid w:val="00BE74F5"/>
    <w:rsid w:val="00BF1269"/>
    <w:rsid w:val="00BF1DCC"/>
    <w:rsid w:val="00BF2519"/>
    <w:rsid w:val="00BF2535"/>
    <w:rsid w:val="00BF2A84"/>
    <w:rsid w:val="00BF33B6"/>
    <w:rsid w:val="00BF34DD"/>
    <w:rsid w:val="00BF3612"/>
    <w:rsid w:val="00BF38F6"/>
    <w:rsid w:val="00BF414E"/>
    <w:rsid w:val="00BF4FBF"/>
    <w:rsid w:val="00BF5FF6"/>
    <w:rsid w:val="00BF63A7"/>
    <w:rsid w:val="00BF682D"/>
    <w:rsid w:val="00BF6EBA"/>
    <w:rsid w:val="00BF7415"/>
    <w:rsid w:val="00BF7E47"/>
    <w:rsid w:val="00C016A6"/>
    <w:rsid w:val="00C02D57"/>
    <w:rsid w:val="00C04AB5"/>
    <w:rsid w:val="00C05318"/>
    <w:rsid w:val="00C05ED6"/>
    <w:rsid w:val="00C06108"/>
    <w:rsid w:val="00C06121"/>
    <w:rsid w:val="00C06345"/>
    <w:rsid w:val="00C06A78"/>
    <w:rsid w:val="00C06EEE"/>
    <w:rsid w:val="00C109D3"/>
    <w:rsid w:val="00C1117F"/>
    <w:rsid w:val="00C11BC0"/>
    <w:rsid w:val="00C11E1E"/>
    <w:rsid w:val="00C1404B"/>
    <w:rsid w:val="00C14493"/>
    <w:rsid w:val="00C14774"/>
    <w:rsid w:val="00C14D9B"/>
    <w:rsid w:val="00C15276"/>
    <w:rsid w:val="00C15946"/>
    <w:rsid w:val="00C1598C"/>
    <w:rsid w:val="00C16698"/>
    <w:rsid w:val="00C16F78"/>
    <w:rsid w:val="00C17042"/>
    <w:rsid w:val="00C208BF"/>
    <w:rsid w:val="00C20F8C"/>
    <w:rsid w:val="00C21147"/>
    <w:rsid w:val="00C213C4"/>
    <w:rsid w:val="00C234D2"/>
    <w:rsid w:val="00C23536"/>
    <w:rsid w:val="00C23B32"/>
    <w:rsid w:val="00C24096"/>
    <w:rsid w:val="00C250B2"/>
    <w:rsid w:val="00C2585C"/>
    <w:rsid w:val="00C26894"/>
    <w:rsid w:val="00C276B0"/>
    <w:rsid w:val="00C27B27"/>
    <w:rsid w:val="00C27B71"/>
    <w:rsid w:val="00C318B4"/>
    <w:rsid w:val="00C3246E"/>
    <w:rsid w:val="00C32A26"/>
    <w:rsid w:val="00C32CBA"/>
    <w:rsid w:val="00C3373E"/>
    <w:rsid w:val="00C33F11"/>
    <w:rsid w:val="00C34405"/>
    <w:rsid w:val="00C3467F"/>
    <w:rsid w:val="00C346F9"/>
    <w:rsid w:val="00C35B82"/>
    <w:rsid w:val="00C364E4"/>
    <w:rsid w:val="00C36786"/>
    <w:rsid w:val="00C36D95"/>
    <w:rsid w:val="00C37903"/>
    <w:rsid w:val="00C400F4"/>
    <w:rsid w:val="00C42F63"/>
    <w:rsid w:val="00C42FF7"/>
    <w:rsid w:val="00C42FFA"/>
    <w:rsid w:val="00C439A7"/>
    <w:rsid w:val="00C44794"/>
    <w:rsid w:val="00C4513E"/>
    <w:rsid w:val="00C4572B"/>
    <w:rsid w:val="00C45857"/>
    <w:rsid w:val="00C47E6C"/>
    <w:rsid w:val="00C50EE1"/>
    <w:rsid w:val="00C5293E"/>
    <w:rsid w:val="00C535C6"/>
    <w:rsid w:val="00C53CE0"/>
    <w:rsid w:val="00C53EB4"/>
    <w:rsid w:val="00C54B6D"/>
    <w:rsid w:val="00C55DF2"/>
    <w:rsid w:val="00C56298"/>
    <w:rsid w:val="00C5633B"/>
    <w:rsid w:val="00C57148"/>
    <w:rsid w:val="00C57249"/>
    <w:rsid w:val="00C57DE0"/>
    <w:rsid w:val="00C60048"/>
    <w:rsid w:val="00C6171F"/>
    <w:rsid w:val="00C61814"/>
    <w:rsid w:val="00C61A49"/>
    <w:rsid w:val="00C62A78"/>
    <w:rsid w:val="00C632B4"/>
    <w:rsid w:val="00C64304"/>
    <w:rsid w:val="00C6436B"/>
    <w:rsid w:val="00C656D3"/>
    <w:rsid w:val="00C663EA"/>
    <w:rsid w:val="00C663FE"/>
    <w:rsid w:val="00C665A2"/>
    <w:rsid w:val="00C66698"/>
    <w:rsid w:val="00C66A04"/>
    <w:rsid w:val="00C66B76"/>
    <w:rsid w:val="00C67229"/>
    <w:rsid w:val="00C70C4D"/>
    <w:rsid w:val="00C71B0F"/>
    <w:rsid w:val="00C727C2"/>
    <w:rsid w:val="00C75079"/>
    <w:rsid w:val="00C752D2"/>
    <w:rsid w:val="00C75431"/>
    <w:rsid w:val="00C758EA"/>
    <w:rsid w:val="00C759D7"/>
    <w:rsid w:val="00C759EA"/>
    <w:rsid w:val="00C760C2"/>
    <w:rsid w:val="00C761A5"/>
    <w:rsid w:val="00C76D4C"/>
    <w:rsid w:val="00C770ED"/>
    <w:rsid w:val="00C77A4B"/>
    <w:rsid w:val="00C80441"/>
    <w:rsid w:val="00C80B28"/>
    <w:rsid w:val="00C80BAA"/>
    <w:rsid w:val="00C80BF0"/>
    <w:rsid w:val="00C82129"/>
    <w:rsid w:val="00C8239B"/>
    <w:rsid w:val="00C82967"/>
    <w:rsid w:val="00C83261"/>
    <w:rsid w:val="00C833E7"/>
    <w:rsid w:val="00C852BA"/>
    <w:rsid w:val="00C858B8"/>
    <w:rsid w:val="00C85994"/>
    <w:rsid w:val="00C87509"/>
    <w:rsid w:val="00C8798B"/>
    <w:rsid w:val="00C90054"/>
    <w:rsid w:val="00C913AD"/>
    <w:rsid w:val="00C91D27"/>
    <w:rsid w:val="00C92427"/>
    <w:rsid w:val="00C92D02"/>
    <w:rsid w:val="00C930C3"/>
    <w:rsid w:val="00C953E5"/>
    <w:rsid w:val="00C9588A"/>
    <w:rsid w:val="00C9683F"/>
    <w:rsid w:val="00C9696E"/>
    <w:rsid w:val="00C97294"/>
    <w:rsid w:val="00C974E7"/>
    <w:rsid w:val="00CA051E"/>
    <w:rsid w:val="00CA0A6B"/>
    <w:rsid w:val="00CA0FFC"/>
    <w:rsid w:val="00CA104A"/>
    <w:rsid w:val="00CA15EC"/>
    <w:rsid w:val="00CA19F4"/>
    <w:rsid w:val="00CA1FEE"/>
    <w:rsid w:val="00CA2BA3"/>
    <w:rsid w:val="00CA33AE"/>
    <w:rsid w:val="00CA41BB"/>
    <w:rsid w:val="00CA42F1"/>
    <w:rsid w:val="00CA44F7"/>
    <w:rsid w:val="00CA4C33"/>
    <w:rsid w:val="00CA5534"/>
    <w:rsid w:val="00CA5E0B"/>
    <w:rsid w:val="00CA67DC"/>
    <w:rsid w:val="00CA6AAC"/>
    <w:rsid w:val="00CA70D5"/>
    <w:rsid w:val="00CA7EC9"/>
    <w:rsid w:val="00CB044D"/>
    <w:rsid w:val="00CB1CB4"/>
    <w:rsid w:val="00CB206E"/>
    <w:rsid w:val="00CB2395"/>
    <w:rsid w:val="00CB2532"/>
    <w:rsid w:val="00CB28DF"/>
    <w:rsid w:val="00CB2C45"/>
    <w:rsid w:val="00CB3B3F"/>
    <w:rsid w:val="00CB4343"/>
    <w:rsid w:val="00CB571C"/>
    <w:rsid w:val="00CB5C7F"/>
    <w:rsid w:val="00CB5DF8"/>
    <w:rsid w:val="00CB5E6D"/>
    <w:rsid w:val="00CB61C2"/>
    <w:rsid w:val="00CB7098"/>
    <w:rsid w:val="00CB7579"/>
    <w:rsid w:val="00CB76EA"/>
    <w:rsid w:val="00CC1577"/>
    <w:rsid w:val="00CC2222"/>
    <w:rsid w:val="00CC30F0"/>
    <w:rsid w:val="00CC3AD5"/>
    <w:rsid w:val="00CC3DD9"/>
    <w:rsid w:val="00CC3F98"/>
    <w:rsid w:val="00CC4179"/>
    <w:rsid w:val="00CC436A"/>
    <w:rsid w:val="00CC4ACF"/>
    <w:rsid w:val="00CC5C9D"/>
    <w:rsid w:val="00CC5F60"/>
    <w:rsid w:val="00CC60DC"/>
    <w:rsid w:val="00CC6DF7"/>
    <w:rsid w:val="00CC76D0"/>
    <w:rsid w:val="00CC78E1"/>
    <w:rsid w:val="00CD0408"/>
    <w:rsid w:val="00CD0793"/>
    <w:rsid w:val="00CD0CAF"/>
    <w:rsid w:val="00CD13C1"/>
    <w:rsid w:val="00CD1C95"/>
    <w:rsid w:val="00CD2623"/>
    <w:rsid w:val="00CD30FA"/>
    <w:rsid w:val="00CD3B88"/>
    <w:rsid w:val="00CD3E22"/>
    <w:rsid w:val="00CD54A9"/>
    <w:rsid w:val="00CD54B9"/>
    <w:rsid w:val="00CD5BFD"/>
    <w:rsid w:val="00CD638B"/>
    <w:rsid w:val="00CE13A0"/>
    <w:rsid w:val="00CE3483"/>
    <w:rsid w:val="00CE370C"/>
    <w:rsid w:val="00CE38C1"/>
    <w:rsid w:val="00CE39DD"/>
    <w:rsid w:val="00CE6014"/>
    <w:rsid w:val="00CE62A6"/>
    <w:rsid w:val="00CE68A8"/>
    <w:rsid w:val="00CE7600"/>
    <w:rsid w:val="00CF0070"/>
    <w:rsid w:val="00CF1455"/>
    <w:rsid w:val="00CF18F1"/>
    <w:rsid w:val="00CF1F53"/>
    <w:rsid w:val="00CF2961"/>
    <w:rsid w:val="00CF2A06"/>
    <w:rsid w:val="00CF2B71"/>
    <w:rsid w:val="00CF3428"/>
    <w:rsid w:val="00CF407C"/>
    <w:rsid w:val="00CF6DA8"/>
    <w:rsid w:val="00CF73E4"/>
    <w:rsid w:val="00CF7565"/>
    <w:rsid w:val="00CF76E1"/>
    <w:rsid w:val="00CF7C42"/>
    <w:rsid w:val="00D00035"/>
    <w:rsid w:val="00D005DF"/>
    <w:rsid w:val="00D006DC"/>
    <w:rsid w:val="00D00A73"/>
    <w:rsid w:val="00D015DC"/>
    <w:rsid w:val="00D0257A"/>
    <w:rsid w:val="00D02674"/>
    <w:rsid w:val="00D03334"/>
    <w:rsid w:val="00D03B84"/>
    <w:rsid w:val="00D04151"/>
    <w:rsid w:val="00D04E08"/>
    <w:rsid w:val="00D059C5"/>
    <w:rsid w:val="00D063E2"/>
    <w:rsid w:val="00D06557"/>
    <w:rsid w:val="00D06841"/>
    <w:rsid w:val="00D07964"/>
    <w:rsid w:val="00D100C6"/>
    <w:rsid w:val="00D10257"/>
    <w:rsid w:val="00D10578"/>
    <w:rsid w:val="00D10AE0"/>
    <w:rsid w:val="00D11F4C"/>
    <w:rsid w:val="00D12722"/>
    <w:rsid w:val="00D12BE4"/>
    <w:rsid w:val="00D12FEC"/>
    <w:rsid w:val="00D149AC"/>
    <w:rsid w:val="00D150D9"/>
    <w:rsid w:val="00D156D8"/>
    <w:rsid w:val="00D157B5"/>
    <w:rsid w:val="00D17342"/>
    <w:rsid w:val="00D17685"/>
    <w:rsid w:val="00D178A0"/>
    <w:rsid w:val="00D17F44"/>
    <w:rsid w:val="00D209DE"/>
    <w:rsid w:val="00D20D90"/>
    <w:rsid w:val="00D21288"/>
    <w:rsid w:val="00D213B9"/>
    <w:rsid w:val="00D2141A"/>
    <w:rsid w:val="00D2239D"/>
    <w:rsid w:val="00D22BAD"/>
    <w:rsid w:val="00D2303E"/>
    <w:rsid w:val="00D24422"/>
    <w:rsid w:val="00D24476"/>
    <w:rsid w:val="00D245C7"/>
    <w:rsid w:val="00D24F4D"/>
    <w:rsid w:val="00D26246"/>
    <w:rsid w:val="00D26672"/>
    <w:rsid w:val="00D26DFF"/>
    <w:rsid w:val="00D26E08"/>
    <w:rsid w:val="00D30530"/>
    <w:rsid w:val="00D30757"/>
    <w:rsid w:val="00D3183A"/>
    <w:rsid w:val="00D32D22"/>
    <w:rsid w:val="00D33633"/>
    <w:rsid w:val="00D338A0"/>
    <w:rsid w:val="00D34118"/>
    <w:rsid w:val="00D348B5"/>
    <w:rsid w:val="00D36286"/>
    <w:rsid w:val="00D36F8C"/>
    <w:rsid w:val="00D37041"/>
    <w:rsid w:val="00D40345"/>
    <w:rsid w:val="00D42A26"/>
    <w:rsid w:val="00D43646"/>
    <w:rsid w:val="00D45809"/>
    <w:rsid w:val="00D45AD9"/>
    <w:rsid w:val="00D45C1F"/>
    <w:rsid w:val="00D46D48"/>
    <w:rsid w:val="00D46FD1"/>
    <w:rsid w:val="00D4700F"/>
    <w:rsid w:val="00D476D3"/>
    <w:rsid w:val="00D5027E"/>
    <w:rsid w:val="00D50C76"/>
    <w:rsid w:val="00D50C8E"/>
    <w:rsid w:val="00D53660"/>
    <w:rsid w:val="00D53D83"/>
    <w:rsid w:val="00D543A6"/>
    <w:rsid w:val="00D54C2B"/>
    <w:rsid w:val="00D54C8C"/>
    <w:rsid w:val="00D54D30"/>
    <w:rsid w:val="00D550D8"/>
    <w:rsid w:val="00D55ADC"/>
    <w:rsid w:val="00D56385"/>
    <w:rsid w:val="00D57262"/>
    <w:rsid w:val="00D57452"/>
    <w:rsid w:val="00D57BCA"/>
    <w:rsid w:val="00D602C1"/>
    <w:rsid w:val="00D60C37"/>
    <w:rsid w:val="00D60D8D"/>
    <w:rsid w:val="00D60E76"/>
    <w:rsid w:val="00D6125C"/>
    <w:rsid w:val="00D6192F"/>
    <w:rsid w:val="00D62851"/>
    <w:rsid w:val="00D63C18"/>
    <w:rsid w:val="00D64744"/>
    <w:rsid w:val="00D650FE"/>
    <w:rsid w:val="00D65980"/>
    <w:rsid w:val="00D67031"/>
    <w:rsid w:val="00D67590"/>
    <w:rsid w:val="00D70670"/>
    <w:rsid w:val="00D715B9"/>
    <w:rsid w:val="00D71925"/>
    <w:rsid w:val="00D72038"/>
    <w:rsid w:val="00D72190"/>
    <w:rsid w:val="00D72916"/>
    <w:rsid w:val="00D73107"/>
    <w:rsid w:val="00D732DE"/>
    <w:rsid w:val="00D73BB1"/>
    <w:rsid w:val="00D74613"/>
    <w:rsid w:val="00D74687"/>
    <w:rsid w:val="00D747A6"/>
    <w:rsid w:val="00D7540F"/>
    <w:rsid w:val="00D76583"/>
    <w:rsid w:val="00D76756"/>
    <w:rsid w:val="00D779E3"/>
    <w:rsid w:val="00D77B1B"/>
    <w:rsid w:val="00D81543"/>
    <w:rsid w:val="00D81A4A"/>
    <w:rsid w:val="00D82864"/>
    <w:rsid w:val="00D82A2E"/>
    <w:rsid w:val="00D83AD3"/>
    <w:rsid w:val="00D83DF6"/>
    <w:rsid w:val="00D83E4D"/>
    <w:rsid w:val="00D842BC"/>
    <w:rsid w:val="00D843C1"/>
    <w:rsid w:val="00D851F9"/>
    <w:rsid w:val="00D85B2E"/>
    <w:rsid w:val="00D87C75"/>
    <w:rsid w:val="00D9038E"/>
    <w:rsid w:val="00D903E7"/>
    <w:rsid w:val="00D91C20"/>
    <w:rsid w:val="00D92260"/>
    <w:rsid w:val="00D928EC"/>
    <w:rsid w:val="00D92919"/>
    <w:rsid w:val="00D92DDA"/>
    <w:rsid w:val="00D92FAD"/>
    <w:rsid w:val="00D95534"/>
    <w:rsid w:val="00D95856"/>
    <w:rsid w:val="00D95F6B"/>
    <w:rsid w:val="00D96D93"/>
    <w:rsid w:val="00D97070"/>
    <w:rsid w:val="00D9787A"/>
    <w:rsid w:val="00D978EE"/>
    <w:rsid w:val="00D97D9F"/>
    <w:rsid w:val="00DA010E"/>
    <w:rsid w:val="00DA0E5E"/>
    <w:rsid w:val="00DA18C8"/>
    <w:rsid w:val="00DA3406"/>
    <w:rsid w:val="00DA387A"/>
    <w:rsid w:val="00DA48F5"/>
    <w:rsid w:val="00DA4B54"/>
    <w:rsid w:val="00DA4E28"/>
    <w:rsid w:val="00DA5652"/>
    <w:rsid w:val="00DA61B6"/>
    <w:rsid w:val="00DA6811"/>
    <w:rsid w:val="00DA68D3"/>
    <w:rsid w:val="00DA7D23"/>
    <w:rsid w:val="00DB0629"/>
    <w:rsid w:val="00DB13BB"/>
    <w:rsid w:val="00DB3EBA"/>
    <w:rsid w:val="00DB3F6D"/>
    <w:rsid w:val="00DB465C"/>
    <w:rsid w:val="00DB4A5B"/>
    <w:rsid w:val="00DB68A8"/>
    <w:rsid w:val="00DB6941"/>
    <w:rsid w:val="00DB78B6"/>
    <w:rsid w:val="00DB7CD0"/>
    <w:rsid w:val="00DB7F36"/>
    <w:rsid w:val="00DC03A3"/>
    <w:rsid w:val="00DC0C4D"/>
    <w:rsid w:val="00DC1168"/>
    <w:rsid w:val="00DC1C41"/>
    <w:rsid w:val="00DC1CBB"/>
    <w:rsid w:val="00DC2C64"/>
    <w:rsid w:val="00DC45F1"/>
    <w:rsid w:val="00DC4E0C"/>
    <w:rsid w:val="00DC5E00"/>
    <w:rsid w:val="00DC7378"/>
    <w:rsid w:val="00DC73FF"/>
    <w:rsid w:val="00DC77BB"/>
    <w:rsid w:val="00DC7CD4"/>
    <w:rsid w:val="00DC7DBD"/>
    <w:rsid w:val="00DD1053"/>
    <w:rsid w:val="00DD2749"/>
    <w:rsid w:val="00DD32B3"/>
    <w:rsid w:val="00DD4ED8"/>
    <w:rsid w:val="00DD529A"/>
    <w:rsid w:val="00DD655F"/>
    <w:rsid w:val="00DD665D"/>
    <w:rsid w:val="00DD74E1"/>
    <w:rsid w:val="00DE0011"/>
    <w:rsid w:val="00DE17EE"/>
    <w:rsid w:val="00DE1AB4"/>
    <w:rsid w:val="00DE1ACB"/>
    <w:rsid w:val="00DE1B42"/>
    <w:rsid w:val="00DE206C"/>
    <w:rsid w:val="00DE23B4"/>
    <w:rsid w:val="00DE259B"/>
    <w:rsid w:val="00DE2F0B"/>
    <w:rsid w:val="00DE357F"/>
    <w:rsid w:val="00DE382F"/>
    <w:rsid w:val="00DE3E5D"/>
    <w:rsid w:val="00DE4ECF"/>
    <w:rsid w:val="00DE58BF"/>
    <w:rsid w:val="00DE609A"/>
    <w:rsid w:val="00DE6174"/>
    <w:rsid w:val="00DE6759"/>
    <w:rsid w:val="00DE6783"/>
    <w:rsid w:val="00DE6977"/>
    <w:rsid w:val="00DF00E2"/>
    <w:rsid w:val="00DF0D25"/>
    <w:rsid w:val="00DF1E42"/>
    <w:rsid w:val="00DF2118"/>
    <w:rsid w:val="00DF2639"/>
    <w:rsid w:val="00DF2BED"/>
    <w:rsid w:val="00DF3001"/>
    <w:rsid w:val="00DF339A"/>
    <w:rsid w:val="00DF33DF"/>
    <w:rsid w:val="00DF4368"/>
    <w:rsid w:val="00DF59F0"/>
    <w:rsid w:val="00DF5B0F"/>
    <w:rsid w:val="00DF5DFB"/>
    <w:rsid w:val="00DF673F"/>
    <w:rsid w:val="00DF6959"/>
    <w:rsid w:val="00DF7285"/>
    <w:rsid w:val="00DF74BC"/>
    <w:rsid w:val="00DF77ED"/>
    <w:rsid w:val="00E010D2"/>
    <w:rsid w:val="00E01300"/>
    <w:rsid w:val="00E01D75"/>
    <w:rsid w:val="00E02699"/>
    <w:rsid w:val="00E028D4"/>
    <w:rsid w:val="00E029C2"/>
    <w:rsid w:val="00E0366E"/>
    <w:rsid w:val="00E03B0A"/>
    <w:rsid w:val="00E03CA6"/>
    <w:rsid w:val="00E044CC"/>
    <w:rsid w:val="00E04990"/>
    <w:rsid w:val="00E04F6F"/>
    <w:rsid w:val="00E0519A"/>
    <w:rsid w:val="00E05622"/>
    <w:rsid w:val="00E05BE0"/>
    <w:rsid w:val="00E062B8"/>
    <w:rsid w:val="00E067EE"/>
    <w:rsid w:val="00E1139F"/>
    <w:rsid w:val="00E11B21"/>
    <w:rsid w:val="00E12654"/>
    <w:rsid w:val="00E128CA"/>
    <w:rsid w:val="00E13ADD"/>
    <w:rsid w:val="00E13F25"/>
    <w:rsid w:val="00E14064"/>
    <w:rsid w:val="00E14179"/>
    <w:rsid w:val="00E152C0"/>
    <w:rsid w:val="00E15311"/>
    <w:rsid w:val="00E165F0"/>
    <w:rsid w:val="00E16768"/>
    <w:rsid w:val="00E16D7C"/>
    <w:rsid w:val="00E17750"/>
    <w:rsid w:val="00E2001F"/>
    <w:rsid w:val="00E21352"/>
    <w:rsid w:val="00E2196D"/>
    <w:rsid w:val="00E21E8B"/>
    <w:rsid w:val="00E2318B"/>
    <w:rsid w:val="00E23632"/>
    <w:rsid w:val="00E236FE"/>
    <w:rsid w:val="00E238C1"/>
    <w:rsid w:val="00E2466F"/>
    <w:rsid w:val="00E26CB6"/>
    <w:rsid w:val="00E26DFC"/>
    <w:rsid w:val="00E27223"/>
    <w:rsid w:val="00E2799D"/>
    <w:rsid w:val="00E27A1A"/>
    <w:rsid w:val="00E30CEB"/>
    <w:rsid w:val="00E31356"/>
    <w:rsid w:val="00E3171B"/>
    <w:rsid w:val="00E31BB4"/>
    <w:rsid w:val="00E32772"/>
    <w:rsid w:val="00E327A1"/>
    <w:rsid w:val="00E3290F"/>
    <w:rsid w:val="00E32A86"/>
    <w:rsid w:val="00E33645"/>
    <w:rsid w:val="00E34CAE"/>
    <w:rsid w:val="00E35E08"/>
    <w:rsid w:val="00E362F5"/>
    <w:rsid w:val="00E3650A"/>
    <w:rsid w:val="00E366B0"/>
    <w:rsid w:val="00E36A23"/>
    <w:rsid w:val="00E370F4"/>
    <w:rsid w:val="00E405C3"/>
    <w:rsid w:val="00E41061"/>
    <w:rsid w:val="00E42D11"/>
    <w:rsid w:val="00E434FE"/>
    <w:rsid w:val="00E43DC8"/>
    <w:rsid w:val="00E44065"/>
    <w:rsid w:val="00E45412"/>
    <w:rsid w:val="00E457A6"/>
    <w:rsid w:val="00E46C2B"/>
    <w:rsid w:val="00E47F10"/>
    <w:rsid w:val="00E50891"/>
    <w:rsid w:val="00E52198"/>
    <w:rsid w:val="00E53ACB"/>
    <w:rsid w:val="00E544C8"/>
    <w:rsid w:val="00E55D05"/>
    <w:rsid w:val="00E56ECC"/>
    <w:rsid w:val="00E57AA6"/>
    <w:rsid w:val="00E60739"/>
    <w:rsid w:val="00E60B73"/>
    <w:rsid w:val="00E6138A"/>
    <w:rsid w:val="00E62D3E"/>
    <w:rsid w:val="00E62F71"/>
    <w:rsid w:val="00E638F4"/>
    <w:rsid w:val="00E63A89"/>
    <w:rsid w:val="00E6609A"/>
    <w:rsid w:val="00E66A92"/>
    <w:rsid w:val="00E67118"/>
    <w:rsid w:val="00E67EF7"/>
    <w:rsid w:val="00E67FE5"/>
    <w:rsid w:val="00E704DD"/>
    <w:rsid w:val="00E70E93"/>
    <w:rsid w:val="00E714E1"/>
    <w:rsid w:val="00E71B8C"/>
    <w:rsid w:val="00E72CA4"/>
    <w:rsid w:val="00E74ABC"/>
    <w:rsid w:val="00E74C92"/>
    <w:rsid w:val="00E75B96"/>
    <w:rsid w:val="00E75C6F"/>
    <w:rsid w:val="00E75FEB"/>
    <w:rsid w:val="00E76648"/>
    <w:rsid w:val="00E80726"/>
    <w:rsid w:val="00E812E3"/>
    <w:rsid w:val="00E822E2"/>
    <w:rsid w:val="00E826CF"/>
    <w:rsid w:val="00E82ECD"/>
    <w:rsid w:val="00E82EE1"/>
    <w:rsid w:val="00E8447B"/>
    <w:rsid w:val="00E906D6"/>
    <w:rsid w:val="00E90D9B"/>
    <w:rsid w:val="00E91085"/>
    <w:rsid w:val="00E91E13"/>
    <w:rsid w:val="00E91EF4"/>
    <w:rsid w:val="00E926AD"/>
    <w:rsid w:val="00E957AE"/>
    <w:rsid w:val="00E95D66"/>
    <w:rsid w:val="00E965E3"/>
    <w:rsid w:val="00E97687"/>
    <w:rsid w:val="00E97D4C"/>
    <w:rsid w:val="00EA112D"/>
    <w:rsid w:val="00EA1200"/>
    <w:rsid w:val="00EA1895"/>
    <w:rsid w:val="00EA1B69"/>
    <w:rsid w:val="00EA25B9"/>
    <w:rsid w:val="00EA32C5"/>
    <w:rsid w:val="00EA414D"/>
    <w:rsid w:val="00EA45EE"/>
    <w:rsid w:val="00EA52DD"/>
    <w:rsid w:val="00EA5386"/>
    <w:rsid w:val="00EA57B5"/>
    <w:rsid w:val="00EA5982"/>
    <w:rsid w:val="00EA6992"/>
    <w:rsid w:val="00EA6C9B"/>
    <w:rsid w:val="00EA74CA"/>
    <w:rsid w:val="00EA7919"/>
    <w:rsid w:val="00EA7E30"/>
    <w:rsid w:val="00EA7F18"/>
    <w:rsid w:val="00EB02C4"/>
    <w:rsid w:val="00EB0509"/>
    <w:rsid w:val="00EB072C"/>
    <w:rsid w:val="00EB262B"/>
    <w:rsid w:val="00EB2966"/>
    <w:rsid w:val="00EB4198"/>
    <w:rsid w:val="00EB45B1"/>
    <w:rsid w:val="00EB47FC"/>
    <w:rsid w:val="00EB5321"/>
    <w:rsid w:val="00EB5BE6"/>
    <w:rsid w:val="00EB6175"/>
    <w:rsid w:val="00EB76FF"/>
    <w:rsid w:val="00EC01E3"/>
    <w:rsid w:val="00EC1B0C"/>
    <w:rsid w:val="00EC29B8"/>
    <w:rsid w:val="00EC2D3D"/>
    <w:rsid w:val="00EC492E"/>
    <w:rsid w:val="00EC4CA5"/>
    <w:rsid w:val="00EC561D"/>
    <w:rsid w:val="00EC5659"/>
    <w:rsid w:val="00EC5FB9"/>
    <w:rsid w:val="00EC789E"/>
    <w:rsid w:val="00EC7956"/>
    <w:rsid w:val="00ED1002"/>
    <w:rsid w:val="00ED1362"/>
    <w:rsid w:val="00ED18F1"/>
    <w:rsid w:val="00ED2E50"/>
    <w:rsid w:val="00ED41D3"/>
    <w:rsid w:val="00ED48B8"/>
    <w:rsid w:val="00ED4A0A"/>
    <w:rsid w:val="00ED4FF6"/>
    <w:rsid w:val="00ED584B"/>
    <w:rsid w:val="00ED5944"/>
    <w:rsid w:val="00ED6E87"/>
    <w:rsid w:val="00ED707B"/>
    <w:rsid w:val="00ED73E5"/>
    <w:rsid w:val="00ED75D8"/>
    <w:rsid w:val="00ED7C76"/>
    <w:rsid w:val="00EE11E1"/>
    <w:rsid w:val="00EE1BCD"/>
    <w:rsid w:val="00EE25D4"/>
    <w:rsid w:val="00EE26BC"/>
    <w:rsid w:val="00EE2AA8"/>
    <w:rsid w:val="00EE339D"/>
    <w:rsid w:val="00EE4519"/>
    <w:rsid w:val="00EE4CEE"/>
    <w:rsid w:val="00EE4EAD"/>
    <w:rsid w:val="00EF30F2"/>
    <w:rsid w:val="00EF334A"/>
    <w:rsid w:val="00EF34BB"/>
    <w:rsid w:val="00EF45AF"/>
    <w:rsid w:val="00EF4975"/>
    <w:rsid w:val="00EF4C88"/>
    <w:rsid w:val="00EF5522"/>
    <w:rsid w:val="00EF5AE8"/>
    <w:rsid w:val="00EF5D7E"/>
    <w:rsid w:val="00EF6042"/>
    <w:rsid w:val="00EF74B9"/>
    <w:rsid w:val="00EF791A"/>
    <w:rsid w:val="00EF7D73"/>
    <w:rsid w:val="00EF7EBD"/>
    <w:rsid w:val="00F00061"/>
    <w:rsid w:val="00F00FC7"/>
    <w:rsid w:val="00F016D3"/>
    <w:rsid w:val="00F01A58"/>
    <w:rsid w:val="00F01CDD"/>
    <w:rsid w:val="00F02072"/>
    <w:rsid w:val="00F04870"/>
    <w:rsid w:val="00F0582E"/>
    <w:rsid w:val="00F065BB"/>
    <w:rsid w:val="00F066BA"/>
    <w:rsid w:val="00F06964"/>
    <w:rsid w:val="00F10220"/>
    <w:rsid w:val="00F11ADC"/>
    <w:rsid w:val="00F11E21"/>
    <w:rsid w:val="00F12612"/>
    <w:rsid w:val="00F1275C"/>
    <w:rsid w:val="00F130D5"/>
    <w:rsid w:val="00F13351"/>
    <w:rsid w:val="00F1394D"/>
    <w:rsid w:val="00F13C82"/>
    <w:rsid w:val="00F13E36"/>
    <w:rsid w:val="00F15F55"/>
    <w:rsid w:val="00F17F8B"/>
    <w:rsid w:val="00F2099D"/>
    <w:rsid w:val="00F21B9F"/>
    <w:rsid w:val="00F21D1F"/>
    <w:rsid w:val="00F21DA8"/>
    <w:rsid w:val="00F22667"/>
    <w:rsid w:val="00F2290E"/>
    <w:rsid w:val="00F22B65"/>
    <w:rsid w:val="00F22DD5"/>
    <w:rsid w:val="00F23779"/>
    <w:rsid w:val="00F23D0D"/>
    <w:rsid w:val="00F23E1F"/>
    <w:rsid w:val="00F24027"/>
    <w:rsid w:val="00F250E4"/>
    <w:rsid w:val="00F266D8"/>
    <w:rsid w:val="00F271B1"/>
    <w:rsid w:val="00F274D8"/>
    <w:rsid w:val="00F27706"/>
    <w:rsid w:val="00F279FE"/>
    <w:rsid w:val="00F30190"/>
    <w:rsid w:val="00F30A17"/>
    <w:rsid w:val="00F3119C"/>
    <w:rsid w:val="00F31548"/>
    <w:rsid w:val="00F31BF2"/>
    <w:rsid w:val="00F31DC1"/>
    <w:rsid w:val="00F32956"/>
    <w:rsid w:val="00F32DC6"/>
    <w:rsid w:val="00F3379A"/>
    <w:rsid w:val="00F33836"/>
    <w:rsid w:val="00F33E5F"/>
    <w:rsid w:val="00F34A5A"/>
    <w:rsid w:val="00F34D00"/>
    <w:rsid w:val="00F35FB7"/>
    <w:rsid w:val="00F36DA6"/>
    <w:rsid w:val="00F36EC2"/>
    <w:rsid w:val="00F409D4"/>
    <w:rsid w:val="00F4194D"/>
    <w:rsid w:val="00F4272F"/>
    <w:rsid w:val="00F434C6"/>
    <w:rsid w:val="00F436C3"/>
    <w:rsid w:val="00F43A38"/>
    <w:rsid w:val="00F44C26"/>
    <w:rsid w:val="00F457E1"/>
    <w:rsid w:val="00F45D61"/>
    <w:rsid w:val="00F45F32"/>
    <w:rsid w:val="00F46222"/>
    <w:rsid w:val="00F47A48"/>
    <w:rsid w:val="00F508BF"/>
    <w:rsid w:val="00F511C1"/>
    <w:rsid w:val="00F51296"/>
    <w:rsid w:val="00F530CA"/>
    <w:rsid w:val="00F532EB"/>
    <w:rsid w:val="00F53855"/>
    <w:rsid w:val="00F54916"/>
    <w:rsid w:val="00F551A0"/>
    <w:rsid w:val="00F55622"/>
    <w:rsid w:val="00F5585F"/>
    <w:rsid w:val="00F5599D"/>
    <w:rsid w:val="00F5626F"/>
    <w:rsid w:val="00F56F35"/>
    <w:rsid w:val="00F57496"/>
    <w:rsid w:val="00F577DB"/>
    <w:rsid w:val="00F60191"/>
    <w:rsid w:val="00F626D3"/>
    <w:rsid w:val="00F64234"/>
    <w:rsid w:val="00F65851"/>
    <w:rsid w:val="00F65C41"/>
    <w:rsid w:val="00F6707F"/>
    <w:rsid w:val="00F67826"/>
    <w:rsid w:val="00F6785F"/>
    <w:rsid w:val="00F7057B"/>
    <w:rsid w:val="00F7065E"/>
    <w:rsid w:val="00F70C9C"/>
    <w:rsid w:val="00F72AF3"/>
    <w:rsid w:val="00F736AB"/>
    <w:rsid w:val="00F736AC"/>
    <w:rsid w:val="00F73E03"/>
    <w:rsid w:val="00F74CD5"/>
    <w:rsid w:val="00F7518A"/>
    <w:rsid w:val="00F775AB"/>
    <w:rsid w:val="00F810CB"/>
    <w:rsid w:val="00F81A15"/>
    <w:rsid w:val="00F8214A"/>
    <w:rsid w:val="00F82278"/>
    <w:rsid w:val="00F82763"/>
    <w:rsid w:val="00F830D4"/>
    <w:rsid w:val="00F8483E"/>
    <w:rsid w:val="00F85402"/>
    <w:rsid w:val="00F85AE1"/>
    <w:rsid w:val="00F8737B"/>
    <w:rsid w:val="00F9102F"/>
    <w:rsid w:val="00F917FB"/>
    <w:rsid w:val="00F91CE5"/>
    <w:rsid w:val="00F91E48"/>
    <w:rsid w:val="00F923CA"/>
    <w:rsid w:val="00F93432"/>
    <w:rsid w:val="00F93853"/>
    <w:rsid w:val="00F9397A"/>
    <w:rsid w:val="00F93C9E"/>
    <w:rsid w:val="00F950BF"/>
    <w:rsid w:val="00F954D8"/>
    <w:rsid w:val="00F9598D"/>
    <w:rsid w:val="00F965EC"/>
    <w:rsid w:val="00F9663A"/>
    <w:rsid w:val="00FA0045"/>
    <w:rsid w:val="00FA0524"/>
    <w:rsid w:val="00FA0D20"/>
    <w:rsid w:val="00FA10FC"/>
    <w:rsid w:val="00FA1665"/>
    <w:rsid w:val="00FA1AB6"/>
    <w:rsid w:val="00FA3570"/>
    <w:rsid w:val="00FA399A"/>
    <w:rsid w:val="00FA3E44"/>
    <w:rsid w:val="00FA42D3"/>
    <w:rsid w:val="00FA4E08"/>
    <w:rsid w:val="00FA5D9A"/>
    <w:rsid w:val="00FA5E6A"/>
    <w:rsid w:val="00FA63D3"/>
    <w:rsid w:val="00FA68A6"/>
    <w:rsid w:val="00FA79CA"/>
    <w:rsid w:val="00FB0C90"/>
    <w:rsid w:val="00FB0D41"/>
    <w:rsid w:val="00FB36B3"/>
    <w:rsid w:val="00FB42EB"/>
    <w:rsid w:val="00FB467D"/>
    <w:rsid w:val="00FB4A69"/>
    <w:rsid w:val="00FB4F22"/>
    <w:rsid w:val="00FB5725"/>
    <w:rsid w:val="00FB5A4A"/>
    <w:rsid w:val="00FB5AEA"/>
    <w:rsid w:val="00FB5BA5"/>
    <w:rsid w:val="00FB5BAC"/>
    <w:rsid w:val="00FB5F79"/>
    <w:rsid w:val="00FB658B"/>
    <w:rsid w:val="00FB753F"/>
    <w:rsid w:val="00FB7575"/>
    <w:rsid w:val="00FB7B1B"/>
    <w:rsid w:val="00FB7B7C"/>
    <w:rsid w:val="00FB7C08"/>
    <w:rsid w:val="00FC029F"/>
    <w:rsid w:val="00FC0B0C"/>
    <w:rsid w:val="00FC0CB3"/>
    <w:rsid w:val="00FC1113"/>
    <w:rsid w:val="00FC11F0"/>
    <w:rsid w:val="00FC2038"/>
    <w:rsid w:val="00FC27CF"/>
    <w:rsid w:val="00FC2879"/>
    <w:rsid w:val="00FC3938"/>
    <w:rsid w:val="00FC39B6"/>
    <w:rsid w:val="00FC3BD5"/>
    <w:rsid w:val="00FC4443"/>
    <w:rsid w:val="00FC53C5"/>
    <w:rsid w:val="00FC53D6"/>
    <w:rsid w:val="00FC6303"/>
    <w:rsid w:val="00FC696B"/>
    <w:rsid w:val="00FC6EEF"/>
    <w:rsid w:val="00FC73B2"/>
    <w:rsid w:val="00FC79D4"/>
    <w:rsid w:val="00FC7A7F"/>
    <w:rsid w:val="00FD0547"/>
    <w:rsid w:val="00FD09CA"/>
    <w:rsid w:val="00FD0D0B"/>
    <w:rsid w:val="00FD2B7F"/>
    <w:rsid w:val="00FD2F35"/>
    <w:rsid w:val="00FD33B6"/>
    <w:rsid w:val="00FD52FE"/>
    <w:rsid w:val="00FD5458"/>
    <w:rsid w:val="00FD5FC4"/>
    <w:rsid w:val="00FD6123"/>
    <w:rsid w:val="00FD63DD"/>
    <w:rsid w:val="00FD6849"/>
    <w:rsid w:val="00FD6921"/>
    <w:rsid w:val="00FD7161"/>
    <w:rsid w:val="00FE0C30"/>
    <w:rsid w:val="00FE1200"/>
    <w:rsid w:val="00FE1B91"/>
    <w:rsid w:val="00FE1CAA"/>
    <w:rsid w:val="00FE2403"/>
    <w:rsid w:val="00FE3FCD"/>
    <w:rsid w:val="00FE57FF"/>
    <w:rsid w:val="00FE619C"/>
    <w:rsid w:val="00FE79F5"/>
    <w:rsid w:val="00FE7B70"/>
    <w:rsid w:val="00FF04B3"/>
    <w:rsid w:val="00FF0C61"/>
    <w:rsid w:val="00FF12A5"/>
    <w:rsid w:val="00FF2281"/>
    <w:rsid w:val="00FF2901"/>
    <w:rsid w:val="00FF2CE5"/>
    <w:rsid w:val="00FF2EC7"/>
    <w:rsid w:val="00FF3093"/>
    <w:rsid w:val="00FF373B"/>
    <w:rsid w:val="00FF4C3A"/>
    <w:rsid w:val="00FF59B4"/>
    <w:rsid w:val="00FF61AB"/>
    <w:rsid w:val="00FF6BBE"/>
    <w:rsid w:val="00FF75DF"/>
    <w:rsid w:val="00FF77D8"/>
    <w:rsid w:val="00FF794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c5c5ff,#dbe5f1"/>
    </o:shapedefaults>
    <o:shapelayout v:ext="edit">
      <o:idmap v:ext="edit" data="1"/>
      <o:rules v:ext="edit">
        <o:r id="V:Rule16" type="connector" idref="#AutoShape 42"/>
        <o:r id="V:Rule17" type="connector" idref="#AutoShape 44"/>
        <o:r id="V:Rule18" type="connector" idref="#AutoShape 43"/>
        <o:r id="V:Rule19" type="connector" idref="#AutoShape 61"/>
        <o:r id="V:Rule20" type="connector" idref="#AutoShape 60"/>
        <o:r id="V:Rule21" type="connector" idref="#AutoShape 45"/>
        <o:r id="V:Rule22" type="connector" idref="#AutoShape 46"/>
        <o:r id="V:Rule23" type="connector" idref="#AutoShape 31"/>
        <o:r id="V:Rule24" type="connector" idref="#AutoShape 32"/>
        <o:r id="V:Rule25" type="connector" idref="#AutoShape 64"/>
        <o:r id="V:Rule26" type="connector" idref="#AutoShape 33"/>
        <o:r id="V:Rule27" type="connector" idref="#AutoShape 62"/>
        <o:r id="V:Rule28" type="connector" idref="#AutoShape 29"/>
        <o:r id="V:Rule29" type="connector" idref="#AutoShape 65"/>
        <o:r id="V:Rule30" type="connector" idref="#AutoShape 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0" w:defSemiHidden="1" w:defUnhideWhenUsed="1" w:defQFormat="0" w:count="267">
    <w:lsdException w:name="Normal" w:semiHidden="0" w:uiPriority="2"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unhideWhenUsed="0" w:qFormat="1"/>
    <w:lsdException w:name="heading 6"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footer" w:uiPriority="3"/>
    <w:lsdException w:name="caption" w:uiPriority="35" w:qFormat="1"/>
    <w:lsdException w:name="table of figures" w:uiPriority="99"/>
    <w:lsdException w:name="endnote reference" w:uiPriority="99"/>
    <w:lsdException w:name="toa heading" w:uiPriority="4"/>
    <w:lsdException w:name="List Number" w:semiHidden="0" w:uiPriority="1" w:unhideWhenUsed="0" w:qFormat="1"/>
    <w:lsdException w:name="List 4" w:unhideWhenUsed="0"/>
    <w:lsdException w:name="List 5" w:unhideWhenUsed="0"/>
    <w:lsdException w:name="List Number 2" w:uiPriority="1" w:qFormat="1"/>
    <w:lsdException w:name="List Number 3" w:uiPriority="1" w:qFormat="1"/>
    <w:lsdException w:name="Title" w:semiHidden="0" w:unhideWhenUsed="0" w:qFormat="1"/>
    <w:lsdException w:name="Body Text" w:qFormat="1"/>
    <w:lsdException w:name="Subtitle" w:semiHidden="0" w:unhideWhenUsed="0" w:qFormat="1"/>
    <w:lsdException w:name="Salutation" w:unhideWhenUsed="0"/>
    <w:lsdException w:name="Date" w:unhideWhenUsed="0"/>
    <w:lsdException w:name="Body Text First Indent"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2"/>
    <w:rsid w:val="00395C9B"/>
    <w:pPr>
      <w:spacing w:line="260" w:lineRule="atLeast"/>
    </w:pPr>
    <w:rPr>
      <w:rFonts w:cstheme="minorHAnsi"/>
      <w:color w:val="181818" w:themeColor="text1" w:themeTint="F2"/>
      <w:szCs w:val="22"/>
      <w:lang w:eastAsia="en-US"/>
    </w:rPr>
  </w:style>
  <w:style w:type="paragraph" w:styleId="Heading1">
    <w:name w:val="heading 1"/>
    <w:next w:val="BodyText"/>
    <w:qFormat/>
    <w:rsid w:val="009C4CFE"/>
    <w:pPr>
      <w:numPr>
        <w:numId w:val="5"/>
      </w:numPr>
      <w:spacing w:after="360"/>
      <w:outlineLvl w:val="0"/>
    </w:pPr>
    <w:rPr>
      <w:rFonts w:ascii="Arial Rounded MT Bold" w:hAnsi="Arial Rounded MT Bold" w:cs="Arial"/>
      <w:color w:val="0000FF"/>
      <w:sz w:val="36"/>
      <w:szCs w:val="36"/>
      <w:lang w:eastAsia="en-US"/>
    </w:rPr>
  </w:style>
  <w:style w:type="paragraph" w:styleId="Heading2">
    <w:name w:val="heading 2"/>
    <w:next w:val="BodyText"/>
    <w:qFormat/>
    <w:rsid w:val="000143BC"/>
    <w:pPr>
      <w:numPr>
        <w:ilvl w:val="1"/>
        <w:numId w:val="5"/>
      </w:numPr>
      <w:spacing w:before="120" w:after="240"/>
      <w:outlineLvl w:val="1"/>
    </w:pPr>
    <w:rPr>
      <w:rFonts w:ascii="Arial Rounded MT Bold" w:hAnsi="Arial Rounded MT Bold" w:cs="Arial"/>
      <w:color w:val="0000FF"/>
      <w:sz w:val="28"/>
      <w:szCs w:val="28"/>
      <w:lang w:eastAsia="en-US"/>
    </w:rPr>
  </w:style>
  <w:style w:type="paragraph" w:styleId="Heading3">
    <w:name w:val="heading 3"/>
    <w:next w:val="BodyText"/>
    <w:link w:val="Heading3Char"/>
    <w:qFormat/>
    <w:rsid w:val="005B4280"/>
    <w:pPr>
      <w:spacing w:after="120"/>
      <w:outlineLvl w:val="2"/>
    </w:pPr>
    <w:rPr>
      <w:rFonts w:ascii="Arial Rounded MT Bold" w:hAnsi="Arial Rounded MT Bold" w:cs="Arial"/>
      <w:color w:val="0000FF"/>
      <w:sz w:val="22"/>
      <w:szCs w:val="22"/>
      <w:lang w:eastAsia="en-US"/>
    </w:rPr>
  </w:style>
  <w:style w:type="paragraph" w:styleId="Heading4">
    <w:name w:val="heading 4"/>
    <w:basedOn w:val="Normal"/>
    <w:next w:val="Normal"/>
    <w:semiHidden/>
    <w:rsid w:val="004D4E9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6A5B"/>
    <w:pPr>
      <w:tabs>
        <w:tab w:val="center" w:pos="4320"/>
        <w:tab w:val="right" w:pos="8640"/>
      </w:tabs>
    </w:pPr>
  </w:style>
  <w:style w:type="paragraph" w:styleId="Footer">
    <w:name w:val="footer"/>
    <w:link w:val="FooterChar"/>
    <w:uiPriority w:val="3"/>
    <w:rsid w:val="00186C62"/>
    <w:pPr>
      <w:pBdr>
        <w:top w:val="single" w:sz="4" w:space="1" w:color="808080" w:themeColor="background1" w:themeShade="80"/>
      </w:pBdr>
      <w:tabs>
        <w:tab w:val="center" w:pos="4678"/>
        <w:tab w:val="right" w:pos="9356"/>
      </w:tabs>
    </w:pPr>
    <w:rPr>
      <w:rFonts w:cstheme="minorHAnsi"/>
      <w:color w:val="858585" w:themeColor="text1" w:themeTint="80"/>
      <w:sz w:val="16"/>
      <w:szCs w:val="22"/>
      <w:lang w:eastAsia="en-US"/>
    </w:rPr>
  </w:style>
  <w:style w:type="character" w:styleId="PageNumber">
    <w:name w:val="page number"/>
    <w:basedOn w:val="DefaultParagraphFont"/>
    <w:rsid w:val="007F6A5B"/>
  </w:style>
  <w:style w:type="table" w:styleId="TableGrid">
    <w:name w:val="Table Grid"/>
    <w:basedOn w:val="TableNormal"/>
    <w:uiPriority w:val="59"/>
    <w:rsid w:val="004D0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qFormat/>
    <w:rsid w:val="00DF7285"/>
    <w:pPr>
      <w:spacing w:after="60" w:line="180" w:lineRule="exact"/>
    </w:pPr>
    <w:rPr>
      <w:rFonts w:cs="Arial"/>
      <w:sz w:val="18"/>
      <w:szCs w:val="18"/>
    </w:rPr>
  </w:style>
  <w:style w:type="character" w:styleId="FootnoteReference">
    <w:name w:val="footnote reference"/>
    <w:basedOn w:val="DefaultParagraphFont"/>
    <w:semiHidden/>
    <w:rsid w:val="005E6D4D"/>
    <w:rPr>
      <w:vertAlign w:val="superscript"/>
    </w:rPr>
  </w:style>
  <w:style w:type="character" w:styleId="Hyperlink">
    <w:name w:val="Hyperlink"/>
    <w:basedOn w:val="DefaultParagraphFont"/>
    <w:uiPriority w:val="99"/>
    <w:rsid w:val="00AA0BB6"/>
    <w:rPr>
      <w:color w:val="0000FF"/>
      <w:u w:val="single"/>
    </w:rPr>
  </w:style>
  <w:style w:type="paragraph" w:styleId="BodyTextIndent">
    <w:name w:val="Body Text Indent"/>
    <w:basedOn w:val="Normal"/>
    <w:link w:val="BodyTextIndentChar"/>
    <w:semiHidden/>
    <w:rsid w:val="00BF6EBA"/>
    <w:pPr>
      <w:tabs>
        <w:tab w:val="left" w:pos="1134"/>
      </w:tabs>
      <w:suppressAutoHyphens/>
      <w:overflowPunct w:val="0"/>
      <w:autoSpaceDE w:val="0"/>
      <w:autoSpaceDN w:val="0"/>
      <w:adjustRightInd w:val="0"/>
      <w:spacing w:before="120"/>
      <w:ind w:left="1134" w:hanging="1134"/>
      <w:jc w:val="both"/>
      <w:textAlignment w:val="baseline"/>
    </w:pPr>
    <w:rPr>
      <w:rFonts w:ascii="Century Schoolbook" w:hAnsi="Century Schoolbook"/>
      <w:spacing w:val="-3"/>
      <w:szCs w:val="20"/>
    </w:rPr>
  </w:style>
  <w:style w:type="paragraph" w:styleId="BodyText">
    <w:name w:val="Body Text"/>
    <w:link w:val="BodyTextChar"/>
    <w:qFormat/>
    <w:rsid w:val="001008D3"/>
    <w:rPr>
      <w:rFonts w:cstheme="minorHAnsi"/>
      <w:color w:val="080808"/>
      <w:sz w:val="22"/>
      <w:szCs w:val="22"/>
      <w:lang w:eastAsia="en-US"/>
    </w:rPr>
  </w:style>
  <w:style w:type="paragraph" w:customStyle="1" w:styleId="AppendixSection">
    <w:name w:val="Appendix Section"/>
    <w:basedOn w:val="Normal"/>
    <w:rsid w:val="003E1885"/>
    <w:pPr>
      <w:spacing w:line="240" w:lineRule="auto"/>
      <w:jc w:val="both"/>
    </w:pPr>
    <w:rPr>
      <w:rFonts w:ascii="Arial Rounded MT Bold" w:hAnsi="Arial Rounded MT Bold"/>
      <w:color w:val="0000FF" w:themeColor="text2"/>
      <w:sz w:val="36"/>
      <w:szCs w:val="36"/>
    </w:rPr>
  </w:style>
  <w:style w:type="paragraph" w:styleId="BodyTextIndent2">
    <w:name w:val="Body Text Indent 2"/>
    <w:basedOn w:val="Normal"/>
    <w:semiHidden/>
    <w:rsid w:val="004D4E94"/>
    <w:pPr>
      <w:spacing w:after="120" w:line="480" w:lineRule="auto"/>
      <w:ind w:left="283"/>
    </w:pPr>
  </w:style>
  <w:style w:type="paragraph" w:styleId="Caption">
    <w:name w:val="caption"/>
    <w:aliases w:val="Tabelle"/>
    <w:basedOn w:val="Normal"/>
    <w:next w:val="Normal"/>
    <w:uiPriority w:val="35"/>
    <w:qFormat/>
    <w:rsid w:val="004D4E94"/>
    <w:pPr>
      <w:ind w:left="360"/>
    </w:pPr>
    <w:rPr>
      <w:rFonts w:ascii="Arial" w:hAnsi="Arial" w:cs="Arial"/>
      <w:i/>
      <w:iCs/>
      <w:sz w:val="18"/>
      <w:szCs w:val="20"/>
    </w:rPr>
  </w:style>
  <w:style w:type="table" w:styleId="TableList3">
    <w:name w:val="Table List 3"/>
    <w:basedOn w:val="TableNormal"/>
    <w:rsid w:val="004D0F1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F810CB"/>
    <w:pPr>
      <w:pageBreakBefore/>
      <w:spacing w:after="3840"/>
    </w:pPr>
    <w:rPr>
      <w:rFonts w:asciiTheme="minorHAnsi" w:hAnsiTheme="minorHAnsi" w:cs="Arial"/>
      <w:color w:val="0C0C0C" w:themeColor="text1"/>
      <w:szCs w:val="36"/>
      <w:lang w:eastAsia="en-US"/>
    </w:rPr>
  </w:style>
  <w:style w:type="character" w:styleId="FollowedHyperlink">
    <w:name w:val="FollowedHyperlink"/>
    <w:basedOn w:val="DefaultParagraphFont"/>
    <w:uiPriority w:val="99"/>
    <w:rsid w:val="000E6CE3"/>
    <w:rPr>
      <w:color w:val="800080"/>
      <w:u w:val="single"/>
    </w:rPr>
  </w:style>
  <w:style w:type="paragraph" w:styleId="TOC1">
    <w:name w:val="toc 1"/>
    <w:next w:val="Normal"/>
    <w:autoRedefine/>
    <w:uiPriority w:val="39"/>
    <w:qFormat/>
    <w:rsid w:val="00F82278"/>
    <w:pPr>
      <w:tabs>
        <w:tab w:val="right" w:leader="dot" w:pos="9346"/>
      </w:tabs>
      <w:spacing w:before="120" w:after="120"/>
      <w:ind w:left="567" w:hanging="567"/>
    </w:pPr>
    <w:rPr>
      <w:rFonts w:cstheme="minorHAnsi"/>
      <w:b/>
      <w:bCs/>
      <w:noProof/>
      <w:color w:val="181818" w:themeColor="text1" w:themeTint="F2"/>
      <w:sz w:val="24"/>
      <w:lang w:eastAsia="en-US"/>
    </w:rPr>
  </w:style>
  <w:style w:type="paragraph" w:styleId="TOC2">
    <w:name w:val="toc 2"/>
    <w:basedOn w:val="Normal"/>
    <w:next w:val="Normal"/>
    <w:autoRedefine/>
    <w:uiPriority w:val="39"/>
    <w:qFormat/>
    <w:rsid w:val="00DC7CD4"/>
    <w:pPr>
      <w:tabs>
        <w:tab w:val="right" w:leader="dot" w:pos="9346"/>
      </w:tabs>
      <w:ind w:left="1134" w:hanging="567"/>
    </w:pPr>
    <w:rPr>
      <w:noProof/>
      <w:sz w:val="22"/>
      <w:szCs w:val="20"/>
    </w:rPr>
  </w:style>
  <w:style w:type="paragraph" w:styleId="TOC3">
    <w:name w:val="toc 3"/>
    <w:basedOn w:val="Normal"/>
    <w:next w:val="Normal"/>
    <w:autoRedefine/>
    <w:uiPriority w:val="39"/>
    <w:semiHidden/>
    <w:rsid w:val="009014A7"/>
    <w:pPr>
      <w:ind w:left="480"/>
    </w:pPr>
    <w:rPr>
      <w:i/>
      <w:iCs/>
      <w:szCs w:val="20"/>
    </w:rPr>
  </w:style>
  <w:style w:type="paragraph" w:styleId="TOC4">
    <w:name w:val="toc 4"/>
    <w:basedOn w:val="Normal"/>
    <w:next w:val="Normal"/>
    <w:autoRedefine/>
    <w:semiHidden/>
    <w:rsid w:val="009014A7"/>
    <w:pPr>
      <w:ind w:left="720"/>
    </w:pPr>
    <w:rPr>
      <w:sz w:val="18"/>
      <w:szCs w:val="18"/>
    </w:rPr>
  </w:style>
  <w:style w:type="paragraph" w:styleId="TOC5">
    <w:name w:val="toc 5"/>
    <w:basedOn w:val="Normal"/>
    <w:next w:val="Normal"/>
    <w:autoRedefine/>
    <w:semiHidden/>
    <w:rsid w:val="009014A7"/>
    <w:pPr>
      <w:ind w:left="960"/>
    </w:pPr>
    <w:rPr>
      <w:sz w:val="18"/>
      <w:szCs w:val="18"/>
    </w:rPr>
  </w:style>
  <w:style w:type="paragraph" w:styleId="TOC6">
    <w:name w:val="toc 6"/>
    <w:basedOn w:val="Normal"/>
    <w:next w:val="Normal"/>
    <w:autoRedefine/>
    <w:semiHidden/>
    <w:rsid w:val="009014A7"/>
    <w:pPr>
      <w:ind w:left="1200"/>
    </w:pPr>
    <w:rPr>
      <w:sz w:val="18"/>
      <w:szCs w:val="18"/>
    </w:rPr>
  </w:style>
  <w:style w:type="paragraph" w:styleId="TOC7">
    <w:name w:val="toc 7"/>
    <w:basedOn w:val="Normal"/>
    <w:next w:val="Normal"/>
    <w:autoRedefine/>
    <w:semiHidden/>
    <w:rsid w:val="009014A7"/>
    <w:pPr>
      <w:ind w:left="1440"/>
    </w:pPr>
    <w:rPr>
      <w:sz w:val="18"/>
      <w:szCs w:val="18"/>
    </w:rPr>
  </w:style>
  <w:style w:type="paragraph" w:styleId="TOC8">
    <w:name w:val="toc 8"/>
    <w:basedOn w:val="Normal"/>
    <w:next w:val="Normal"/>
    <w:autoRedefine/>
    <w:semiHidden/>
    <w:rsid w:val="009014A7"/>
    <w:pPr>
      <w:ind w:left="1680"/>
    </w:pPr>
    <w:rPr>
      <w:sz w:val="18"/>
      <w:szCs w:val="18"/>
    </w:rPr>
  </w:style>
  <w:style w:type="paragraph" w:styleId="TOC9">
    <w:name w:val="toc 9"/>
    <w:basedOn w:val="Normal"/>
    <w:next w:val="Normal"/>
    <w:autoRedefine/>
    <w:semiHidden/>
    <w:rsid w:val="009014A7"/>
    <w:pPr>
      <w:ind w:left="1920"/>
    </w:pPr>
    <w:rPr>
      <w:sz w:val="18"/>
      <w:szCs w:val="18"/>
    </w:rPr>
  </w:style>
  <w:style w:type="paragraph" w:styleId="NormalWeb">
    <w:name w:val="Normal (Web)"/>
    <w:basedOn w:val="Normal"/>
    <w:uiPriority w:val="99"/>
    <w:semiHidden/>
    <w:rsid w:val="009A1D53"/>
    <w:pPr>
      <w:spacing w:before="100" w:beforeAutospacing="1" w:after="100" w:afterAutospacing="1"/>
    </w:pPr>
  </w:style>
  <w:style w:type="paragraph" w:customStyle="1" w:styleId="Tables">
    <w:name w:val="Tables"/>
    <w:basedOn w:val="Normal"/>
    <w:semiHidden/>
    <w:qFormat/>
    <w:rsid w:val="004801BA"/>
    <w:pPr>
      <w:tabs>
        <w:tab w:val="left" w:pos="2835"/>
      </w:tabs>
      <w:spacing w:after="120"/>
      <w:ind w:left="1395" w:hanging="1395"/>
    </w:pPr>
    <w:rPr>
      <w:rFonts w:ascii="Arial" w:hAnsi="Arial"/>
      <w:b/>
      <w:color w:val="0000FF"/>
      <w:szCs w:val="20"/>
    </w:rPr>
  </w:style>
  <w:style w:type="paragraph" w:customStyle="1" w:styleId="Figures">
    <w:name w:val="Figures"/>
    <w:basedOn w:val="Tables"/>
    <w:autoRedefine/>
    <w:uiPriority w:val="2"/>
    <w:rsid w:val="00655F62"/>
    <w:pPr>
      <w:tabs>
        <w:tab w:val="clear" w:pos="2835"/>
      </w:tabs>
      <w:ind w:left="992" w:right="-142" w:hanging="992"/>
    </w:pPr>
    <w:rPr>
      <w:rFonts w:asciiTheme="minorHAnsi" w:hAnsiTheme="minorHAnsi" w:cs="Calibri"/>
      <w:sz w:val="22"/>
      <w:szCs w:val="22"/>
    </w:rPr>
  </w:style>
  <w:style w:type="paragraph" w:styleId="TableofFigures">
    <w:name w:val="table of figures"/>
    <w:basedOn w:val="Normal"/>
    <w:next w:val="Normal"/>
    <w:autoRedefine/>
    <w:uiPriority w:val="99"/>
    <w:rsid w:val="00702140"/>
    <w:pPr>
      <w:tabs>
        <w:tab w:val="left" w:pos="1134"/>
        <w:tab w:val="right" w:leader="dot" w:pos="9356"/>
      </w:tabs>
      <w:ind w:left="1134" w:right="425" w:hanging="1134"/>
    </w:pPr>
    <w:rPr>
      <w:rFonts w:asciiTheme="minorHAnsi" w:hAnsiTheme="minorHAnsi"/>
      <w:noProof/>
      <w:color w:val="0C0C0C" w:themeColor="text1"/>
      <w:sz w:val="22"/>
      <w:szCs w:val="20"/>
    </w:rPr>
  </w:style>
  <w:style w:type="paragraph" w:styleId="BalloonText">
    <w:name w:val="Balloon Text"/>
    <w:basedOn w:val="Normal"/>
    <w:link w:val="BalloonTextChar"/>
    <w:semiHidden/>
    <w:rsid w:val="00980BE0"/>
    <w:rPr>
      <w:rFonts w:ascii="Tahoma" w:hAnsi="Tahoma" w:cs="Tahoma"/>
      <w:sz w:val="16"/>
      <w:szCs w:val="16"/>
    </w:rPr>
  </w:style>
  <w:style w:type="character" w:customStyle="1" w:styleId="BalloonTextChar">
    <w:name w:val="Balloon Text Char"/>
    <w:basedOn w:val="DefaultParagraphFont"/>
    <w:link w:val="BalloonText"/>
    <w:semiHidden/>
    <w:rsid w:val="00F5599D"/>
    <w:rPr>
      <w:rFonts w:ascii="Tahoma" w:hAnsi="Tahoma" w:cs="Tahoma"/>
      <w:color w:val="181818" w:themeColor="text1" w:themeTint="F2"/>
      <w:sz w:val="16"/>
      <w:szCs w:val="16"/>
      <w:lang w:eastAsia="en-US"/>
    </w:rPr>
  </w:style>
  <w:style w:type="paragraph" w:styleId="Title">
    <w:name w:val="Title"/>
    <w:basedOn w:val="Normal"/>
    <w:next w:val="Normal"/>
    <w:link w:val="TitleChar"/>
    <w:semiHidden/>
    <w:qFormat/>
    <w:rsid w:val="00114CB5"/>
    <w:pPr>
      <w:pBdr>
        <w:bottom w:val="single" w:sz="4" w:space="1" w:color="0000FF"/>
      </w:pBdr>
      <w:spacing w:before="1240" w:line="240" w:lineRule="auto"/>
    </w:pPr>
    <w:rPr>
      <w:rFonts w:ascii="Arial Rounded MT Bold" w:hAnsi="Arial Rounded MT Bold" w:cs="Arial"/>
      <w:b/>
      <w:color w:val="0000FF"/>
      <w:sz w:val="40"/>
      <w:szCs w:val="48"/>
    </w:rPr>
  </w:style>
  <w:style w:type="character" w:customStyle="1" w:styleId="BodyTextChar">
    <w:name w:val="Body Text Char"/>
    <w:basedOn w:val="DefaultParagraphFont"/>
    <w:link w:val="BodyText"/>
    <w:rsid w:val="001008D3"/>
    <w:rPr>
      <w:rFonts w:cstheme="minorHAnsi"/>
      <w:color w:val="080808"/>
      <w:sz w:val="22"/>
      <w:szCs w:val="22"/>
      <w:lang w:eastAsia="en-US"/>
    </w:rPr>
  </w:style>
  <w:style w:type="character" w:customStyle="1" w:styleId="BodyTextIndentChar">
    <w:name w:val="Body Text Indent Char"/>
    <w:basedOn w:val="DefaultParagraphFont"/>
    <w:link w:val="BodyTextIndent"/>
    <w:semiHidden/>
    <w:rsid w:val="00F5599D"/>
    <w:rPr>
      <w:rFonts w:ascii="Century Schoolbook" w:hAnsi="Century Schoolbook" w:cstheme="minorHAnsi"/>
      <w:color w:val="181818" w:themeColor="text1" w:themeTint="F2"/>
      <w:spacing w:val="-3"/>
      <w:lang w:eastAsia="en-US"/>
    </w:rPr>
  </w:style>
  <w:style w:type="character" w:customStyle="1" w:styleId="TitleChar">
    <w:name w:val="Title Char"/>
    <w:basedOn w:val="DefaultParagraphFont"/>
    <w:link w:val="Title"/>
    <w:semiHidden/>
    <w:rsid w:val="00114CB5"/>
    <w:rPr>
      <w:rFonts w:ascii="Arial Rounded MT Bold" w:hAnsi="Arial Rounded MT Bold" w:cs="Arial"/>
      <w:b/>
      <w:color w:val="0000FF"/>
      <w:sz w:val="40"/>
      <w:szCs w:val="48"/>
      <w:lang w:eastAsia="en-US"/>
    </w:rPr>
  </w:style>
  <w:style w:type="paragraph" w:customStyle="1" w:styleId="Titlepagetext">
    <w:name w:val="Title page text"/>
    <w:basedOn w:val="Normal"/>
    <w:link w:val="TitlepagetextChar"/>
    <w:semiHidden/>
    <w:qFormat/>
    <w:rsid w:val="00EC5FB9"/>
    <w:pPr>
      <w:spacing w:before="2280" w:line="240" w:lineRule="auto"/>
    </w:pPr>
    <w:rPr>
      <w:rFonts w:ascii="Arial Rounded MT Bold" w:hAnsi="Arial Rounded MT Bold" w:cs="Arial"/>
      <w:b/>
      <w:color w:val="0000FF"/>
      <w:szCs w:val="20"/>
    </w:rPr>
  </w:style>
  <w:style w:type="paragraph" w:styleId="Subtitle">
    <w:name w:val="Subtitle"/>
    <w:basedOn w:val="Normal"/>
    <w:next w:val="Normal"/>
    <w:link w:val="SubtitleChar"/>
    <w:semiHidden/>
    <w:qFormat/>
    <w:rsid w:val="00D76756"/>
    <w:pPr>
      <w:spacing w:after="4320" w:line="240" w:lineRule="auto"/>
    </w:pPr>
    <w:rPr>
      <w:rFonts w:ascii="Arial Rounded MT Bold" w:hAnsi="Arial Rounded MT Bold" w:cs="Arial"/>
      <w:b/>
      <w:color w:val="0000FF"/>
      <w:sz w:val="36"/>
      <w:szCs w:val="36"/>
    </w:rPr>
  </w:style>
  <w:style w:type="character" w:customStyle="1" w:styleId="TitlepagetextChar">
    <w:name w:val="Title page text Char"/>
    <w:basedOn w:val="DefaultParagraphFont"/>
    <w:link w:val="Titlepagetext"/>
    <w:semiHidden/>
    <w:rsid w:val="00EC5FB9"/>
    <w:rPr>
      <w:rFonts w:ascii="Arial Rounded MT Bold" w:hAnsi="Arial Rounded MT Bold" w:cs="Arial"/>
      <w:b/>
      <w:color w:val="0000FF"/>
      <w:lang w:eastAsia="en-US"/>
    </w:rPr>
  </w:style>
  <w:style w:type="character" w:customStyle="1" w:styleId="SubtitleChar">
    <w:name w:val="Subtitle Char"/>
    <w:basedOn w:val="DefaultParagraphFont"/>
    <w:link w:val="Subtitle"/>
    <w:semiHidden/>
    <w:rsid w:val="00F5599D"/>
    <w:rPr>
      <w:rFonts w:ascii="Arial Rounded MT Bold" w:hAnsi="Arial Rounded MT Bold" w:cs="Arial"/>
      <w:b/>
      <w:color w:val="0000FF"/>
      <w:sz w:val="36"/>
      <w:szCs w:val="36"/>
      <w:lang w:eastAsia="en-US"/>
    </w:rPr>
  </w:style>
  <w:style w:type="paragraph" w:customStyle="1" w:styleId="Subsubtitle">
    <w:name w:val="Subsubtitle"/>
    <w:link w:val="SubsubtitleChar"/>
    <w:semiHidden/>
    <w:qFormat/>
    <w:rsid w:val="00186C62"/>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2A08D1"/>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186C62"/>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F5599D"/>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E82ECD"/>
    <w:pPr>
      <w:jc w:val="right"/>
    </w:pPr>
    <w:rPr>
      <w:rFonts w:ascii="Arial Rounded MT Bold" w:hAnsi="Arial Rounded MT Bold"/>
      <w:color w:val="858585" w:themeColor="text1" w:themeTint="80"/>
      <w:sz w:val="18"/>
      <w:lang w:val="en-GB"/>
    </w:rPr>
  </w:style>
  <w:style w:type="table" w:customStyle="1" w:styleId="BETable1">
    <w:name w:val="BE Table 1"/>
    <w:basedOn w:val="TableNormal"/>
    <w:uiPriority w:val="99"/>
    <w:qFormat/>
    <w:rsid w:val="009C4D3E"/>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F5599D"/>
    <w:rPr>
      <w:rFonts w:ascii="Arial Rounded MT Bold" w:hAnsi="Arial Rounded MT Bold" w:cstheme="minorHAnsi"/>
      <w:color w:val="858585" w:themeColor="text1" w:themeTint="80"/>
      <w:sz w:val="18"/>
      <w:szCs w:val="22"/>
      <w:lang w:val="en-GB" w:eastAsia="en-US"/>
    </w:rPr>
  </w:style>
  <w:style w:type="paragraph" w:customStyle="1" w:styleId="AppendixHeading2">
    <w:name w:val="Appendix Heading 2"/>
    <w:next w:val="BodyText"/>
    <w:uiPriority w:val="2"/>
    <w:qFormat/>
    <w:rsid w:val="004D25C7"/>
    <w:pPr>
      <w:spacing w:after="240"/>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F810CB"/>
    <w:pPr>
      <w:numPr>
        <w:ilvl w:val="1"/>
        <w:numId w:val="6"/>
      </w:numPr>
      <w:spacing w:after="240"/>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4D25C7"/>
    <w:pPr>
      <w:spacing w:after="120"/>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F810CB"/>
    <w:rPr>
      <w:rFonts w:ascii="Arial Rounded MT Bold" w:hAnsi="Arial Rounded MT Bold" w:cs="Arial"/>
      <w:color w:val="0000FF"/>
      <w:sz w:val="36"/>
      <w:szCs w:val="36"/>
      <w:lang w:eastAsia="en-US"/>
    </w:rPr>
  </w:style>
  <w:style w:type="character" w:customStyle="1" w:styleId="FooterChar">
    <w:name w:val="Footer Char"/>
    <w:basedOn w:val="DefaultParagraphFont"/>
    <w:link w:val="Footer"/>
    <w:uiPriority w:val="3"/>
    <w:rsid w:val="00186C62"/>
    <w:rPr>
      <w:rFonts w:cstheme="minorHAnsi"/>
      <w:color w:val="858585" w:themeColor="text1" w:themeTint="80"/>
      <w:sz w:val="16"/>
      <w:szCs w:val="22"/>
      <w:lang w:eastAsia="en-US"/>
    </w:rPr>
  </w:style>
  <w:style w:type="paragraph" w:styleId="ListParagraph">
    <w:name w:val="List Paragraph"/>
    <w:basedOn w:val="Normal"/>
    <w:link w:val="ListParagraphChar"/>
    <w:uiPriority w:val="34"/>
    <w:qFormat/>
    <w:rsid w:val="00C5633B"/>
    <w:pPr>
      <w:numPr>
        <w:numId w:val="1"/>
      </w:numPr>
      <w:contextualSpacing/>
    </w:pPr>
  </w:style>
  <w:style w:type="character" w:styleId="BookTitle">
    <w:name w:val="Book Title"/>
    <w:basedOn w:val="DefaultParagraphFont"/>
    <w:uiPriority w:val="33"/>
    <w:semiHidden/>
    <w:rsid w:val="00F532EB"/>
    <w:rPr>
      <w:b/>
      <w:bCs/>
      <w:smallCaps/>
      <w:spacing w:val="5"/>
    </w:rPr>
  </w:style>
  <w:style w:type="paragraph" w:styleId="List">
    <w:name w:val="List"/>
    <w:basedOn w:val="Normal"/>
    <w:semiHidden/>
    <w:rsid w:val="00C5633B"/>
    <w:pPr>
      <w:ind w:left="283" w:hanging="283"/>
      <w:contextualSpacing/>
    </w:pPr>
  </w:style>
  <w:style w:type="paragraph" w:customStyle="1" w:styleId="Bullet2">
    <w:name w:val="Bullet 2"/>
    <w:link w:val="Bullet2Char1"/>
    <w:uiPriority w:val="1"/>
    <w:qFormat/>
    <w:rsid w:val="008C54F9"/>
    <w:pPr>
      <w:numPr>
        <w:ilvl w:val="1"/>
        <w:numId w:val="4"/>
      </w:numPr>
    </w:pPr>
    <w:rPr>
      <w:rFonts w:cstheme="minorHAnsi"/>
      <w:color w:val="181818" w:themeColor="text1" w:themeTint="F2"/>
      <w:sz w:val="22"/>
      <w:szCs w:val="22"/>
      <w:lang w:eastAsia="en-US"/>
    </w:rPr>
  </w:style>
  <w:style w:type="numbering" w:customStyle="1" w:styleId="Dotpoints">
    <w:name w:val="Dot points"/>
    <w:uiPriority w:val="99"/>
    <w:rsid w:val="00F532EB"/>
    <w:pPr>
      <w:numPr>
        <w:numId w:val="2"/>
      </w:numPr>
    </w:pPr>
  </w:style>
  <w:style w:type="numbering" w:customStyle="1" w:styleId="BEList">
    <w:name w:val="BE_List"/>
    <w:uiPriority w:val="99"/>
    <w:rsid w:val="00395AF7"/>
    <w:pPr>
      <w:numPr>
        <w:numId w:val="3"/>
      </w:numPr>
    </w:pPr>
  </w:style>
  <w:style w:type="character" w:customStyle="1" w:styleId="Bullet2Char">
    <w:name w:val="Bullet 2 Char"/>
    <w:basedOn w:val="DefaultParagraphFont"/>
    <w:rsid w:val="00F532EB"/>
    <w:rPr>
      <w:rFonts w:asciiTheme="minorHAnsi" w:hAnsiTheme="minorHAnsi" w:cstheme="minorHAnsi"/>
      <w:sz w:val="22"/>
      <w:szCs w:val="22"/>
      <w:lang w:eastAsia="en-US"/>
    </w:rPr>
  </w:style>
  <w:style w:type="paragraph" w:customStyle="1" w:styleId="Bullet1">
    <w:name w:val="Bullet 1"/>
    <w:link w:val="Bullet1Char"/>
    <w:uiPriority w:val="1"/>
    <w:qFormat/>
    <w:rsid w:val="00C36D95"/>
    <w:pPr>
      <w:numPr>
        <w:numId w:val="4"/>
      </w:numPr>
      <w:spacing w:before="80"/>
    </w:pPr>
    <w:rPr>
      <w:rFonts w:cstheme="minorHAnsi"/>
      <w:color w:val="181818" w:themeColor="text1" w:themeTint="F2"/>
      <w:sz w:val="22"/>
      <w:szCs w:val="22"/>
      <w:lang w:eastAsia="en-US"/>
    </w:rPr>
  </w:style>
  <w:style w:type="paragraph" w:customStyle="1" w:styleId="Bullet3">
    <w:name w:val="Bullet 3"/>
    <w:basedOn w:val="Bullet2"/>
    <w:link w:val="Bullet3Char"/>
    <w:uiPriority w:val="1"/>
    <w:qFormat/>
    <w:rsid w:val="008C54F9"/>
    <w:pPr>
      <w:numPr>
        <w:ilvl w:val="2"/>
      </w:numPr>
    </w:pPr>
  </w:style>
  <w:style w:type="character" w:customStyle="1" w:styleId="ListParagraphChar">
    <w:name w:val="List Paragraph Char"/>
    <w:basedOn w:val="DefaultParagraphFont"/>
    <w:link w:val="ListParagraph"/>
    <w:uiPriority w:val="34"/>
    <w:rsid w:val="00F5599D"/>
    <w:rPr>
      <w:rFonts w:cstheme="minorHAnsi"/>
      <w:color w:val="181818" w:themeColor="text1" w:themeTint="F2"/>
      <w:szCs w:val="22"/>
      <w:lang w:eastAsia="en-US"/>
    </w:rPr>
  </w:style>
  <w:style w:type="character" w:customStyle="1" w:styleId="Bullet1Char">
    <w:name w:val="Bullet 1 Char"/>
    <w:basedOn w:val="ListParagraphChar"/>
    <w:link w:val="Bullet1"/>
    <w:uiPriority w:val="1"/>
    <w:rsid w:val="00C36D95"/>
    <w:rPr>
      <w:rFonts w:cstheme="minorHAnsi"/>
      <w:color w:val="181818" w:themeColor="text1" w:themeTint="F2"/>
      <w:sz w:val="22"/>
      <w:szCs w:val="22"/>
      <w:lang w:eastAsia="en-US"/>
    </w:rPr>
  </w:style>
  <w:style w:type="paragraph" w:customStyle="1" w:styleId="AppendixH1Line2">
    <w:name w:val="Appendix H1 Line 2"/>
    <w:basedOn w:val="BodyText"/>
    <w:uiPriority w:val="3"/>
    <w:rsid w:val="00BF1269"/>
  </w:style>
  <w:style w:type="character" w:customStyle="1" w:styleId="Bullet2Char1">
    <w:name w:val="Bullet 2 Char1"/>
    <w:basedOn w:val="DefaultParagraphFont"/>
    <w:link w:val="Bullet2"/>
    <w:uiPriority w:val="1"/>
    <w:rsid w:val="00201EAD"/>
    <w:rPr>
      <w:rFonts w:cstheme="minorHAnsi"/>
      <w:color w:val="181818" w:themeColor="text1" w:themeTint="F2"/>
      <w:sz w:val="22"/>
      <w:szCs w:val="22"/>
      <w:lang w:eastAsia="en-US"/>
    </w:rPr>
  </w:style>
  <w:style w:type="character" w:customStyle="1" w:styleId="Bullet3Char">
    <w:name w:val="Bullet 3 Char"/>
    <w:basedOn w:val="Bullet2Char1"/>
    <w:link w:val="Bullet3"/>
    <w:uiPriority w:val="1"/>
    <w:rsid w:val="00201EAD"/>
    <w:rPr>
      <w:rFonts w:cstheme="minorHAnsi"/>
      <w:color w:val="181818" w:themeColor="text1" w:themeTint="F2"/>
      <w:sz w:val="22"/>
      <w:szCs w:val="22"/>
      <w:lang w:eastAsia="en-US"/>
    </w:rPr>
  </w:style>
  <w:style w:type="paragraph" w:customStyle="1" w:styleId="AppendixSectionnumber">
    <w:name w:val="Appendix Section number"/>
    <w:link w:val="AppendixSectionnumberChar"/>
    <w:qFormat/>
    <w:rsid w:val="00F810CB"/>
    <w:pPr>
      <w:numPr>
        <w:numId w:val="6"/>
      </w:numPr>
      <w:pBdr>
        <w:bottom w:val="single" w:sz="4" w:space="1" w:color="0000FF"/>
      </w:pBdr>
    </w:pPr>
    <w:rPr>
      <w:rFonts w:ascii="Arial Rounded MT Bold" w:hAnsi="Arial Rounded MT Bold" w:cs="Arial"/>
      <w:color w:val="0000FF"/>
      <w:sz w:val="36"/>
      <w:szCs w:val="36"/>
      <w:lang w:eastAsia="en-US"/>
    </w:rPr>
  </w:style>
  <w:style w:type="character" w:customStyle="1" w:styleId="AppendixSectionnumberChar">
    <w:name w:val="Appendix Section number Char"/>
    <w:basedOn w:val="TitleChar"/>
    <w:link w:val="AppendixSectionnumber"/>
    <w:rsid w:val="00F810CB"/>
    <w:rPr>
      <w:rFonts w:ascii="Arial Rounded MT Bold" w:hAnsi="Arial Rounded MT Bold" w:cs="Arial"/>
      <w:b w:val="0"/>
      <w:color w:val="0000FF"/>
      <w:sz w:val="36"/>
      <w:szCs w:val="36"/>
      <w:lang w:eastAsia="en-US"/>
    </w:rPr>
  </w:style>
  <w:style w:type="character" w:customStyle="1" w:styleId="Grey">
    <w:name w:val="Grey"/>
    <w:basedOn w:val="DefaultParagraphFont"/>
    <w:semiHidden/>
    <w:rsid w:val="00CB1CB4"/>
    <w:rPr>
      <w:color w:val="A6A6A6" w:themeColor="background1" w:themeShade="A6"/>
    </w:rPr>
  </w:style>
  <w:style w:type="paragraph" w:customStyle="1" w:styleId="Client">
    <w:name w:val="Client"/>
    <w:next w:val="Titlepagetext"/>
    <w:semiHidden/>
    <w:rsid w:val="00186C62"/>
    <w:pPr>
      <w:spacing w:after="3360"/>
    </w:pPr>
    <w:rPr>
      <w:rFonts w:ascii="Arial Rounded MT Bold" w:hAnsi="Arial Rounded MT Bold" w:cs="Arial"/>
      <w:b/>
      <w:color w:val="0000FF" w:themeColor="text2"/>
      <w:sz w:val="36"/>
      <w:szCs w:val="36"/>
      <w:lang w:eastAsia="en-US"/>
    </w:rPr>
  </w:style>
  <w:style w:type="paragraph" w:customStyle="1" w:styleId="Title2">
    <w:name w:val="Title2"/>
    <w:semiHidden/>
    <w:qFormat/>
    <w:rsid w:val="00186C62"/>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A2446E"/>
    <w:pPr>
      <w:spacing w:before="1080"/>
    </w:pPr>
    <w:rPr>
      <w:rFonts w:cs="Arial"/>
      <w:b/>
      <w:color w:val="0000FF"/>
      <w:lang w:eastAsia="en-US"/>
    </w:rPr>
  </w:style>
  <w:style w:type="paragraph" w:customStyle="1" w:styleId="DisclaimerText">
    <w:name w:val="Disclaimer Text"/>
    <w:semiHidden/>
    <w:rsid w:val="0073652B"/>
    <w:pPr>
      <w:spacing w:after="120"/>
    </w:pPr>
    <w:rPr>
      <w:rFonts w:cs="Arial"/>
      <w:sz w:val="18"/>
      <w:szCs w:val="18"/>
      <w:lang w:eastAsia="en-US"/>
    </w:rPr>
  </w:style>
  <w:style w:type="paragraph" w:customStyle="1" w:styleId="Copyright">
    <w:name w:val="Copyright"/>
    <w:semiHidden/>
    <w:rsid w:val="00A2446E"/>
    <w:pPr>
      <w:spacing w:before="840" w:after="560"/>
    </w:pPr>
    <w:rPr>
      <w:rFonts w:cs="Arial"/>
      <w:sz w:val="18"/>
      <w:szCs w:val="18"/>
      <w:lang w:eastAsia="en-US"/>
    </w:rPr>
  </w:style>
  <w:style w:type="paragraph" w:customStyle="1" w:styleId="AuthorHeading">
    <w:name w:val="Author Heading"/>
    <w:basedOn w:val="Titlepagetext"/>
    <w:semiHidden/>
    <w:rsid w:val="002A0F82"/>
    <w:pPr>
      <w:spacing w:before="520"/>
      <w:jc w:val="right"/>
    </w:pPr>
  </w:style>
  <w:style w:type="paragraph" w:customStyle="1" w:styleId="BEAddress">
    <w:name w:val="BE_Address"/>
    <w:semiHidden/>
    <w:rsid w:val="00B61ED5"/>
    <w:pPr>
      <w:framePr w:w="8826" w:h="1894" w:hRule="exact" w:hSpace="181" w:wrap="around" w:vAnchor="page" w:hAnchor="page" w:x="1986" w:y="11505"/>
      <w:ind w:right="-47"/>
      <w:jc w:val="right"/>
    </w:pPr>
    <w:rPr>
      <w:rFonts w:cstheme="minorHAnsi"/>
      <w:szCs w:val="22"/>
      <w:lang w:val="en-GB" w:eastAsia="en-US"/>
    </w:rPr>
  </w:style>
  <w:style w:type="paragraph" w:customStyle="1" w:styleId="Footernoline">
    <w:name w:val="Footer_no line"/>
    <w:basedOn w:val="Footer"/>
    <w:semiHidden/>
    <w:rsid w:val="00BD37A4"/>
    <w:pPr>
      <w:pBdr>
        <w:top w:val="none" w:sz="0" w:space="0" w:color="auto"/>
      </w:pBdr>
    </w:pPr>
  </w:style>
  <w:style w:type="table" w:customStyle="1" w:styleId="BETable2">
    <w:name w:val="BE Table 2"/>
    <w:basedOn w:val="BETable1"/>
    <w:uiPriority w:val="99"/>
    <w:qFormat/>
    <w:rsid w:val="00343084"/>
    <w:tblPr>
      <w:tblInd w:w="57" w:type="dxa"/>
      <w:tblBorders>
        <w:left w:val="single" w:sz="4" w:space="0" w:color="7F7F7F" w:themeColor="background2"/>
        <w:bottom w:val="single" w:sz="4" w:space="0" w:color="7F7F7F" w:themeColor="background2"/>
        <w:right w:val="single" w:sz="4" w:space="0" w:color="7F7F7F" w:themeColor="background2"/>
      </w:tblBorders>
      <w:tblCellMar>
        <w:top w:w="28" w:type="dxa"/>
        <w:left w:w="57" w:type="dxa"/>
        <w:bottom w:w="28" w:type="dxa"/>
        <w:right w:w="57"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5B109F"/>
    <w:pPr>
      <w:spacing w:after="360"/>
    </w:pPr>
    <w:rPr>
      <w:rFonts w:ascii="Arial Rounded MT Bold" w:hAnsi="Arial Rounded MT Bold" w:cs="Arial"/>
      <w:color w:val="0000FF"/>
      <w:sz w:val="36"/>
      <w:szCs w:val="36"/>
      <w:lang w:eastAsia="en-US"/>
    </w:rPr>
  </w:style>
  <w:style w:type="paragraph" w:customStyle="1" w:styleId="FigureTableinfo">
    <w:name w:val="Figure/Table info"/>
    <w:uiPriority w:val="2"/>
    <w:rsid w:val="00C55DF2"/>
    <w:pPr>
      <w:spacing w:before="80"/>
    </w:pPr>
    <w:rPr>
      <w:rFonts w:cs="Arial"/>
      <w:i/>
      <w:color w:val="0000FF"/>
      <w:lang w:eastAsia="en-US"/>
    </w:rPr>
  </w:style>
  <w:style w:type="paragraph" w:customStyle="1" w:styleId="FooterLandscape">
    <w:name w:val="Footer Landscape"/>
    <w:basedOn w:val="Footer"/>
    <w:semiHidden/>
    <w:qFormat/>
    <w:rsid w:val="00B50E5B"/>
    <w:pPr>
      <w:tabs>
        <w:tab w:val="clear" w:pos="4678"/>
        <w:tab w:val="clear" w:pos="9356"/>
        <w:tab w:val="center" w:pos="7909"/>
        <w:tab w:val="right" w:pos="14600"/>
      </w:tabs>
    </w:pPr>
  </w:style>
  <w:style w:type="character" w:styleId="PlaceholderText">
    <w:name w:val="Placeholder Text"/>
    <w:basedOn w:val="DefaultParagraphFont"/>
    <w:uiPriority w:val="99"/>
    <w:semiHidden/>
    <w:rsid w:val="002E2B19"/>
    <w:rPr>
      <w:color w:val="808080"/>
    </w:rPr>
  </w:style>
  <w:style w:type="paragraph" w:customStyle="1" w:styleId="TOCHeadings">
    <w:name w:val="TOC Headings"/>
    <w:qFormat/>
    <w:rsid w:val="00E44065"/>
    <w:rPr>
      <w:rFonts w:ascii="Arial Rounded MT Bold" w:hAnsi="Arial Rounded MT Bold" w:cs="Arial"/>
      <w:b/>
      <w:color w:val="0000FF"/>
      <w:szCs w:val="22"/>
      <w:lang w:eastAsia="en-US"/>
    </w:rPr>
  </w:style>
  <w:style w:type="character" w:customStyle="1" w:styleId="HeaderChar">
    <w:name w:val="Header Char"/>
    <w:basedOn w:val="DefaultParagraphFont"/>
    <w:link w:val="Header"/>
    <w:rsid w:val="00201EAD"/>
    <w:rPr>
      <w:rFonts w:cstheme="minorHAnsi"/>
      <w:color w:val="181818" w:themeColor="text1" w:themeTint="F2"/>
      <w:szCs w:val="22"/>
      <w:lang w:eastAsia="en-US"/>
    </w:rPr>
  </w:style>
  <w:style w:type="paragraph" w:styleId="ListNumber">
    <w:name w:val="List Number"/>
    <w:basedOn w:val="Normal"/>
    <w:uiPriority w:val="1"/>
    <w:qFormat/>
    <w:rsid w:val="00AF3776"/>
    <w:pPr>
      <w:spacing w:before="80" w:line="240" w:lineRule="auto"/>
    </w:pPr>
    <w:rPr>
      <w:sz w:val="22"/>
    </w:rPr>
  </w:style>
  <w:style w:type="paragraph" w:styleId="ListNumber2">
    <w:name w:val="List Number 2"/>
    <w:basedOn w:val="Normal"/>
    <w:uiPriority w:val="1"/>
    <w:qFormat/>
    <w:rsid w:val="00F11E21"/>
    <w:pPr>
      <w:spacing w:line="240" w:lineRule="auto"/>
      <w:contextualSpacing/>
    </w:pPr>
    <w:rPr>
      <w:sz w:val="22"/>
    </w:rPr>
  </w:style>
  <w:style w:type="paragraph" w:styleId="ListNumber3">
    <w:name w:val="List Number 3"/>
    <w:basedOn w:val="Normal"/>
    <w:uiPriority w:val="1"/>
    <w:qFormat/>
    <w:rsid w:val="00F11E21"/>
    <w:pPr>
      <w:spacing w:line="240" w:lineRule="auto"/>
      <w:contextualSpacing/>
    </w:pPr>
    <w:rPr>
      <w:sz w:val="22"/>
    </w:rPr>
  </w:style>
  <w:style w:type="paragraph" w:customStyle="1" w:styleId="Draft">
    <w:name w:val="Draft"/>
    <w:basedOn w:val="Titlepagetext"/>
    <w:uiPriority w:val="2"/>
    <w:rsid w:val="00EC5FB9"/>
    <w:pPr>
      <w:spacing w:before="0"/>
    </w:pPr>
  </w:style>
  <w:style w:type="paragraph" w:customStyle="1" w:styleId="Reviewer">
    <w:name w:val="Reviewer"/>
    <w:uiPriority w:val="2"/>
    <w:rsid w:val="002A0F82"/>
    <w:pPr>
      <w:spacing w:before="360"/>
      <w:jc w:val="right"/>
    </w:pPr>
    <w:rPr>
      <w:rFonts w:cs="Arial"/>
      <w:b/>
      <w:color w:val="0000FF"/>
      <w:lang w:eastAsia="en-US"/>
    </w:rPr>
  </w:style>
  <w:style w:type="paragraph" w:customStyle="1" w:styleId="AuthorName">
    <w:name w:val="Author Name"/>
    <w:uiPriority w:val="2"/>
    <w:rsid w:val="002A0F82"/>
    <w:pPr>
      <w:jc w:val="right"/>
    </w:pPr>
    <w:rPr>
      <w:rFonts w:cstheme="minorHAnsi"/>
      <w:color w:val="181818" w:themeColor="text1" w:themeTint="F2"/>
      <w:szCs w:val="22"/>
      <w:lang w:eastAsia="en-US"/>
    </w:rPr>
  </w:style>
  <w:style w:type="paragraph" w:customStyle="1" w:styleId="Appendixheading">
    <w:name w:val="Appendix heading"/>
    <w:next w:val="BodyText"/>
    <w:link w:val="AppendixheadingChar"/>
    <w:qFormat/>
    <w:rsid w:val="00D50C8E"/>
    <w:pPr>
      <w:spacing w:after="240"/>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D50C8E"/>
    <w:rPr>
      <w:rFonts w:ascii="Arial Rounded MT Bold" w:hAnsi="Arial Rounded MT Bold" w:cs="Arial"/>
      <w:color w:val="0000FF"/>
      <w:sz w:val="36"/>
      <w:szCs w:val="36"/>
      <w:lang w:eastAsia="en-US"/>
    </w:rPr>
  </w:style>
  <w:style w:type="paragraph" w:customStyle="1" w:styleId="ParaIndent">
    <w:name w:val="_ParaIndent"/>
    <w:basedOn w:val="BodyText"/>
    <w:link w:val="ParaIndentChar"/>
    <w:rsid w:val="00A16765"/>
    <w:pPr>
      <w:spacing w:after="240" w:line="260" w:lineRule="atLeast"/>
      <w:ind w:left="1134"/>
    </w:pPr>
    <w:rPr>
      <w:rFonts w:ascii="Arial" w:hAnsi="Arial" w:cs="Times New Roman"/>
      <w:color w:val="auto"/>
      <w:sz w:val="20"/>
      <w:szCs w:val="20"/>
      <w:lang w:val="en-GB"/>
    </w:rPr>
  </w:style>
  <w:style w:type="character" w:customStyle="1" w:styleId="ParaIndentChar">
    <w:name w:val="_ParaIndent Char"/>
    <w:basedOn w:val="DefaultParagraphFont"/>
    <w:link w:val="ParaIndent"/>
    <w:rsid w:val="00A16765"/>
    <w:rPr>
      <w:rFonts w:ascii="Arial" w:hAnsi="Arial"/>
      <w:lang w:val="en-GB" w:eastAsia="en-US"/>
    </w:rPr>
  </w:style>
  <w:style w:type="character" w:customStyle="1" w:styleId="apple-converted-space">
    <w:name w:val="apple-converted-space"/>
    <w:basedOn w:val="DefaultParagraphFont"/>
    <w:rsid w:val="007D7223"/>
  </w:style>
  <w:style w:type="paragraph" w:customStyle="1" w:styleId="Default">
    <w:name w:val="Default"/>
    <w:rsid w:val="004C4ABA"/>
    <w:pPr>
      <w:autoSpaceDE w:val="0"/>
      <w:autoSpaceDN w:val="0"/>
      <w:adjustRightInd w:val="0"/>
    </w:pPr>
    <w:rPr>
      <w:rFonts w:eastAsiaTheme="minorHAnsi" w:cs="Calibri"/>
      <w:color w:val="000000"/>
      <w:sz w:val="24"/>
      <w:szCs w:val="24"/>
      <w:lang w:eastAsia="en-US"/>
    </w:rPr>
  </w:style>
  <w:style w:type="character" w:styleId="CommentReference">
    <w:name w:val="annotation reference"/>
    <w:basedOn w:val="DefaultParagraphFont"/>
    <w:semiHidden/>
    <w:unhideWhenUsed/>
    <w:rsid w:val="00642E1D"/>
    <w:rPr>
      <w:sz w:val="16"/>
      <w:szCs w:val="16"/>
    </w:rPr>
  </w:style>
  <w:style w:type="paragraph" w:styleId="CommentText">
    <w:name w:val="annotation text"/>
    <w:basedOn w:val="Normal"/>
    <w:link w:val="CommentTextChar"/>
    <w:semiHidden/>
    <w:unhideWhenUsed/>
    <w:rsid w:val="00642E1D"/>
    <w:pPr>
      <w:spacing w:line="240" w:lineRule="auto"/>
    </w:pPr>
    <w:rPr>
      <w:rFonts w:eastAsiaTheme="minorHAnsi" w:cs="Times New Roman"/>
      <w:color w:val="auto"/>
      <w:szCs w:val="20"/>
      <w:lang w:val="en-US"/>
    </w:rPr>
  </w:style>
  <w:style w:type="character" w:customStyle="1" w:styleId="CommentTextChar">
    <w:name w:val="Comment Text Char"/>
    <w:basedOn w:val="DefaultParagraphFont"/>
    <w:link w:val="CommentText"/>
    <w:semiHidden/>
    <w:rsid w:val="00642E1D"/>
    <w:rPr>
      <w:rFonts w:eastAsiaTheme="minorHAnsi"/>
      <w:lang w:val="en-US" w:eastAsia="en-US"/>
    </w:rPr>
  </w:style>
  <w:style w:type="paragraph" w:styleId="CommentSubject">
    <w:name w:val="annotation subject"/>
    <w:basedOn w:val="CommentText"/>
    <w:next w:val="CommentText"/>
    <w:link w:val="CommentSubjectChar"/>
    <w:semiHidden/>
    <w:rsid w:val="00FA5D9A"/>
    <w:rPr>
      <w:rFonts w:eastAsia="Times New Roman" w:cstheme="minorHAnsi"/>
      <w:b/>
      <w:bCs/>
      <w:color w:val="181818" w:themeColor="text1" w:themeTint="F2"/>
      <w:lang w:val="en-AU"/>
    </w:rPr>
  </w:style>
  <w:style w:type="character" w:customStyle="1" w:styleId="CommentSubjectChar">
    <w:name w:val="Comment Subject Char"/>
    <w:basedOn w:val="CommentTextChar"/>
    <w:link w:val="CommentSubject"/>
    <w:semiHidden/>
    <w:rsid w:val="00FA5D9A"/>
    <w:rPr>
      <w:rFonts w:eastAsiaTheme="minorHAnsi" w:cstheme="minorHAnsi"/>
      <w:b/>
      <w:bCs/>
      <w:color w:val="181818" w:themeColor="text1" w:themeTint="F2"/>
      <w:lang w:val="en-US" w:eastAsia="en-US"/>
    </w:rPr>
  </w:style>
  <w:style w:type="paragraph" w:customStyle="1" w:styleId="xl92">
    <w:name w:val="xl92"/>
    <w:basedOn w:val="Normal"/>
    <w:rsid w:val="00CE7600"/>
    <w:pPr>
      <w:shd w:val="clear" w:color="000000" w:fill="1F497D"/>
      <w:spacing w:before="100" w:beforeAutospacing="1" w:after="100" w:afterAutospacing="1" w:line="240" w:lineRule="auto"/>
    </w:pPr>
    <w:rPr>
      <w:rFonts w:ascii="Times New Roman" w:hAnsi="Times New Roman" w:cs="Times New Roman"/>
      <w:color w:val="FFFFFF"/>
      <w:sz w:val="24"/>
      <w:szCs w:val="24"/>
      <w:lang w:eastAsia="en-AU"/>
    </w:rPr>
  </w:style>
  <w:style w:type="paragraph" w:customStyle="1" w:styleId="xl93">
    <w:name w:val="xl93"/>
    <w:basedOn w:val="Normal"/>
    <w:rsid w:val="00CE7600"/>
    <w:pPr>
      <w:pBdr>
        <w:left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4">
    <w:name w:val="xl94"/>
    <w:basedOn w:val="Normal"/>
    <w:rsid w:val="00CE7600"/>
    <w:pPr>
      <w:shd w:val="clear" w:color="000000" w:fill="F2F2F2"/>
      <w:spacing w:before="100" w:beforeAutospacing="1" w:after="100" w:afterAutospacing="1" w:line="240" w:lineRule="auto"/>
    </w:pPr>
    <w:rPr>
      <w:rFonts w:ascii="Times New Roman" w:hAnsi="Times New Roman" w:cs="Times New Roman"/>
      <w:color w:val="auto"/>
      <w:sz w:val="24"/>
      <w:szCs w:val="24"/>
      <w:lang w:eastAsia="en-AU"/>
    </w:rPr>
  </w:style>
  <w:style w:type="paragraph" w:customStyle="1" w:styleId="xl95">
    <w:name w:val="xl95"/>
    <w:basedOn w:val="Normal"/>
    <w:rsid w:val="00CE7600"/>
    <w:pPr>
      <w:shd w:val="clear" w:color="000000" w:fill="F2F2F2"/>
      <w:spacing w:before="100" w:beforeAutospacing="1" w:after="100" w:afterAutospacing="1" w:line="240" w:lineRule="auto"/>
      <w:jc w:val="center"/>
      <w:textAlignment w:val="center"/>
    </w:pPr>
    <w:rPr>
      <w:rFonts w:ascii="Times New Roman" w:hAnsi="Times New Roman" w:cs="Times New Roman"/>
      <w:color w:val="000000"/>
      <w:sz w:val="24"/>
      <w:szCs w:val="24"/>
      <w:lang w:eastAsia="en-AU"/>
    </w:rPr>
  </w:style>
  <w:style w:type="paragraph" w:customStyle="1" w:styleId="xl96">
    <w:name w:val="xl96"/>
    <w:basedOn w:val="Normal"/>
    <w:rsid w:val="00CE7600"/>
    <w:pPr>
      <w:shd w:val="clear" w:color="000000" w:fill="F2F2F2"/>
      <w:spacing w:before="100" w:beforeAutospacing="1" w:after="100" w:afterAutospacing="1" w:line="240" w:lineRule="auto"/>
      <w:jc w:val="center"/>
    </w:pPr>
    <w:rPr>
      <w:rFonts w:ascii="Times New Roman" w:hAnsi="Times New Roman" w:cs="Times New Roman"/>
      <w:color w:val="000000"/>
      <w:sz w:val="24"/>
      <w:szCs w:val="24"/>
      <w:lang w:eastAsia="en-AU"/>
    </w:rPr>
  </w:style>
  <w:style w:type="paragraph" w:customStyle="1" w:styleId="xl97">
    <w:name w:val="xl97"/>
    <w:basedOn w:val="Normal"/>
    <w:rsid w:val="00CE7600"/>
    <w:pPr>
      <w:pBdr>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8">
    <w:name w:val="xl98"/>
    <w:basedOn w:val="Normal"/>
    <w:rsid w:val="00CE7600"/>
    <w:pP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9">
    <w:name w:val="xl99"/>
    <w:basedOn w:val="Normal"/>
    <w:rsid w:val="00CE7600"/>
    <w:pPr>
      <w:shd w:val="clear" w:color="000000" w:fill="F2F2F2"/>
      <w:spacing w:before="100" w:beforeAutospacing="1" w:after="100" w:afterAutospacing="1" w:line="240" w:lineRule="auto"/>
      <w:textAlignment w:val="top"/>
    </w:pPr>
    <w:rPr>
      <w:rFonts w:ascii="Times New Roman" w:hAnsi="Times New Roman" w:cs="Times New Roman"/>
      <w:b/>
      <w:bCs/>
      <w:color w:val="auto"/>
      <w:sz w:val="24"/>
      <w:szCs w:val="24"/>
      <w:lang w:eastAsia="en-AU"/>
    </w:rPr>
  </w:style>
  <w:style w:type="paragraph" w:customStyle="1" w:styleId="xl100">
    <w:name w:val="xl100"/>
    <w:basedOn w:val="Normal"/>
    <w:rsid w:val="00CE7600"/>
    <w:pP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1">
    <w:name w:val="xl101"/>
    <w:basedOn w:val="Normal"/>
    <w:rsid w:val="00CE7600"/>
    <w:pPr>
      <w:shd w:val="clear" w:color="000000" w:fill="F2F2F2"/>
      <w:spacing w:before="100" w:beforeAutospacing="1" w:after="100" w:afterAutospacing="1" w:line="240" w:lineRule="auto"/>
      <w:textAlignment w:val="top"/>
    </w:pPr>
    <w:rPr>
      <w:rFonts w:ascii="Times New Roman" w:hAnsi="Times New Roman" w:cs="Times New Roman"/>
      <w:color w:val="000000"/>
      <w:sz w:val="24"/>
      <w:szCs w:val="24"/>
      <w:lang w:eastAsia="en-AU"/>
    </w:rPr>
  </w:style>
  <w:style w:type="paragraph" w:customStyle="1" w:styleId="xl102">
    <w:name w:val="xl102"/>
    <w:basedOn w:val="Normal"/>
    <w:rsid w:val="00CE7600"/>
    <w:pPr>
      <w:shd w:val="clear" w:color="000000" w:fill="F2F2F2"/>
      <w:spacing w:before="100" w:beforeAutospacing="1" w:after="100" w:afterAutospacing="1" w:line="240" w:lineRule="auto"/>
      <w:textAlignment w:val="top"/>
    </w:pPr>
    <w:rPr>
      <w:rFonts w:ascii="Times New Roman" w:hAnsi="Times New Roman" w:cs="Times New Roman"/>
      <w:b/>
      <w:bCs/>
      <w:color w:val="1F497D"/>
      <w:sz w:val="24"/>
      <w:szCs w:val="24"/>
      <w:lang w:eastAsia="en-AU"/>
    </w:rPr>
  </w:style>
  <w:style w:type="paragraph" w:customStyle="1" w:styleId="xl103">
    <w:name w:val="xl103"/>
    <w:basedOn w:val="Normal"/>
    <w:rsid w:val="00CE7600"/>
    <w:pP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4">
    <w:name w:val="xl104"/>
    <w:basedOn w:val="Normal"/>
    <w:rsid w:val="00CE7600"/>
    <w:pPr>
      <w:pBdr>
        <w:bottom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5">
    <w:name w:val="xl105"/>
    <w:basedOn w:val="Normal"/>
    <w:rsid w:val="00CE7600"/>
    <w:pPr>
      <w:pBdr>
        <w:bottom w:val="single" w:sz="4" w:space="0" w:color="808080"/>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6">
    <w:name w:val="xl106"/>
    <w:basedOn w:val="Normal"/>
    <w:rsid w:val="00CE7600"/>
    <w:pPr>
      <w:pBdr>
        <w:top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7">
    <w:name w:val="xl107"/>
    <w:basedOn w:val="Normal"/>
    <w:rsid w:val="00CE7600"/>
    <w:pPr>
      <w:pBdr>
        <w:top w:val="single" w:sz="4" w:space="0" w:color="808080"/>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8">
    <w:name w:val="xl108"/>
    <w:basedOn w:val="Normal"/>
    <w:rsid w:val="00CE7600"/>
    <w:pPr>
      <w:pBdr>
        <w:top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9">
    <w:name w:val="xl109"/>
    <w:basedOn w:val="Normal"/>
    <w:rsid w:val="00CE7600"/>
    <w:pPr>
      <w:shd w:val="clear" w:color="000000" w:fill="F2F2F2"/>
      <w:spacing w:before="100" w:beforeAutospacing="1" w:after="100" w:afterAutospacing="1" w:line="240" w:lineRule="auto"/>
      <w:ind w:firstLineChars="300" w:firstLine="300"/>
      <w:jc w:val="right"/>
      <w:textAlignment w:val="top"/>
    </w:pPr>
    <w:rPr>
      <w:rFonts w:ascii="Times New Roman" w:hAnsi="Times New Roman" w:cs="Times New Roman"/>
      <w:i/>
      <w:iCs/>
      <w:color w:val="auto"/>
      <w:sz w:val="22"/>
      <w:lang w:eastAsia="en-AU"/>
    </w:rPr>
  </w:style>
  <w:style w:type="paragraph" w:customStyle="1" w:styleId="xl110">
    <w:name w:val="xl110"/>
    <w:basedOn w:val="Normal"/>
    <w:rsid w:val="00CE7600"/>
    <w:pP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1">
    <w:name w:val="xl111"/>
    <w:basedOn w:val="Normal"/>
    <w:rsid w:val="00CE7600"/>
    <w:pPr>
      <w:pBdr>
        <w:top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2">
    <w:name w:val="xl112"/>
    <w:basedOn w:val="Normal"/>
    <w:rsid w:val="00CE7600"/>
    <w:pP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3">
    <w:name w:val="xl113"/>
    <w:basedOn w:val="Normal"/>
    <w:rsid w:val="00CE7600"/>
    <w:pPr>
      <w:pBdr>
        <w:top w:val="single" w:sz="4" w:space="0" w:color="808080"/>
        <w:lef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4">
    <w:name w:val="xl114"/>
    <w:basedOn w:val="Normal"/>
    <w:rsid w:val="00CE7600"/>
    <w:pPr>
      <w:pBdr>
        <w:lef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5">
    <w:name w:val="xl115"/>
    <w:basedOn w:val="Normal"/>
    <w:rsid w:val="00CE7600"/>
    <w:pPr>
      <w:pBdr>
        <w:bottom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6">
    <w:name w:val="xl116"/>
    <w:basedOn w:val="Normal"/>
    <w:rsid w:val="00CE7600"/>
    <w:pPr>
      <w:shd w:val="clear" w:color="000000" w:fill="F2F2F2"/>
      <w:spacing w:before="100" w:beforeAutospacing="1" w:after="100" w:afterAutospacing="1" w:line="240" w:lineRule="auto"/>
    </w:pPr>
    <w:rPr>
      <w:rFonts w:ascii="Times New Roman" w:hAnsi="Times New Roman" w:cs="Times New Roman"/>
      <w:b/>
      <w:bCs/>
      <w:color w:val="auto"/>
      <w:sz w:val="24"/>
      <w:szCs w:val="24"/>
      <w:lang w:eastAsia="en-AU"/>
    </w:rPr>
  </w:style>
  <w:style w:type="paragraph" w:customStyle="1" w:styleId="xl117">
    <w:name w:val="xl117"/>
    <w:basedOn w:val="Normal"/>
    <w:rsid w:val="00CE7600"/>
    <w:pPr>
      <w:pBdr>
        <w:lef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18">
    <w:name w:val="xl118"/>
    <w:basedOn w:val="Normal"/>
    <w:rsid w:val="00CE7600"/>
    <w:pPr>
      <w:pBdr>
        <w:top w:val="single" w:sz="4" w:space="0" w:color="808080"/>
        <w:left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19">
    <w:name w:val="xl119"/>
    <w:basedOn w:val="Normal"/>
    <w:rsid w:val="00CE7600"/>
    <w:pPr>
      <w:pBdr>
        <w:top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0">
    <w:name w:val="xl120"/>
    <w:basedOn w:val="Normal"/>
    <w:rsid w:val="00CE7600"/>
    <w:pPr>
      <w:pBdr>
        <w:top w:val="single" w:sz="4" w:space="0" w:color="FF0000"/>
        <w:bottom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1">
    <w:name w:val="xl121"/>
    <w:basedOn w:val="Normal"/>
    <w:rsid w:val="00CE7600"/>
    <w:pPr>
      <w:pBdr>
        <w:top w:val="single" w:sz="4" w:space="0" w:color="FF0000"/>
        <w:lef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2">
    <w:name w:val="xl122"/>
    <w:basedOn w:val="Normal"/>
    <w:rsid w:val="00CE7600"/>
    <w:pPr>
      <w:pBdr>
        <w:top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3">
    <w:name w:val="xl123"/>
    <w:basedOn w:val="Normal"/>
    <w:rsid w:val="00CE7600"/>
    <w:pPr>
      <w:pBdr>
        <w:top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4">
    <w:name w:val="xl124"/>
    <w:basedOn w:val="Normal"/>
    <w:rsid w:val="00CE7600"/>
    <w:pPr>
      <w:pBdr>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5">
    <w:name w:val="xl125"/>
    <w:basedOn w:val="Normal"/>
    <w:rsid w:val="00CE7600"/>
    <w:pPr>
      <w:pBdr>
        <w:left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6">
    <w:name w:val="xl126"/>
    <w:basedOn w:val="Normal"/>
    <w:rsid w:val="00CE7600"/>
    <w:pPr>
      <w:pBdr>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7">
    <w:name w:val="xl127"/>
    <w:basedOn w:val="Normal"/>
    <w:rsid w:val="00CE7600"/>
    <w:pPr>
      <w:pBdr>
        <w:bottom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8">
    <w:name w:val="xl128"/>
    <w:basedOn w:val="Normal"/>
    <w:rsid w:val="00CE7600"/>
    <w:pPr>
      <w:pBdr>
        <w:top w:val="single" w:sz="4" w:space="0" w:color="FF0000"/>
        <w:left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9">
    <w:name w:val="xl129"/>
    <w:basedOn w:val="Normal"/>
    <w:rsid w:val="00CE7600"/>
    <w:pPr>
      <w:pBdr>
        <w:bottom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30">
    <w:name w:val="xl130"/>
    <w:basedOn w:val="Normal"/>
    <w:rsid w:val="00CE7600"/>
    <w:pPr>
      <w:shd w:val="clear" w:color="000000" w:fill="1F497D"/>
      <w:spacing w:before="100" w:beforeAutospacing="1" w:after="100" w:afterAutospacing="1" w:line="240" w:lineRule="auto"/>
      <w:textAlignment w:val="center"/>
    </w:pPr>
    <w:rPr>
      <w:rFonts w:ascii="Times New Roman" w:hAnsi="Times New Roman" w:cs="Times New Roman"/>
      <w:b/>
      <w:bCs/>
      <w:color w:val="FFFFFF"/>
      <w:sz w:val="24"/>
      <w:szCs w:val="24"/>
      <w:lang w:eastAsia="en-AU"/>
    </w:rPr>
  </w:style>
  <w:style w:type="paragraph" w:customStyle="1" w:styleId="xl131">
    <w:name w:val="xl131"/>
    <w:basedOn w:val="Normal"/>
    <w:rsid w:val="00CE7600"/>
    <w:pPr>
      <w:shd w:val="clear" w:color="000000" w:fill="1F497D"/>
      <w:spacing w:before="100" w:beforeAutospacing="1" w:after="100" w:afterAutospacing="1" w:line="240" w:lineRule="auto"/>
      <w:jc w:val="center"/>
      <w:textAlignment w:val="center"/>
    </w:pPr>
    <w:rPr>
      <w:rFonts w:ascii="Times New Roman" w:hAnsi="Times New Roman" w:cs="Times New Roman"/>
      <w:color w:val="FFFFFF"/>
      <w:sz w:val="24"/>
      <w:szCs w:val="24"/>
      <w:lang w:eastAsia="en-AU"/>
    </w:rPr>
  </w:style>
  <w:style w:type="paragraph" w:customStyle="1" w:styleId="xl132">
    <w:name w:val="xl132"/>
    <w:basedOn w:val="Normal"/>
    <w:rsid w:val="00CE7600"/>
    <w:pPr>
      <w:shd w:val="clear" w:color="000000" w:fill="F2F2F2"/>
      <w:spacing w:before="100" w:beforeAutospacing="1" w:after="100" w:afterAutospacing="1" w:line="240" w:lineRule="auto"/>
    </w:pPr>
    <w:rPr>
      <w:rFonts w:ascii="Times New Roman" w:hAnsi="Times New Roman" w:cs="Times New Roman"/>
      <w:color w:val="FFFFFF"/>
      <w:sz w:val="24"/>
      <w:szCs w:val="24"/>
      <w:lang w:eastAsia="en-AU"/>
    </w:rPr>
  </w:style>
  <w:style w:type="character" w:customStyle="1" w:styleId="response-question-title-text">
    <w:name w:val="response-question-title-text"/>
    <w:basedOn w:val="DefaultParagraphFont"/>
    <w:rsid w:val="00A01806"/>
  </w:style>
  <w:style w:type="character" w:customStyle="1" w:styleId="question-title">
    <w:name w:val="question-title"/>
    <w:basedOn w:val="DefaultParagraphFont"/>
    <w:rsid w:val="00A01806"/>
  </w:style>
  <w:style w:type="character" w:customStyle="1" w:styleId="pagedelimiter">
    <w:name w:val="page_delimiter"/>
    <w:basedOn w:val="DefaultParagraphFont"/>
    <w:rsid w:val="00A01806"/>
  </w:style>
  <w:style w:type="paragraph" w:customStyle="1" w:styleId="response-text">
    <w:name w:val="response-text"/>
    <w:basedOn w:val="Normal"/>
    <w:rsid w:val="00A01806"/>
    <w:pPr>
      <w:spacing w:before="100" w:beforeAutospacing="1" w:after="100" w:afterAutospacing="1" w:line="240" w:lineRule="auto"/>
    </w:pPr>
    <w:rPr>
      <w:rFonts w:ascii="Times New Roman" w:hAnsi="Times New Roman" w:cs="Times New Roman"/>
      <w:color w:val="auto"/>
      <w:sz w:val="24"/>
      <w:szCs w:val="24"/>
      <w:lang w:eastAsia="en-AU"/>
    </w:rPr>
  </w:style>
  <w:style w:type="table" w:customStyle="1" w:styleId="BETable11">
    <w:name w:val="BE Table 11"/>
    <w:basedOn w:val="TableNormal"/>
    <w:uiPriority w:val="99"/>
    <w:qFormat/>
    <w:rsid w:val="00BA18A9"/>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FootnoteTextChar">
    <w:name w:val="Footnote Text Char"/>
    <w:basedOn w:val="DefaultParagraphFont"/>
    <w:link w:val="FootnoteText"/>
    <w:uiPriority w:val="99"/>
    <w:semiHidden/>
    <w:rsid w:val="003746F8"/>
    <w:rPr>
      <w:rFonts w:cs="Arial"/>
      <w:color w:val="181818" w:themeColor="text1" w:themeTint="F2"/>
      <w:sz w:val="18"/>
      <w:szCs w:val="18"/>
      <w:lang w:eastAsia="en-US"/>
    </w:rPr>
  </w:style>
  <w:style w:type="character" w:styleId="EndnoteReference">
    <w:name w:val="endnote reference"/>
    <w:basedOn w:val="DefaultParagraphFont"/>
    <w:uiPriority w:val="99"/>
    <w:semiHidden/>
    <w:unhideWhenUsed/>
    <w:rsid w:val="003746F8"/>
    <w:rPr>
      <w:vertAlign w:val="superscript"/>
    </w:rPr>
  </w:style>
  <w:style w:type="table" w:customStyle="1" w:styleId="TableGrid1">
    <w:name w:val="Table Grid1"/>
    <w:basedOn w:val="TableNormal"/>
    <w:next w:val="TableGrid"/>
    <w:uiPriority w:val="59"/>
    <w:rsid w:val="003746F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4">
    <w:name w:val="Body Text 4"/>
    <w:basedOn w:val="Normal"/>
    <w:link w:val="BodyText4Char"/>
    <w:rsid w:val="003746F8"/>
    <w:pPr>
      <w:keepLines/>
      <w:spacing w:before="160" w:line="270" w:lineRule="exact"/>
      <w:jc w:val="both"/>
    </w:pPr>
    <w:rPr>
      <w:rFonts w:ascii="Times New Roman" w:hAnsi="Times New Roman" w:cs="Times New Roman"/>
      <w:b/>
      <w:bCs/>
      <w:color w:val="auto"/>
      <w:sz w:val="22"/>
      <w:szCs w:val="20"/>
    </w:rPr>
  </w:style>
  <w:style w:type="character" w:customStyle="1" w:styleId="BodyText4Char">
    <w:name w:val="Body Text 4 Char"/>
    <w:link w:val="BodyText4"/>
    <w:rsid w:val="003746F8"/>
    <w:rPr>
      <w:rFonts w:ascii="Times New Roman" w:hAnsi="Times New Roman"/>
      <w:b/>
      <w:bCs/>
      <w:sz w:val="22"/>
      <w:lang w:eastAsia="en-US"/>
    </w:rPr>
  </w:style>
  <w:style w:type="paragraph" w:customStyle="1" w:styleId="SRUTableHeading">
    <w:name w:val="SRU_Table_Heading"/>
    <w:basedOn w:val="Normal"/>
    <w:next w:val="Normal"/>
    <w:uiPriority w:val="99"/>
    <w:semiHidden/>
    <w:qFormat/>
    <w:rsid w:val="003746F8"/>
    <w:pPr>
      <w:numPr>
        <w:numId w:val="12"/>
      </w:numPr>
      <w:spacing w:before="60" w:after="60" w:line="240" w:lineRule="auto"/>
    </w:pPr>
    <w:rPr>
      <w:rFonts w:cs="Times New Roman"/>
      <w:color w:val="auto"/>
      <w:szCs w:val="20"/>
    </w:rPr>
  </w:style>
  <w:style w:type="paragraph" w:customStyle="1" w:styleId="TableText">
    <w:name w:val="_TableText"/>
    <w:basedOn w:val="Normal"/>
    <w:link w:val="TableTextChar"/>
    <w:qFormat/>
    <w:rsid w:val="003746F8"/>
    <w:pPr>
      <w:spacing w:before="60" w:after="60" w:line="240" w:lineRule="auto"/>
    </w:pPr>
    <w:rPr>
      <w:rFonts w:cs="Times New Roman"/>
      <w:color w:val="auto"/>
      <w:sz w:val="18"/>
      <w:szCs w:val="18"/>
    </w:rPr>
  </w:style>
  <w:style w:type="paragraph" w:customStyle="1" w:styleId="TableHeading">
    <w:name w:val="_TableHeading"/>
    <w:basedOn w:val="Normal"/>
    <w:link w:val="TableHeadingChar"/>
    <w:qFormat/>
    <w:rsid w:val="003746F8"/>
    <w:pPr>
      <w:keepNext/>
      <w:tabs>
        <w:tab w:val="left" w:pos="284"/>
      </w:tabs>
      <w:spacing w:before="60" w:after="60" w:line="240" w:lineRule="auto"/>
      <w:jc w:val="center"/>
    </w:pPr>
    <w:rPr>
      <w:rFonts w:cs="Times New Roman"/>
      <w:b/>
      <w:color w:val="auto"/>
      <w:szCs w:val="20"/>
    </w:rPr>
  </w:style>
  <w:style w:type="character" w:customStyle="1" w:styleId="TableHeadingChar">
    <w:name w:val="_TableHeading Char"/>
    <w:link w:val="TableHeading"/>
    <w:locked/>
    <w:rsid w:val="003746F8"/>
    <w:rPr>
      <w:b/>
      <w:lang w:eastAsia="en-US"/>
    </w:rPr>
  </w:style>
  <w:style w:type="character" w:customStyle="1" w:styleId="TableTextChar">
    <w:name w:val="_TableText Char"/>
    <w:link w:val="TableText"/>
    <w:locked/>
    <w:rsid w:val="003746F8"/>
    <w:rPr>
      <w:sz w:val="18"/>
      <w:szCs w:val="18"/>
      <w:lang w:eastAsia="en-US"/>
    </w:rPr>
  </w:style>
  <w:style w:type="paragraph" w:customStyle="1" w:styleId="RptTable-Heading">
    <w:name w:val="(Rpt) Table - Heading"/>
    <w:link w:val="RptTable-HeadingChar"/>
    <w:rsid w:val="003746F8"/>
    <w:pPr>
      <w:keepNext/>
      <w:tabs>
        <w:tab w:val="left" w:pos="1080"/>
      </w:tabs>
      <w:ind w:left="1080" w:hanging="1080"/>
    </w:pPr>
    <w:rPr>
      <w:rFonts w:ascii="Arial" w:hAnsi="Arial"/>
      <w:b/>
      <w:bCs/>
      <w:noProof/>
      <w:lang w:val="en-GB" w:eastAsia="en-US"/>
    </w:rPr>
  </w:style>
  <w:style w:type="character" w:customStyle="1" w:styleId="RptTable-HeadingChar">
    <w:name w:val="(Rpt) Table - Heading Char"/>
    <w:basedOn w:val="DefaultParagraphFont"/>
    <w:link w:val="RptTable-Heading"/>
    <w:rsid w:val="003746F8"/>
    <w:rPr>
      <w:rFonts w:ascii="Arial" w:hAnsi="Arial"/>
      <w:b/>
      <w:bCs/>
      <w:noProof/>
      <w:lang w:val="en-GB" w:eastAsia="en-US"/>
    </w:rPr>
  </w:style>
  <w:style w:type="paragraph" w:styleId="Revision">
    <w:name w:val="Revision"/>
    <w:hidden/>
    <w:uiPriority w:val="99"/>
    <w:semiHidden/>
    <w:rsid w:val="003746F8"/>
    <w:rPr>
      <w:rFonts w:cstheme="minorHAnsi"/>
      <w:color w:val="181818" w:themeColor="text1" w:themeTint="F2"/>
      <w:szCs w:val="22"/>
      <w:lang w:eastAsia="en-US"/>
    </w:rPr>
  </w:style>
  <w:style w:type="paragraph" w:styleId="ListBullet">
    <w:name w:val="List Bullet"/>
    <w:basedOn w:val="Normal"/>
    <w:unhideWhenUsed/>
    <w:rsid w:val="003746F8"/>
    <w:pPr>
      <w:numPr>
        <w:numId w:val="15"/>
      </w:numPr>
      <w:contextualSpacing/>
    </w:pPr>
  </w:style>
  <w:style w:type="character" w:customStyle="1" w:styleId="PointsBulletsSRUChar">
    <w:name w:val="_PointsBullets (SRU) Char"/>
    <w:basedOn w:val="DefaultParagraphFont"/>
    <w:link w:val="PointsBulletsSRU"/>
    <w:locked/>
    <w:rsid w:val="003746F8"/>
  </w:style>
  <w:style w:type="paragraph" w:customStyle="1" w:styleId="PointsBulletsSRU">
    <w:name w:val="_PointsBullets (SRU)"/>
    <w:basedOn w:val="Normal"/>
    <w:link w:val="PointsBulletsSRUChar"/>
    <w:rsid w:val="003746F8"/>
    <w:pPr>
      <w:keepNext/>
      <w:numPr>
        <w:numId w:val="16"/>
      </w:numPr>
      <w:spacing w:after="120" w:line="240" w:lineRule="auto"/>
    </w:pPr>
    <w:rPr>
      <w:rFonts w:cs="Times New Roman"/>
      <w:color w:val="auto"/>
      <w:szCs w:val="20"/>
      <w:lang w:eastAsia="en-AU"/>
    </w:rPr>
  </w:style>
  <w:style w:type="paragraph" w:customStyle="1" w:styleId="Level1">
    <w:name w:val="Level 1."/>
    <w:basedOn w:val="Normal"/>
    <w:next w:val="Normal"/>
    <w:rsid w:val="00A96A2F"/>
    <w:pPr>
      <w:numPr>
        <w:numId w:val="17"/>
      </w:numPr>
      <w:spacing w:before="240" w:line="240" w:lineRule="auto"/>
    </w:pPr>
    <w:rPr>
      <w:rFonts w:ascii="Palatino" w:hAnsi="Palatino" w:cs="Times New Roman"/>
      <w:color w:val="auto"/>
      <w:sz w:val="24"/>
      <w:szCs w:val="20"/>
    </w:rPr>
  </w:style>
  <w:style w:type="paragraph" w:customStyle="1" w:styleId="Level11">
    <w:name w:val="Level 1.1"/>
    <w:basedOn w:val="Normal"/>
    <w:next w:val="Normal"/>
    <w:rsid w:val="00A96A2F"/>
    <w:pPr>
      <w:numPr>
        <w:ilvl w:val="1"/>
        <w:numId w:val="17"/>
      </w:numPr>
      <w:spacing w:before="240" w:line="240" w:lineRule="auto"/>
    </w:pPr>
    <w:rPr>
      <w:rFonts w:ascii="Arial" w:hAnsi="Arial" w:cs="Times New Roman"/>
      <w:color w:val="auto"/>
      <w:sz w:val="24"/>
      <w:szCs w:val="20"/>
    </w:rPr>
  </w:style>
  <w:style w:type="paragraph" w:customStyle="1" w:styleId="Levela">
    <w:name w:val="Level (a)"/>
    <w:basedOn w:val="Normal"/>
    <w:next w:val="Normal"/>
    <w:rsid w:val="00A96A2F"/>
    <w:pPr>
      <w:numPr>
        <w:ilvl w:val="2"/>
        <w:numId w:val="17"/>
      </w:numPr>
      <w:spacing w:before="240" w:line="240" w:lineRule="auto"/>
    </w:pPr>
    <w:rPr>
      <w:rFonts w:ascii="Palatino" w:hAnsi="Palatino" w:cs="Times New Roman"/>
      <w:color w:val="auto"/>
      <w:sz w:val="24"/>
      <w:szCs w:val="20"/>
    </w:rPr>
  </w:style>
  <w:style w:type="paragraph" w:customStyle="1" w:styleId="Leveli">
    <w:name w:val="Level (i)"/>
    <w:basedOn w:val="Normal"/>
    <w:next w:val="Normal"/>
    <w:rsid w:val="00A96A2F"/>
    <w:pPr>
      <w:numPr>
        <w:ilvl w:val="3"/>
        <w:numId w:val="17"/>
      </w:numPr>
      <w:spacing w:before="240" w:line="240" w:lineRule="auto"/>
    </w:pPr>
    <w:rPr>
      <w:rFonts w:ascii="Palatino" w:hAnsi="Palatino" w:cs="Times New Roman"/>
      <w:color w:val="auto"/>
      <w:sz w:val="24"/>
      <w:szCs w:val="20"/>
    </w:rPr>
  </w:style>
  <w:style w:type="paragraph" w:customStyle="1" w:styleId="LevelA0">
    <w:name w:val="Level(A)"/>
    <w:basedOn w:val="Normal"/>
    <w:next w:val="Normal"/>
    <w:rsid w:val="00A96A2F"/>
    <w:pPr>
      <w:numPr>
        <w:ilvl w:val="4"/>
        <w:numId w:val="17"/>
      </w:numPr>
      <w:spacing w:before="240" w:line="240" w:lineRule="auto"/>
    </w:pPr>
    <w:rPr>
      <w:rFonts w:ascii="Palatino" w:hAnsi="Palatino" w:cs="Times New Roman"/>
      <w:color w:val="auto"/>
      <w:sz w:val="24"/>
      <w:szCs w:val="20"/>
    </w:rPr>
  </w:style>
  <w:style w:type="paragraph" w:customStyle="1" w:styleId="LevelI0">
    <w:name w:val="Level(I)"/>
    <w:basedOn w:val="Normal"/>
    <w:next w:val="Normal"/>
    <w:rsid w:val="00A96A2F"/>
    <w:pPr>
      <w:numPr>
        <w:ilvl w:val="5"/>
        <w:numId w:val="17"/>
      </w:numPr>
      <w:spacing w:before="240" w:line="240" w:lineRule="auto"/>
    </w:pPr>
    <w:rPr>
      <w:rFonts w:ascii="Palatino" w:hAnsi="Palatino" w:cs="Times New Roman"/>
      <w:color w:val="auto"/>
      <w:sz w:val="24"/>
      <w:szCs w:val="20"/>
    </w:rPr>
  </w:style>
  <w:style w:type="paragraph" w:styleId="NormalIndent">
    <w:name w:val="Normal Indent"/>
    <w:basedOn w:val="Normal"/>
    <w:rsid w:val="006124FA"/>
    <w:pPr>
      <w:spacing w:line="240" w:lineRule="auto"/>
      <w:ind w:left="567"/>
      <w:jc w:val="both"/>
    </w:pPr>
    <w:rPr>
      <w:rFonts w:ascii="Times New Roman" w:hAnsi="Times New Roman" w:cs="Times New Roman"/>
      <w:color w:val="auto"/>
      <w:sz w:val="24"/>
      <w:szCs w:val="20"/>
    </w:rPr>
  </w:style>
  <w:style w:type="table" w:customStyle="1" w:styleId="TableGrid2">
    <w:name w:val="Table Grid2"/>
    <w:basedOn w:val="TableNormal"/>
    <w:next w:val="TableGrid"/>
    <w:uiPriority w:val="39"/>
    <w:rsid w:val="000F2166"/>
    <w:pPr>
      <w:spacing w:before="120" w:after="120" w:line="36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F32DC6"/>
    <w:rPr>
      <w:rFonts w:ascii="Arial Rounded MT Bold" w:hAnsi="Arial Rounded MT Bold" w:cs="Arial"/>
      <w:color w:val="0000FF"/>
      <w:sz w:val="22"/>
      <w:szCs w:val="22"/>
      <w:lang w:eastAsia="en-US"/>
    </w:rPr>
  </w:style>
  <w:style w:type="numbering" w:customStyle="1" w:styleId="NoList1">
    <w:name w:val="No List1"/>
    <w:next w:val="NoList"/>
    <w:uiPriority w:val="99"/>
    <w:semiHidden/>
    <w:unhideWhenUsed/>
    <w:rsid w:val="00464591"/>
  </w:style>
  <w:style w:type="table" w:customStyle="1" w:styleId="TableGrid3">
    <w:name w:val="Table Grid3"/>
    <w:basedOn w:val="TableNormal"/>
    <w:next w:val="TableGrid"/>
    <w:uiPriority w:val="59"/>
    <w:rsid w:val="004645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31">
    <w:name w:val="Table List 31"/>
    <w:basedOn w:val="TableNormal"/>
    <w:next w:val="TableList3"/>
    <w:rsid w:val="0046459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BETable12">
    <w:name w:val="BE Table 12"/>
    <w:basedOn w:val="TableNormal"/>
    <w:uiPriority w:val="99"/>
    <w:qFormat/>
    <w:rsid w:val="00464591"/>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table" w:customStyle="1" w:styleId="BETable21">
    <w:name w:val="BE Table 21"/>
    <w:basedOn w:val="BETable1"/>
    <w:uiPriority w:val="99"/>
    <w:qFormat/>
    <w:rsid w:val="00464591"/>
    <w:tblPr>
      <w:tblInd w:w="57" w:type="dxa"/>
      <w:tblBorders>
        <w:left w:val="single" w:sz="4" w:space="0" w:color="7F7F7F" w:themeColor="background2"/>
        <w:bottom w:val="single" w:sz="4" w:space="0" w:color="7F7F7F" w:themeColor="background2"/>
        <w:right w:val="single" w:sz="4" w:space="0" w:color="7F7F7F" w:themeColor="background2"/>
      </w:tblBorders>
      <w:tblCellMar>
        <w:top w:w="28" w:type="dxa"/>
        <w:left w:w="57" w:type="dxa"/>
        <w:bottom w:w="28" w:type="dxa"/>
        <w:right w:w="57"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table" w:customStyle="1" w:styleId="BETable111">
    <w:name w:val="BE Table 111"/>
    <w:basedOn w:val="TableNormal"/>
    <w:uiPriority w:val="99"/>
    <w:qFormat/>
    <w:rsid w:val="00464591"/>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table" w:customStyle="1" w:styleId="TableGrid11">
    <w:name w:val="Table Grid11"/>
    <w:basedOn w:val="TableNormal"/>
    <w:next w:val="TableGrid"/>
    <w:uiPriority w:val="59"/>
    <w:rsid w:val="004645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64591"/>
    <w:pPr>
      <w:spacing w:before="120" w:after="120" w:line="36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0" w:defSemiHidden="1" w:defUnhideWhenUsed="1" w:defQFormat="0" w:count="267">
    <w:lsdException w:name="Normal" w:semiHidden="0" w:uiPriority="2"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unhideWhenUsed="0" w:qFormat="1"/>
    <w:lsdException w:name="heading 6"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footer" w:uiPriority="3"/>
    <w:lsdException w:name="caption" w:uiPriority="35" w:qFormat="1"/>
    <w:lsdException w:name="table of figures" w:uiPriority="99"/>
    <w:lsdException w:name="endnote reference" w:uiPriority="99"/>
    <w:lsdException w:name="toa heading" w:uiPriority="4"/>
    <w:lsdException w:name="List Number" w:semiHidden="0" w:uiPriority="1" w:unhideWhenUsed="0" w:qFormat="1"/>
    <w:lsdException w:name="List 4" w:unhideWhenUsed="0"/>
    <w:lsdException w:name="List 5" w:unhideWhenUsed="0"/>
    <w:lsdException w:name="List Number 2" w:uiPriority="1" w:qFormat="1"/>
    <w:lsdException w:name="List Number 3" w:uiPriority="1" w:qFormat="1"/>
    <w:lsdException w:name="Title" w:semiHidden="0" w:unhideWhenUsed="0" w:qFormat="1"/>
    <w:lsdException w:name="Body Text" w:qFormat="1"/>
    <w:lsdException w:name="Subtitle" w:semiHidden="0" w:unhideWhenUsed="0" w:qFormat="1"/>
    <w:lsdException w:name="Salutation" w:unhideWhenUsed="0"/>
    <w:lsdException w:name="Date" w:unhideWhenUsed="0"/>
    <w:lsdException w:name="Body Text First Indent"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2"/>
    <w:rsid w:val="00395C9B"/>
    <w:pPr>
      <w:spacing w:line="260" w:lineRule="atLeast"/>
    </w:pPr>
    <w:rPr>
      <w:rFonts w:cstheme="minorHAnsi"/>
      <w:color w:val="181818" w:themeColor="text1" w:themeTint="F2"/>
      <w:szCs w:val="22"/>
      <w:lang w:eastAsia="en-US"/>
    </w:rPr>
  </w:style>
  <w:style w:type="paragraph" w:styleId="Heading1">
    <w:name w:val="heading 1"/>
    <w:next w:val="BodyText"/>
    <w:qFormat/>
    <w:rsid w:val="009C4CFE"/>
    <w:pPr>
      <w:numPr>
        <w:numId w:val="5"/>
      </w:numPr>
      <w:spacing w:after="360"/>
      <w:outlineLvl w:val="0"/>
    </w:pPr>
    <w:rPr>
      <w:rFonts w:ascii="Arial Rounded MT Bold" w:hAnsi="Arial Rounded MT Bold" w:cs="Arial"/>
      <w:color w:val="0000FF"/>
      <w:sz w:val="36"/>
      <w:szCs w:val="36"/>
      <w:lang w:eastAsia="en-US"/>
    </w:rPr>
  </w:style>
  <w:style w:type="paragraph" w:styleId="Heading2">
    <w:name w:val="heading 2"/>
    <w:next w:val="BodyText"/>
    <w:qFormat/>
    <w:rsid w:val="000143BC"/>
    <w:pPr>
      <w:numPr>
        <w:ilvl w:val="1"/>
        <w:numId w:val="5"/>
      </w:numPr>
      <w:spacing w:before="120" w:after="240"/>
      <w:outlineLvl w:val="1"/>
    </w:pPr>
    <w:rPr>
      <w:rFonts w:ascii="Arial Rounded MT Bold" w:hAnsi="Arial Rounded MT Bold" w:cs="Arial"/>
      <w:color w:val="0000FF"/>
      <w:sz w:val="28"/>
      <w:szCs w:val="28"/>
      <w:lang w:eastAsia="en-US"/>
    </w:rPr>
  </w:style>
  <w:style w:type="paragraph" w:styleId="Heading3">
    <w:name w:val="heading 3"/>
    <w:next w:val="BodyText"/>
    <w:link w:val="Heading3Char"/>
    <w:qFormat/>
    <w:rsid w:val="005B4280"/>
    <w:pPr>
      <w:spacing w:after="120"/>
      <w:outlineLvl w:val="2"/>
    </w:pPr>
    <w:rPr>
      <w:rFonts w:ascii="Arial Rounded MT Bold" w:hAnsi="Arial Rounded MT Bold" w:cs="Arial"/>
      <w:color w:val="0000FF"/>
      <w:sz w:val="22"/>
      <w:szCs w:val="22"/>
      <w:lang w:eastAsia="en-US"/>
    </w:rPr>
  </w:style>
  <w:style w:type="paragraph" w:styleId="Heading4">
    <w:name w:val="heading 4"/>
    <w:basedOn w:val="Normal"/>
    <w:next w:val="Normal"/>
    <w:semiHidden/>
    <w:rsid w:val="004D4E9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6A5B"/>
    <w:pPr>
      <w:tabs>
        <w:tab w:val="center" w:pos="4320"/>
        <w:tab w:val="right" w:pos="8640"/>
      </w:tabs>
    </w:pPr>
  </w:style>
  <w:style w:type="paragraph" w:styleId="Footer">
    <w:name w:val="footer"/>
    <w:link w:val="FooterChar"/>
    <w:uiPriority w:val="3"/>
    <w:rsid w:val="00186C62"/>
    <w:pPr>
      <w:pBdr>
        <w:top w:val="single" w:sz="4" w:space="1" w:color="808080" w:themeColor="background1" w:themeShade="80"/>
      </w:pBdr>
      <w:tabs>
        <w:tab w:val="center" w:pos="4678"/>
        <w:tab w:val="right" w:pos="9356"/>
      </w:tabs>
    </w:pPr>
    <w:rPr>
      <w:rFonts w:cstheme="minorHAnsi"/>
      <w:color w:val="858585" w:themeColor="text1" w:themeTint="80"/>
      <w:sz w:val="16"/>
      <w:szCs w:val="22"/>
      <w:lang w:eastAsia="en-US"/>
    </w:rPr>
  </w:style>
  <w:style w:type="character" w:styleId="PageNumber">
    <w:name w:val="page number"/>
    <w:basedOn w:val="DefaultParagraphFont"/>
    <w:rsid w:val="007F6A5B"/>
  </w:style>
  <w:style w:type="table" w:styleId="TableGrid">
    <w:name w:val="Table Grid"/>
    <w:basedOn w:val="TableNormal"/>
    <w:uiPriority w:val="59"/>
    <w:rsid w:val="004D0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qFormat/>
    <w:rsid w:val="00DF7285"/>
    <w:pPr>
      <w:spacing w:after="60" w:line="180" w:lineRule="exact"/>
    </w:pPr>
    <w:rPr>
      <w:rFonts w:cs="Arial"/>
      <w:sz w:val="18"/>
      <w:szCs w:val="18"/>
    </w:rPr>
  </w:style>
  <w:style w:type="character" w:styleId="FootnoteReference">
    <w:name w:val="footnote reference"/>
    <w:basedOn w:val="DefaultParagraphFont"/>
    <w:semiHidden/>
    <w:rsid w:val="005E6D4D"/>
    <w:rPr>
      <w:vertAlign w:val="superscript"/>
    </w:rPr>
  </w:style>
  <w:style w:type="character" w:styleId="Hyperlink">
    <w:name w:val="Hyperlink"/>
    <w:basedOn w:val="DefaultParagraphFont"/>
    <w:uiPriority w:val="99"/>
    <w:rsid w:val="00AA0BB6"/>
    <w:rPr>
      <w:color w:val="0000FF"/>
      <w:u w:val="single"/>
    </w:rPr>
  </w:style>
  <w:style w:type="paragraph" w:styleId="BodyTextIndent">
    <w:name w:val="Body Text Indent"/>
    <w:basedOn w:val="Normal"/>
    <w:link w:val="BodyTextIndentChar"/>
    <w:semiHidden/>
    <w:rsid w:val="00BF6EBA"/>
    <w:pPr>
      <w:tabs>
        <w:tab w:val="left" w:pos="1134"/>
      </w:tabs>
      <w:suppressAutoHyphens/>
      <w:overflowPunct w:val="0"/>
      <w:autoSpaceDE w:val="0"/>
      <w:autoSpaceDN w:val="0"/>
      <w:adjustRightInd w:val="0"/>
      <w:spacing w:before="120"/>
      <w:ind w:left="1134" w:hanging="1134"/>
      <w:jc w:val="both"/>
      <w:textAlignment w:val="baseline"/>
    </w:pPr>
    <w:rPr>
      <w:rFonts w:ascii="Century Schoolbook" w:hAnsi="Century Schoolbook"/>
      <w:spacing w:val="-3"/>
      <w:szCs w:val="20"/>
    </w:rPr>
  </w:style>
  <w:style w:type="paragraph" w:styleId="BodyText">
    <w:name w:val="Body Text"/>
    <w:link w:val="BodyTextChar"/>
    <w:qFormat/>
    <w:rsid w:val="001008D3"/>
    <w:rPr>
      <w:rFonts w:cstheme="minorHAnsi"/>
      <w:color w:val="080808"/>
      <w:sz w:val="22"/>
      <w:szCs w:val="22"/>
      <w:lang w:eastAsia="en-US"/>
    </w:rPr>
  </w:style>
  <w:style w:type="paragraph" w:customStyle="1" w:styleId="AppendixSection">
    <w:name w:val="Appendix Section"/>
    <w:basedOn w:val="Normal"/>
    <w:rsid w:val="003E1885"/>
    <w:pPr>
      <w:spacing w:line="240" w:lineRule="auto"/>
      <w:jc w:val="both"/>
    </w:pPr>
    <w:rPr>
      <w:rFonts w:ascii="Arial Rounded MT Bold" w:hAnsi="Arial Rounded MT Bold"/>
      <w:color w:val="0000FF" w:themeColor="text2"/>
      <w:sz w:val="36"/>
      <w:szCs w:val="36"/>
    </w:rPr>
  </w:style>
  <w:style w:type="paragraph" w:styleId="BodyTextIndent2">
    <w:name w:val="Body Text Indent 2"/>
    <w:basedOn w:val="Normal"/>
    <w:semiHidden/>
    <w:rsid w:val="004D4E94"/>
    <w:pPr>
      <w:spacing w:after="120" w:line="480" w:lineRule="auto"/>
      <w:ind w:left="283"/>
    </w:pPr>
  </w:style>
  <w:style w:type="paragraph" w:styleId="Caption">
    <w:name w:val="caption"/>
    <w:aliases w:val="Tabelle"/>
    <w:basedOn w:val="Normal"/>
    <w:next w:val="Normal"/>
    <w:uiPriority w:val="35"/>
    <w:qFormat/>
    <w:rsid w:val="004D4E94"/>
    <w:pPr>
      <w:ind w:left="360"/>
    </w:pPr>
    <w:rPr>
      <w:rFonts w:ascii="Arial" w:hAnsi="Arial" w:cs="Arial"/>
      <w:i/>
      <w:iCs/>
      <w:sz w:val="18"/>
      <w:szCs w:val="20"/>
    </w:rPr>
  </w:style>
  <w:style w:type="table" w:styleId="TableList3">
    <w:name w:val="Table List 3"/>
    <w:basedOn w:val="TableNormal"/>
    <w:rsid w:val="004D0F1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F810CB"/>
    <w:pPr>
      <w:pageBreakBefore/>
      <w:spacing w:after="3840"/>
    </w:pPr>
    <w:rPr>
      <w:rFonts w:asciiTheme="minorHAnsi" w:hAnsiTheme="minorHAnsi" w:cs="Arial"/>
      <w:color w:val="0C0C0C" w:themeColor="text1"/>
      <w:szCs w:val="36"/>
      <w:lang w:eastAsia="en-US"/>
    </w:rPr>
  </w:style>
  <w:style w:type="character" w:styleId="FollowedHyperlink">
    <w:name w:val="FollowedHyperlink"/>
    <w:basedOn w:val="DefaultParagraphFont"/>
    <w:uiPriority w:val="99"/>
    <w:rsid w:val="000E6CE3"/>
    <w:rPr>
      <w:color w:val="800080"/>
      <w:u w:val="single"/>
    </w:rPr>
  </w:style>
  <w:style w:type="paragraph" w:styleId="TOC1">
    <w:name w:val="toc 1"/>
    <w:next w:val="Normal"/>
    <w:autoRedefine/>
    <w:uiPriority w:val="39"/>
    <w:qFormat/>
    <w:rsid w:val="00F82278"/>
    <w:pPr>
      <w:tabs>
        <w:tab w:val="right" w:leader="dot" w:pos="9346"/>
      </w:tabs>
      <w:spacing w:before="120" w:after="120"/>
      <w:ind w:left="567" w:hanging="567"/>
    </w:pPr>
    <w:rPr>
      <w:rFonts w:cstheme="minorHAnsi"/>
      <w:b/>
      <w:bCs/>
      <w:noProof/>
      <w:color w:val="181818" w:themeColor="text1" w:themeTint="F2"/>
      <w:sz w:val="24"/>
      <w:lang w:eastAsia="en-US"/>
    </w:rPr>
  </w:style>
  <w:style w:type="paragraph" w:styleId="TOC2">
    <w:name w:val="toc 2"/>
    <w:basedOn w:val="Normal"/>
    <w:next w:val="Normal"/>
    <w:autoRedefine/>
    <w:uiPriority w:val="39"/>
    <w:qFormat/>
    <w:rsid w:val="00DC7CD4"/>
    <w:pPr>
      <w:tabs>
        <w:tab w:val="right" w:leader="dot" w:pos="9346"/>
      </w:tabs>
      <w:ind w:left="1134" w:hanging="567"/>
    </w:pPr>
    <w:rPr>
      <w:noProof/>
      <w:sz w:val="22"/>
      <w:szCs w:val="20"/>
    </w:rPr>
  </w:style>
  <w:style w:type="paragraph" w:styleId="TOC3">
    <w:name w:val="toc 3"/>
    <w:basedOn w:val="Normal"/>
    <w:next w:val="Normal"/>
    <w:autoRedefine/>
    <w:uiPriority w:val="39"/>
    <w:semiHidden/>
    <w:rsid w:val="009014A7"/>
    <w:pPr>
      <w:ind w:left="480"/>
    </w:pPr>
    <w:rPr>
      <w:i/>
      <w:iCs/>
      <w:szCs w:val="20"/>
    </w:rPr>
  </w:style>
  <w:style w:type="paragraph" w:styleId="TOC4">
    <w:name w:val="toc 4"/>
    <w:basedOn w:val="Normal"/>
    <w:next w:val="Normal"/>
    <w:autoRedefine/>
    <w:semiHidden/>
    <w:rsid w:val="009014A7"/>
    <w:pPr>
      <w:ind w:left="720"/>
    </w:pPr>
    <w:rPr>
      <w:sz w:val="18"/>
      <w:szCs w:val="18"/>
    </w:rPr>
  </w:style>
  <w:style w:type="paragraph" w:styleId="TOC5">
    <w:name w:val="toc 5"/>
    <w:basedOn w:val="Normal"/>
    <w:next w:val="Normal"/>
    <w:autoRedefine/>
    <w:semiHidden/>
    <w:rsid w:val="009014A7"/>
    <w:pPr>
      <w:ind w:left="960"/>
    </w:pPr>
    <w:rPr>
      <w:sz w:val="18"/>
      <w:szCs w:val="18"/>
    </w:rPr>
  </w:style>
  <w:style w:type="paragraph" w:styleId="TOC6">
    <w:name w:val="toc 6"/>
    <w:basedOn w:val="Normal"/>
    <w:next w:val="Normal"/>
    <w:autoRedefine/>
    <w:semiHidden/>
    <w:rsid w:val="009014A7"/>
    <w:pPr>
      <w:ind w:left="1200"/>
    </w:pPr>
    <w:rPr>
      <w:sz w:val="18"/>
      <w:szCs w:val="18"/>
    </w:rPr>
  </w:style>
  <w:style w:type="paragraph" w:styleId="TOC7">
    <w:name w:val="toc 7"/>
    <w:basedOn w:val="Normal"/>
    <w:next w:val="Normal"/>
    <w:autoRedefine/>
    <w:semiHidden/>
    <w:rsid w:val="009014A7"/>
    <w:pPr>
      <w:ind w:left="1440"/>
    </w:pPr>
    <w:rPr>
      <w:sz w:val="18"/>
      <w:szCs w:val="18"/>
    </w:rPr>
  </w:style>
  <w:style w:type="paragraph" w:styleId="TOC8">
    <w:name w:val="toc 8"/>
    <w:basedOn w:val="Normal"/>
    <w:next w:val="Normal"/>
    <w:autoRedefine/>
    <w:semiHidden/>
    <w:rsid w:val="009014A7"/>
    <w:pPr>
      <w:ind w:left="1680"/>
    </w:pPr>
    <w:rPr>
      <w:sz w:val="18"/>
      <w:szCs w:val="18"/>
    </w:rPr>
  </w:style>
  <w:style w:type="paragraph" w:styleId="TOC9">
    <w:name w:val="toc 9"/>
    <w:basedOn w:val="Normal"/>
    <w:next w:val="Normal"/>
    <w:autoRedefine/>
    <w:semiHidden/>
    <w:rsid w:val="009014A7"/>
    <w:pPr>
      <w:ind w:left="1920"/>
    </w:pPr>
    <w:rPr>
      <w:sz w:val="18"/>
      <w:szCs w:val="18"/>
    </w:rPr>
  </w:style>
  <w:style w:type="paragraph" w:styleId="NormalWeb">
    <w:name w:val="Normal (Web)"/>
    <w:basedOn w:val="Normal"/>
    <w:uiPriority w:val="99"/>
    <w:semiHidden/>
    <w:rsid w:val="009A1D53"/>
    <w:pPr>
      <w:spacing w:before="100" w:beforeAutospacing="1" w:after="100" w:afterAutospacing="1"/>
    </w:pPr>
  </w:style>
  <w:style w:type="paragraph" w:customStyle="1" w:styleId="Tables">
    <w:name w:val="Tables"/>
    <w:basedOn w:val="Normal"/>
    <w:semiHidden/>
    <w:qFormat/>
    <w:rsid w:val="004801BA"/>
    <w:pPr>
      <w:tabs>
        <w:tab w:val="left" w:pos="2835"/>
      </w:tabs>
      <w:spacing w:after="120"/>
      <w:ind w:left="1395" w:hanging="1395"/>
    </w:pPr>
    <w:rPr>
      <w:rFonts w:ascii="Arial" w:hAnsi="Arial"/>
      <w:b/>
      <w:color w:val="0000FF"/>
      <w:szCs w:val="20"/>
    </w:rPr>
  </w:style>
  <w:style w:type="paragraph" w:customStyle="1" w:styleId="Figures">
    <w:name w:val="Figures"/>
    <w:basedOn w:val="Tables"/>
    <w:autoRedefine/>
    <w:uiPriority w:val="2"/>
    <w:rsid w:val="00655F62"/>
    <w:pPr>
      <w:tabs>
        <w:tab w:val="clear" w:pos="2835"/>
      </w:tabs>
      <w:ind w:left="992" w:right="-142" w:hanging="992"/>
    </w:pPr>
    <w:rPr>
      <w:rFonts w:asciiTheme="minorHAnsi" w:hAnsiTheme="minorHAnsi" w:cs="Calibri"/>
      <w:sz w:val="22"/>
      <w:szCs w:val="22"/>
    </w:rPr>
  </w:style>
  <w:style w:type="paragraph" w:styleId="TableofFigures">
    <w:name w:val="table of figures"/>
    <w:basedOn w:val="Normal"/>
    <w:next w:val="Normal"/>
    <w:autoRedefine/>
    <w:uiPriority w:val="99"/>
    <w:rsid w:val="00702140"/>
    <w:pPr>
      <w:tabs>
        <w:tab w:val="left" w:pos="1134"/>
        <w:tab w:val="right" w:leader="dot" w:pos="9356"/>
      </w:tabs>
      <w:ind w:left="1134" w:right="425" w:hanging="1134"/>
    </w:pPr>
    <w:rPr>
      <w:rFonts w:asciiTheme="minorHAnsi" w:hAnsiTheme="minorHAnsi"/>
      <w:noProof/>
      <w:color w:val="0C0C0C" w:themeColor="text1"/>
      <w:sz w:val="22"/>
      <w:szCs w:val="20"/>
    </w:rPr>
  </w:style>
  <w:style w:type="paragraph" w:styleId="BalloonText">
    <w:name w:val="Balloon Text"/>
    <w:basedOn w:val="Normal"/>
    <w:link w:val="BalloonTextChar"/>
    <w:semiHidden/>
    <w:rsid w:val="00980BE0"/>
    <w:rPr>
      <w:rFonts w:ascii="Tahoma" w:hAnsi="Tahoma" w:cs="Tahoma"/>
      <w:sz w:val="16"/>
      <w:szCs w:val="16"/>
    </w:rPr>
  </w:style>
  <w:style w:type="character" w:customStyle="1" w:styleId="BalloonTextChar">
    <w:name w:val="Balloon Text Char"/>
    <w:basedOn w:val="DefaultParagraphFont"/>
    <w:link w:val="BalloonText"/>
    <w:semiHidden/>
    <w:rsid w:val="00F5599D"/>
    <w:rPr>
      <w:rFonts w:ascii="Tahoma" w:hAnsi="Tahoma" w:cs="Tahoma"/>
      <w:color w:val="181818" w:themeColor="text1" w:themeTint="F2"/>
      <w:sz w:val="16"/>
      <w:szCs w:val="16"/>
      <w:lang w:eastAsia="en-US"/>
    </w:rPr>
  </w:style>
  <w:style w:type="paragraph" w:styleId="Title">
    <w:name w:val="Title"/>
    <w:basedOn w:val="Normal"/>
    <w:next w:val="Normal"/>
    <w:link w:val="TitleChar"/>
    <w:semiHidden/>
    <w:qFormat/>
    <w:rsid w:val="00114CB5"/>
    <w:pPr>
      <w:pBdr>
        <w:bottom w:val="single" w:sz="4" w:space="1" w:color="0000FF"/>
      </w:pBdr>
      <w:spacing w:before="1240" w:line="240" w:lineRule="auto"/>
    </w:pPr>
    <w:rPr>
      <w:rFonts w:ascii="Arial Rounded MT Bold" w:hAnsi="Arial Rounded MT Bold" w:cs="Arial"/>
      <w:b/>
      <w:color w:val="0000FF"/>
      <w:sz w:val="40"/>
      <w:szCs w:val="48"/>
    </w:rPr>
  </w:style>
  <w:style w:type="character" w:customStyle="1" w:styleId="BodyTextChar">
    <w:name w:val="Body Text Char"/>
    <w:basedOn w:val="DefaultParagraphFont"/>
    <w:link w:val="BodyText"/>
    <w:rsid w:val="001008D3"/>
    <w:rPr>
      <w:rFonts w:cstheme="minorHAnsi"/>
      <w:color w:val="080808"/>
      <w:sz w:val="22"/>
      <w:szCs w:val="22"/>
      <w:lang w:eastAsia="en-US"/>
    </w:rPr>
  </w:style>
  <w:style w:type="character" w:customStyle="1" w:styleId="BodyTextIndentChar">
    <w:name w:val="Body Text Indent Char"/>
    <w:basedOn w:val="DefaultParagraphFont"/>
    <w:link w:val="BodyTextIndent"/>
    <w:semiHidden/>
    <w:rsid w:val="00F5599D"/>
    <w:rPr>
      <w:rFonts w:ascii="Century Schoolbook" w:hAnsi="Century Schoolbook" w:cstheme="minorHAnsi"/>
      <w:color w:val="181818" w:themeColor="text1" w:themeTint="F2"/>
      <w:spacing w:val="-3"/>
      <w:lang w:eastAsia="en-US"/>
    </w:rPr>
  </w:style>
  <w:style w:type="character" w:customStyle="1" w:styleId="TitleChar">
    <w:name w:val="Title Char"/>
    <w:basedOn w:val="DefaultParagraphFont"/>
    <w:link w:val="Title"/>
    <w:semiHidden/>
    <w:rsid w:val="00114CB5"/>
    <w:rPr>
      <w:rFonts w:ascii="Arial Rounded MT Bold" w:hAnsi="Arial Rounded MT Bold" w:cs="Arial"/>
      <w:b/>
      <w:color w:val="0000FF"/>
      <w:sz w:val="40"/>
      <w:szCs w:val="48"/>
      <w:lang w:eastAsia="en-US"/>
    </w:rPr>
  </w:style>
  <w:style w:type="paragraph" w:customStyle="1" w:styleId="Titlepagetext">
    <w:name w:val="Title page text"/>
    <w:basedOn w:val="Normal"/>
    <w:link w:val="TitlepagetextChar"/>
    <w:semiHidden/>
    <w:qFormat/>
    <w:rsid w:val="00EC5FB9"/>
    <w:pPr>
      <w:spacing w:before="2280" w:line="240" w:lineRule="auto"/>
    </w:pPr>
    <w:rPr>
      <w:rFonts w:ascii="Arial Rounded MT Bold" w:hAnsi="Arial Rounded MT Bold" w:cs="Arial"/>
      <w:b/>
      <w:color w:val="0000FF"/>
      <w:szCs w:val="20"/>
    </w:rPr>
  </w:style>
  <w:style w:type="paragraph" w:styleId="Subtitle">
    <w:name w:val="Subtitle"/>
    <w:basedOn w:val="Normal"/>
    <w:next w:val="Normal"/>
    <w:link w:val="SubtitleChar"/>
    <w:semiHidden/>
    <w:qFormat/>
    <w:rsid w:val="00D76756"/>
    <w:pPr>
      <w:spacing w:after="4320" w:line="240" w:lineRule="auto"/>
    </w:pPr>
    <w:rPr>
      <w:rFonts w:ascii="Arial Rounded MT Bold" w:hAnsi="Arial Rounded MT Bold" w:cs="Arial"/>
      <w:b/>
      <w:color w:val="0000FF"/>
      <w:sz w:val="36"/>
      <w:szCs w:val="36"/>
    </w:rPr>
  </w:style>
  <w:style w:type="character" w:customStyle="1" w:styleId="TitlepagetextChar">
    <w:name w:val="Title page text Char"/>
    <w:basedOn w:val="DefaultParagraphFont"/>
    <w:link w:val="Titlepagetext"/>
    <w:semiHidden/>
    <w:rsid w:val="00EC5FB9"/>
    <w:rPr>
      <w:rFonts w:ascii="Arial Rounded MT Bold" w:hAnsi="Arial Rounded MT Bold" w:cs="Arial"/>
      <w:b/>
      <w:color w:val="0000FF"/>
      <w:lang w:eastAsia="en-US"/>
    </w:rPr>
  </w:style>
  <w:style w:type="character" w:customStyle="1" w:styleId="SubtitleChar">
    <w:name w:val="Subtitle Char"/>
    <w:basedOn w:val="DefaultParagraphFont"/>
    <w:link w:val="Subtitle"/>
    <w:semiHidden/>
    <w:rsid w:val="00F5599D"/>
    <w:rPr>
      <w:rFonts w:ascii="Arial Rounded MT Bold" w:hAnsi="Arial Rounded MT Bold" w:cs="Arial"/>
      <w:b/>
      <w:color w:val="0000FF"/>
      <w:sz w:val="36"/>
      <w:szCs w:val="36"/>
      <w:lang w:eastAsia="en-US"/>
    </w:rPr>
  </w:style>
  <w:style w:type="paragraph" w:customStyle="1" w:styleId="Subsubtitle">
    <w:name w:val="Subsubtitle"/>
    <w:link w:val="SubsubtitleChar"/>
    <w:semiHidden/>
    <w:qFormat/>
    <w:rsid w:val="00186C62"/>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2A08D1"/>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186C62"/>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F5599D"/>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E82ECD"/>
    <w:pPr>
      <w:jc w:val="right"/>
    </w:pPr>
    <w:rPr>
      <w:rFonts w:ascii="Arial Rounded MT Bold" w:hAnsi="Arial Rounded MT Bold"/>
      <w:color w:val="858585" w:themeColor="text1" w:themeTint="80"/>
      <w:sz w:val="18"/>
      <w:lang w:val="en-GB"/>
    </w:rPr>
  </w:style>
  <w:style w:type="table" w:customStyle="1" w:styleId="BETable1">
    <w:name w:val="BE Table 1"/>
    <w:basedOn w:val="TableNormal"/>
    <w:uiPriority w:val="99"/>
    <w:qFormat/>
    <w:rsid w:val="009C4D3E"/>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F5599D"/>
    <w:rPr>
      <w:rFonts w:ascii="Arial Rounded MT Bold" w:hAnsi="Arial Rounded MT Bold" w:cstheme="minorHAnsi"/>
      <w:color w:val="858585" w:themeColor="text1" w:themeTint="80"/>
      <w:sz w:val="18"/>
      <w:szCs w:val="22"/>
      <w:lang w:val="en-GB" w:eastAsia="en-US"/>
    </w:rPr>
  </w:style>
  <w:style w:type="paragraph" w:customStyle="1" w:styleId="AppendixHeading2">
    <w:name w:val="Appendix Heading 2"/>
    <w:next w:val="BodyText"/>
    <w:uiPriority w:val="2"/>
    <w:qFormat/>
    <w:rsid w:val="004D25C7"/>
    <w:pPr>
      <w:spacing w:after="240"/>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F810CB"/>
    <w:pPr>
      <w:numPr>
        <w:ilvl w:val="1"/>
        <w:numId w:val="6"/>
      </w:numPr>
      <w:spacing w:after="240"/>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4D25C7"/>
    <w:pPr>
      <w:spacing w:after="120"/>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F810CB"/>
    <w:rPr>
      <w:rFonts w:ascii="Arial Rounded MT Bold" w:hAnsi="Arial Rounded MT Bold" w:cs="Arial"/>
      <w:color w:val="0000FF"/>
      <w:sz w:val="36"/>
      <w:szCs w:val="36"/>
      <w:lang w:eastAsia="en-US"/>
    </w:rPr>
  </w:style>
  <w:style w:type="character" w:customStyle="1" w:styleId="FooterChar">
    <w:name w:val="Footer Char"/>
    <w:basedOn w:val="DefaultParagraphFont"/>
    <w:link w:val="Footer"/>
    <w:uiPriority w:val="3"/>
    <w:rsid w:val="00186C62"/>
    <w:rPr>
      <w:rFonts w:cstheme="minorHAnsi"/>
      <w:color w:val="858585" w:themeColor="text1" w:themeTint="80"/>
      <w:sz w:val="16"/>
      <w:szCs w:val="22"/>
      <w:lang w:eastAsia="en-US"/>
    </w:rPr>
  </w:style>
  <w:style w:type="paragraph" w:styleId="ListParagraph">
    <w:name w:val="List Paragraph"/>
    <w:basedOn w:val="Normal"/>
    <w:link w:val="ListParagraphChar"/>
    <w:uiPriority w:val="34"/>
    <w:qFormat/>
    <w:rsid w:val="00C5633B"/>
    <w:pPr>
      <w:numPr>
        <w:numId w:val="1"/>
      </w:numPr>
      <w:contextualSpacing/>
    </w:pPr>
  </w:style>
  <w:style w:type="character" w:styleId="BookTitle">
    <w:name w:val="Book Title"/>
    <w:basedOn w:val="DefaultParagraphFont"/>
    <w:uiPriority w:val="33"/>
    <w:semiHidden/>
    <w:rsid w:val="00F532EB"/>
    <w:rPr>
      <w:b/>
      <w:bCs/>
      <w:smallCaps/>
      <w:spacing w:val="5"/>
    </w:rPr>
  </w:style>
  <w:style w:type="paragraph" w:styleId="List">
    <w:name w:val="List"/>
    <w:basedOn w:val="Normal"/>
    <w:semiHidden/>
    <w:rsid w:val="00C5633B"/>
    <w:pPr>
      <w:ind w:left="283" w:hanging="283"/>
      <w:contextualSpacing/>
    </w:pPr>
  </w:style>
  <w:style w:type="paragraph" w:customStyle="1" w:styleId="Bullet2">
    <w:name w:val="Bullet 2"/>
    <w:link w:val="Bullet2Char1"/>
    <w:uiPriority w:val="1"/>
    <w:qFormat/>
    <w:rsid w:val="008C54F9"/>
    <w:pPr>
      <w:numPr>
        <w:ilvl w:val="1"/>
        <w:numId w:val="4"/>
      </w:numPr>
    </w:pPr>
    <w:rPr>
      <w:rFonts w:cstheme="minorHAnsi"/>
      <w:color w:val="181818" w:themeColor="text1" w:themeTint="F2"/>
      <w:sz w:val="22"/>
      <w:szCs w:val="22"/>
      <w:lang w:eastAsia="en-US"/>
    </w:rPr>
  </w:style>
  <w:style w:type="numbering" w:customStyle="1" w:styleId="Dotpoints">
    <w:name w:val="Dot points"/>
    <w:uiPriority w:val="99"/>
    <w:rsid w:val="00F532EB"/>
    <w:pPr>
      <w:numPr>
        <w:numId w:val="2"/>
      </w:numPr>
    </w:pPr>
  </w:style>
  <w:style w:type="numbering" w:customStyle="1" w:styleId="BEList">
    <w:name w:val="BE_List"/>
    <w:uiPriority w:val="99"/>
    <w:rsid w:val="00395AF7"/>
    <w:pPr>
      <w:numPr>
        <w:numId w:val="3"/>
      </w:numPr>
    </w:pPr>
  </w:style>
  <w:style w:type="character" w:customStyle="1" w:styleId="Bullet2Char">
    <w:name w:val="Bullet 2 Char"/>
    <w:basedOn w:val="DefaultParagraphFont"/>
    <w:rsid w:val="00F532EB"/>
    <w:rPr>
      <w:rFonts w:asciiTheme="minorHAnsi" w:hAnsiTheme="minorHAnsi" w:cstheme="minorHAnsi"/>
      <w:sz w:val="22"/>
      <w:szCs w:val="22"/>
      <w:lang w:eastAsia="en-US"/>
    </w:rPr>
  </w:style>
  <w:style w:type="paragraph" w:customStyle="1" w:styleId="Bullet1">
    <w:name w:val="Bullet 1"/>
    <w:link w:val="Bullet1Char"/>
    <w:uiPriority w:val="1"/>
    <w:qFormat/>
    <w:rsid w:val="00C36D95"/>
    <w:pPr>
      <w:numPr>
        <w:numId w:val="4"/>
      </w:numPr>
      <w:spacing w:before="80"/>
    </w:pPr>
    <w:rPr>
      <w:rFonts w:cstheme="minorHAnsi"/>
      <w:color w:val="181818" w:themeColor="text1" w:themeTint="F2"/>
      <w:sz w:val="22"/>
      <w:szCs w:val="22"/>
      <w:lang w:eastAsia="en-US"/>
    </w:rPr>
  </w:style>
  <w:style w:type="paragraph" w:customStyle="1" w:styleId="Bullet3">
    <w:name w:val="Bullet 3"/>
    <w:basedOn w:val="Bullet2"/>
    <w:link w:val="Bullet3Char"/>
    <w:uiPriority w:val="1"/>
    <w:qFormat/>
    <w:rsid w:val="008C54F9"/>
    <w:pPr>
      <w:numPr>
        <w:ilvl w:val="2"/>
      </w:numPr>
    </w:pPr>
  </w:style>
  <w:style w:type="character" w:customStyle="1" w:styleId="ListParagraphChar">
    <w:name w:val="List Paragraph Char"/>
    <w:basedOn w:val="DefaultParagraphFont"/>
    <w:link w:val="ListParagraph"/>
    <w:uiPriority w:val="34"/>
    <w:rsid w:val="00F5599D"/>
    <w:rPr>
      <w:rFonts w:cstheme="minorHAnsi"/>
      <w:color w:val="181818" w:themeColor="text1" w:themeTint="F2"/>
      <w:szCs w:val="22"/>
      <w:lang w:eastAsia="en-US"/>
    </w:rPr>
  </w:style>
  <w:style w:type="character" w:customStyle="1" w:styleId="Bullet1Char">
    <w:name w:val="Bullet 1 Char"/>
    <w:basedOn w:val="ListParagraphChar"/>
    <w:link w:val="Bullet1"/>
    <w:uiPriority w:val="1"/>
    <w:rsid w:val="00C36D95"/>
    <w:rPr>
      <w:rFonts w:cstheme="minorHAnsi"/>
      <w:color w:val="181818" w:themeColor="text1" w:themeTint="F2"/>
      <w:sz w:val="22"/>
      <w:szCs w:val="22"/>
      <w:lang w:eastAsia="en-US"/>
    </w:rPr>
  </w:style>
  <w:style w:type="paragraph" w:customStyle="1" w:styleId="AppendixH1Line2">
    <w:name w:val="Appendix H1 Line 2"/>
    <w:basedOn w:val="BodyText"/>
    <w:uiPriority w:val="3"/>
    <w:rsid w:val="00BF1269"/>
  </w:style>
  <w:style w:type="character" w:customStyle="1" w:styleId="Bullet2Char1">
    <w:name w:val="Bullet 2 Char1"/>
    <w:basedOn w:val="DefaultParagraphFont"/>
    <w:link w:val="Bullet2"/>
    <w:uiPriority w:val="1"/>
    <w:rsid w:val="00201EAD"/>
    <w:rPr>
      <w:rFonts w:cstheme="minorHAnsi"/>
      <w:color w:val="181818" w:themeColor="text1" w:themeTint="F2"/>
      <w:sz w:val="22"/>
      <w:szCs w:val="22"/>
      <w:lang w:eastAsia="en-US"/>
    </w:rPr>
  </w:style>
  <w:style w:type="character" w:customStyle="1" w:styleId="Bullet3Char">
    <w:name w:val="Bullet 3 Char"/>
    <w:basedOn w:val="Bullet2Char1"/>
    <w:link w:val="Bullet3"/>
    <w:uiPriority w:val="1"/>
    <w:rsid w:val="00201EAD"/>
    <w:rPr>
      <w:rFonts w:cstheme="minorHAnsi"/>
      <w:color w:val="181818" w:themeColor="text1" w:themeTint="F2"/>
      <w:sz w:val="22"/>
      <w:szCs w:val="22"/>
      <w:lang w:eastAsia="en-US"/>
    </w:rPr>
  </w:style>
  <w:style w:type="paragraph" w:customStyle="1" w:styleId="AppendixSectionnumber">
    <w:name w:val="Appendix Section number"/>
    <w:link w:val="AppendixSectionnumberChar"/>
    <w:qFormat/>
    <w:rsid w:val="00F810CB"/>
    <w:pPr>
      <w:numPr>
        <w:numId w:val="6"/>
      </w:numPr>
      <w:pBdr>
        <w:bottom w:val="single" w:sz="4" w:space="1" w:color="0000FF"/>
      </w:pBdr>
    </w:pPr>
    <w:rPr>
      <w:rFonts w:ascii="Arial Rounded MT Bold" w:hAnsi="Arial Rounded MT Bold" w:cs="Arial"/>
      <w:color w:val="0000FF"/>
      <w:sz w:val="36"/>
      <w:szCs w:val="36"/>
      <w:lang w:eastAsia="en-US"/>
    </w:rPr>
  </w:style>
  <w:style w:type="character" w:customStyle="1" w:styleId="AppendixSectionnumberChar">
    <w:name w:val="Appendix Section number Char"/>
    <w:basedOn w:val="TitleChar"/>
    <w:link w:val="AppendixSectionnumber"/>
    <w:rsid w:val="00F810CB"/>
    <w:rPr>
      <w:rFonts w:ascii="Arial Rounded MT Bold" w:hAnsi="Arial Rounded MT Bold" w:cs="Arial"/>
      <w:b w:val="0"/>
      <w:color w:val="0000FF"/>
      <w:sz w:val="36"/>
      <w:szCs w:val="36"/>
      <w:lang w:eastAsia="en-US"/>
    </w:rPr>
  </w:style>
  <w:style w:type="character" w:customStyle="1" w:styleId="Grey">
    <w:name w:val="Grey"/>
    <w:basedOn w:val="DefaultParagraphFont"/>
    <w:semiHidden/>
    <w:rsid w:val="00CB1CB4"/>
    <w:rPr>
      <w:color w:val="A6A6A6" w:themeColor="background1" w:themeShade="A6"/>
    </w:rPr>
  </w:style>
  <w:style w:type="paragraph" w:customStyle="1" w:styleId="Client">
    <w:name w:val="Client"/>
    <w:next w:val="Titlepagetext"/>
    <w:semiHidden/>
    <w:rsid w:val="00186C62"/>
    <w:pPr>
      <w:spacing w:after="3360"/>
    </w:pPr>
    <w:rPr>
      <w:rFonts w:ascii="Arial Rounded MT Bold" w:hAnsi="Arial Rounded MT Bold" w:cs="Arial"/>
      <w:b/>
      <w:color w:val="0000FF" w:themeColor="text2"/>
      <w:sz w:val="36"/>
      <w:szCs w:val="36"/>
      <w:lang w:eastAsia="en-US"/>
    </w:rPr>
  </w:style>
  <w:style w:type="paragraph" w:customStyle="1" w:styleId="Title2">
    <w:name w:val="Title2"/>
    <w:semiHidden/>
    <w:qFormat/>
    <w:rsid w:val="00186C62"/>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A2446E"/>
    <w:pPr>
      <w:spacing w:before="1080"/>
    </w:pPr>
    <w:rPr>
      <w:rFonts w:cs="Arial"/>
      <w:b/>
      <w:color w:val="0000FF"/>
      <w:lang w:eastAsia="en-US"/>
    </w:rPr>
  </w:style>
  <w:style w:type="paragraph" w:customStyle="1" w:styleId="DisclaimerText">
    <w:name w:val="Disclaimer Text"/>
    <w:semiHidden/>
    <w:rsid w:val="0073652B"/>
    <w:pPr>
      <w:spacing w:after="120"/>
    </w:pPr>
    <w:rPr>
      <w:rFonts w:cs="Arial"/>
      <w:sz w:val="18"/>
      <w:szCs w:val="18"/>
      <w:lang w:eastAsia="en-US"/>
    </w:rPr>
  </w:style>
  <w:style w:type="paragraph" w:customStyle="1" w:styleId="Copyright">
    <w:name w:val="Copyright"/>
    <w:semiHidden/>
    <w:rsid w:val="00A2446E"/>
    <w:pPr>
      <w:spacing w:before="840" w:after="560"/>
    </w:pPr>
    <w:rPr>
      <w:rFonts w:cs="Arial"/>
      <w:sz w:val="18"/>
      <w:szCs w:val="18"/>
      <w:lang w:eastAsia="en-US"/>
    </w:rPr>
  </w:style>
  <w:style w:type="paragraph" w:customStyle="1" w:styleId="AuthorHeading">
    <w:name w:val="Author Heading"/>
    <w:basedOn w:val="Titlepagetext"/>
    <w:semiHidden/>
    <w:rsid w:val="002A0F82"/>
    <w:pPr>
      <w:spacing w:before="520"/>
      <w:jc w:val="right"/>
    </w:pPr>
  </w:style>
  <w:style w:type="paragraph" w:customStyle="1" w:styleId="BEAddress">
    <w:name w:val="BE_Address"/>
    <w:semiHidden/>
    <w:rsid w:val="00B61ED5"/>
    <w:pPr>
      <w:framePr w:w="8826" w:h="1894" w:hRule="exact" w:hSpace="181" w:wrap="around" w:vAnchor="page" w:hAnchor="page" w:x="1986" w:y="11505"/>
      <w:ind w:right="-47"/>
      <w:jc w:val="right"/>
    </w:pPr>
    <w:rPr>
      <w:rFonts w:cstheme="minorHAnsi"/>
      <w:szCs w:val="22"/>
      <w:lang w:val="en-GB" w:eastAsia="en-US"/>
    </w:rPr>
  </w:style>
  <w:style w:type="paragraph" w:customStyle="1" w:styleId="Footernoline">
    <w:name w:val="Footer_no line"/>
    <w:basedOn w:val="Footer"/>
    <w:semiHidden/>
    <w:rsid w:val="00BD37A4"/>
    <w:pPr>
      <w:pBdr>
        <w:top w:val="none" w:sz="0" w:space="0" w:color="auto"/>
      </w:pBdr>
    </w:pPr>
  </w:style>
  <w:style w:type="table" w:customStyle="1" w:styleId="BETable2">
    <w:name w:val="BE Table 2"/>
    <w:basedOn w:val="BETable1"/>
    <w:uiPriority w:val="99"/>
    <w:qFormat/>
    <w:rsid w:val="00343084"/>
    <w:tblPr>
      <w:tblBorders>
        <w:top w:val="none" w:sz="0" w:space="0" w:color="auto"/>
        <w:left w:val="single" w:sz="4" w:space="0" w:color="7F7F7F" w:themeColor="background2"/>
        <w:bottom w:val="single" w:sz="4" w:space="0" w:color="7F7F7F" w:themeColor="background2"/>
        <w:right w:val="single" w:sz="4" w:space="0" w:color="7F7F7F"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5B109F"/>
    <w:pPr>
      <w:spacing w:after="360"/>
    </w:pPr>
    <w:rPr>
      <w:rFonts w:ascii="Arial Rounded MT Bold" w:hAnsi="Arial Rounded MT Bold" w:cs="Arial"/>
      <w:color w:val="0000FF"/>
      <w:sz w:val="36"/>
      <w:szCs w:val="36"/>
      <w:lang w:eastAsia="en-US"/>
    </w:rPr>
  </w:style>
  <w:style w:type="paragraph" w:customStyle="1" w:styleId="FigureTableinfo">
    <w:name w:val="Figure/Table info"/>
    <w:uiPriority w:val="2"/>
    <w:rsid w:val="00C55DF2"/>
    <w:pPr>
      <w:spacing w:before="80"/>
    </w:pPr>
    <w:rPr>
      <w:rFonts w:cs="Arial"/>
      <w:i/>
      <w:color w:val="0000FF"/>
      <w:lang w:eastAsia="en-US"/>
    </w:rPr>
  </w:style>
  <w:style w:type="paragraph" w:customStyle="1" w:styleId="FooterLandscape">
    <w:name w:val="Footer Landscape"/>
    <w:basedOn w:val="Footer"/>
    <w:semiHidden/>
    <w:qFormat/>
    <w:rsid w:val="00B50E5B"/>
    <w:pPr>
      <w:tabs>
        <w:tab w:val="clear" w:pos="4678"/>
        <w:tab w:val="clear" w:pos="9356"/>
        <w:tab w:val="center" w:pos="7909"/>
        <w:tab w:val="right" w:pos="14600"/>
      </w:tabs>
    </w:pPr>
  </w:style>
  <w:style w:type="character" w:styleId="PlaceholderText">
    <w:name w:val="Placeholder Text"/>
    <w:basedOn w:val="DefaultParagraphFont"/>
    <w:uiPriority w:val="99"/>
    <w:semiHidden/>
    <w:rsid w:val="002E2B19"/>
    <w:rPr>
      <w:color w:val="808080"/>
    </w:rPr>
  </w:style>
  <w:style w:type="paragraph" w:customStyle="1" w:styleId="TOCHeadings">
    <w:name w:val="TOC Headings"/>
    <w:qFormat/>
    <w:rsid w:val="00E44065"/>
    <w:rPr>
      <w:rFonts w:ascii="Arial Rounded MT Bold" w:hAnsi="Arial Rounded MT Bold" w:cs="Arial"/>
      <w:b/>
      <w:color w:val="0000FF"/>
      <w:szCs w:val="22"/>
      <w:lang w:eastAsia="en-US"/>
    </w:rPr>
  </w:style>
  <w:style w:type="character" w:customStyle="1" w:styleId="HeaderChar">
    <w:name w:val="Header Char"/>
    <w:basedOn w:val="DefaultParagraphFont"/>
    <w:link w:val="Header"/>
    <w:rsid w:val="00201EAD"/>
    <w:rPr>
      <w:rFonts w:cstheme="minorHAnsi"/>
      <w:color w:val="181818" w:themeColor="text1" w:themeTint="F2"/>
      <w:szCs w:val="22"/>
      <w:lang w:eastAsia="en-US"/>
    </w:rPr>
  </w:style>
  <w:style w:type="paragraph" w:styleId="ListNumber">
    <w:name w:val="List Number"/>
    <w:basedOn w:val="Normal"/>
    <w:uiPriority w:val="1"/>
    <w:qFormat/>
    <w:rsid w:val="00AF3776"/>
    <w:pPr>
      <w:spacing w:before="80" w:line="240" w:lineRule="auto"/>
    </w:pPr>
    <w:rPr>
      <w:sz w:val="22"/>
    </w:rPr>
  </w:style>
  <w:style w:type="paragraph" w:styleId="ListNumber2">
    <w:name w:val="List Number 2"/>
    <w:basedOn w:val="Normal"/>
    <w:uiPriority w:val="1"/>
    <w:qFormat/>
    <w:rsid w:val="00F11E21"/>
    <w:pPr>
      <w:spacing w:line="240" w:lineRule="auto"/>
      <w:contextualSpacing/>
    </w:pPr>
    <w:rPr>
      <w:sz w:val="22"/>
    </w:rPr>
  </w:style>
  <w:style w:type="paragraph" w:styleId="ListNumber3">
    <w:name w:val="List Number 3"/>
    <w:basedOn w:val="Normal"/>
    <w:uiPriority w:val="1"/>
    <w:qFormat/>
    <w:rsid w:val="00F11E21"/>
    <w:pPr>
      <w:spacing w:line="240" w:lineRule="auto"/>
      <w:contextualSpacing/>
    </w:pPr>
    <w:rPr>
      <w:sz w:val="22"/>
    </w:rPr>
  </w:style>
  <w:style w:type="paragraph" w:customStyle="1" w:styleId="Draft">
    <w:name w:val="Draft"/>
    <w:basedOn w:val="Titlepagetext"/>
    <w:uiPriority w:val="2"/>
    <w:rsid w:val="00EC5FB9"/>
    <w:pPr>
      <w:spacing w:before="0"/>
    </w:pPr>
  </w:style>
  <w:style w:type="paragraph" w:customStyle="1" w:styleId="Reviewer">
    <w:name w:val="Reviewer"/>
    <w:uiPriority w:val="2"/>
    <w:rsid w:val="002A0F82"/>
    <w:pPr>
      <w:spacing w:before="360"/>
      <w:jc w:val="right"/>
    </w:pPr>
    <w:rPr>
      <w:rFonts w:cs="Arial"/>
      <w:b/>
      <w:color w:val="0000FF"/>
      <w:lang w:eastAsia="en-US"/>
    </w:rPr>
  </w:style>
  <w:style w:type="paragraph" w:customStyle="1" w:styleId="AuthorName">
    <w:name w:val="Author Name"/>
    <w:uiPriority w:val="2"/>
    <w:rsid w:val="002A0F82"/>
    <w:pPr>
      <w:jc w:val="right"/>
    </w:pPr>
    <w:rPr>
      <w:rFonts w:cstheme="minorHAnsi"/>
      <w:color w:val="181818" w:themeColor="text1" w:themeTint="F2"/>
      <w:szCs w:val="22"/>
      <w:lang w:eastAsia="en-US"/>
    </w:rPr>
  </w:style>
  <w:style w:type="paragraph" w:customStyle="1" w:styleId="Appendixheading">
    <w:name w:val="Appendix heading"/>
    <w:next w:val="BodyText"/>
    <w:link w:val="AppendixheadingChar"/>
    <w:qFormat/>
    <w:rsid w:val="00D50C8E"/>
    <w:pPr>
      <w:spacing w:after="240"/>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D50C8E"/>
    <w:rPr>
      <w:rFonts w:ascii="Arial Rounded MT Bold" w:hAnsi="Arial Rounded MT Bold" w:cs="Arial"/>
      <w:color w:val="0000FF"/>
      <w:sz w:val="36"/>
      <w:szCs w:val="36"/>
      <w:lang w:eastAsia="en-US"/>
    </w:rPr>
  </w:style>
  <w:style w:type="paragraph" w:customStyle="1" w:styleId="ParaIndent">
    <w:name w:val="_ParaIndent"/>
    <w:basedOn w:val="BodyText"/>
    <w:link w:val="ParaIndentChar"/>
    <w:rsid w:val="00A16765"/>
    <w:pPr>
      <w:spacing w:after="240" w:line="260" w:lineRule="atLeast"/>
      <w:ind w:left="1134"/>
    </w:pPr>
    <w:rPr>
      <w:rFonts w:ascii="Arial" w:hAnsi="Arial" w:cs="Times New Roman"/>
      <w:color w:val="auto"/>
      <w:sz w:val="20"/>
      <w:szCs w:val="20"/>
      <w:lang w:val="en-GB"/>
    </w:rPr>
  </w:style>
  <w:style w:type="character" w:customStyle="1" w:styleId="ParaIndentChar">
    <w:name w:val="_ParaIndent Char"/>
    <w:basedOn w:val="DefaultParagraphFont"/>
    <w:link w:val="ParaIndent"/>
    <w:rsid w:val="00A16765"/>
    <w:rPr>
      <w:rFonts w:ascii="Arial" w:hAnsi="Arial"/>
      <w:lang w:val="en-GB" w:eastAsia="en-US"/>
    </w:rPr>
  </w:style>
  <w:style w:type="character" w:customStyle="1" w:styleId="apple-converted-space">
    <w:name w:val="apple-converted-space"/>
    <w:basedOn w:val="DefaultParagraphFont"/>
    <w:rsid w:val="007D7223"/>
  </w:style>
  <w:style w:type="paragraph" w:customStyle="1" w:styleId="Default">
    <w:name w:val="Default"/>
    <w:rsid w:val="004C4ABA"/>
    <w:pPr>
      <w:autoSpaceDE w:val="0"/>
      <w:autoSpaceDN w:val="0"/>
      <w:adjustRightInd w:val="0"/>
    </w:pPr>
    <w:rPr>
      <w:rFonts w:eastAsiaTheme="minorHAnsi" w:cs="Calibri"/>
      <w:color w:val="000000"/>
      <w:sz w:val="24"/>
      <w:szCs w:val="24"/>
      <w:lang w:eastAsia="en-US"/>
    </w:rPr>
  </w:style>
  <w:style w:type="character" w:styleId="CommentReference">
    <w:name w:val="annotation reference"/>
    <w:basedOn w:val="DefaultParagraphFont"/>
    <w:semiHidden/>
    <w:unhideWhenUsed/>
    <w:rsid w:val="00642E1D"/>
    <w:rPr>
      <w:sz w:val="16"/>
      <w:szCs w:val="16"/>
    </w:rPr>
  </w:style>
  <w:style w:type="paragraph" w:styleId="CommentText">
    <w:name w:val="annotation text"/>
    <w:basedOn w:val="Normal"/>
    <w:link w:val="CommentTextChar"/>
    <w:semiHidden/>
    <w:unhideWhenUsed/>
    <w:rsid w:val="00642E1D"/>
    <w:pPr>
      <w:spacing w:line="240" w:lineRule="auto"/>
    </w:pPr>
    <w:rPr>
      <w:rFonts w:eastAsiaTheme="minorHAnsi" w:cs="Times New Roman"/>
      <w:color w:val="auto"/>
      <w:szCs w:val="20"/>
      <w:lang w:val="en-US"/>
    </w:rPr>
  </w:style>
  <w:style w:type="character" w:customStyle="1" w:styleId="CommentTextChar">
    <w:name w:val="Comment Text Char"/>
    <w:basedOn w:val="DefaultParagraphFont"/>
    <w:link w:val="CommentText"/>
    <w:semiHidden/>
    <w:rsid w:val="00642E1D"/>
    <w:rPr>
      <w:rFonts w:eastAsiaTheme="minorHAnsi"/>
      <w:lang w:val="en-US" w:eastAsia="en-US"/>
    </w:rPr>
  </w:style>
  <w:style w:type="paragraph" w:styleId="CommentSubject">
    <w:name w:val="annotation subject"/>
    <w:basedOn w:val="CommentText"/>
    <w:next w:val="CommentText"/>
    <w:link w:val="CommentSubjectChar"/>
    <w:semiHidden/>
    <w:rsid w:val="00FA5D9A"/>
    <w:rPr>
      <w:rFonts w:eastAsia="Times New Roman" w:cstheme="minorHAnsi"/>
      <w:b/>
      <w:bCs/>
      <w:color w:val="181818" w:themeColor="text1" w:themeTint="F2"/>
      <w:lang w:val="en-AU"/>
    </w:rPr>
  </w:style>
  <w:style w:type="character" w:customStyle="1" w:styleId="CommentSubjectChar">
    <w:name w:val="Comment Subject Char"/>
    <w:basedOn w:val="CommentTextChar"/>
    <w:link w:val="CommentSubject"/>
    <w:semiHidden/>
    <w:rsid w:val="00FA5D9A"/>
    <w:rPr>
      <w:rFonts w:eastAsiaTheme="minorHAnsi" w:cstheme="minorHAnsi"/>
      <w:b/>
      <w:bCs/>
      <w:color w:val="181818" w:themeColor="text1" w:themeTint="F2"/>
      <w:lang w:val="en-US" w:eastAsia="en-US"/>
    </w:rPr>
  </w:style>
  <w:style w:type="paragraph" w:customStyle="1" w:styleId="xl92">
    <w:name w:val="xl92"/>
    <w:basedOn w:val="Normal"/>
    <w:rsid w:val="00CE7600"/>
    <w:pPr>
      <w:shd w:val="clear" w:color="000000" w:fill="1F497D"/>
      <w:spacing w:before="100" w:beforeAutospacing="1" w:after="100" w:afterAutospacing="1" w:line="240" w:lineRule="auto"/>
    </w:pPr>
    <w:rPr>
      <w:rFonts w:ascii="Times New Roman" w:hAnsi="Times New Roman" w:cs="Times New Roman"/>
      <w:color w:val="FFFFFF"/>
      <w:sz w:val="24"/>
      <w:szCs w:val="24"/>
      <w:lang w:eastAsia="en-AU"/>
    </w:rPr>
  </w:style>
  <w:style w:type="paragraph" w:customStyle="1" w:styleId="xl93">
    <w:name w:val="xl93"/>
    <w:basedOn w:val="Normal"/>
    <w:rsid w:val="00CE7600"/>
    <w:pPr>
      <w:pBdr>
        <w:left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4">
    <w:name w:val="xl94"/>
    <w:basedOn w:val="Normal"/>
    <w:rsid w:val="00CE7600"/>
    <w:pPr>
      <w:shd w:val="clear" w:color="000000" w:fill="F2F2F2"/>
      <w:spacing w:before="100" w:beforeAutospacing="1" w:after="100" w:afterAutospacing="1" w:line="240" w:lineRule="auto"/>
    </w:pPr>
    <w:rPr>
      <w:rFonts w:ascii="Times New Roman" w:hAnsi="Times New Roman" w:cs="Times New Roman"/>
      <w:color w:val="auto"/>
      <w:sz w:val="24"/>
      <w:szCs w:val="24"/>
      <w:lang w:eastAsia="en-AU"/>
    </w:rPr>
  </w:style>
  <w:style w:type="paragraph" w:customStyle="1" w:styleId="xl95">
    <w:name w:val="xl95"/>
    <w:basedOn w:val="Normal"/>
    <w:rsid w:val="00CE7600"/>
    <w:pPr>
      <w:shd w:val="clear" w:color="000000" w:fill="F2F2F2"/>
      <w:spacing w:before="100" w:beforeAutospacing="1" w:after="100" w:afterAutospacing="1" w:line="240" w:lineRule="auto"/>
      <w:jc w:val="center"/>
      <w:textAlignment w:val="center"/>
    </w:pPr>
    <w:rPr>
      <w:rFonts w:ascii="Times New Roman" w:hAnsi="Times New Roman" w:cs="Times New Roman"/>
      <w:color w:val="000000"/>
      <w:sz w:val="24"/>
      <w:szCs w:val="24"/>
      <w:lang w:eastAsia="en-AU"/>
    </w:rPr>
  </w:style>
  <w:style w:type="paragraph" w:customStyle="1" w:styleId="xl96">
    <w:name w:val="xl96"/>
    <w:basedOn w:val="Normal"/>
    <w:rsid w:val="00CE7600"/>
    <w:pPr>
      <w:shd w:val="clear" w:color="000000" w:fill="F2F2F2"/>
      <w:spacing w:before="100" w:beforeAutospacing="1" w:after="100" w:afterAutospacing="1" w:line="240" w:lineRule="auto"/>
      <w:jc w:val="center"/>
    </w:pPr>
    <w:rPr>
      <w:rFonts w:ascii="Times New Roman" w:hAnsi="Times New Roman" w:cs="Times New Roman"/>
      <w:color w:val="000000"/>
      <w:sz w:val="24"/>
      <w:szCs w:val="24"/>
      <w:lang w:eastAsia="en-AU"/>
    </w:rPr>
  </w:style>
  <w:style w:type="paragraph" w:customStyle="1" w:styleId="xl97">
    <w:name w:val="xl97"/>
    <w:basedOn w:val="Normal"/>
    <w:rsid w:val="00CE7600"/>
    <w:pPr>
      <w:pBdr>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8">
    <w:name w:val="xl98"/>
    <w:basedOn w:val="Normal"/>
    <w:rsid w:val="00CE7600"/>
    <w:pP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9">
    <w:name w:val="xl99"/>
    <w:basedOn w:val="Normal"/>
    <w:rsid w:val="00CE7600"/>
    <w:pPr>
      <w:shd w:val="clear" w:color="000000" w:fill="F2F2F2"/>
      <w:spacing w:before="100" w:beforeAutospacing="1" w:after="100" w:afterAutospacing="1" w:line="240" w:lineRule="auto"/>
      <w:textAlignment w:val="top"/>
    </w:pPr>
    <w:rPr>
      <w:rFonts w:ascii="Times New Roman" w:hAnsi="Times New Roman" w:cs="Times New Roman"/>
      <w:b/>
      <w:bCs/>
      <w:color w:val="auto"/>
      <w:sz w:val="24"/>
      <w:szCs w:val="24"/>
      <w:lang w:eastAsia="en-AU"/>
    </w:rPr>
  </w:style>
  <w:style w:type="paragraph" w:customStyle="1" w:styleId="xl100">
    <w:name w:val="xl100"/>
    <w:basedOn w:val="Normal"/>
    <w:rsid w:val="00CE7600"/>
    <w:pP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1">
    <w:name w:val="xl101"/>
    <w:basedOn w:val="Normal"/>
    <w:rsid w:val="00CE7600"/>
    <w:pPr>
      <w:shd w:val="clear" w:color="000000" w:fill="F2F2F2"/>
      <w:spacing w:before="100" w:beforeAutospacing="1" w:after="100" w:afterAutospacing="1" w:line="240" w:lineRule="auto"/>
      <w:textAlignment w:val="top"/>
    </w:pPr>
    <w:rPr>
      <w:rFonts w:ascii="Times New Roman" w:hAnsi="Times New Roman" w:cs="Times New Roman"/>
      <w:color w:val="000000"/>
      <w:sz w:val="24"/>
      <w:szCs w:val="24"/>
      <w:lang w:eastAsia="en-AU"/>
    </w:rPr>
  </w:style>
  <w:style w:type="paragraph" w:customStyle="1" w:styleId="xl102">
    <w:name w:val="xl102"/>
    <w:basedOn w:val="Normal"/>
    <w:rsid w:val="00CE7600"/>
    <w:pPr>
      <w:shd w:val="clear" w:color="000000" w:fill="F2F2F2"/>
      <w:spacing w:before="100" w:beforeAutospacing="1" w:after="100" w:afterAutospacing="1" w:line="240" w:lineRule="auto"/>
      <w:textAlignment w:val="top"/>
    </w:pPr>
    <w:rPr>
      <w:rFonts w:ascii="Times New Roman" w:hAnsi="Times New Roman" w:cs="Times New Roman"/>
      <w:b/>
      <w:bCs/>
      <w:color w:val="1F497D"/>
      <w:sz w:val="24"/>
      <w:szCs w:val="24"/>
      <w:lang w:eastAsia="en-AU"/>
    </w:rPr>
  </w:style>
  <w:style w:type="paragraph" w:customStyle="1" w:styleId="xl103">
    <w:name w:val="xl103"/>
    <w:basedOn w:val="Normal"/>
    <w:rsid w:val="00CE7600"/>
    <w:pP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4">
    <w:name w:val="xl104"/>
    <w:basedOn w:val="Normal"/>
    <w:rsid w:val="00CE7600"/>
    <w:pPr>
      <w:pBdr>
        <w:bottom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5">
    <w:name w:val="xl105"/>
    <w:basedOn w:val="Normal"/>
    <w:rsid w:val="00CE7600"/>
    <w:pPr>
      <w:pBdr>
        <w:bottom w:val="single" w:sz="4" w:space="0" w:color="808080"/>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6">
    <w:name w:val="xl106"/>
    <w:basedOn w:val="Normal"/>
    <w:rsid w:val="00CE7600"/>
    <w:pPr>
      <w:pBdr>
        <w:top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7">
    <w:name w:val="xl107"/>
    <w:basedOn w:val="Normal"/>
    <w:rsid w:val="00CE7600"/>
    <w:pPr>
      <w:pBdr>
        <w:top w:val="single" w:sz="4" w:space="0" w:color="808080"/>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8">
    <w:name w:val="xl108"/>
    <w:basedOn w:val="Normal"/>
    <w:rsid w:val="00CE7600"/>
    <w:pPr>
      <w:pBdr>
        <w:top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9">
    <w:name w:val="xl109"/>
    <w:basedOn w:val="Normal"/>
    <w:rsid w:val="00CE7600"/>
    <w:pPr>
      <w:shd w:val="clear" w:color="000000" w:fill="F2F2F2"/>
      <w:spacing w:before="100" w:beforeAutospacing="1" w:after="100" w:afterAutospacing="1" w:line="240" w:lineRule="auto"/>
      <w:ind w:firstLineChars="300" w:firstLine="300"/>
      <w:jc w:val="right"/>
      <w:textAlignment w:val="top"/>
    </w:pPr>
    <w:rPr>
      <w:rFonts w:ascii="Times New Roman" w:hAnsi="Times New Roman" w:cs="Times New Roman"/>
      <w:i/>
      <w:iCs/>
      <w:color w:val="auto"/>
      <w:sz w:val="22"/>
      <w:lang w:eastAsia="en-AU"/>
    </w:rPr>
  </w:style>
  <w:style w:type="paragraph" w:customStyle="1" w:styleId="xl110">
    <w:name w:val="xl110"/>
    <w:basedOn w:val="Normal"/>
    <w:rsid w:val="00CE7600"/>
    <w:pP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1">
    <w:name w:val="xl111"/>
    <w:basedOn w:val="Normal"/>
    <w:rsid w:val="00CE7600"/>
    <w:pPr>
      <w:pBdr>
        <w:top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2">
    <w:name w:val="xl112"/>
    <w:basedOn w:val="Normal"/>
    <w:rsid w:val="00CE7600"/>
    <w:pP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3">
    <w:name w:val="xl113"/>
    <w:basedOn w:val="Normal"/>
    <w:rsid w:val="00CE7600"/>
    <w:pPr>
      <w:pBdr>
        <w:top w:val="single" w:sz="4" w:space="0" w:color="808080"/>
        <w:lef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4">
    <w:name w:val="xl114"/>
    <w:basedOn w:val="Normal"/>
    <w:rsid w:val="00CE7600"/>
    <w:pPr>
      <w:pBdr>
        <w:lef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5">
    <w:name w:val="xl115"/>
    <w:basedOn w:val="Normal"/>
    <w:rsid w:val="00CE7600"/>
    <w:pPr>
      <w:pBdr>
        <w:bottom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6">
    <w:name w:val="xl116"/>
    <w:basedOn w:val="Normal"/>
    <w:rsid w:val="00CE7600"/>
    <w:pPr>
      <w:shd w:val="clear" w:color="000000" w:fill="F2F2F2"/>
      <w:spacing w:before="100" w:beforeAutospacing="1" w:after="100" w:afterAutospacing="1" w:line="240" w:lineRule="auto"/>
    </w:pPr>
    <w:rPr>
      <w:rFonts w:ascii="Times New Roman" w:hAnsi="Times New Roman" w:cs="Times New Roman"/>
      <w:b/>
      <w:bCs/>
      <w:color w:val="auto"/>
      <w:sz w:val="24"/>
      <w:szCs w:val="24"/>
      <w:lang w:eastAsia="en-AU"/>
    </w:rPr>
  </w:style>
  <w:style w:type="paragraph" w:customStyle="1" w:styleId="xl117">
    <w:name w:val="xl117"/>
    <w:basedOn w:val="Normal"/>
    <w:rsid w:val="00CE7600"/>
    <w:pPr>
      <w:pBdr>
        <w:lef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18">
    <w:name w:val="xl118"/>
    <w:basedOn w:val="Normal"/>
    <w:rsid w:val="00CE7600"/>
    <w:pPr>
      <w:pBdr>
        <w:top w:val="single" w:sz="4" w:space="0" w:color="808080"/>
        <w:left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19">
    <w:name w:val="xl119"/>
    <w:basedOn w:val="Normal"/>
    <w:rsid w:val="00CE7600"/>
    <w:pPr>
      <w:pBdr>
        <w:top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0">
    <w:name w:val="xl120"/>
    <w:basedOn w:val="Normal"/>
    <w:rsid w:val="00CE7600"/>
    <w:pPr>
      <w:pBdr>
        <w:top w:val="single" w:sz="4" w:space="0" w:color="FF0000"/>
        <w:bottom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1">
    <w:name w:val="xl121"/>
    <w:basedOn w:val="Normal"/>
    <w:rsid w:val="00CE7600"/>
    <w:pPr>
      <w:pBdr>
        <w:top w:val="single" w:sz="4" w:space="0" w:color="FF0000"/>
        <w:lef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2">
    <w:name w:val="xl122"/>
    <w:basedOn w:val="Normal"/>
    <w:rsid w:val="00CE7600"/>
    <w:pPr>
      <w:pBdr>
        <w:top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3">
    <w:name w:val="xl123"/>
    <w:basedOn w:val="Normal"/>
    <w:rsid w:val="00CE7600"/>
    <w:pPr>
      <w:pBdr>
        <w:top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4">
    <w:name w:val="xl124"/>
    <w:basedOn w:val="Normal"/>
    <w:rsid w:val="00CE7600"/>
    <w:pPr>
      <w:pBdr>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5">
    <w:name w:val="xl125"/>
    <w:basedOn w:val="Normal"/>
    <w:rsid w:val="00CE7600"/>
    <w:pPr>
      <w:pBdr>
        <w:left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6">
    <w:name w:val="xl126"/>
    <w:basedOn w:val="Normal"/>
    <w:rsid w:val="00CE7600"/>
    <w:pPr>
      <w:pBdr>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7">
    <w:name w:val="xl127"/>
    <w:basedOn w:val="Normal"/>
    <w:rsid w:val="00CE7600"/>
    <w:pPr>
      <w:pBdr>
        <w:bottom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8">
    <w:name w:val="xl128"/>
    <w:basedOn w:val="Normal"/>
    <w:rsid w:val="00CE7600"/>
    <w:pPr>
      <w:pBdr>
        <w:top w:val="single" w:sz="4" w:space="0" w:color="FF0000"/>
        <w:left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9">
    <w:name w:val="xl129"/>
    <w:basedOn w:val="Normal"/>
    <w:rsid w:val="00CE7600"/>
    <w:pPr>
      <w:pBdr>
        <w:bottom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30">
    <w:name w:val="xl130"/>
    <w:basedOn w:val="Normal"/>
    <w:rsid w:val="00CE7600"/>
    <w:pPr>
      <w:shd w:val="clear" w:color="000000" w:fill="1F497D"/>
      <w:spacing w:before="100" w:beforeAutospacing="1" w:after="100" w:afterAutospacing="1" w:line="240" w:lineRule="auto"/>
      <w:textAlignment w:val="center"/>
    </w:pPr>
    <w:rPr>
      <w:rFonts w:ascii="Times New Roman" w:hAnsi="Times New Roman" w:cs="Times New Roman"/>
      <w:b/>
      <w:bCs/>
      <w:color w:val="FFFFFF"/>
      <w:sz w:val="24"/>
      <w:szCs w:val="24"/>
      <w:lang w:eastAsia="en-AU"/>
    </w:rPr>
  </w:style>
  <w:style w:type="paragraph" w:customStyle="1" w:styleId="xl131">
    <w:name w:val="xl131"/>
    <w:basedOn w:val="Normal"/>
    <w:rsid w:val="00CE7600"/>
    <w:pPr>
      <w:shd w:val="clear" w:color="000000" w:fill="1F497D"/>
      <w:spacing w:before="100" w:beforeAutospacing="1" w:after="100" w:afterAutospacing="1" w:line="240" w:lineRule="auto"/>
      <w:jc w:val="center"/>
      <w:textAlignment w:val="center"/>
    </w:pPr>
    <w:rPr>
      <w:rFonts w:ascii="Times New Roman" w:hAnsi="Times New Roman" w:cs="Times New Roman"/>
      <w:color w:val="FFFFFF"/>
      <w:sz w:val="24"/>
      <w:szCs w:val="24"/>
      <w:lang w:eastAsia="en-AU"/>
    </w:rPr>
  </w:style>
  <w:style w:type="paragraph" w:customStyle="1" w:styleId="xl132">
    <w:name w:val="xl132"/>
    <w:basedOn w:val="Normal"/>
    <w:rsid w:val="00CE7600"/>
    <w:pPr>
      <w:shd w:val="clear" w:color="000000" w:fill="F2F2F2"/>
      <w:spacing w:before="100" w:beforeAutospacing="1" w:after="100" w:afterAutospacing="1" w:line="240" w:lineRule="auto"/>
    </w:pPr>
    <w:rPr>
      <w:rFonts w:ascii="Times New Roman" w:hAnsi="Times New Roman" w:cs="Times New Roman"/>
      <w:color w:val="FFFFFF"/>
      <w:sz w:val="24"/>
      <w:szCs w:val="24"/>
      <w:lang w:eastAsia="en-AU"/>
    </w:rPr>
  </w:style>
  <w:style w:type="character" w:customStyle="1" w:styleId="response-question-title-text">
    <w:name w:val="response-question-title-text"/>
    <w:basedOn w:val="DefaultParagraphFont"/>
    <w:rsid w:val="00A01806"/>
  </w:style>
  <w:style w:type="character" w:customStyle="1" w:styleId="question-title">
    <w:name w:val="question-title"/>
    <w:basedOn w:val="DefaultParagraphFont"/>
    <w:rsid w:val="00A01806"/>
  </w:style>
  <w:style w:type="character" w:customStyle="1" w:styleId="pagedelimiter">
    <w:name w:val="page_delimiter"/>
    <w:basedOn w:val="DefaultParagraphFont"/>
    <w:rsid w:val="00A01806"/>
  </w:style>
  <w:style w:type="paragraph" w:customStyle="1" w:styleId="response-text">
    <w:name w:val="response-text"/>
    <w:basedOn w:val="Normal"/>
    <w:rsid w:val="00A01806"/>
    <w:pPr>
      <w:spacing w:before="100" w:beforeAutospacing="1" w:after="100" w:afterAutospacing="1" w:line="240" w:lineRule="auto"/>
    </w:pPr>
    <w:rPr>
      <w:rFonts w:ascii="Times New Roman" w:hAnsi="Times New Roman" w:cs="Times New Roman"/>
      <w:color w:val="auto"/>
      <w:sz w:val="24"/>
      <w:szCs w:val="24"/>
      <w:lang w:eastAsia="en-AU"/>
    </w:rPr>
  </w:style>
  <w:style w:type="table" w:customStyle="1" w:styleId="BETable11">
    <w:name w:val="BE Table 11"/>
    <w:basedOn w:val="TableNormal"/>
    <w:uiPriority w:val="99"/>
    <w:qFormat/>
    <w:rsid w:val="00BA18A9"/>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FootnoteTextChar">
    <w:name w:val="Footnote Text Char"/>
    <w:basedOn w:val="DefaultParagraphFont"/>
    <w:link w:val="FootnoteText"/>
    <w:uiPriority w:val="99"/>
    <w:semiHidden/>
    <w:rsid w:val="003746F8"/>
    <w:rPr>
      <w:rFonts w:cs="Arial"/>
      <w:color w:val="181818" w:themeColor="text1" w:themeTint="F2"/>
      <w:sz w:val="18"/>
      <w:szCs w:val="18"/>
      <w:lang w:eastAsia="en-US"/>
    </w:rPr>
  </w:style>
  <w:style w:type="character" w:styleId="EndnoteReference">
    <w:name w:val="endnote reference"/>
    <w:basedOn w:val="DefaultParagraphFont"/>
    <w:uiPriority w:val="99"/>
    <w:semiHidden/>
    <w:unhideWhenUsed/>
    <w:rsid w:val="003746F8"/>
    <w:rPr>
      <w:vertAlign w:val="superscript"/>
    </w:rPr>
  </w:style>
  <w:style w:type="table" w:customStyle="1" w:styleId="TableGrid1">
    <w:name w:val="Table Grid1"/>
    <w:basedOn w:val="TableNormal"/>
    <w:next w:val="TableGrid"/>
    <w:uiPriority w:val="59"/>
    <w:rsid w:val="003746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Normal"/>
    <w:link w:val="BodyText4Char"/>
    <w:rsid w:val="003746F8"/>
    <w:pPr>
      <w:keepLines/>
      <w:spacing w:before="160" w:line="270" w:lineRule="exact"/>
      <w:jc w:val="both"/>
    </w:pPr>
    <w:rPr>
      <w:rFonts w:ascii="Times New Roman" w:hAnsi="Times New Roman" w:cs="Times New Roman"/>
      <w:b/>
      <w:bCs/>
      <w:color w:val="auto"/>
      <w:sz w:val="22"/>
      <w:szCs w:val="20"/>
    </w:rPr>
  </w:style>
  <w:style w:type="character" w:customStyle="1" w:styleId="BodyText4Char">
    <w:name w:val="Body Text 4 Char"/>
    <w:link w:val="BodyText4"/>
    <w:rsid w:val="003746F8"/>
    <w:rPr>
      <w:rFonts w:ascii="Times New Roman" w:hAnsi="Times New Roman"/>
      <w:b/>
      <w:bCs/>
      <w:sz w:val="22"/>
      <w:lang w:eastAsia="en-US"/>
    </w:rPr>
  </w:style>
  <w:style w:type="paragraph" w:customStyle="1" w:styleId="SRUTableHeading">
    <w:name w:val="SRU_Table_Heading"/>
    <w:basedOn w:val="Normal"/>
    <w:next w:val="Normal"/>
    <w:uiPriority w:val="99"/>
    <w:semiHidden/>
    <w:qFormat/>
    <w:rsid w:val="003746F8"/>
    <w:pPr>
      <w:numPr>
        <w:numId w:val="12"/>
      </w:numPr>
      <w:spacing w:before="60" w:after="60" w:line="240" w:lineRule="auto"/>
    </w:pPr>
    <w:rPr>
      <w:rFonts w:cs="Times New Roman"/>
      <w:color w:val="auto"/>
      <w:szCs w:val="20"/>
    </w:rPr>
  </w:style>
  <w:style w:type="paragraph" w:customStyle="1" w:styleId="TableText">
    <w:name w:val="_TableText"/>
    <w:basedOn w:val="Normal"/>
    <w:link w:val="TableTextChar"/>
    <w:qFormat/>
    <w:rsid w:val="003746F8"/>
    <w:pPr>
      <w:spacing w:before="60" w:after="60" w:line="240" w:lineRule="auto"/>
    </w:pPr>
    <w:rPr>
      <w:rFonts w:cs="Times New Roman"/>
      <w:color w:val="auto"/>
      <w:sz w:val="18"/>
      <w:szCs w:val="18"/>
    </w:rPr>
  </w:style>
  <w:style w:type="paragraph" w:customStyle="1" w:styleId="TableHeading">
    <w:name w:val="_TableHeading"/>
    <w:basedOn w:val="Normal"/>
    <w:link w:val="TableHeadingChar"/>
    <w:qFormat/>
    <w:rsid w:val="003746F8"/>
    <w:pPr>
      <w:keepNext/>
      <w:tabs>
        <w:tab w:val="left" w:pos="284"/>
      </w:tabs>
      <w:spacing w:before="60" w:after="60" w:line="240" w:lineRule="auto"/>
      <w:jc w:val="center"/>
    </w:pPr>
    <w:rPr>
      <w:rFonts w:cs="Times New Roman"/>
      <w:b/>
      <w:color w:val="auto"/>
      <w:szCs w:val="20"/>
    </w:rPr>
  </w:style>
  <w:style w:type="character" w:customStyle="1" w:styleId="TableHeadingChar">
    <w:name w:val="_TableHeading Char"/>
    <w:link w:val="TableHeading"/>
    <w:locked/>
    <w:rsid w:val="003746F8"/>
    <w:rPr>
      <w:b/>
      <w:lang w:eastAsia="en-US"/>
    </w:rPr>
  </w:style>
  <w:style w:type="character" w:customStyle="1" w:styleId="TableTextChar">
    <w:name w:val="_TableText Char"/>
    <w:link w:val="TableText"/>
    <w:locked/>
    <w:rsid w:val="003746F8"/>
    <w:rPr>
      <w:sz w:val="18"/>
      <w:szCs w:val="18"/>
      <w:lang w:eastAsia="en-US"/>
    </w:rPr>
  </w:style>
  <w:style w:type="paragraph" w:customStyle="1" w:styleId="RptTable-Heading">
    <w:name w:val="(Rpt) Table - Heading"/>
    <w:link w:val="RptTable-HeadingChar"/>
    <w:rsid w:val="003746F8"/>
    <w:pPr>
      <w:keepNext/>
      <w:tabs>
        <w:tab w:val="left" w:pos="1080"/>
      </w:tabs>
      <w:ind w:left="1080" w:hanging="1080"/>
    </w:pPr>
    <w:rPr>
      <w:rFonts w:ascii="Arial" w:hAnsi="Arial"/>
      <w:b/>
      <w:bCs/>
      <w:noProof/>
      <w:lang w:val="en-GB" w:eastAsia="en-US"/>
    </w:rPr>
  </w:style>
  <w:style w:type="character" w:customStyle="1" w:styleId="RptTable-HeadingChar">
    <w:name w:val="(Rpt) Table - Heading Char"/>
    <w:basedOn w:val="DefaultParagraphFont"/>
    <w:link w:val="RptTable-Heading"/>
    <w:rsid w:val="003746F8"/>
    <w:rPr>
      <w:rFonts w:ascii="Arial" w:hAnsi="Arial"/>
      <w:b/>
      <w:bCs/>
      <w:noProof/>
      <w:lang w:val="en-GB" w:eastAsia="en-US"/>
    </w:rPr>
  </w:style>
  <w:style w:type="paragraph" w:styleId="Revision">
    <w:name w:val="Revision"/>
    <w:hidden/>
    <w:uiPriority w:val="99"/>
    <w:semiHidden/>
    <w:rsid w:val="003746F8"/>
    <w:rPr>
      <w:rFonts w:cstheme="minorHAnsi"/>
      <w:color w:val="181818" w:themeColor="text1" w:themeTint="F2"/>
      <w:szCs w:val="22"/>
      <w:lang w:eastAsia="en-US"/>
    </w:rPr>
  </w:style>
  <w:style w:type="paragraph" w:styleId="ListBullet">
    <w:name w:val="List Bullet"/>
    <w:basedOn w:val="Normal"/>
    <w:unhideWhenUsed/>
    <w:rsid w:val="003746F8"/>
    <w:pPr>
      <w:numPr>
        <w:numId w:val="15"/>
      </w:numPr>
      <w:contextualSpacing/>
    </w:pPr>
  </w:style>
  <w:style w:type="character" w:customStyle="1" w:styleId="PointsBulletsSRUChar">
    <w:name w:val="_PointsBullets (SRU) Char"/>
    <w:basedOn w:val="DefaultParagraphFont"/>
    <w:link w:val="PointsBulletsSRU"/>
    <w:locked/>
    <w:rsid w:val="003746F8"/>
  </w:style>
  <w:style w:type="paragraph" w:customStyle="1" w:styleId="PointsBulletsSRU">
    <w:name w:val="_PointsBullets (SRU)"/>
    <w:basedOn w:val="Normal"/>
    <w:link w:val="PointsBulletsSRUChar"/>
    <w:rsid w:val="003746F8"/>
    <w:pPr>
      <w:keepNext/>
      <w:numPr>
        <w:numId w:val="16"/>
      </w:numPr>
      <w:spacing w:after="120" w:line="240" w:lineRule="auto"/>
    </w:pPr>
    <w:rPr>
      <w:rFonts w:cs="Times New Roman"/>
      <w:color w:val="auto"/>
      <w:szCs w:val="20"/>
      <w:lang w:eastAsia="en-AU"/>
    </w:rPr>
  </w:style>
  <w:style w:type="paragraph" w:customStyle="1" w:styleId="Level1">
    <w:name w:val="Level 1."/>
    <w:basedOn w:val="Normal"/>
    <w:next w:val="Normal"/>
    <w:rsid w:val="00A96A2F"/>
    <w:pPr>
      <w:numPr>
        <w:numId w:val="17"/>
      </w:numPr>
      <w:spacing w:before="240" w:line="240" w:lineRule="auto"/>
    </w:pPr>
    <w:rPr>
      <w:rFonts w:ascii="Palatino" w:hAnsi="Palatino" w:cs="Times New Roman"/>
      <w:color w:val="auto"/>
      <w:sz w:val="24"/>
      <w:szCs w:val="20"/>
    </w:rPr>
  </w:style>
  <w:style w:type="paragraph" w:customStyle="1" w:styleId="Level11">
    <w:name w:val="Level 1.1"/>
    <w:basedOn w:val="Normal"/>
    <w:next w:val="Normal"/>
    <w:rsid w:val="00A96A2F"/>
    <w:pPr>
      <w:numPr>
        <w:ilvl w:val="1"/>
        <w:numId w:val="17"/>
      </w:numPr>
      <w:spacing w:before="240" w:line="240" w:lineRule="auto"/>
    </w:pPr>
    <w:rPr>
      <w:rFonts w:ascii="Arial" w:hAnsi="Arial" w:cs="Times New Roman"/>
      <w:color w:val="auto"/>
      <w:sz w:val="24"/>
      <w:szCs w:val="20"/>
    </w:rPr>
  </w:style>
  <w:style w:type="paragraph" w:customStyle="1" w:styleId="Levela">
    <w:name w:val="Level (a)"/>
    <w:basedOn w:val="Normal"/>
    <w:next w:val="Normal"/>
    <w:rsid w:val="00A96A2F"/>
    <w:pPr>
      <w:numPr>
        <w:ilvl w:val="2"/>
        <w:numId w:val="17"/>
      </w:numPr>
      <w:spacing w:before="240" w:line="240" w:lineRule="auto"/>
    </w:pPr>
    <w:rPr>
      <w:rFonts w:ascii="Palatino" w:hAnsi="Palatino" w:cs="Times New Roman"/>
      <w:color w:val="auto"/>
      <w:sz w:val="24"/>
      <w:szCs w:val="20"/>
    </w:rPr>
  </w:style>
  <w:style w:type="paragraph" w:customStyle="1" w:styleId="Leveli">
    <w:name w:val="Level (i)"/>
    <w:basedOn w:val="Normal"/>
    <w:next w:val="Normal"/>
    <w:rsid w:val="00A96A2F"/>
    <w:pPr>
      <w:numPr>
        <w:ilvl w:val="3"/>
        <w:numId w:val="17"/>
      </w:numPr>
      <w:spacing w:before="240" w:line="240" w:lineRule="auto"/>
    </w:pPr>
    <w:rPr>
      <w:rFonts w:ascii="Palatino" w:hAnsi="Palatino" w:cs="Times New Roman"/>
      <w:color w:val="auto"/>
      <w:sz w:val="24"/>
      <w:szCs w:val="20"/>
    </w:rPr>
  </w:style>
  <w:style w:type="paragraph" w:customStyle="1" w:styleId="LevelA0">
    <w:name w:val="Level(A)"/>
    <w:basedOn w:val="Normal"/>
    <w:next w:val="Normal"/>
    <w:rsid w:val="00A96A2F"/>
    <w:pPr>
      <w:numPr>
        <w:ilvl w:val="4"/>
        <w:numId w:val="17"/>
      </w:numPr>
      <w:spacing w:before="240" w:line="240" w:lineRule="auto"/>
    </w:pPr>
    <w:rPr>
      <w:rFonts w:ascii="Palatino" w:hAnsi="Palatino" w:cs="Times New Roman"/>
      <w:color w:val="auto"/>
      <w:sz w:val="24"/>
      <w:szCs w:val="20"/>
    </w:rPr>
  </w:style>
  <w:style w:type="paragraph" w:customStyle="1" w:styleId="LevelI0">
    <w:name w:val="Level(I)"/>
    <w:basedOn w:val="Normal"/>
    <w:next w:val="Normal"/>
    <w:rsid w:val="00A96A2F"/>
    <w:pPr>
      <w:numPr>
        <w:ilvl w:val="5"/>
        <w:numId w:val="17"/>
      </w:numPr>
      <w:spacing w:before="240" w:line="240" w:lineRule="auto"/>
    </w:pPr>
    <w:rPr>
      <w:rFonts w:ascii="Palatino" w:hAnsi="Palatino" w:cs="Times New Roman"/>
      <w:color w:val="auto"/>
      <w:sz w:val="24"/>
      <w:szCs w:val="20"/>
    </w:rPr>
  </w:style>
  <w:style w:type="paragraph" w:styleId="NormalIndent">
    <w:name w:val="Normal Indent"/>
    <w:basedOn w:val="Normal"/>
    <w:rsid w:val="006124FA"/>
    <w:pPr>
      <w:spacing w:line="240" w:lineRule="auto"/>
      <w:ind w:left="567"/>
      <w:jc w:val="both"/>
    </w:pPr>
    <w:rPr>
      <w:rFonts w:ascii="Times New Roman" w:hAnsi="Times New Roman" w:cs="Times New Roman"/>
      <w:color w:val="auto"/>
      <w:sz w:val="24"/>
      <w:szCs w:val="20"/>
    </w:rPr>
  </w:style>
  <w:style w:type="table" w:customStyle="1" w:styleId="TableGrid2">
    <w:name w:val="Table Grid2"/>
    <w:basedOn w:val="TableNormal"/>
    <w:next w:val="TableGrid"/>
    <w:uiPriority w:val="39"/>
    <w:rsid w:val="000F2166"/>
    <w:pPr>
      <w:spacing w:before="120" w:after="120" w:line="36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32DC6"/>
    <w:rPr>
      <w:rFonts w:ascii="Arial Rounded MT Bold" w:hAnsi="Arial Rounded MT Bold" w:cs="Arial"/>
      <w:color w:val="0000FF"/>
      <w:sz w:val="22"/>
      <w:szCs w:val="22"/>
      <w:lang w:eastAsia="en-US"/>
    </w:rPr>
  </w:style>
  <w:style w:type="numbering" w:customStyle="1" w:styleId="NoList1">
    <w:name w:val="No List1"/>
    <w:next w:val="NoList"/>
    <w:uiPriority w:val="99"/>
    <w:semiHidden/>
    <w:unhideWhenUsed/>
    <w:rsid w:val="00464591"/>
  </w:style>
  <w:style w:type="table" w:customStyle="1" w:styleId="TableGrid3">
    <w:name w:val="Table Grid3"/>
    <w:basedOn w:val="TableNormal"/>
    <w:next w:val="TableGrid"/>
    <w:uiPriority w:val="59"/>
    <w:rsid w:val="0046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1">
    <w:name w:val="Table List 31"/>
    <w:basedOn w:val="TableNormal"/>
    <w:next w:val="TableList3"/>
    <w:rsid w:val="004645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BETable12">
    <w:name w:val="BE Table 12"/>
    <w:basedOn w:val="TableNormal"/>
    <w:uiPriority w:val="99"/>
    <w:qFormat/>
    <w:rsid w:val="00464591"/>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table" w:customStyle="1" w:styleId="BETable21">
    <w:name w:val="BE Table 21"/>
    <w:basedOn w:val="BETable1"/>
    <w:uiPriority w:val="99"/>
    <w:qFormat/>
    <w:rsid w:val="00464591"/>
    <w:tblPr>
      <w:tblBorders>
        <w:top w:val="none" w:sz="0" w:space="0" w:color="auto"/>
        <w:left w:val="single" w:sz="4" w:space="0" w:color="7F7F7F" w:themeColor="background2"/>
        <w:bottom w:val="single" w:sz="4" w:space="0" w:color="7F7F7F" w:themeColor="background2"/>
        <w:right w:val="single" w:sz="4" w:space="0" w:color="7F7F7F"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table" w:customStyle="1" w:styleId="BETable111">
    <w:name w:val="BE Table 111"/>
    <w:basedOn w:val="TableNormal"/>
    <w:uiPriority w:val="99"/>
    <w:qFormat/>
    <w:rsid w:val="00464591"/>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table" w:customStyle="1" w:styleId="TableGrid11">
    <w:name w:val="Table Grid11"/>
    <w:basedOn w:val="TableNormal"/>
    <w:next w:val="TableGrid"/>
    <w:uiPriority w:val="59"/>
    <w:rsid w:val="004645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64591"/>
    <w:pPr>
      <w:spacing w:before="120" w:after="120" w:line="36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9820515">
      <w:bodyDiv w:val="1"/>
      <w:marLeft w:val="0"/>
      <w:marRight w:val="0"/>
      <w:marTop w:val="0"/>
      <w:marBottom w:val="0"/>
      <w:divBdr>
        <w:top w:val="none" w:sz="0" w:space="0" w:color="auto"/>
        <w:left w:val="none" w:sz="0" w:space="0" w:color="auto"/>
        <w:bottom w:val="none" w:sz="0" w:space="0" w:color="auto"/>
        <w:right w:val="none" w:sz="0" w:space="0" w:color="auto"/>
      </w:divBdr>
      <w:divsChild>
        <w:div w:id="107748997">
          <w:marLeft w:val="0"/>
          <w:marRight w:val="0"/>
          <w:marTop w:val="0"/>
          <w:marBottom w:val="41"/>
          <w:divBdr>
            <w:top w:val="none" w:sz="0" w:space="0" w:color="auto"/>
            <w:left w:val="none" w:sz="0" w:space="0" w:color="auto"/>
            <w:bottom w:val="none" w:sz="0" w:space="0" w:color="auto"/>
            <w:right w:val="none" w:sz="0" w:space="0" w:color="auto"/>
          </w:divBdr>
          <w:divsChild>
            <w:div w:id="134763933">
              <w:marLeft w:val="0"/>
              <w:marRight w:val="0"/>
              <w:marTop w:val="0"/>
              <w:marBottom w:val="0"/>
              <w:divBdr>
                <w:top w:val="none" w:sz="0" w:space="0" w:color="auto"/>
                <w:left w:val="none" w:sz="0" w:space="0" w:color="auto"/>
                <w:bottom w:val="none" w:sz="0" w:space="0" w:color="auto"/>
                <w:right w:val="none" w:sz="0" w:space="0" w:color="auto"/>
              </w:divBdr>
              <w:divsChild>
                <w:div w:id="742801579">
                  <w:marLeft w:val="0"/>
                  <w:marRight w:val="0"/>
                  <w:marTop w:val="0"/>
                  <w:marBottom w:val="0"/>
                  <w:divBdr>
                    <w:top w:val="none" w:sz="0" w:space="0" w:color="auto"/>
                    <w:left w:val="none" w:sz="0" w:space="0" w:color="auto"/>
                    <w:bottom w:val="none" w:sz="0" w:space="0" w:color="auto"/>
                    <w:right w:val="none" w:sz="0" w:space="0" w:color="auto"/>
                  </w:divBdr>
                </w:div>
              </w:divsChild>
            </w:div>
            <w:div w:id="1324704422">
              <w:marLeft w:val="0"/>
              <w:marRight w:val="0"/>
              <w:marTop w:val="0"/>
              <w:marBottom w:val="0"/>
              <w:divBdr>
                <w:top w:val="none" w:sz="0" w:space="0" w:color="auto"/>
                <w:left w:val="none" w:sz="0" w:space="0" w:color="auto"/>
                <w:bottom w:val="single" w:sz="6" w:space="0" w:color="E5E5E3"/>
                <w:right w:val="none" w:sz="0" w:space="0" w:color="auto"/>
              </w:divBdr>
              <w:divsChild>
                <w:div w:id="2288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18876">
          <w:marLeft w:val="0"/>
          <w:marRight w:val="0"/>
          <w:marTop w:val="0"/>
          <w:marBottom w:val="41"/>
          <w:divBdr>
            <w:top w:val="none" w:sz="0" w:space="0" w:color="auto"/>
            <w:left w:val="none" w:sz="0" w:space="0" w:color="auto"/>
            <w:bottom w:val="none" w:sz="0" w:space="0" w:color="auto"/>
            <w:right w:val="none" w:sz="0" w:space="0" w:color="auto"/>
          </w:divBdr>
          <w:divsChild>
            <w:div w:id="1108156099">
              <w:marLeft w:val="0"/>
              <w:marRight w:val="0"/>
              <w:marTop w:val="0"/>
              <w:marBottom w:val="0"/>
              <w:divBdr>
                <w:top w:val="none" w:sz="0" w:space="0" w:color="auto"/>
                <w:left w:val="none" w:sz="0" w:space="0" w:color="auto"/>
                <w:bottom w:val="single" w:sz="6" w:space="0" w:color="E5E5E3"/>
                <w:right w:val="none" w:sz="0" w:space="0" w:color="auto"/>
              </w:divBdr>
              <w:divsChild>
                <w:div w:id="810635968">
                  <w:marLeft w:val="0"/>
                  <w:marRight w:val="0"/>
                  <w:marTop w:val="0"/>
                  <w:marBottom w:val="0"/>
                  <w:divBdr>
                    <w:top w:val="none" w:sz="0" w:space="0" w:color="auto"/>
                    <w:left w:val="none" w:sz="0" w:space="0" w:color="auto"/>
                    <w:bottom w:val="none" w:sz="0" w:space="0" w:color="auto"/>
                    <w:right w:val="none" w:sz="0" w:space="0" w:color="auto"/>
                  </w:divBdr>
                </w:div>
              </w:divsChild>
            </w:div>
            <w:div w:id="1133018622">
              <w:marLeft w:val="0"/>
              <w:marRight w:val="0"/>
              <w:marTop w:val="0"/>
              <w:marBottom w:val="0"/>
              <w:divBdr>
                <w:top w:val="none" w:sz="0" w:space="0" w:color="auto"/>
                <w:left w:val="none" w:sz="0" w:space="0" w:color="auto"/>
                <w:bottom w:val="none" w:sz="0" w:space="0" w:color="auto"/>
                <w:right w:val="none" w:sz="0" w:space="0" w:color="auto"/>
              </w:divBdr>
              <w:divsChild>
                <w:div w:id="110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7400">
          <w:marLeft w:val="0"/>
          <w:marRight w:val="0"/>
          <w:marTop w:val="0"/>
          <w:marBottom w:val="0"/>
          <w:divBdr>
            <w:top w:val="none" w:sz="0" w:space="0" w:color="auto"/>
            <w:left w:val="none" w:sz="0" w:space="0" w:color="auto"/>
            <w:bottom w:val="none" w:sz="0" w:space="0" w:color="auto"/>
            <w:right w:val="none" w:sz="0" w:space="0" w:color="auto"/>
          </w:divBdr>
          <w:divsChild>
            <w:div w:id="1281912157">
              <w:marLeft w:val="0"/>
              <w:marRight w:val="0"/>
              <w:marTop w:val="0"/>
              <w:marBottom w:val="0"/>
              <w:divBdr>
                <w:top w:val="none" w:sz="0" w:space="0" w:color="auto"/>
                <w:left w:val="none" w:sz="0" w:space="0" w:color="auto"/>
                <w:bottom w:val="single" w:sz="6" w:space="0" w:color="E5E5E3"/>
                <w:right w:val="none" w:sz="0" w:space="0" w:color="auto"/>
              </w:divBdr>
              <w:divsChild>
                <w:div w:id="450903116">
                  <w:marLeft w:val="0"/>
                  <w:marRight w:val="0"/>
                  <w:marTop w:val="0"/>
                  <w:marBottom w:val="0"/>
                  <w:divBdr>
                    <w:top w:val="none" w:sz="0" w:space="0" w:color="auto"/>
                    <w:left w:val="none" w:sz="0" w:space="0" w:color="auto"/>
                    <w:bottom w:val="none" w:sz="0" w:space="0" w:color="auto"/>
                    <w:right w:val="none" w:sz="0" w:space="0" w:color="auto"/>
                  </w:divBdr>
                </w:div>
              </w:divsChild>
            </w:div>
            <w:div w:id="1814059166">
              <w:marLeft w:val="0"/>
              <w:marRight w:val="0"/>
              <w:marTop w:val="0"/>
              <w:marBottom w:val="0"/>
              <w:divBdr>
                <w:top w:val="none" w:sz="0" w:space="0" w:color="auto"/>
                <w:left w:val="none" w:sz="0" w:space="0" w:color="auto"/>
                <w:bottom w:val="none" w:sz="0" w:space="0" w:color="auto"/>
                <w:right w:val="none" w:sz="0" w:space="0" w:color="auto"/>
              </w:divBdr>
              <w:divsChild>
                <w:div w:id="7648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3278">
          <w:marLeft w:val="0"/>
          <w:marRight w:val="0"/>
          <w:marTop w:val="0"/>
          <w:marBottom w:val="41"/>
          <w:divBdr>
            <w:top w:val="none" w:sz="0" w:space="0" w:color="auto"/>
            <w:left w:val="none" w:sz="0" w:space="0" w:color="auto"/>
            <w:bottom w:val="none" w:sz="0" w:space="0" w:color="auto"/>
            <w:right w:val="none" w:sz="0" w:space="0" w:color="auto"/>
          </w:divBdr>
          <w:divsChild>
            <w:div w:id="559250493">
              <w:marLeft w:val="0"/>
              <w:marRight w:val="0"/>
              <w:marTop w:val="0"/>
              <w:marBottom w:val="0"/>
              <w:divBdr>
                <w:top w:val="none" w:sz="0" w:space="0" w:color="auto"/>
                <w:left w:val="none" w:sz="0" w:space="0" w:color="auto"/>
                <w:bottom w:val="none" w:sz="0" w:space="0" w:color="auto"/>
                <w:right w:val="none" w:sz="0" w:space="0" w:color="auto"/>
              </w:divBdr>
              <w:divsChild>
                <w:div w:id="1323505753">
                  <w:marLeft w:val="0"/>
                  <w:marRight w:val="0"/>
                  <w:marTop w:val="0"/>
                  <w:marBottom w:val="0"/>
                  <w:divBdr>
                    <w:top w:val="none" w:sz="0" w:space="0" w:color="auto"/>
                    <w:left w:val="none" w:sz="0" w:space="0" w:color="auto"/>
                    <w:bottom w:val="none" w:sz="0" w:space="0" w:color="auto"/>
                    <w:right w:val="none" w:sz="0" w:space="0" w:color="auto"/>
                  </w:divBdr>
                </w:div>
              </w:divsChild>
            </w:div>
            <w:div w:id="1375041827">
              <w:marLeft w:val="0"/>
              <w:marRight w:val="0"/>
              <w:marTop w:val="0"/>
              <w:marBottom w:val="0"/>
              <w:divBdr>
                <w:top w:val="none" w:sz="0" w:space="0" w:color="auto"/>
                <w:left w:val="none" w:sz="0" w:space="0" w:color="auto"/>
                <w:bottom w:val="single" w:sz="6" w:space="0" w:color="E5E5E3"/>
                <w:right w:val="none" w:sz="0" w:space="0" w:color="auto"/>
              </w:divBdr>
              <w:divsChild>
                <w:div w:id="5344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3491">
          <w:marLeft w:val="0"/>
          <w:marRight w:val="0"/>
          <w:marTop w:val="0"/>
          <w:marBottom w:val="41"/>
          <w:divBdr>
            <w:top w:val="none" w:sz="0" w:space="0" w:color="auto"/>
            <w:left w:val="none" w:sz="0" w:space="0" w:color="auto"/>
            <w:bottom w:val="none" w:sz="0" w:space="0" w:color="auto"/>
            <w:right w:val="none" w:sz="0" w:space="0" w:color="auto"/>
          </w:divBdr>
          <w:divsChild>
            <w:div w:id="516041160">
              <w:marLeft w:val="0"/>
              <w:marRight w:val="0"/>
              <w:marTop w:val="0"/>
              <w:marBottom w:val="0"/>
              <w:divBdr>
                <w:top w:val="none" w:sz="0" w:space="0" w:color="auto"/>
                <w:left w:val="none" w:sz="0" w:space="0" w:color="auto"/>
                <w:bottom w:val="none" w:sz="0" w:space="0" w:color="auto"/>
                <w:right w:val="none" w:sz="0" w:space="0" w:color="auto"/>
              </w:divBdr>
              <w:divsChild>
                <w:div w:id="189346420">
                  <w:marLeft w:val="0"/>
                  <w:marRight w:val="0"/>
                  <w:marTop w:val="0"/>
                  <w:marBottom w:val="0"/>
                  <w:divBdr>
                    <w:top w:val="none" w:sz="0" w:space="0" w:color="auto"/>
                    <w:left w:val="none" w:sz="0" w:space="0" w:color="auto"/>
                    <w:bottom w:val="none" w:sz="0" w:space="0" w:color="auto"/>
                    <w:right w:val="none" w:sz="0" w:space="0" w:color="auto"/>
                  </w:divBdr>
                </w:div>
              </w:divsChild>
            </w:div>
            <w:div w:id="1787263422">
              <w:marLeft w:val="0"/>
              <w:marRight w:val="0"/>
              <w:marTop w:val="0"/>
              <w:marBottom w:val="0"/>
              <w:divBdr>
                <w:top w:val="none" w:sz="0" w:space="0" w:color="auto"/>
                <w:left w:val="none" w:sz="0" w:space="0" w:color="auto"/>
                <w:bottom w:val="single" w:sz="6" w:space="0" w:color="E5E5E3"/>
                <w:right w:val="none" w:sz="0" w:space="0" w:color="auto"/>
              </w:divBdr>
              <w:divsChild>
                <w:div w:id="15580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2640">
          <w:marLeft w:val="0"/>
          <w:marRight w:val="0"/>
          <w:marTop w:val="0"/>
          <w:marBottom w:val="41"/>
          <w:divBdr>
            <w:top w:val="none" w:sz="0" w:space="0" w:color="auto"/>
            <w:left w:val="none" w:sz="0" w:space="0" w:color="auto"/>
            <w:bottom w:val="none" w:sz="0" w:space="0" w:color="auto"/>
            <w:right w:val="none" w:sz="0" w:space="0" w:color="auto"/>
          </w:divBdr>
          <w:divsChild>
            <w:div w:id="82264765">
              <w:marLeft w:val="0"/>
              <w:marRight w:val="0"/>
              <w:marTop w:val="0"/>
              <w:marBottom w:val="0"/>
              <w:divBdr>
                <w:top w:val="none" w:sz="0" w:space="0" w:color="auto"/>
                <w:left w:val="none" w:sz="0" w:space="0" w:color="auto"/>
                <w:bottom w:val="none" w:sz="0" w:space="0" w:color="auto"/>
                <w:right w:val="none" w:sz="0" w:space="0" w:color="auto"/>
              </w:divBdr>
              <w:divsChild>
                <w:div w:id="980426444">
                  <w:marLeft w:val="0"/>
                  <w:marRight w:val="0"/>
                  <w:marTop w:val="0"/>
                  <w:marBottom w:val="0"/>
                  <w:divBdr>
                    <w:top w:val="none" w:sz="0" w:space="0" w:color="auto"/>
                    <w:left w:val="none" w:sz="0" w:space="0" w:color="auto"/>
                    <w:bottom w:val="none" w:sz="0" w:space="0" w:color="auto"/>
                    <w:right w:val="none" w:sz="0" w:space="0" w:color="auto"/>
                  </w:divBdr>
                </w:div>
              </w:divsChild>
            </w:div>
            <w:div w:id="509560575">
              <w:marLeft w:val="0"/>
              <w:marRight w:val="0"/>
              <w:marTop w:val="0"/>
              <w:marBottom w:val="0"/>
              <w:divBdr>
                <w:top w:val="none" w:sz="0" w:space="0" w:color="auto"/>
                <w:left w:val="none" w:sz="0" w:space="0" w:color="auto"/>
                <w:bottom w:val="single" w:sz="6" w:space="0" w:color="E5E5E3"/>
                <w:right w:val="none" w:sz="0" w:space="0" w:color="auto"/>
              </w:divBdr>
              <w:divsChild>
                <w:div w:id="118982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4972">
      <w:bodyDiv w:val="1"/>
      <w:marLeft w:val="0"/>
      <w:marRight w:val="0"/>
      <w:marTop w:val="0"/>
      <w:marBottom w:val="0"/>
      <w:divBdr>
        <w:top w:val="none" w:sz="0" w:space="0" w:color="auto"/>
        <w:left w:val="none" w:sz="0" w:space="0" w:color="auto"/>
        <w:bottom w:val="none" w:sz="0" w:space="0" w:color="auto"/>
        <w:right w:val="none" w:sz="0" w:space="0" w:color="auto"/>
      </w:divBdr>
    </w:div>
    <w:div w:id="44064967">
      <w:bodyDiv w:val="1"/>
      <w:marLeft w:val="0"/>
      <w:marRight w:val="0"/>
      <w:marTop w:val="0"/>
      <w:marBottom w:val="0"/>
      <w:divBdr>
        <w:top w:val="none" w:sz="0" w:space="0" w:color="auto"/>
        <w:left w:val="none" w:sz="0" w:space="0" w:color="auto"/>
        <w:bottom w:val="none" w:sz="0" w:space="0" w:color="auto"/>
        <w:right w:val="none" w:sz="0" w:space="0" w:color="auto"/>
      </w:divBdr>
    </w:div>
    <w:div w:id="51000141">
      <w:bodyDiv w:val="1"/>
      <w:marLeft w:val="0"/>
      <w:marRight w:val="0"/>
      <w:marTop w:val="0"/>
      <w:marBottom w:val="0"/>
      <w:divBdr>
        <w:top w:val="none" w:sz="0" w:space="0" w:color="auto"/>
        <w:left w:val="none" w:sz="0" w:space="0" w:color="auto"/>
        <w:bottom w:val="none" w:sz="0" w:space="0" w:color="auto"/>
        <w:right w:val="none" w:sz="0" w:space="0" w:color="auto"/>
      </w:divBdr>
    </w:div>
    <w:div w:id="105466207">
      <w:bodyDiv w:val="1"/>
      <w:marLeft w:val="0"/>
      <w:marRight w:val="0"/>
      <w:marTop w:val="0"/>
      <w:marBottom w:val="0"/>
      <w:divBdr>
        <w:top w:val="none" w:sz="0" w:space="0" w:color="auto"/>
        <w:left w:val="none" w:sz="0" w:space="0" w:color="auto"/>
        <w:bottom w:val="none" w:sz="0" w:space="0" w:color="auto"/>
        <w:right w:val="none" w:sz="0" w:space="0" w:color="auto"/>
      </w:divBdr>
    </w:div>
    <w:div w:id="106893113">
      <w:bodyDiv w:val="1"/>
      <w:marLeft w:val="0"/>
      <w:marRight w:val="0"/>
      <w:marTop w:val="0"/>
      <w:marBottom w:val="0"/>
      <w:divBdr>
        <w:top w:val="none" w:sz="0" w:space="0" w:color="auto"/>
        <w:left w:val="none" w:sz="0" w:space="0" w:color="auto"/>
        <w:bottom w:val="none" w:sz="0" w:space="0" w:color="auto"/>
        <w:right w:val="none" w:sz="0" w:space="0" w:color="auto"/>
      </w:divBdr>
    </w:div>
    <w:div w:id="114521628">
      <w:bodyDiv w:val="1"/>
      <w:marLeft w:val="0"/>
      <w:marRight w:val="0"/>
      <w:marTop w:val="0"/>
      <w:marBottom w:val="0"/>
      <w:divBdr>
        <w:top w:val="none" w:sz="0" w:space="0" w:color="auto"/>
        <w:left w:val="none" w:sz="0" w:space="0" w:color="auto"/>
        <w:bottom w:val="none" w:sz="0" w:space="0" w:color="auto"/>
        <w:right w:val="none" w:sz="0" w:space="0" w:color="auto"/>
      </w:divBdr>
    </w:div>
    <w:div w:id="178473327">
      <w:bodyDiv w:val="1"/>
      <w:marLeft w:val="0"/>
      <w:marRight w:val="0"/>
      <w:marTop w:val="0"/>
      <w:marBottom w:val="0"/>
      <w:divBdr>
        <w:top w:val="none" w:sz="0" w:space="0" w:color="auto"/>
        <w:left w:val="none" w:sz="0" w:space="0" w:color="auto"/>
        <w:bottom w:val="none" w:sz="0" w:space="0" w:color="auto"/>
        <w:right w:val="none" w:sz="0" w:space="0" w:color="auto"/>
      </w:divBdr>
    </w:div>
    <w:div w:id="195198680">
      <w:bodyDiv w:val="1"/>
      <w:marLeft w:val="0"/>
      <w:marRight w:val="0"/>
      <w:marTop w:val="0"/>
      <w:marBottom w:val="0"/>
      <w:divBdr>
        <w:top w:val="none" w:sz="0" w:space="0" w:color="auto"/>
        <w:left w:val="none" w:sz="0" w:space="0" w:color="auto"/>
        <w:bottom w:val="none" w:sz="0" w:space="0" w:color="auto"/>
        <w:right w:val="none" w:sz="0" w:space="0" w:color="auto"/>
      </w:divBdr>
    </w:div>
    <w:div w:id="196044825">
      <w:bodyDiv w:val="1"/>
      <w:marLeft w:val="0"/>
      <w:marRight w:val="0"/>
      <w:marTop w:val="0"/>
      <w:marBottom w:val="0"/>
      <w:divBdr>
        <w:top w:val="none" w:sz="0" w:space="0" w:color="auto"/>
        <w:left w:val="none" w:sz="0" w:space="0" w:color="auto"/>
        <w:bottom w:val="none" w:sz="0" w:space="0" w:color="auto"/>
        <w:right w:val="none" w:sz="0" w:space="0" w:color="auto"/>
      </w:divBdr>
    </w:div>
    <w:div w:id="199977256">
      <w:bodyDiv w:val="1"/>
      <w:marLeft w:val="0"/>
      <w:marRight w:val="0"/>
      <w:marTop w:val="0"/>
      <w:marBottom w:val="0"/>
      <w:divBdr>
        <w:top w:val="none" w:sz="0" w:space="0" w:color="auto"/>
        <w:left w:val="none" w:sz="0" w:space="0" w:color="auto"/>
        <w:bottom w:val="none" w:sz="0" w:space="0" w:color="auto"/>
        <w:right w:val="none" w:sz="0" w:space="0" w:color="auto"/>
      </w:divBdr>
    </w:div>
    <w:div w:id="217668495">
      <w:bodyDiv w:val="1"/>
      <w:marLeft w:val="0"/>
      <w:marRight w:val="0"/>
      <w:marTop w:val="0"/>
      <w:marBottom w:val="0"/>
      <w:divBdr>
        <w:top w:val="none" w:sz="0" w:space="0" w:color="auto"/>
        <w:left w:val="none" w:sz="0" w:space="0" w:color="auto"/>
        <w:bottom w:val="none" w:sz="0" w:space="0" w:color="auto"/>
        <w:right w:val="none" w:sz="0" w:space="0" w:color="auto"/>
      </w:divBdr>
    </w:div>
    <w:div w:id="255215838">
      <w:bodyDiv w:val="1"/>
      <w:marLeft w:val="0"/>
      <w:marRight w:val="0"/>
      <w:marTop w:val="0"/>
      <w:marBottom w:val="0"/>
      <w:divBdr>
        <w:top w:val="none" w:sz="0" w:space="0" w:color="auto"/>
        <w:left w:val="none" w:sz="0" w:space="0" w:color="auto"/>
        <w:bottom w:val="none" w:sz="0" w:space="0" w:color="auto"/>
        <w:right w:val="none" w:sz="0" w:space="0" w:color="auto"/>
      </w:divBdr>
    </w:div>
    <w:div w:id="271477007">
      <w:bodyDiv w:val="1"/>
      <w:marLeft w:val="0"/>
      <w:marRight w:val="0"/>
      <w:marTop w:val="0"/>
      <w:marBottom w:val="0"/>
      <w:divBdr>
        <w:top w:val="none" w:sz="0" w:space="0" w:color="auto"/>
        <w:left w:val="none" w:sz="0" w:space="0" w:color="auto"/>
        <w:bottom w:val="none" w:sz="0" w:space="0" w:color="auto"/>
        <w:right w:val="none" w:sz="0" w:space="0" w:color="auto"/>
      </w:divBdr>
    </w:div>
    <w:div w:id="281964102">
      <w:bodyDiv w:val="1"/>
      <w:marLeft w:val="0"/>
      <w:marRight w:val="0"/>
      <w:marTop w:val="0"/>
      <w:marBottom w:val="0"/>
      <w:divBdr>
        <w:top w:val="none" w:sz="0" w:space="0" w:color="auto"/>
        <w:left w:val="none" w:sz="0" w:space="0" w:color="auto"/>
        <w:bottom w:val="none" w:sz="0" w:space="0" w:color="auto"/>
        <w:right w:val="none" w:sz="0" w:space="0" w:color="auto"/>
      </w:divBdr>
    </w:div>
    <w:div w:id="282470323">
      <w:bodyDiv w:val="1"/>
      <w:marLeft w:val="0"/>
      <w:marRight w:val="0"/>
      <w:marTop w:val="0"/>
      <w:marBottom w:val="0"/>
      <w:divBdr>
        <w:top w:val="none" w:sz="0" w:space="0" w:color="auto"/>
        <w:left w:val="none" w:sz="0" w:space="0" w:color="auto"/>
        <w:bottom w:val="none" w:sz="0" w:space="0" w:color="auto"/>
        <w:right w:val="none" w:sz="0" w:space="0" w:color="auto"/>
      </w:divBdr>
    </w:div>
    <w:div w:id="283972686">
      <w:bodyDiv w:val="1"/>
      <w:marLeft w:val="0"/>
      <w:marRight w:val="0"/>
      <w:marTop w:val="0"/>
      <w:marBottom w:val="0"/>
      <w:divBdr>
        <w:top w:val="none" w:sz="0" w:space="0" w:color="auto"/>
        <w:left w:val="none" w:sz="0" w:space="0" w:color="auto"/>
        <w:bottom w:val="none" w:sz="0" w:space="0" w:color="auto"/>
        <w:right w:val="none" w:sz="0" w:space="0" w:color="auto"/>
      </w:divBdr>
    </w:div>
    <w:div w:id="305203165">
      <w:bodyDiv w:val="1"/>
      <w:marLeft w:val="0"/>
      <w:marRight w:val="0"/>
      <w:marTop w:val="0"/>
      <w:marBottom w:val="0"/>
      <w:divBdr>
        <w:top w:val="none" w:sz="0" w:space="0" w:color="auto"/>
        <w:left w:val="none" w:sz="0" w:space="0" w:color="auto"/>
        <w:bottom w:val="none" w:sz="0" w:space="0" w:color="auto"/>
        <w:right w:val="none" w:sz="0" w:space="0" w:color="auto"/>
      </w:divBdr>
    </w:div>
    <w:div w:id="315645859">
      <w:bodyDiv w:val="1"/>
      <w:marLeft w:val="0"/>
      <w:marRight w:val="0"/>
      <w:marTop w:val="0"/>
      <w:marBottom w:val="0"/>
      <w:divBdr>
        <w:top w:val="none" w:sz="0" w:space="0" w:color="auto"/>
        <w:left w:val="none" w:sz="0" w:space="0" w:color="auto"/>
        <w:bottom w:val="none" w:sz="0" w:space="0" w:color="auto"/>
        <w:right w:val="none" w:sz="0" w:space="0" w:color="auto"/>
      </w:divBdr>
    </w:div>
    <w:div w:id="358432968">
      <w:bodyDiv w:val="1"/>
      <w:marLeft w:val="0"/>
      <w:marRight w:val="0"/>
      <w:marTop w:val="0"/>
      <w:marBottom w:val="0"/>
      <w:divBdr>
        <w:top w:val="none" w:sz="0" w:space="0" w:color="auto"/>
        <w:left w:val="none" w:sz="0" w:space="0" w:color="auto"/>
        <w:bottom w:val="none" w:sz="0" w:space="0" w:color="auto"/>
        <w:right w:val="none" w:sz="0" w:space="0" w:color="auto"/>
      </w:divBdr>
    </w:div>
    <w:div w:id="365372111">
      <w:bodyDiv w:val="1"/>
      <w:marLeft w:val="0"/>
      <w:marRight w:val="0"/>
      <w:marTop w:val="0"/>
      <w:marBottom w:val="0"/>
      <w:divBdr>
        <w:top w:val="none" w:sz="0" w:space="0" w:color="auto"/>
        <w:left w:val="none" w:sz="0" w:space="0" w:color="auto"/>
        <w:bottom w:val="none" w:sz="0" w:space="0" w:color="auto"/>
        <w:right w:val="none" w:sz="0" w:space="0" w:color="auto"/>
      </w:divBdr>
    </w:div>
    <w:div w:id="368915226">
      <w:bodyDiv w:val="1"/>
      <w:marLeft w:val="0"/>
      <w:marRight w:val="0"/>
      <w:marTop w:val="0"/>
      <w:marBottom w:val="0"/>
      <w:divBdr>
        <w:top w:val="none" w:sz="0" w:space="0" w:color="auto"/>
        <w:left w:val="none" w:sz="0" w:space="0" w:color="auto"/>
        <w:bottom w:val="none" w:sz="0" w:space="0" w:color="auto"/>
        <w:right w:val="none" w:sz="0" w:space="0" w:color="auto"/>
      </w:divBdr>
    </w:div>
    <w:div w:id="371001308">
      <w:bodyDiv w:val="1"/>
      <w:marLeft w:val="0"/>
      <w:marRight w:val="0"/>
      <w:marTop w:val="0"/>
      <w:marBottom w:val="0"/>
      <w:divBdr>
        <w:top w:val="none" w:sz="0" w:space="0" w:color="auto"/>
        <w:left w:val="none" w:sz="0" w:space="0" w:color="auto"/>
        <w:bottom w:val="none" w:sz="0" w:space="0" w:color="auto"/>
        <w:right w:val="none" w:sz="0" w:space="0" w:color="auto"/>
      </w:divBdr>
    </w:div>
    <w:div w:id="377096584">
      <w:bodyDiv w:val="1"/>
      <w:marLeft w:val="0"/>
      <w:marRight w:val="0"/>
      <w:marTop w:val="0"/>
      <w:marBottom w:val="0"/>
      <w:divBdr>
        <w:top w:val="none" w:sz="0" w:space="0" w:color="auto"/>
        <w:left w:val="none" w:sz="0" w:space="0" w:color="auto"/>
        <w:bottom w:val="none" w:sz="0" w:space="0" w:color="auto"/>
        <w:right w:val="none" w:sz="0" w:space="0" w:color="auto"/>
      </w:divBdr>
    </w:div>
    <w:div w:id="384597913">
      <w:bodyDiv w:val="1"/>
      <w:marLeft w:val="0"/>
      <w:marRight w:val="0"/>
      <w:marTop w:val="0"/>
      <w:marBottom w:val="0"/>
      <w:divBdr>
        <w:top w:val="none" w:sz="0" w:space="0" w:color="auto"/>
        <w:left w:val="none" w:sz="0" w:space="0" w:color="auto"/>
        <w:bottom w:val="none" w:sz="0" w:space="0" w:color="auto"/>
        <w:right w:val="none" w:sz="0" w:space="0" w:color="auto"/>
      </w:divBdr>
    </w:div>
    <w:div w:id="395514963">
      <w:bodyDiv w:val="1"/>
      <w:marLeft w:val="0"/>
      <w:marRight w:val="0"/>
      <w:marTop w:val="0"/>
      <w:marBottom w:val="0"/>
      <w:divBdr>
        <w:top w:val="none" w:sz="0" w:space="0" w:color="auto"/>
        <w:left w:val="none" w:sz="0" w:space="0" w:color="auto"/>
        <w:bottom w:val="none" w:sz="0" w:space="0" w:color="auto"/>
        <w:right w:val="none" w:sz="0" w:space="0" w:color="auto"/>
      </w:divBdr>
    </w:div>
    <w:div w:id="396362236">
      <w:bodyDiv w:val="1"/>
      <w:marLeft w:val="0"/>
      <w:marRight w:val="0"/>
      <w:marTop w:val="0"/>
      <w:marBottom w:val="0"/>
      <w:divBdr>
        <w:top w:val="none" w:sz="0" w:space="0" w:color="auto"/>
        <w:left w:val="none" w:sz="0" w:space="0" w:color="auto"/>
        <w:bottom w:val="none" w:sz="0" w:space="0" w:color="auto"/>
        <w:right w:val="none" w:sz="0" w:space="0" w:color="auto"/>
      </w:divBdr>
    </w:div>
    <w:div w:id="405685846">
      <w:bodyDiv w:val="1"/>
      <w:marLeft w:val="0"/>
      <w:marRight w:val="0"/>
      <w:marTop w:val="0"/>
      <w:marBottom w:val="0"/>
      <w:divBdr>
        <w:top w:val="none" w:sz="0" w:space="0" w:color="auto"/>
        <w:left w:val="none" w:sz="0" w:space="0" w:color="auto"/>
        <w:bottom w:val="none" w:sz="0" w:space="0" w:color="auto"/>
        <w:right w:val="none" w:sz="0" w:space="0" w:color="auto"/>
      </w:divBdr>
    </w:div>
    <w:div w:id="405878278">
      <w:bodyDiv w:val="1"/>
      <w:marLeft w:val="0"/>
      <w:marRight w:val="0"/>
      <w:marTop w:val="0"/>
      <w:marBottom w:val="0"/>
      <w:divBdr>
        <w:top w:val="none" w:sz="0" w:space="0" w:color="auto"/>
        <w:left w:val="none" w:sz="0" w:space="0" w:color="auto"/>
        <w:bottom w:val="none" w:sz="0" w:space="0" w:color="auto"/>
        <w:right w:val="none" w:sz="0" w:space="0" w:color="auto"/>
      </w:divBdr>
    </w:div>
    <w:div w:id="408507565">
      <w:bodyDiv w:val="1"/>
      <w:marLeft w:val="0"/>
      <w:marRight w:val="0"/>
      <w:marTop w:val="0"/>
      <w:marBottom w:val="0"/>
      <w:divBdr>
        <w:top w:val="none" w:sz="0" w:space="0" w:color="auto"/>
        <w:left w:val="none" w:sz="0" w:space="0" w:color="auto"/>
        <w:bottom w:val="none" w:sz="0" w:space="0" w:color="auto"/>
        <w:right w:val="none" w:sz="0" w:space="0" w:color="auto"/>
      </w:divBdr>
    </w:div>
    <w:div w:id="437870793">
      <w:bodyDiv w:val="1"/>
      <w:marLeft w:val="0"/>
      <w:marRight w:val="0"/>
      <w:marTop w:val="0"/>
      <w:marBottom w:val="0"/>
      <w:divBdr>
        <w:top w:val="none" w:sz="0" w:space="0" w:color="auto"/>
        <w:left w:val="none" w:sz="0" w:space="0" w:color="auto"/>
        <w:bottom w:val="none" w:sz="0" w:space="0" w:color="auto"/>
        <w:right w:val="none" w:sz="0" w:space="0" w:color="auto"/>
      </w:divBdr>
    </w:div>
    <w:div w:id="451363321">
      <w:bodyDiv w:val="1"/>
      <w:marLeft w:val="0"/>
      <w:marRight w:val="0"/>
      <w:marTop w:val="0"/>
      <w:marBottom w:val="0"/>
      <w:divBdr>
        <w:top w:val="none" w:sz="0" w:space="0" w:color="auto"/>
        <w:left w:val="none" w:sz="0" w:space="0" w:color="auto"/>
        <w:bottom w:val="none" w:sz="0" w:space="0" w:color="auto"/>
        <w:right w:val="none" w:sz="0" w:space="0" w:color="auto"/>
      </w:divBdr>
      <w:divsChild>
        <w:div w:id="139543517">
          <w:marLeft w:val="1138"/>
          <w:marRight w:val="0"/>
          <w:marTop w:val="0"/>
          <w:marBottom w:val="0"/>
          <w:divBdr>
            <w:top w:val="none" w:sz="0" w:space="0" w:color="auto"/>
            <w:left w:val="none" w:sz="0" w:space="0" w:color="auto"/>
            <w:bottom w:val="none" w:sz="0" w:space="0" w:color="auto"/>
            <w:right w:val="none" w:sz="0" w:space="0" w:color="auto"/>
          </w:divBdr>
        </w:div>
        <w:div w:id="201946586">
          <w:marLeft w:val="446"/>
          <w:marRight w:val="0"/>
          <w:marTop w:val="0"/>
          <w:marBottom w:val="0"/>
          <w:divBdr>
            <w:top w:val="none" w:sz="0" w:space="0" w:color="auto"/>
            <w:left w:val="none" w:sz="0" w:space="0" w:color="auto"/>
            <w:bottom w:val="none" w:sz="0" w:space="0" w:color="auto"/>
            <w:right w:val="none" w:sz="0" w:space="0" w:color="auto"/>
          </w:divBdr>
        </w:div>
        <w:div w:id="571550575">
          <w:marLeft w:val="1138"/>
          <w:marRight w:val="0"/>
          <w:marTop w:val="0"/>
          <w:marBottom w:val="0"/>
          <w:divBdr>
            <w:top w:val="none" w:sz="0" w:space="0" w:color="auto"/>
            <w:left w:val="none" w:sz="0" w:space="0" w:color="auto"/>
            <w:bottom w:val="none" w:sz="0" w:space="0" w:color="auto"/>
            <w:right w:val="none" w:sz="0" w:space="0" w:color="auto"/>
          </w:divBdr>
        </w:div>
        <w:div w:id="1268582263">
          <w:marLeft w:val="1138"/>
          <w:marRight w:val="0"/>
          <w:marTop w:val="0"/>
          <w:marBottom w:val="0"/>
          <w:divBdr>
            <w:top w:val="none" w:sz="0" w:space="0" w:color="auto"/>
            <w:left w:val="none" w:sz="0" w:space="0" w:color="auto"/>
            <w:bottom w:val="none" w:sz="0" w:space="0" w:color="auto"/>
            <w:right w:val="none" w:sz="0" w:space="0" w:color="auto"/>
          </w:divBdr>
        </w:div>
        <w:div w:id="1625775121">
          <w:marLeft w:val="1138"/>
          <w:marRight w:val="0"/>
          <w:marTop w:val="0"/>
          <w:marBottom w:val="0"/>
          <w:divBdr>
            <w:top w:val="none" w:sz="0" w:space="0" w:color="auto"/>
            <w:left w:val="none" w:sz="0" w:space="0" w:color="auto"/>
            <w:bottom w:val="none" w:sz="0" w:space="0" w:color="auto"/>
            <w:right w:val="none" w:sz="0" w:space="0" w:color="auto"/>
          </w:divBdr>
        </w:div>
        <w:div w:id="1657411681">
          <w:marLeft w:val="1138"/>
          <w:marRight w:val="0"/>
          <w:marTop w:val="0"/>
          <w:marBottom w:val="0"/>
          <w:divBdr>
            <w:top w:val="none" w:sz="0" w:space="0" w:color="auto"/>
            <w:left w:val="none" w:sz="0" w:space="0" w:color="auto"/>
            <w:bottom w:val="none" w:sz="0" w:space="0" w:color="auto"/>
            <w:right w:val="none" w:sz="0" w:space="0" w:color="auto"/>
          </w:divBdr>
        </w:div>
      </w:divsChild>
    </w:div>
    <w:div w:id="475685316">
      <w:bodyDiv w:val="1"/>
      <w:marLeft w:val="0"/>
      <w:marRight w:val="0"/>
      <w:marTop w:val="0"/>
      <w:marBottom w:val="0"/>
      <w:divBdr>
        <w:top w:val="none" w:sz="0" w:space="0" w:color="auto"/>
        <w:left w:val="none" w:sz="0" w:space="0" w:color="auto"/>
        <w:bottom w:val="none" w:sz="0" w:space="0" w:color="auto"/>
        <w:right w:val="none" w:sz="0" w:space="0" w:color="auto"/>
      </w:divBdr>
    </w:div>
    <w:div w:id="477458843">
      <w:bodyDiv w:val="1"/>
      <w:marLeft w:val="0"/>
      <w:marRight w:val="0"/>
      <w:marTop w:val="0"/>
      <w:marBottom w:val="0"/>
      <w:divBdr>
        <w:top w:val="none" w:sz="0" w:space="0" w:color="auto"/>
        <w:left w:val="none" w:sz="0" w:space="0" w:color="auto"/>
        <w:bottom w:val="none" w:sz="0" w:space="0" w:color="auto"/>
        <w:right w:val="none" w:sz="0" w:space="0" w:color="auto"/>
      </w:divBdr>
    </w:div>
    <w:div w:id="485170912">
      <w:bodyDiv w:val="1"/>
      <w:marLeft w:val="0"/>
      <w:marRight w:val="0"/>
      <w:marTop w:val="0"/>
      <w:marBottom w:val="0"/>
      <w:divBdr>
        <w:top w:val="none" w:sz="0" w:space="0" w:color="auto"/>
        <w:left w:val="none" w:sz="0" w:space="0" w:color="auto"/>
        <w:bottom w:val="none" w:sz="0" w:space="0" w:color="auto"/>
        <w:right w:val="none" w:sz="0" w:space="0" w:color="auto"/>
      </w:divBdr>
    </w:div>
    <w:div w:id="502090819">
      <w:bodyDiv w:val="1"/>
      <w:marLeft w:val="0"/>
      <w:marRight w:val="0"/>
      <w:marTop w:val="0"/>
      <w:marBottom w:val="0"/>
      <w:divBdr>
        <w:top w:val="none" w:sz="0" w:space="0" w:color="auto"/>
        <w:left w:val="none" w:sz="0" w:space="0" w:color="auto"/>
        <w:bottom w:val="none" w:sz="0" w:space="0" w:color="auto"/>
        <w:right w:val="none" w:sz="0" w:space="0" w:color="auto"/>
      </w:divBdr>
    </w:div>
    <w:div w:id="510411617">
      <w:bodyDiv w:val="1"/>
      <w:marLeft w:val="0"/>
      <w:marRight w:val="0"/>
      <w:marTop w:val="0"/>
      <w:marBottom w:val="0"/>
      <w:divBdr>
        <w:top w:val="none" w:sz="0" w:space="0" w:color="auto"/>
        <w:left w:val="none" w:sz="0" w:space="0" w:color="auto"/>
        <w:bottom w:val="none" w:sz="0" w:space="0" w:color="auto"/>
        <w:right w:val="none" w:sz="0" w:space="0" w:color="auto"/>
      </w:divBdr>
    </w:div>
    <w:div w:id="516818183">
      <w:bodyDiv w:val="1"/>
      <w:marLeft w:val="0"/>
      <w:marRight w:val="0"/>
      <w:marTop w:val="0"/>
      <w:marBottom w:val="0"/>
      <w:divBdr>
        <w:top w:val="none" w:sz="0" w:space="0" w:color="auto"/>
        <w:left w:val="none" w:sz="0" w:space="0" w:color="auto"/>
        <w:bottom w:val="none" w:sz="0" w:space="0" w:color="auto"/>
        <w:right w:val="none" w:sz="0" w:space="0" w:color="auto"/>
      </w:divBdr>
    </w:div>
    <w:div w:id="554125270">
      <w:bodyDiv w:val="1"/>
      <w:marLeft w:val="0"/>
      <w:marRight w:val="0"/>
      <w:marTop w:val="0"/>
      <w:marBottom w:val="0"/>
      <w:divBdr>
        <w:top w:val="none" w:sz="0" w:space="0" w:color="auto"/>
        <w:left w:val="none" w:sz="0" w:space="0" w:color="auto"/>
        <w:bottom w:val="none" w:sz="0" w:space="0" w:color="auto"/>
        <w:right w:val="none" w:sz="0" w:space="0" w:color="auto"/>
      </w:divBdr>
    </w:div>
    <w:div w:id="554661385">
      <w:bodyDiv w:val="1"/>
      <w:marLeft w:val="0"/>
      <w:marRight w:val="0"/>
      <w:marTop w:val="0"/>
      <w:marBottom w:val="0"/>
      <w:divBdr>
        <w:top w:val="none" w:sz="0" w:space="0" w:color="auto"/>
        <w:left w:val="none" w:sz="0" w:space="0" w:color="auto"/>
        <w:bottom w:val="none" w:sz="0" w:space="0" w:color="auto"/>
        <w:right w:val="none" w:sz="0" w:space="0" w:color="auto"/>
      </w:divBdr>
    </w:div>
    <w:div w:id="562301447">
      <w:bodyDiv w:val="1"/>
      <w:marLeft w:val="0"/>
      <w:marRight w:val="0"/>
      <w:marTop w:val="0"/>
      <w:marBottom w:val="0"/>
      <w:divBdr>
        <w:top w:val="none" w:sz="0" w:space="0" w:color="auto"/>
        <w:left w:val="none" w:sz="0" w:space="0" w:color="auto"/>
        <w:bottom w:val="none" w:sz="0" w:space="0" w:color="auto"/>
        <w:right w:val="none" w:sz="0" w:space="0" w:color="auto"/>
      </w:divBdr>
    </w:div>
    <w:div w:id="570426173">
      <w:bodyDiv w:val="1"/>
      <w:marLeft w:val="0"/>
      <w:marRight w:val="0"/>
      <w:marTop w:val="0"/>
      <w:marBottom w:val="0"/>
      <w:divBdr>
        <w:top w:val="none" w:sz="0" w:space="0" w:color="auto"/>
        <w:left w:val="none" w:sz="0" w:space="0" w:color="auto"/>
        <w:bottom w:val="none" w:sz="0" w:space="0" w:color="auto"/>
        <w:right w:val="none" w:sz="0" w:space="0" w:color="auto"/>
      </w:divBdr>
    </w:div>
    <w:div w:id="577904270">
      <w:bodyDiv w:val="1"/>
      <w:marLeft w:val="0"/>
      <w:marRight w:val="0"/>
      <w:marTop w:val="0"/>
      <w:marBottom w:val="0"/>
      <w:divBdr>
        <w:top w:val="none" w:sz="0" w:space="0" w:color="auto"/>
        <w:left w:val="none" w:sz="0" w:space="0" w:color="auto"/>
        <w:bottom w:val="none" w:sz="0" w:space="0" w:color="auto"/>
        <w:right w:val="none" w:sz="0" w:space="0" w:color="auto"/>
      </w:divBdr>
    </w:div>
    <w:div w:id="585303048">
      <w:bodyDiv w:val="1"/>
      <w:marLeft w:val="0"/>
      <w:marRight w:val="0"/>
      <w:marTop w:val="0"/>
      <w:marBottom w:val="0"/>
      <w:divBdr>
        <w:top w:val="none" w:sz="0" w:space="0" w:color="auto"/>
        <w:left w:val="none" w:sz="0" w:space="0" w:color="auto"/>
        <w:bottom w:val="none" w:sz="0" w:space="0" w:color="auto"/>
        <w:right w:val="none" w:sz="0" w:space="0" w:color="auto"/>
      </w:divBdr>
    </w:div>
    <w:div w:id="614946149">
      <w:bodyDiv w:val="1"/>
      <w:marLeft w:val="0"/>
      <w:marRight w:val="0"/>
      <w:marTop w:val="0"/>
      <w:marBottom w:val="0"/>
      <w:divBdr>
        <w:top w:val="none" w:sz="0" w:space="0" w:color="auto"/>
        <w:left w:val="none" w:sz="0" w:space="0" w:color="auto"/>
        <w:bottom w:val="none" w:sz="0" w:space="0" w:color="auto"/>
        <w:right w:val="none" w:sz="0" w:space="0" w:color="auto"/>
      </w:divBdr>
    </w:div>
    <w:div w:id="672727553">
      <w:bodyDiv w:val="1"/>
      <w:marLeft w:val="0"/>
      <w:marRight w:val="0"/>
      <w:marTop w:val="0"/>
      <w:marBottom w:val="0"/>
      <w:divBdr>
        <w:top w:val="none" w:sz="0" w:space="0" w:color="auto"/>
        <w:left w:val="none" w:sz="0" w:space="0" w:color="auto"/>
        <w:bottom w:val="none" w:sz="0" w:space="0" w:color="auto"/>
        <w:right w:val="none" w:sz="0" w:space="0" w:color="auto"/>
      </w:divBdr>
    </w:div>
    <w:div w:id="684014280">
      <w:bodyDiv w:val="1"/>
      <w:marLeft w:val="0"/>
      <w:marRight w:val="0"/>
      <w:marTop w:val="0"/>
      <w:marBottom w:val="0"/>
      <w:divBdr>
        <w:top w:val="none" w:sz="0" w:space="0" w:color="auto"/>
        <w:left w:val="none" w:sz="0" w:space="0" w:color="auto"/>
        <w:bottom w:val="none" w:sz="0" w:space="0" w:color="auto"/>
        <w:right w:val="none" w:sz="0" w:space="0" w:color="auto"/>
      </w:divBdr>
    </w:div>
    <w:div w:id="689988476">
      <w:bodyDiv w:val="1"/>
      <w:marLeft w:val="0"/>
      <w:marRight w:val="0"/>
      <w:marTop w:val="0"/>
      <w:marBottom w:val="0"/>
      <w:divBdr>
        <w:top w:val="none" w:sz="0" w:space="0" w:color="auto"/>
        <w:left w:val="none" w:sz="0" w:space="0" w:color="auto"/>
        <w:bottom w:val="none" w:sz="0" w:space="0" w:color="auto"/>
        <w:right w:val="none" w:sz="0" w:space="0" w:color="auto"/>
      </w:divBdr>
    </w:div>
    <w:div w:id="692926398">
      <w:bodyDiv w:val="1"/>
      <w:marLeft w:val="0"/>
      <w:marRight w:val="0"/>
      <w:marTop w:val="0"/>
      <w:marBottom w:val="0"/>
      <w:divBdr>
        <w:top w:val="none" w:sz="0" w:space="0" w:color="auto"/>
        <w:left w:val="none" w:sz="0" w:space="0" w:color="auto"/>
        <w:bottom w:val="none" w:sz="0" w:space="0" w:color="auto"/>
        <w:right w:val="none" w:sz="0" w:space="0" w:color="auto"/>
      </w:divBdr>
    </w:div>
    <w:div w:id="700711460">
      <w:bodyDiv w:val="1"/>
      <w:marLeft w:val="0"/>
      <w:marRight w:val="0"/>
      <w:marTop w:val="0"/>
      <w:marBottom w:val="0"/>
      <w:divBdr>
        <w:top w:val="none" w:sz="0" w:space="0" w:color="auto"/>
        <w:left w:val="none" w:sz="0" w:space="0" w:color="auto"/>
        <w:bottom w:val="none" w:sz="0" w:space="0" w:color="auto"/>
        <w:right w:val="none" w:sz="0" w:space="0" w:color="auto"/>
      </w:divBdr>
    </w:div>
    <w:div w:id="707606315">
      <w:bodyDiv w:val="1"/>
      <w:marLeft w:val="0"/>
      <w:marRight w:val="0"/>
      <w:marTop w:val="0"/>
      <w:marBottom w:val="0"/>
      <w:divBdr>
        <w:top w:val="none" w:sz="0" w:space="0" w:color="auto"/>
        <w:left w:val="none" w:sz="0" w:space="0" w:color="auto"/>
        <w:bottom w:val="none" w:sz="0" w:space="0" w:color="auto"/>
        <w:right w:val="none" w:sz="0" w:space="0" w:color="auto"/>
      </w:divBdr>
    </w:div>
    <w:div w:id="724257975">
      <w:bodyDiv w:val="1"/>
      <w:marLeft w:val="0"/>
      <w:marRight w:val="0"/>
      <w:marTop w:val="0"/>
      <w:marBottom w:val="0"/>
      <w:divBdr>
        <w:top w:val="none" w:sz="0" w:space="0" w:color="auto"/>
        <w:left w:val="none" w:sz="0" w:space="0" w:color="auto"/>
        <w:bottom w:val="none" w:sz="0" w:space="0" w:color="auto"/>
        <w:right w:val="none" w:sz="0" w:space="0" w:color="auto"/>
      </w:divBdr>
    </w:div>
    <w:div w:id="727995181">
      <w:bodyDiv w:val="1"/>
      <w:marLeft w:val="0"/>
      <w:marRight w:val="0"/>
      <w:marTop w:val="0"/>
      <w:marBottom w:val="0"/>
      <w:divBdr>
        <w:top w:val="none" w:sz="0" w:space="0" w:color="auto"/>
        <w:left w:val="none" w:sz="0" w:space="0" w:color="auto"/>
        <w:bottom w:val="none" w:sz="0" w:space="0" w:color="auto"/>
        <w:right w:val="none" w:sz="0" w:space="0" w:color="auto"/>
      </w:divBdr>
    </w:div>
    <w:div w:id="749735482">
      <w:bodyDiv w:val="1"/>
      <w:marLeft w:val="0"/>
      <w:marRight w:val="0"/>
      <w:marTop w:val="0"/>
      <w:marBottom w:val="0"/>
      <w:divBdr>
        <w:top w:val="none" w:sz="0" w:space="0" w:color="auto"/>
        <w:left w:val="none" w:sz="0" w:space="0" w:color="auto"/>
        <w:bottom w:val="none" w:sz="0" w:space="0" w:color="auto"/>
        <w:right w:val="none" w:sz="0" w:space="0" w:color="auto"/>
      </w:divBdr>
    </w:div>
    <w:div w:id="750662804">
      <w:bodyDiv w:val="1"/>
      <w:marLeft w:val="0"/>
      <w:marRight w:val="0"/>
      <w:marTop w:val="0"/>
      <w:marBottom w:val="0"/>
      <w:divBdr>
        <w:top w:val="none" w:sz="0" w:space="0" w:color="auto"/>
        <w:left w:val="none" w:sz="0" w:space="0" w:color="auto"/>
        <w:bottom w:val="none" w:sz="0" w:space="0" w:color="auto"/>
        <w:right w:val="none" w:sz="0" w:space="0" w:color="auto"/>
      </w:divBdr>
    </w:div>
    <w:div w:id="778722642">
      <w:bodyDiv w:val="1"/>
      <w:marLeft w:val="0"/>
      <w:marRight w:val="0"/>
      <w:marTop w:val="0"/>
      <w:marBottom w:val="0"/>
      <w:divBdr>
        <w:top w:val="none" w:sz="0" w:space="0" w:color="auto"/>
        <w:left w:val="none" w:sz="0" w:space="0" w:color="auto"/>
        <w:bottom w:val="none" w:sz="0" w:space="0" w:color="auto"/>
        <w:right w:val="none" w:sz="0" w:space="0" w:color="auto"/>
      </w:divBdr>
    </w:div>
    <w:div w:id="780950266">
      <w:bodyDiv w:val="1"/>
      <w:marLeft w:val="0"/>
      <w:marRight w:val="0"/>
      <w:marTop w:val="0"/>
      <w:marBottom w:val="0"/>
      <w:divBdr>
        <w:top w:val="none" w:sz="0" w:space="0" w:color="auto"/>
        <w:left w:val="none" w:sz="0" w:space="0" w:color="auto"/>
        <w:bottom w:val="none" w:sz="0" w:space="0" w:color="auto"/>
        <w:right w:val="none" w:sz="0" w:space="0" w:color="auto"/>
      </w:divBdr>
    </w:div>
    <w:div w:id="803353180">
      <w:bodyDiv w:val="1"/>
      <w:marLeft w:val="0"/>
      <w:marRight w:val="0"/>
      <w:marTop w:val="0"/>
      <w:marBottom w:val="0"/>
      <w:divBdr>
        <w:top w:val="none" w:sz="0" w:space="0" w:color="auto"/>
        <w:left w:val="none" w:sz="0" w:space="0" w:color="auto"/>
        <w:bottom w:val="none" w:sz="0" w:space="0" w:color="auto"/>
        <w:right w:val="none" w:sz="0" w:space="0" w:color="auto"/>
      </w:divBdr>
    </w:div>
    <w:div w:id="803818286">
      <w:bodyDiv w:val="1"/>
      <w:marLeft w:val="0"/>
      <w:marRight w:val="0"/>
      <w:marTop w:val="0"/>
      <w:marBottom w:val="0"/>
      <w:divBdr>
        <w:top w:val="none" w:sz="0" w:space="0" w:color="auto"/>
        <w:left w:val="none" w:sz="0" w:space="0" w:color="auto"/>
        <w:bottom w:val="none" w:sz="0" w:space="0" w:color="auto"/>
        <w:right w:val="none" w:sz="0" w:space="0" w:color="auto"/>
      </w:divBdr>
    </w:div>
    <w:div w:id="804617341">
      <w:bodyDiv w:val="1"/>
      <w:marLeft w:val="0"/>
      <w:marRight w:val="0"/>
      <w:marTop w:val="0"/>
      <w:marBottom w:val="0"/>
      <w:divBdr>
        <w:top w:val="none" w:sz="0" w:space="0" w:color="auto"/>
        <w:left w:val="none" w:sz="0" w:space="0" w:color="auto"/>
        <w:bottom w:val="none" w:sz="0" w:space="0" w:color="auto"/>
        <w:right w:val="none" w:sz="0" w:space="0" w:color="auto"/>
      </w:divBdr>
    </w:div>
    <w:div w:id="873545205">
      <w:bodyDiv w:val="1"/>
      <w:marLeft w:val="0"/>
      <w:marRight w:val="0"/>
      <w:marTop w:val="0"/>
      <w:marBottom w:val="0"/>
      <w:divBdr>
        <w:top w:val="none" w:sz="0" w:space="0" w:color="auto"/>
        <w:left w:val="none" w:sz="0" w:space="0" w:color="auto"/>
        <w:bottom w:val="none" w:sz="0" w:space="0" w:color="auto"/>
        <w:right w:val="none" w:sz="0" w:space="0" w:color="auto"/>
      </w:divBdr>
    </w:div>
    <w:div w:id="897322683">
      <w:bodyDiv w:val="1"/>
      <w:marLeft w:val="0"/>
      <w:marRight w:val="0"/>
      <w:marTop w:val="0"/>
      <w:marBottom w:val="0"/>
      <w:divBdr>
        <w:top w:val="none" w:sz="0" w:space="0" w:color="auto"/>
        <w:left w:val="none" w:sz="0" w:space="0" w:color="auto"/>
        <w:bottom w:val="none" w:sz="0" w:space="0" w:color="auto"/>
        <w:right w:val="none" w:sz="0" w:space="0" w:color="auto"/>
      </w:divBdr>
    </w:div>
    <w:div w:id="897790714">
      <w:bodyDiv w:val="1"/>
      <w:marLeft w:val="0"/>
      <w:marRight w:val="0"/>
      <w:marTop w:val="0"/>
      <w:marBottom w:val="0"/>
      <w:divBdr>
        <w:top w:val="none" w:sz="0" w:space="0" w:color="auto"/>
        <w:left w:val="none" w:sz="0" w:space="0" w:color="auto"/>
        <w:bottom w:val="none" w:sz="0" w:space="0" w:color="auto"/>
        <w:right w:val="none" w:sz="0" w:space="0" w:color="auto"/>
      </w:divBdr>
    </w:div>
    <w:div w:id="898125699">
      <w:bodyDiv w:val="1"/>
      <w:marLeft w:val="0"/>
      <w:marRight w:val="0"/>
      <w:marTop w:val="0"/>
      <w:marBottom w:val="0"/>
      <w:divBdr>
        <w:top w:val="none" w:sz="0" w:space="0" w:color="auto"/>
        <w:left w:val="none" w:sz="0" w:space="0" w:color="auto"/>
        <w:bottom w:val="none" w:sz="0" w:space="0" w:color="auto"/>
        <w:right w:val="none" w:sz="0" w:space="0" w:color="auto"/>
      </w:divBdr>
    </w:div>
    <w:div w:id="904141375">
      <w:bodyDiv w:val="1"/>
      <w:marLeft w:val="0"/>
      <w:marRight w:val="0"/>
      <w:marTop w:val="0"/>
      <w:marBottom w:val="0"/>
      <w:divBdr>
        <w:top w:val="none" w:sz="0" w:space="0" w:color="auto"/>
        <w:left w:val="none" w:sz="0" w:space="0" w:color="auto"/>
        <w:bottom w:val="none" w:sz="0" w:space="0" w:color="auto"/>
        <w:right w:val="none" w:sz="0" w:space="0" w:color="auto"/>
      </w:divBdr>
    </w:div>
    <w:div w:id="906111000">
      <w:bodyDiv w:val="1"/>
      <w:marLeft w:val="0"/>
      <w:marRight w:val="0"/>
      <w:marTop w:val="0"/>
      <w:marBottom w:val="0"/>
      <w:divBdr>
        <w:top w:val="none" w:sz="0" w:space="0" w:color="auto"/>
        <w:left w:val="none" w:sz="0" w:space="0" w:color="auto"/>
        <w:bottom w:val="none" w:sz="0" w:space="0" w:color="auto"/>
        <w:right w:val="none" w:sz="0" w:space="0" w:color="auto"/>
      </w:divBdr>
    </w:div>
    <w:div w:id="929125852">
      <w:bodyDiv w:val="1"/>
      <w:marLeft w:val="0"/>
      <w:marRight w:val="0"/>
      <w:marTop w:val="0"/>
      <w:marBottom w:val="0"/>
      <w:divBdr>
        <w:top w:val="none" w:sz="0" w:space="0" w:color="auto"/>
        <w:left w:val="none" w:sz="0" w:space="0" w:color="auto"/>
        <w:bottom w:val="none" w:sz="0" w:space="0" w:color="auto"/>
        <w:right w:val="none" w:sz="0" w:space="0" w:color="auto"/>
      </w:divBdr>
    </w:div>
    <w:div w:id="935821132">
      <w:bodyDiv w:val="1"/>
      <w:marLeft w:val="0"/>
      <w:marRight w:val="0"/>
      <w:marTop w:val="0"/>
      <w:marBottom w:val="0"/>
      <w:divBdr>
        <w:top w:val="none" w:sz="0" w:space="0" w:color="auto"/>
        <w:left w:val="none" w:sz="0" w:space="0" w:color="auto"/>
        <w:bottom w:val="none" w:sz="0" w:space="0" w:color="auto"/>
        <w:right w:val="none" w:sz="0" w:space="0" w:color="auto"/>
      </w:divBdr>
    </w:div>
    <w:div w:id="935941942">
      <w:bodyDiv w:val="1"/>
      <w:marLeft w:val="0"/>
      <w:marRight w:val="0"/>
      <w:marTop w:val="0"/>
      <w:marBottom w:val="0"/>
      <w:divBdr>
        <w:top w:val="none" w:sz="0" w:space="0" w:color="auto"/>
        <w:left w:val="none" w:sz="0" w:space="0" w:color="auto"/>
        <w:bottom w:val="none" w:sz="0" w:space="0" w:color="auto"/>
        <w:right w:val="none" w:sz="0" w:space="0" w:color="auto"/>
      </w:divBdr>
    </w:div>
    <w:div w:id="958799447">
      <w:bodyDiv w:val="1"/>
      <w:marLeft w:val="0"/>
      <w:marRight w:val="0"/>
      <w:marTop w:val="0"/>
      <w:marBottom w:val="0"/>
      <w:divBdr>
        <w:top w:val="none" w:sz="0" w:space="0" w:color="auto"/>
        <w:left w:val="none" w:sz="0" w:space="0" w:color="auto"/>
        <w:bottom w:val="none" w:sz="0" w:space="0" w:color="auto"/>
        <w:right w:val="none" w:sz="0" w:space="0" w:color="auto"/>
      </w:divBdr>
    </w:div>
    <w:div w:id="983048735">
      <w:bodyDiv w:val="1"/>
      <w:marLeft w:val="0"/>
      <w:marRight w:val="0"/>
      <w:marTop w:val="0"/>
      <w:marBottom w:val="0"/>
      <w:divBdr>
        <w:top w:val="none" w:sz="0" w:space="0" w:color="auto"/>
        <w:left w:val="none" w:sz="0" w:space="0" w:color="auto"/>
        <w:bottom w:val="none" w:sz="0" w:space="0" w:color="auto"/>
        <w:right w:val="none" w:sz="0" w:space="0" w:color="auto"/>
      </w:divBdr>
    </w:div>
    <w:div w:id="995836502">
      <w:bodyDiv w:val="1"/>
      <w:marLeft w:val="0"/>
      <w:marRight w:val="0"/>
      <w:marTop w:val="0"/>
      <w:marBottom w:val="0"/>
      <w:divBdr>
        <w:top w:val="none" w:sz="0" w:space="0" w:color="auto"/>
        <w:left w:val="none" w:sz="0" w:space="0" w:color="auto"/>
        <w:bottom w:val="none" w:sz="0" w:space="0" w:color="auto"/>
        <w:right w:val="none" w:sz="0" w:space="0" w:color="auto"/>
      </w:divBdr>
    </w:div>
    <w:div w:id="1011760287">
      <w:bodyDiv w:val="1"/>
      <w:marLeft w:val="0"/>
      <w:marRight w:val="0"/>
      <w:marTop w:val="0"/>
      <w:marBottom w:val="0"/>
      <w:divBdr>
        <w:top w:val="none" w:sz="0" w:space="0" w:color="auto"/>
        <w:left w:val="none" w:sz="0" w:space="0" w:color="auto"/>
        <w:bottom w:val="none" w:sz="0" w:space="0" w:color="auto"/>
        <w:right w:val="none" w:sz="0" w:space="0" w:color="auto"/>
      </w:divBdr>
    </w:div>
    <w:div w:id="1019626911">
      <w:bodyDiv w:val="1"/>
      <w:marLeft w:val="0"/>
      <w:marRight w:val="0"/>
      <w:marTop w:val="0"/>
      <w:marBottom w:val="0"/>
      <w:divBdr>
        <w:top w:val="none" w:sz="0" w:space="0" w:color="auto"/>
        <w:left w:val="none" w:sz="0" w:space="0" w:color="auto"/>
        <w:bottom w:val="none" w:sz="0" w:space="0" w:color="auto"/>
        <w:right w:val="none" w:sz="0" w:space="0" w:color="auto"/>
      </w:divBdr>
    </w:div>
    <w:div w:id="1021396353">
      <w:bodyDiv w:val="1"/>
      <w:marLeft w:val="0"/>
      <w:marRight w:val="0"/>
      <w:marTop w:val="0"/>
      <w:marBottom w:val="0"/>
      <w:divBdr>
        <w:top w:val="none" w:sz="0" w:space="0" w:color="auto"/>
        <w:left w:val="none" w:sz="0" w:space="0" w:color="auto"/>
        <w:bottom w:val="none" w:sz="0" w:space="0" w:color="auto"/>
        <w:right w:val="none" w:sz="0" w:space="0" w:color="auto"/>
      </w:divBdr>
    </w:div>
    <w:div w:id="1028457613">
      <w:bodyDiv w:val="1"/>
      <w:marLeft w:val="0"/>
      <w:marRight w:val="0"/>
      <w:marTop w:val="0"/>
      <w:marBottom w:val="0"/>
      <w:divBdr>
        <w:top w:val="none" w:sz="0" w:space="0" w:color="auto"/>
        <w:left w:val="none" w:sz="0" w:space="0" w:color="auto"/>
        <w:bottom w:val="none" w:sz="0" w:space="0" w:color="auto"/>
        <w:right w:val="none" w:sz="0" w:space="0" w:color="auto"/>
      </w:divBdr>
    </w:div>
    <w:div w:id="1063523747">
      <w:bodyDiv w:val="1"/>
      <w:marLeft w:val="0"/>
      <w:marRight w:val="0"/>
      <w:marTop w:val="0"/>
      <w:marBottom w:val="0"/>
      <w:divBdr>
        <w:top w:val="none" w:sz="0" w:space="0" w:color="auto"/>
        <w:left w:val="none" w:sz="0" w:space="0" w:color="auto"/>
        <w:bottom w:val="none" w:sz="0" w:space="0" w:color="auto"/>
        <w:right w:val="none" w:sz="0" w:space="0" w:color="auto"/>
      </w:divBdr>
    </w:div>
    <w:div w:id="1076248495">
      <w:bodyDiv w:val="1"/>
      <w:marLeft w:val="0"/>
      <w:marRight w:val="0"/>
      <w:marTop w:val="0"/>
      <w:marBottom w:val="0"/>
      <w:divBdr>
        <w:top w:val="none" w:sz="0" w:space="0" w:color="auto"/>
        <w:left w:val="none" w:sz="0" w:space="0" w:color="auto"/>
        <w:bottom w:val="none" w:sz="0" w:space="0" w:color="auto"/>
        <w:right w:val="none" w:sz="0" w:space="0" w:color="auto"/>
      </w:divBdr>
    </w:div>
    <w:div w:id="1090126362">
      <w:bodyDiv w:val="1"/>
      <w:marLeft w:val="0"/>
      <w:marRight w:val="0"/>
      <w:marTop w:val="0"/>
      <w:marBottom w:val="0"/>
      <w:divBdr>
        <w:top w:val="none" w:sz="0" w:space="0" w:color="auto"/>
        <w:left w:val="none" w:sz="0" w:space="0" w:color="auto"/>
        <w:bottom w:val="none" w:sz="0" w:space="0" w:color="auto"/>
        <w:right w:val="none" w:sz="0" w:space="0" w:color="auto"/>
      </w:divBdr>
    </w:div>
    <w:div w:id="1099368523">
      <w:bodyDiv w:val="1"/>
      <w:marLeft w:val="0"/>
      <w:marRight w:val="0"/>
      <w:marTop w:val="0"/>
      <w:marBottom w:val="0"/>
      <w:divBdr>
        <w:top w:val="none" w:sz="0" w:space="0" w:color="auto"/>
        <w:left w:val="none" w:sz="0" w:space="0" w:color="auto"/>
        <w:bottom w:val="none" w:sz="0" w:space="0" w:color="auto"/>
        <w:right w:val="none" w:sz="0" w:space="0" w:color="auto"/>
      </w:divBdr>
    </w:div>
    <w:div w:id="1106853529">
      <w:bodyDiv w:val="1"/>
      <w:marLeft w:val="0"/>
      <w:marRight w:val="0"/>
      <w:marTop w:val="0"/>
      <w:marBottom w:val="0"/>
      <w:divBdr>
        <w:top w:val="none" w:sz="0" w:space="0" w:color="auto"/>
        <w:left w:val="none" w:sz="0" w:space="0" w:color="auto"/>
        <w:bottom w:val="none" w:sz="0" w:space="0" w:color="auto"/>
        <w:right w:val="none" w:sz="0" w:space="0" w:color="auto"/>
      </w:divBdr>
    </w:div>
    <w:div w:id="1121803255">
      <w:bodyDiv w:val="1"/>
      <w:marLeft w:val="0"/>
      <w:marRight w:val="0"/>
      <w:marTop w:val="0"/>
      <w:marBottom w:val="0"/>
      <w:divBdr>
        <w:top w:val="none" w:sz="0" w:space="0" w:color="auto"/>
        <w:left w:val="none" w:sz="0" w:space="0" w:color="auto"/>
        <w:bottom w:val="none" w:sz="0" w:space="0" w:color="auto"/>
        <w:right w:val="none" w:sz="0" w:space="0" w:color="auto"/>
      </w:divBdr>
    </w:div>
    <w:div w:id="1125126397">
      <w:bodyDiv w:val="1"/>
      <w:marLeft w:val="0"/>
      <w:marRight w:val="0"/>
      <w:marTop w:val="0"/>
      <w:marBottom w:val="0"/>
      <w:divBdr>
        <w:top w:val="none" w:sz="0" w:space="0" w:color="auto"/>
        <w:left w:val="none" w:sz="0" w:space="0" w:color="auto"/>
        <w:bottom w:val="none" w:sz="0" w:space="0" w:color="auto"/>
        <w:right w:val="none" w:sz="0" w:space="0" w:color="auto"/>
      </w:divBdr>
    </w:div>
    <w:div w:id="1125199204">
      <w:bodyDiv w:val="1"/>
      <w:marLeft w:val="0"/>
      <w:marRight w:val="0"/>
      <w:marTop w:val="0"/>
      <w:marBottom w:val="0"/>
      <w:divBdr>
        <w:top w:val="none" w:sz="0" w:space="0" w:color="auto"/>
        <w:left w:val="none" w:sz="0" w:space="0" w:color="auto"/>
        <w:bottom w:val="none" w:sz="0" w:space="0" w:color="auto"/>
        <w:right w:val="none" w:sz="0" w:space="0" w:color="auto"/>
      </w:divBdr>
    </w:div>
    <w:div w:id="1131048832">
      <w:bodyDiv w:val="1"/>
      <w:marLeft w:val="0"/>
      <w:marRight w:val="0"/>
      <w:marTop w:val="0"/>
      <w:marBottom w:val="0"/>
      <w:divBdr>
        <w:top w:val="none" w:sz="0" w:space="0" w:color="auto"/>
        <w:left w:val="none" w:sz="0" w:space="0" w:color="auto"/>
        <w:bottom w:val="none" w:sz="0" w:space="0" w:color="auto"/>
        <w:right w:val="none" w:sz="0" w:space="0" w:color="auto"/>
      </w:divBdr>
    </w:div>
    <w:div w:id="1156186326">
      <w:bodyDiv w:val="1"/>
      <w:marLeft w:val="0"/>
      <w:marRight w:val="0"/>
      <w:marTop w:val="0"/>
      <w:marBottom w:val="0"/>
      <w:divBdr>
        <w:top w:val="none" w:sz="0" w:space="0" w:color="auto"/>
        <w:left w:val="none" w:sz="0" w:space="0" w:color="auto"/>
        <w:bottom w:val="none" w:sz="0" w:space="0" w:color="auto"/>
        <w:right w:val="none" w:sz="0" w:space="0" w:color="auto"/>
      </w:divBdr>
    </w:div>
    <w:div w:id="1163087051">
      <w:bodyDiv w:val="1"/>
      <w:marLeft w:val="0"/>
      <w:marRight w:val="0"/>
      <w:marTop w:val="0"/>
      <w:marBottom w:val="0"/>
      <w:divBdr>
        <w:top w:val="none" w:sz="0" w:space="0" w:color="auto"/>
        <w:left w:val="none" w:sz="0" w:space="0" w:color="auto"/>
        <w:bottom w:val="none" w:sz="0" w:space="0" w:color="auto"/>
        <w:right w:val="none" w:sz="0" w:space="0" w:color="auto"/>
      </w:divBdr>
    </w:div>
    <w:div w:id="1174492646">
      <w:bodyDiv w:val="1"/>
      <w:marLeft w:val="0"/>
      <w:marRight w:val="0"/>
      <w:marTop w:val="0"/>
      <w:marBottom w:val="0"/>
      <w:divBdr>
        <w:top w:val="none" w:sz="0" w:space="0" w:color="auto"/>
        <w:left w:val="none" w:sz="0" w:space="0" w:color="auto"/>
        <w:bottom w:val="none" w:sz="0" w:space="0" w:color="auto"/>
        <w:right w:val="none" w:sz="0" w:space="0" w:color="auto"/>
      </w:divBdr>
    </w:div>
    <w:div w:id="1175418887">
      <w:bodyDiv w:val="1"/>
      <w:marLeft w:val="0"/>
      <w:marRight w:val="0"/>
      <w:marTop w:val="0"/>
      <w:marBottom w:val="0"/>
      <w:divBdr>
        <w:top w:val="none" w:sz="0" w:space="0" w:color="auto"/>
        <w:left w:val="none" w:sz="0" w:space="0" w:color="auto"/>
        <w:bottom w:val="none" w:sz="0" w:space="0" w:color="auto"/>
        <w:right w:val="none" w:sz="0" w:space="0" w:color="auto"/>
      </w:divBdr>
    </w:div>
    <w:div w:id="1180698756">
      <w:bodyDiv w:val="1"/>
      <w:marLeft w:val="0"/>
      <w:marRight w:val="0"/>
      <w:marTop w:val="0"/>
      <w:marBottom w:val="0"/>
      <w:divBdr>
        <w:top w:val="none" w:sz="0" w:space="0" w:color="auto"/>
        <w:left w:val="none" w:sz="0" w:space="0" w:color="auto"/>
        <w:bottom w:val="none" w:sz="0" w:space="0" w:color="auto"/>
        <w:right w:val="none" w:sz="0" w:space="0" w:color="auto"/>
      </w:divBdr>
    </w:div>
    <w:div w:id="1188181723">
      <w:bodyDiv w:val="1"/>
      <w:marLeft w:val="0"/>
      <w:marRight w:val="0"/>
      <w:marTop w:val="0"/>
      <w:marBottom w:val="0"/>
      <w:divBdr>
        <w:top w:val="none" w:sz="0" w:space="0" w:color="auto"/>
        <w:left w:val="none" w:sz="0" w:space="0" w:color="auto"/>
        <w:bottom w:val="none" w:sz="0" w:space="0" w:color="auto"/>
        <w:right w:val="none" w:sz="0" w:space="0" w:color="auto"/>
      </w:divBdr>
    </w:div>
    <w:div w:id="1196500490">
      <w:bodyDiv w:val="1"/>
      <w:marLeft w:val="0"/>
      <w:marRight w:val="0"/>
      <w:marTop w:val="0"/>
      <w:marBottom w:val="0"/>
      <w:divBdr>
        <w:top w:val="none" w:sz="0" w:space="0" w:color="auto"/>
        <w:left w:val="none" w:sz="0" w:space="0" w:color="auto"/>
        <w:bottom w:val="none" w:sz="0" w:space="0" w:color="auto"/>
        <w:right w:val="none" w:sz="0" w:space="0" w:color="auto"/>
      </w:divBdr>
    </w:div>
    <w:div w:id="1203902885">
      <w:bodyDiv w:val="1"/>
      <w:marLeft w:val="0"/>
      <w:marRight w:val="0"/>
      <w:marTop w:val="0"/>
      <w:marBottom w:val="0"/>
      <w:divBdr>
        <w:top w:val="none" w:sz="0" w:space="0" w:color="auto"/>
        <w:left w:val="none" w:sz="0" w:space="0" w:color="auto"/>
        <w:bottom w:val="none" w:sz="0" w:space="0" w:color="auto"/>
        <w:right w:val="none" w:sz="0" w:space="0" w:color="auto"/>
      </w:divBdr>
    </w:div>
    <w:div w:id="1204557549">
      <w:bodyDiv w:val="1"/>
      <w:marLeft w:val="0"/>
      <w:marRight w:val="0"/>
      <w:marTop w:val="0"/>
      <w:marBottom w:val="0"/>
      <w:divBdr>
        <w:top w:val="none" w:sz="0" w:space="0" w:color="auto"/>
        <w:left w:val="none" w:sz="0" w:space="0" w:color="auto"/>
        <w:bottom w:val="none" w:sz="0" w:space="0" w:color="auto"/>
        <w:right w:val="none" w:sz="0" w:space="0" w:color="auto"/>
      </w:divBdr>
    </w:div>
    <w:div w:id="1220899587">
      <w:bodyDiv w:val="1"/>
      <w:marLeft w:val="0"/>
      <w:marRight w:val="0"/>
      <w:marTop w:val="0"/>
      <w:marBottom w:val="0"/>
      <w:divBdr>
        <w:top w:val="none" w:sz="0" w:space="0" w:color="auto"/>
        <w:left w:val="none" w:sz="0" w:space="0" w:color="auto"/>
        <w:bottom w:val="none" w:sz="0" w:space="0" w:color="auto"/>
        <w:right w:val="none" w:sz="0" w:space="0" w:color="auto"/>
      </w:divBdr>
    </w:div>
    <w:div w:id="1226457276">
      <w:bodyDiv w:val="1"/>
      <w:marLeft w:val="0"/>
      <w:marRight w:val="0"/>
      <w:marTop w:val="0"/>
      <w:marBottom w:val="0"/>
      <w:divBdr>
        <w:top w:val="none" w:sz="0" w:space="0" w:color="auto"/>
        <w:left w:val="none" w:sz="0" w:space="0" w:color="auto"/>
        <w:bottom w:val="none" w:sz="0" w:space="0" w:color="auto"/>
        <w:right w:val="none" w:sz="0" w:space="0" w:color="auto"/>
      </w:divBdr>
    </w:div>
    <w:div w:id="1227254805">
      <w:bodyDiv w:val="1"/>
      <w:marLeft w:val="0"/>
      <w:marRight w:val="0"/>
      <w:marTop w:val="0"/>
      <w:marBottom w:val="0"/>
      <w:divBdr>
        <w:top w:val="none" w:sz="0" w:space="0" w:color="auto"/>
        <w:left w:val="none" w:sz="0" w:space="0" w:color="auto"/>
        <w:bottom w:val="none" w:sz="0" w:space="0" w:color="auto"/>
        <w:right w:val="none" w:sz="0" w:space="0" w:color="auto"/>
      </w:divBdr>
    </w:div>
    <w:div w:id="1241020102">
      <w:bodyDiv w:val="1"/>
      <w:marLeft w:val="0"/>
      <w:marRight w:val="0"/>
      <w:marTop w:val="0"/>
      <w:marBottom w:val="0"/>
      <w:divBdr>
        <w:top w:val="none" w:sz="0" w:space="0" w:color="auto"/>
        <w:left w:val="none" w:sz="0" w:space="0" w:color="auto"/>
        <w:bottom w:val="none" w:sz="0" w:space="0" w:color="auto"/>
        <w:right w:val="none" w:sz="0" w:space="0" w:color="auto"/>
      </w:divBdr>
    </w:div>
    <w:div w:id="1254314473">
      <w:bodyDiv w:val="1"/>
      <w:marLeft w:val="0"/>
      <w:marRight w:val="0"/>
      <w:marTop w:val="0"/>
      <w:marBottom w:val="0"/>
      <w:divBdr>
        <w:top w:val="none" w:sz="0" w:space="0" w:color="auto"/>
        <w:left w:val="none" w:sz="0" w:space="0" w:color="auto"/>
        <w:bottom w:val="none" w:sz="0" w:space="0" w:color="auto"/>
        <w:right w:val="none" w:sz="0" w:space="0" w:color="auto"/>
      </w:divBdr>
    </w:div>
    <w:div w:id="1262489009">
      <w:bodyDiv w:val="1"/>
      <w:marLeft w:val="0"/>
      <w:marRight w:val="0"/>
      <w:marTop w:val="0"/>
      <w:marBottom w:val="0"/>
      <w:divBdr>
        <w:top w:val="none" w:sz="0" w:space="0" w:color="auto"/>
        <w:left w:val="none" w:sz="0" w:space="0" w:color="auto"/>
        <w:bottom w:val="none" w:sz="0" w:space="0" w:color="auto"/>
        <w:right w:val="none" w:sz="0" w:space="0" w:color="auto"/>
      </w:divBdr>
    </w:div>
    <w:div w:id="1283607529">
      <w:bodyDiv w:val="1"/>
      <w:marLeft w:val="0"/>
      <w:marRight w:val="0"/>
      <w:marTop w:val="0"/>
      <w:marBottom w:val="0"/>
      <w:divBdr>
        <w:top w:val="none" w:sz="0" w:space="0" w:color="auto"/>
        <w:left w:val="none" w:sz="0" w:space="0" w:color="auto"/>
        <w:bottom w:val="none" w:sz="0" w:space="0" w:color="auto"/>
        <w:right w:val="none" w:sz="0" w:space="0" w:color="auto"/>
      </w:divBdr>
    </w:div>
    <w:div w:id="1283734232">
      <w:bodyDiv w:val="1"/>
      <w:marLeft w:val="0"/>
      <w:marRight w:val="0"/>
      <w:marTop w:val="0"/>
      <w:marBottom w:val="0"/>
      <w:divBdr>
        <w:top w:val="none" w:sz="0" w:space="0" w:color="auto"/>
        <w:left w:val="none" w:sz="0" w:space="0" w:color="auto"/>
        <w:bottom w:val="none" w:sz="0" w:space="0" w:color="auto"/>
        <w:right w:val="none" w:sz="0" w:space="0" w:color="auto"/>
      </w:divBdr>
    </w:div>
    <w:div w:id="1290627053">
      <w:bodyDiv w:val="1"/>
      <w:marLeft w:val="0"/>
      <w:marRight w:val="0"/>
      <w:marTop w:val="0"/>
      <w:marBottom w:val="0"/>
      <w:divBdr>
        <w:top w:val="none" w:sz="0" w:space="0" w:color="auto"/>
        <w:left w:val="none" w:sz="0" w:space="0" w:color="auto"/>
        <w:bottom w:val="none" w:sz="0" w:space="0" w:color="auto"/>
        <w:right w:val="none" w:sz="0" w:space="0" w:color="auto"/>
      </w:divBdr>
    </w:div>
    <w:div w:id="1291277846">
      <w:bodyDiv w:val="1"/>
      <w:marLeft w:val="0"/>
      <w:marRight w:val="0"/>
      <w:marTop w:val="0"/>
      <w:marBottom w:val="0"/>
      <w:divBdr>
        <w:top w:val="none" w:sz="0" w:space="0" w:color="auto"/>
        <w:left w:val="none" w:sz="0" w:space="0" w:color="auto"/>
        <w:bottom w:val="none" w:sz="0" w:space="0" w:color="auto"/>
        <w:right w:val="none" w:sz="0" w:space="0" w:color="auto"/>
      </w:divBdr>
    </w:div>
    <w:div w:id="1355035323">
      <w:bodyDiv w:val="1"/>
      <w:marLeft w:val="0"/>
      <w:marRight w:val="0"/>
      <w:marTop w:val="0"/>
      <w:marBottom w:val="0"/>
      <w:divBdr>
        <w:top w:val="none" w:sz="0" w:space="0" w:color="auto"/>
        <w:left w:val="none" w:sz="0" w:space="0" w:color="auto"/>
        <w:bottom w:val="none" w:sz="0" w:space="0" w:color="auto"/>
        <w:right w:val="none" w:sz="0" w:space="0" w:color="auto"/>
      </w:divBdr>
    </w:div>
    <w:div w:id="1360858975">
      <w:bodyDiv w:val="1"/>
      <w:marLeft w:val="0"/>
      <w:marRight w:val="0"/>
      <w:marTop w:val="0"/>
      <w:marBottom w:val="0"/>
      <w:divBdr>
        <w:top w:val="none" w:sz="0" w:space="0" w:color="auto"/>
        <w:left w:val="none" w:sz="0" w:space="0" w:color="auto"/>
        <w:bottom w:val="none" w:sz="0" w:space="0" w:color="auto"/>
        <w:right w:val="none" w:sz="0" w:space="0" w:color="auto"/>
      </w:divBdr>
    </w:div>
    <w:div w:id="1374453461">
      <w:bodyDiv w:val="1"/>
      <w:marLeft w:val="0"/>
      <w:marRight w:val="0"/>
      <w:marTop w:val="0"/>
      <w:marBottom w:val="0"/>
      <w:divBdr>
        <w:top w:val="none" w:sz="0" w:space="0" w:color="auto"/>
        <w:left w:val="none" w:sz="0" w:space="0" w:color="auto"/>
        <w:bottom w:val="none" w:sz="0" w:space="0" w:color="auto"/>
        <w:right w:val="none" w:sz="0" w:space="0" w:color="auto"/>
      </w:divBdr>
    </w:div>
    <w:div w:id="1381903393">
      <w:bodyDiv w:val="1"/>
      <w:marLeft w:val="0"/>
      <w:marRight w:val="0"/>
      <w:marTop w:val="0"/>
      <w:marBottom w:val="0"/>
      <w:divBdr>
        <w:top w:val="none" w:sz="0" w:space="0" w:color="auto"/>
        <w:left w:val="none" w:sz="0" w:space="0" w:color="auto"/>
        <w:bottom w:val="none" w:sz="0" w:space="0" w:color="auto"/>
        <w:right w:val="none" w:sz="0" w:space="0" w:color="auto"/>
      </w:divBdr>
    </w:div>
    <w:div w:id="1393694661">
      <w:bodyDiv w:val="1"/>
      <w:marLeft w:val="0"/>
      <w:marRight w:val="0"/>
      <w:marTop w:val="0"/>
      <w:marBottom w:val="0"/>
      <w:divBdr>
        <w:top w:val="none" w:sz="0" w:space="0" w:color="auto"/>
        <w:left w:val="none" w:sz="0" w:space="0" w:color="auto"/>
        <w:bottom w:val="none" w:sz="0" w:space="0" w:color="auto"/>
        <w:right w:val="none" w:sz="0" w:space="0" w:color="auto"/>
      </w:divBdr>
    </w:div>
    <w:div w:id="1445073350">
      <w:bodyDiv w:val="1"/>
      <w:marLeft w:val="0"/>
      <w:marRight w:val="0"/>
      <w:marTop w:val="0"/>
      <w:marBottom w:val="0"/>
      <w:divBdr>
        <w:top w:val="none" w:sz="0" w:space="0" w:color="auto"/>
        <w:left w:val="none" w:sz="0" w:space="0" w:color="auto"/>
        <w:bottom w:val="none" w:sz="0" w:space="0" w:color="auto"/>
        <w:right w:val="none" w:sz="0" w:space="0" w:color="auto"/>
      </w:divBdr>
    </w:div>
    <w:div w:id="1452285951">
      <w:bodyDiv w:val="1"/>
      <w:marLeft w:val="0"/>
      <w:marRight w:val="0"/>
      <w:marTop w:val="0"/>
      <w:marBottom w:val="0"/>
      <w:divBdr>
        <w:top w:val="none" w:sz="0" w:space="0" w:color="auto"/>
        <w:left w:val="none" w:sz="0" w:space="0" w:color="auto"/>
        <w:bottom w:val="none" w:sz="0" w:space="0" w:color="auto"/>
        <w:right w:val="none" w:sz="0" w:space="0" w:color="auto"/>
      </w:divBdr>
    </w:div>
    <w:div w:id="1454128008">
      <w:bodyDiv w:val="1"/>
      <w:marLeft w:val="0"/>
      <w:marRight w:val="0"/>
      <w:marTop w:val="0"/>
      <w:marBottom w:val="0"/>
      <w:divBdr>
        <w:top w:val="none" w:sz="0" w:space="0" w:color="auto"/>
        <w:left w:val="none" w:sz="0" w:space="0" w:color="auto"/>
        <w:bottom w:val="none" w:sz="0" w:space="0" w:color="auto"/>
        <w:right w:val="none" w:sz="0" w:space="0" w:color="auto"/>
      </w:divBdr>
    </w:div>
    <w:div w:id="1470707186">
      <w:bodyDiv w:val="1"/>
      <w:marLeft w:val="0"/>
      <w:marRight w:val="0"/>
      <w:marTop w:val="0"/>
      <w:marBottom w:val="0"/>
      <w:divBdr>
        <w:top w:val="none" w:sz="0" w:space="0" w:color="auto"/>
        <w:left w:val="none" w:sz="0" w:space="0" w:color="auto"/>
        <w:bottom w:val="none" w:sz="0" w:space="0" w:color="auto"/>
        <w:right w:val="none" w:sz="0" w:space="0" w:color="auto"/>
      </w:divBdr>
    </w:div>
    <w:div w:id="1474366004">
      <w:bodyDiv w:val="1"/>
      <w:marLeft w:val="0"/>
      <w:marRight w:val="0"/>
      <w:marTop w:val="0"/>
      <w:marBottom w:val="0"/>
      <w:divBdr>
        <w:top w:val="none" w:sz="0" w:space="0" w:color="auto"/>
        <w:left w:val="none" w:sz="0" w:space="0" w:color="auto"/>
        <w:bottom w:val="none" w:sz="0" w:space="0" w:color="auto"/>
        <w:right w:val="none" w:sz="0" w:space="0" w:color="auto"/>
      </w:divBdr>
    </w:div>
    <w:div w:id="1476294315">
      <w:bodyDiv w:val="1"/>
      <w:marLeft w:val="0"/>
      <w:marRight w:val="0"/>
      <w:marTop w:val="0"/>
      <w:marBottom w:val="0"/>
      <w:divBdr>
        <w:top w:val="none" w:sz="0" w:space="0" w:color="auto"/>
        <w:left w:val="none" w:sz="0" w:space="0" w:color="auto"/>
        <w:bottom w:val="none" w:sz="0" w:space="0" w:color="auto"/>
        <w:right w:val="none" w:sz="0" w:space="0" w:color="auto"/>
      </w:divBdr>
    </w:div>
    <w:div w:id="1499148271">
      <w:bodyDiv w:val="1"/>
      <w:marLeft w:val="0"/>
      <w:marRight w:val="0"/>
      <w:marTop w:val="0"/>
      <w:marBottom w:val="0"/>
      <w:divBdr>
        <w:top w:val="none" w:sz="0" w:space="0" w:color="auto"/>
        <w:left w:val="none" w:sz="0" w:space="0" w:color="auto"/>
        <w:bottom w:val="none" w:sz="0" w:space="0" w:color="auto"/>
        <w:right w:val="none" w:sz="0" w:space="0" w:color="auto"/>
      </w:divBdr>
    </w:div>
    <w:div w:id="1504665294">
      <w:bodyDiv w:val="1"/>
      <w:marLeft w:val="0"/>
      <w:marRight w:val="0"/>
      <w:marTop w:val="0"/>
      <w:marBottom w:val="0"/>
      <w:divBdr>
        <w:top w:val="none" w:sz="0" w:space="0" w:color="auto"/>
        <w:left w:val="none" w:sz="0" w:space="0" w:color="auto"/>
        <w:bottom w:val="none" w:sz="0" w:space="0" w:color="auto"/>
        <w:right w:val="none" w:sz="0" w:space="0" w:color="auto"/>
      </w:divBdr>
    </w:div>
    <w:div w:id="1548028153">
      <w:bodyDiv w:val="1"/>
      <w:marLeft w:val="0"/>
      <w:marRight w:val="0"/>
      <w:marTop w:val="0"/>
      <w:marBottom w:val="0"/>
      <w:divBdr>
        <w:top w:val="none" w:sz="0" w:space="0" w:color="auto"/>
        <w:left w:val="none" w:sz="0" w:space="0" w:color="auto"/>
        <w:bottom w:val="none" w:sz="0" w:space="0" w:color="auto"/>
        <w:right w:val="none" w:sz="0" w:space="0" w:color="auto"/>
      </w:divBdr>
    </w:div>
    <w:div w:id="1559627621">
      <w:bodyDiv w:val="1"/>
      <w:marLeft w:val="0"/>
      <w:marRight w:val="0"/>
      <w:marTop w:val="0"/>
      <w:marBottom w:val="0"/>
      <w:divBdr>
        <w:top w:val="none" w:sz="0" w:space="0" w:color="auto"/>
        <w:left w:val="none" w:sz="0" w:space="0" w:color="auto"/>
        <w:bottom w:val="none" w:sz="0" w:space="0" w:color="auto"/>
        <w:right w:val="none" w:sz="0" w:space="0" w:color="auto"/>
      </w:divBdr>
    </w:div>
    <w:div w:id="1559828361">
      <w:bodyDiv w:val="1"/>
      <w:marLeft w:val="0"/>
      <w:marRight w:val="0"/>
      <w:marTop w:val="0"/>
      <w:marBottom w:val="0"/>
      <w:divBdr>
        <w:top w:val="none" w:sz="0" w:space="0" w:color="auto"/>
        <w:left w:val="none" w:sz="0" w:space="0" w:color="auto"/>
        <w:bottom w:val="none" w:sz="0" w:space="0" w:color="auto"/>
        <w:right w:val="none" w:sz="0" w:space="0" w:color="auto"/>
      </w:divBdr>
    </w:div>
    <w:div w:id="1559897201">
      <w:bodyDiv w:val="1"/>
      <w:marLeft w:val="0"/>
      <w:marRight w:val="0"/>
      <w:marTop w:val="0"/>
      <w:marBottom w:val="0"/>
      <w:divBdr>
        <w:top w:val="none" w:sz="0" w:space="0" w:color="auto"/>
        <w:left w:val="none" w:sz="0" w:space="0" w:color="auto"/>
        <w:bottom w:val="none" w:sz="0" w:space="0" w:color="auto"/>
        <w:right w:val="none" w:sz="0" w:space="0" w:color="auto"/>
      </w:divBdr>
    </w:div>
    <w:div w:id="1602638724">
      <w:bodyDiv w:val="1"/>
      <w:marLeft w:val="0"/>
      <w:marRight w:val="0"/>
      <w:marTop w:val="0"/>
      <w:marBottom w:val="0"/>
      <w:divBdr>
        <w:top w:val="none" w:sz="0" w:space="0" w:color="auto"/>
        <w:left w:val="none" w:sz="0" w:space="0" w:color="auto"/>
        <w:bottom w:val="none" w:sz="0" w:space="0" w:color="auto"/>
        <w:right w:val="none" w:sz="0" w:space="0" w:color="auto"/>
      </w:divBdr>
    </w:div>
    <w:div w:id="1619604223">
      <w:bodyDiv w:val="1"/>
      <w:marLeft w:val="0"/>
      <w:marRight w:val="0"/>
      <w:marTop w:val="0"/>
      <w:marBottom w:val="0"/>
      <w:divBdr>
        <w:top w:val="none" w:sz="0" w:space="0" w:color="auto"/>
        <w:left w:val="none" w:sz="0" w:space="0" w:color="auto"/>
        <w:bottom w:val="none" w:sz="0" w:space="0" w:color="auto"/>
        <w:right w:val="none" w:sz="0" w:space="0" w:color="auto"/>
      </w:divBdr>
    </w:div>
    <w:div w:id="1620531275">
      <w:bodyDiv w:val="1"/>
      <w:marLeft w:val="0"/>
      <w:marRight w:val="0"/>
      <w:marTop w:val="0"/>
      <w:marBottom w:val="0"/>
      <w:divBdr>
        <w:top w:val="none" w:sz="0" w:space="0" w:color="auto"/>
        <w:left w:val="none" w:sz="0" w:space="0" w:color="auto"/>
        <w:bottom w:val="none" w:sz="0" w:space="0" w:color="auto"/>
        <w:right w:val="none" w:sz="0" w:space="0" w:color="auto"/>
      </w:divBdr>
    </w:div>
    <w:div w:id="1622761806">
      <w:bodyDiv w:val="1"/>
      <w:marLeft w:val="0"/>
      <w:marRight w:val="0"/>
      <w:marTop w:val="0"/>
      <w:marBottom w:val="0"/>
      <w:divBdr>
        <w:top w:val="none" w:sz="0" w:space="0" w:color="auto"/>
        <w:left w:val="none" w:sz="0" w:space="0" w:color="auto"/>
        <w:bottom w:val="none" w:sz="0" w:space="0" w:color="auto"/>
        <w:right w:val="none" w:sz="0" w:space="0" w:color="auto"/>
      </w:divBdr>
    </w:div>
    <w:div w:id="1626885848">
      <w:bodyDiv w:val="1"/>
      <w:marLeft w:val="0"/>
      <w:marRight w:val="0"/>
      <w:marTop w:val="0"/>
      <w:marBottom w:val="0"/>
      <w:divBdr>
        <w:top w:val="none" w:sz="0" w:space="0" w:color="auto"/>
        <w:left w:val="none" w:sz="0" w:space="0" w:color="auto"/>
        <w:bottom w:val="none" w:sz="0" w:space="0" w:color="auto"/>
        <w:right w:val="none" w:sz="0" w:space="0" w:color="auto"/>
      </w:divBdr>
    </w:div>
    <w:div w:id="1678922195">
      <w:bodyDiv w:val="1"/>
      <w:marLeft w:val="0"/>
      <w:marRight w:val="0"/>
      <w:marTop w:val="0"/>
      <w:marBottom w:val="0"/>
      <w:divBdr>
        <w:top w:val="none" w:sz="0" w:space="0" w:color="auto"/>
        <w:left w:val="none" w:sz="0" w:space="0" w:color="auto"/>
        <w:bottom w:val="none" w:sz="0" w:space="0" w:color="auto"/>
        <w:right w:val="none" w:sz="0" w:space="0" w:color="auto"/>
      </w:divBdr>
    </w:div>
    <w:div w:id="1686132483">
      <w:bodyDiv w:val="1"/>
      <w:marLeft w:val="0"/>
      <w:marRight w:val="0"/>
      <w:marTop w:val="0"/>
      <w:marBottom w:val="0"/>
      <w:divBdr>
        <w:top w:val="none" w:sz="0" w:space="0" w:color="auto"/>
        <w:left w:val="none" w:sz="0" w:space="0" w:color="auto"/>
        <w:bottom w:val="none" w:sz="0" w:space="0" w:color="auto"/>
        <w:right w:val="none" w:sz="0" w:space="0" w:color="auto"/>
      </w:divBdr>
    </w:div>
    <w:div w:id="1700625467">
      <w:bodyDiv w:val="1"/>
      <w:marLeft w:val="0"/>
      <w:marRight w:val="0"/>
      <w:marTop w:val="0"/>
      <w:marBottom w:val="0"/>
      <w:divBdr>
        <w:top w:val="none" w:sz="0" w:space="0" w:color="auto"/>
        <w:left w:val="none" w:sz="0" w:space="0" w:color="auto"/>
        <w:bottom w:val="none" w:sz="0" w:space="0" w:color="auto"/>
        <w:right w:val="none" w:sz="0" w:space="0" w:color="auto"/>
      </w:divBdr>
    </w:div>
    <w:div w:id="1702509658">
      <w:bodyDiv w:val="1"/>
      <w:marLeft w:val="0"/>
      <w:marRight w:val="0"/>
      <w:marTop w:val="0"/>
      <w:marBottom w:val="0"/>
      <w:divBdr>
        <w:top w:val="none" w:sz="0" w:space="0" w:color="auto"/>
        <w:left w:val="none" w:sz="0" w:space="0" w:color="auto"/>
        <w:bottom w:val="none" w:sz="0" w:space="0" w:color="auto"/>
        <w:right w:val="none" w:sz="0" w:space="0" w:color="auto"/>
      </w:divBdr>
    </w:div>
    <w:div w:id="1708792309">
      <w:bodyDiv w:val="1"/>
      <w:marLeft w:val="0"/>
      <w:marRight w:val="0"/>
      <w:marTop w:val="0"/>
      <w:marBottom w:val="0"/>
      <w:divBdr>
        <w:top w:val="none" w:sz="0" w:space="0" w:color="auto"/>
        <w:left w:val="none" w:sz="0" w:space="0" w:color="auto"/>
        <w:bottom w:val="none" w:sz="0" w:space="0" w:color="auto"/>
        <w:right w:val="none" w:sz="0" w:space="0" w:color="auto"/>
      </w:divBdr>
    </w:div>
    <w:div w:id="1712652603">
      <w:bodyDiv w:val="1"/>
      <w:marLeft w:val="0"/>
      <w:marRight w:val="0"/>
      <w:marTop w:val="0"/>
      <w:marBottom w:val="0"/>
      <w:divBdr>
        <w:top w:val="none" w:sz="0" w:space="0" w:color="auto"/>
        <w:left w:val="none" w:sz="0" w:space="0" w:color="auto"/>
        <w:bottom w:val="none" w:sz="0" w:space="0" w:color="auto"/>
        <w:right w:val="none" w:sz="0" w:space="0" w:color="auto"/>
      </w:divBdr>
    </w:div>
    <w:div w:id="1716855821">
      <w:bodyDiv w:val="1"/>
      <w:marLeft w:val="0"/>
      <w:marRight w:val="0"/>
      <w:marTop w:val="0"/>
      <w:marBottom w:val="0"/>
      <w:divBdr>
        <w:top w:val="none" w:sz="0" w:space="0" w:color="auto"/>
        <w:left w:val="none" w:sz="0" w:space="0" w:color="auto"/>
        <w:bottom w:val="none" w:sz="0" w:space="0" w:color="auto"/>
        <w:right w:val="none" w:sz="0" w:space="0" w:color="auto"/>
      </w:divBdr>
    </w:div>
    <w:div w:id="1719472604">
      <w:bodyDiv w:val="1"/>
      <w:marLeft w:val="0"/>
      <w:marRight w:val="0"/>
      <w:marTop w:val="0"/>
      <w:marBottom w:val="0"/>
      <w:divBdr>
        <w:top w:val="none" w:sz="0" w:space="0" w:color="auto"/>
        <w:left w:val="none" w:sz="0" w:space="0" w:color="auto"/>
        <w:bottom w:val="none" w:sz="0" w:space="0" w:color="auto"/>
        <w:right w:val="none" w:sz="0" w:space="0" w:color="auto"/>
      </w:divBdr>
    </w:div>
    <w:div w:id="1724864379">
      <w:bodyDiv w:val="1"/>
      <w:marLeft w:val="0"/>
      <w:marRight w:val="0"/>
      <w:marTop w:val="0"/>
      <w:marBottom w:val="0"/>
      <w:divBdr>
        <w:top w:val="none" w:sz="0" w:space="0" w:color="auto"/>
        <w:left w:val="none" w:sz="0" w:space="0" w:color="auto"/>
        <w:bottom w:val="none" w:sz="0" w:space="0" w:color="auto"/>
        <w:right w:val="none" w:sz="0" w:space="0" w:color="auto"/>
      </w:divBdr>
    </w:div>
    <w:div w:id="1732194940">
      <w:bodyDiv w:val="1"/>
      <w:marLeft w:val="0"/>
      <w:marRight w:val="0"/>
      <w:marTop w:val="0"/>
      <w:marBottom w:val="0"/>
      <w:divBdr>
        <w:top w:val="none" w:sz="0" w:space="0" w:color="auto"/>
        <w:left w:val="none" w:sz="0" w:space="0" w:color="auto"/>
        <w:bottom w:val="none" w:sz="0" w:space="0" w:color="auto"/>
        <w:right w:val="none" w:sz="0" w:space="0" w:color="auto"/>
      </w:divBdr>
    </w:div>
    <w:div w:id="1734311653">
      <w:bodyDiv w:val="1"/>
      <w:marLeft w:val="0"/>
      <w:marRight w:val="0"/>
      <w:marTop w:val="0"/>
      <w:marBottom w:val="0"/>
      <w:divBdr>
        <w:top w:val="none" w:sz="0" w:space="0" w:color="auto"/>
        <w:left w:val="none" w:sz="0" w:space="0" w:color="auto"/>
        <w:bottom w:val="none" w:sz="0" w:space="0" w:color="auto"/>
        <w:right w:val="none" w:sz="0" w:space="0" w:color="auto"/>
      </w:divBdr>
    </w:div>
    <w:div w:id="1753161253">
      <w:bodyDiv w:val="1"/>
      <w:marLeft w:val="0"/>
      <w:marRight w:val="0"/>
      <w:marTop w:val="0"/>
      <w:marBottom w:val="0"/>
      <w:divBdr>
        <w:top w:val="none" w:sz="0" w:space="0" w:color="auto"/>
        <w:left w:val="none" w:sz="0" w:space="0" w:color="auto"/>
        <w:bottom w:val="none" w:sz="0" w:space="0" w:color="auto"/>
        <w:right w:val="none" w:sz="0" w:space="0" w:color="auto"/>
      </w:divBdr>
    </w:div>
    <w:div w:id="1764760762">
      <w:bodyDiv w:val="1"/>
      <w:marLeft w:val="0"/>
      <w:marRight w:val="0"/>
      <w:marTop w:val="0"/>
      <w:marBottom w:val="0"/>
      <w:divBdr>
        <w:top w:val="none" w:sz="0" w:space="0" w:color="auto"/>
        <w:left w:val="none" w:sz="0" w:space="0" w:color="auto"/>
        <w:bottom w:val="none" w:sz="0" w:space="0" w:color="auto"/>
        <w:right w:val="none" w:sz="0" w:space="0" w:color="auto"/>
      </w:divBdr>
    </w:div>
    <w:div w:id="1799256393">
      <w:bodyDiv w:val="1"/>
      <w:marLeft w:val="0"/>
      <w:marRight w:val="0"/>
      <w:marTop w:val="0"/>
      <w:marBottom w:val="0"/>
      <w:divBdr>
        <w:top w:val="none" w:sz="0" w:space="0" w:color="auto"/>
        <w:left w:val="none" w:sz="0" w:space="0" w:color="auto"/>
        <w:bottom w:val="none" w:sz="0" w:space="0" w:color="auto"/>
        <w:right w:val="none" w:sz="0" w:space="0" w:color="auto"/>
      </w:divBdr>
    </w:div>
    <w:div w:id="1831023242">
      <w:bodyDiv w:val="1"/>
      <w:marLeft w:val="0"/>
      <w:marRight w:val="0"/>
      <w:marTop w:val="0"/>
      <w:marBottom w:val="0"/>
      <w:divBdr>
        <w:top w:val="none" w:sz="0" w:space="0" w:color="auto"/>
        <w:left w:val="none" w:sz="0" w:space="0" w:color="auto"/>
        <w:bottom w:val="none" w:sz="0" w:space="0" w:color="auto"/>
        <w:right w:val="none" w:sz="0" w:space="0" w:color="auto"/>
      </w:divBdr>
    </w:div>
    <w:div w:id="1851142769">
      <w:bodyDiv w:val="1"/>
      <w:marLeft w:val="0"/>
      <w:marRight w:val="0"/>
      <w:marTop w:val="0"/>
      <w:marBottom w:val="0"/>
      <w:divBdr>
        <w:top w:val="none" w:sz="0" w:space="0" w:color="auto"/>
        <w:left w:val="none" w:sz="0" w:space="0" w:color="auto"/>
        <w:bottom w:val="none" w:sz="0" w:space="0" w:color="auto"/>
        <w:right w:val="none" w:sz="0" w:space="0" w:color="auto"/>
      </w:divBdr>
    </w:div>
    <w:div w:id="1853253504">
      <w:bodyDiv w:val="1"/>
      <w:marLeft w:val="0"/>
      <w:marRight w:val="0"/>
      <w:marTop w:val="0"/>
      <w:marBottom w:val="0"/>
      <w:divBdr>
        <w:top w:val="none" w:sz="0" w:space="0" w:color="auto"/>
        <w:left w:val="none" w:sz="0" w:space="0" w:color="auto"/>
        <w:bottom w:val="none" w:sz="0" w:space="0" w:color="auto"/>
        <w:right w:val="none" w:sz="0" w:space="0" w:color="auto"/>
      </w:divBdr>
    </w:div>
    <w:div w:id="1870296010">
      <w:bodyDiv w:val="1"/>
      <w:marLeft w:val="0"/>
      <w:marRight w:val="0"/>
      <w:marTop w:val="0"/>
      <w:marBottom w:val="0"/>
      <w:divBdr>
        <w:top w:val="none" w:sz="0" w:space="0" w:color="auto"/>
        <w:left w:val="none" w:sz="0" w:space="0" w:color="auto"/>
        <w:bottom w:val="none" w:sz="0" w:space="0" w:color="auto"/>
        <w:right w:val="none" w:sz="0" w:space="0" w:color="auto"/>
      </w:divBdr>
    </w:div>
    <w:div w:id="1871797275">
      <w:bodyDiv w:val="1"/>
      <w:marLeft w:val="0"/>
      <w:marRight w:val="0"/>
      <w:marTop w:val="0"/>
      <w:marBottom w:val="0"/>
      <w:divBdr>
        <w:top w:val="none" w:sz="0" w:space="0" w:color="auto"/>
        <w:left w:val="none" w:sz="0" w:space="0" w:color="auto"/>
        <w:bottom w:val="none" w:sz="0" w:space="0" w:color="auto"/>
        <w:right w:val="none" w:sz="0" w:space="0" w:color="auto"/>
      </w:divBdr>
    </w:div>
    <w:div w:id="1925411213">
      <w:bodyDiv w:val="1"/>
      <w:marLeft w:val="0"/>
      <w:marRight w:val="0"/>
      <w:marTop w:val="0"/>
      <w:marBottom w:val="0"/>
      <w:divBdr>
        <w:top w:val="none" w:sz="0" w:space="0" w:color="auto"/>
        <w:left w:val="none" w:sz="0" w:space="0" w:color="auto"/>
        <w:bottom w:val="none" w:sz="0" w:space="0" w:color="auto"/>
        <w:right w:val="none" w:sz="0" w:space="0" w:color="auto"/>
      </w:divBdr>
      <w:divsChild>
        <w:div w:id="1603145445">
          <w:marLeft w:val="0"/>
          <w:marRight w:val="0"/>
          <w:marTop w:val="0"/>
          <w:marBottom w:val="0"/>
          <w:divBdr>
            <w:top w:val="none" w:sz="0" w:space="0" w:color="auto"/>
            <w:left w:val="none" w:sz="0" w:space="0" w:color="auto"/>
            <w:bottom w:val="none" w:sz="0" w:space="0" w:color="auto"/>
            <w:right w:val="none" w:sz="0" w:space="0" w:color="auto"/>
          </w:divBdr>
          <w:divsChild>
            <w:div w:id="1205604913">
              <w:marLeft w:val="0"/>
              <w:marRight w:val="0"/>
              <w:marTop w:val="0"/>
              <w:marBottom w:val="0"/>
              <w:divBdr>
                <w:top w:val="none" w:sz="0" w:space="0" w:color="auto"/>
                <w:left w:val="none" w:sz="0" w:space="0" w:color="auto"/>
                <w:bottom w:val="none" w:sz="0" w:space="0" w:color="auto"/>
                <w:right w:val="none" w:sz="0" w:space="0" w:color="auto"/>
              </w:divBdr>
              <w:divsChild>
                <w:div w:id="885683213">
                  <w:marLeft w:val="0"/>
                  <w:marRight w:val="0"/>
                  <w:marTop w:val="0"/>
                  <w:marBottom w:val="0"/>
                  <w:divBdr>
                    <w:top w:val="none" w:sz="0" w:space="0" w:color="auto"/>
                    <w:left w:val="none" w:sz="0" w:space="0" w:color="auto"/>
                    <w:bottom w:val="none" w:sz="0" w:space="0" w:color="auto"/>
                    <w:right w:val="none" w:sz="0" w:space="0" w:color="auto"/>
                  </w:divBdr>
                  <w:divsChild>
                    <w:div w:id="224339865">
                      <w:marLeft w:val="150"/>
                      <w:marRight w:val="150"/>
                      <w:marTop w:val="0"/>
                      <w:marBottom w:val="0"/>
                      <w:divBdr>
                        <w:top w:val="none" w:sz="0" w:space="0" w:color="auto"/>
                        <w:left w:val="none" w:sz="0" w:space="0" w:color="auto"/>
                        <w:bottom w:val="none" w:sz="0" w:space="0" w:color="auto"/>
                        <w:right w:val="none" w:sz="0" w:space="0" w:color="auto"/>
                      </w:divBdr>
                      <w:divsChild>
                        <w:div w:id="2132478393">
                          <w:marLeft w:val="0"/>
                          <w:marRight w:val="0"/>
                          <w:marTop w:val="0"/>
                          <w:marBottom w:val="0"/>
                          <w:divBdr>
                            <w:top w:val="none" w:sz="0" w:space="0" w:color="auto"/>
                            <w:left w:val="none" w:sz="0" w:space="0" w:color="auto"/>
                            <w:bottom w:val="none" w:sz="0" w:space="0" w:color="auto"/>
                            <w:right w:val="none" w:sz="0" w:space="0" w:color="auto"/>
                          </w:divBdr>
                          <w:divsChild>
                            <w:div w:id="395127767">
                              <w:marLeft w:val="0"/>
                              <w:marRight w:val="0"/>
                              <w:marTop w:val="0"/>
                              <w:marBottom w:val="240"/>
                              <w:divBdr>
                                <w:top w:val="none" w:sz="0" w:space="0" w:color="auto"/>
                                <w:left w:val="none" w:sz="0" w:space="0" w:color="auto"/>
                                <w:bottom w:val="none" w:sz="0" w:space="0" w:color="auto"/>
                                <w:right w:val="none" w:sz="0" w:space="0" w:color="auto"/>
                              </w:divBdr>
                              <w:divsChild>
                                <w:div w:id="1193034881">
                                  <w:marLeft w:val="0"/>
                                  <w:marRight w:val="0"/>
                                  <w:marTop w:val="0"/>
                                  <w:marBottom w:val="0"/>
                                  <w:divBdr>
                                    <w:top w:val="none" w:sz="0" w:space="0" w:color="auto"/>
                                    <w:left w:val="none" w:sz="0" w:space="0" w:color="auto"/>
                                    <w:bottom w:val="none" w:sz="0" w:space="0" w:color="auto"/>
                                    <w:right w:val="none" w:sz="0" w:space="0" w:color="auto"/>
                                  </w:divBdr>
                                  <w:divsChild>
                                    <w:div w:id="735670639">
                                      <w:marLeft w:val="0"/>
                                      <w:marRight w:val="0"/>
                                      <w:marTop w:val="0"/>
                                      <w:marBottom w:val="0"/>
                                      <w:divBdr>
                                        <w:top w:val="none" w:sz="0" w:space="0" w:color="auto"/>
                                        <w:left w:val="none" w:sz="0" w:space="0" w:color="auto"/>
                                        <w:bottom w:val="none" w:sz="0" w:space="0" w:color="auto"/>
                                        <w:right w:val="none" w:sz="0" w:space="0" w:color="auto"/>
                                      </w:divBdr>
                                      <w:divsChild>
                                        <w:div w:id="677541510">
                                          <w:marLeft w:val="0"/>
                                          <w:marRight w:val="0"/>
                                          <w:marTop w:val="0"/>
                                          <w:marBottom w:val="0"/>
                                          <w:divBdr>
                                            <w:top w:val="none" w:sz="0" w:space="0" w:color="auto"/>
                                            <w:left w:val="none" w:sz="0" w:space="0" w:color="auto"/>
                                            <w:bottom w:val="none" w:sz="0" w:space="0" w:color="auto"/>
                                            <w:right w:val="none" w:sz="0" w:space="0" w:color="auto"/>
                                          </w:divBdr>
                                          <w:divsChild>
                                            <w:div w:id="655496551">
                                              <w:marLeft w:val="0"/>
                                              <w:marRight w:val="0"/>
                                              <w:marTop w:val="0"/>
                                              <w:marBottom w:val="0"/>
                                              <w:divBdr>
                                                <w:top w:val="none" w:sz="0" w:space="0" w:color="auto"/>
                                                <w:left w:val="none" w:sz="0" w:space="0" w:color="auto"/>
                                                <w:bottom w:val="none" w:sz="0" w:space="0" w:color="auto"/>
                                                <w:right w:val="none" w:sz="0" w:space="0" w:color="auto"/>
                                              </w:divBdr>
                                              <w:divsChild>
                                                <w:div w:id="1223441446">
                                                  <w:marLeft w:val="0"/>
                                                  <w:marRight w:val="0"/>
                                                  <w:marTop w:val="0"/>
                                                  <w:marBottom w:val="0"/>
                                                  <w:divBdr>
                                                    <w:top w:val="none" w:sz="0" w:space="0" w:color="auto"/>
                                                    <w:left w:val="none" w:sz="0" w:space="0" w:color="auto"/>
                                                    <w:bottom w:val="none" w:sz="0" w:space="0" w:color="auto"/>
                                                    <w:right w:val="none" w:sz="0" w:space="0" w:color="auto"/>
                                                  </w:divBdr>
                                                  <w:divsChild>
                                                    <w:div w:id="18004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019946">
      <w:bodyDiv w:val="1"/>
      <w:marLeft w:val="0"/>
      <w:marRight w:val="0"/>
      <w:marTop w:val="0"/>
      <w:marBottom w:val="0"/>
      <w:divBdr>
        <w:top w:val="none" w:sz="0" w:space="0" w:color="auto"/>
        <w:left w:val="none" w:sz="0" w:space="0" w:color="auto"/>
        <w:bottom w:val="none" w:sz="0" w:space="0" w:color="auto"/>
        <w:right w:val="none" w:sz="0" w:space="0" w:color="auto"/>
      </w:divBdr>
    </w:div>
    <w:div w:id="1972979100">
      <w:bodyDiv w:val="1"/>
      <w:marLeft w:val="0"/>
      <w:marRight w:val="0"/>
      <w:marTop w:val="0"/>
      <w:marBottom w:val="0"/>
      <w:divBdr>
        <w:top w:val="none" w:sz="0" w:space="0" w:color="auto"/>
        <w:left w:val="none" w:sz="0" w:space="0" w:color="auto"/>
        <w:bottom w:val="none" w:sz="0" w:space="0" w:color="auto"/>
        <w:right w:val="none" w:sz="0" w:space="0" w:color="auto"/>
      </w:divBdr>
    </w:div>
    <w:div w:id="1973363088">
      <w:bodyDiv w:val="1"/>
      <w:marLeft w:val="0"/>
      <w:marRight w:val="0"/>
      <w:marTop w:val="0"/>
      <w:marBottom w:val="0"/>
      <w:divBdr>
        <w:top w:val="none" w:sz="0" w:space="0" w:color="auto"/>
        <w:left w:val="none" w:sz="0" w:space="0" w:color="auto"/>
        <w:bottom w:val="none" w:sz="0" w:space="0" w:color="auto"/>
        <w:right w:val="none" w:sz="0" w:space="0" w:color="auto"/>
      </w:divBdr>
    </w:div>
    <w:div w:id="2007397988">
      <w:bodyDiv w:val="1"/>
      <w:marLeft w:val="0"/>
      <w:marRight w:val="0"/>
      <w:marTop w:val="0"/>
      <w:marBottom w:val="0"/>
      <w:divBdr>
        <w:top w:val="none" w:sz="0" w:space="0" w:color="auto"/>
        <w:left w:val="none" w:sz="0" w:space="0" w:color="auto"/>
        <w:bottom w:val="none" w:sz="0" w:space="0" w:color="auto"/>
        <w:right w:val="none" w:sz="0" w:space="0" w:color="auto"/>
      </w:divBdr>
    </w:div>
    <w:div w:id="2028093431">
      <w:bodyDiv w:val="1"/>
      <w:marLeft w:val="0"/>
      <w:marRight w:val="0"/>
      <w:marTop w:val="0"/>
      <w:marBottom w:val="0"/>
      <w:divBdr>
        <w:top w:val="none" w:sz="0" w:space="0" w:color="auto"/>
        <w:left w:val="none" w:sz="0" w:space="0" w:color="auto"/>
        <w:bottom w:val="none" w:sz="0" w:space="0" w:color="auto"/>
        <w:right w:val="none" w:sz="0" w:space="0" w:color="auto"/>
      </w:divBdr>
    </w:div>
    <w:div w:id="2042045382">
      <w:bodyDiv w:val="1"/>
      <w:marLeft w:val="0"/>
      <w:marRight w:val="0"/>
      <w:marTop w:val="0"/>
      <w:marBottom w:val="0"/>
      <w:divBdr>
        <w:top w:val="none" w:sz="0" w:space="0" w:color="auto"/>
        <w:left w:val="none" w:sz="0" w:space="0" w:color="auto"/>
        <w:bottom w:val="none" w:sz="0" w:space="0" w:color="auto"/>
        <w:right w:val="none" w:sz="0" w:space="0" w:color="auto"/>
      </w:divBdr>
    </w:div>
    <w:div w:id="2047025844">
      <w:bodyDiv w:val="1"/>
      <w:marLeft w:val="0"/>
      <w:marRight w:val="0"/>
      <w:marTop w:val="0"/>
      <w:marBottom w:val="0"/>
      <w:divBdr>
        <w:top w:val="none" w:sz="0" w:space="0" w:color="auto"/>
        <w:left w:val="none" w:sz="0" w:space="0" w:color="auto"/>
        <w:bottom w:val="none" w:sz="0" w:space="0" w:color="auto"/>
        <w:right w:val="none" w:sz="0" w:space="0" w:color="auto"/>
      </w:divBdr>
    </w:div>
    <w:div w:id="2050101556">
      <w:bodyDiv w:val="1"/>
      <w:marLeft w:val="0"/>
      <w:marRight w:val="0"/>
      <w:marTop w:val="0"/>
      <w:marBottom w:val="0"/>
      <w:divBdr>
        <w:top w:val="none" w:sz="0" w:space="0" w:color="auto"/>
        <w:left w:val="none" w:sz="0" w:space="0" w:color="auto"/>
        <w:bottom w:val="none" w:sz="0" w:space="0" w:color="auto"/>
        <w:right w:val="none" w:sz="0" w:space="0" w:color="auto"/>
      </w:divBdr>
    </w:div>
    <w:div w:id="2062436620">
      <w:bodyDiv w:val="1"/>
      <w:marLeft w:val="0"/>
      <w:marRight w:val="0"/>
      <w:marTop w:val="0"/>
      <w:marBottom w:val="0"/>
      <w:divBdr>
        <w:top w:val="none" w:sz="0" w:space="0" w:color="auto"/>
        <w:left w:val="none" w:sz="0" w:space="0" w:color="auto"/>
        <w:bottom w:val="none" w:sz="0" w:space="0" w:color="auto"/>
        <w:right w:val="none" w:sz="0" w:space="0" w:color="auto"/>
      </w:divBdr>
    </w:div>
    <w:div w:id="2068457897">
      <w:bodyDiv w:val="1"/>
      <w:marLeft w:val="0"/>
      <w:marRight w:val="0"/>
      <w:marTop w:val="0"/>
      <w:marBottom w:val="0"/>
      <w:divBdr>
        <w:top w:val="none" w:sz="0" w:space="0" w:color="auto"/>
        <w:left w:val="none" w:sz="0" w:space="0" w:color="auto"/>
        <w:bottom w:val="none" w:sz="0" w:space="0" w:color="auto"/>
        <w:right w:val="none" w:sz="0" w:space="0" w:color="auto"/>
      </w:divBdr>
    </w:div>
    <w:div w:id="2069692723">
      <w:bodyDiv w:val="1"/>
      <w:marLeft w:val="0"/>
      <w:marRight w:val="0"/>
      <w:marTop w:val="0"/>
      <w:marBottom w:val="0"/>
      <w:divBdr>
        <w:top w:val="none" w:sz="0" w:space="0" w:color="auto"/>
        <w:left w:val="none" w:sz="0" w:space="0" w:color="auto"/>
        <w:bottom w:val="none" w:sz="0" w:space="0" w:color="auto"/>
        <w:right w:val="none" w:sz="0" w:space="0" w:color="auto"/>
      </w:divBdr>
    </w:div>
    <w:div w:id="2075351614">
      <w:bodyDiv w:val="1"/>
      <w:marLeft w:val="0"/>
      <w:marRight w:val="0"/>
      <w:marTop w:val="0"/>
      <w:marBottom w:val="0"/>
      <w:divBdr>
        <w:top w:val="none" w:sz="0" w:space="0" w:color="auto"/>
        <w:left w:val="none" w:sz="0" w:space="0" w:color="auto"/>
        <w:bottom w:val="none" w:sz="0" w:space="0" w:color="auto"/>
        <w:right w:val="none" w:sz="0" w:space="0" w:color="auto"/>
      </w:divBdr>
    </w:div>
    <w:div w:id="2097168907">
      <w:bodyDiv w:val="1"/>
      <w:marLeft w:val="0"/>
      <w:marRight w:val="0"/>
      <w:marTop w:val="0"/>
      <w:marBottom w:val="0"/>
      <w:divBdr>
        <w:top w:val="none" w:sz="0" w:space="0" w:color="auto"/>
        <w:left w:val="none" w:sz="0" w:space="0" w:color="auto"/>
        <w:bottom w:val="none" w:sz="0" w:space="0" w:color="auto"/>
        <w:right w:val="none" w:sz="0" w:space="0" w:color="auto"/>
      </w:divBdr>
    </w:div>
    <w:div w:id="2105613545">
      <w:bodyDiv w:val="1"/>
      <w:marLeft w:val="0"/>
      <w:marRight w:val="0"/>
      <w:marTop w:val="0"/>
      <w:marBottom w:val="0"/>
      <w:divBdr>
        <w:top w:val="none" w:sz="0" w:space="0" w:color="auto"/>
        <w:left w:val="none" w:sz="0" w:space="0" w:color="auto"/>
        <w:bottom w:val="none" w:sz="0" w:space="0" w:color="auto"/>
        <w:right w:val="none" w:sz="0" w:space="0" w:color="auto"/>
      </w:divBdr>
    </w:div>
    <w:div w:id="2109886623">
      <w:bodyDiv w:val="1"/>
      <w:marLeft w:val="0"/>
      <w:marRight w:val="0"/>
      <w:marTop w:val="0"/>
      <w:marBottom w:val="0"/>
      <w:divBdr>
        <w:top w:val="none" w:sz="0" w:space="0" w:color="auto"/>
        <w:left w:val="none" w:sz="0" w:space="0" w:color="auto"/>
        <w:bottom w:val="none" w:sz="0" w:space="0" w:color="auto"/>
        <w:right w:val="none" w:sz="0" w:space="0" w:color="auto"/>
      </w:divBdr>
    </w:div>
    <w:div w:id="2126190955">
      <w:bodyDiv w:val="1"/>
      <w:marLeft w:val="0"/>
      <w:marRight w:val="0"/>
      <w:marTop w:val="0"/>
      <w:marBottom w:val="0"/>
      <w:divBdr>
        <w:top w:val="none" w:sz="0" w:space="0" w:color="auto"/>
        <w:left w:val="none" w:sz="0" w:space="0" w:color="auto"/>
        <w:bottom w:val="none" w:sz="0" w:space="0" w:color="auto"/>
        <w:right w:val="none" w:sz="0" w:space="0" w:color="auto"/>
      </w:divBdr>
    </w:div>
    <w:div w:id="2126607801">
      <w:bodyDiv w:val="1"/>
      <w:marLeft w:val="0"/>
      <w:marRight w:val="0"/>
      <w:marTop w:val="0"/>
      <w:marBottom w:val="0"/>
      <w:divBdr>
        <w:top w:val="none" w:sz="0" w:space="0" w:color="auto"/>
        <w:left w:val="none" w:sz="0" w:space="0" w:color="auto"/>
        <w:bottom w:val="none" w:sz="0" w:space="0" w:color="auto"/>
        <w:right w:val="none" w:sz="0" w:space="0" w:color="auto"/>
      </w:divBdr>
    </w:div>
    <w:div w:id="2129735941">
      <w:bodyDiv w:val="1"/>
      <w:marLeft w:val="0"/>
      <w:marRight w:val="0"/>
      <w:marTop w:val="0"/>
      <w:marBottom w:val="0"/>
      <w:divBdr>
        <w:top w:val="none" w:sz="0" w:space="0" w:color="auto"/>
        <w:left w:val="none" w:sz="0" w:space="0" w:color="auto"/>
        <w:bottom w:val="none" w:sz="0" w:space="0" w:color="auto"/>
        <w:right w:val="none" w:sz="0" w:space="0" w:color="auto"/>
      </w:divBdr>
    </w:div>
    <w:div w:id="214434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2.xml"/><Relationship Id="rId21" Type="http://schemas.openxmlformats.org/officeDocument/2006/relationships/hyperlink" Target="mailto:nsw@eesicontracting.com" TargetMode="External"/><Relationship Id="rId42" Type="http://schemas.openxmlformats.org/officeDocument/2006/relationships/image" Target="media/image8.png"/><Relationship Id="rId63" Type="http://schemas.openxmlformats.org/officeDocument/2006/relationships/image" Target="media/image25.png"/><Relationship Id="rId84" Type="http://schemas.openxmlformats.org/officeDocument/2006/relationships/footer" Target="footer18.xml"/><Relationship Id="rId138" Type="http://schemas.openxmlformats.org/officeDocument/2006/relationships/image" Target="media/image42.png"/><Relationship Id="rId159" Type="http://schemas.openxmlformats.org/officeDocument/2006/relationships/footer" Target="footer45.xml"/><Relationship Id="rId170" Type="http://schemas.openxmlformats.org/officeDocument/2006/relationships/image" Target="media/image51.png"/><Relationship Id="rId191" Type="http://schemas.openxmlformats.org/officeDocument/2006/relationships/hyperlink" Target="http://batteryuniversity.com/learn/article/electric_vehicle" TargetMode="External"/><Relationship Id="rId205" Type="http://schemas.openxmlformats.org/officeDocument/2006/relationships/hyperlink" Target="ftp://seav.vic.gov.au/renewable_energy_old/resources/bioenergy/Moving_towards_Sustainable_Biosolids_management.pdf" TargetMode="External"/><Relationship Id="rId226" Type="http://schemas.openxmlformats.org/officeDocument/2006/relationships/hyperlink" Target="http://www.environment.gov.au/protection/national-waste-policy/publications/biosolids-snapshot" TargetMode="External"/><Relationship Id="rId247" Type="http://schemas.openxmlformats.org/officeDocument/2006/relationships/footer" Target="footer58.xml"/><Relationship Id="rId107" Type="http://schemas.openxmlformats.org/officeDocument/2006/relationships/image" Target="media/image33.png"/><Relationship Id="rId268" Type="http://schemas.openxmlformats.org/officeDocument/2006/relationships/image" Target="media/image76.emf"/><Relationship Id="rId289" Type="http://schemas.openxmlformats.org/officeDocument/2006/relationships/footer" Target="footer66.xml"/><Relationship Id="rId11" Type="http://schemas.openxmlformats.org/officeDocument/2006/relationships/header" Target="header3.xml"/><Relationship Id="rId32" Type="http://schemas.openxmlformats.org/officeDocument/2006/relationships/footer" Target="footer5.xml"/><Relationship Id="rId53" Type="http://schemas.openxmlformats.org/officeDocument/2006/relationships/footer" Target="footer9.xml"/><Relationship Id="rId74" Type="http://schemas.openxmlformats.org/officeDocument/2006/relationships/header" Target="header16.xml"/><Relationship Id="rId128" Type="http://schemas.openxmlformats.org/officeDocument/2006/relationships/footer" Target="footer35.xml"/><Relationship Id="rId149" Type="http://schemas.openxmlformats.org/officeDocument/2006/relationships/header" Target="header43.xml"/><Relationship Id="rId5" Type="http://schemas.openxmlformats.org/officeDocument/2006/relationships/webSettings" Target="webSettings.xml"/><Relationship Id="rId95" Type="http://schemas.openxmlformats.org/officeDocument/2006/relationships/header" Target="header24.xml"/><Relationship Id="rId160" Type="http://schemas.openxmlformats.org/officeDocument/2006/relationships/footer" Target="footer46.xml"/><Relationship Id="rId181" Type="http://schemas.openxmlformats.org/officeDocument/2006/relationships/hyperlink" Target="http://www.abc.net.au/news/specials/coal-seam-gas-by-the-numbers/" TargetMode="External"/><Relationship Id="rId216" Type="http://schemas.openxmlformats.org/officeDocument/2006/relationships/hyperlink" Target="http://www.icnvic.org.au/media/documents/water%20industry/melb%20water%20-%20eoi%20-%20beneficial%20use%20of%20biosolids.pdf" TargetMode="External"/><Relationship Id="rId237" Type="http://schemas.openxmlformats.org/officeDocument/2006/relationships/header" Target="header54.xml"/><Relationship Id="rId258" Type="http://schemas.openxmlformats.org/officeDocument/2006/relationships/image" Target="media/image67.emf"/><Relationship Id="rId279" Type="http://schemas.openxmlformats.org/officeDocument/2006/relationships/footer" Target="footer62.xml"/><Relationship Id="rId22" Type="http://schemas.openxmlformats.org/officeDocument/2006/relationships/hyperlink" Target="mailto:info@solveco.com.au" TargetMode="External"/><Relationship Id="rId43" Type="http://schemas.openxmlformats.org/officeDocument/2006/relationships/image" Target="media/image9.png"/><Relationship Id="rId64" Type="http://schemas.openxmlformats.org/officeDocument/2006/relationships/header" Target="header11.xml"/><Relationship Id="rId118" Type="http://schemas.openxmlformats.org/officeDocument/2006/relationships/image" Target="media/image34.png"/><Relationship Id="rId139" Type="http://schemas.openxmlformats.org/officeDocument/2006/relationships/image" Target="media/image43.png"/><Relationship Id="rId290" Type="http://schemas.openxmlformats.org/officeDocument/2006/relationships/footer" Target="footer67.xml"/><Relationship Id="rId85" Type="http://schemas.openxmlformats.org/officeDocument/2006/relationships/image" Target="media/image29.png"/><Relationship Id="rId150" Type="http://schemas.openxmlformats.org/officeDocument/2006/relationships/header" Target="header44.xml"/><Relationship Id="rId171" Type="http://schemas.openxmlformats.org/officeDocument/2006/relationships/image" Target="media/image52.emf"/><Relationship Id="rId192" Type="http://schemas.openxmlformats.org/officeDocument/2006/relationships/hyperlink" Target="http://www.metalbulletin.com/events/details/6516/4th-lithium-supply-and-markets/presentations.html" TargetMode="External"/><Relationship Id="rId206" Type="http://schemas.openxmlformats.org/officeDocument/2006/relationships/hyperlink" Target="http://www.mfe.govt.nz/publications/waste/bromide-flame-retardant-waste/pilot-study-e-waste-plastic-sorting.pdf" TargetMode="External"/><Relationship Id="rId227" Type="http://schemas.openxmlformats.org/officeDocument/2006/relationships/hyperlink" Target="http://www.environment.gov.au/protection/publications/hazardous-waste-infrastructure-australia" TargetMode="External"/><Relationship Id="rId248" Type="http://schemas.openxmlformats.org/officeDocument/2006/relationships/header" Target="header59.xml"/><Relationship Id="rId269" Type="http://schemas.openxmlformats.org/officeDocument/2006/relationships/image" Target="media/image77.emf"/><Relationship Id="rId12" Type="http://schemas.openxmlformats.org/officeDocument/2006/relationships/hyperlink" Target="mailto:blue@blueenvironment.com.au" TargetMode="External"/><Relationship Id="rId33" Type="http://schemas.openxmlformats.org/officeDocument/2006/relationships/image" Target="media/image4.png"/><Relationship Id="rId108" Type="http://schemas.openxmlformats.org/officeDocument/2006/relationships/header" Target="header29.xml"/><Relationship Id="rId129" Type="http://schemas.openxmlformats.org/officeDocument/2006/relationships/image" Target="media/image39.png"/><Relationship Id="rId280" Type="http://schemas.openxmlformats.org/officeDocument/2006/relationships/chart" Target="charts/chart2.xml"/><Relationship Id="rId54" Type="http://schemas.openxmlformats.org/officeDocument/2006/relationships/image" Target="media/image16.png"/><Relationship Id="rId75" Type="http://schemas.openxmlformats.org/officeDocument/2006/relationships/footer" Target="footer15.xml"/><Relationship Id="rId96" Type="http://schemas.openxmlformats.org/officeDocument/2006/relationships/footer" Target="footer22.xml"/><Relationship Id="rId140" Type="http://schemas.openxmlformats.org/officeDocument/2006/relationships/header" Target="header40.xml"/><Relationship Id="rId161" Type="http://schemas.openxmlformats.org/officeDocument/2006/relationships/header" Target="header49.xml"/><Relationship Id="rId182" Type="http://schemas.openxmlformats.org/officeDocument/2006/relationships/hyperlink" Target="http://www.abs.gov.au/AUSSTATS/abs@.nsf/DetailsPage/3222.02012%20(base)%20to%202101?OpenDocument" TargetMode="External"/><Relationship Id="rId217" Type="http://schemas.openxmlformats.org/officeDocument/2006/relationships/hyperlink" Target="http://www.melbournewater.com.au/whatwedo/Liveability-and-environment/waste/Pages/Waste-to-resources.aspx" TargetMode="External"/><Relationship Id="rId6" Type="http://schemas.openxmlformats.org/officeDocument/2006/relationships/footnotes" Target="footnotes.xml"/><Relationship Id="rId238" Type="http://schemas.openxmlformats.org/officeDocument/2006/relationships/footer" Target="footer53.xml"/><Relationship Id="rId259" Type="http://schemas.openxmlformats.org/officeDocument/2006/relationships/image" Target="media/image68.emf"/><Relationship Id="rId23" Type="http://schemas.openxmlformats.org/officeDocument/2006/relationships/hyperlink" Target="mailto:admin@solvents.net.au" TargetMode="External"/><Relationship Id="rId119" Type="http://schemas.openxmlformats.org/officeDocument/2006/relationships/image" Target="media/image35.png"/><Relationship Id="rId270" Type="http://schemas.openxmlformats.org/officeDocument/2006/relationships/image" Target="media/image78.emf"/><Relationship Id="rId291" Type="http://schemas.openxmlformats.org/officeDocument/2006/relationships/header" Target="header69.xml"/><Relationship Id="rId44" Type="http://schemas.openxmlformats.org/officeDocument/2006/relationships/image" Target="media/image10.png"/><Relationship Id="rId65" Type="http://schemas.openxmlformats.org/officeDocument/2006/relationships/header" Target="header12.xml"/><Relationship Id="rId86" Type="http://schemas.openxmlformats.org/officeDocument/2006/relationships/image" Target="media/image30.png"/><Relationship Id="rId130" Type="http://schemas.openxmlformats.org/officeDocument/2006/relationships/header" Target="header37.xml"/><Relationship Id="rId151" Type="http://schemas.openxmlformats.org/officeDocument/2006/relationships/footer" Target="footer42.xml"/><Relationship Id="rId172" Type="http://schemas.openxmlformats.org/officeDocument/2006/relationships/image" Target="media/image53.emf"/><Relationship Id="rId193" Type="http://schemas.openxmlformats.org/officeDocument/2006/relationships/hyperlink" Target="http://www.environment.gov.au/resource/waste-generation-and-resource-recovery-australia-report-and-data-workbooks" TargetMode="External"/><Relationship Id="rId207" Type="http://schemas.openxmlformats.org/officeDocument/2006/relationships/hyperlink" Target="http://www.epa.vic.gov.au/~/media/Publications/943.pdf" TargetMode="External"/><Relationship Id="rId228" Type="http://schemas.openxmlformats.org/officeDocument/2006/relationships/hyperlink" Target="http://www.aph.gov.au/binaries/senate/committee/eca_ctte/aust_waste_streams/report/c02.pdf" TargetMode="External"/><Relationship Id="rId249" Type="http://schemas.openxmlformats.org/officeDocument/2006/relationships/footer" Target="footer59.xml"/><Relationship Id="rId13" Type="http://schemas.openxmlformats.org/officeDocument/2006/relationships/hyperlink" Target="http://www.blueenvironment.com.au" TargetMode="External"/><Relationship Id="rId109" Type="http://schemas.openxmlformats.org/officeDocument/2006/relationships/header" Target="header30.xml"/><Relationship Id="rId260" Type="http://schemas.openxmlformats.org/officeDocument/2006/relationships/image" Target="media/image69.emf"/><Relationship Id="rId281" Type="http://schemas.openxmlformats.org/officeDocument/2006/relationships/header" Target="header64.xml"/><Relationship Id="rId34" Type="http://schemas.openxmlformats.org/officeDocument/2006/relationships/image" Target="media/image5.png"/><Relationship Id="rId55" Type="http://schemas.openxmlformats.org/officeDocument/2006/relationships/image" Target="media/image17.png"/><Relationship Id="rId76" Type="http://schemas.openxmlformats.org/officeDocument/2006/relationships/image" Target="media/image26.png"/><Relationship Id="rId97" Type="http://schemas.openxmlformats.org/officeDocument/2006/relationships/footer" Target="footer23.xml"/><Relationship Id="rId120" Type="http://schemas.openxmlformats.org/officeDocument/2006/relationships/image" Target="media/image36.png"/><Relationship Id="rId141" Type="http://schemas.openxmlformats.org/officeDocument/2006/relationships/header" Target="header41.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eader" Target="header22.xml"/><Relationship Id="rId162" Type="http://schemas.openxmlformats.org/officeDocument/2006/relationships/footer" Target="footer47.xml"/><Relationship Id="rId183" Type="http://schemas.openxmlformats.org/officeDocument/2006/relationships/hyperlink" Target="http://www.abs.gov.au/ausstats/abs@.nsf/mf/8412.0?OpenDocument" TargetMode="External"/><Relationship Id="rId213" Type="http://schemas.openxmlformats.org/officeDocument/2006/relationships/hyperlink" Target="http://www.infrastructure.nsw.gov.au/media/17000/sis_report_section13.0_print.pdf" TargetMode="External"/><Relationship Id="rId218" Type="http://schemas.openxmlformats.org/officeDocument/2006/relationships/hyperlink" Target="http://www.cleanenergycouncil.org.au/technologies/energy-storage.html" TargetMode="External"/><Relationship Id="rId234" Type="http://schemas.openxmlformats.org/officeDocument/2006/relationships/header" Target="header53.xml"/><Relationship Id="rId239" Type="http://schemas.openxmlformats.org/officeDocument/2006/relationships/header" Target="header55.xml"/><Relationship Id="rId2" Type="http://schemas.openxmlformats.org/officeDocument/2006/relationships/numbering" Target="numbering.xml"/><Relationship Id="rId29" Type="http://schemas.openxmlformats.org/officeDocument/2006/relationships/hyperlink" Target="mailto:administration@renoil.com.au" TargetMode="External"/><Relationship Id="rId250" Type="http://schemas.openxmlformats.org/officeDocument/2006/relationships/image" Target="media/image60.png"/><Relationship Id="rId255" Type="http://schemas.openxmlformats.org/officeDocument/2006/relationships/image" Target="media/image64.emf"/><Relationship Id="rId271" Type="http://schemas.openxmlformats.org/officeDocument/2006/relationships/image" Target="media/image79.emf"/><Relationship Id="rId276" Type="http://schemas.openxmlformats.org/officeDocument/2006/relationships/footer" Target="footer60.xml"/><Relationship Id="rId292" Type="http://schemas.openxmlformats.org/officeDocument/2006/relationships/footer" Target="footer68.xml"/><Relationship Id="rId24" Type="http://schemas.openxmlformats.org/officeDocument/2006/relationships/hyperlink" Target="mailto:info@statewaste.com.au" TargetMode="External"/><Relationship Id="rId40" Type="http://schemas.openxmlformats.org/officeDocument/2006/relationships/header" Target="header8.xml"/><Relationship Id="rId45" Type="http://schemas.openxmlformats.org/officeDocument/2006/relationships/image" Target="media/image11.png"/><Relationship Id="rId66" Type="http://schemas.openxmlformats.org/officeDocument/2006/relationships/footer" Target="footer10.xml"/><Relationship Id="rId87" Type="http://schemas.openxmlformats.org/officeDocument/2006/relationships/image" Target="media/image31.png"/><Relationship Id="rId110" Type="http://schemas.openxmlformats.org/officeDocument/2006/relationships/footer" Target="footer28.xml"/><Relationship Id="rId115" Type="http://schemas.openxmlformats.org/officeDocument/2006/relationships/footer" Target="footer31.xml"/><Relationship Id="rId131" Type="http://schemas.openxmlformats.org/officeDocument/2006/relationships/header" Target="header38.xml"/><Relationship Id="rId136" Type="http://schemas.openxmlformats.org/officeDocument/2006/relationships/image" Target="media/image40.png"/><Relationship Id="rId157" Type="http://schemas.openxmlformats.org/officeDocument/2006/relationships/header" Target="header47.xml"/><Relationship Id="rId178" Type="http://schemas.openxmlformats.org/officeDocument/2006/relationships/image" Target="media/image59.emf"/><Relationship Id="rId61" Type="http://schemas.openxmlformats.org/officeDocument/2006/relationships/image" Target="media/image23.png"/><Relationship Id="rId82" Type="http://schemas.openxmlformats.org/officeDocument/2006/relationships/footer" Target="footer17.xml"/><Relationship Id="rId152" Type="http://schemas.openxmlformats.org/officeDocument/2006/relationships/image" Target="media/image47.png"/><Relationship Id="rId173" Type="http://schemas.openxmlformats.org/officeDocument/2006/relationships/image" Target="media/image54.emf"/><Relationship Id="rId194" Type="http://schemas.openxmlformats.org/officeDocument/2006/relationships/hyperlink" Target="http://www.canberratimes.com.au/act-news/up-to-150000-tonnes-of-asbestos-waste-headed-to-west-belconnen-20141118-11kt97.html" TargetMode="External"/><Relationship Id="rId199" Type="http://schemas.openxmlformats.org/officeDocument/2006/relationships/hyperlink" Target="http://www.climatechange.gov.au/sites/climatechange/files/files/climate-change/projections/aep-industrial.pdf" TargetMode="External"/><Relationship Id="rId203" Type="http://schemas.openxmlformats.org/officeDocument/2006/relationships/hyperlink" Target="http://www.environment.gov.au/system/files/resources/bf250125-bf51-42ce-9611-6784e2498ecd/files/scheme-outcomes-2012-13.pdf" TargetMode="External"/><Relationship Id="rId208" Type="http://schemas.openxmlformats.org/officeDocument/2006/relationships/hyperlink" Target="http://www.ephc.gov.au/sites/default/files/PS_TV_Comp__Decision_RIS__Televisions_and_Computers__200911_0.pdf" TargetMode="External"/><Relationship Id="rId229" Type="http://schemas.openxmlformats.org/officeDocument/2006/relationships/hyperlink" Target="http://nwc.gov.au/__data/assets/pdf_file/0007/18619/Onshore-co-produced-water-extent-and-management_final-for-web.pdf" TargetMode="External"/><Relationship Id="rId19" Type="http://schemas.openxmlformats.org/officeDocument/2006/relationships/hyperlink" Target="mailto:info@enirgi.com" TargetMode="External"/><Relationship Id="rId224" Type="http://schemas.openxmlformats.org/officeDocument/2006/relationships/hyperlink" Target="http://www.oica.net/category/sales-statistics/" TargetMode="External"/><Relationship Id="rId240" Type="http://schemas.openxmlformats.org/officeDocument/2006/relationships/header" Target="header56.xml"/><Relationship Id="rId245" Type="http://schemas.openxmlformats.org/officeDocument/2006/relationships/header" Target="header58.xml"/><Relationship Id="rId261" Type="http://schemas.openxmlformats.org/officeDocument/2006/relationships/image" Target="media/image70.emf"/><Relationship Id="rId266" Type="http://schemas.openxmlformats.org/officeDocument/2006/relationships/image" Target="media/image75.emf"/><Relationship Id="rId287" Type="http://schemas.openxmlformats.org/officeDocument/2006/relationships/header" Target="header67.xml"/><Relationship Id="rId14"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6.emf"/><Relationship Id="rId56" Type="http://schemas.openxmlformats.org/officeDocument/2006/relationships/image" Target="media/image18.png"/><Relationship Id="rId77" Type="http://schemas.openxmlformats.org/officeDocument/2006/relationships/image" Target="media/image27.png"/><Relationship Id="rId100" Type="http://schemas.openxmlformats.org/officeDocument/2006/relationships/image" Target="media/image32.png"/><Relationship Id="rId105" Type="http://schemas.openxmlformats.org/officeDocument/2006/relationships/header" Target="header28.xml"/><Relationship Id="rId126" Type="http://schemas.openxmlformats.org/officeDocument/2006/relationships/footer" Target="footer34.xml"/><Relationship Id="rId147" Type="http://schemas.openxmlformats.org/officeDocument/2006/relationships/image" Target="media/image45.png"/><Relationship Id="rId168" Type="http://schemas.openxmlformats.org/officeDocument/2006/relationships/footer" Target="footer49.xml"/><Relationship Id="rId282" Type="http://schemas.openxmlformats.org/officeDocument/2006/relationships/header" Target="header65.xml"/><Relationship Id="rId8" Type="http://schemas.openxmlformats.org/officeDocument/2006/relationships/header" Target="header1.xml"/><Relationship Id="rId51" Type="http://schemas.openxmlformats.org/officeDocument/2006/relationships/footer" Target="footer8.xml"/><Relationship Id="rId72" Type="http://schemas.openxmlformats.org/officeDocument/2006/relationships/footer" Target="footer13.xml"/><Relationship Id="rId93" Type="http://schemas.openxmlformats.org/officeDocument/2006/relationships/footer" Target="footer21.xml"/><Relationship Id="rId98" Type="http://schemas.openxmlformats.org/officeDocument/2006/relationships/header" Target="header25.xml"/><Relationship Id="rId121" Type="http://schemas.openxmlformats.org/officeDocument/2006/relationships/image" Target="media/image37.png"/><Relationship Id="rId142" Type="http://schemas.openxmlformats.org/officeDocument/2006/relationships/footer" Target="footer39.xml"/><Relationship Id="rId163" Type="http://schemas.openxmlformats.org/officeDocument/2006/relationships/header" Target="header50.xml"/><Relationship Id="rId184" Type="http://schemas.openxmlformats.org/officeDocument/2006/relationships/hyperlink" Target="https://www.acif.com.au/forecasts/dashboard" TargetMode="External"/><Relationship Id="rId189" Type="http://schemas.openxmlformats.org/officeDocument/2006/relationships/hyperlink" Target="http://www.budget.gov.au/2012-13/content/myefo/html/02_part_2-04.htm" TargetMode="External"/><Relationship Id="rId219" Type="http://schemas.openxmlformats.org/officeDocument/2006/relationships/hyperlink" Target="http://www.mhmmetals.com/_content/documents/986.pdf" TargetMode="External"/><Relationship Id="rId3" Type="http://schemas.openxmlformats.org/officeDocument/2006/relationships/styles" Target="styles.xml"/><Relationship Id="rId214" Type="http://schemas.openxmlformats.org/officeDocument/2006/relationships/hyperlink" Target="http://jcpip.com.au/docs/jcp-investment-partners-the-aluminium-market-outlook-august-2012.pdf" TargetMode="External"/><Relationship Id="rId230" Type="http://schemas.openxmlformats.org/officeDocument/2006/relationships/hyperlink" Target="http://www.zerowaste.sa.gov.au/upload/resource-centre/publications/management-of-contaminated-soils-in-south-australia/Contaminated%20Soils%20in%20South%20Australia_2012_Final.pdf" TargetMode="External"/><Relationship Id="rId235" Type="http://schemas.openxmlformats.org/officeDocument/2006/relationships/footer" Target="footer51.xml"/><Relationship Id="rId251" Type="http://schemas.openxmlformats.org/officeDocument/2006/relationships/header" Target="header60.xml"/><Relationship Id="rId256" Type="http://schemas.openxmlformats.org/officeDocument/2006/relationships/image" Target="media/image65.emf"/><Relationship Id="rId277" Type="http://schemas.openxmlformats.org/officeDocument/2006/relationships/footer" Target="footer61.xml"/><Relationship Id="rId25" Type="http://schemas.openxmlformats.org/officeDocument/2006/relationships/hyperlink" Target="mailto:info@toxfree.com.au" TargetMode="External"/><Relationship Id="rId46" Type="http://schemas.openxmlformats.org/officeDocument/2006/relationships/image" Target="media/image12.png"/><Relationship Id="rId67" Type="http://schemas.openxmlformats.org/officeDocument/2006/relationships/footer" Target="footer11.xml"/><Relationship Id="rId116" Type="http://schemas.openxmlformats.org/officeDocument/2006/relationships/header" Target="header33.xml"/><Relationship Id="rId137" Type="http://schemas.openxmlformats.org/officeDocument/2006/relationships/image" Target="media/image41.png"/><Relationship Id="rId158" Type="http://schemas.openxmlformats.org/officeDocument/2006/relationships/header" Target="header48.xml"/><Relationship Id="rId272" Type="http://schemas.openxmlformats.org/officeDocument/2006/relationships/image" Target="media/image80.emf"/><Relationship Id="rId293" Type="http://schemas.openxmlformats.org/officeDocument/2006/relationships/fontTable" Target="fontTable.xml"/><Relationship Id="rId20" Type="http://schemas.openxmlformats.org/officeDocument/2006/relationships/hyperlink" Target="mailto:mark@resolvewaste.com" TargetMode="External"/><Relationship Id="rId41" Type="http://schemas.openxmlformats.org/officeDocument/2006/relationships/footer" Target="footer7.xml"/><Relationship Id="rId62" Type="http://schemas.openxmlformats.org/officeDocument/2006/relationships/image" Target="media/image24.png"/><Relationship Id="rId83" Type="http://schemas.openxmlformats.org/officeDocument/2006/relationships/header" Target="header19.xml"/><Relationship Id="rId88" Type="http://schemas.openxmlformats.org/officeDocument/2006/relationships/header" Target="header20.xml"/><Relationship Id="rId111" Type="http://schemas.openxmlformats.org/officeDocument/2006/relationships/footer" Target="footer29.xml"/><Relationship Id="rId132" Type="http://schemas.openxmlformats.org/officeDocument/2006/relationships/footer" Target="footer36.xml"/><Relationship Id="rId153" Type="http://schemas.openxmlformats.org/officeDocument/2006/relationships/header" Target="header45.xml"/><Relationship Id="rId174" Type="http://schemas.openxmlformats.org/officeDocument/2006/relationships/image" Target="media/image55.emf"/><Relationship Id="rId179" Type="http://schemas.openxmlformats.org/officeDocument/2006/relationships/header" Target="header52.xml"/><Relationship Id="rId195" Type="http://schemas.openxmlformats.org/officeDocument/2006/relationships/hyperlink" Target="http://www.bree.gov.au/publications/australian-energy-projections-2049%E2%80%9350" TargetMode="External"/><Relationship Id="rId209" Type="http://schemas.openxmlformats.org/officeDocument/2006/relationships/hyperlink" Target="http://ec.europa.eu/environment/waste/studies/pdf/POP_Waste_2011.pdf" TargetMode="External"/><Relationship Id="rId190" Type="http://schemas.openxmlformats.org/officeDocument/2006/relationships/hyperlink" Target="http://archive.treasury.gov.au/igr/igr2010/Overview/pdf/IGR_2010_Overview.pdf" TargetMode="External"/><Relationship Id="rId204" Type="http://schemas.openxmlformats.org/officeDocument/2006/relationships/hyperlink" Target="http://iesc.environment.gov.au/pubs/background-review-co-produced-water.pdf" TargetMode="External"/><Relationship Id="rId220" Type="http://schemas.openxmlformats.org/officeDocument/2006/relationships/hyperlink" Target="http://www.scew.gov.au/publications/nepc-annual-reports" TargetMode="External"/><Relationship Id="rId225" Type="http://schemas.openxmlformats.org/officeDocument/2006/relationships/hyperlink" Target="http://www.orica.com/Locations/Asia-Pacific/Australia/Botany/Botany-Transformation-Projects/Stored-HCB-Waste/HCB-Waste-Export-and-Destruction-Background" TargetMode="External"/><Relationship Id="rId241" Type="http://schemas.openxmlformats.org/officeDocument/2006/relationships/footer" Target="footer54.xml"/><Relationship Id="rId246" Type="http://schemas.openxmlformats.org/officeDocument/2006/relationships/footer" Target="footer57.xml"/><Relationship Id="rId267" Type="http://schemas.openxmlformats.org/officeDocument/2006/relationships/chart" Target="charts/chart1.xml"/><Relationship Id="rId288" Type="http://schemas.openxmlformats.org/officeDocument/2006/relationships/header" Target="header68.xml"/><Relationship Id="rId15" Type="http://schemas.openxmlformats.org/officeDocument/2006/relationships/header" Target="header4.xml"/><Relationship Id="rId36" Type="http://schemas.openxmlformats.org/officeDocument/2006/relationships/header" Target="header6.xml"/><Relationship Id="rId57" Type="http://schemas.openxmlformats.org/officeDocument/2006/relationships/image" Target="media/image19.png"/><Relationship Id="rId106" Type="http://schemas.openxmlformats.org/officeDocument/2006/relationships/footer" Target="footer27.xml"/><Relationship Id="rId127" Type="http://schemas.openxmlformats.org/officeDocument/2006/relationships/header" Target="header36.xml"/><Relationship Id="rId262" Type="http://schemas.openxmlformats.org/officeDocument/2006/relationships/image" Target="media/image71.emf"/><Relationship Id="rId283" Type="http://schemas.openxmlformats.org/officeDocument/2006/relationships/footer" Target="footer63.xml"/><Relationship Id="rId10" Type="http://schemas.openxmlformats.org/officeDocument/2006/relationships/footer" Target="footer1.xml"/><Relationship Id="rId31" Type="http://schemas.openxmlformats.org/officeDocument/2006/relationships/header" Target="header5.xml"/><Relationship Id="rId52" Type="http://schemas.openxmlformats.org/officeDocument/2006/relationships/header" Target="header10.xml"/><Relationship Id="rId73" Type="http://schemas.openxmlformats.org/officeDocument/2006/relationships/footer" Target="footer14.xml"/><Relationship Id="rId78" Type="http://schemas.openxmlformats.org/officeDocument/2006/relationships/image" Target="media/image28.png"/><Relationship Id="rId94" Type="http://schemas.openxmlformats.org/officeDocument/2006/relationships/header" Target="header23.xml"/><Relationship Id="rId99" Type="http://schemas.openxmlformats.org/officeDocument/2006/relationships/footer" Target="footer24.xml"/><Relationship Id="rId101" Type="http://schemas.openxmlformats.org/officeDocument/2006/relationships/header" Target="header26.xml"/><Relationship Id="rId122" Type="http://schemas.openxmlformats.org/officeDocument/2006/relationships/image" Target="media/image38.png"/><Relationship Id="rId143" Type="http://schemas.openxmlformats.org/officeDocument/2006/relationships/footer" Target="footer40.xml"/><Relationship Id="rId148" Type="http://schemas.openxmlformats.org/officeDocument/2006/relationships/image" Target="media/image46.png"/><Relationship Id="rId164" Type="http://schemas.openxmlformats.org/officeDocument/2006/relationships/footer" Target="footer48.xml"/><Relationship Id="rId169" Type="http://schemas.openxmlformats.org/officeDocument/2006/relationships/image" Target="media/image50.png"/><Relationship Id="rId185" Type="http://schemas.openxmlformats.org/officeDocument/2006/relationships/hyperlink" Target="https://www.alcoa.com/australia/en/news/releases/PTH.asp"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50.xml"/><Relationship Id="rId210" Type="http://schemas.openxmlformats.org/officeDocument/2006/relationships/hyperlink" Target="http://www.scew.gov.au/sites/www.scew.gov.au/files/resources/023a5607-0964-47e0-92cd-78fc0e6bb14e/files/hyder-end-life-tyres.pdf" TargetMode="External"/><Relationship Id="rId215" Type="http://schemas.openxmlformats.org/officeDocument/2006/relationships/hyperlink" Target="http://www.fluorocycle.org.au/why-recycle.php" TargetMode="External"/><Relationship Id="rId236" Type="http://schemas.openxmlformats.org/officeDocument/2006/relationships/footer" Target="footer52.xml"/><Relationship Id="rId257" Type="http://schemas.openxmlformats.org/officeDocument/2006/relationships/image" Target="media/image66.emf"/><Relationship Id="rId278" Type="http://schemas.openxmlformats.org/officeDocument/2006/relationships/header" Target="header63.xml"/><Relationship Id="rId26" Type="http://schemas.openxmlformats.org/officeDocument/2006/relationships/hyperlink" Target="mailto:vic@veoliaes.com.au" TargetMode="External"/><Relationship Id="rId231" Type="http://schemas.openxmlformats.org/officeDocument/2006/relationships/hyperlink" Target="http://laperouse.info/wordpress/wp-content/uploads/2010/12/report-on-hcb-sustainable-infrastructure-australia.pdf" TargetMode="External"/><Relationship Id="rId252" Type="http://schemas.openxmlformats.org/officeDocument/2006/relationships/image" Target="media/image61.emf"/><Relationship Id="rId273" Type="http://schemas.openxmlformats.org/officeDocument/2006/relationships/image" Target="media/image81.emf"/><Relationship Id="rId294" Type="http://schemas.openxmlformats.org/officeDocument/2006/relationships/theme" Target="theme/theme1.xml"/><Relationship Id="rId47" Type="http://schemas.openxmlformats.org/officeDocument/2006/relationships/image" Target="media/image13.png"/><Relationship Id="rId68" Type="http://schemas.openxmlformats.org/officeDocument/2006/relationships/header" Target="header13.xml"/><Relationship Id="rId89" Type="http://schemas.openxmlformats.org/officeDocument/2006/relationships/header" Target="header21.xml"/><Relationship Id="rId112" Type="http://schemas.openxmlformats.org/officeDocument/2006/relationships/header" Target="header31.xml"/><Relationship Id="rId133" Type="http://schemas.openxmlformats.org/officeDocument/2006/relationships/footer" Target="footer37.xml"/><Relationship Id="rId154" Type="http://schemas.openxmlformats.org/officeDocument/2006/relationships/footer" Target="footer43.xml"/><Relationship Id="rId175" Type="http://schemas.openxmlformats.org/officeDocument/2006/relationships/image" Target="media/image56.emf"/><Relationship Id="rId196" Type="http://schemas.openxmlformats.org/officeDocument/2006/relationships/hyperlink" Target="http://dx.doi.org/10.1071/WF10070" TargetMode="External"/><Relationship Id="rId200" Type="http://schemas.openxmlformats.org/officeDocument/2006/relationships/hyperlink" Target="http://www.climatechange.gov.au/sites/climatechange/files/files/climate-change/projections/aep-waste.pdf" TargetMode="External"/><Relationship Id="rId16" Type="http://schemas.openxmlformats.org/officeDocument/2006/relationships/footer" Target="footer3.xml"/><Relationship Id="rId221" Type="http://schemas.openxmlformats.org/officeDocument/2006/relationships/hyperlink" Target="http://www.nicnas.gov.au/communications/issues/fracking-hydraulic-fracturing-coal-seam-gas-extraction/information-sheet" TargetMode="External"/><Relationship Id="rId242" Type="http://schemas.openxmlformats.org/officeDocument/2006/relationships/footer" Target="footer55.xml"/><Relationship Id="rId263" Type="http://schemas.openxmlformats.org/officeDocument/2006/relationships/image" Target="media/image72.emf"/><Relationship Id="rId284" Type="http://schemas.openxmlformats.org/officeDocument/2006/relationships/footer" Target="footer64.xml"/><Relationship Id="rId37" Type="http://schemas.openxmlformats.org/officeDocument/2006/relationships/header" Target="header7.xml"/><Relationship Id="rId58" Type="http://schemas.openxmlformats.org/officeDocument/2006/relationships/image" Target="media/image20.png"/><Relationship Id="rId79" Type="http://schemas.openxmlformats.org/officeDocument/2006/relationships/header" Target="header17.xml"/><Relationship Id="rId102" Type="http://schemas.openxmlformats.org/officeDocument/2006/relationships/header" Target="header27.xml"/><Relationship Id="rId123" Type="http://schemas.openxmlformats.org/officeDocument/2006/relationships/header" Target="header34.xml"/><Relationship Id="rId144" Type="http://schemas.openxmlformats.org/officeDocument/2006/relationships/header" Target="header42.xml"/><Relationship Id="rId90" Type="http://schemas.openxmlformats.org/officeDocument/2006/relationships/footer" Target="footer19.xml"/><Relationship Id="rId165" Type="http://schemas.openxmlformats.org/officeDocument/2006/relationships/image" Target="media/image48.png"/><Relationship Id="rId186" Type="http://schemas.openxmlformats.org/officeDocument/2006/relationships/hyperlink" Target="http://www.mobilemuster.com.au/" TargetMode="External"/><Relationship Id="rId211" Type="http://schemas.openxmlformats.org/officeDocument/2006/relationships/hyperlink" Target="http://www.ibisworld.com.au" TargetMode="External"/><Relationship Id="rId232" Type="http://schemas.openxmlformats.org/officeDocument/2006/relationships/hyperlink" Target="http://www.transpacific.com.au/asset/cms/Responses%20to%20questions%20from%20Graeme%20Hodgson%20-%20Sept%20mtg.pdf" TargetMode="External"/><Relationship Id="rId253" Type="http://schemas.openxmlformats.org/officeDocument/2006/relationships/image" Target="media/image62.emf"/><Relationship Id="rId274" Type="http://schemas.openxmlformats.org/officeDocument/2006/relationships/header" Target="header61.xml"/><Relationship Id="rId295" Type="http://schemas.microsoft.com/office/2007/relationships/stylesWithEffects" Target="stylesWithEffects.xml"/><Relationship Id="rId27" Type="http://schemas.openxmlformats.org/officeDocument/2006/relationships/hyperlink" Target="mailto:info@drumreco.com.au" TargetMode="External"/><Relationship Id="rId48" Type="http://schemas.openxmlformats.org/officeDocument/2006/relationships/image" Target="media/image14.png"/><Relationship Id="rId69" Type="http://schemas.openxmlformats.org/officeDocument/2006/relationships/footer" Target="footer12.xml"/><Relationship Id="rId113" Type="http://schemas.openxmlformats.org/officeDocument/2006/relationships/footer" Target="footer30.xml"/><Relationship Id="rId134" Type="http://schemas.openxmlformats.org/officeDocument/2006/relationships/header" Target="header39.xml"/><Relationship Id="rId80" Type="http://schemas.openxmlformats.org/officeDocument/2006/relationships/header" Target="header18.xml"/><Relationship Id="rId155" Type="http://schemas.openxmlformats.org/officeDocument/2006/relationships/header" Target="header46.xml"/><Relationship Id="rId176" Type="http://schemas.openxmlformats.org/officeDocument/2006/relationships/image" Target="media/image57.emf"/><Relationship Id="rId197" Type="http://schemas.openxmlformats.org/officeDocument/2006/relationships/hyperlink" Target="http://climatecommission.angrygoats.net/wp-content/uploads/ExtremeWeatherReport_web.pdf" TargetMode="External"/><Relationship Id="rId201" Type="http://schemas.openxmlformats.org/officeDocument/2006/relationships/hyperlink" Target="http://www.environment.gov.au/settlements/waste/ewaste/about.html" TargetMode="External"/><Relationship Id="rId222" Type="http://schemas.openxmlformats.org/officeDocument/2006/relationships/hyperlink" Target="https://www.nics.gov.au/" TargetMode="External"/><Relationship Id="rId243" Type="http://schemas.openxmlformats.org/officeDocument/2006/relationships/header" Target="header57.xml"/><Relationship Id="rId264" Type="http://schemas.openxmlformats.org/officeDocument/2006/relationships/image" Target="media/image73.emf"/><Relationship Id="rId285" Type="http://schemas.openxmlformats.org/officeDocument/2006/relationships/header" Target="header66.xml"/><Relationship Id="rId17" Type="http://schemas.openxmlformats.org/officeDocument/2006/relationships/hyperlink" Target="http://www2.epa.gov/sites/production/files/2014-04/documents/factsheet_contaminant_pfos_pfoa_march2014.pdf" TargetMode="External"/><Relationship Id="rId38" Type="http://schemas.openxmlformats.org/officeDocument/2006/relationships/footer" Target="footer6.xml"/><Relationship Id="rId59" Type="http://schemas.openxmlformats.org/officeDocument/2006/relationships/image" Target="media/image21.png"/><Relationship Id="rId103" Type="http://schemas.openxmlformats.org/officeDocument/2006/relationships/footer" Target="footer25.xml"/><Relationship Id="rId124" Type="http://schemas.openxmlformats.org/officeDocument/2006/relationships/header" Target="header35.xml"/><Relationship Id="rId70" Type="http://schemas.openxmlformats.org/officeDocument/2006/relationships/header" Target="header14.xml"/><Relationship Id="rId91" Type="http://schemas.openxmlformats.org/officeDocument/2006/relationships/footer" Target="footer20.xml"/><Relationship Id="rId145" Type="http://schemas.openxmlformats.org/officeDocument/2006/relationships/footer" Target="footer41.xml"/><Relationship Id="rId166" Type="http://schemas.openxmlformats.org/officeDocument/2006/relationships/image" Target="media/image49.png"/><Relationship Id="rId187" Type="http://schemas.openxmlformats.org/officeDocument/2006/relationships/hyperlink" Target="http://www.biosolids.com.au/bs-australia.php" TargetMode="External"/><Relationship Id="rId1" Type="http://schemas.openxmlformats.org/officeDocument/2006/relationships/customXml" Target="../customXml/item1.xml"/><Relationship Id="rId212" Type="http://schemas.openxmlformats.org/officeDocument/2006/relationships/hyperlink" Target="http://www.premier.sa.gov.au/ecostat/Modelling_AWPA_Scenarios_for_SA.pdf" TargetMode="External"/><Relationship Id="rId233" Type="http://schemas.openxmlformats.org/officeDocument/2006/relationships/hyperlink" Target="http://www.unido.org/fileadmin/user_media/Services/Environmental_Management/Stockholm_Convention/Guidance_Docs/UNEP-POPS-GUID-NIP-2012-PBDEs-Inventory.En.pdf" TargetMode="External"/><Relationship Id="rId254" Type="http://schemas.openxmlformats.org/officeDocument/2006/relationships/image" Target="media/image63.emf"/><Relationship Id="rId28" Type="http://schemas.openxmlformats.org/officeDocument/2006/relationships/hyperlink" Target="mailto:plant@westonal.com.au" TargetMode="External"/><Relationship Id="rId49" Type="http://schemas.openxmlformats.org/officeDocument/2006/relationships/image" Target="media/image15.png"/><Relationship Id="rId114" Type="http://schemas.openxmlformats.org/officeDocument/2006/relationships/header" Target="header32.xml"/><Relationship Id="rId275" Type="http://schemas.openxmlformats.org/officeDocument/2006/relationships/header" Target="header62.xml"/><Relationship Id="rId60" Type="http://schemas.openxmlformats.org/officeDocument/2006/relationships/image" Target="media/image22.png"/><Relationship Id="rId81" Type="http://schemas.openxmlformats.org/officeDocument/2006/relationships/footer" Target="footer16.xml"/><Relationship Id="rId135" Type="http://schemas.openxmlformats.org/officeDocument/2006/relationships/footer" Target="footer38.xml"/><Relationship Id="rId156" Type="http://schemas.openxmlformats.org/officeDocument/2006/relationships/footer" Target="footer44.xml"/><Relationship Id="rId177" Type="http://schemas.openxmlformats.org/officeDocument/2006/relationships/image" Target="media/image58.emf"/><Relationship Id="rId198" Type="http://schemas.openxmlformats.org/officeDocument/2006/relationships/hyperlink" Target="http://www.defence.gov.au/oscdf/adf-posture-review/docs/interim/AttachD.pdf" TargetMode="External"/><Relationship Id="rId202" Type="http://schemas.openxmlformats.org/officeDocument/2006/relationships/hyperlink" Target="http://www.environment.gov.au/system/files/resources/0a517ed7-74cb-418b-9319-7624491e4921/files/factsheet-biosolids.pdf" TargetMode="External"/><Relationship Id="rId223" Type="http://schemas.openxmlformats.org/officeDocument/2006/relationships/hyperlink" Target="http://www.sustainability.vic.gov.au/~/media/resources/documents/services%20and%20advice/business/paint%20product%20stewardship/study%20into%20stocks%20and%20flows_%20market%20analysis%20and%20processing%20capacity%20of%20waste%20paint%20in%20australia.pdf" TargetMode="External"/><Relationship Id="rId244" Type="http://schemas.openxmlformats.org/officeDocument/2006/relationships/footer" Target="footer56.xml"/><Relationship Id="rId18" Type="http://schemas.openxmlformats.org/officeDocument/2006/relationships/hyperlink" Target="mailto:admin@envirosafe.com.au" TargetMode="External"/><Relationship Id="rId39" Type="http://schemas.openxmlformats.org/officeDocument/2006/relationships/image" Target="media/image7.png"/><Relationship Id="rId265" Type="http://schemas.openxmlformats.org/officeDocument/2006/relationships/image" Target="media/image74.emf"/><Relationship Id="rId286" Type="http://schemas.openxmlformats.org/officeDocument/2006/relationships/footer" Target="footer65.xml"/><Relationship Id="rId50" Type="http://schemas.openxmlformats.org/officeDocument/2006/relationships/header" Target="header9.xml"/><Relationship Id="rId104" Type="http://schemas.openxmlformats.org/officeDocument/2006/relationships/footer" Target="footer26.xml"/><Relationship Id="rId125" Type="http://schemas.openxmlformats.org/officeDocument/2006/relationships/footer" Target="footer33.xml"/><Relationship Id="rId146" Type="http://schemas.openxmlformats.org/officeDocument/2006/relationships/image" Target="media/image44.png"/><Relationship Id="rId167" Type="http://schemas.openxmlformats.org/officeDocument/2006/relationships/header" Target="header51.xml"/><Relationship Id="rId188" Type="http://schemas.openxmlformats.org/officeDocument/2006/relationships/hyperlink" Target="http://www.apmf.asn.au/2013%20ANNUAL%20REPORT.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merex-aust.com.au/sites/default/files/web/Solberg/Policy-QLDFirefightingFoamsV3-0.pdf" TargetMode="External"/><Relationship Id="rId3" Type="http://schemas.openxmlformats.org/officeDocument/2006/relationships/hyperlink" Target="http://www.environment.gov.au/protection/used-oil-recycling/product-stewardship-oil-program" TargetMode="External"/><Relationship Id="rId7" Type="http://schemas.openxmlformats.org/officeDocument/2006/relationships/hyperlink" Target="http://www.epa.vic.gov.au/about-us/news-centre/news-and-updates/news/2015/april/15/epa-tightens-regulations-on-tyre-stockpiling" TargetMode="External"/><Relationship Id="rId2" Type="http://schemas.openxmlformats.org/officeDocument/2006/relationships/hyperlink" Target="http://www.ga.gov.au/scientific-topics/minerals/mineral-resources/aimr/zinc-lead-silver" TargetMode="External"/><Relationship Id="rId1" Type="http://schemas.openxmlformats.org/officeDocument/2006/relationships/hyperlink" Target="http://www.mercuryconvention.org/Convention" TargetMode="External"/><Relationship Id="rId6" Type="http://schemas.openxmlformats.org/officeDocument/2006/relationships/hyperlink" Target="http://www.environment.gov.au/protection/publications/hazardous-waste-infrastructure-australia" TargetMode="External"/><Relationship Id="rId5" Type="http://schemas.openxmlformats.org/officeDocument/2006/relationships/hyperlink" Target="http://archive.basel.int/natreporting/questables/dnn-frBody.html" TargetMode="External"/><Relationship Id="rId4" Type="http://schemas.openxmlformats.org/officeDocument/2006/relationships/hyperlink" Target="http://www.scew.gov.au/resource/study-domestic-and-international-fate-end-life-tyres-final-report" TargetMode="External"/><Relationship Id="rId9" Type="http://schemas.openxmlformats.org/officeDocument/2006/relationships/hyperlink" Target="http://www.chemguard.com/pdf/General-Foam-Inform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AppData\Roaming\Microsoft\Templates\Blue%20Environment%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1"/>
          <c:order val="0"/>
          <c:tx>
            <c:strRef>
              <c:f>Generation!$A$112</c:f>
              <c:strCache>
                <c:ptCount val="1"/>
                <c:pt idx="0">
                  <c:v>Vic</c:v>
                </c:pt>
              </c:strCache>
            </c:strRef>
          </c:tx>
          <c:spPr>
            <a:ln>
              <a:solidFill>
                <a:srgbClr val="FF0000"/>
              </a:solidFill>
            </a:ln>
          </c:spPr>
          <c:marker>
            <c:symbol val="none"/>
          </c:marker>
          <c:cat>
            <c:strRef>
              <c:f>Generation!$H$3:$V$3</c:f>
              <c:strCache>
                <c:ptCount val="15"/>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strCache>
            </c:strRef>
          </c:cat>
          <c:val>
            <c:numRef>
              <c:f>Generation!$H$112:$V$112</c:f>
              <c:numCache>
                <c:formatCode>#,##0</c:formatCode>
                <c:ptCount val="15"/>
                <c:pt idx="0">
                  <c:v>185214.40599999999</c:v>
                </c:pt>
                <c:pt idx="1">
                  <c:v>223506</c:v>
                </c:pt>
                <c:pt idx="2">
                  <c:v>264088</c:v>
                </c:pt>
                <c:pt idx="3">
                  <c:v>392439</c:v>
                </c:pt>
                <c:pt idx="4">
                  <c:v>387132.8169999987</c:v>
                </c:pt>
                <c:pt idx="5">
                  <c:v>345507.45599999995</c:v>
                </c:pt>
                <c:pt idx="6">
                  <c:v>512835.37999999907</c:v>
                </c:pt>
                <c:pt idx="7">
                  <c:v>166205.16000000029</c:v>
                </c:pt>
                <c:pt idx="8">
                  <c:v>294849.95199999982</c:v>
                </c:pt>
                <c:pt idx="9">
                  <c:v>282755.8510000002</c:v>
                </c:pt>
                <c:pt idx="10">
                  <c:v>259256.6730000001</c:v>
                </c:pt>
                <c:pt idx="11">
                  <c:v>411371.44299999857</c:v>
                </c:pt>
                <c:pt idx="12">
                  <c:v>377783.03000000032</c:v>
                </c:pt>
                <c:pt idx="13">
                  <c:v>353133.69899999711</c:v>
                </c:pt>
                <c:pt idx="14">
                  <c:v>314334.77500000002</c:v>
                </c:pt>
              </c:numCache>
            </c:numRef>
          </c:val>
        </c:ser>
        <c:ser>
          <c:idx val="3"/>
          <c:order val="1"/>
          <c:tx>
            <c:strRef>
              <c:f>Generation!$A$114</c:f>
              <c:strCache>
                <c:ptCount val="1"/>
                <c:pt idx="0">
                  <c:v>Qld</c:v>
                </c:pt>
              </c:strCache>
            </c:strRef>
          </c:tx>
          <c:spPr>
            <a:ln>
              <a:solidFill>
                <a:srgbClr val="7030A0"/>
              </a:solidFill>
            </a:ln>
          </c:spPr>
          <c:marker>
            <c:symbol val="none"/>
          </c:marker>
          <c:cat>
            <c:strRef>
              <c:f>Generation!$H$3:$V$3</c:f>
              <c:strCache>
                <c:ptCount val="15"/>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strCache>
            </c:strRef>
          </c:cat>
          <c:val>
            <c:numRef>
              <c:f>Generation!$H$114:$V$114</c:f>
              <c:numCache>
                <c:formatCode>#,##0</c:formatCode>
                <c:ptCount val="15"/>
                <c:pt idx="0">
                  <c:v>#N/A</c:v>
                </c:pt>
                <c:pt idx="1">
                  <c:v>#N/A</c:v>
                </c:pt>
                <c:pt idx="2">
                  <c:v>#N/A</c:v>
                </c:pt>
                <c:pt idx="3">
                  <c:v>#N/A</c:v>
                </c:pt>
                <c:pt idx="4">
                  <c:v>#N/A</c:v>
                </c:pt>
                <c:pt idx="5">
                  <c:v>#N/A</c:v>
                </c:pt>
                <c:pt idx="6">
                  <c:v>#N/A</c:v>
                </c:pt>
                <c:pt idx="7">
                  <c:v>#N/A</c:v>
                </c:pt>
                <c:pt idx="8">
                  <c:v>1508000</c:v>
                </c:pt>
                <c:pt idx="9">
                  <c:v>712729</c:v>
                </c:pt>
                <c:pt idx="10">
                  <c:v>543803</c:v>
                </c:pt>
                <c:pt idx="11">
                  <c:v>428076</c:v>
                </c:pt>
                <c:pt idx="12">
                  <c:v>238564</c:v>
                </c:pt>
                <c:pt idx="13">
                  <c:v>327585</c:v>
                </c:pt>
                <c:pt idx="14">
                  <c:v>#N/A</c:v>
                </c:pt>
              </c:numCache>
            </c:numRef>
          </c:val>
        </c:ser>
        <c:ser>
          <c:idx val="2"/>
          <c:order val="2"/>
          <c:tx>
            <c:v>SA</c:v>
          </c:tx>
          <c:spPr>
            <a:ln>
              <a:solidFill>
                <a:srgbClr val="92D050"/>
              </a:solidFill>
            </a:ln>
          </c:spPr>
          <c:marker>
            <c:symbol val="none"/>
          </c:marker>
          <c:cat>
            <c:strRef>
              <c:f>Generation!$H$3:$V$3</c:f>
              <c:strCache>
                <c:ptCount val="15"/>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strCache>
            </c:strRef>
          </c:cat>
          <c:val>
            <c:numRef>
              <c:f>Generation!$H$113:$V$113</c:f>
              <c:numCache>
                <c:formatCode>General</c:formatCode>
                <c:ptCount val="15"/>
                <c:pt idx="4" formatCode="#,##0">
                  <c:v>#N/A</c:v>
                </c:pt>
                <c:pt idx="5" formatCode="#,##0">
                  <c:v>#N/A</c:v>
                </c:pt>
                <c:pt idx="6" formatCode="#,##0">
                  <c:v>#N/A</c:v>
                </c:pt>
                <c:pt idx="7" formatCode="#,##0">
                  <c:v>29853.73</c:v>
                </c:pt>
                <c:pt idx="8" formatCode="#,##0">
                  <c:v>188350.78</c:v>
                </c:pt>
                <c:pt idx="9" formatCode="#,##0">
                  <c:v>41506.86</c:v>
                </c:pt>
                <c:pt idx="10" formatCode="#,##0">
                  <c:v>56466.41</c:v>
                </c:pt>
                <c:pt idx="11" formatCode="#,##0">
                  <c:v>202655.41</c:v>
                </c:pt>
                <c:pt idx="12" formatCode="#,##0">
                  <c:v>427945.96</c:v>
                </c:pt>
                <c:pt idx="13" formatCode="#,##0">
                  <c:v>257835.38999999996</c:v>
                </c:pt>
                <c:pt idx="14" formatCode="#,##0">
                  <c:v>#N/A</c:v>
                </c:pt>
              </c:numCache>
            </c:numRef>
          </c:val>
        </c:ser>
        <c:marker val="1"/>
        <c:axId val="80015360"/>
        <c:axId val="80016896"/>
      </c:lineChart>
      <c:catAx>
        <c:axId val="80015360"/>
        <c:scaling>
          <c:orientation val="minMax"/>
        </c:scaling>
        <c:axPos val="b"/>
        <c:numFmt formatCode="General" sourceLinked="1"/>
        <c:tickLblPos val="nextTo"/>
        <c:crossAx val="80016896"/>
        <c:crosses val="autoZero"/>
        <c:auto val="1"/>
        <c:lblAlgn val="ctr"/>
        <c:lblOffset val="100"/>
      </c:catAx>
      <c:valAx>
        <c:axId val="80016896"/>
        <c:scaling>
          <c:orientation val="minMax"/>
        </c:scaling>
        <c:axPos val="l"/>
        <c:majorGridlines/>
        <c:title>
          <c:tx>
            <c:rich>
              <a:bodyPr rot="-5400000" vert="horz"/>
              <a:lstStyle/>
              <a:p>
                <a:pPr>
                  <a:defRPr b="0"/>
                </a:pPr>
                <a:r>
                  <a:rPr lang="en-US" b="0"/>
                  <a:t>Tonnes arising</a:t>
                </a:r>
              </a:p>
            </c:rich>
          </c:tx>
          <c:layout>
            <c:manualLayout>
              <c:xMode val="edge"/>
              <c:yMode val="edge"/>
              <c:x val="1.3917579890142605E-2"/>
              <c:y val="0.19102023988653699"/>
            </c:manualLayout>
          </c:layout>
        </c:title>
        <c:numFmt formatCode="#,##0" sourceLinked="0"/>
        <c:tickLblPos val="nextTo"/>
        <c:spPr>
          <a:ln>
            <a:noFill/>
          </a:ln>
        </c:spPr>
        <c:crossAx val="80015360"/>
        <c:crosses val="autoZero"/>
        <c:crossBetween val="between"/>
      </c:valAx>
      <c:dTable>
        <c:showHorzBorder val="1"/>
        <c:showVertBorder val="1"/>
        <c:showOutline val="1"/>
        <c:showKeys val="1"/>
      </c:dTable>
    </c:plotArea>
    <c:plotVisOnly val="1"/>
    <c:dispBlanksAs val="gap"/>
  </c:chart>
  <c:spPr>
    <a:ln>
      <a:noFill/>
    </a:ln>
  </c:spPr>
  <c:txPr>
    <a:bodyPr/>
    <a:lstStyle/>
    <a:p>
      <a:pPr>
        <a:defRPr sz="11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sz="1200"/>
            </a:pPr>
            <a:r>
              <a:rPr lang="en-AU" sz="1200"/>
              <a:t>OctaBD</a:t>
            </a:r>
            <a:r>
              <a:rPr lang="en-AU" sz="1200" baseline="0"/>
              <a:t>E present in "in-use" EEE applications</a:t>
            </a:r>
            <a:endParaRPr lang="en-AU" sz="1200"/>
          </a:p>
        </c:rich>
      </c:tx>
      <c:layout>
        <c:manualLayout>
          <c:xMode val="edge"/>
          <c:yMode val="edge"/>
          <c:x val="0.28444444444444511"/>
          <c:y val="3.2407407407407614E-2"/>
        </c:manualLayout>
      </c:layout>
    </c:title>
    <c:plotArea>
      <c:layout/>
      <c:barChart>
        <c:barDir val="col"/>
        <c:grouping val="clustered"/>
        <c:ser>
          <c:idx val="1"/>
          <c:order val="0"/>
          <c:cat>
            <c:numRef>
              <c:f>OctaBDE!$A$3:$A$35</c:f>
              <c:numCache>
                <c:formatCode>General</c:formatCode>
                <c:ptCount val="33"/>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numCache>
            </c:numRef>
          </c:cat>
          <c:val>
            <c:numRef>
              <c:f>OctaBDE!$E$3:$E$35</c:f>
              <c:numCache>
                <c:formatCode>#,##0</c:formatCode>
                <c:ptCount val="33"/>
                <c:pt idx="0">
                  <c:v>58.633426761535496</c:v>
                </c:pt>
                <c:pt idx="1">
                  <c:v>119.9949968749908</c:v>
                </c:pt>
                <c:pt idx="2">
                  <c:v>179.33983805347006</c:v>
                </c:pt>
                <c:pt idx="3">
                  <c:v>239.21749172383772</c:v>
                </c:pt>
                <c:pt idx="4">
                  <c:v>299.51948092052498</c:v>
                </c:pt>
                <c:pt idx="5">
                  <c:v>361.89051790698988</c:v>
                </c:pt>
                <c:pt idx="6">
                  <c:v>426.49487363511008</c:v>
                </c:pt>
                <c:pt idx="7">
                  <c:v>495.0761264294481</c:v>
                </c:pt>
                <c:pt idx="8">
                  <c:v>567.33797963378788</c:v>
                </c:pt>
                <c:pt idx="9">
                  <c:v>636.86195826356618</c:v>
                </c:pt>
                <c:pt idx="10">
                  <c:v>651.32706852612341</c:v>
                </c:pt>
                <c:pt idx="11">
                  <c:v>671.01781552609452</c:v>
                </c:pt>
                <c:pt idx="12">
                  <c:v>691.57820760442007</c:v>
                </c:pt>
                <c:pt idx="13">
                  <c:v>683.87764659468542</c:v>
                </c:pt>
                <c:pt idx="14">
                  <c:v>663.66467447336095</c:v>
                </c:pt>
                <c:pt idx="15">
                  <c:v>626.37333598713542</c:v>
                </c:pt>
                <c:pt idx="16">
                  <c:v>571.88111680303211</c:v>
                </c:pt>
                <c:pt idx="17">
                  <c:v>502.51578752203761</c:v>
                </c:pt>
                <c:pt idx="18">
                  <c:v>429.56647893671698</c:v>
                </c:pt>
                <c:pt idx="19">
                  <c:v>359.29104415509499</c:v>
                </c:pt>
                <c:pt idx="20">
                  <c:v>286.96777577748617</c:v>
                </c:pt>
                <c:pt idx="21">
                  <c:v>206.96492235215001</c:v>
                </c:pt>
                <c:pt idx="22">
                  <c:v>128.04</c:v>
                </c:pt>
                <c:pt idx="23">
                  <c:v>76.169999999999931</c:v>
                </c:pt>
                <c:pt idx="24">
                  <c:v>36.102500000000013</c:v>
                </c:pt>
                <c:pt idx="25">
                  <c:v>10.72499999999993</c:v>
                </c:pt>
                <c:pt idx="26">
                  <c:v>-6.9277916736610601E-14</c:v>
                </c:pt>
                <c:pt idx="27">
                  <c:v>-6.9277916736610601E-14</c:v>
                </c:pt>
                <c:pt idx="28">
                  <c:v>-6.9277916736610601E-14</c:v>
                </c:pt>
                <c:pt idx="29">
                  <c:v>-6.9277916736610601E-14</c:v>
                </c:pt>
                <c:pt idx="30">
                  <c:v>-6.9277916736610601E-14</c:v>
                </c:pt>
                <c:pt idx="31">
                  <c:v>-6.9277916736610601E-14</c:v>
                </c:pt>
                <c:pt idx="32">
                  <c:v>-6.9277916736610601E-14</c:v>
                </c:pt>
              </c:numCache>
            </c:numRef>
          </c:val>
        </c:ser>
        <c:axId val="25028096"/>
        <c:axId val="25029632"/>
      </c:barChart>
      <c:catAx>
        <c:axId val="25028096"/>
        <c:scaling>
          <c:orientation val="minMax"/>
        </c:scaling>
        <c:axPos val="b"/>
        <c:numFmt formatCode="General" sourceLinked="1"/>
        <c:majorTickMark val="none"/>
        <c:tickLblPos val="nextTo"/>
        <c:crossAx val="25029632"/>
        <c:crosses val="autoZero"/>
        <c:auto val="1"/>
        <c:lblAlgn val="ctr"/>
        <c:lblOffset val="100"/>
      </c:catAx>
      <c:valAx>
        <c:axId val="25029632"/>
        <c:scaling>
          <c:orientation val="minMax"/>
          <c:min val="0"/>
        </c:scaling>
        <c:axPos val="l"/>
        <c:majorGridlines/>
        <c:title>
          <c:tx>
            <c:rich>
              <a:bodyPr/>
              <a:lstStyle/>
              <a:p>
                <a:pPr>
                  <a:defRPr/>
                </a:pPr>
                <a:r>
                  <a:rPr lang="en-AU"/>
                  <a:t>OctaBDE</a:t>
                </a:r>
                <a:r>
                  <a:rPr lang="en-AU" baseline="0"/>
                  <a:t> (tonnes)</a:t>
                </a:r>
                <a:endParaRPr lang="en-AU"/>
              </a:p>
            </c:rich>
          </c:tx>
        </c:title>
        <c:numFmt formatCode="#,##0" sourceLinked="1"/>
        <c:majorTickMark val="none"/>
        <c:tickLblPos val="nextTo"/>
        <c:crossAx val="25028096"/>
        <c:crosses val="autoZero"/>
        <c:crossBetween val="between"/>
      </c:valAx>
      <c:spPr>
        <a:noFill/>
        <a:ln w="25400">
          <a:noFill/>
        </a:ln>
      </c:spPr>
    </c:plotArea>
    <c:plotVisOnly val="1"/>
    <c:dispBlanksAs val="gap"/>
  </c:chart>
  <c:externalData r:id="rId1"/>
</c:chartSpace>
</file>

<file path=word/theme/theme1.xml><?xml version="1.0" encoding="utf-8"?>
<a:theme xmlns:a="http://schemas.openxmlformats.org/drawingml/2006/main" name="Office Theme">
  <a:themeElements>
    <a:clrScheme name="Blue Environment">
      <a:dk1>
        <a:srgbClr val="0C0C0C"/>
      </a:dk1>
      <a:lt1>
        <a:sysClr val="window" lastClr="FFFFFF"/>
      </a:lt1>
      <a:dk2>
        <a:srgbClr val="0000FF"/>
      </a:dk2>
      <a:lt2>
        <a:srgbClr val="7F7F7F"/>
      </a:lt2>
      <a:accent1>
        <a:srgbClr val="0000FF"/>
      </a:accent1>
      <a:accent2>
        <a:srgbClr val="7F7F7F"/>
      </a:accent2>
      <a:accent3>
        <a:srgbClr val="F2F2F2"/>
      </a:accent3>
      <a:accent4>
        <a:srgbClr val="92D050"/>
      </a:accent4>
      <a:accent5>
        <a:srgbClr val="FF0000"/>
      </a:accent5>
      <a:accent6>
        <a:srgbClr val="FFCC66"/>
      </a:accent6>
      <a:hlink>
        <a:srgbClr val="0000FF"/>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8F31B-B52A-4DBE-999F-01C0DDD74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Environment Report</Template>
  <TotalTime>3</TotalTime>
  <Pages>205</Pages>
  <Words>65656</Words>
  <Characters>374244</Characters>
  <Application>Microsoft Office Word</Application>
  <DocSecurity>0</DocSecurity>
  <Lines>3118</Lines>
  <Paragraphs>878</Paragraphs>
  <ScaleCrop>false</ScaleCrop>
  <HeadingPairs>
    <vt:vector size="2" baseType="variant">
      <vt:variant>
        <vt:lpstr>Title</vt:lpstr>
      </vt:variant>
      <vt:variant>
        <vt:i4>1</vt:i4>
      </vt:variant>
    </vt:vector>
  </HeadingPairs>
  <TitlesOfParts>
    <vt:vector size="1" baseType="lpstr">
      <vt:lpstr/>
    </vt:vector>
  </TitlesOfParts>
  <Manager>Paul Randell;Paul Randell</Manager>
  <Company>DEWHA</Company>
  <LinksUpToDate>false</LinksUpToDate>
  <CharactersWithSpaces>439022</CharactersWithSpaces>
  <SharedDoc>false</SharedDoc>
  <HLinks>
    <vt:vector size="60" baseType="variant">
      <vt:variant>
        <vt:i4>1966135</vt:i4>
      </vt:variant>
      <vt:variant>
        <vt:i4>44</vt:i4>
      </vt:variant>
      <vt:variant>
        <vt:i4>0</vt:i4>
      </vt:variant>
      <vt:variant>
        <vt:i4>5</vt:i4>
      </vt:variant>
      <vt:variant>
        <vt:lpwstr/>
      </vt:variant>
      <vt:variant>
        <vt:lpwstr>_Toc156623299</vt:lpwstr>
      </vt:variant>
      <vt:variant>
        <vt:i4>1966135</vt:i4>
      </vt:variant>
      <vt:variant>
        <vt:i4>38</vt:i4>
      </vt:variant>
      <vt:variant>
        <vt:i4>0</vt:i4>
      </vt:variant>
      <vt:variant>
        <vt:i4>5</vt:i4>
      </vt:variant>
      <vt:variant>
        <vt:lpwstr/>
      </vt:variant>
      <vt:variant>
        <vt:lpwstr>_Toc156623298</vt:lpwstr>
      </vt:variant>
      <vt:variant>
        <vt:i4>1966135</vt:i4>
      </vt:variant>
      <vt:variant>
        <vt:i4>32</vt:i4>
      </vt:variant>
      <vt:variant>
        <vt:i4>0</vt:i4>
      </vt:variant>
      <vt:variant>
        <vt:i4>5</vt:i4>
      </vt:variant>
      <vt:variant>
        <vt:lpwstr/>
      </vt:variant>
      <vt:variant>
        <vt:lpwstr>_Toc156623297</vt:lpwstr>
      </vt:variant>
      <vt:variant>
        <vt:i4>1966135</vt:i4>
      </vt:variant>
      <vt:variant>
        <vt:i4>26</vt:i4>
      </vt:variant>
      <vt:variant>
        <vt:i4>0</vt:i4>
      </vt:variant>
      <vt:variant>
        <vt:i4>5</vt:i4>
      </vt:variant>
      <vt:variant>
        <vt:lpwstr/>
      </vt:variant>
      <vt:variant>
        <vt:lpwstr>_Toc156623296</vt:lpwstr>
      </vt:variant>
      <vt:variant>
        <vt:i4>1966135</vt:i4>
      </vt:variant>
      <vt:variant>
        <vt:i4>20</vt:i4>
      </vt:variant>
      <vt:variant>
        <vt:i4>0</vt:i4>
      </vt:variant>
      <vt:variant>
        <vt:i4>5</vt:i4>
      </vt:variant>
      <vt:variant>
        <vt:lpwstr/>
      </vt:variant>
      <vt:variant>
        <vt:lpwstr>_Toc156623295</vt:lpwstr>
      </vt:variant>
      <vt:variant>
        <vt:i4>1966135</vt:i4>
      </vt:variant>
      <vt:variant>
        <vt:i4>14</vt:i4>
      </vt:variant>
      <vt:variant>
        <vt:i4>0</vt:i4>
      </vt:variant>
      <vt:variant>
        <vt:i4>5</vt:i4>
      </vt:variant>
      <vt:variant>
        <vt:lpwstr/>
      </vt:variant>
      <vt:variant>
        <vt:lpwstr>_Toc156623294</vt:lpwstr>
      </vt:variant>
      <vt:variant>
        <vt:i4>1966135</vt:i4>
      </vt:variant>
      <vt:variant>
        <vt:i4>8</vt:i4>
      </vt:variant>
      <vt:variant>
        <vt:i4>0</vt:i4>
      </vt:variant>
      <vt:variant>
        <vt:i4>5</vt:i4>
      </vt:variant>
      <vt:variant>
        <vt:lpwstr/>
      </vt:variant>
      <vt:variant>
        <vt:lpwstr>_Toc156623293</vt:lpwstr>
      </vt:variant>
      <vt:variant>
        <vt:i4>1966135</vt:i4>
      </vt:variant>
      <vt:variant>
        <vt:i4>2</vt:i4>
      </vt:variant>
      <vt:variant>
        <vt:i4>0</vt:i4>
      </vt:variant>
      <vt:variant>
        <vt:i4>5</vt:i4>
      </vt:variant>
      <vt:variant>
        <vt:lpwstr/>
      </vt:variant>
      <vt:variant>
        <vt:lpwstr>_Toc156623292</vt:lpwstr>
      </vt:variant>
      <vt:variant>
        <vt:i4>6422568</vt:i4>
      </vt:variant>
      <vt:variant>
        <vt:i4>3</vt:i4>
      </vt:variant>
      <vt:variant>
        <vt:i4>0</vt:i4>
      </vt:variant>
      <vt:variant>
        <vt:i4>5</vt:i4>
      </vt:variant>
      <vt:variant>
        <vt:lpwstr>http://www.blueenvironment.com.au/</vt:lpwstr>
      </vt:variant>
      <vt:variant>
        <vt:lpwstr/>
      </vt:variant>
      <vt:variant>
        <vt:i4>5046309</vt:i4>
      </vt:variant>
      <vt:variant>
        <vt:i4>0</vt:i4>
      </vt:variant>
      <vt:variant>
        <vt:i4>0</vt:i4>
      </vt:variant>
      <vt:variant>
        <vt:i4>5</vt:i4>
      </vt:variant>
      <vt:variant>
        <vt:lpwstr>mailto:blue@blueenvironment.com.au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waste infrastructure needs and capacity assessment</dc:title>
  <dc:creator>blue environment</dc:creator>
  <cp:lastModifiedBy>A00870</cp:lastModifiedBy>
  <cp:revision>4</cp:revision>
  <cp:lastPrinted>2015-10-22T09:10:00Z</cp:lastPrinted>
  <dcterms:created xsi:type="dcterms:W3CDTF">2015-10-23T00:13:00Z</dcterms:created>
  <dcterms:modified xsi:type="dcterms:W3CDTF">2015-10-27T00:22:00Z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Client">
    <vt:lpwstr>Department of the Environment</vt:lpwstr>
  </property>
  <property fmtid="{D5CDD505-2E9C-101B-9397-08002B2CF9AE}" pid="3" name="xDraft">
    <vt:lpwstr>Final</vt:lpwstr>
  </property>
  <property fmtid="{D5CDD505-2E9C-101B-9397-08002B2CF9AE}" pid="4" name="xVersion">
    <vt:lpwstr/>
  </property>
  <property fmtid="{D5CDD505-2E9C-101B-9397-08002B2CF9AE}" pid="5" name="xDate">
    <vt:lpwstr>May 2015</vt:lpwstr>
  </property>
  <property fmtid="{D5CDD505-2E9C-101B-9397-08002B2CF9AE}" pid="6" name="xContractDate">
    <vt:lpwstr>29 July 2014</vt:lpwstr>
  </property>
  <property fmtid="{D5CDD505-2E9C-101B-9397-08002B2CF9AE}" pid="7" name="xAuthor">
    <vt:lpwstr>Geoff Latimer</vt:lpwstr>
  </property>
  <property fmtid="{D5CDD505-2E9C-101B-9397-08002B2CF9AE}" pid="8" name="xReviewer">
    <vt:lpwstr>Joe Pickin</vt:lpwstr>
  </property>
  <property fmtid="{D5CDD505-2E9C-101B-9397-08002B2CF9AE}" pid="9" name="xCopyright">
    <vt:lpwstr>Department of the Environment and Blue Environment Pty Ltd</vt:lpwstr>
  </property>
  <property fmtid="{D5CDD505-2E9C-101B-9397-08002B2CF9AE}" pid="10" name="xProjectNumber">
    <vt:lpwstr>P530</vt:lpwstr>
  </property>
  <property fmtid="{D5CDD505-2E9C-101B-9397-08002B2CF9AE}" pid="11" name="xCurrentTo">
    <vt:lpwstr>November 2014</vt:lpwstr>
  </property>
  <property fmtid="{D5CDD505-2E9C-101B-9397-08002B2CF9AE}" pid="12" name="xTableTitle">
    <vt:lpwstr>False</vt:lpwstr>
  </property>
  <property fmtid="{D5CDD505-2E9C-101B-9397-08002B2CF9AE}" pid="13" name="xTableInfo">
    <vt:lpwstr>False</vt:lpwstr>
  </property>
  <property fmtid="{D5CDD505-2E9C-101B-9397-08002B2CF9AE}" pid="14" name="xTitle">
    <vt:lpwstr>Reporting hazardous waste under the Basel Convention - guidance to states, territories and the Commonwealth (2014 version)</vt:lpwstr>
  </property>
</Properties>
</file>