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ayout w:type="fixed"/>
        <w:tblLook w:val="0480" w:firstRow="0" w:lastRow="0" w:firstColumn="1" w:lastColumn="0" w:noHBand="0" w:noVBand="1"/>
      </w:tblPr>
      <w:tblGrid>
        <w:gridCol w:w="5102"/>
        <w:gridCol w:w="5104"/>
      </w:tblGrid>
      <w:tr w:rsidR="00EE4615" w:rsidRPr="00C85476" w14:paraId="006CDECE" w14:textId="77777777" w:rsidTr="00842BF5">
        <w:trPr>
          <w:trHeight w:val="454"/>
        </w:trPr>
        <w:tc>
          <w:tcPr>
            <w:tcW w:w="4819" w:type="dxa"/>
            <w:tcBorders>
              <w:top w:val="nil"/>
              <w:bottom w:val="nil"/>
            </w:tcBorders>
            <w:vAlign w:val="center"/>
          </w:tcPr>
          <w:p w14:paraId="27DDE94C" w14:textId="77777777" w:rsidR="00EE4615" w:rsidRPr="00C85476" w:rsidRDefault="006B536A" w:rsidP="006B536A">
            <w:r w:rsidRPr="00C85476">
              <w:rPr>
                <w:noProof/>
              </w:rPr>
              <w:drawing>
                <wp:inline distT="0" distB="0" distL="0" distR="0" wp14:anchorId="3D02C424" wp14:editId="2E2B7B63">
                  <wp:extent cx="3045819" cy="576000"/>
                  <wp:effectExtent l="0" t="0" r="2540" b="0"/>
                  <wp:docPr id="13" name="Picture 13" descr="C:\Users\Dan\Documents\SugarSync Shared Folders\Kyle O'Farrell\03 Office\03 Branding\SRU Brandmark CD\Positive\JPG\SRUMaste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SugarSync Shared Folders\Kyle O'Farrell\03 Office\03 Branding\SRU Brandmark CD\Positive\JPG\SRUMasterLogo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819" cy="576000"/>
                          </a:xfrm>
                          <a:prstGeom prst="rect">
                            <a:avLst/>
                          </a:prstGeom>
                          <a:noFill/>
                          <a:ln>
                            <a:noFill/>
                          </a:ln>
                        </pic:spPr>
                      </pic:pic>
                    </a:graphicData>
                  </a:graphic>
                </wp:inline>
              </w:drawing>
            </w:r>
          </w:p>
        </w:tc>
        <w:tc>
          <w:tcPr>
            <w:tcW w:w="4820" w:type="dxa"/>
            <w:tcBorders>
              <w:top w:val="nil"/>
              <w:bottom w:val="nil"/>
            </w:tcBorders>
          </w:tcPr>
          <w:p w14:paraId="074BC262" w14:textId="77777777" w:rsidR="00EE4615" w:rsidRPr="00C85476" w:rsidRDefault="00542A55" w:rsidP="00842BF5">
            <w:pPr>
              <w:jc w:val="right"/>
            </w:pPr>
            <w:r w:rsidRPr="00C85476">
              <w:rPr>
                <w:noProof/>
              </w:rPr>
              <w:drawing>
                <wp:inline distT="0" distB="0" distL="0" distR="0" wp14:anchorId="5529446E" wp14:editId="2B330408">
                  <wp:extent cx="2669612" cy="286439"/>
                  <wp:effectExtent l="0" t="0" r="0" b="0"/>
                  <wp:docPr id="4" name="Picture 1" descr="C:\Users\amarsden.MARSDENJACOB\Desktop\Orig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sden.MARSDENJACOB\Desktop\Original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289" cy="291340"/>
                          </a:xfrm>
                          <a:prstGeom prst="rect">
                            <a:avLst/>
                          </a:prstGeom>
                          <a:noFill/>
                          <a:ln>
                            <a:noFill/>
                          </a:ln>
                        </pic:spPr>
                      </pic:pic>
                    </a:graphicData>
                  </a:graphic>
                </wp:inline>
              </w:drawing>
            </w:r>
          </w:p>
        </w:tc>
      </w:tr>
    </w:tbl>
    <w:p w14:paraId="6BAC36F6" w14:textId="77777777" w:rsidR="00EE4615" w:rsidRPr="00C85476" w:rsidRDefault="00EE4615" w:rsidP="008F5FDF"/>
    <w:p w14:paraId="48C56910" w14:textId="77777777" w:rsidR="00E26F5C" w:rsidRPr="00C85476" w:rsidRDefault="00E26F5C" w:rsidP="008F5FDF"/>
    <w:p w14:paraId="585C6D31" w14:textId="77777777" w:rsidR="00B0315B" w:rsidRPr="00C85476" w:rsidRDefault="00B0315B" w:rsidP="008F5FDF"/>
    <w:tbl>
      <w:tblPr>
        <w:tblW w:w="10026" w:type="dxa"/>
        <w:tblInd w:w="108" w:type="dxa"/>
        <w:tblLook w:val="0480" w:firstRow="0" w:lastRow="0" w:firstColumn="1" w:lastColumn="0" w:noHBand="0" w:noVBand="1"/>
      </w:tblPr>
      <w:tblGrid>
        <w:gridCol w:w="10026"/>
      </w:tblGrid>
      <w:tr w:rsidR="00EE4615" w:rsidRPr="00C85476" w14:paraId="0FED7CD4" w14:textId="77777777" w:rsidTr="00BE6FCE">
        <w:trPr>
          <w:trHeight w:val="3109"/>
        </w:trPr>
        <w:tc>
          <w:tcPr>
            <w:tcW w:w="10026" w:type="dxa"/>
            <w:tcBorders>
              <w:top w:val="nil"/>
              <w:bottom w:val="nil"/>
            </w:tcBorders>
          </w:tcPr>
          <w:p w14:paraId="6CD5DD98" w14:textId="77777777" w:rsidR="00C74F72" w:rsidRPr="00C85476" w:rsidRDefault="00C40366" w:rsidP="003D7436">
            <w:pPr>
              <w:spacing w:before="240" w:after="360" w:line="240" w:lineRule="auto"/>
              <w:rPr>
                <w:sz w:val="40"/>
              </w:rPr>
            </w:pPr>
            <w:r>
              <w:fldChar w:fldCharType="begin"/>
            </w:r>
            <w:r>
              <w:instrText xml:space="preserve"> DOCPROPERTY  Client  \* MERGEFORMAT </w:instrText>
            </w:r>
            <w:r>
              <w:fldChar w:fldCharType="separate"/>
            </w:r>
            <w:r w:rsidR="001F6F42" w:rsidRPr="001F6F42">
              <w:rPr>
                <w:sz w:val="40"/>
              </w:rPr>
              <w:t>Department of the Environment</w:t>
            </w:r>
            <w:r>
              <w:rPr>
                <w:sz w:val="40"/>
              </w:rPr>
              <w:fldChar w:fldCharType="end"/>
            </w:r>
          </w:p>
          <w:p w14:paraId="63A30687" w14:textId="77777777" w:rsidR="00EE4615" w:rsidRPr="00C85476" w:rsidRDefault="00C40366" w:rsidP="00BE6FCE">
            <w:pPr>
              <w:rPr>
                <w:sz w:val="48"/>
              </w:rPr>
            </w:pPr>
            <w:r>
              <w:fldChar w:fldCharType="begin"/>
            </w:r>
            <w:r>
              <w:instrText xml:space="preserve"> DOCPROPERTY  ProjectName  \* MERGEFORMAT </w:instrText>
            </w:r>
            <w:r>
              <w:fldChar w:fldCharType="separate"/>
            </w:r>
            <w:bookmarkStart w:id="0" w:name="_Toc333400284"/>
            <w:bookmarkStart w:id="1" w:name="_Toc333400292"/>
            <w:r w:rsidR="001F6F42" w:rsidRPr="001F6F42">
              <w:rPr>
                <w:sz w:val="48"/>
              </w:rPr>
              <w:t>Hazardous waste reform proposals analysis</w:t>
            </w:r>
            <w:bookmarkEnd w:id="0"/>
            <w:bookmarkEnd w:id="1"/>
            <w:r>
              <w:rPr>
                <w:sz w:val="48"/>
              </w:rPr>
              <w:fldChar w:fldCharType="end"/>
            </w:r>
          </w:p>
          <w:p w14:paraId="003E620E" w14:textId="77777777" w:rsidR="001E6130" w:rsidRPr="00C85476" w:rsidRDefault="00C40366" w:rsidP="001E6130">
            <w:pPr>
              <w:rPr>
                <w:sz w:val="32"/>
              </w:rPr>
            </w:pPr>
            <w:r>
              <w:fldChar w:fldCharType="begin"/>
            </w:r>
            <w:r>
              <w:instrText xml:space="preserve"> DOCPROPERTY  ReportTitle  \* MERGEFORMAT </w:instrText>
            </w:r>
            <w:r>
              <w:fldChar w:fldCharType="separate"/>
            </w:r>
            <w:r w:rsidR="001F6F42" w:rsidRPr="001F6F42">
              <w:rPr>
                <w:sz w:val="32"/>
              </w:rPr>
              <w:t>Project report (final)</w:t>
            </w:r>
            <w:r>
              <w:rPr>
                <w:sz w:val="32"/>
              </w:rPr>
              <w:fldChar w:fldCharType="end"/>
            </w:r>
          </w:p>
          <w:p w14:paraId="744473F9" w14:textId="77777777" w:rsidR="00C74F72" w:rsidRPr="00C85476" w:rsidRDefault="00C74F72" w:rsidP="00C74F72"/>
          <w:p w14:paraId="0121FCD7" w14:textId="77777777" w:rsidR="00C74F72" w:rsidRPr="00C85476" w:rsidRDefault="00C74F72" w:rsidP="00101EE7"/>
        </w:tc>
      </w:tr>
      <w:tr w:rsidR="00EE4615" w:rsidRPr="00C85476" w14:paraId="70FC71B5" w14:textId="77777777" w:rsidTr="00BE6FCE">
        <w:trPr>
          <w:trHeight w:val="454"/>
        </w:trPr>
        <w:tc>
          <w:tcPr>
            <w:tcW w:w="10026" w:type="dxa"/>
            <w:tcBorders>
              <w:top w:val="nil"/>
              <w:bottom w:val="nil"/>
            </w:tcBorders>
          </w:tcPr>
          <w:p w14:paraId="24DA97C0" w14:textId="77777777" w:rsidR="008E7813" w:rsidRPr="00C85476" w:rsidRDefault="008E7813" w:rsidP="00B0315B">
            <w:pPr>
              <w:spacing w:after="0" w:line="240" w:lineRule="auto"/>
              <w:rPr>
                <w:noProof/>
              </w:rPr>
            </w:pPr>
          </w:p>
        </w:tc>
      </w:tr>
      <w:tr w:rsidR="00EE4615" w:rsidRPr="00C85476" w14:paraId="50A3446D" w14:textId="77777777" w:rsidTr="00BE6FCE">
        <w:trPr>
          <w:trHeight w:val="454"/>
        </w:trPr>
        <w:tc>
          <w:tcPr>
            <w:tcW w:w="10026" w:type="dxa"/>
            <w:tcBorders>
              <w:top w:val="nil"/>
              <w:bottom w:val="nil"/>
            </w:tcBorders>
          </w:tcPr>
          <w:p w14:paraId="1FA323DB" w14:textId="77777777" w:rsidR="00EE4615" w:rsidRPr="00C85476" w:rsidRDefault="00EE4615" w:rsidP="00BE6FCE"/>
        </w:tc>
      </w:tr>
    </w:tbl>
    <w:p w14:paraId="2284E876" w14:textId="77777777" w:rsidR="003C6291" w:rsidRPr="00C85476" w:rsidRDefault="003C6291" w:rsidP="002034D6">
      <w:pPr>
        <w:sectPr w:rsidR="003C6291" w:rsidRPr="00C85476" w:rsidSect="005E486D">
          <w:pgSz w:w="11907" w:h="16840" w:code="9"/>
          <w:pgMar w:top="1134" w:right="851" w:bottom="851" w:left="851" w:header="567" w:footer="284" w:gutter="0"/>
          <w:cols w:space="708"/>
          <w:titlePg/>
          <w:docGrid w:linePitch="360"/>
        </w:sectPr>
      </w:pPr>
    </w:p>
    <w:tbl>
      <w:tblPr>
        <w:tblpPr w:leftFromText="181" w:rightFromText="181" w:vertAnchor="page" w:horzAnchor="margin" w:tblpY="12552"/>
        <w:tblOverlap w:val="never"/>
        <w:tblW w:w="0" w:type="auto"/>
        <w:tblBorders>
          <w:top w:val="single" w:sz="4" w:space="0" w:color="00AD68"/>
          <w:bottom w:val="single" w:sz="4" w:space="0" w:color="00AD68"/>
          <w:insideH w:val="single" w:sz="4" w:space="0" w:color="00AD68"/>
        </w:tblBorders>
        <w:tblLook w:val="0480" w:firstRow="0" w:lastRow="0" w:firstColumn="1" w:lastColumn="0" w:noHBand="0" w:noVBand="1"/>
      </w:tblPr>
      <w:tblGrid>
        <w:gridCol w:w="2086"/>
        <w:gridCol w:w="1883"/>
        <w:gridCol w:w="5102"/>
      </w:tblGrid>
      <w:tr w:rsidR="00EE4615" w:rsidRPr="00C85476" w14:paraId="66BE2A5F" w14:textId="77777777" w:rsidTr="00BE6FCE">
        <w:tc>
          <w:tcPr>
            <w:tcW w:w="2086" w:type="dxa"/>
          </w:tcPr>
          <w:p w14:paraId="5FD6A8B1" w14:textId="77777777" w:rsidR="00EE4615" w:rsidRPr="00C85476" w:rsidRDefault="00B0315B" w:rsidP="0051537C">
            <w:pPr>
              <w:pStyle w:val="TableText"/>
            </w:pPr>
            <w:r w:rsidRPr="00C85476">
              <w:lastRenderedPageBreak/>
              <w:t>Project name</w:t>
            </w:r>
            <w:r w:rsidR="00EE4615" w:rsidRPr="00C85476">
              <w:t>:</w:t>
            </w:r>
          </w:p>
        </w:tc>
        <w:tc>
          <w:tcPr>
            <w:tcW w:w="6985" w:type="dxa"/>
            <w:gridSpan w:val="2"/>
          </w:tcPr>
          <w:p w14:paraId="4912867C" w14:textId="77777777" w:rsidR="00EE4615" w:rsidRPr="00C85476" w:rsidRDefault="00C40366" w:rsidP="0051537C">
            <w:pPr>
              <w:pStyle w:val="TableText"/>
            </w:pPr>
            <w:r>
              <w:fldChar w:fldCharType="begin"/>
            </w:r>
            <w:r>
              <w:instrText xml:space="preserve"> DOCPROPERTY  ProjectName  \* MERGEFORMAT </w:instrText>
            </w:r>
            <w:r>
              <w:fldChar w:fldCharType="separate"/>
            </w:r>
            <w:r w:rsidR="001F6F42" w:rsidRPr="001F6F42">
              <w:rPr>
                <w:bCs/>
              </w:rPr>
              <w:t>Hazardous waste reform proposals analysis</w:t>
            </w:r>
            <w:r>
              <w:rPr>
                <w:bCs/>
              </w:rPr>
              <w:fldChar w:fldCharType="end"/>
            </w:r>
          </w:p>
        </w:tc>
      </w:tr>
      <w:tr w:rsidR="00B0315B" w:rsidRPr="00C85476" w14:paraId="23368889" w14:textId="77777777" w:rsidTr="00BE6FCE">
        <w:tc>
          <w:tcPr>
            <w:tcW w:w="2086" w:type="dxa"/>
          </w:tcPr>
          <w:p w14:paraId="286C6ADC" w14:textId="77777777" w:rsidR="00B0315B" w:rsidRPr="00C85476" w:rsidRDefault="00B0315B" w:rsidP="0051537C">
            <w:pPr>
              <w:pStyle w:val="TableText"/>
            </w:pPr>
            <w:r w:rsidRPr="00C85476">
              <w:t>Report title:</w:t>
            </w:r>
          </w:p>
        </w:tc>
        <w:tc>
          <w:tcPr>
            <w:tcW w:w="6985" w:type="dxa"/>
            <w:gridSpan w:val="2"/>
          </w:tcPr>
          <w:p w14:paraId="624C466C" w14:textId="77777777" w:rsidR="00B0315B" w:rsidRPr="00C85476" w:rsidRDefault="00C40366" w:rsidP="0051537C">
            <w:pPr>
              <w:pStyle w:val="TableText"/>
            </w:pPr>
            <w:r>
              <w:fldChar w:fldCharType="begin"/>
            </w:r>
            <w:r>
              <w:instrText xml:space="preserve"> DOCPROPERTY  ReportTitle  \* MERGEFORMAT </w:instrText>
            </w:r>
            <w:r>
              <w:fldChar w:fldCharType="separate"/>
            </w:r>
            <w:r w:rsidR="001F6F42" w:rsidRPr="001F6F42">
              <w:rPr>
                <w:bCs/>
              </w:rPr>
              <w:t>Project report</w:t>
            </w:r>
            <w:r w:rsidR="001F6F42">
              <w:t xml:space="preserve"> (final)</w:t>
            </w:r>
            <w:r>
              <w:fldChar w:fldCharType="end"/>
            </w:r>
          </w:p>
        </w:tc>
      </w:tr>
      <w:tr w:rsidR="00B0315B" w:rsidRPr="00C85476" w14:paraId="1C62665E" w14:textId="77777777" w:rsidTr="00BE6FCE">
        <w:tc>
          <w:tcPr>
            <w:tcW w:w="2086" w:type="dxa"/>
          </w:tcPr>
          <w:p w14:paraId="7E20A770" w14:textId="77777777" w:rsidR="00B0315B" w:rsidRPr="00C85476" w:rsidRDefault="00B0315B" w:rsidP="0051537C">
            <w:pPr>
              <w:pStyle w:val="TableText"/>
            </w:pPr>
            <w:r w:rsidRPr="00C85476">
              <w:t>Authors:</w:t>
            </w:r>
          </w:p>
        </w:tc>
        <w:tc>
          <w:tcPr>
            <w:tcW w:w="6985" w:type="dxa"/>
            <w:gridSpan w:val="2"/>
          </w:tcPr>
          <w:p w14:paraId="45C47251" w14:textId="77777777" w:rsidR="00B0315B" w:rsidRPr="00C85476" w:rsidRDefault="00B0315B" w:rsidP="0051537C">
            <w:pPr>
              <w:pStyle w:val="TableText"/>
            </w:pPr>
            <w:r w:rsidRPr="00C85476">
              <w:t>Kyle O’Farrell, Alex Marsden</w:t>
            </w:r>
          </w:p>
        </w:tc>
      </w:tr>
      <w:tr w:rsidR="00B0315B" w:rsidRPr="00C85476" w14:paraId="6A3E9D7E" w14:textId="77777777" w:rsidTr="00BE6FCE">
        <w:tc>
          <w:tcPr>
            <w:tcW w:w="2086" w:type="dxa"/>
          </w:tcPr>
          <w:p w14:paraId="05FDEEEE" w14:textId="77777777" w:rsidR="00B0315B" w:rsidRPr="00C85476" w:rsidRDefault="00B0315B" w:rsidP="0051537C">
            <w:pPr>
              <w:pStyle w:val="TableText"/>
            </w:pPr>
            <w:r w:rsidRPr="00C85476">
              <w:t>Review:</w:t>
            </w:r>
          </w:p>
        </w:tc>
        <w:tc>
          <w:tcPr>
            <w:tcW w:w="6985" w:type="dxa"/>
            <w:gridSpan w:val="2"/>
          </w:tcPr>
          <w:p w14:paraId="79C3DE93" w14:textId="77777777" w:rsidR="00B0315B" w:rsidRPr="00C85476" w:rsidRDefault="005D7C22" w:rsidP="0051537C">
            <w:pPr>
              <w:pStyle w:val="TableText"/>
            </w:pPr>
            <w:r w:rsidRPr="00C85476">
              <w:t>John Nolan</w:t>
            </w:r>
          </w:p>
        </w:tc>
      </w:tr>
      <w:tr w:rsidR="00B0315B" w:rsidRPr="00C85476" w14:paraId="44FB7557" w14:textId="77777777" w:rsidTr="00C74F72">
        <w:trPr>
          <w:trHeight w:val="340"/>
        </w:trPr>
        <w:tc>
          <w:tcPr>
            <w:tcW w:w="2086" w:type="dxa"/>
          </w:tcPr>
          <w:p w14:paraId="7F2CE0C8" w14:textId="77777777" w:rsidR="00B0315B" w:rsidRPr="00C85476" w:rsidRDefault="00B0315B" w:rsidP="0051537C">
            <w:pPr>
              <w:pStyle w:val="TableText"/>
            </w:pPr>
            <w:r w:rsidRPr="00C85476">
              <w:t>Proposal reference:</w:t>
            </w:r>
          </w:p>
        </w:tc>
        <w:tc>
          <w:tcPr>
            <w:tcW w:w="1883" w:type="dxa"/>
          </w:tcPr>
          <w:p w14:paraId="77B85C14" w14:textId="77777777" w:rsidR="00B0315B" w:rsidRPr="00C85476" w:rsidRDefault="00C40366" w:rsidP="0051537C">
            <w:pPr>
              <w:pStyle w:val="TableText"/>
            </w:pPr>
            <w:r>
              <w:fldChar w:fldCharType="begin"/>
            </w:r>
            <w:r>
              <w:instrText xml:space="preserve"> DOCPROPERTY  ProjectNum  \* MERGEFORMAT </w:instrText>
            </w:r>
            <w:r>
              <w:fldChar w:fldCharType="separate"/>
            </w:r>
            <w:r w:rsidR="001F6F42">
              <w:t>A11312</w:t>
            </w:r>
            <w:r>
              <w:fldChar w:fldCharType="end"/>
            </w:r>
          </w:p>
        </w:tc>
        <w:tc>
          <w:tcPr>
            <w:tcW w:w="5102" w:type="dxa"/>
            <w:vMerge w:val="restart"/>
            <w:vAlign w:val="center"/>
          </w:tcPr>
          <w:p w14:paraId="76B15C2E" w14:textId="77777777" w:rsidR="00B0315B" w:rsidRPr="00C85476" w:rsidRDefault="00B0315B" w:rsidP="0051537C">
            <w:pPr>
              <w:pStyle w:val="TableText"/>
            </w:pPr>
            <w:r w:rsidRPr="00C85476">
              <w:t>Sustainable Resource Use Pty Ltd (ABN 52 151 861 602)</w:t>
            </w:r>
          </w:p>
          <w:p w14:paraId="0D2A46BA" w14:textId="77777777" w:rsidR="00B0315B" w:rsidRPr="00C85476" w:rsidRDefault="00B0315B" w:rsidP="0051537C">
            <w:pPr>
              <w:pStyle w:val="TableText"/>
            </w:pPr>
            <w:r w:rsidRPr="00C85476">
              <w:t>60 Leicester Street, Carlton VIC 3053</w:t>
            </w:r>
          </w:p>
          <w:p w14:paraId="29E80458" w14:textId="77777777" w:rsidR="00B0315B" w:rsidRPr="00C85476" w:rsidRDefault="00C40366" w:rsidP="0051537C">
            <w:pPr>
              <w:pStyle w:val="TableText"/>
              <w:rPr>
                <w:b/>
              </w:rPr>
            </w:pPr>
            <w:hyperlink r:id="rId14" w:history="1">
              <w:r w:rsidR="00B0315B" w:rsidRPr="00C85476">
                <w:t>www.sru.net.au</w:t>
              </w:r>
            </w:hyperlink>
          </w:p>
        </w:tc>
      </w:tr>
      <w:tr w:rsidR="00B0315B" w:rsidRPr="00C85476" w14:paraId="3DA53CFF" w14:textId="77777777" w:rsidTr="00C74F72">
        <w:trPr>
          <w:trHeight w:val="340"/>
        </w:trPr>
        <w:tc>
          <w:tcPr>
            <w:tcW w:w="2086" w:type="dxa"/>
          </w:tcPr>
          <w:p w14:paraId="7DD16E7B" w14:textId="77777777" w:rsidR="00B0315B" w:rsidRPr="00C85476" w:rsidRDefault="00B0315B" w:rsidP="0051537C">
            <w:pPr>
              <w:pStyle w:val="TableText"/>
            </w:pPr>
            <w:r w:rsidRPr="00C85476">
              <w:t>Document reference:</w:t>
            </w:r>
          </w:p>
        </w:tc>
        <w:tc>
          <w:tcPr>
            <w:tcW w:w="1883" w:type="dxa"/>
          </w:tcPr>
          <w:p w14:paraId="668869C1" w14:textId="77777777" w:rsidR="00B0315B" w:rsidRPr="00C85476" w:rsidRDefault="00C40366" w:rsidP="0051537C">
            <w:pPr>
              <w:pStyle w:val="TableText"/>
            </w:pPr>
            <w:r>
              <w:fldChar w:fldCharType="begin"/>
            </w:r>
            <w:r>
              <w:instrText xml:space="preserve"> DOCPROPERTY  ReportNum  \* MERGEFORMAT </w:instrText>
            </w:r>
            <w:r>
              <w:fldChar w:fldCharType="separate"/>
            </w:r>
            <w:r w:rsidR="001F6F42">
              <w:t>R04-04-A11312</w:t>
            </w:r>
            <w:r>
              <w:fldChar w:fldCharType="end"/>
            </w:r>
          </w:p>
        </w:tc>
        <w:tc>
          <w:tcPr>
            <w:tcW w:w="5102" w:type="dxa"/>
            <w:vMerge/>
          </w:tcPr>
          <w:p w14:paraId="1A4E01BC" w14:textId="77777777" w:rsidR="00B0315B" w:rsidRPr="00C85476" w:rsidRDefault="00B0315B" w:rsidP="0051537C">
            <w:pPr>
              <w:pStyle w:val="TableText"/>
            </w:pPr>
          </w:p>
        </w:tc>
      </w:tr>
      <w:tr w:rsidR="00B0315B" w:rsidRPr="00C85476" w14:paraId="0F511C75" w14:textId="77777777" w:rsidTr="00C74F72">
        <w:trPr>
          <w:trHeight w:val="340"/>
        </w:trPr>
        <w:tc>
          <w:tcPr>
            <w:tcW w:w="2086" w:type="dxa"/>
          </w:tcPr>
          <w:p w14:paraId="0721E938" w14:textId="77777777" w:rsidR="00B0315B" w:rsidRPr="00C85476" w:rsidRDefault="00B0315B" w:rsidP="0051537C">
            <w:pPr>
              <w:pStyle w:val="TableText"/>
            </w:pPr>
            <w:r w:rsidRPr="00C85476">
              <w:t>Date:</w:t>
            </w:r>
          </w:p>
        </w:tc>
        <w:tc>
          <w:tcPr>
            <w:tcW w:w="1883" w:type="dxa"/>
          </w:tcPr>
          <w:p w14:paraId="3AFCB002" w14:textId="77777777" w:rsidR="00B0315B" w:rsidRPr="00C85476" w:rsidRDefault="00C40366" w:rsidP="0051537C">
            <w:pPr>
              <w:pStyle w:val="TableText"/>
            </w:pPr>
            <w:r>
              <w:fldChar w:fldCharType="begin"/>
            </w:r>
            <w:r>
              <w:instrText xml:space="preserve"> DOCPROPERTY  ReportDate  \* MERGEFORMAT </w:instrText>
            </w:r>
            <w:r>
              <w:fldChar w:fldCharType="separate"/>
            </w:r>
            <w:r w:rsidR="001F6F42">
              <w:t>30 July 2015</w:t>
            </w:r>
            <w:r>
              <w:fldChar w:fldCharType="end"/>
            </w:r>
          </w:p>
        </w:tc>
        <w:tc>
          <w:tcPr>
            <w:tcW w:w="5102" w:type="dxa"/>
            <w:vMerge/>
          </w:tcPr>
          <w:p w14:paraId="0AF90C14" w14:textId="77777777" w:rsidR="00B0315B" w:rsidRPr="00C85476" w:rsidRDefault="00B0315B" w:rsidP="0051537C">
            <w:pPr>
              <w:pStyle w:val="TableText"/>
            </w:pPr>
          </w:p>
        </w:tc>
      </w:tr>
    </w:tbl>
    <w:p w14:paraId="35BD6908" w14:textId="77777777" w:rsidR="00613CCD" w:rsidRPr="00C85476" w:rsidRDefault="00613CCD" w:rsidP="00613CCD"/>
    <w:p w14:paraId="3E73180C" w14:textId="77777777" w:rsidR="00051003" w:rsidRPr="00C85476" w:rsidRDefault="00051003" w:rsidP="00051003">
      <w:r w:rsidRPr="00C85476">
        <w:br w:type="page"/>
      </w:r>
    </w:p>
    <w:p w14:paraId="606E4A6A" w14:textId="77777777" w:rsidR="00101EE7" w:rsidRPr="00C85476" w:rsidRDefault="00101EE7" w:rsidP="00101EE7">
      <w:pPr>
        <w:pStyle w:val="Heading3"/>
        <w:numPr>
          <w:ilvl w:val="0"/>
          <w:numId w:val="0"/>
        </w:numPr>
        <w:ind w:left="1134"/>
      </w:pPr>
      <w:r w:rsidRPr="00C85476">
        <w:lastRenderedPageBreak/>
        <w:t>ACKNOWLEDGMENTS</w:t>
      </w:r>
    </w:p>
    <w:p w14:paraId="0229BE58" w14:textId="77777777" w:rsidR="00101EE7" w:rsidRPr="00C85476" w:rsidRDefault="00101EE7" w:rsidP="00101EE7">
      <w:r w:rsidRPr="00C85476">
        <w:t>The project team would like to thank all those who contributed to this consultation. This project could not have been completed without the valuable input of many people across government, industry and more broadly. The contributing organisations include:</w:t>
      </w:r>
    </w:p>
    <w:p w14:paraId="13433512" w14:textId="77777777" w:rsidR="00101EE7" w:rsidRPr="00C85476" w:rsidRDefault="00101EE7" w:rsidP="00101EE7">
      <w:pPr>
        <w:pStyle w:val="BulletPoints"/>
      </w:pPr>
      <w:r w:rsidRPr="00C85476">
        <w:t>Australasian Institute of Surface Finishing</w:t>
      </w:r>
    </w:p>
    <w:p w14:paraId="1457B8ED" w14:textId="77777777" w:rsidR="00101EE7" w:rsidRPr="00C85476" w:rsidRDefault="00101EE7" w:rsidP="00101EE7">
      <w:pPr>
        <w:pStyle w:val="BulletPoints"/>
      </w:pPr>
      <w:r w:rsidRPr="00C85476">
        <w:t>Australian Battery Recycling Initiative</w:t>
      </w:r>
    </w:p>
    <w:p w14:paraId="28AD7EE2" w14:textId="77777777" w:rsidR="00101EE7" w:rsidRDefault="00101EE7" w:rsidP="00101EE7">
      <w:pPr>
        <w:pStyle w:val="BulletPoints"/>
      </w:pPr>
      <w:r w:rsidRPr="00C85476">
        <w:t>Australian Vinyls Corporation Pty Ltd</w:t>
      </w:r>
    </w:p>
    <w:p w14:paraId="22E97F24" w14:textId="77777777" w:rsidR="00101EE7" w:rsidRPr="00C85476" w:rsidRDefault="00101EE7" w:rsidP="00101EE7">
      <w:pPr>
        <w:pStyle w:val="BulletPoints"/>
      </w:pPr>
      <w:r>
        <w:t>CRC CARE (</w:t>
      </w:r>
      <w:r w:rsidRPr="00101EE7">
        <w:t>Cooperative Research Centre for Contamination Assessment and Remediation of the Environment</w:t>
      </w:r>
      <w:r>
        <w:t>)</w:t>
      </w:r>
    </w:p>
    <w:p w14:paraId="72BF5627" w14:textId="77777777" w:rsidR="00101EE7" w:rsidRPr="00C85476" w:rsidRDefault="00101EE7" w:rsidP="00101EE7">
      <w:pPr>
        <w:pStyle w:val="BulletPoints"/>
      </w:pPr>
      <w:r w:rsidRPr="00C85476">
        <w:t>Department of Environment and Heritage Protection (QLD)</w:t>
      </w:r>
    </w:p>
    <w:p w14:paraId="3158FA59" w14:textId="77777777" w:rsidR="00101EE7" w:rsidRPr="00C85476" w:rsidRDefault="00101EE7" w:rsidP="00101EE7">
      <w:pPr>
        <w:pStyle w:val="BulletPoints"/>
      </w:pPr>
      <w:r w:rsidRPr="00C85476">
        <w:t>Department of Environmental Regulation (WA)</w:t>
      </w:r>
    </w:p>
    <w:p w14:paraId="4B506D3A" w14:textId="77777777" w:rsidR="00101EE7" w:rsidRPr="00C85476" w:rsidRDefault="00101EE7" w:rsidP="00101EE7">
      <w:pPr>
        <w:pStyle w:val="BulletPoints"/>
      </w:pPr>
      <w:r w:rsidRPr="00991077">
        <w:t xml:space="preserve">Department of Infrastructure and Regional Development and </w:t>
      </w:r>
      <w:r>
        <w:t xml:space="preserve">the </w:t>
      </w:r>
      <w:r w:rsidRPr="00991077">
        <w:t xml:space="preserve">Australian </w:t>
      </w:r>
      <w:r>
        <w:t>Maritime Safety Authority</w:t>
      </w:r>
    </w:p>
    <w:p w14:paraId="677B2182" w14:textId="77777777" w:rsidR="00101EE7" w:rsidRPr="00C85476" w:rsidRDefault="00101EE7" w:rsidP="00101EE7">
      <w:pPr>
        <w:pStyle w:val="BulletPoints"/>
      </w:pPr>
      <w:r w:rsidRPr="00C85476">
        <w:t>Dodd &amp; Dodd Group Pty Ltd</w:t>
      </w:r>
    </w:p>
    <w:p w14:paraId="79C17774" w14:textId="77777777" w:rsidR="00101EE7" w:rsidRPr="00C85476" w:rsidRDefault="00101EE7" w:rsidP="00101EE7">
      <w:pPr>
        <w:pStyle w:val="BulletPoints"/>
      </w:pPr>
      <w:r w:rsidRPr="00C85476">
        <w:t>Enirgi Metal Group Pty Ltd</w:t>
      </w:r>
    </w:p>
    <w:p w14:paraId="2B23F0BD" w14:textId="77777777" w:rsidR="00101EE7" w:rsidRDefault="00101EE7" w:rsidP="00101EE7">
      <w:pPr>
        <w:pStyle w:val="BulletPoints"/>
      </w:pPr>
      <w:r w:rsidRPr="00C85476">
        <w:t>E</w:t>
      </w:r>
      <w:r>
        <w:t xml:space="preserve">nvironment Protection Authority </w:t>
      </w:r>
      <w:r w:rsidRPr="00C85476">
        <w:t>South Australia</w:t>
      </w:r>
    </w:p>
    <w:p w14:paraId="2CEF6663" w14:textId="77777777" w:rsidR="00101EE7" w:rsidRPr="00C85476" w:rsidRDefault="00101EE7" w:rsidP="00101EE7">
      <w:pPr>
        <w:pStyle w:val="BulletPoints"/>
      </w:pPr>
      <w:r w:rsidRPr="00C85476">
        <w:t>Southern Oil Refining Pty Ltd</w:t>
      </w:r>
    </w:p>
    <w:p w14:paraId="7737BD20" w14:textId="77777777" w:rsidR="00101EE7" w:rsidRPr="00C85476" w:rsidRDefault="00101EE7" w:rsidP="00101EE7">
      <w:pPr>
        <w:pStyle w:val="BulletPoints"/>
      </w:pPr>
      <w:r w:rsidRPr="00C85476">
        <w:t>Veolia Australia and New Zealand</w:t>
      </w:r>
    </w:p>
    <w:p w14:paraId="305F7AAC" w14:textId="77777777" w:rsidR="00101EE7" w:rsidRDefault="00101EE7" w:rsidP="00101EE7">
      <w:pPr>
        <w:pStyle w:val="BulletPoints"/>
      </w:pPr>
      <w:r w:rsidRPr="00C85476">
        <w:t>Waste Management Association of Australia</w:t>
      </w:r>
      <w:r>
        <w:t xml:space="preserve"> Queensland Branch</w:t>
      </w:r>
    </w:p>
    <w:p w14:paraId="59F1F0AC" w14:textId="77777777" w:rsidR="00E6418E" w:rsidRDefault="00E6418E" w:rsidP="00E01823">
      <w:pPr>
        <w:pStyle w:val="BulletPoints"/>
        <w:spacing w:after="240"/>
        <w:ind w:left="1208" w:hanging="357"/>
      </w:pPr>
      <w:r>
        <w:t>University of Technology Sydney</w:t>
      </w:r>
    </w:p>
    <w:p w14:paraId="31AAEEAC" w14:textId="67072E2D" w:rsidR="00101EE7" w:rsidRDefault="00387027" w:rsidP="00101EE7">
      <w:r>
        <w:t>In</w:t>
      </w:r>
      <w:r w:rsidR="00E01823">
        <w:t xml:space="preserve"> </w:t>
      </w:r>
      <w:r>
        <w:t>addition, a further</w:t>
      </w:r>
      <w:r w:rsidR="00E01823">
        <w:t xml:space="preserve"> 10 </w:t>
      </w:r>
      <w:r w:rsidR="00AF53FA">
        <w:t>organisations across government, industry and other stakehold</w:t>
      </w:r>
      <w:r>
        <w:t>er groups responded to the</w:t>
      </w:r>
      <w:r w:rsidR="00AF53FA">
        <w:t xml:space="preserve"> consultation on a confidential basis. We </w:t>
      </w:r>
      <w:r w:rsidR="001F6F42">
        <w:t>extend</w:t>
      </w:r>
      <w:r w:rsidR="00AF53FA">
        <w:t xml:space="preserve"> </w:t>
      </w:r>
      <w:r w:rsidR="001F6F42">
        <w:t xml:space="preserve">our </w:t>
      </w:r>
      <w:r w:rsidR="00AF53FA">
        <w:t>thank</w:t>
      </w:r>
      <w:r w:rsidR="001F6F42">
        <w:t>s to</w:t>
      </w:r>
      <w:r w:rsidR="00AF53FA">
        <w:t xml:space="preserve"> each of these stakeholders for their time and </w:t>
      </w:r>
      <w:r w:rsidR="001F6F42">
        <w:t>contributions</w:t>
      </w:r>
      <w:r w:rsidR="00AF53FA">
        <w:t>.</w:t>
      </w:r>
    </w:p>
    <w:p w14:paraId="0592FD73" w14:textId="77777777" w:rsidR="00101EE7" w:rsidRDefault="00101EE7">
      <w:pPr>
        <w:spacing w:after="0" w:line="240" w:lineRule="auto"/>
      </w:pPr>
      <w:r>
        <w:br w:type="page"/>
      </w:r>
    </w:p>
    <w:p w14:paraId="7311EAC2" w14:textId="77777777" w:rsidR="00EE4615" w:rsidRPr="00C85476" w:rsidRDefault="00EE4615" w:rsidP="00551F05">
      <w:pPr>
        <w:pStyle w:val="Heading3"/>
        <w:numPr>
          <w:ilvl w:val="0"/>
          <w:numId w:val="0"/>
        </w:numPr>
        <w:ind w:left="1134"/>
      </w:pPr>
      <w:r w:rsidRPr="00C85476">
        <w:lastRenderedPageBreak/>
        <w:t>CONTENTS</w:t>
      </w:r>
    </w:p>
    <w:p w14:paraId="7C899D36" w14:textId="77777777" w:rsidR="001F6F42" w:rsidRDefault="007B2B2A">
      <w:pPr>
        <w:pStyle w:val="TOC1"/>
        <w:rPr>
          <w:rFonts w:asciiTheme="minorHAnsi" w:eastAsiaTheme="minorEastAsia" w:hAnsiTheme="minorHAnsi" w:cstheme="minorBidi"/>
          <w:lang w:val="en-AU"/>
        </w:rPr>
      </w:pPr>
      <w:r w:rsidRPr="00C85476">
        <w:rPr>
          <w:caps/>
          <w:color w:val="495F70"/>
          <w:sz w:val="20"/>
          <w:lang w:val="en-AU"/>
        </w:rPr>
        <w:fldChar w:fldCharType="begin"/>
      </w:r>
      <w:r w:rsidR="00EE4615" w:rsidRPr="00C85476">
        <w:rPr>
          <w:color w:val="495F70"/>
          <w:lang w:val="en-AU"/>
        </w:rPr>
        <w:instrText xml:space="preserve"> TOC \o "1-2" \h \z \u </w:instrText>
      </w:r>
      <w:r w:rsidRPr="00C85476">
        <w:rPr>
          <w:caps/>
          <w:color w:val="495F70"/>
          <w:sz w:val="20"/>
          <w:lang w:val="en-AU"/>
        </w:rPr>
        <w:fldChar w:fldCharType="separate"/>
      </w:r>
      <w:hyperlink w:anchor="_Toc426022017" w:history="1">
        <w:r w:rsidR="001F6F42" w:rsidRPr="00C42B53">
          <w:rPr>
            <w:rStyle w:val="Hyperlink"/>
            <w:lang w:val="en-AU"/>
          </w:rPr>
          <w:t>EXECUTIVE SUMMARY</w:t>
        </w:r>
        <w:r w:rsidR="001F6F42">
          <w:rPr>
            <w:webHidden/>
          </w:rPr>
          <w:tab/>
        </w:r>
        <w:r w:rsidR="001F6F42">
          <w:rPr>
            <w:webHidden/>
          </w:rPr>
          <w:fldChar w:fldCharType="begin"/>
        </w:r>
        <w:r w:rsidR="001F6F42">
          <w:rPr>
            <w:webHidden/>
          </w:rPr>
          <w:instrText xml:space="preserve"> PAGEREF _Toc426022017 \h </w:instrText>
        </w:r>
        <w:r w:rsidR="001F6F42">
          <w:rPr>
            <w:webHidden/>
          </w:rPr>
        </w:r>
        <w:r w:rsidR="001F6F42">
          <w:rPr>
            <w:webHidden/>
          </w:rPr>
          <w:fldChar w:fldCharType="separate"/>
        </w:r>
        <w:r w:rsidR="00C40366">
          <w:rPr>
            <w:webHidden/>
          </w:rPr>
          <w:t>1</w:t>
        </w:r>
        <w:r w:rsidR="001F6F42">
          <w:rPr>
            <w:webHidden/>
          </w:rPr>
          <w:fldChar w:fldCharType="end"/>
        </w:r>
      </w:hyperlink>
    </w:p>
    <w:p w14:paraId="46612205" w14:textId="77777777" w:rsidR="001F6F42" w:rsidRDefault="00C40366">
      <w:pPr>
        <w:pStyle w:val="TOC1"/>
        <w:rPr>
          <w:rFonts w:asciiTheme="minorHAnsi" w:eastAsiaTheme="minorEastAsia" w:hAnsiTheme="minorHAnsi" w:cstheme="minorBidi"/>
          <w:lang w:val="en-AU"/>
        </w:rPr>
      </w:pPr>
      <w:hyperlink w:anchor="_Toc426022018" w:history="1">
        <w:r w:rsidR="001F6F42" w:rsidRPr="00C42B53">
          <w:rPr>
            <w:rStyle w:val="Hyperlink"/>
            <w:lang w:val="en-AU"/>
          </w:rPr>
          <w:t>GLOSSARY</w:t>
        </w:r>
        <w:r w:rsidR="001F6F42">
          <w:rPr>
            <w:webHidden/>
          </w:rPr>
          <w:tab/>
        </w:r>
        <w:r w:rsidR="001F6F42">
          <w:rPr>
            <w:webHidden/>
          </w:rPr>
          <w:fldChar w:fldCharType="begin"/>
        </w:r>
        <w:r w:rsidR="001F6F42">
          <w:rPr>
            <w:webHidden/>
          </w:rPr>
          <w:instrText xml:space="preserve"> PAGEREF _Toc426022018 \h </w:instrText>
        </w:r>
        <w:r w:rsidR="001F6F42">
          <w:rPr>
            <w:webHidden/>
          </w:rPr>
        </w:r>
        <w:r w:rsidR="001F6F42">
          <w:rPr>
            <w:webHidden/>
          </w:rPr>
          <w:fldChar w:fldCharType="separate"/>
        </w:r>
        <w:r>
          <w:rPr>
            <w:webHidden/>
          </w:rPr>
          <w:t>4</w:t>
        </w:r>
        <w:r w:rsidR="001F6F42">
          <w:rPr>
            <w:webHidden/>
          </w:rPr>
          <w:fldChar w:fldCharType="end"/>
        </w:r>
      </w:hyperlink>
    </w:p>
    <w:p w14:paraId="1762E7F8" w14:textId="77777777" w:rsidR="001F6F42" w:rsidRDefault="00C40366">
      <w:pPr>
        <w:pStyle w:val="TOC1"/>
        <w:rPr>
          <w:rFonts w:asciiTheme="minorHAnsi" w:eastAsiaTheme="minorEastAsia" w:hAnsiTheme="minorHAnsi" w:cstheme="minorBidi"/>
          <w:lang w:val="en-AU"/>
        </w:rPr>
      </w:pPr>
      <w:hyperlink w:anchor="_Toc426022019" w:history="1">
        <w:r w:rsidR="001F6F42" w:rsidRPr="00C42B53">
          <w:rPr>
            <w:rStyle w:val="Hyperlink"/>
            <w:lang w:val="en-AU"/>
          </w:rPr>
          <w:t>1</w:t>
        </w:r>
        <w:r w:rsidR="001F6F42">
          <w:rPr>
            <w:rFonts w:asciiTheme="minorHAnsi" w:eastAsiaTheme="minorEastAsia" w:hAnsiTheme="minorHAnsi" w:cstheme="minorBidi"/>
            <w:lang w:val="en-AU"/>
          </w:rPr>
          <w:tab/>
        </w:r>
        <w:r w:rsidR="001F6F42" w:rsidRPr="00C42B53">
          <w:rPr>
            <w:rStyle w:val="Hyperlink"/>
            <w:lang w:val="en-AU"/>
          </w:rPr>
          <w:t>INTRODUCTION</w:t>
        </w:r>
        <w:r w:rsidR="001F6F42">
          <w:rPr>
            <w:webHidden/>
          </w:rPr>
          <w:tab/>
        </w:r>
        <w:r w:rsidR="001F6F42">
          <w:rPr>
            <w:webHidden/>
          </w:rPr>
          <w:fldChar w:fldCharType="begin"/>
        </w:r>
        <w:r w:rsidR="001F6F42">
          <w:rPr>
            <w:webHidden/>
          </w:rPr>
          <w:instrText xml:space="preserve"> PAGEREF _Toc426022019 \h </w:instrText>
        </w:r>
        <w:r w:rsidR="001F6F42">
          <w:rPr>
            <w:webHidden/>
          </w:rPr>
        </w:r>
        <w:r w:rsidR="001F6F42">
          <w:rPr>
            <w:webHidden/>
          </w:rPr>
          <w:fldChar w:fldCharType="separate"/>
        </w:r>
        <w:r>
          <w:rPr>
            <w:webHidden/>
          </w:rPr>
          <w:t>5</w:t>
        </w:r>
        <w:r w:rsidR="001F6F42">
          <w:rPr>
            <w:webHidden/>
          </w:rPr>
          <w:fldChar w:fldCharType="end"/>
        </w:r>
      </w:hyperlink>
    </w:p>
    <w:p w14:paraId="4869D9E1" w14:textId="77777777" w:rsidR="001F6F42" w:rsidRDefault="00C40366">
      <w:pPr>
        <w:pStyle w:val="TOC2"/>
        <w:rPr>
          <w:rFonts w:asciiTheme="minorHAnsi" w:eastAsiaTheme="minorEastAsia" w:hAnsiTheme="minorHAnsi" w:cstheme="minorBidi"/>
          <w:lang w:val="en-AU"/>
        </w:rPr>
      </w:pPr>
      <w:hyperlink w:anchor="_Toc426022020" w:history="1">
        <w:r w:rsidR="001F6F42" w:rsidRPr="00C42B53">
          <w:rPr>
            <w:rStyle w:val="Hyperlink"/>
          </w:rPr>
          <w:t>1.1</w:t>
        </w:r>
        <w:r w:rsidR="001F6F42">
          <w:rPr>
            <w:rFonts w:asciiTheme="minorHAnsi" w:eastAsiaTheme="minorEastAsia" w:hAnsiTheme="minorHAnsi" w:cstheme="minorBidi"/>
            <w:lang w:val="en-AU"/>
          </w:rPr>
          <w:tab/>
        </w:r>
        <w:r w:rsidR="001F6F42" w:rsidRPr="00C42B53">
          <w:rPr>
            <w:rStyle w:val="Hyperlink"/>
          </w:rPr>
          <w:t>Background</w:t>
        </w:r>
        <w:r w:rsidR="001F6F42">
          <w:rPr>
            <w:webHidden/>
          </w:rPr>
          <w:tab/>
        </w:r>
        <w:r w:rsidR="001F6F42">
          <w:rPr>
            <w:webHidden/>
          </w:rPr>
          <w:fldChar w:fldCharType="begin"/>
        </w:r>
        <w:r w:rsidR="001F6F42">
          <w:rPr>
            <w:webHidden/>
          </w:rPr>
          <w:instrText xml:space="preserve"> PAGEREF _Toc426022020 \h </w:instrText>
        </w:r>
        <w:r w:rsidR="001F6F42">
          <w:rPr>
            <w:webHidden/>
          </w:rPr>
        </w:r>
        <w:r w:rsidR="001F6F42">
          <w:rPr>
            <w:webHidden/>
          </w:rPr>
          <w:fldChar w:fldCharType="separate"/>
        </w:r>
        <w:r>
          <w:rPr>
            <w:webHidden/>
          </w:rPr>
          <w:t>5</w:t>
        </w:r>
        <w:r w:rsidR="001F6F42">
          <w:rPr>
            <w:webHidden/>
          </w:rPr>
          <w:fldChar w:fldCharType="end"/>
        </w:r>
      </w:hyperlink>
    </w:p>
    <w:p w14:paraId="1FD85CD7" w14:textId="77777777" w:rsidR="001F6F42" w:rsidRDefault="00C40366">
      <w:pPr>
        <w:pStyle w:val="TOC2"/>
        <w:rPr>
          <w:rFonts w:asciiTheme="minorHAnsi" w:eastAsiaTheme="minorEastAsia" w:hAnsiTheme="minorHAnsi" w:cstheme="minorBidi"/>
          <w:lang w:val="en-AU"/>
        </w:rPr>
      </w:pPr>
      <w:hyperlink w:anchor="_Toc426022021" w:history="1">
        <w:r w:rsidR="001F6F42" w:rsidRPr="00C42B53">
          <w:rPr>
            <w:rStyle w:val="Hyperlink"/>
          </w:rPr>
          <w:t>1.2</w:t>
        </w:r>
        <w:r w:rsidR="001F6F42">
          <w:rPr>
            <w:rFonts w:asciiTheme="minorHAnsi" w:eastAsiaTheme="minorEastAsia" w:hAnsiTheme="minorHAnsi" w:cstheme="minorBidi"/>
            <w:lang w:val="en-AU"/>
          </w:rPr>
          <w:tab/>
        </w:r>
        <w:r w:rsidR="001F6F42" w:rsidRPr="00C42B53">
          <w:rPr>
            <w:rStyle w:val="Hyperlink"/>
          </w:rPr>
          <w:t>Context to hazardous waste reform</w:t>
        </w:r>
        <w:r w:rsidR="001F6F42">
          <w:rPr>
            <w:webHidden/>
          </w:rPr>
          <w:tab/>
        </w:r>
        <w:r w:rsidR="001F6F42">
          <w:rPr>
            <w:webHidden/>
          </w:rPr>
          <w:fldChar w:fldCharType="begin"/>
        </w:r>
        <w:r w:rsidR="001F6F42">
          <w:rPr>
            <w:webHidden/>
          </w:rPr>
          <w:instrText xml:space="preserve"> PAGEREF _Toc426022021 \h </w:instrText>
        </w:r>
        <w:r w:rsidR="001F6F42">
          <w:rPr>
            <w:webHidden/>
          </w:rPr>
        </w:r>
        <w:r w:rsidR="001F6F42">
          <w:rPr>
            <w:webHidden/>
          </w:rPr>
          <w:fldChar w:fldCharType="separate"/>
        </w:r>
        <w:r>
          <w:rPr>
            <w:webHidden/>
          </w:rPr>
          <w:t>7</w:t>
        </w:r>
        <w:r w:rsidR="001F6F42">
          <w:rPr>
            <w:webHidden/>
          </w:rPr>
          <w:fldChar w:fldCharType="end"/>
        </w:r>
      </w:hyperlink>
    </w:p>
    <w:p w14:paraId="4A6E5E40" w14:textId="77777777" w:rsidR="001F6F42" w:rsidRDefault="00C40366">
      <w:pPr>
        <w:pStyle w:val="TOC2"/>
        <w:rPr>
          <w:rFonts w:asciiTheme="minorHAnsi" w:eastAsiaTheme="minorEastAsia" w:hAnsiTheme="minorHAnsi" w:cstheme="minorBidi"/>
          <w:lang w:val="en-AU"/>
        </w:rPr>
      </w:pPr>
      <w:hyperlink w:anchor="_Toc426022022" w:history="1">
        <w:r w:rsidR="001F6F42" w:rsidRPr="00C42B53">
          <w:rPr>
            <w:rStyle w:val="Hyperlink"/>
          </w:rPr>
          <w:t>1.3</w:t>
        </w:r>
        <w:r w:rsidR="001F6F42">
          <w:rPr>
            <w:rFonts w:asciiTheme="minorHAnsi" w:eastAsiaTheme="minorEastAsia" w:hAnsiTheme="minorHAnsi" w:cstheme="minorBidi"/>
            <w:lang w:val="en-AU"/>
          </w:rPr>
          <w:tab/>
        </w:r>
        <w:r w:rsidR="001F6F42" w:rsidRPr="00C42B53">
          <w:rPr>
            <w:rStyle w:val="Hyperlink"/>
          </w:rPr>
          <w:t>Project scope</w:t>
        </w:r>
        <w:r w:rsidR="001F6F42">
          <w:rPr>
            <w:webHidden/>
          </w:rPr>
          <w:tab/>
        </w:r>
        <w:r w:rsidR="001F6F42">
          <w:rPr>
            <w:webHidden/>
          </w:rPr>
          <w:fldChar w:fldCharType="begin"/>
        </w:r>
        <w:r w:rsidR="001F6F42">
          <w:rPr>
            <w:webHidden/>
          </w:rPr>
          <w:instrText xml:space="preserve"> PAGEREF _Toc426022022 \h </w:instrText>
        </w:r>
        <w:r w:rsidR="001F6F42">
          <w:rPr>
            <w:webHidden/>
          </w:rPr>
        </w:r>
        <w:r w:rsidR="001F6F42">
          <w:rPr>
            <w:webHidden/>
          </w:rPr>
          <w:fldChar w:fldCharType="separate"/>
        </w:r>
        <w:r>
          <w:rPr>
            <w:webHidden/>
          </w:rPr>
          <w:t>12</w:t>
        </w:r>
        <w:r w:rsidR="001F6F42">
          <w:rPr>
            <w:webHidden/>
          </w:rPr>
          <w:fldChar w:fldCharType="end"/>
        </w:r>
      </w:hyperlink>
    </w:p>
    <w:p w14:paraId="0722954B" w14:textId="77777777" w:rsidR="001F6F42" w:rsidRDefault="00C40366">
      <w:pPr>
        <w:pStyle w:val="TOC2"/>
        <w:rPr>
          <w:rFonts w:asciiTheme="minorHAnsi" w:eastAsiaTheme="minorEastAsia" w:hAnsiTheme="minorHAnsi" w:cstheme="minorBidi"/>
          <w:lang w:val="en-AU"/>
        </w:rPr>
      </w:pPr>
      <w:hyperlink w:anchor="_Toc426022023" w:history="1">
        <w:r w:rsidR="001F6F42" w:rsidRPr="00C42B53">
          <w:rPr>
            <w:rStyle w:val="Hyperlink"/>
          </w:rPr>
          <w:t>1.4</w:t>
        </w:r>
        <w:r w:rsidR="001F6F42">
          <w:rPr>
            <w:rFonts w:asciiTheme="minorHAnsi" w:eastAsiaTheme="minorEastAsia" w:hAnsiTheme="minorHAnsi" w:cstheme="minorBidi"/>
            <w:lang w:val="en-AU"/>
          </w:rPr>
          <w:tab/>
        </w:r>
        <w:r w:rsidR="001F6F42" w:rsidRPr="00C42B53">
          <w:rPr>
            <w:rStyle w:val="Hyperlink"/>
          </w:rPr>
          <w:t>Consultation responses</w:t>
        </w:r>
        <w:r w:rsidR="001F6F42">
          <w:rPr>
            <w:webHidden/>
          </w:rPr>
          <w:tab/>
        </w:r>
        <w:r w:rsidR="001F6F42">
          <w:rPr>
            <w:webHidden/>
          </w:rPr>
          <w:fldChar w:fldCharType="begin"/>
        </w:r>
        <w:r w:rsidR="001F6F42">
          <w:rPr>
            <w:webHidden/>
          </w:rPr>
          <w:instrText xml:space="preserve"> PAGEREF _Toc426022023 \h </w:instrText>
        </w:r>
        <w:r w:rsidR="001F6F42">
          <w:rPr>
            <w:webHidden/>
          </w:rPr>
        </w:r>
        <w:r w:rsidR="001F6F42">
          <w:rPr>
            <w:webHidden/>
          </w:rPr>
          <w:fldChar w:fldCharType="separate"/>
        </w:r>
        <w:r>
          <w:rPr>
            <w:webHidden/>
          </w:rPr>
          <w:t>13</w:t>
        </w:r>
        <w:r w:rsidR="001F6F42">
          <w:rPr>
            <w:webHidden/>
          </w:rPr>
          <w:fldChar w:fldCharType="end"/>
        </w:r>
      </w:hyperlink>
    </w:p>
    <w:p w14:paraId="54C62221" w14:textId="77777777" w:rsidR="001F6F42" w:rsidRDefault="00C40366">
      <w:pPr>
        <w:pStyle w:val="TOC2"/>
        <w:rPr>
          <w:rFonts w:asciiTheme="minorHAnsi" w:eastAsiaTheme="minorEastAsia" w:hAnsiTheme="minorHAnsi" w:cstheme="minorBidi"/>
          <w:lang w:val="en-AU"/>
        </w:rPr>
      </w:pPr>
      <w:hyperlink w:anchor="_Toc426022024" w:history="1">
        <w:r w:rsidR="001F6F42" w:rsidRPr="00C42B53">
          <w:rPr>
            <w:rStyle w:val="Hyperlink"/>
          </w:rPr>
          <w:t>1.5</w:t>
        </w:r>
        <w:r w:rsidR="001F6F42">
          <w:rPr>
            <w:rFonts w:asciiTheme="minorHAnsi" w:eastAsiaTheme="minorEastAsia" w:hAnsiTheme="minorHAnsi" w:cstheme="minorBidi"/>
            <w:lang w:val="en-AU"/>
          </w:rPr>
          <w:tab/>
        </w:r>
        <w:r w:rsidR="001F6F42" w:rsidRPr="00C42B53">
          <w:rPr>
            <w:rStyle w:val="Hyperlink"/>
          </w:rPr>
          <w:t>Confidentiality and status of responses</w:t>
        </w:r>
        <w:r w:rsidR="001F6F42">
          <w:rPr>
            <w:webHidden/>
          </w:rPr>
          <w:tab/>
        </w:r>
        <w:r w:rsidR="001F6F42">
          <w:rPr>
            <w:webHidden/>
          </w:rPr>
          <w:fldChar w:fldCharType="begin"/>
        </w:r>
        <w:r w:rsidR="001F6F42">
          <w:rPr>
            <w:webHidden/>
          </w:rPr>
          <w:instrText xml:space="preserve"> PAGEREF _Toc426022024 \h </w:instrText>
        </w:r>
        <w:r w:rsidR="001F6F42">
          <w:rPr>
            <w:webHidden/>
          </w:rPr>
        </w:r>
        <w:r w:rsidR="001F6F42">
          <w:rPr>
            <w:webHidden/>
          </w:rPr>
          <w:fldChar w:fldCharType="separate"/>
        </w:r>
        <w:r>
          <w:rPr>
            <w:webHidden/>
          </w:rPr>
          <w:t>13</w:t>
        </w:r>
        <w:r w:rsidR="001F6F42">
          <w:rPr>
            <w:webHidden/>
          </w:rPr>
          <w:fldChar w:fldCharType="end"/>
        </w:r>
      </w:hyperlink>
    </w:p>
    <w:p w14:paraId="50183B8E" w14:textId="77777777" w:rsidR="001F6F42" w:rsidRDefault="00C40366">
      <w:pPr>
        <w:pStyle w:val="TOC1"/>
        <w:rPr>
          <w:rFonts w:asciiTheme="minorHAnsi" w:eastAsiaTheme="minorEastAsia" w:hAnsiTheme="minorHAnsi" w:cstheme="minorBidi"/>
          <w:lang w:val="en-AU"/>
        </w:rPr>
      </w:pPr>
      <w:hyperlink w:anchor="_Toc426022025" w:history="1">
        <w:r w:rsidR="001F6F42" w:rsidRPr="00C42B53">
          <w:rPr>
            <w:rStyle w:val="Hyperlink"/>
            <w:lang w:val="en-AU"/>
          </w:rPr>
          <w:t>2</w:t>
        </w:r>
        <w:r w:rsidR="001F6F42">
          <w:rPr>
            <w:rFonts w:asciiTheme="minorHAnsi" w:eastAsiaTheme="minorEastAsia" w:hAnsiTheme="minorHAnsi" w:cstheme="minorBidi"/>
            <w:lang w:val="en-AU"/>
          </w:rPr>
          <w:tab/>
        </w:r>
        <w:r w:rsidR="001F6F42" w:rsidRPr="00C42B53">
          <w:rPr>
            <w:rStyle w:val="Hyperlink"/>
            <w:lang w:val="en-AU"/>
          </w:rPr>
          <w:t>REFORM OPTIONS</w:t>
        </w:r>
        <w:r w:rsidR="001F6F42">
          <w:rPr>
            <w:webHidden/>
          </w:rPr>
          <w:tab/>
        </w:r>
        <w:r w:rsidR="001F6F42">
          <w:rPr>
            <w:webHidden/>
          </w:rPr>
          <w:fldChar w:fldCharType="begin"/>
        </w:r>
        <w:r w:rsidR="001F6F42">
          <w:rPr>
            <w:webHidden/>
          </w:rPr>
          <w:instrText xml:space="preserve"> PAGEREF _Toc426022025 \h </w:instrText>
        </w:r>
        <w:r w:rsidR="001F6F42">
          <w:rPr>
            <w:webHidden/>
          </w:rPr>
        </w:r>
        <w:r w:rsidR="001F6F42">
          <w:rPr>
            <w:webHidden/>
          </w:rPr>
          <w:fldChar w:fldCharType="separate"/>
        </w:r>
        <w:r>
          <w:rPr>
            <w:webHidden/>
          </w:rPr>
          <w:t>15</w:t>
        </w:r>
        <w:r w:rsidR="001F6F42">
          <w:rPr>
            <w:webHidden/>
          </w:rPr>
          <w:fldChar w:fldCharType="end"/>
        </w:r>
      </w:hyperlink>
    </w:p>
    <w:p w14:paraId="4CB1A22F" w14:textId="77777777" w:rsidR="001F6F42" w:rsidRDefault="00C40366">
      <w:pPr>
        <w:pStyle w:val="TOC2"/>
        <w:rPr>
          <w:rFonts w:asciiTheme="minorHAnsi" w:eastAsiaTheme="minorEastAsia" w:hAnsiTheme="minorHAnsi" w:cstheme="minorBidi"/>
          <w:lang w:val="en-AU"/>
        </w:rPr>
      </w:pPr>
      <w:hyperlink w:anchor="_Toc426022026" w:history="1">
        <w:r w:rsidR="001F6F42" w:rsidRPr="00C42B53">
          <w:rPr>
            <w:rStyle w:val="Hyperlink"/>
          </w:rPr>
          <w:t>2.1</w:t>
        </w:r>
        <w:r w:rsidR="001F6F42">
          <w:rPr>
            <w:rFonts w:asciiTheme="minorHAnsi" w:eastAsiaTheme="minorEastAsia" w:hAnsiTheme="minorHAnsi" w:cstheme="minorBidi"/>
            <w:lang w:val="en-AU"/>
          </w:rPr>
          <w:tab/>
        </w:r>
        <w:r w:rsidR="001F6F42" w:rsidRPr="00C42B53">
          <w:rPr>
            <w:rStyle w:val="Hyperlink"/>
          </w:rPr>
          <w:t>International movements of hazardous wastes</w:t>
        </w:r>
        <w:r w:rsidR="001F6F42">
          <w:rPr>
            <w:webHidden/>
          </w:rPr>
          <w:tab/>
        </w:r>
        <w:r w:rsidR="001F6F42">
          <w:rPr>
            <w:webHidden/>
          </w:rPr>
          <w:fldChar w:fldCharType="begin"/>
        </w:r>
        <w:r w:rsidR="001F6F42">
          <w:rPr>
            <w:webHidden/>
          </w:rPr>
          <w:instrText xml:space="preserve"> PAGEREF _Toc426022026 \h </w:instrText>
        </w:r>
        <w:r w:rsidR="001F6F42">
          <w:rPr>
            <w:webHidden/>
          </w:rPr>
        </w:r>
        <w:r w:rsidR="001F6F42">
          <w:rPr>
            <w:webHidden/>
          </w:rPr>
          <w:fldChar w:fldCharType="separate"/>
        </w:r>
        <w:r>
          <w:rPr>
            <w:webHidden/>
          </w:rPr>
          <w:t>15</w:t>
        </w:r>
        <w:r w:rsidR="001F6F42">
          <w:rPr>
            <w:webHidden/>
          </w:rPr>
          <w:fldChar w:fldCharType="end"/>
        </w:r>
      </w:hyperlink>
    </w:p>
    <w:p w14:paraId="55A7B89E" w14:textId="77777777" w:rsidR="001F6F42" w:rsidRDefault="00C40366">
      <w:pPr>
        <w:pStyle w:val="TOC2"/>
        <w:rPr>
          <w:rFonts w:asciiTheme="minorHAnsi" w:eastAsiaTheme="minorEastAsia" w:hAnsiTheme="minorHAnsi" w:cstheme="minorBidi"/>
          <w:lang w:val="en-AU"/>
        </w:rPr>
      </w:pPr>
      <w:hyperlink w:anchor="_Toc426022027" w:history="1">
        <w:r w:rsidR="001F6F42" w:rsidRPr="00C42B53">
          <w:rPr>
            <w:rStyle w:val="Hyperlink"/>
          </w:rPr>
          <w:t>2.2</w:t>
        </w:r>
        <w:r w:rsidR="001F6F42">
          <w:rPr>
            <w:rFonts w:asciiTheme="minorHAnsi" w:eastAsiaTheme="minorEastAsia" w:hAnsiTheme="minorHAnsi" w:cstheme="minorBidi"/>
            <w:lang w:val="en-AU"/>
          </w:rPr>
          <w:tab/>
        </w:r>
        <w:r w:rsidR="001F6F42" w:rsidRPr="00C42B53">
          <w:rPr>
            <w:rStyle w:val="Hyperlink"/>
          </w:rPr>
          <w:t>Australia’s generation and management of hazardous wastes</w:t>
        </w:r>
        <w:r w:rsidR="001F6F42">
          <w:rPr>
            <w:webHidden/>
          </w:rPr>
          <w:tab/>
        </w:r>
        <w:r w:rsidR="001F6F42">
          <w:rPr>
            <w:webHidden/>
          </w:rPr>
          <w:fldChar w:fldCharType="begin"/>
        </w:r>
        <w:r w:rsidR="001F6F42">
          <w:rPr>
            <w:webHidden/>
          </w:rPr>
          <w:instrText xml:space="preserve"> PAGEREF _Toc426022027 \h </w:instrText>
        </w:r>
        <w:r w:rsidR="001F6F42">
          <w:rPr>
            <w:webHidden/>
          </w:rPr>
        </w:r>
        <w:r w:rsidR="001F6F42">
          <w:rPr>
            <w:webHidden/>
          </w:rPr>
          <w:fldChar w:fldCharType="separate"/>
        </w:r>
        <w:r>
          <w:rPr>
            <w:webHidden/>
          </w:rPr>
          <w:t>15</w:t>
        </w:r>
        <w:r w:rsidR="001F6F42">
          <w:rPr>
            <w:webHidden/>
          </w:rPr>
          <w:fldChar w:fldCharType="end"/>
        </w:r>
      </w:hyperlink>
    </w:p>
    <w:p w14:paraId="1E62738C" w14:textId="77777777" w:rsidR="001F6F42" w:rsidRDefault="00C40366">
      <w:pPr>
        <w:pStyle w:val="TOC1"/>
        <w:rPr>
          <w:rFonts w:asciiTheme="minorHAnsi" w:eastAsiaTheme="minorEastAsia" w:hAnsiTheme="minorHAnsi" w:cstheme="minorBidi"/>
          <w:lang w:val="en-AU"/>
        </w:rPr>
      </w:pPr>
      <w:hyperlink w:anchor="_Toc426022028" w:history="1">
        <w:r w:rsidR="001F6F42" w:rsidRPr="00C42B53">
          <w:rPr>
            <w:rStyle w:val="Hyperlink"/>
            <w:lang w:val="en-AU"/>
          </w:rPr>
          <w:t>3</w:t>
        </w:r>
        <w:r w:rsidR="001F6F42">
          <w:rPr>
            <w:rFonts w:asciiTheme="minorHAnsi" w:eastAsiaTheme="minorEastAsia" w:hAnsiTheme="minorHAnsi" w:cstheme="minorBidi"/>
            <w:lang w:val="en-AU"/>
          </w:rPr>
          <w:tab/>
        </w:r>
        <w:r w:rsidR="001F6F42" w:rsidRPr="00C42B53">
          <w:rPr>
            <w:rStyle w:val="Hyperlink"/>
            <w:lang w:val="en-AU"/>
          </w:rPr>
          <w:t>ASSESSMENT FRAMEWORK</w:t>
        </w:r>
        <w:r w:rsidR="001F6F42">
          <w:rPr>
            <w:webHidden/>
          </w:rPr>
          <w:tab/>
        </w:r>
        <w:r w:rsidR="001F6F42">
          <w:rPr>
            <w:webHidden/>
          </w:rPr>
          <w:fldChar w:fldCharType="begin"/>
        </w:r>
        <w:r w:rsidR="001F6F42">
          <w:rPr>
            <w:webHidden/>
          </w:rPr>
          <w:instrText xml:space="preserve"> PAGEREF _Toc426022028 \h </w:instrText>
        </w:r>
        <w:r w:rsidR="001F6F42">
          <w:rPr>
            <w:webHidden/>
          </w:rPr>
        </w:r>
        <w:r w:rsidR="001F6F42">
          <w:rPr>
            <w:webHidden/>
          </w:rPr>
          <w:fldChar w:fldCharType="separate"/>
        </w:r>
        <w:r>
          <w:rPr>
            <w:webHidden/>
          </w:rPr>
          <w:t>18</w:t>
        </w:r>
        <w:r w:rsidR="001F6F42">
          <w:rPr>
            <w:webHidden/>
          </w:rPr>
          <w:fldChar w:fldCharType="end"/>
        </w:r>
      </w:hyperlink>
    </w:p>
    <w:p w14:paraId="41F775C9" w14:textId="77777777" w:rsidR="001F6F42" w:rsidRDefault="00C40366">
      <w:pPr>
        <w:pStyle w:val="TOC2"/>
        <w:rPr>
          <w:rFonts w:asciiTheme="minorHAnsi" w:eastAsiaTheme="minorEastAsia" w:hAnsiTheme="minorHAnsi" w:cstheme="minorBidi"/>
          <w:lang w:val="en-AU"/>
        </w:rPr>
      </w:pPr>
      <w:hyperlink w:anchor="_Toc426022029" w:history="1">
        <w:r w:rsidR="001F6F42" w:rsidRPr="00C42B53">
          <w:rPr>
            <w:rStyle w:val="Hyperlink"/>
          </w:rPr>
          <w:t>3.1</w:t>
        </w:r>
        <w:r w:rsidR="001F6F42">
          <w:rPr>
            <w:rFonts w:asciiTheme="minorHAnsi" w:eastAsiaTheme="minorEastAsia" w:hAnsiTheme="minorHAnsi" w:cstheme="minorBidi"/>
            <w:lang w:val="en-AU"/>
          </w:rPr>
          <w:tab/>
        </w:r>
        <w:r w:rsidR="001F6F42" w:rsidRPr="00C42B53">
          <w:rPr>
            <w:rStyle w:val="Hyperlink"/>
          </w:rPr>
          <w:t>Assessment questions</w:t>
        </w:r>
        <w:r w:rsidR="001F6F42">
          <w:rPr>
            <w:webHidden/>
          </w:rPr>
          <w:tab/>
        </w:r>
        <w:r w:rsidR="001F6F42">
          <w:rPr>
            <w:webHidden/>
          </w:rPr>
          <w:fldChar w:fldCharType="begin"/>
        </w:r>
        <w:r w:rsidR="001F6F42">
          <w:rPr>
            <w:webHidden/>
          </w:rPr>
          <w:instrText xml:space="preserve"> PAGEREF _Toc426022029 \h </w:instrText>
        </w:r>
        <w:r w:rsidR="001F6F42">
          <w:rPr>
            <w:webHidden/>
          </w:rPr>
        </w:r>
        <w:r w:rsidR="001F6F42">
          <w:rPr>
            <w:webHidden/>
          </w:rPr>
          <w:fldChar w:fldCharType="separate"/>
        </w:r>
        <w:r>
          <w:rPr>
            <w:webHidden/>
          </w:rPr>
          <w:t>18</w:t>
        </w:r>
        <w:r w:rsidR="001F6F42">
          <w:rPr>
            <w:webHidden/>
          </w:rPr>
          <w:fldChar w:fldCharType="end"/>
        </w:r>
      </w:hyperlink>
    </w:p>
    <w:p w14:paraId="4D6E7523" w14:textId="77777777" w:rsidR="001F6F42" w:rsidRDefault="00C40366">
      <w:pPr>
        <w:pStyle w:val="TOC2"/>
        <w:rPr>
          <w:rFonts w:asciiTheme="minorHAnsi" w:eastAsiaTheme="minorEastAsia" w:hAnsiTheme="minorHAnsi" w:cstheme="minorBidi"/>
          <w:lang w:val="en-AU"/>
        </w:rPr>
      </w:pPr>
      <w:hyperlink w:anchor="_Toc426022030" w:history="1">
        <w:r w:rsidR="001F6F42" w:rsidRPr="00C42B53">
          <w:rPr>
            <w:rStyle w:val="Hyperlink"/>
          </w:rPr>
          <w:t>3.2</w:t>
        </w:r>
        <w:r w:rsidR="001F6F42">
          <w:rPr>
            <w:rFonts w:asciiTheme="minorHAnsi" w:eastAsiaTheme="minorEastAsia" w:hAnsiTheme="minorHAnsi" w:cstheme="minorBidi"/>
            <w:lang w:val="en-AU"/>
          </w:rPr>
          <w:tab/>
        </w:r>
        <w:r w:rsidR="001F6F42" w:rsidRPr="00C42B53">
          <w:rPr>
            <w:rStyle w:val="Hyperlink"/>
          </w:rPr>
          <w:t>Assessment criteria</w:t>
        </w:r>
        <w:r w:rsidR="001F6F42">
          <w:rPr>
            <w:webHidden/>
          </w:rPr>
          <w:tab/>
        </w:r>
        <w:r w:rsidR="001F6F42">
          <w:rPr>
            <w:webHidden/>
          </w:rPr>
          <w:fldChar w:fldCharType="begin"/>
        </w:r>
        <w:r w:rsidR="001F6F42">
          <w:rPr>
            <w:webHidden/>
          </w:rPr>
          <w:instrText xml:space="preserve"> PAGEREF _Toc426022030 \h </w:instrText>
        </w:r>
        <w:r w:rsidR="001F6F42">
          <w:rPr>
            <w:webHidden/>
          </w:rPr>
        </w:r>
        <w:r w:rsidR="001F6F42">
          <w:rPr>
            <w:webHidden/>
          </w:rPr>
          <w:fldChar w:fldCharType="separate"/>
        </w:r>
        <w:r>
          <w:rPr>
            <w:webHidden/>
          </w:rPr>
          <w:t>19</w:t>
        </w:r>
        <w:r w:rsidR="001F6F42">
          <w:rPr>
            <w:webHidden/>
          </w:rPr>
          <w:fldChar w:fldCharType="end"/>
        </w:r>
      </w:hyperlink>
    </w:p>
    <w:p w14:paraId="2190A6BE" w14:textId="77777777" w:rsidR="001F6F42" w:rsidRDefault="00C40366">
      <w:pPr>
        <w:pStyle w:val="TOC1"/>
        <w:rPr>
          <w:rFonts w:asciiTheme="minorHAnsi" w:eastAsiaTheme="minorEastAsia" w:hAnsiTheme="minorHAnsi" w:cstheme="minorBidi"/>
          <w:lang w:val="en-AU"/>
        </w:rPr>
      </w:pPr>
      <w:hyperlink w:anchor="_Toc426022031" w:history="1">
        <w:r w:rsidR="001F6F42" w:rsidRPr="00C42B53">
          <w:rPr>
            <w:rStyle w:val="Hyperlink"/>
            <w:lang w:val="en-AU"/>
          </w:rPr>
          <w:t>4</w:t>
        </w:r>
        <w:r w:rsidR="001F6F42">
          <w:rPr>
            <w:rFonts w:asciiTheme="minorHAnsi" w:eastAsiaTheme="minorEastAsia" w:hAnsiTheme="minorHAnsi" w:cstheme="minorBidi"/>
            <w:lang w:val="en-AU"/>
          </w:rPr>
          <w:tab/>
        </w:r>
        <w:r w:rsidR="001F6F42" w:rsidRPr="00C42B53">
          <w:rPr>
            <w:rStyle w:val="Hyperlink"/>
            <w:lang w:val="en-AU"/>
          </w:rPr>
          <w:t>CONSULTATION OUTCOMES – General comments on the package of reform options</w:t>
        </w:r>
        <w:r w:rsidR="001F6F42">
          <w:rPr>
            <w:webHidden/>
          </w:rPr>
          <w:tab/>
        </w:r>
        <w:r w:rsidR="001F6F42">
          <w:rPr>
            <w:webHidden/>
          </w:rPr>
          <w:fldChar w:fldCharType="begin"/>
        </w:r>
        <w:r w:rsidR="001F6F42">
          <w:rPr>
            <w:webHidden/>
          </w:rPr>
          <w:instrText xml:space="preserve"> PAGEREF _Toc426022031 \h </w:instrText>
        </w:r>
        <w:r w:rsidR="001F6F42">
          <w:rPr>
            <w:webHidden/>
          </w:rPr>
        </w:r>
        <w:r w:rsidR="001F6F42">
          <w:rPr>
            <w:webHidden/>
          </w:rPr>
          <w:fldChar w:fldCharType="separate"/>
        </w:r>
        <w:r>
          <w:rPr>
            <w:webHidden/>
          </w:rPr>
          <w:t>21</w:t>
        </w:r>
        <w:r w:rsidR="001F6F42">
          <w:rPr>
            <w:webHidden/>
          </w:rPr>
          <w:fldChar w:fldCharType="end"/>
        </w:r>
      </w:hyperlink>
    </w:p>
    <w:p w14:paraId="4559977F" w14:textId="77777777" w:rsidR="001F6F42" w:rsidRDefault="00C40366">
      <w:pPr>
        <w:pStyle w:val="TOC2"/>
        <w:rPr>
          <w:rFonts w:asciiTheme="minorHAnsi" w:eastAsiaTheme="minorEastAsia" w:hAnsiTheme="minorHAnsi" w:cstheme="minorBidi"/>
          <w:lang w:val="en-AU"/>
        </w:rPr>
      </w:pPr>
      <w:hyperlink w:anchor="_Toc426022032" w:history="1">
        <w:r w:rsidR="001F6F42" w:rsidRPr="00C42B53">
          <w:rPr>
            <w:rStyle w:val="Hyperlink"/>
          </w:rPr>
          <w:t>4.1</w:t>
        </w:r>
        <w:r w:rsidR="001F6F42">
          <w:rPr>
            <w:rFonts w:asciiTheme="minorHAnsi" w:eastAsiaTheme="minorEastAsia" w:hAnsiTheme="minorHAnsi" w:cstheme="minorBidi"/>
            <w:lang w:val="en-AU"/>
          </w:rPr>
          <w:tab/>
        </w:r>
        <w:r w:rsidR="001F6F42" w:rsidRPr="00C42B53">
          <w:rPr>
            <w:rStyle w:val="Hyperlink"/>
          </w:rPr>
          <w:t xml:space="preserve">General </w:t>
        </w:r>
        <w:r w:rsidR="001F6F42" w:rsidRPr="00C42B53">
          <w:rPr>
            <w:rStyle w:val="Hyperlink"/>
            <w:b/>
          </w:rPr>
          <w:t>support</w:t>
        </w:r>
        <w:r w:rsidR="001F6F42" w:rsidRPr="00C42B53">
          <w:rPr>
            <w:rStyle w:val="Hyperlink"/>
          </w:rPr>
          <w:t xml:space="preserve"> for the package of reform options</w:t>
        </w:r>
        <w:r w:rsidR="001F6F42">
          <w:rPr>
            <w:webHidden/>
          </w:rPr>
          <w:tab/>
        </w:r>
        <w:r w:rsidR="001F6F42">
          <w:rPr>
            <w:webHidden/>
          </w:rPr>
          <w:fldChar w:fldCharType="begin"/>
        </w:r>
        <w:r w:rsidR="001F6F42">
          <w:rPr>
            <w:webHidden/>
          </w:rPr>
          <w:instrText xml:space="preserve"> PAGEREF _Toc426022032 \h </w:instrText>
        </w:r>
        <w:r w:rsidR="001F6F42">
          <w:rPr>
            <w:webHidden/>
          </w:rPr>
        </w:r>
        <w:r w:rsidR="001F6F42">
          <w:rPr>
            <w:webHidden/>
          </w:rPr>
          <w:fldChar w:fldCharType="separate"/>
        </w:r>
        <w:r>
          <w:rPr>
            <w:webHidden/>
          </w:rPr>
          <w:t>21</w:t>
        </w:r>
        <w:r w:rsidR="001F6F42">
          <w:rPr>
            <w:webHidden/>
          </w:rPr>
          <w:fldChar w:fldCharType="end"/>
        </w:r>
      </w:hyperlink>
    </w:p>
    <w:p w14:paraId="1915C020" w14:textId="77777777" w:rsidR="001F6F42" w:rsidRDefault="00C40366">
      <w:pPr>
        <w:pStyle w:val="TOC2"/>
        <w:rPr>
          <w:rFonts w:asciiTheme="minorHAnsi" w:eastAsiaTheme="minorEastAsia" w:hAnsiTheme="minorHAnsi" w:cstheme="minorBidi"/>
          <w:lang w:val="en-AU"/>
        </w:rPr>
      </w:pPr>
      <w:hyperlink w:anchor="_Toc426022033" w:history="1">
        <w:r w:rsidR="001F6F42" w:rsidRPr="00C42B53">
          <w:rPr>
            <w:rStyle w:val="Hyperlink"/>
          </w:rPr>
          <w:t>4.2</w:t>
        </w:r>
        <w:r w:rsidR="001F6F42">
          <w:rPr>
            <w:rFonts w:asciiTheme="minorHAnsi" w:eastAsiaTheme="minorEastAsia" w:hAnsiTheme="minorHAnsi" w:cstheme="minorBidi"/>
            <w:lang w:val="en-AU"/>
          </w:rPr>
          <w:tab/>
        </w:r>
        <w:r w:rsidR="001F6F42" w:rsidRPr="00C42B53">
          <w:rPr>
            <w:rStyle w:val="Hyperlink"/>
          </w:rPr>
          <w:t xml:space="preserve">General </w:t>
        </w:r>
        <w:r w:rsidR="001F6F42" w:rsidRPr="00C42B53">
          <w:rPr>
            <w:rStyle w:val="Hyperlink"/>
            <w:b/>
          </w:rPr>
          <w:t>non-support</w:t>
        </w:r>
        <w:r w:rsidR="001F6F42" w:rsidRPr="00C42B53">
          <w:rPr>
            <w:rStyle w:val="Hyperlink"/>
          </w:rPr>
          <w:t xml:space="preserve"> for the package of reform options</w:t>
        </w:r>
        <w:r w:rsidR="001F6F42">
          <w:rPr>
            <w:webHidden/>
          </w:rPr>
          <w:tab/>
        </w:r>
        <w:r w:rsidR="001F6F42">
          <w:rPr>
            <w:webHidden/>
          </w:rPr>
          <w:fldChar w:fldCharType="begin"/>
        </w:r>
        <w:r w:rsidR="001F6F42">
          <w:rPr>
            <w:webHidden/>
          </w:rPr>
          <w:instrText xml:space="preserve"> PAGEREF _Toc426022033 \h </w:instrText>
        </w:r>
        <w:r w:rsidR="001F6F42">
          <w:rPr>
            <w:webHidden/>
          </w:rPr>
        </w:r>
        <w:r w:rsidR="001F6F42">
          <w:rPr>
            <w:webHidden/>
          </w:rPr>
          <w:fldChar w:fldCharType="separate"/>
        </w:r>
        <w:r>
          <w:rPr>
            <w:webHidden/>
          </w:rPr>
          <w:t>22</w:t>
        </w:r>
        <w:r w:rsidR="001F6F42">
          <w:rPr>
            <w:webHidden/>
          </w:rPr>
          <w:fldChar w:fldCharType="end"/>
        </w:r>
      </w:hyperlink>
    </w:p>
    <w:p w14:paraId="72784F0F" w14:textId="77777777" w:rsidR="001F6F42" w:rsidRDefault="00C40366">
      <w:pPr>
        <w:pStyle w:val="TOC2"/>
        <w:rPr>
          <w:rFonts w:asciiTheme="minorHAnsi" w:eastAsiaTheme="minorEastAsia" w:hAnsiTheme="minorHAnsi" w:cstheme="minorBidi"/>
          <w:lang w:val="en-AU"/>
        </w:rPr>
      </w:pPr>
      <w:hyperlink w:anchor="_Toc426022034" w:history="1">
        <w:r w:rsidR="001F6F42" w:rsidRPr="00C42B53">
          <w:rPr>
            <w:rStyle w:val="Hyperlink"/>
          </w:rPr>
          <w:t>4.3</w:t>
        </w:r>
        <w:r w:rsidR="001F6F42">
          <w:rPr>
            <w:rFonts w:asciiTheme="minorHAnsi" w:eastAsiaTheme="minorEastAsia" w:hAnsiTheme="minorHAnsi" w:cstheme="minorBidi"/>
            <w:lang w:val="en-AU"/>
          </w:rPr>
          <w:tab/>
        </w:r>
        <w:r w:rsidR="001F6F42" w:rsidRPr="00C42B53">
          <w:rPr>
            <w:rStyle w:val="Hyperlink"/>
          </w:rPr>
          <w:t>Do you think that the package of reform options will result in an increase or decrease in compliance costs for industry?</w:t>
        </w:r>
        <w:r w:rsidR="001F6F42">
          <w:rPr>
            <w:webHidden/>
          </w:rPr>
          <w:tab/>
        </w:r>
        <w:r w:rsidR="001F6F42">
          <w:rPr>
            <w:webHidden/>
          </w:rPr>
          <w:fldChar w:fldCharType="begin"/>
        </w:r>
        <w:r w:rsidR="001F6F42">
          <w:rPr>
            <w:webHidden/>
          </w:rPr>
          <w:instrText xml:space="preserve"> PAGEREF _Toc426022034 \h </w:instrText>
        </w:r>
        <w:r w:rsidR="001F6F42">
          <w:rPr>
            <w:webHidden/>
          </w:rPr>
        </w:r>
        <w:r w:rsidR="001F6F42">
          <w:rPr>
            <w:webHidden/>
          </w:rPr>
          <w:fldChar w:fldCharType="separate"/>
        </w:r>
        <w:r>
          <w:rPr>
            <w:webHidden/>
          </w:rPr>
          <w:t>22</w:t>
        </w:r>
        <w:r w:rsidR="001F6F42">
          <w:rPr>
            <w:webHidden/>
          </w:rPr>
          <w:fldChar w:fldCharType="end"/>
        </w:r>
      </w:hyperlink>
    </w:p>
    <w:p w14:paraId="0C7DDE93" w14:textId="77777777" w:rsidR="001F6F42" w:rsidRDefault="00C40366">
      <w:pPr>
        <w:pStyle w:val="TOC2"/>
        <w:rPr>
          <w:rFonts w:asciiTheme="minorHAnsi" w:eastAsiaTheme="minorEastAsia" w:hAnsiTheme="minorHAnsi" w:cstheme="minorBidi"/>
          <w:lang w:val="en-AU"/>
        </w:rPr>
      </w:pPr>
      <w:hyperlink w:anchor="_Toc426022035" w:history="1">
        <w:r w:rsidR="001F6F42" w:rsidRPr="00C42B53">
          <w:rPr>
            <w:rStyle w:val="Hyperlink"/>
          </w:rPr>
          <w:t>4.4</w:t>
        </w:r>
        <w:r w:rsidR="001F6F42">
          <w:rPr>
            <w:rFonts w:asciiTheme="minorHAnsi" w:eastAsiaTheme="minorEastAsia" w:hAnsiTheme="minorHAnsi" w:cstheme="minorBidi"/>
            <w:lang w:val="en-AU"/>
          </w:rPr>
          <w:tab/>
        </w:r>
        <w:r w:rsidR="001F6F42" w:rsidRPr="00C42B53">
          <w:rPr>
            <w:rStyle w:val="Hyperlink"/>
          </w:rPr>
          <w:t>Do you think that the package of reform options will result in some benefits, and if so what sort? (e.g. financial, social or environmental)</w:t>
        </w:r>
        <w:r w:rsidR="001F6F42">
          <w:rPr>
            <w:webHidden/>
          </w:rPr>
          <w:tab/>
        </w:r>
        <w:r w:rsidR="001F6F42">
          <w:rPr>
            <w:webHidden/>
          </w:rPr>
          <w:fldChar w:fldCharType="begin"/>
        </w:r>
        <w:r w:rsidR="001F6F42">
          <w:rPr>
            <w:webHidden/>
          </w:rPr>
          <w:instrText xml:space="preserve"> PAGEREF _Toc426022035 \h </w:instrText>
        </w:r>
        <w:r w:rsidR="001F6F42">
          <w:rPr>
            <w:webHidden/>
          </w:rPr>
        </w:r>
        <w:r w:rsidR="001F6F42">
          <w:rPr>
            <w:webHidden/>
          </w:rPr>
          <w:fldChar w:fldCharType="separate"/>
        </w:r>
        <w:r>
          <w:rPr>
            <w:webHidden/>
          </w:rPr>
          <w:t>23</w:t>
        </w:r>
        <w:r w:rsidR="001F6F42">
          <w:rPr>
            <w:webHidden/>
          </w:rPr>
          <w:fldChar w:fldCharType="end"/>
        </w:r>
      </w:hyperlink>
    </w:p>
    <w:p w14:paraId="53D06513" w14:textId="77777777" w:rsidR="001F6F42" w:rsidRDefault="00C40366">
      <w:pPr>
        <w:pStyle w:val="TOC1"/>
        <w:rPr>
          <w:rFonts w:asciiTheme="minorHAnsi" w:eastAsiaTheme="minorEastAsia" w:hAnsiTheme="minorHAnsi" w:cstheme="minorBidi"/>
          <w:lang w:val="en-AU"/>
        </w:rPr>
      </w:pPr>
      <w:hyperlink w:anchor="_Toc426022036" w:history="1">
        <w:r w:rsidR="001F6F42" w:rsidRPr="00C42B53">
          <w:rPr>
            <w:rStyle w:val="Hyperlink"/>
          </w:rPr>
          <w:t>5</w:t>
        </w:r>
        <w:r w:rsidR="001F6F42">
          <w:rPr>
            <w:rFonts w:asciiTheme="minorHAnsi" w:eastAsiaTheme="minorEastAsia" w:hAnsiTheme="minorHAnsi" w:cstheme="minorBidi"/>
            <w:lang w:val="en-AU"/>
          </w:rPr>
          <w:tab/>
        </w:r>
        <w:r w:rsidR="001F6F42" w:rsidRPr="00C42B53">
          <w:rPr>
            <w:rStyle w:val="Hyperlink"/>
          </w:rPr>
          <w:t>CONSULTATION OUTCOMES – THEME 1: International movements of hazardous wastes</w:t>
        </w:r>
        <w:r w:rsidR="001F6F42">
          <w:rPr>
            <w:webHidden/>
          </w:rPr>
          <w:tab/>
        </w:r>
        <w:r w:rsidR="001F6F42">
          <w:rPr>
            <w:webHidden/>
          </w:rPr>
          <w:fldChar w:fldCharType="begin"/>
        </w:r>
        <w:r w:rsidR="001F6F42">
          <w:rPr>
            <w:webHidden/>
          </w:rPr>
          <w:instrText xml:space="preserve"> PAGEREF _Toc426022036 \h </w:instrText>
        </w:r>
        <w:r w:rsidR="001F6F42">
          <w:rPr>
            <w:webHidden/>
          </w:rPr>
        </w:r>
        <w:r w:rsidR="001F6F42">
          <w:rPr>
            <w:webHidden/>
          </w:rPr>
          <w:fldChar w:fldCharType="separate"/>
        </w:r>
        <w:r>
          <w:rPr>
            <w:webHidden/>
          </w:rPr>
          <w:t>24</w:t>
        </w:r>
        <w:r w:rsidR="001F6F42">
          <w:rPr>
            <w:webHidden/>
          </w:rPr>
          <w:fldChar w:fldCharType="end"/>
        </w:r>
      </w:hyperlink>
    </w:p>
    <w:p w14:paraId="7CC2622A" w14:textId="77777777" w:rsidR="001F6F42" w:rsidRDefault="00C40366">
      <w:pPr>
        <w:pStyle w:val="TOC2"/>
        <w:rPr>
          <w:rFonts w:asciiTheme="minorHAnsi" w:eastAsiaTheme="minorEastAsia" w:hAnsiTheme="minorHAnsi" w:cstheme="minorBidi"/>
          <w:lang w:val="en-AU"/>
        </w:rPr>
      </w:pPr>
      <w:hyperlink w:anchor="_Toc426022037" w:history="1">
        <w:r w:rsidR="001F6F42" w:rsidRPr="00C42B53">
          <w:rPr>
            <w:rStyle w:val="Hyperlink"/>
          </w:rPr>
          <w:t>5.1</w:t>
        </w:r>
        <w:r w:rsidR="001F6F42">
          <w:rPr>
            <w:rFonts w:asciiTheme="minorHAnsi" w:eastAsiaTheme="minorEastAsia" w:hAnsiTheme="minorHAnsi" w:cstheme="minorBidi"/>
            <w:lang w:val="en-AU"/>
          </w:rPr>
          <w:tab/>
        </w:r>
        <w:r w:rsidR="001F6F42" w:rsidRPr="00C42B53">
          <w:rPr>
            <w:rStyle w:val="Hyperlink"/>
          </w:rPr>
          <w:t>Option a) Power to require provision of information</w:t>
        </w:r>
        <w:r w:rsidR="001F6F42">
          <w:rPr>
            <w:webHidden/>
          </w:rPr>
          <w:tab/>
        </w:r>
        <w:r w:rsidR="001F6F42">
          <w:rPr>
            <w:webHidden/>
          </w:rPr>
          <w:fldChar w:fldCharType="begin"/>
        </w:r>
        <w:r w:rsidR="001F6F42">
          <w:rPr>
            <w:webHidden/>
          </w:rPr>
          <w:instrText xml:space="preserve"> PAGEREF _Toc426022037 \h </w:instrText>
        </w:r>
        <w:r w:rsidR="001F6F42">
          <w:rPr>
            <w:webHidden/>
          </w:rPr>
        </w:r>
        <w:r w:rsidR="001F6F42">
          <w:rPr>
            <w:webHidden/>
          </w:rPr>
          <w:fldChar w:fldCharType="separate"/>
        </w:r>
        <w:r>
          <w:rPr>
            <w:webHidden/>
          </w:rPr>
          <w:t>24</w:t>
        </w:r>
        <w:r w:rsidR="001F6F42">
          <w:rPr>
            <w:webHidden/>
          </w:rPr>
          <w:fldChar w:fldCharType="end"/>
        </w:r>
      </w:hyperlink>
    </w:p>
    <w:p w14:paraId="483CE469" w14:textId="77777777" w:rsidR="001F6F42" w:rsidRDefault="00C40366">
      <w:pPr>
        <w:pStyle w:val="TOC2"/>
        <w:rPr>
          <w:rFonts w:asciiTheme="minorHAnsi" w:eastAsiaTheme="minorEastAsia" w:hAnsiTheme="minorHAnsi" w:cstheme="minorBidi"/>
          <w:lang w:val="en-AU"/>
        </w:rPr>
      </w:pPr>
      <w:hyperlink w:anchor="_Toc426022038" w:history="1">
        <w:r w:rsidR="001F6F42" w:rsidRPr="00C42B53">
          <w:rPr>
            <w:rStyle w:val="Hyperlink"/>
          </w:rPr>
          <w:t>5.2</w:t>
        </w:r>
        <w:r w:rsidR="001F6F42">
          <w:rPr>
            <w:rFonts w:asciiTheme="minorHAnsi" w:eastAsiaTheme="minorEastAsia" w:hAnsiTheme="minorHAnsi" w:cstheme="minorBidi"/>
            <w:lang w:val="en-AU"/>
          </w:rPr>
          <w:tab/>
        </w:r>
        <w:r w:rsidR="001F6F42" w:rsidRPr="00C42B53">
          <w:rPr>
            <w:rStyle w:val="Hyperlink"/>
          </w:rPr>
          <w:t>Option b) Recognise bans imposed by other countries</w:t>
        </w:r>
        <w:r w:rsidR="001F6F42">
          <w:rPr>
            <w:webHidden/>
          </w:rPr>
          <w:tab/>
        </w:r>
        <w:r w:rsidR="001F6F42">
          <w:rPr>
            <w:webHidden/>
          </w:rPr>
          <w:fldChar w:fldCharType="begin"/>
        </w:r>
        <w:r w:rsidR="001F6F42">
          <w:rPr>
            <w:webHidden/>
          </w:rPr>
          <w:instrText xml:space="preserve"> PAGEREF _Toc426022038 \h </w:instrText>
        </w:r>
        <w:r w:rsidR="001F6F42">
          <w:rPr>
            <w:webHidden/>
          </w:rPr>
        </w:r>
        <w:r w:rsidR="001F6F42">
          <w:rPr>
            <w:webHidden/>
          </w:rPr>
          <w:fldChar w:fldCharType="separate"/>
        </w:r>
        <w:r>
          <w:rPr>
            <w:webHidden/>
          </w:rPr>
          <w:t>25</w:t>
        </w:r>
        <w:r w:rsidR="001F6F42">
          <w:rPr>
            <w:webHidden/>
          </w:rPr>
          <w:fldChar w:fldCharType="end"/>
        </w:r>
      </w:hyperlink>
    </w:p>
    <w:p w14:paraId="6313736C" w14:textId="77777777" w:rsidR="001F6F42" w:rsidRDefault="00C40366">
      <w:pPr>
        <w:pStyle w:val="TOC2"/>
        <w:rPr>
          <w:rFonts w:asciiTheme="minorHAnsi" w:eastAsiaTheme="minorEastAsia" w:hAnsiTheme="minorHAnsi" w:cstheme="minorBidi"/>
          <w:lang w:val="en-AU"/>
        </w:rPr>
      </w:pPr>
      <w:hyperlink w:anchor="_Toc426022039" w:history="1">
        <w:r w:rsidR="001F6F42" w:rsidRPr="00C42B53">
          <w:rPr>
            <w:rStyle w:val="Hyperlink"/>
          </w:rPr>
          <w:t>5.3</w:t>
        </w:r>
        <w:r w:rsidR="001F6F42">
          <w:rPr>
            <w:rFonts w:asciiTheme="minorHAnsi" w:eastAsiaTheme="minorEastAsia" w:hAnsiTheme="minorHAnsi" w:cstheme="minorBidi"/>
            <w:lang w:val="en-AU"/>
          </w:rPr>
          <w:tab/>
        </w:r>
        <w:r w:rsidR="001F6F42" w:rsidRPr="00C42B53">
          <w:rPr>
            <w:rStyle w:val="Hyperlink"/>
          </w:rPr>
          <w:t>Option c) Updating compliance and enforcement provisions</w:t>
        </w:r>
        <w:r w:rsidR="001F6F42">
          <w:rPr>
            <w:webHidden/>
          </w:rPr>
          <w:tab/>
        </w:r>
        <w:r w:rsidR="001F6F42">
          <w:rPr>
            <w:webHidden/>
          </w:rPr>
          <w:fldChar w:fldCharType="begin"/>
        </w:r>
        <w:r w:rsidR="001F6F42">
          <w:rPr>
            <w:webHidden/>
          </w:rPr>
          <w:instrText xml:space="preserve"> PAGEREF _Toc426022039 \h </w:instrText>
        </w:r>
        <w:r w:rsidR="001F6F42">
          <w:rPr>
            <w:webHidden/>
          </w:rPr>
        </w:r>
        <w:r w:rsidR="001F6F42">
          <w:rPr>
            <w:webHidden/>
          </w:rPr>
          <w:fldChar w:fldCharType="separate"/>
        </w:r>
        <w:r>
          <w:rPr>
            <w:webHidden/>
          </w:rPr>
          <w:t>26</w:t>
        </w:r>
        <w:r w:rsidR="001F6F42">
          <w:rPr>
            <w:webHidden/>
          </w:rPr>
          <w:fldChar w:fldCharType="end"/>
        </w:r>
      </w:hyperlink>
    </w:p>
    <w:p w14:paraId="7C3FE9EC" w14:textId="77777777" w:rsidR="001F6F42" w:rsidRDefault="00C40366">
      <w:pPr>
        <w:pStyle w:val="TOC2"/>
        <w:rPr>
          <w:rFonts w:asciiTheme="minorHAnsi" w:eastAsiaTheme="minorEastAsia" w:hAnsiTheme="minorHAnsi" w:cstheme="minorBidi"/>
          <w:lang w:val="en-AU"/>
        </w:rPr>
      </w:pPr>
      <w:hyperlink w:anchor="_Toc426022040" w:history="1">
        <w:r w:rsidR="001F6F42" w:rsidRPr="00C42B53">
          <w:rPr>
            <w:rStyle w:val="Hyperlink"/>
          </w:rPr>
          <w:t>5.4</w:t>
        </w:r>
        <w:r w:rsidR="001F6F42">
          <w:rPr>
            <w:rFonts w:asciiTheme="minorHAnsi" w:eastAsiaTheme="minorEastAsia" w:hAnsiTheme="minorHAnsi" w:cstheme="minorBidi"/>
            <w:lang w:val="en-AU"/>
          </w:rPr>
          <w:tab/>
        </w:r>
        <w:r w:rsidR="001F6F42" w:rsidRPr="00C42B53">
          <w:rPr>
            <w:rStyle w:val="Hyperlink"/>
          </w:rPr>
          <w:t>Option d) Taking economic efficiency into account</w:t>
        </w:r>
        <w:r w:rsidR="001F6F42">
          <w:rPr>
            <w:webHidden/>
          </w:rPr>
          <w:tab/>
        </w:r>
        <w:r w:rsidR="001F6F42">
          <w:rPr>
            <w:webHidden/>
          </w:rPr>
          <w:fldChar w:fldCharType="begin"/>
        </w:r>
        <w:r w:rsidR="001F6F42">
          <w:rPr>
            <w:webHidden/>
          </w:rPr>
          <w:instrText xml:space="preserve"> PAGEREF _Toc426022040 \h </w:instrText>
        </w:r>
        <w:r w:rsidR="001F6F42">
          <w:rPr>
            <w:webHidden/>
          </w:rPr>
        </w:r>
        <w:r w:rsidR="001F6F42">
          <w:rPr>
            <w:webHidden/>
          </w:rPr>
          <w:fldChar w:fldCharType="separate"/>
        </w:r>
        <w:r>
          <w:rPr>
            <w:webHidden/>
          </w:rPr>
          <w:t>29</w:t>
        </w:r>
        <w:r w:rsidR="001F6F42">
          <w:rPr>
            <w:webHidden/>
          </w:rPr>
          <w:fldChar w:fldCharType="end"/>
        </w:r>
      </w:hyperlink>
    </w:p>
    <w:p w14:paraId="3AFDEDF5" w14:textId="77777777" w:rsidR="001F6F42" w:rsidRDefault="00C40366">
      <w:pPr>
        <w:pStyle w:val="TOC2"/>
        <w:rPr>
          <w:rFonts w:asciiTheme="minorHAnsi" w:eastAsiaTheme="minorEastAsia" w:hAnsiTheme="minorHAnsi" w:cstheme="minorBidi"/>
          <w:lang w:val="en-AU"/>
        </w:rPr>
      </w:pPr>
      <w:hyperlink w:anchor="_Toc426022041" w:history="1">
        <w:r w:rsidR="001F6F42" w:rsidRPr="00C42B53">
          <w:rPr>
            <w:rStyle w:val="Hyperlink"/>
          </w:rPr>
          <w:t>5.5</w:t>
        </w:r>
        <w:r w:rsidR="001F6F42">
          <w:rPr>
            <w:rFonts w:asciiTheme="minorHAnsi" w:eastAsiaTheme="minorEastAsia" w:hAnsiTheme="minorHAnsi" w:cstheme="minorBidi"/>
            <w:lang w:val="en-AU"/>
          </w:rPr>
          <w:tab/>
        </w:r>
        <w:r w:rsidR="001F6F42" w:rsidRPr="00C42B53">
          <w:rPr>
            <w:rStyle w:val="Hyperlink"/>
          </w:rPr>
          <w:t>Option e) Updating cost recovery arrangements</w:t>
        </w:r>
        <w:r w:rsidR="001F6F42">
          <w:rPr>
            <w:webHidden/>
          </w:rPr>
          <w:tab/>
        </w:r>
        <w:r w:rsidR="001F6F42">
          <w:rPr>
            <w:webHidden/>
          </w:rPr>
          <w:fldChar w:fldCharType="begin"/>
        </w:r>
        <w:r w:rsidR="001F6F42">
          <w:rPr>
            <w:webHidden/>
          </w:rPr>
          <w:instrText xml:space="preserve"> PAGEREF _Toc426022041 \h </w:instrText>
        </w:r>
        <w:r w:rsidR="001F6F42">
          <w:rPr>
            <w:webHidden/>
          </w:rPr>
        </w:r>
        <w:r w:rsidR="001F6F42">
          <w:rPr>
            <w:webHidden/>
          </w:rPr>
          <w:fldChar w:fldCharType="separate"/>
        </w:r>
        <w:r>
          <w:rPr>
            <w:webHidden/>
          </w:rPr>
          <w:t>31</w:t>
        </w:r>
        <w:r w:rsidR="001F6F42">
          <w:rPr>
            <w:webHidden/>
          </w:rPr>
          <w:fldChar w:fldCharType="end"/>
        </w:r>
      </w:hyperlink>
    </w:p>
    <w:p w14:paraId="3A9EA725" w14:textId="77777777" w:rsidR="001F6F42" w:rsidRDefault="00C40366">
      <w:pPr>
        <w:pStyle w:val="TOC2"/>
        <w:rPr>
          <w:rFonts w:asciiTheme="minorHAnsi" w:eastAsiaTheme="minorEastAsia" w:hAnsiTheme="minorHAnsi" w:cstheme="minorBidi"/>
          <w:lang w:val="en-AU"/>
        </w:rPr>
      </w:pPr>
      <w:hyperlink w:anchor="_Toc426022042" w:history="1">
        <w:r w:rsidR="001F6F42" w:rsidRPr="00C42B53">
          <w:rPr>
            <w:rStyle w:val="Hyperlink"/>
          </w:rPr>
          <w:t>5.6</w:t>
        </w:r>
        <w:r w:rsidR="001F6F42">
          <w:rPr>
            <w:rFonts w:asciiTheme="minorHAnsi" w:eastAsiaTheme="minorEastAsia" w:hAnsiTheme="minorHAnsi" w:cstheme="minorBidi"/>
            <w:lang w:val="en-AU"/>
          </w:rPr>
          <w:tab/>
        </w:r>
        <w:r w:rsidR="001F6F42" w:rsidRPr="00C42B53">
          <w:rPr>
            <w:rStyle w:val="Hyperlink"/>
          </w:rPr>
          <w:t>Option f) Increased transparency on the operations of the Act</w:t>
        </w:r>
        <w:r w:rsidR="001F6F42">
          <w:rPr>
            <w:webHidden/>
          </w:rPr>
          <w:tab/>
        </w:r>
        <w:r w:rsidR="001F6F42">
          <w:rPr>
            <w:webHidden/>
          </w:rPr>
          <w:fldChar w:fldCharType="begin"/>
        </w:r>
        <w:r w:rsidR="001F6F42">
          <w:rPr>
            <w:webHidden/>
          </w:rPr>
          <w:instrText xml:space="preserve"> PAGEREF _Toc426022042 \h </w:instrText>
        </w:r>
        <w:r w:rsidR="001F6F42">
          <w:rPr>
            <w:webHidden/>
          </w:rPr>
        </w:r>
        <w:r w:rsidR="001F6F42">
          <w:rPr>
            <w:webHidden/>
          </w:rPr>
          <w:fldChar w:fldCharType="separate"/>
        </w:r>
        <w:r>
          <w:rPr>
            <w:webHidden/>
          </w:rPr>
          <w:t>34</w:t>
        </w:r>
        <w:r w:rsidR="001F6F42">
          <w:rPr>
            <w:webHidden/>
          </w:rPr>
          <w:fldChar w:fldCharType="end"/>
        </w:r>
      </w:hyperlink>
    </w:p>
    <w:p w14:paraId="737F19CB" w14:textId="77777777" w:rsidR="001F6F42" w:rsidRDefault="00C40366">
      <w:pPr>
        <w:pStyle w:val="TOC1"/>
        <w:rPr>
          <w:rFonts w:asciiTheme="minorHAnsi" w:eastAsiaTheme="minorEastAsia" w:hAnsiTheme="minorHAnsi" w:cstheme="minorBidi"/>
          <w:lang w:val="en-AU"/>
        </w:rPr>
      </w:pPr>
      <w:hyperlink w:anchor="_Toc426022043" w:history="1">
        <w:r w:rsidR="001F6F42" w:rsidRPr="00C42B53">
          <w:rPr>
            <w:rStyle w:val="Hyperlink"/>
          </w:rPr>
          <w:t>6</w:t>
        </w:r>
        <w:r w:rsidR="001F6F42">
          <w:rPr>
            <w:rFonts w:asciiTheme="minorHAnsi" w:eastAsiaTheme="minorEastAsia" w:hAnsiTheme="minorHAnsi" w:cstheme="minorBidi"/>
            <w:lang w:val="en-AU"/>
          </w:rPr>
          <w:tab/>
        </w:r>
        <w:r w:rsidR="001F6F42" w:rsidRPr="00C42B53">
          <w:rPr>
            <w:rStyle w:val="Hyperlink"/>
          </w:rPr>
          <w:t>CONSULTATION OUTCOMES – THEME 2: Australia’s generation and management of hazardous wastes</w:t>
        </w:r>
        <w:r w:rsidR="001F6F42">
          <w:rPr>
            <w:webHidden/>
          </w:rPr>
          <w:tab/>
        </w:r>
        <w:r w:rsidR="001F6F42">
          <w:rPr>
            <w:webHidden/>
          </w:rPr>
          <w:fldChar w:fldCharType="begin"/>
        </w:r>
        <w:r w:rsidR="001F6F42">
          <w:rPr>
            <w:webHidden/>
          </w:rPr>
          <w:instrText xml:space="preserve"> PAGEREF _Toc426022043 \h </w:instrText>
        </w:r>
        <w:r w:rsidR="001F6F42">
          <w:rPr>
            <w:webHidden/>
          </w:rPr>
        </w:r>
        <w:r w:rsidR="001F6F42">
          <w:rPr>
            <w:webHidden/>
          </w:rPr>
          <w:fldChar w:fldCharType="separate"/>
        </w:r>
        <w:r>
          <w:rPr>
            <w:webHidden/>
          </w:rPr>
          <w:t>36</w:t>
        </w:r>
        <w:r w:rsidR="001F6F42">
          <w:rPr>
            <w:webHidden/>
          </w:rPr>
          <w:fldChar w:fldCharType="end"/>
        </w:r>
      </w:hyperlink>
    </w:p>
    <w:p w14:paraId="6E0D7B67" w14:textId="77777777" w:rsidR="001F6F42" w:rsidRDefault="00C40366">
      <w:pPr>
        <w:pStyle w:val="TOC2"/>
        <w:rPr>
          <w:rFonts w:asciiTheme="minorHAnsi" w:eastAsiaTheme="minorEastAsia" w:hAnsiTheme="minorHAnsi" w:cstheme="minorBidi"/>
          <w:lang w:val="en-AU"/>
        </w:rPr>
      </w:pPr>
      <w:hyperlink w:anchor="_Toc426022044" w:history="1">
        <w:r w:rsidR="001F6F42" w:rsidRPr="00C42B53">
          <w:rPr>
            <w:rStyle w:val="Hyperlink"/>
          </w:rPr>
          <w:t>6.1</w:t>
        </w:r>
        <w:r w:rsidR="001F6F42">
          <w:rPr>
            <w:rFonts w:asciiTheme="minorHAnsi" w:eastAsiaTheme="minorEastAsia" w:hAnsiTheme="minorHAnsi" w:cstheme="minorBidi"/>
            <w:lang w:val="en-AU"/>
          </w:rPr>
          <w:tab/>
        </w:r>
        <w:r w:rsidR="001F6F42" w:rsidRPr="00C42B53">
          <w:rPr>
            <w:rStyle w:val="Hyperlink"/>
          </w:rPr>
          <w:t>Option g) Information on hazardous waste infrastructure</w:t>
        </w:r>
        <w:r w:rsidR="001F6F42">
          <w:rPr>
            <w:webHidden/>
          </w:rPr>
          <w:tab/>
        </w:r>
        <w:r w:rsidR="001F6F42">
          <w:rPr>
            <w:webHidden/>
          </w:rPr>
          <w:fldChar w:fldCharType="begin"/>
        </w:r>
        <w:r w:rsidR="001F6F42">
          <w:rPr>
            <w:webHidden/>
          </w:rPr>
          <w:instrText xml:space="preserve"> PAGEREF _Toc426022044 \h </w:instrText>
        </w:r>
        <w:r w:rsidR="001F6F42">
          <w:rPr>
            <w:webHidden/>
          </w:rPr>
        </w:r>
        <w:r w:rsidR="001F6F42">
          <w:rPr>
            <w:webHidden/>
          </w:rPr>
          <w:fldChar w:fldCharType="separate"/>
        </w:r>
        <w:r>
          <w:rPr>
            <w:webHidden/>
          </w:rPr>
          <w:t>36</w:t>
        </w:r>
        <w:r w:rsidR="001F6F42">
          <w:rPr>
            <w:webHidden/>
          </w:rPr>
          <w:fldChar w:fldCharType="end"/>
        </w:r>
      </w:hyperlink>
    </w:p>
    <w:p w14:paraId="16440599" w14:textId="77777777" w:rsidR="001F6F42" w:rsidRDefault="00C40366">
      <w:pPr>
        <w:pStyle w:val="TOC2"/>
        <w:rPr>
          <w:rFonts w:asciiTheme="minorHAnsi" w:eastAsiaTheme="minorEastAsia" w:hAnsiTheme="minorHAnsi" w:cstheme="minorBidi"/>
          <w:lang w:val="en-AU"/>
        </w:rPr>
      </w:pPr>
      <w:hyperlink w:anchor="_Toc426022045" w:history="1">
        <w:r w:rsidR="001F6F42" w:rsidRPr="00C42B53">
          <w:rPr>
            <w:rStyle w:val="Hyperlink"/>
          </w:rPr>
          <w:t>6.2</w:t>
        </w:r>
        <w:r w:rsidR="001F6F42">
          <w:rPr>
            <w:rFonts w:asciiTheme="minorHAnsi" w:eastAsiaTheme="minorEastAsia" w:hAnsiTheme="minorHAnsi" w:cstheme="minorBidi"/>
            <w:lang w:val="en-AU"/>
          </w:rPr>
          <w:tab/>
        </w:r>
        <w:r w:rsidR="001F6F42" w:rsidRPr="00C42B53">
          <w:rPr>
            <w:rStyle w:val="Hyperlink"/>
          </w:rPr>
          <w:t>Option h) Information on hazardous waste generation and management</w:t>
        </w:r>
        <w:r w:rsidR="001F6F42">
          <w:rPr>
            <w:webHidden/>
          </w:rPr>
          <w:tab/>
        </w:r>
        <w:r w:rsidR="001F6F42">
          <w:rPr>
            <w:webHidden/>
          </w:rPr>
          <w:fldChar w:fldCharType="begin"/>
        </w:r>
        <w:r w:rsidR="001F6F42">
          <w:rPr>
            <w:webHidden/>
          </w:rPr>
          <w:instrText xml:space="preserve"> PAGEREF _Toc426022045 \h </w:instrText>
        </w:r>
        <w:r w:rsidR="001F6F42">
          <w:rPr>
            <w:webHidden/>
          </w:rPr>
        </w:r>
        <w:r w:rsidR="001F6F42">
          <w:rPr>
            <w:webHidden/>
          </w:rPr>
          <w:fldChar w:fldCharType="separate"/>
        </w:r>
        <w:r>
          <w:rPr>
            <w:webHidden/>
          </w:rPr>
          <w:t>38</w:t>
        </w:r>
        <w:r w:rsidR="001F6F42">
          <w:rPr>
            <w:webHidden/>
          </w:rPr>
          <w:fldChar w:fldCharType="end"/>
        </w:r>
      </w:hyperlink>
    </w:p>
    <w:p w14:paraId="4A9776B4" w14:textId="77777777" w:rsidR="001F6F42" w:rsidRDefault="00C40366">
      <w:pPr>
        <w:pStyle w:val="TOC2"/>
        <w:rPr>
          <w:rFonts w:asciiTheme="minorHAnsi" w:eastAsiaTheme="minorEastAsia" w:hAnsiTheme="minorHAnsi" w:cstheme="minorBidi"/>
          <w:lang w:val="en-AU"/>
        </w:rPr>
      </w:pPr>
      <w:hyperlink w:anchor="_Toc426022046" w:history="1">
        <w:r w:rsidR="001F6F42" w:rsidRPr="00C42B53">
          <w:rPr>
            <w:rStyle w:val="Hyperlink"/>
          </w:rPr>
          <w:t>6.3</w:t>
        </w:r>
        <w:r w:rsidR="001F6F42">
          <w:rPr>
            <w:rFonts w:asciiTheme="minorHAnsi" w:eastAsiaTheme="minorEastAsia" w:hAnsiTheme="minorHAnsi" w:cstheme="minorBidi"/>
            <w:lang w:val="en-AU"/>
          </w:rPr>
          <w:tab/>
        </w:r>
        <w:r w:rsidR="001F6F42" w:rsidRPr="00C42B53">
          <w:rPr>
            <w:rStyle w:val="Hyperlink"/>
          </w:rPr>
          <w:t>Option i) Power to establish agreements targeting particular wastes</w:t>
        </w:r>
        <w:r w:rsidR="001F6F42">
          <w:rPr>
            <w:webHidden/>
          </w:rPr>
          <w:tab/>
        </w:r>
        <w:r w:rsidR="001F6F42">
          <w:rPr>
            <w:webHidden/>
          </w:rPr>
          <w:fldChar w:fldCharType="begin"/>
        </w:r>
        <w:r w:rsidR="001F6F42">
          <w:rPr>
            <w:webHidden/>
          </w:rPr>
          <w:instrText xml:space="preserve"> PAGEREF _Toc426022046 \h </w:instrText>
        </w:r>
        <w:r w:rsidR="001F6F42">
          <w:rPr>
            <w:webHidden/>
          </w:rPr>
        </w:r>
        <w:r w:rsidR="001F6F42">
          <w:rPr>
            <w:webHidden/>
          </w:rPr>
          <w:fldChar w:fldCharType="separate"/>
        </w:r>
        <w:r>
          <w:rPr>
            <w:webHidden/>
          </w:rPr>
          <w:t>40</w:t>
        </w:r>
        <w:r w:rsidR="001F6F42">
          <w:rPr>
            <w:webHidden/>
          </w:rPr>
          <w:fldChar w:fldCharType="end"/>
        </w:r>
      </w:hyperlink>
    </w:p>
    <w:p w14:paraId="2FB1B31B" w14:textId="77777777" w:rsidR="001F6F42" w:rsidRDefault="00C40366">
      <w:pPr>
        <w:pStyle w:val="TOC2"/>
        <w:rPr>
          <w:rFonts w:asciiTheme="minorHAnsi" w:eastAsiaTheme="minorEastAsia" w:hAnsiTheme="minorHAnsi" w:cstheme="minorBidi"/>
          <w:lang w:val="en-AU"/>
        </w:rPr>
      </w:pPr>
      <w:hyperlink w:anchor="_Toc426022047" w:history="1">
        <w:r w:rsidR="001F6F42" w:rsidRPr="00C42B53">
          <w:rPr>
            <w:rStyle w:val="Hyperlink"/>
          </w:rPr>
          <w:t>6.4</w:t>
        </w:r>
        <w:r w:rsidR="001F6F42">
          <w:rPr>
            <w:rFonts w:asciiTheme="minorHAnsi" w:eastAsiaTheme="minorEastAsia" w:hAnsiTheme="minorHAnsi" w:cstheme="minorBidi"/>
            <w:lang w:val="en-AU"/>
          </w:rPr>
          <w:tab/>
        </w:r>
        <w:r w:rsidR="001F6F42" w:rsidRPr="00C42B53">
          <w:rPr>
            <w:rStyle w:val="Hyperlink"/>
          </w:rPr>
          <w:t>Option j) Nationally consistent arrangement on hazardous waste data collection and reporting</w:t>
        </w:r>
        <w:r w:rsidR="001F6F42">
          <w:rPr>
            <w:webHidden/>
          </w:rPr>
          <w:tab/>
        </w:r>
        <w:r w:rsidR="001F6F42">
          <w:rPr>
            <w:webHidden/>
          </w:rPr>
          <w:fldChar w:fldCharType="begin"/>
        </w:r>
        <w:r w:rsidR="001F6F42">
          <w:rPr>
            <w:webHidden/>
          </w:rPr>
          <w:instrText xml:space="preserve"> PAGEREF _Toc426022047 \h </w:instrText>
        </w:r>
        <w:r w:rsidR="001F6F42">
          <w:rPr>
            <w:webHidden/>
          </w:rPr>
        </w:r>
        <w:r w:rsidR="001F6F42">
          <w:rPr>
            <w:webHidden/>
          </w:rPr>
          <w:fldChar w:fldCharType="separate"/>
        </w:r>
        <w:r>
          <w:rPr>
            <w:webHidden/>
          </w:rPr>
          <w:t>41</w:t>
        </w:r>
        <w:r w:rsidR="001F6F42">
          <w:rPr>
            <w:webHidden/>
          </w:rPr>
          <w:fldChar w:fldCharType="end"/>
        </w:r>
      </w:hyperlink>
    </w:p>
    <w:p w14:paraId="4F30D2DF" w14:textId="77777777" w:rsidR="001F6F42" w:rsidRDefault="00C40366">
      <w:pPr>
        <w:pStyle w:val="TOC2"/>
        <w:rPr>
          <w:rFonts w:asciiTheme="minorHAnsi" w:eastAsiaTheme="minorEastAsia" w:hAnsiTheme="minorHAnsi" w:cstheme="minorBidi"/>
          <w:lang w:val="en-AU"/>
        </w:rPr>
      </w:pPr>
      <w:hyperlink w:anchor="_Toc426022048" w:history="1">
        <w:r w:rsidR="001F6F42" w:rsidRPr="00C42B53">
          <w:rPr>
            <w:rStyle w:val="Hyperlink"/>
          </w:rPr>
          <w:t>6.5</w:t>
        </w:r>
        <w:r w:rsidR="001F6F42">
          <w:rPr>
            <w:rFonts w:asciiTheme="minorHAnsi" w:eastAsiaTheme="minorEastAsia" w:hAnsiTheme="minorHAnsi" w:cstheme="minorBidi"/>
            <w:lang w:val="en-AU"/>
          </w:rPr>
          <w:tab/>
        </w:r>
        <w:r w:rsidR="001F6F42" w:rsidRPr="00C42B53">
          <w:rPr>
            <w:rStyle w:val="Hyperlink"/>
          </w:rPr>
          <w:t>Option k) Powers to establish and maintain hazardous waste facilities</w:t>
        </w:r>
        <w:r w:rsidR="001F6F42">
          <w:rPr>
            <w:webHidden/>
          </w:rPr>
          <w:tab/>
        </w:r>
        <w:r w:rsidR="001F6F42">
          <w:rPr>
            <w:webHidden/>
          </w:rPr>
          <w:fldChar w:fldCharType="begin"/>
        </w:r>
        <w:r w:rsidR="001F6F42">
          <w:rPr>
            <w:webHidden/>
          </w:rPr>
          <w:instrText xml:space="preserve"> PAGEREF _Toc426022048 \h </w:instrText>
        </w:r>
        <w:r w:rsidR="001F6F42">
          <w:rPr>
            <w:webHidden/>
          </w:rPr>
        </w:r>
        <w:r w:rsidR="001F6F42">
          <w:rPr>
            <w:webHidden/>
          </w:rPr>
          <w:fldChar w:fldCharType="separate"/>
        </w:r>
        <w:r>
          <w:rPr>
            <w:webHidden/>
          </w:rPr>
          <w:t>45</w:t>
        </w:r>
        <w:r w:rsidR="001F6F42">
          <w:rPr>
            <w:webHidden/>
          </w:rPr>
          <w:fldChar w:fldCharType="end"/>
        </w:r>
      </w:hyperlink>
    </w:p>
    <w:p w14:paraId="1F169A78" w14:textId="77777777" w:rsidR="001F6F42" w:rsidRDefault="00C40366">
      <w:pPr>
        <w:pStyle w:val="TOC2"/>
        <w:rPr>
          <w:rFonts w:asciiTheme="minorHAnsi" w:eastAsiaTheme="minorEastAsia" w:hAnsiTheme="minorHAnsi" w:cstheme="minorBidi"/>
          <w:lang w:val="en-AU"/>
        </w:rPr>
      </w:pPr>
      <w:hyperlink w:anchor="_Toc426022049" w:history="1">
        <w:r w:rsidR="001F6F42" w:rsidRPr="00C42B53">
          <w:rPr>
            <w:rStyle w:val="Hyperlink"/>
          </w:rPr>
          <w:t>6.6</w:t>
        </w:r>
        <w:r w:rsidR="001F6F42">
          <w:rPr>
            <w:rFonts w:asciiTheme="minorHAnsi" w:eastAsiaTheme="minorEastAsia" w:hAnsiTheme="minorHAnsi" w:cstheme="minorBidi"/>
            <w:lang w:val="en-AU"/>
          </w:rPr>
          <w:tab/>
        </w:r>
        <w:r w:rsidR="001F6F42" w:rsidRPr="00C42B53">
          <w:rPr>
            <w:rStyle w:val="Hyperlink"/>
          </w:rPr>
          <w:t>Option l) Nationally consistent system for tracking hazardous waste movements</w:t>
        </w:r>
        <w:r w:rsidR="001F6F42">
          <w:rPr>
            <w:webHidden/>
          </w:rPr>
          <w:tab/>
        </w:r>
        <w:r w:rsidR="001F6F42">
          <w:rPr>
            <w:webHidden/>
          </w:rPr>
          <w:fldChar w:fldCharType="begin"/>
        </w:r>
        <w:r w:rsidR="001F6F42">
          <w:rPr>
            <w:webHidden/>
          </w:rPr>
          <w:instrText xml:space="preserve"> PAGEREF _Toc426022049 \h </w:instrText>
        </w:r>
        <w:r w:rsidR="001F6F42">
          <w:rPr>
            <w:webHidden/>
          </w:rPr>
        </w:r>
        <w:r w:rsidR="001F6F42">
          <w:rPr>
            <w:webHidden/>
          </w:rPr>
          <w:fldChar w:fldCharType="separate"/>
        </w:r>
        <w:r>
          <w:rPr>
            <w:webHidden/>
          </w:rPr>
          <w:t>48</w:t>
        </w:r>
        <w:r w:rsidR="001F6F42">
          <w:rPr>
            <w:webHidden/>
          </w:rPr>
          <w:fldChar w:fldCharType="end"/>
        </w:r>
      </w:hyperlink>
    </w:p>
    <w:p w14:paraId="41309ED2" w14:textId="77777777" w:rsidR="001F6F42" w:rsidRDefault="00C40366">
      <w:pPr>
        <w:pStyle w:val="TOC2"/>
        <w:rPr>
          <w:rFonts w:asciiTheme="minorHAnsi" w:eastAsiaTheme="minorEastAsia" w:hAnsiTheme="minorHAnsi" w:cstheme="minorBidi"/>
          <w:lang w:val="en-AU"/>
        </w:rPr>
      </w:pPr>
      <w:hyperlink w:anchor="_Toc426022050" w:history="1">
        <w:r w:rsidR="001F6F42" w:rsidRPr="00C42B53">
          <w:rPr>
            <w:rStyle w:val="Hyperlink"/>
          </w:rPr>
          <w:t>6.7</w:t>
        </w:r>
        <w:r w:rsidR="001F6F42">
          <w:rPr>
            <w:rFonts w:asciiTheme="minorHAnsi" w:eastAsiaTheme="minorEastAsia" w:hAnsiTheme="minorHAnsi" w:cstheme="minorBidi"/>
            <w:lang w:val="en-AU"/>
          </w:rPr>
          <w:tab/>
        </w:r>
        <w:r w:rsidR="001F6F42" w:rsidRPr="00C42B53">
          <w:rPr>
            <w:rStyle w:val="Hyperlink"/>
          </w:rPr>
          <w:t>Option m) Harmonisation of regulatory arrangements</w:t>
        </w:r>
        <w:r w:rsidR="001F6F42">
          <w:rPr>
            <w:webHidden/>
          </w:rPr>
          <w:tab/>
        </w:r>
        <w:r w:rsidR="001F6F42">
          <w:rPr>
            <w:webHidden/>
          </w:rPr>
          <w:fldChar w:fldCharType="begin"/>
        </w:r>
        <w:r w:rsidR="001F6F42">
          <w:rPr>
            <w:webHidden/>
          </w:rPr>
          <w:instrText xml:space="preserve"> PAGEREF _Toc426022050 \h </w:instrText>
        </w:r>
        <w:r w:rsidR="001F6F42">
          <w:rPr>
            <w:webHidden/>
          </w:rPr>
        </w:r>
        <w:r w:rsidR="001F6F42">
          <w:rPr>
            <w:webHidden/>
          </w:rPr>
          <w:fldChar w:fldCharType="separate"/>
        </w:r>
        <w:r>
          <w:rPr>
            <w:webHidden/>
          </w:rPr>
          <w:t>50</w:t>
        </w:r>
        <w:r w:rsidR="001F6F42">
          <w:rPr>
            <w:webHidden/>
          </w:rPr>
          <w:fldChar w:fldCharType="end"/>
        </w:r>
      </w:hyperlink>
    </w:p>
    <w:p w14:paraId="0149C518" w14:textId="77777777" w:rsidR="001F6F42" w:rsidRDefault="00C40366">
      <w:pPr>
        <w:pStyle w:val="TOC2"/>
        <w:rPr>
          <w:rFonts w:asciiTheme="minorHAnsi" w:eastAsiaTheme="minorEastAsia" w:hAnsiTheme="minorHAnsi" w:cstheme="minorBidi"/>
          <w:lang w:val="en-AU"/>
        </w:rPr>
      </w:pPr>
      <w:hyperlink w:anchor="_Toc426022051" w:history="1">
        <w:r w:rsidR="001F6F42" w:rsidRPr="00C42B53">
          <w:rPr>
            <w:rStyle w:val="Hyperlink"/>
          </w:rPr>
          <w:t>6.8</w:t>
        </w:r>
        <w:r w:rsidR="001F6F42">
          <w:rPr>
            <w:rFonts w:asciiTheme="minorHAnsi" w:eastAsiaTheme="minorEastAsia" w:hAnsiTheme="minorHAnsi" w:cstheme="minorBidi"/>
            <w:lang w:val="en-AU"/>
          </w:rPr>
          <w:tab/>
        </w:r>
        <w:r w:rsidR="001F6F42" w:rsidRPr="00C42B53">
          <w:rPr>
            <w:rStyle w:val="Hyperlink"/>
          </w:rPr>
          <w:t>Option n) Developing guidelines on specific hazardous waste issues</w:t>
        </w:r>
        <w:r w:rsidR="001F6F42">
          <w:rPr>
            <w:webHidden/>
          </w:rPr>
          <w:tab/>
        </w:r>
        <w:r w:rsidR="001F6F42">
          <w:rPr>
            <w:webHidden/>
          </w:rPr>
          <w:fldChar w:fldCharType="begin"/>
        </w:r>
        <w:r w:rsidR="001F6F42">
          <w:rPr>
            <w:webHidden/>
          </w:rPr>
          <w:instrText xml:space="preserve"> PAGEREF _Toc426022051 \h </w:instrText>
        </w:r>
        <w:r w:rsidR="001F6F42">
          <w:rPr>
            <w:webHidden/>
          </w:rPr>
        </w:r>
        <w:r w:rsidR="001F6F42">
          <w:rPr>
            <w:webHidden/>
          </w:rPr>
          <w:fldChar w:fldCharType="separate"/>
        </w:r>
        <w:r>
          <w:rPr>
            <w:webHidden/>
          </w:rPr>
          <w:t>52</w:t>
        </w:r>
        <w:r w:rsidR="001F6F42">
          <w:rPr>
            <w:webHidden/>
          </w:rPr>
          <w:fldChar w:fldCharType="end"/>
        </w:r>
      </w:hyperlink>
    </w:p>
    <w:p w14:paraId="061AE54A" w14:textId="77777777" w:rsidR="001F6F42" w:rsidRDefault="00C40366">
      <w:pPr>
        <w:pStyle w:val="TOC2"/>
        <w:rPr>
          <w:rFonts w:asciiTheme="minorHAnsi" w:eastAsiaTheme="minorEastAsia" w:hAnsiTheme="minorHAnsi" w:cstheme="minorBidi"/>
          <w:lang w:val="en-AU"/>
        </w:rPr>
      </w:pPr>
      <w:hyperlink w:anchor="_Toc426022052" w:history="1">
        <w:r w:rsidR="001F6F42" w:rsidRPr="00C42B53">
          <w:rPr>
            <w:rStyle w:val="Hyperlink"/>
          </w:rPr>
          <w:t>6.9</w:t>
        </w:r>
        <w:r w:rsidR="001F6F42">
          <w:rPr>
            <w:rFonts w:asciiTheme="minorHAnsi" w:eastAsiaTheme="minorEastAsia" w:hAnsiTheme="minorHAnsi" w:cstheme="minorBidi"/>
            <w:lang w:val="en-AU"/>
          </w:rPr>
          <w:tab/>
        </w:r>
        <w:r w:rsidR="001F6F42" w:rsidRPr="00C42B53">
          <w:rPr>
            <w:rStyle w:val="Hyperlink"/>
          </w:rPr>
          <w:t>Option o) Nationally consistent system of hazardous waste levies</w:t>
        </w:r>
        <w:r w:rsidR="001F6F42">
          <w:rPr>
            <w:webHidden/>
          </w:rPr>
          <w:tab/>
        </w:r>
        <w:r w:rsidR="001F6F42">
          <w:rPr>
            <w:webHidden/>
          </w:rPr>
          <w:fldChar w:fldCharType="begin"/>
        </w:r>
        <w:r w:rsidR="001F6F42">
          <w:rPr>
            <w:webHidden/>
          </w:rPr>
          <w:instrText xml:space="preserve"> PAGEREF _Toc426022052 \h </w:instrText>
        </w:r>
        <w:r w:rsidR="001F6F42">
          <w:rPr>
            <w:webHidden/>
          </w:rPr>
        </w:r>
        <w:r w:rsidR="001F6F42">
          <w:rPr>
            <w:webHidden/>
          </w:rPr>
          <w:fldChar w:fldCharType="separate"/>
        </w:r>
        <w:r>
          <w:rPr>
            <w:webHidden/>
          </w:rPr>
          <w:t>54</w:t>
        </w:r>
        <w:r w:rsidR="001F6F42">
          <w:rPr>
            <w:webHidden/>
          </w:rPr>
          <w:fldChar w:fldCharType="end"/>
        </w:r>
      </w:hyperlink>
    </w:p>
    <w:p w14:paraId="50DB0ADF" w14:textId="77777777" w:rsidR="001F6F42" w:rsidRDefault="00C40366">
      <w:pPr>
        <w:pStyle w:val="TOC2"/>
        <w:rPr>
          <w:rFonts w:asciiTheme="minorHAnsi" w:eastAsiaTheme="minorEastAsia" w:hAnsiTheme="minorHAnsi" w:cstheme="minorBidi"/>
          <w:lang w:val="en-AU"/>
        </w:rPr>
      </w:pPr>
      <w:hyperlink w:anchor="_Toc426022053" w:history="1">
        <w:r w:rsidR="001F6F42" w:rsidRPr="00C42B53">
          <w:rPr>
            <w:rStyle w:val="Hyperlink"/>
          </w:rPr>
          <w:t>6.10</w:t>
        </w:r>
        <w:r w:rsidR="001F6F42">
          <w:rPr>
            <w:rFonts w:asciiTheme="minorHAnsi" w:eastAsiaTheme="minorEastAsia" w:hAnsiTheme="minorHAnsi" w:cstheme="minorBidi"/>
            <w:lang w:val="en-AU"/>
          </w:rPr>
          <w:tab/>
        </w:r>
        <w:r w:rsidR="001F6F42" w:rsidRPr="00C42B53">
          <w:rPr>
            <w:rStyle w:val="Hyperlink"/>
          </w:rPr>
          <w:t>Option p) Nationally consistent approach to landfill bans or conditional disposal</w:t>
        </w:r>
        <w:r w:rsidR="001F6F42">
          <w:rPr>
            <w:webHidden/>
          </w:rPr>
          <w:tab/>
        </w:r>
        <w:r w:rsidR="001F6F42">
          <w:rPr>
            <w:webHidden/>
          </w:rPr>
          <w:fldChar w:fldCharType="begin"/>
        </w:r>
        <w:r w:rsidR="001F6F42">
          <w:rPr>
            <w:webHidden/>
          </w:rPr>
          <w:instrText xml:space="preserve"> PAGEREF _Toc426022053 \h </w:instrText>
        </w:r>
        <w:r w:rsidR="001F6F42">
          <w:rPr>
            <w:webHidden/>
          </w:rPr>
        </w:r>
        <w:r w:rsidR="001F6F42">
          <w:rPr>
            <w:webHidden/>
          </w:rPr>
          <w:fldChar w:fldCharType="separate"/>
        </w:r>
        <w:r>
          <w:rPr>
            <w:webHidden/>
          </w:rPr>
          <w:t>57</w:t>
        </w:r>
        <w:r w:rsidR="001F6F42">
          <w:rPr>
            <w:webHidden/>
          </w:rPr>
          <w:fldChar w:fldCharType="end"/>
        </w:r>
      </w:hyperlink>
    </w:p>
    <w:p w14:paraId="7E3CDAD1" w14:textId="77777777" w:rsidR="001F6F42" w:rsidRDefault="00C40366">
      <w:pPr>
        <w:pStyle w:val="TOC1"/>
        <w:rPr>
          <w:rFonts w:asciiTheme="minorHAnsi" w:eastAsiaTheme="minorEastAsia" w:hAnsiTheme="minorHAnsi" w:cstheme="minorBidi"/>
          <w:lang w:val="en-AU"/>
        </w:rPr>
      </w:pPr>
      <w:hyperlink w:anchor="_Toc426022054" w:history="1">
        <w:r w:rsidR="001F6F42" w:rsidRPr="00C42B53">
          <w:rPr>
            <w:rStyle w:val="Hyperlink"/>
            <w:lang w:val="en-AU"/>
          </w:rPr>
          <w:t>7</w:t>
        </w:r>
        <w:r w:rsidR="001F6F42">
          <w:rPr>
            <w:rFonts w:asciiTheme="minorHAnsi" w:eastAsiaTheme="minorEastAsia" w:hAnsiTheme="minorHAnsi" w:cstheme="minorBidi"/>
            <w:lang w:val="en-AU"/>
          </w:rPr>
          <w:tab/>
        </w:r>
        <w:r w:rsidR="001F6F42" w:rsidRPr="00C42B53">
          <w:rPr>
            <w:rStyle w:val="Hyperlink"/>
            <w:lang w:val="en-AU"/>
          </w:rPr>
          <w:t>EVALUATION OF OPTIONS</w:t>
        </w:r>
        <w:r w:rsidR="001F6F42">
          <w:rPr>
            <w:webHidden/>
          </w:rPr>
          <w:tab/>
        </w:r>
        <w:r w:rsidR="001F6F42">
          <w:rPr>
            <w:webHidden/>
          </w:rPr>
          <w:fldChar w:fldCharType="begin"/>
        </w:r>
        <w:r w:rsidR="001F6F42">
          <w:rPr>
            <w:webHidden/>
          </w:rPr>
          <w:instrText xml:space="preserve"> PAGEREF _Toc426022054 \h </w:instrText>
        </w:r>
        <w:r w:rsidR="001F6F42">
          <w:rPr>
            <w:webHidden/>
          </w:rPr>
        </w:r>
        <w:r w:rsidR="001F6F42">
          <w:rPr>
            <w:webHidden/>
          </w:rPr>
          <w:fldChar w:fldCharType="separate"/>
        </w:r>
        <w:r>
          <w:rPr>
            <w:webHidden/>
          </w:rPr>
          <w:t>60</w:t>
        </w:r>
        <w:r w:rsidR="001F6F42">
          <w:rPr>
            <w:webHidden/>
          </w:rPr>
          <w:fldChar w:fldCharType="end"/>
        </w:r>
      </w:hyperlink>
    </w:p>
    <w:p w14:paraId="7FA381A7" w14:textId="77777777" w:rsidR="001F6F42" w:rsidRDefault="00C40366">
      <w:pPr>
        <w:pStyle w:val="TOC1"/>
        <w:rPr>
          <w:rFonts w:asciiTheme="minorHAnsi" w:eastAsiaTheme="minorEastAsia" w:hAnsiTheme="minorHAnsi" w:cstheme="minorBidi"/>
          <w:lang w:val="en-AU"/>
        </w:rPr>
      </w:pPr>
      <w:hyperlink w:anchor="_Toc426022055" w:history="1">
        <w:r w:rsidR="001F6F42" w:rsidRPr="00C42B53">
          <w:rPr>
            <w:rStyle w:val="Hyperlink"/>
            <w:lang w:val="en-AU"/>
          </w:rPr>
          <w:t>8</w:t>
        </w:r>
        <w:r w:rsidR="001F6F42">
          <w:rPr>
            <w:rFonts w:asciiTheme="minorHAnsi" w:eastAsiaTheme="minorEastAsia" w:hAnsiTheme="minorHAnsi" w:cstheme="minorBidi"/>
            <w:lang w:val="en-AU"/>
          </w:rPr>
          <w:tab/>
        </w:r>
        <w:r w:rsidR="001F6F42" w:rsidRPr="00C42B53">
          <w:rPr>
            <w:rStyle w:val="Hyperlink"/>
            <w:lang w:val="en-AU"/>
          </w:rPr>
          <w:t>RECOMMENDATIONS</w:t>
        </w:r>
        <w:r w:rsidR="001F6F42">
          <w:rPr>
            <w:webHidden/>
          </w:rPr>
          <w:tab/>
        </w:r>
        <w:r w:rsidR="001F6F42">
          <w:rPr>
            <w:webHidden/>
          </w:rPr>
          <w:fldChar w:fldCharType="begin"/>
        </w:r>
        <w:r w:rsidR="001F6F42">
          <w:rPr>
            <w:webHidden/>
          </w:rPr>
          <w:instrText xml:space="preserve"> PAGEREF _Toc426022055 \h </w:instrText>
        </w:r>
        <w:r w:rsidR="001F6F42">
          <w:rPr>
            <w:webHidden/>
          </w:rPr>
        </w:r>
        <w:r w:rsidR="001F6F42">
          <w:rPr>
            <w:webHidden/>
          </w:rPr>
          <w:fldChar w:fldCharType="separate"/>
        </w:r>
        <w:r>
          <w:rPr>
            <w:webHidden/>
          </w:rPr>
          <w:t>62</w:t>
        </w:r>
        <w:r w:rsidR="001F6F42">
          <w:rPr>
            <w:webHidden/>
          </w:rPr>
          <w:fldChar w:fldCharType="end"/>
        </w:r>
      </w:hyperlink>
    </w:p>
    <w:p w14:paraId="3EB1DC14" w14:textId="77777777" w:rsidR="001F6F42" w:rsidRDefault="00C40366">
      <w:pPr>
        <w:pStyle w:val="TOC1"/>
        <w:rPr>
          <w:rFonts w:asciiTheme="minorHAnsi" w:eastAsiaTheme="minorEastAsia" w:hAnsiTheme="minorHAnsi" w:cstheme="minorBidi"/>
          <w:lang w:val="en-AU"/>
        </w:rPr>
      </w:pPr>
      <w:hyperlink w:anchor="_Toc426022056" w:history="1">
        <w:r w:rsidR="001F6F42" w:rsidRPr="00C42B53">
          <w:rPr>
            <w:rStyle w:val="Hyperlink"/>
            <w:lang w:val="en-AU"/>
          </w:rPr>
          <w:t>9</w:t>
        </w:r>
        <w:r w:rsidR="001F6F42">
          <w:rPr>
            <w:rFonts w:asciiTheme="minorHAnsi" w:eastAsiaTheme="minorEastAsia" w:hAnsiTheme="minorHAnsi" w:cstheme="minorBidi"/>
            <w:lang w:val="en-AU"/>
          </w:rPr>
          <w:tab/>
        </w:r>
        <w:r w:rsidR="001F6F42" w:rsidRPr="00C42B53">
          <w:rPr>
            <w:rStyle w:val="Hyperlink"/>
            <w:lang w:val="en-AU"/>
          </w:rPr>
          <w:t>REFERENCES</w:t>
        </w:r>
        <w:r w:rsidR="001F6F42">
          <w:rPr>
            <w:webHidden/>
          </w:rPr>
          <w:tab/>
        </w:r>
        <w:r w:rsidR="001F6F42">
          <w:rPr>
            <w:webHidden/>
          </w:rPr>
          <w:fldChar w:fldCharType="begin"/>
        </w:r>
        <w:r w:rsidR="001F6F42">
          <w:rPr>
            <w:webHidden/>
          </w:rPr>
          <w:instrText xml:space="preserve"> PAGEREF _Toc426022056 \h </w:instrText>
        </w:r>
        <w:r w:rsidR="001F6F42">
          <w:rPr>
            <w:webHidden/>
          </w:rPr>
        </w:r>
        <w:r w:rsidR="001F6F42">
          <w:rPr>
            <w:webHidden/>
          </w:rPr>
          <w:fldChar w:fldCharType="separate"/>
        </w:r>
        <w:r>
          <w:rPr>
            <w:webHidden/>
          </w:rPr>
          <w:t>63</w:t>
        </w:r>
        <w:r w:rsidR="001F6F42">
          <w:rPr>
            <w:webHidden/>
          </w:rPr>
          <w:fldChar w:fldCharType="end"/>
        </w:r>
      </w:hyperlink>
    </w:p>
    <w:p w14:paraId="4854C135" w14:textId="77777777" w:rsidR="001F6F42" w:rsidRDefault="00C40366">
      <w:pPr>
        <w:pStyle w:val="TOC1"/>
        <w:rPr>
          <w:rFonts w:asciiTheme="minorHAnsi" w:eastAsiaTheme="minorEastAsia" w:hAnsiTheme="minorHAnsi" w:cstheme="minorBidi"/>
          <w:lang w:val="en-AU"/>
        </w:rPr>
      </w:pPr>
      <w:hyperlink w:anchor="_Toc426022057" w:history="1">
        <w:r w:rsidR="001F6F42" w:rsidRPr="00C42B53">
          <w:rPr>
            <w:rStyle w:val="Hyperlink"/>
            <w:lang w:val="en-AU"/>
          </w:rPr>
          <w:t>ATTACHMENT A –Stakeholder list</w:t>
        </w:r>
        <w:r w:rsidR="001F6F42">
          <w:rPr>
            <w:webHidden/>
          </w:rPr>
          <w:tab/>
        </w:r>
        <w:r w:rsidR="001F6F42">
          <w:rPr>
            <w:webHidden/>
          </w:rPr>
          <w:fldChar w:fldCharType="begin"/>
        </w:r>
        <w:r w:rsidR="001F6F42">
          <w:rPr>
            <w:webHidden/>
          </w:rPr>
          <w:instrText xml:space="preserve"> PAGEREF _Toc426022057 \h </w:instrText>
        </w:r>
        <w:r w:rsidR="001F6F42">
          <w:rPr>
            <w:webHidden/>
          </w:rPr>
        </w:r>
        <w:r w:rsidR="001F6F42">
          <w:rPr>
            <w:webHidden/>
          </w:rPr>
          <w:fldChar w:fldCharType="separate"/>
        </w:r>
        <w:r>
          <w:rPr>
            <w:webHidden/>
          </w:rPr>
          <w:t>65</w:t>
        </w:r>
        <w:r w:rsidR="001F6F42">
          <w:rPr>
            <w:webHidden/>
          </w:rPr>
          <w:fldChar w:fldCharType="end"/>
        </w:r>
      </w:hyperlink>
    </w:p>
    <w:p w14:paraId="0523B290" w14:textId="77777777" w:rsidR="0037193F" w:rsidRPr="00C85476" w:rsidRDefault="007B2B2A" w:rsidP="00051003">
      <w:pPr>
        <w:tabs>
          <w:tab w:val="left" w:leader="dot" w:pos="8505"/>
          <w:tab w:val="left" w:leader="dot" w:pos="8647"/>
          <w:tab w:val="left" w:leader="dot" w:pos="8789"/>
        </w:tabs>
      </w:pPr>
      <w:r w:rsidRPr="00C85476">
        <w:rPr>
          <w:noProof/>
        </w:rPr>
        <w:fldChar w:fldCharType="end"/>
      </w:r>
    </w:p>
    <w:p w14:paraId="4585E38D" w14:textId="77777777" w:rsidR="00B0315B" w:rsidRPr="00C85476" w:rsidRDefault="00B0315B" w:rsidP="00B0315B"/>
    <w:p w14:paraId="3C777CA1" w14:textId="77777777" w:rsidR="003656AD" w:rsidRPr="00C85476" w:rsidRDefault="003656AD" w:rsidP="00B0315B">
      <w:pPr>
        <w:sectPr w:rsidR="003656AD" w:rsidRPr="00C85476" w:rsidSect="00387027">
          <w:headerReference w:type="even" r:id="rId15"/>
          <w:headerReference w:type="default" r:id="rId16"/>
          <w:footerReference w:type="default" r:id="rId17"/>
          <w:headerReference w:type="first" r:id="rId18"/>
          <w:footerReference w:type="first" r:id="rId19"/>
          <w:pgSz w:w="11907" w:h="16840" w:code="9"/>
          <w:pgMar w:top="1701" w:right="1418" w:bottom="1418" w:left="1418" w:header="567" w:footer="284" w:gutter="0"/>
          <w:pgNumType w:fmt="lowerRoman"/>
          <w:cols w:space="708"/>
          <w:titlePg/>
          <w:docGrid w:linePitch="360"/>
        </w:sectPr>
      </w:pPr>
    </w:p>
    <w:p w14:paraId="4EF4EF40" w14:textId="77777777" w:rsidR="00B0068B" w:rsidRPr="00C85476" w:rsidRDefault="00B0068B" w:rsidP="00E0337C">
      <w:pPr>
        <w:pStyle w:val="Heading1"/>
        <w:numPr>
          <w:ilvl w:val="0"/>
          <w:numId w:val="0"/>
        </w:numPr>
        <w:ind w:left="1134"/>
        <w:rPr>
          <w:lang w:val="en-AU"/>
        </w:rPr>
      </w:pPr>
      <w:bookmarkStart w:id="2" w:name="_Toc376981887"/>
      <w:bookmarkStart w:id="3" w:name="_Toc377553898"/>
      <w:bookmarkStart w:id="4" w:name="_Toc426022017"/>
      <w:bookmarkStart w:id="5" w:name="_Toc376981894"/>
      <w:bookmarkStart w:id="6" w:name="_Toc377553905"/>
      <w:bookmarkStart w:id="7" w:name="_Ref399770186"/>
      <w:bookmarkStart w:id="8" w:name="_Toc399770799"/>
      <w:bookmarkStart w:id="9" w:name="_Ref417230710"/>
      <w:bookmarkStart w:id="10" w:name="_Toc376981893"/>
      <w:bookmarkStart w:id="11" w:name="_Toc377553904"/>
      <w:bookmarkStart w:id="12" w:name="_Toc399770798"/>
      <w:bookmarkEnd w:id="2"/>
      <w:bookmarkEnd w:id="3"/>
      <w:r w:rsidRPr="00C85476">
        <w:rPr>
          <w:lang w:val="en-AU"/>
        </w:rPr>
        <w:lastRenderedPageBreak/>
        <w:t>EXECUTIVE SUMMARY</w:t>
      </w:r>
      <w:bookmarkEnd w:id="4"/>
    </w:p>
    <w:p w14:paraId="258B3E06" w14:textId="77777777" w:rsidR="00B0068B" w:rsidRPr="00C85476" w:rsidRDefault="00B0068B" w:rsidP="004D1E4F">
      <w:pPr>
        <w:pStyle w:val="Heading4"/>
      </w:pPr>
      <w:r w:rsidRPr="00C85476">
        <w:t>Introduction</w:t>
      </w:r>
    </w:p>
    <w:p w14:paraId="69D72280" w14:textId="220A4DD3" w:rsidR="009F63EB" w:rsidRPr="00C85476" w:rsidRDefault="009F63EB" w:rsidP="009F63EB">
      <w:r w:rsidRPr="00C85476">
        <w:t xml:space="preserve">The purpose of this </w:t>
      </w:r>
      <w:r>
        <w:t xml:space="preserve">project </w:t>
      </w:r>
      <w:r w:rsidRPr="00C85476">
        <w:t>is to test the feasibility of a series of short-listed options for national hazardous waste reform with</w:t>
      </w:r>
      <w:r>
        <w:t xml:space="preserve"> the federal </w:t>
      </w:r>
      <w:r w:rsidRPr="00C85476">
        <w:t>government</w:t>
      </w:r>
      <w:r>
        <w:t>,</w:t>
      </w:r>
      <w:r w:rsidRPr="00C85476">
        <w:t xml:space="preserve"> </w:t>
      </w:r>
      <w:r>
        <w:t xml:space="preserve">state and territory governments, </w:t>
      </w:r>
      <w:r w:rsidRPr="00C85476">
        <w:t>hazardous waste generators</w:t>
      </w:r>
      <w:r>
        <w:t>,</w:t>
      </w:r>
      <w:r w:rsidRPr="00C85476">
        <w:t xml:space="preserve"> hazardous waste </w:t>
      </w:r>
      <w:r>
        <w:t>transporters and treaters, i</w:t>
      </w:r>
      <w:r w:rsidRPr="00C85476">
        <w:t>ndustry</w:t>
      </w:r>
      <w:r>
        <w:t xml:space="preserve"> groups, </w:t>
      </w:r>
      <w:r w:rsidRPr="00C85476">
        <w:t xml:space="preserve">non-governmental organisations; industry groups; </w:t>
      </w:r>
      <w:r>
        <w:t>academia and consultants</w:t>
      </w:r>
      <w:r w:rsidRPr="00C85476">
        <w:t>.</w:t>
      </w:r>
    </w:p>
    <w:p w14:paraId="7D537CC9" w14:textId="005861E9" w:rsidR="00E0337C" w:rsidRDefault="009F63EB" w:rsidP="00E0337C">
      <w:r w:rsidRPr="009F63EB">
        <w:t xml:space="preserve">The </w:t>
      </w:r>
      <w:r w:rsidR="00DF70DC" w:rsidRPr="009F63EB">
        <w:t>p</w:t>
      </w:r>
      <w:r w:rsidR="00DF70DC">
        <w:t>ossible</w:t>
      </w:r>
      <w:r w:rsidR="00DF70DC" w:rsidRPr="009F63EB">
        <w:t xml:space="preserve"> </w:t>
      </w:r>
      <w:r w:rsidRPr="009F63EB">
        <w:t xml:space="preserve">reform proposals relate to amendments of the </w:t>
      </w:r>
      <w:r w:rsidRPr="00BE211D">
        <w:rPr>
          <w:i/>
        </w:rPr>
        <w:t>Hazardous Waste (Regulation of Exports and Imports) Act 1989</w:t>
      </w:r>
      <w:r w:rsidRPr="009F63EB">
        <w:t xml:space="preserve"> </w:t>
      </w:r>
      <w:r w:rsidR="00BE211D">
        <w:t xml:space="preserve">(Cth) </w:t>
      </w:r>
      <w:r w:rsidRPr="009F63EB">
        <w:t>and associated regulations, but also include proposals for hazardous waste reforms that may not require amending national legislation. These non-regulatory reforms include, for example, facilitating improved data on Australian hazardous waste management infrastructure, and improved data on hazardous waste generation, treatment and fate.</w:t>
      </w:r>
    </w:p>
    <w:p w14:paraId="06E727A1" w14:textId="77777777" w:rsidR="009F63EB" w:rsidRDefault="009F63EB" w:rsidP="009F63EB">
      <w:r>
        <w:t xml:space="preserve">A list of sixteen (16) hazardous waste reform options were provided to stakeholders within a </w:t>
      </w:r>
      <w:r w:rsidRPr="009F63EB">
        <w:rPr>
          <w:i/>
        </w:rPr>
        <w:t>Consultation paper and questionnaire document</w:t>
      </w:r>
      <w:r>
        <w:t>. The options list was based on a core list of reform proposals developed by the Department, which was tested and augmented during an initial round of consultation with a restricted list of stakeholders in May 2015.</w:t>
      </w:r>
    </w:p>
    <w:p w14:paraId="6CE801A9" w14:textId="77777777" w:rsidR="009F63EB" w:rsidRDefault="009F63EB" w:rsidP="009F63EB">
      <w:r>
        <w:t>The reform options loosely fall into two groups; those involving international movements of hazardous waste (reform options a–f), and those focussed on Australia’s generation and management of hazardous wastes (reform options g–p).</w:t>
      </w:r>
    </w:p>
    <w:p w14:paraId="1B9496C0" w14:textId="5B7DD1A0" w:rsidR="009F63EB" w:rsidRDefault="009F63EB" w:rsidP="009F63EB">
      <w:r>
        <w:t>Each of the reform options has been assessed against a standard set of criteria to determine a recommendation for</w:t>
      </w:r>
      <w:r w:rsidR="002E2AA9">
        <w:t>:</w:t>
      </w:r>
      <w:r>
        <w:t xml:space="preserve"> inclusion in </w:t>
      </w:r>
      <w:r w:rsidR="00DF70DC">
        <w:t xml:space="preserve">2015 </w:t>
      </w:r>
      <w:r>
        <w:t>Cost Benefit Analysis</w:t>
      </w:r>
      <w:r w:rsidR="002E2AA9">
        <w:t xml:space="preserve"> (CBA); further assessment outside </w:t>
      </w:r>
      <w:r w:rsidR="00DF70DC">
        <w:t xml:space="preserve">that </w:t>
      </w:r>
      <w:r w:rsidR="002E2AA9">
        <w:t>CBA; placed o</w:t>
      </w:r>
      <w:r w:rsidR="002E2AA9" w:rsidRPr="002E2AA9">
        <w:t>n hold pending the successful completion of other reform options</w:t>
      </w:r>
      <w:r w:rsidR="002E2AA9">
        <w:t>;</w:t>
      </w:r>
      <w:r w:rsidR="002E2AA9" w:rsidRPr="002E2AA9">
        <w:t xml:space="preserve"> </w:t>
      </w:r>
      <w:r w:rsidR="002E2AA9">
        <w:t>or to be dropped altogether. The recommendation is</w:t>
      </w:r>
      <w:r>
        <w:t xml:space="preserve"> based on the stakeholder consultation feedback, prior studies reviewed for this project, and the project team’s specialist knowledge</w:t>
      </w:r>
      <w:r w:rsidR="00DF70DC">
        <w:t>.</w:t>
      </w:r>
    </w:p>
    <w:p w14:paraId="2E67FC06" w14:textId="77777777" w:rsidR="00B0068B" w:rsidRPr="00C85476" w:rsidRDefault="00B0068B" w:rsidP="004D1E4F">
      <w:pPr>
        <w:pStyle w:val="Heading4"/>
      </w:pPr>
      <w:r w:rsidRPr="00C85476">
        <w:t>Recommendations</w:t>
      </w:r>
    </w:p>
    <w:p w14:paraId="663C3577" w14:textId="77777777" w:rsidR="00F1472F" w:rsidRDefault="002E2AA9" w:rsidP="00F1472F">
      <w:r>
        <w:t>I</w:t>
      </w:r>
      <w:r w:rsidR="00F1472F" w:rsidRPr="00C85476">
        <w:t>t is recommended that</w:t>
      </w:r>
      <w:r w:rsidR="00F1472F">
        <w:t>:</w:t>
      </w:r>
    </w:p>
    <w:p w14:paraId="2EDBF46B" w14:textId="77777777" w:rsidR="00E45E1E" w:rsidRPr="00C85476" w:rsidRDefault="00E45E1E" w:rsidP="00E45E1E">
      <w:pPr>
        <w:pStyle w:val="BulletPoints"/>
      </w:pPr>
      <w:r>
        <w:t>Reform O</w:t>
      </w:r>
      <w:r w:rsidRPr="00C85476">
        <w:t>ptions a), c), d), e</w:t>
      </w:r>
      <w:r>
        <w:t>)</w:t>
      </w:r>
      <w:r w:rsidRPr="00C85476">
        <w:t xml:space="preserve">, </w:t>
      </w:r>
      <w:r>
        <w:t>g), i),</w:t>
      </w:r>
      <w:r w:rsidRPr="00C85476">
        <w:t xml:space="preserve"> k)</w:t>
      </w:r>
      <w:r>
        <w:t>, l) and m)</w:t>
      </w:r>
      <w:r w:rsidRPr="00C85476">
        <w:t xml:space="preserve"> are assessed through cost-benefit analysis.</w:t>
      </w:r>
    </w:p>
    <w:p w14:paraId="09DAF91E" w14:textId="77777777" w:rsidR="008317CB" w:rsidRPr="00C85476" w:rsidRDefault="008317CB" w:rsidP="008317CB">
      <w:pPr>
        <w:pStyle w:val="BulletPoints"/>
        <w:spacing w:after="240"/>
        <w:ind w:left="1208" w:hanging="357"/>
      </w:pPr>
      <w:r>
        <w:t xml:space="preserve">Reform </w:t>
      </w:r>
      <w:r w:rsidRPr="00C85476">
        <w:t xml:space="preserve">Options </w:t>
      </w:r>
      <w:r>
        <w:t>b), f), h), j),</w:t>
      </w:r>
      <w:r w:rsidRPr="00C85476">
        <w:t xml:space="preserve"> n)</w:t>
      </w:r>
      <w:r>
        <w:t>, o) and p)</w:t>
      </w:r>
      <w:r w:rsidRPr="00C85476">
        <w:t xml:space="preserve"> are not assessed through cost-benefit analysis, but </w:t>
      </w:r>
      <w:r w:rsidRPr="005D1661">
        <w:t xml:space="preserve">as these are </w:t>
      </w:r>
      <w:r>
        <w:t>quasi regulatory or non-regulatory options</w:t>
      </w:r>
      <w:r w:rsidRPr="005D1661">
        <w:t xml:space="preserve"> </w:t>
      </w:r>
      <w:r w:rsidRPr="00C85476">
        <w:t>are pursued outside of a regulatory framework.</w:t>
      </w:r>
    </w:p>
    <w:p w14:paraId="742352AA" w14:textId="073726F4" w:rsidR="00E0337C" w:rsidRDefault="00F1472F" w:rsidP="00E0337C">
      <w:r>
        <w:t>A su</w:t>
      </w:r>
      <w:r w:rsidR="002E2AA9">
        <w:t xml:space="preserve">mmary of </w:t>
      </w:r>
      <w:r>
        <w:t xml:space="preserve">each reform option’s </w:t>
      </w:r>
      <w:r w:rsidR="002E2AA9">
        <w:t xml:space="preserve">description, </w:t>
      </w:r>
      <w:r>
        <w:t xml:space="preserve">regulatory status, purpose and recommendation is provided in the </w:t>
      </w:r>
      <w:r w:rsidR="008317CB">
        <w:t xml:space="preserve">following </w:t>
      </w:r>
      <w:r>
        <w:t>table.</w:t>
      </w:r>
    </w:p>
    <w:p w14:paraId="0A2727B7" w14:textId="77777777" w:rsidR="00F1472F" w:rsidRDefault="00F1472F" w:rsidP="00E0337C"/>
    <w:p w14:paraId="1B2B56F3" w14:textId="77777777" w:rsidR="00F1472F" w:rsidRPr="00C85476" w:rsidRDefault="00F1472F" w:rsidP="00E059F1">
      <w:pPr>
        <w:keepNext/>
        <w:keepLines/>
        <w:spacing w:after="120" w:line="240" w:lineRule="auto"/>
        <w:rPr>
          <w:b/>
        </w:rPr>
      </w:pPr>
      <w:r w:rsidRPr="00C85476">
        <w:rPr>
          <w:b/>
        </w:rPr>
        <w:lastRenderedPageBreak/>
        <w:t xml:space="preserve">Table </w:t>
      </w:r>
      <w:r>
        <w:rPr>
          <w:b/>
        </w:rPr>
        <w:t>E-1</w:t>
      </w:r>
      <w:r w:rsidRPr="00C85476">
        <w:rPr>
          <w:b/>
        </w:rPr>
        <w:t xml:space="preserve"> – </w:t>
      </w:r>
      <w:r>
        <w:rPr>
          <w:b/>
        </w:rPr>
        <w:t>R</w:t>
      </w:r>
      <w:r w:rsidRPr="00C85476">
        <w:rPr>
          <w:b/>
        </w:rPr>
        <w:t>eform options</w:t>
      </w:r>
      <w:r>
        <w:rPr>
          <w:b/>
        </w:rPr>
        <w:t xml:space="preserve"> summary recommendations</w:t>
      </w:r>
    </w:p>
    <w:tbl>
      <w:tblPr>
        <w:tblW w:w="10915" w:type="dxa"/>
        <w:jc w:val="center"/>
        <w:tblBorders>
          <w:top w:val="single" w:sz="8" w:space="0" w:color="00AD68"/>
          <w:bottom w:val="single" w:sz="8" w:space="0" w:color="00AD68"/>
          <w:insideH w:val="single" w:sz="8" w:space="0" w:color="00AD68"/>
        </w:tblBorders>
        <w:tblLayout w:type="fixed"/>
        <w:tblLook w:val="04A0" w:firstRow="1" w:lastRow="0" w:firstColumn="1" w:lastColumn="0" w:noHBand="0" w:noVBand="1"/>
      </w:tblPr>
      <w:tblGrid>
        <w:gridCol w:w="2268"/>
        <w:gridCol w:w="1276"/>
        <w:gridCol w:w="1985"/>
        <w:gridCol w:w="2693"/>
        <w:gridCol w:w="2693"/>
      </w:tblGrid>
      <w:tr w:rsidR="00F97560" w:rsidRPr="00D10334" w14:paraId="04363AD5" w14:textId="77777777" w:rsidTr="00E059F1">
        <w:trPr>
          <w:trHeight w:val="324"/>
          <w:tblHeader/>
          <w:jc w:val="center"/>
        </w:trPr>
        <w:tc>
          <w:tcPr>
            <w:tcW w:w="8222" w:type="dxa"/>
            <w:gridSpan w:val="4"/>
            <w:shd w:val="clear" w:color="auto" w:fill="D9D9D9" w:themeFill="background1" w:themeFillShade="D9"/>
            <w:vAlign w:val="center"/>
            <w:hideMark/>
          </w:tcPr>
          <w:p w14:paraId="68B355FB" w14:textId="77777777" w:rsidR="00DF70DC" w:rsidRDefault="00F97560" w:rsidP="00387027">
            <w:pPr>
              <w:pStyle w:val="TableHeading"/>
              <w:keepNext/>
              <w:rPr>
                <w:sz w:val="22"/>
              </w:rPr>
            </w:pPr>
            <w:r w:rsidRPr="00F1472F">
              <w:rPr>
                <w:sz w:val="22"/>
                <w:szCs w:val="22"/>
              </w:rPr>
              <w:t>Reform option description</w:t>
            </w:r>
          </w:p>
        </w:tc>
        <w:tc>
          <w:tcPr>
            <w:tcW w:w="2693" w:type="dxa"/>
            <w:vMerge w:val="restart"/>
            <w:shd w:val="clear" w:color="auto" w:fill="D9D9D9" w:themeFill="background1" w:themeFillShade="D9"/>
            <w:noWrap/>
            <w:vAlign w:val="center"/>
          </w:tcPr>
          <w:p w14:paraId="42F676BE" w14:textId="77777777" w:rsidR="00DF70DC" w:rsidRDefault="00F97560" w:rsidP="00387027">
            <w:pPr>
              <w:pStyle w:val="TableHeading"/>
              <w:keepNext/>
              <w:rPr>
                <w:sz w:val="22"/>
              </w:rPr>
            </w:pPr>
            <w:r w:rsidRPr="00F97560">
              <w:rPr>
                <w:sz w:val="22"/>
              </w:rPr>
              <w:t>Recommendation for inclusion in</w:t>
            </w:r>
            <w:r w:rsidRPr="00F97560">
              <w:rPr>
                <w:sz w:val="22"/>
              </w:rPr>
              <w:br/>
              <w:t>Cost Benefit Analysis</w:t>
            </w:r>
          </w:p>
        </w:tc>
      </w:tr>
      <w:tr w:rsidR="00F97560" w:rsidRPr="00D10334" w14:paraId="0D6A3260" w14:textId="77777777" w:rsidTr="00DF1232">
        <w:trPr>
          <w:trHeight w:val="828"/>
          <w:tblHeader/>
          <w:jc w:val="center"/>
        </w:trPr>
        <w:tc>
          <w:tcPr>
            <w:tcW w:w="2268" w:type="dxa"/>
            <w:tcBorders>
              <w:bottom w:val="single" w:sz="8" w:space="0" w:color="00AD68"/>
            </w:tcBorders>
            <w:shd w:val="clear" w:color="auto" w:fill="D9D9D9" w:themeFill="background1" w:themeFillShade="D9"/>
            <w:vAlign w:val="center"/>
            <w:hideMark/>
          </w:tcPr>
          <w:p w14:paraId="2F7BAEC2" w14:textId="77777777" w:rsidR="00F97560" w:rsidRPr="00F97560" w:rsidRDefault="00F97560" w:rsidP="00DC2712">
            <w:pPr>
              <w:pStyle w:val="TableHeading"/>
              <w:rPr>
                <w:sz w:val="18"/>
                <w:szCs w:val="22"/>
              </w:rPr>
            </w:pPr>
            <w:r w:rsidRPr="00F97560">
              <w:rPr>
                <w:sz w:val="18"/>
                <w:szCs w:val="22"/>
              </w:rPr>
              <w:t>Title</w:t>
            </w:r>
          </w:p>
        </w:tc>
        <w:tc>
          <w:tcPr>
            <w:tcW w:w="1276" w:type="dxa"/>
            <w:tcBorders>
              <w:bottom w:val="single" w:sz="8" w:space="0" w:color="00AD68"/>
            </w:tcBorders>
            <w:shd w:val="clear" w:color="auto" w:fill="D9D9D9" w:themeFill="background1" w:themeFillShade="D9"/>
            <w:vAlign w:val="center"/>
            <w:hideMark/>
          </w:tcPr>
          <w:p w14:paraId="36EC16DA" w14:textId="77777777" w:rsidR="00F97560" w:rsidRPr="00F97560" w:rsidRDefault="00F97560" w:rsidP="00DC2712">
            <w:pPr>
              <w:pStyle w:val="TableHeading"/>
              <w:rPr>
                <w:sz w:val="18"/>
                <w:szCs w:val="22"/>
              </w:rPr>
            </w:pPr>
            <w:r w:rsidRPr="00F97560">
              <w:rPr>
                <w:sz w:val="18"/>
                <w:szCs w:val="22"/>
              </w:rPr>
              <w:t>Reform option regulatory status</w:t>
            </w:r>
          </w:p>
        </w:tc>
        <w:tc>
          <w:tcPr>
            <w:tcW w:w="1985" w:type="dxa"/>
            <w:tcBorders>
              <w:bottom w:val="single" w:sz="8" w:space="0" w:color="00AD68"/>
            </w:tcBorders>
            <w:shd w:val="clear" w:color="auto" w:fill="D9D9D9" w:themeFill="background1" w:themeFillShade="D9"/>
            <w:vAlign w:val="center"/>
            <w:hideMark/>
          </w:tcPr>
          <w:p w14:paraId="1A3582E3" w14:textId="77777777" w:rsidR="00F97560" w:rsidRPr="00F97560" w:rsidRDefault="00F97560" w:rsidP="00DC2712">
            <w:pPr>
              <w:pStyle w:val="TableHeading"/>
              <w:rPr>
                <w:sz w:val="18"/>
                <w:szCs w:val="22"/>
              </w:rPr>
            </w:pPr>
            <w:r w:rsidRPr="00F97560">
              <w:rPr>
                <w:sz w:val="18"/>
                <w:szCs w:val="22"/>
              </w:rPr>
              <w:t>Reform option purpose</w:t>
            </w:r>
          </w:p>
        </w:tc>
        <w:tc>
          <w:tcPr>
            <w:tcW w:w="2693" w:type="dxa"/>
            <w:tcBorders>
              <w:bottom w:val="single" w:sz="8" w:space="0" w:color="00AD68"/>
            </w:tcBorders>
            <w:shd w:val="clear" w:color="auto" w:fill="D9D9D9" w:themeFill="background1" w:themeFillShade="D9"/>
            <w:vAlign w:val="center"/>
          </w:tcPr>
          <w:p w14:paraId="11EB0234" w14:textId="77777777" w:rsidR="00F97560" w:rsidRPr="00F97560" w:rsidRDefault="00F97560" w:rsidP="00DC2712">
            <w:pPr>
              <w:pStyle w:val="TableHeading"/>
              <w:rPr>
                <w:sz w:val="18"/>
              </w:rPr>
            </w:pPr>
            <w:r w:rsidRPr="00F97560">
              <w:rPr>
                <w:sz w:val="18"/>
              </w:rPr>
              <w:t>Primary international obligation relating to the reform option</w:t>
            </w:r>
          </w:p>
        </w:tc>
        <w:tc>
          <w:tcPr>
            <w:tcW w:w="2693" w:type="dxa"/>
            <w:vMerge/>
            <w:tcBorders>
              <w:bottom w:val="single" w:sz="8" w:space="0" w:color="00AD68"/>
            </w:tcBorders>
            <w:shd w:val="clear" w:color="auto" w:fill="D9D9D9" w:themeFill="background1" w:themeFillShade="D9"/>
            <w:vAlign w:val="center"/>
            <w:hideMark/>
          </w:tcPr>
          <w:p w14:paraId="7FC04028" w14:textId="77777777" w:rsidR="00F97560" w:rsidRPr="000649A5" w:rsidRDefault="00F97560" w:rsidP="00DC2712">
            <w:pPr>
              <w:pStyle w:val="TableHeading"/>
              <w:rPr>
                <w:sz w:val="24"/>
              </w:rPr>
            </w:pPr>
          </w:p>
        </w:tc>
      </w:tr>
      <w:tr w:rsidR="00DC2712" w:rsidRPr="00C85476" w14:paraId="724494EE" w14:textId="77777777" w:rsidTr="00DF1232">
        <w:trPr>
          <w:trHeight w:val="801"/>
          <w:jc w:val="center"/>
        </w:trPr>
        <w:tc>
          <w:tcPr>
            <w:tcW w:w="2268" w:type="dxa"/>
            <w:tcBorders>
              <w:bottom w:val="single" w:sz="4" w:space="0" w:color="00AD68"/>
            </w:tcBorders>
            <w:shd w:val="clear" w:color="auto" w:fill="auto"/>
            <w:vAlign w:val="center"/>
            <w:hideMark/>
          </w:tcPr>
          <w:p w14:paraId="3E1B3975" w14:textId="77777777" w:rsidR="00DC2712" w:rsidRPr="00C85476" w:rsidRDefault="00DC2712" w:rsidP="00DC2712">
            <w:pPr>
              <w:pStyle w:val="TableText"/>
              <w:rPr>
                <w:sz w:val="18"/>
              </w:rPr>
            </w:pPr>
            <w:r w:rsidRPr="00C85476">
              <w:rPr>
                <w:sz w:val="18"/>
              </w:rPr>
              <w:t>a) Power to require provision of information</w:t>
            </w:r>
          </w:p>
        </w:tc>
        <w:tc>
          <w:tcPr>
            <w:tcW w:w="1276" w:type="dxa"/>
            <w:tcBorders>
              <w:bottom w:val="single" w:sz="4" w:space="0" w:color="00AD68"/>
            </w:tcBorders>
            <w:shd w:val="clear" w:color="auto" w:fill="auto"/>
            <w:vAlign w:val="center"/>
            <w:hideMark/>
          </w:tcPr>
          <w:p w14:paraId="35781A44" w14:textId="77777777" w:rsidR="00DC2712" w:rsidRPr="00C85476" w:rsidRDefault="00DC2712" w:rsidP="00DC2712">
            <w:pPr>
              <w:pStyle w:val="TableText"/>
              <w:rPr>
                <w:sz w:val="18"/>
              </w:rPr>
            </w:pPr>
            <w:r>
              <w:rPr>
                <w:sz w:val="18"/>
              </w:rPr>
              <w:t>L</w:t>
            </w:r>
            <w:r w:rsidRPr="00C85476">
              <w:rPr>
                <w:sz w:val="18"/>
              </w:rPr>
              <w:t>egislated</w:t>
            </w:r>
            <w:r>
              <w:rPr>
                <w:sz w:val="18"/>
              </w:rPr>
              <w:t>.</w:t>
            </w:r>
          </w:p>
        </w:tc>
        <w:tc>
          <w:tcPr>
            <w:tcW w:w="1985" w:type="dxa"/>
            <w:tcBorders>
              <w:bottom w:val="single" w:sz="4" w:space="0" w:color="00AD68"/>
            </w:tcBorders>
            <w:shd w:val="clear" w:color="auto" w:fill="auto"/>
            <w:vAlign w:val="center"/>
            <w:hideMark/>
          </w:tcPr>
          <w:p w14:paraId="5B947798" w14:textId="77777777" w:rsidR="00DC2712" w:rsidRPr="00C85476" w:rsidRDefault="00DC2712" w:rsidP="00DC2712">
            <w:pPr>
              <w:pStyle w:val="TableText"/>
              <w:rPr>
                <w:sz w:val="18"/>
              </w:rPr>
            </w:pPr>
            <w:r w:rsidRPr="00C85476">
              <w:rPr>
                <w:sz w:val="18"/>
              </w:rPr>
              <w:t>Correct an information gap or asymmetry.</w:t>
            </w:r>
          </w:p>
        </w:tc>
        <w:tc>
          <w:tcPr>
            <w:tcW w:w="2693" w:type="dxa"/>
            <w:tcBorders>
              <w:bottom w:val="single" w:sz="4" w:space="0" w:color="00AD68"/>
            </w:tcBorders>
            <w:vAlign w:val="center"/>
          </w:tcPr>
          <w:p w14:paraId="69BCFAB4" w14:textId="77777777" w:rsidR="00DC2712" w:rsidRDefault="00DC2712" w:rsidP="00DC2712">
            <w:pPr>
              <w:pStyle w:val="TableText"/>
              <w:rPr>
                <w:sz w:val="18"/>
              </w:rPr>
            </w:pPr>
            <w:r w:rsidRPr="000647FA">
              <w:rPr>
                <w:rFonts w:ascii="Calibri" w:hAnsi="Calibri"/>
                <w:color w:val="000000"/>
                <w:sz w:val="18"/>
                <w:szCs w:val="20"/>
              </w:rPr>
              <w:t>Annual reporting on hazardous waste.</w:t>
            </w:r>
          </w:p>
        </w:tc>
        <w:tc>
          <w:tcPr>
            <w:tcW w:w="2693" w:type="dxa"/>
            <w:tcBorders>
              <w:bottom w:val="single" w:sz="4" w:space="0" w:color="00AD68"/>
            </w:tcBorders>
            <w:shd w:val="clear" w:color="auto" w:fill="92D050"/>
            <w:vAlign w:val="center"/>
            <w:hideMark/>
          </w:tcPr>
          <w:p w14:paraId="11EAA83B" w14:textId="77777777" w:rsidR="00DC2712" w:rsidRPr="00C85476" w:rsidRDefault="00DC2712" w:rsidP="00DC2712">
            <w:pPr>
              <w:pStyle w:val="TableText"/>
              <w:rPr>
                <w:sz w:val="18"/>
              </w:rPr>
            </w:pPr>
            <w:r>
              <w:rPr>
                <w:sz w:val="18"/>
              </w:rPr>
              <w:t>Assess.</w:t>
            </w:r>
          </w:p>
        </w:tc>
      </w:tr>
      <w:tr w:rsidR="003D5922" w:rsidRPr="00C85476" w14:paraId="49BA0B3D" w14:textId="77777777" w:rsidTr="003D5922">
        <w:trPr>
          <w:trHeight w:val="801"/>
          <w:jc w:val="center"/>
        </w:trPr>
        <w:tc>
          <w:tcPr>
            <w:tcW w:w="2268" w:type="dxa"/>
            <w:tcBorders>
              <w:top w:val="single" w:sz="4" w:space="0" w:color="00AD68"/>
              <w:bottom w:val="single" w:sz="4" w:space="0" w:color="00AD68"/>
            </w:tcBorders>
            <w:shd w:val="clear" w:color="auto" w:fill="auto"/>
            <w:vAlign w:val="center"/>
            <w:hideMark/>
          </w:tcPr>
          <w:p w14:paraId="4C1262D3" w14:textId="77777777" w:rsidR="003D5922" w:rsidRPr="00C85476" w:rsidRDefault="003D5922" w:rsidP="003D5922">
            <w:pPr>
              <w:pStyle w:val="TableText"/>
              <w:rPr>
                <w:sz w:val="18"/>
              </w:rPr>
            </w:pPr>
            <w:r>
              <w:rPr>
                <w:sz w:val="18"/>
              </w:rPr>
              <w:t>b) Recognise bans imposed by other countries</w:t>
            </w:r>
          </w:p>
        </w:tc>
        <w:tc>
          <w:tcPr>
            <w:tcW w:w="1276" w:type="dxa"/>
            <w:tcBorders>
              <w:top w:val="single" w:sz="4" w:space="0" w:color="00AD68"/>
              <w:bottom w:val="single" w:sz="4" w:space="0" w:color="00AD68"/>
            </w:tcBorders>
            <w:shd w:val="clear" w:color="auto" w:fill="auto"/>
            <w:vAlign w:val="center"/>
            <w:hideMark/>
          </w:tcPr>
          <w:p w14:paraId="786615EF" w14:textId="40BD4659" w:rsidR="003D5922" w:rsidRPr="00C85476" w:rsidRDefault="003D5922" w:rsidP="003D5922">
            <w:pPr>
              <w:pStyle w:val="TableText"/>
              <w:rPr>
                <w:sz w:val="18"/>
              </w:rPr>
            </w:pPr>
            <w:r>
              <w:rPr>
                <w:sz w:val="18"/>
              </w:rPr>
              <w:t>Legislated</w:t>
            </w:r>
            <w:r w:rsidRPr="0092461C">
              <w:rPr>
                <w:sz w:val="18"/>
              </w:rPr>
              <w:t xml:space="preserve"> or quasi-regulatory</w:t>
            </w:r>
            <w:r>
              <w:rPr>
                <w:sz w:val="18"/>
              </w:rPr>
              <w:t>.</w:t>
            </w:r>
          </w:p>
        </w:tc>
        <w:tc>
          <w:tcPr>
            <w:tcW w:w="1985" w:type="dxa"/>
            <w:tcBorders>
              <w:top w:val="single" w:sz="4" w:space="0" w:color="00AD68"/>
              <w:bottom w:val="single" w:sz="4" w:space="0" w:color="00AD68"/>
            </w:tcBorders>
            <w:shd w:val="clear" w:color="auto" w:fill="auto"/>
            <w:vAlign w:val="center"/>
            <w:hideMark/>
          </w:tcPr>
          <w:p w14:paraId="7F64777E" w14:textId="77777777" w:rsidR="003D5922" w:rsidRPr="00C85476" w:rsidRDefault="003D5922" w:rsidP="003D5922">
            <w:pPr>
              <w:pStyle w:val="TableText"/>
              <w:rPr>
                <w:sz w:val="18"/>
              </w:rPr>
            </w:pPr>
            <w:r w:rsidRPr="00C85476">
              <w:rPr>
                <w:sz w:val="18"/>
              </w:rPr>
              <w:t>Promote the environmentally sound management of hazardous wastes.</w:t>
            </w:r>
          </w:p>
        </w:tc>
        <w:tc>
          <w:tcPr>
            <w:tcW w:w="2693" w:type="dxa"/>
            <w:tcBorders>
              <w:top w:val="single" w:sz="4" w:space="0" w:color="00AD68"/>
              <w:bottom w:val="single" w:sz="4" w:space="0" w:color="00AD68"/>
            </w:tcBorders>
            <w:vAlign w:val="center"/>
          </w:tcPr>
          <w:p w14:paraId="4C491EC6" w14:textId="77777777" w:rsidR="003D5922" w:rsidRDefault="003D5922" w:rsidP="003D5922">
            <w:pPr>
              <w:pStyle w:val="TableText"/>
              <w:rPr>
                <w:sz w:val="18"/>
              </w:rPr>
            </w:pPr>
            <w:r w:rsidRPr="000647FA">
              <w:rPr>
                <w:rFonts w:ascii="Calibri" w:hAnsi="Calibri"/>
                <w:color w:val="000000"/>
                <w:sz w:val="18"/>
                <w:szCs w:val="20"/>
              </w:rPr>
              <w:t>A regulatory system applying to cases where transboundary (i.e. international) movements are permissible.</w:t>
            </w:r>
          </w:p>
        </w:tc>
        <w:tc>
          <w:tcPr>
            <w:tcW w:w="2693" w:type="dxa"/>
            <w:tcBorders>
              <w:top w:val="single" w:sz="4" w:space="0" w:color="00AD68"/>
              <w:bottom w:val="single" w:sz="4" w:space="0" w:color="00AD68"/>
            </w:tcBorders>
            <w:shd w:val="clear" w:color="auto" w:fill="FFFF00"/>
            <w:vAlign w:val="center"/>
            <w:hideMark/>
          </w:tcPr>
          <w:p w14:paraId="32EEAE51" w14:textId="77777777" w:rsidR="003D5922" w:rsidRDefault="003D5922" w:rsidP="003D5922">
            <w:pPr>
              <w:pStyle w:val="TableText"/>
              <w:rPr>
                <w:sz w:val="18"/>
              </w:rPr>
            </w:pPr>
            <w:r>
              <w:rPr>
                <w:sz w:val="18"/>
              </w:rPr>
              <w:t>Do not assess.</w:t>
            </w:r>
          </w:p>
          <w:p w14:paraId="0CC3AC6A" w14:textId="21DE5136" w:rsidR="003D5922" w:rsidRPr="00C85476" w:rsidRDefault="003D5922" w:rsidP="003D5922">
            <w:pPr>
              <w:pStyle w:val="TableText"/>
              <w:rPr>
                <w:sz w:val="18"/>
              </w:rPr>
            </w:pPr>
            <w:r>
              <w:rPr>
                <w:sz w:val="18"/>
              </w:rPr>
              <w:t xml:space="preserve">Consider </w:t>
            </w:r>
            <w:r w:rsidRPr="00C85476">
              <w:rPr>
                <w:sz w:val="18"/>
              </w:rPr>
              <w:t>ou</w:t>
            </w:r>
            <w:r>
              <w:rPr>
                <w:sz w:val="18"/>
              </w:rPr>
              <w:t>tside of a regulatory framework as a quasi</w:t>
            </w:r>
            <w:r w:rsidRPr="00C85476">
              <w:rPr>
                <w:sz w:val="18"/>
              </w:rPr>
              <w:t>-regulatory reform</w:t>
            </w:r>
            <w:r>
              <w:rPr>
                <w:sz w:val="18"/>
              </w:rPr>
              <w:t>.</w:t>
            </w:r>
          </w:p>
        </w:tc>
      </w:tr>
      <w:tr w:rsidR="00DC2712" w:rsidRPr="00C85476" w14:paraId="0F747A23"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014E0DDD" w14:textId="77777777" w:rsidR="00DC2712" w:rsidRPr="00C85476" w:rsidRDefault="00DC2712" w:rsidP="00DC2712">
            <w:pPr>
              <w:pStyle w:val="TableText"/>
              <w:rPr>
                <w:sz w:val="18"/>
              </w:rPr>
            </w:pPr>
            <w:r w:rsidRPr="00C85476">
              <w:rPr>
                <w:sz w:val="18"/>
              </w:rPr>
              <w:t>c) Updating compliance and enforcement provisions</w:t>
            </w:r>
          </w:p>
        </w:tc>
        <w:tc>
          <w:tcPr>
            <w:tcW w:w="1276" w:type="dxa"/>
            <w:tcBorders>
              <w:top w:val="single" w:sz="4" w:space="0" w:color="00AD68"/>
              <w:bottom w:val="single" w:sz="4" w:space="0" w:color="00AD68"/>
            </w:tcBorders>
            <w:shd w:val="clear" w:color="auto" w:fill="auto"/>
            <w:vAlign w:val="center"/>
            <w:hideMark/>
          </w:tcPr>
          <w:p w14:paraId="2A767D93" w14:textId="77777777" w:rsidR="00DC2712" w:rsidRPr="00C85476" w:rsidRDefault="00DC2712" w:rsidP="00DC2712">
            <w:pPr>
              <w:pStyle w:val="TableText"/>
              <w:rPr>
                <w:sz w:val="18"/>
              </w:rPr>
            </w:pPr>
            <w:r>
              <w:rPr>
                <w:sz w:val="18"/>
              </w:rPr>
              <w:t>L</w:t>
            </w:r>
            <w:r w:rsidRPr="00C85476">
              <w:rPr>
                <w:sz w:val="18"/>
              </w:rPr>
              <w:t>egislated</w:t>
            </w:r>
            <w:r>
              <w:rPr>
                <w:sz w:val="18"/>
              </w:rPr>
              <w:t>.</w:t>
            </w:r>
          </w:p>
        </w:tc>
        <w:tc>
          <w:tcPr>
            <w:tcW w:w="1985" w:type="dxa"/>
            <w:tcBorders>
              <w:top w:val="single" w:sz="4" w:space="0" w:color="00AD68"/>
              <w:bottom w:val="single" w:sz="4" w:space="0" w:color="00AD68"/>
            </w:tcBorders>
            <w:shd w:val="clear" w:color="auto" w:fill="auto"/>
            <w:vAlign w:val="center"/>
            <w:hideMark/>
          </w:tcPr>
          <w:p w14:paraId="1EBC4347" w14:textId="77777777" w:rsidR="00DC2712" w:rsidRPr="00C85476" w:rsidRDefault="00DC2712" w:rsidP="00DC2712">
            <w:pPr>
              <w:pStyle w:val="TableText"/>
              <w:rPr>
                <w:sz w:val="18"/>
              </w:rPr>
            </w:pPr>
            <w:r w:rsidRPr="00C85476">
              <w:rPr>
                <w:sz w:val="18"/>
              </w:rPr>
              <w:t>Improve Australian hazardous waste regulation and/or reduced red tape.</w:t>
            </w:r>
          </w:p>
        </w:tc>
        <w:tc>
          <w:tcPr>
            <w:tcW w:w="2693" w:type="dxa"/>
            <w:tcBorders>
              <w:top w:val="single" w:sz="4" w:space="0" w:color="00AD68"/>
              <w:bottom w:val="single" w:sz="4" w:space="0" w:color="00AD68"/>
            </w:tcBorders>
            <w:vAlign w:val="center"/>
          </w:tcPr>
          <w:p w14:paraId="376DB5BA" w14:textId="77777777" w:rsidR="00DC2712" w:rsidRDefault="00DC2712" w:rsidP="00DC2712">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92D050"/>
            <w:vAlign w:val="center"/>
            <w:hideMark/>
          </w:tcPr>
          <w:p w14:paraId="06E161E0" w14:textId="77777777" w:rsidR="00DC2712" w:rsidRPr="00C85476" w:rsidRDefault="00DC2712" w:rsidP="00DC2712">
            <w:pPr>
              <w:pStyle w:val="TableText"/>
              <w:rPr>
                <w:sz w:val="18"/>
              </w:rPr>
            </w:pPr>
            <w:r>
              <w:rPr>
                <w:sz w:val="18"/>
              </w:rPr>
              <w:t>Assess.</w:t>
            </w:r>
          </w:p>
        </w:tc>
      </w:tr>
      <w:tr w:rsidR="00DC2712" w:rsidRPr="00C85476" w14:paraId="3F0E830F"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027E4731" w14:textId="77777777" w:rsidR="00DC2712" w:rsidRPr="00C85476" w:rsidRDefault="00DC2712" w:rsidP="00DC2712">
            <w:pPr>
              <w:pStyle w:val="TableText"/>
              <w:rPr>
                <w:sz w:val="18"/>
              </w:rPr>
            </w:pPr>
            <w:r w:rsidRPr="00C85476">
              <w:rPr>
                <w:sz w:val="18"/>
              </w:rPr>
              <w:t>d) Taking economic efficiency into account</w:t>
            </w:r>
          </w:p>
        </w:tc>
        <w:tc>
          <w:tcPr>
            <w:tcW w:w="1276" w:type="dxa"/>
            <w:tcBorders>
              <w:top w:val="single" w:sz="4" w:space="0" w:color="00AD68"/>
              <w:bottom w:val="single" w:sz="4" w:space="0" w:color="00AD68"/>
            </w:tcBorders>
            <w:shd w:val="clear" w:color="auto" w:fill="auto"/>
            <w:vAlign w:val="center"/>
            <w:hideMark/>
          </w:tcPr>
          <w:p w14:paraId="417DD84D" w14:textId="77777777" w:rsidR="00DC2712" w:rsidRPr="00C85476" w:rsidRDefault="00DC2712" w:rsidP="00DC2712">
            <w:pPr>
              <w:pStyle w:val="TableText"/>
              <w:rPr>
                <w:sz w:val="18"/>
              </w:rPr>
            </w:pPr>
            <w:r>
              <w:rPr>
                <w:sz w:val="18"/>
              </w:rPr>
              <w:t>L</w:t>
            </w:r>
            <w:r w:rsidRPr="00C85476">
              <w:rPr>
                <w:sz w:val="18"/>
              </w:rPr>
              <w:t>egislated</w:t>
            </w:r>
            <w:r>
              <w:rPr>
                <w:sz w:val="18"/>
              </w:rPr>
              <w:t>.</w:t>
            </w:r>
          </w:p>
        </w:tc>
        <w:tc>
          <w:tcPr>
            <w:tcW w:w="1985" w:type="dxa"/>
            <w:tcBorders>
              <w:top w:val="single" w:sz="4" w:space="0" w:color="00AD68"/>
              <w:bottom w:val="single" w:sz="4" w:space="0" w:color="00AD68"/>
            </w:tcBorders>
            <w:shd w:val="clear" w:color="auto" w:fill="auto"/>
            <w:vAlign w:val="center"/>
            <w:hideMark/>
          </w:tcPr>
          <w:p w14:paraId="13DFCFFA" w14:textId="77777777" w:rsidR="00DC2712" w:rsidRPr="00C85476" w:rsidRDefault="00DC2712" w:rsidP="00DC2712">
            <w:pPr>
              <w:pStyle w:val="TableText"/>
              <w:rPr>
                <w:sz w:val="18"/>
              </w:rPr>
            </w:pPr>
            <w:r w:rsidRPr="00C85476">
              <w:rPr>
                <w:sz w:val="18"/>
              </w:rPr>
              <w:t>Address a competition failure by supporting a competitive market or managing a continuing monopoly situation.</w:t>
            </w:r>
          </w:p>
        </w:tc>
        <w:tc>
          <w:tcPr>
            <w:tcW w:w="2693" w:type="dxa"/>
            <w:tcBorders>
              <w:top w:val="single" w:sz="4" w:space="0" w:color="00AD68"/>
              <w:bottom w:val="single" w:sz="4" w:space="0" w:color="00AD68"/>
            </w:tcBorders>
            <w:vAlign w:val="center"/>
          </w:tcPr>
          <w:p w14:paraId="0C3A77AD" w14:textId="77777777" w:rsidR="00DC2712" w:rsidRDefault="00DC2712" w:rsidP="00DC2712">
            <w:pPr>
              <w:pStyle w:val="TableText"/>
              <w:rPr>
                <w:sz w:val="18"/>
              </w:rPr>
            </w:pPr>
            <w:r w:rsidRPr="000647FA">
              <w:rPr>
                <w:rFonts w:ascii="Calibri" w:hAnsi="Calibri"/>
                <w:color w:val="000000"/>
                <w:sz w:val="18"/>
                <w:szCs w:val="20"/>
              </w:rPr>
              <w:t>Restriction of transboundary movements of hazardous wastes, except where it is perceived to be in accordance with the principles of environmentally sound management.</w:t>
            </w:r>
          </w:p>
        </w:tc>
        <w:tc>
          <w:tcPr>
            <w:tcW w:w="2693" w:type="dxa"/>
            <w:tcBorders>
              <w:top w:val="single" w:sz="4" w:space="0" w:color="00AD68"/>
              <w:bottom w:val="single" w:sz="4" w:space="0" w:color="00AD68"/>
            </w:tcBorders>
            <w:shd w:val="clear" w:color="auto" w:fill="92D050"/>
            <w:vAlign w:val="center"/>
            <w:hideMark/>
          </w:tcPr>
          <w:p w14:paraId="3A0DD0C2" w14:textId="77777777" w:rsidR="00DC2712" w:rsidRPr="00C85476" w:rsidRDefault="00DC2712" w:rsidP="00DC2712">
            <w:pPr>
              <w:pStyle w:val="TableText"/>
              <w:rPr>
                <w:sz w:val="18"/>
              </w:rPr>
            </w:pPr>
            <w:r>
              <w:rPr>
                <w:sz w:val="18"/>
              </w:rPr>
              <w:t>Assess.</w:t>
            </w:r>
          </w:p>
        </w:tc>
      </w:tr>
      <w:tr w:rsidR="00DC2712" w:rsidRPr="00C85476" w14:paraId="009F8A10"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2AC6B576" w14:textId="77777777" w:rsidR="00DC2712" w:rsidRPr="00C85476" w:rsidRDefault="00DC2712" w:rsidP="00DC2712">
            <w:pPr>
              <w:pStyle w:val="TableText"/>
              <w:rPr>
                <w:sz w:val="18"/>
              </w:rPr>
            </w:pPr>
            <w:r w:rsidRPr="00C85476">
              <w:rPr>
                <w:sz w:val="18"/>
              </w:rPr>
              <w:t>e) Updating cost recovery arrangements</w:t>
            </w:r>
          </w:p>
        </w:tc>
        <w:tc>
          <w:tcPr>
            <w:tcW w:w="1276" w:type="dxa"/>
            <w:tcBorders>
              <w:top w:val="single" w:sz="4" w:space="0" w:color="00AD68"/>
              <w:bottom w:val="single" w:sz="4" w:space="0" w:color="00AD68"/>
            </w:tcBorders>
            <w:shd w:val="clear" w:color="auto" w:fill="auto"/>
            <w:vAlign w:val="center"/>
            <w:hideMark/>
          </w:tcPr>
          <w:p w14:paraId="242C2FA2" w14:textId="77777777" w:rsidR="00DC2712" w:rsidRPr="00C85476" w:rsidRDefault="00DC2712" w:rsidP="00DC2712">
            <w:pPr>
              <w:pStyle w:val="TableText"/>
              <w:rPr>
                <w:sz w:val="18"/>
              </w:rPr>
            </w:pPr>
            <w:r>
              <w:rPr>
                <w:sz w:val="18"/>
              </w:rPr>
              <w:t>L</w:t>
            </w:r>
            <w:r w:rsidRPr="00C85476">
              <w:rPr>
                <w:sz w:val="18"/>
              </w:rPr>
              <w:t>egislated</w:t>
            </w:r>
            <w:r>
              <w:rPr>
                <w:sz w:val="18"/>
              </w:rPr>
              <w:t>.</w:t>
            </w:r>
          </w:p>
        </w:tc>
        <w:tc>
          <w:tcPr>
            <w:tcW w:w="1985" w:type="dxa"/>
            <w:tcBorders>
              <w:top w:val="single" w:sz="4" w:space="0" w:color="00AD68"/>
              <w:bottom w:val="single" w:sz="4" w:space="0" w:color="00AD68"/>
            </w:tcBorders>
            <w:shd w:val="clear" w:color="auto" w:fill="auto"/>
            <w:vAlign w:val="center"/>
            <w:hideMark/>
          </w:tcPr>
          <w:p w14:paraId="4E2C236E" w14:textId="77777777" w:rsidR="00DC2712" w:rsidRPr="00C85476" w:rsidRDefault="00DC2712" w:rsidP="00DC2712">
            <w:pPr>
              <w:pStyle w:val="TableText"/>
              <w:rPr>
                <w:sz w:val="18"/>
              </w:rPr>
            </w:pPr>
            <w:r w:rsidRPr="00C85476">
              <w:rPr>
                <w:sz w:val="18"/>
              </w:rPr>
              <w:t>Improve Australian hazardous waste regulation and/or reduced red tape.</w:t>
            </w:r>
          </w:p>
        </w:tc>
        <w:tc>
          <w:tcPr>
            <w:tcW w:w="2693" w:type="dxa"/>
            <w:tcBorders>
              <w:top w:val="single" w:sz="4" w:space="0" w:color="00AD68"/>
              <w:bottom w:val="single" w:sz="4" w:space="0" w:color="00AD68"/>
            </w:tcBorders>
            <w:vAlign w:val="center"/>
          </w:tcPr>
          <w:p w14:paraId="0E581B0A" w14:textId="59513D1F" w:rsidR="00DC2712" w:rsidRDefault="00DF70DC" w:rsidP="00DC2712">
            <w:pPr>
              <w:pStyle w:val="TableText"/>
              <w:rPr>
                <w:sz w:val="18"/>
              </w:rPr>
            </w:pPr>
            <w:r>
              <w:rPr>
                <w:rFonts w:ascii="Calibri" w:hAnsi="Calibri"/>
                <w:color w:val="000000"/>
                <w:sz w:val="18"/>
                <w:szCs w:val="20"/>
              </w:rPr>
              <w:t>Reduction of hazardous waste generation.</w:t>
            </w:r>
          </w:p>
        </w:tc>
        <w:tc>
          <w:tcPr>
            <w:tcW w:w="2693" w:type="dxa"/>
            <w:tcBorders>
              <w:top w:val="single" w:sz="4" w:space="0" w:color="00AD68"/>
              <w:bottom w:val="single" w:sz="4" w:space="0" w:color="00AD68"/>
            </w:tcBorders>
            <w:shd w:val="clear" w:color="auto" w:fill="92D050"/>
            <w:vAlign w:val="center"/>
            <w:hideMark/>
          </w:tcPr>
          <w:p w14:paraId="65120D92" w14:textId="77777777" w:rsidR="00DC2712" w:rsidRPr="00C85476" w:rsidRDefault="00DC2712" w:rsidP="00DC2712">
            <w:pPr>
              <w:pStyle w:val="TableText"/>
              <w:rPr>
                <w:sz w:val="18"/>
              </w:rPr>
            </w:pPr>
            <w:r>
              <w:rPr>
                <w:sz w:val="18"/>
              </w:rPr>
              <w:t>Assess.</w:t>
            </w:r>
          </w:p>
        </w:tc>
      </w:tr>
      <w:tr w:rsidR="00DC2712" w:rsidRPr="00C85476" w14:paraId="3175FDD9"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03802A22" w14:textId="77777777" w:rsidR="00DC2712" w:rsidRPr="00C85476" w:rsidRDefault="00DC2712" w:rsidP="00DC2712">
            <w:pPr>
              <w:pStyle w:val="TableText"/>
              <w:rPr>
                <w:sz w:val="18"/>
              </w:rPr>
            </w:pPr>
            <w:r w:rsidRPr="00C85476">
              <w:rPr>
                <w:sz w:val="18"/>
              </w:rPr>
              <w:t>f) Increased transparency on the operations of the Act</w:t>
            </w:r>
          </w:p>
        </w:tc>
        <w:tc>
          <w:tcPr>
            <w:tcW w:w="1276" w:type="dxa"/>
            <w:tcBorders>
              <w:top w:val="single" w:sz="4" w:space="0" w:color="00AD68"/>
              <w:bottom w:val="single" w:sz="4" w:space="0" w:color="00AD68"/>
            </w:tcBorders>
            <w:shd w:val="clear" w:color="auto" w:fill="auto"/>
            <w:vAlign w:val="center"/>
            <w:hideMark/>
          </w:tcPr>
          <w:p w14:paraId="66DD152B" w14:textId="77777777" w:rsidR="00DC2712" w:rsidRPr="00C85476" w:rsidRDefault="00DC2712" w:rsidP="00DC2712">
            <w:pPr>
              <w:pStyle w:val="TableText"/>
              <w:rPr>
                <w:sz w:val="18"/>
              </w:rPr>
            </w:pPr>
            <w:r>
              <w:rPr>
                <w:sz w:val="18"/>
              </w:rPr>
              <w:t>Q</w:t>
            </w:r>
            <w:r w:rsidRPr="00C85476">
              <w:rPr>
                <w:sz w:val="18"/>
              </w:rPr>
              <w:t>uasi-regulatory.</w:t>
            </w:r>
          </w:p>
        </w:tc>
        <w:tc>
          <w:tcPr>
            <w:tcW w:w="1985" w:type="dxa"/>
            <w:tcBorders>
              <w:top w:val="single" w:sz="4" w:space="0" w:color="00AD68"/>
              <w:bottom w:val="single" w:sz="4" w:space="0" w:color="00AD68"/>
            </w:tcBorders>
            <w:shd w:val="clear" w:color="auto" w:fill="auto"/>
            <w:vAlign w:val="center"/>
            <w:hideMark/>
          </w:tcPr>
          <w:p w14:paraId="4A820E83" w14:textId="77777777" w:rsidR="00DC2712" w:rsidRPr="00C85476" w:rsidRDefault="00DC2712" w:rsidP="00DC2712">
            <w:pPr>
              <w:pStyle w:val="TableText"/>
              <w:rPr>
                <w:sz w:val="18"/>
              </w:rPr>
            </w:pPr>
            <w:r w:rsidRPr="00C85476">
              <w:rPr>
                <w:sz w:val="18"/>
              </w:rPr>
              <w:t>Improve Australian hazardous waste regulation and/or reduced red tape.</w:t>
            </w:r>
          </w:p>
        </w:tc>
        <w:tc>
          <w:tcPr>
            <w:tcW w:w="2693" w:type="dxa"/>
            <w:tcBorders>
              <w:top w:val="single" w:sz="4" w:space="0" w:color="00AD68"/>
              <w:bottom w:val="single" w:sz="4" w:space="0" w:color="00AD68"/>
            </w:tcBorders>
            <w:vAlign w:val="center"/>
          </w:tcPr>
          <w:p w14:paraId="7A7383CA" w14:textId="77777777" w:rsidR="00DC2712" w:rsidRDefault="00DC2712" w:rsidP="00DC2712">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FFFF00"/>
            <w:vAlign w:val="center"/>
            <w:hideMark/>
          </w:tcPr>
          <w:p w14:paraId="3C93D22C" w14:textId="77777777" w:rsidR="00DC2712" w:rsidRDefault="00DC2712" w:rsidP="00DC2712">
            <w:pPr>
              <w:pStyle w:val="TableText"/>
              <w:rPr>
                <w:sz w:val="18"/>
              </w:rPr>
            </w:pPr>
            <w:r>
              <w:rPr>
                <w:sz w:val="18"/>
              </w:rPr>
              <w:t>Do not assess.</w:t>
            </w:r>
          </w:p>
          <w:p w14:paraId="0DF2AA25" w14:textId="77777777" w:rsidR="00DC2712" w:rsidRPr="00C85476" w:rsidRDefault="00DC2712" w:rsidP="00DC2712">
            <w:pPr>
              <w:pStyle w:val="TableText"/>
              <w:rPr>
                <w:sz w:val="18"/>
              </w:rPr>
            </w:pPr>
            <w:r>
              <w:rPr>
                <w:sz w:val="18"/>
              </w:rPr>
              <w:t xml:space="preserve">Consider </w:t>
            </w:r>
            <w:r w:rsidRPr="00C85476">
              <w:rPr>
                <w:sz w:val="18"/>
              </w:rPr>
              <w:t>ou</w:t>
            </w:r>
            <w:r>
              <w:rPr>
                <w:sz w:val="18"/>
              </w:rPr>
              <w:t>tside of a regulatory framework as it is a quasi</w:t>
            </w:r>
            <w:r w:rsidRPr="00C85476">
              <w:rPr>
                <w:sz w:val="18"/>
              </w:rPr>
              <w:t>-regulatory reform</w:t>
            </w:r>
            <w:r>
              <w:rPr>
                <w:sz w:val="18"/>
              </w:rPr>
              <w:t>.</w:t>
            </w:r>
          </w:p>
        </w:tc>
      </w:tr>
      <w:tr w:rsidR="00DC2712" w:rsidRPr="00C85476" w14:paraId="68DC48DC"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16982E59" w14:textId="77777777" w:rsidR="00DC2712" w:rsidRPr="00C85476" w:rsidRDefault="00DC2712" w:rsidP="00DC2712">
            <w:pPr>
              <w:pStyle w:val="TableText"/>
              <w:rPr>
                <w:sz w:val="18"/>
              </w:rPr>
            </w:pPr>
            <w:r w:rsidRPr="00C85476">
              <w:rPr>
                <w:sz w:val="18"/>
              </w:rPr>
              <w:t>g) Information on hazardous waste infrastructure</w:t>
            </w:r>
          </w:p>
        </w:tc>
        <w:tc>
          <w:tcPr>
            <w:tcW w:w="1276" w:type="dxa"/>
            <w:tcBorders>
              <w:top w:val="single" w:sz="4" w:space="0" w:color="00AD68"/>
              <w:bottom w:val="single" w:sz="4" w:space="0" w:color="00AD68"/>
            </w:tcBorders>
            <w:shd w:val="clear" w:color="auto" w:fill="auto"/>
            <w:vAlign w:val="center"/>
            <w:hideMark/>
          </w:tcPr>
          <w:p w14:paraId="6736CEDE" w14:textId="77777777" w:rsidR="00DC2712" w:rsidRPr="00C85476" w:rsidRDefault="00DC2712" w:rsidP="00DC2712">
            <w:pPr>
              <w:pStyle w:val="TableText"/>
              <w:rPr>
                <w:sz w:val="18"/>
              </w:rPr>
            </w:pPr>
            <w:r>
              <w:rPr>
                <w:sz w:val="18"/>
              </w:rPr>
              <w:t>Legislated</w:t>
            </w:r>
            <w:r w:rsidRPr="0092461C">
              <w:rPr>
                <w:sz w:val="18"/>
              </w:rPr>
              <w:t xml:space="preserve"> or quasi-regulatory</w:t>
            </w:r>
            <w:r>
              <w:rPr>
                <w:sz w:val="18"/>
              </w:rPr>
              <w:t>.</w:t>
            </w:r>
          </w:p>
        </w:tc>
        <w:tc>
          <w:tcPr>
            <w:tcW w:w="1985" w:type="dxa"/>
            <w:tcBorders>
              <w:top w:val="single" w:sz="4" w:space="0" w:color="00AD68"/>
              <w:bottom w:val="single" w:sz="4" w:space="0" w:color="00AD68"/>
            </w:tcBorders>
            <w:shd w:val="clear" w:color="auto" w:fill="auto"/>
            <w:vAlign w:val="center"/>
            <w:hideMark/>
          </w:tcPr>
          <w:p w14:paraId="3CAAFFE1" w14:textId="77777777" w:rsidR="00DC2712" w:rsidRPr="00C85476" w:rsidRDefault="00DC2712" w:rsidP="00DC2712">
            <w:pPr>
              <w:pStyle w:val="TableText"/>
              <w:rPr>
                <w:sz w:val="18"/>
              </w:rPr>
            </w:pPr>
            <w:r w:rsidRPr="00C85476">
              <w:rPr>
                <w:sz w:val="18"/>
              </w:rPr>
              <w:t>Correct an information gap or asymmetry.</w:t>
            </w:r>
          </w:p>
        </w:tc>
        <w:tc>
          <w:tcPr>
            <w:tcW w:w="2693" w:type="dxa"/>
            <w:tcBorders>
              <w:top w:val="single" w:sz="4" w:space="0" w:color="00AD68"/>
              <w:bottom w:val="single" w:sz="4" w:space="0" w:color="00AD68"/>
            </w:tcBorders>
            <w:vAlign w:val="center"/>
          </w:tcPr>
          <w:p w14:paraId="07271D6E" w14:textId="77777777" w:rsidR="00DC2712" w:rsidRPr="00806CAC" w:rsidRDefault="00DC2712" w:rsidP="00DC2712">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92D050"/>
            <w:vAlign w:val="center"/>
            <w:hideMark/>
          </w:tcPr>
          <w:p w14:paraId="02A0AB67" w14:textId="77777777" w:rsidR="00DC2712" w:rsidRPr="00C85476" w:rsidRDefault="00DC2712" w:rsidP="00DC2712">
            <w:pPr>
              <w:pStyle w:val="TableText"/>
              <w:rPr>
                <w:sz w:val="18"/>
              </w:rPr>
            </w:pPr>
            <w:r w:rsidRPr="00806CAC">
              <w:rPr>
                <w:sz w:val="18"/>
              </w:rPr>
              <w:t>Assess.</w:t>
            </w:r>
          </w:p>
        </w:tc>
      </w:tr>
      <w:tr w:rsidR="00DC2712" w:rsidRPr="00C85476" w14:paraId="232B4E52"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65E413D6" w14:textId="77777777" w:rsidR="00DC2712" w:rsidRPr="00C85476" w:rsidRDefault="00DC2712" w:rsidP="00DC2712">
            <w:pPr>
              <w:pStyle w:val="TableText"/>
              <w:rPr>
                <w:sz w:val="18"/>
              </w:rPr>
            </w:pPr>
            <w:r w:rsidRPr="00C85476">
              <w:rPr>
                <w:sz w:val="18"/>
              </w:rPr>
              <w:t>h) Information on hazardous waste generation and management</w:t>
            </w:r>
          </w:p>
        </w:tc>
        <w:tc>
          <w:tcPr>
            <w:tcW w:w="1276" w:type="dxa"/>
            <w:tcBorders>
              <w:top w:val="single" w:sz="4" w:space="0" w:color="00AD68"/>
              <w:bottom w:val="single" w:sz="4" w:space="0" w:color="00AD68"/>
            </w:tcBorders>
            <w:shd w:val="clear" w:color="auto" w:fill="auto"/>
            <w:vAlign w:val="center"/>
            <w:hideMark/>
          </w:tcPr>
          <w:p w14:paraId="79D9E982" w14:textId="1FBCC91B" w:rsidR="00DC2712" w:rsidRPr="00C85476" w:rsidRDefault="002B3192" w:rsidP="00DC2712">
            <w:pPr>
              <w:pStyle w:val="TableText"/>
              <w:rPr>
                <w:sz w:val="18"/>
              </w:rPr>
            </w:pPr>
            <w:r w:rsidRPr="002B3192">
              <w:rPr>
                <w:sz w:val="18"/>
              </w:rPr>
              <w:t>Legislated, quasi-regulatory or non-regulatory.</w:t>
            </w:r>
          </w:p>
        </w:tc>
        <w:tc>
          <w:tcPr>
            <w:tcW w:w="1985" w:type="dxa"/>
            <w:tcBorders>
              <w:top w:val="single" w:sz="4" w:space="0" w:color="00AD68"/>
              <w:bottom w:val="single" w:sz="4" w:space="0" w:color="00AD68"/>
            </w:tcBorders>
            <w:shd w:val="clear" w:color="auto" w:fill="auto"/>
            <w:vAlign w:val="center"/>
            <w:hideMark/>
          </w:tcPr>
          <w:p w14:paraId="37E0083A" w14:textId="77777777" w:rsidR="00DC2712" w:rsidRPr="00C85476" w:rsidRDefault="00DC2712" w:rsidP="00DC2712">
            <w:pPr>
              <w:pStyle w:val="TableText"/>
              <w:rPr>
                <w:sz w:val="18"/>
              </w:rPr>
            </w:pPr>
            <w:r w:rsidRPr="00C85476">
              <w:rPr>
                <w:sz w:val="18"/>
              </w:rPr>
              <w:t>Correct an information gap or asymmetry.</w:t>
            </w:r>
          </w:p>
        </w:tc>
        <w:tc>
          <w:tcPr>
            <w:tcW w:w="2693" w:type="dxa"/>
            <w:tcBorders>
              <w:top w:val="single" w:sz="4" w:space="0" w:color="00AD68"/>
              <w:bottom w:val="single" w:sz="4" w:space="0" w:color="00AD68"/>
            </w:tcBorders>
            <w:vAlign w:val="center"/>
          </w:tcPr>
          <w:p w14:paraId="28A87768" w14:textId="77777777" w:rsidR="00DC2712" w:rsidRDefault="00DC2712" w:rsidP="00DC2712">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FFFF00"/>
            <w:vAlign w:val="center"/>
            <w:hideMark/>
          </w:tcPr>
          <w:p w14:paraId="61F99E8E" w14:textId="77777777" w:rsidR="00DC2712" w:rsidRDefault="00DC2712" w:rsidP="00DC2712">
            <w:pPr>
              <w:pStyle w:val="TableText"/>
              <w:rPr>
                <w:sz w:val="18"/>
              </w:rPr>
            </w:pPr>
            <w:r>
              <w:rPr>
                <w:sz w:val="18"/>
              </w:rPr>
              <w:t>Do not assess.</w:t>
            </w:r>
          </w:p>
          <w:p w14:paraId="40449C41" w14:textId="77777777" w:rsidR="00DC2712" w:rsidRPr="00C85476" w:rsidRDefault="00DC2712" w:rsidP="00DC2712">
            <w:pPr>
              <w:pStyle w:val="TableText"/>
              <w:rPr>
                <w:sz w:val="18"/>
              </w:rPr>
            </w:pPr>
            <w:r>
              <w:rPr>
                <w:sz w:val="18"/>
              </w:rPr>
              <w:t xml:space="preserve">Consider </w:t>
            </w:r>
            <w:r w:rsidRPr="00C85476">
              <w:rPr>
                <w:sz w:val="18"/>
              </w:rPr>
              <w:t>ou</w:t>
            </w:r>
            <w:r>
              <w:rPr>
                <w:sz w:val="18"/>
              </w:rPr>
              <w:t xml:space="preserve">tside of a regulatory framework as it is a </w:t>
            </w:r>
            <w:r w:rsidRPr="00C85476">
              <w:rPr>
                <w:sz w:val="18"/>
              </w:rPr>
              <w:t>non-regulatory reform</w:t>
            </w:r>
            <w:r>
              <w:rPr>
                <w:sz w:val="18"/>
              </w:rPr>
              <w:t>.</w:t>
            </w:r>
          </w:p>
        </w:tc>
      </w:tr>
      <w:tr w:rsidR="00DC2712" w:rsidRPr="00C85476" w14:paraId="62261EDC"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4F68580F" w14:textId="77777777" w:rsidR="00DC2712" w:rsidRPr="00C85476" w:rsidRDefault="00DC2712" w:rsidP="00DC2712">
            <w:pPr>
              <w:pStyle w:val="TableText"/>
              <w:rPr>
                <w:sz w:val="18"/>
              </w:rPr>
            </w:pPr>
            <w:r w:rsidRPr="00C85476">
              <w:rPr>
                <w:sz w:val="18"/>
              </w:rPr>
              <w:t>i) Power to establish agreements targeting particular wastes</w:t>
            </w:r>
          </w:p>
        </w:tc>
        <w:tc>
          <w:tcPr>
            <w:tcW w:w="1276" w:type="dxa"/>
            <w:tcBorders>
              <w:top w:val="single" w:sz="4" w:space="0" w:color="00AD68"/>
              <w:bottom w:val="single" w:sz="4" w:space="0" w:color="00AD68"/>
            </w:tcBorders>
            <w:shd w:val="clear" w:color="auto" w:fill="auto"/>
            <w:vAlign w:val="center"/>
            <w:hideMark/>
          </w:tcPr>
          <w:p w14:paraId="71072118" w14:textId="77777777" w:rsidR="00DC2712" w:rsidRPr="00C85476" w:rsidRDefault="00DC2712" w:rsidP="00DC2712">
            <w:pPr>
              <w:pStyle w:val="TableText"/>
              <w:rPr>
                <w:sz w:val="18"/>
              </w:rPr>
            </w:pPr>
            <w:r>
              <w:rPr>
                <w:sz w:val="18"/>
              </w:rPr>
              <w:t>C</w:t>
            </w:r>
            <w:r w:rsidRPr="00C85476">
              <w:rPr>
                <w:sz w:val="18"/>
              </w:rPr>
              <w:t>o-regulatory</w:t>
            </w:r>
            <w:r>
              <w:rPr>
                <w:sz w:val="18"/>
              </w:rPr>
              <w:t>.</w:t>
            </w:r>
          </w:p>
        </w:tc>
        <w:tc>
          <w:tcPr>
            <w:tcW w:w="1985" w:type="dxa"/>
            <w:tcBorders>
              <w:top w:val="single" w:sz="4" w:space="0" w:color="00AD68"/>
              <w:bottom w:val="single" w:sz="4" w:space="0" w:color="00AD68"/>
            </w:tcBorders>
            <w:shd w:val="clear" w:color="auto" w:fill="auto"/>
            <w:vAlign w:val="center"/>
            <w:hideMark/>
          </w:tcPr>
          <w:p w14:paraId="398D9A45" w14:textId="77777777" w:rsidR="00DC2712" w:rsidRPr="00C85476" w:rsidRDefault="00DC2712" w:rsidP="00DC2712">
            <w:pPr>
              <w:pStyle w:val="TableText"/>
              <w:rPr>
                <w:sz w:val="18"/>
              </w:rPr>
            </w:pPr>
            <w:r w:rsidRPr="00C85476">
              <w:rPr>
                <w:sz w:val="18"/>
              </w:rPr>
              <w:t>Address the market inability to deliver a public good.</w:t>
            </w:r>
          </w:p>
        </w:tc>
        <w:tc>
          <w:tcPr>
            <w:tcW w:w="2693" w:type="dxa"/>
            <w:tcBorders>
              <w:top w:val="single" w:sz="4" w:space="0" w:color="00AD68"/>
              <w:bottom w:val="single" w:sz="4" w:space="0" w:color="00AD68"/>
            </w:tcBorders>
            <w:vAlign w:val="center"/>
          </w:tcPr>
          <w:p w14:paraId="086408FC" w14:textId="77777777" w:rsidR="00DC2712" w:rsidRDefault="00DC2712" w:rsidP="00DC2712">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92D050"/>
            <w:vAlign w:val="center"/>
            <w:hideMark/>
          </w:tcPr>
          <w:p w14:paraId="00B95CB4" w14:textId="77777777" w:rsidR="00DC2712" w:rsidRPr="00C85476" w:rsidRDefault="00DC2712" w:rsidP="00DC2712">
            <w:pPr>
              <w:pStyle w:val="TableText"/>
              <w:rPr>
                <w:sz w:val="18"/>
              </w:rPr>
            </w:pPr>
            <w:r>
              <w:rPr>
                <w:sz w:val="18"/>
              </w:rPr>
              <w:t>Assess.</w:t>
            </w:r>
          </w:p>
        </w:tc>
      </w:tr>
      <w:tr w:rsidR="00DC2712" w:rsidRPr="00C85476" w14:paraId="498F42D2" w14:textId="77777777" w:rsidTr="00DF1232">
        <w:trPr>
          <w:trHeight w:val="801"/>
          <w:jc w:val="center"/>
        </w:trPr>
        <w:tc>
          <w:tcPr>
            <w:tcW w:w="2268" w:type="dxa"/>
            <w:tcBorders>
              <w:top w:val="single" w:sz="4" w:space="0" w:color="00AD68"/>
            </w:tcBorders>
            <w:shd w:val="clear" w:color="auto" w:fill="auto"/>
            <w:vAlign w:val="center"/>
            <w:hideMark/>
          </w:tcPr>
          <w:p w14:paraId="6B7AC3F9" w14:textId="77777777" w:rsidR="00DC2712" w:rsidRPr="00C85476" w:rsidRDefault="00DC2712" w:rsidP="00DC2712">
            <w:pPr>
              <w:pStyle w:val="TableText"/>
              <w:rPr>
                <w:sz w:val="18"/>
              </w:rPr>
            </w:pPr>
            <w:r w:rsidRPr="00C85476">
              <w:rPr>
                <w:sz w:val="18"/>
              </w:rPr>
              <w:t>j) Nationally consistent arrangement on hazardous waste data collection and reporting</w:t>
            </w:r>
          </w:p>
        </w:tc>
        <w:tc>
          <w:tcPr>
            <w:tcW w:w="1276" w:type="dxa"/>
            <w:tcBorders>
              <w:top w:val="single" w:sz="4" w:space="0" w:color="00AD68"/>
            </w:tcBorders>
            <w:shd w:val="clear" w:color="auto" w:fill="auto"/>
            <w:vAlign w:val="center"/>
            <w:hideMark/>
          </w:tcPr>
          <w:p w14:paraId="5FBD1BE5" w14:textId="77777777" w:rsidR="00DC2712" w:rsidRPr="00C85476" w:rsidRDefault="00DC2712" w:rsidP="00DC2712">
            <w:pPr>
              <w:pStyle w:val="TableText"/>
              <w:rPr>
                <w:sz w:val="18"/>
              </w:rPr>
            </w:pPr>
            <w:r>
              <w:rPr>
                <w:sz w:val="18"/>
              </w:rPr>
              <w:t>Q</w:t>
            </w:r>
            <w:r w:rsidRPr="00C85476">
              <w:rPr>
                <w:sz w:val="18"/>
              </w:rPr>
              <w:t>uasi-regulatory</w:t>
            </w:r>
            <w:r>
              <w:rPr>
                <w:sz w:val="18"/>
              </w:rPr>
              <w:t>.</w:t>
            </w:r>
          </w:p>
        </w:tc>
        <w:tc>
          <w:tcPr>
            <w:tcW w:w="1985" w:type="dxa"/>
            <w:tcBorders>
              <w:top w:val="single" w:sz="4" w:space="0" w:color="00AD68"/>
            </w:tcBorders>
            <w:shd w:val="clear" w:color="auto" w:fill="auto"/>
            <w:vAlign w:val="center"/>
            <w:hideMark/>
          </w:tcPr>
          <w:p w14:paraId="74E40484" w14:textId="77777777" w:rsidR="00DC2712" w:rsidRPr="00C85476" w:rsidRDefault="00DC2712" w:rsidP="00DC2712">
            <w:pPr>
              <w:pStyle w:val="TableText"/>
              <w:rPr>
                <w:sz w:val="18"/>
              </w:rPr>
            </w:pPr>
            <w:r w:rsidRPr="00C85476">
              <w:rPr>
                <w:sz w:val="18"/>
              </w:rPr>
              <w:t>Correct an information gap or asymmetry.</w:t>
            </w:r>
          </w:p>
        </w:tc>
        <w:tc>
          <w:tcPr>
            <w:tcW w:w="2693" w:type="dxa"/>
            <w:tcBorders>
              <w:top w:val="single" w:sz="4" w:space="0" w:color="00AD68"/>
            </w:tcBorders>
            <w:vAlign w:val="center"/>
          </w:tcPr>
          <w:p w14:paraId="6A8E4478" w14:textId="77777777" w:rsidR="00DC2712" w:rsidRDefault="00DC2712" w:rsidP="00DC2712">
            <w:pPr>
              <w:pStyle w:val="TableText"/>
              <w:rPr>
                <w:sz w:val="18"/>
              </w:rPr>
            </w:pPr>
            <w:r w:rsidRPr="000647FA">
              <w:rPr>
                <w:rFonts w:ascii="Calibri" w:hAnsi="Calibri"/>
                <w:color w:val="000000"/>
                <w:sz w:val="18"/>
                <w:szCs w:val="20"/>
              </w:rPr>
              <w:t>Annual reporting on hazardous waste.</w:t>
            </w:r>
          </w:p>
        </w:tc>
        <w:tc>
          <w:tcPr>
            <w:tcW w:w="2693" w:type="dxa"/>
            <w:tcBorders>
              <w:top w:val="single" w:sz="4" w:space="0" w:color="00AD68"/>
            </w:tcBorders>
            <w:shd w:val="clear" w:color="auto" w:fill="FFFF00"/>
            <w:vAlign w:val="center"/>
            <w:hideMark/>
          </w:tcPr>
          <w:p w14:paraId="6EE5ADFF" w14:textId="77777777" w:rsidR="00DC2712" w:rsidRDefault="00DC2712" w:rsidP="00DC2712">
            <w:pPr>
              <w:pStyle w:val="TableText"/>
              <w:rPr>
                <w:sz w:val="18"/>
              </w:rPr>
            </w:pPr>
            <w:r>
              <w:rPr>
                <w:sz w:val="18"/>
              </w:rPr>
              <w:t>Do not assess.</w:t>
            </w:r>
          </w:p>
          <w:p w14:paraId="7C50F9E2" w14:textId="77777777" w:rsidR="00DC2712" w:rsidRPr="00C85476" w:rsidRDefault="00DC2712" w:rsidP="00DC2712">
            <w:pPr>
              <w:pStyle w:val="TableText"/>
              <w:rPr>
                <w:sz w:val="18"/>
              </w:rPr>
            </w:pPr>
            <w:r>
              <w:rPr>
                <w:sz w:val="18"/>
              </w:rPr>
              <w:t xml:space="preserve">Consider </w:t>
            </w:r>
            <w:r w:rsidRPr="00C85476">
              <w:rPr>
                <w:sz w:val="18"/>
              </w:rPr>
              <w:t>ou</w:t>
            </w:r>
            <w:r>
              <w:rPr>
                <w:sz w:val="18"/>
              </w:rPr>
              <w:t>tside of a regulatory framework as it is a quasi</w:t>
            </w:r>
            <w:r w:rsidRPr="00C85476">
              <w:rPr>
                <w:sz w:val="18"/>
              </w:rPr>
              <w:t>-regulatory reform</w:t>
            </w:r>
            <w:r>
              <w:rPr>
                <w:sz w:val="18"/>
              </w:rPr>
              <w:t>.</w:t>
            </w:r>
          </w:p>
        </w:tc>
      </w:tr>
    </w:tbl>
    <w:p w14:paraId="1803458A" w14:textId="77777777" w:rsidR="00F1472F" w:rsidRDefault="00F1472F" w:rsidP="00F1472F"/>
    <w:p w14:paraId="508F6B0A" w14:textId="77777777" w:rsidR="00A902C8" w:rsidRPr="00C85476" w:rsidRDefault="00A902C8" w:rsidP="00387027">
      <w:pPr>
        <w:keepNext/>
        <w:keepLines/>
        <w:spacing w:after="120" w:line="240" w:lineRule="auto"/>
        <w:rPr>
          <w:b/>
        </w:rPr>
      </w:pPr>
      <w:r w:rsidRPr="00C85476">
        <w:rPr>
          <w:b/>
        </w:rPr>
        <w:lastRenderedPageBreak/>
        <w:t xml:space="preserve">Table </w:t>
      </w:r>
      <w:r>
        <w:rPr>
          <w:b/>
        </w:rPr>
        <w:t>E-1</w:t>
      </w:r>
      <w:r w:rsidRPr="00C85476">
        <w:rPr>
          <w:b/>
        </w:rPr>
        <w:t xml:space="preserve"> – </w:t>
      </w:r>
      <w:r>
        <w:rPr>
          <w:b/>
        </w:rPr>
        <w:t>R</w:t>
      </w:r>
      <w:r w:rsidRPr="00C85476">
        <w:rPr>
          <w:b/>
        </w:rPr>
        <w:t>eform options</w:t>
      </w:r>
      <w:r>
        <w:rPr>
          <w:b/>
        </w:rPr>
        <w:t xml:space="preserve"> summary recommendations (continued)</w:t>
      </w:r>
    </w:p>
    <w:tbl>
      <w:tblPr>
        <w:tblW w:w="10915" w:type="dxa"/>
        <w:jc w:val="center"/>
        <w:tblBorders>
          <w:top w:val="single" w:sz="8" w:space="0" w:color="00AD68"/>
          <w:bottom w:val="single" w:sz="8" w:space="0" w:color="00AD68"/>
          <w:insideH w:val="single" w:sz="8" w:space="0" w:color="00AD68"/>
        </w:tblBorders>
        <w:tblLayout w:type="fixed"/>
        <w:tblLook w:val="04A0" w:firstRow="1" w:lastRow="0" w:firstColumn="1" w:lastColumn="0" w:noHBand="0" w:noVBand="1"/>
      </w:tblPr>
      <w:tblGrid>
        <w:gridCol w:w="2268"/>
        <w:gridCol w:w="1276"/>
        <w:gridCol w:w="1985"/>
        <w:gridCol w:w="2693"/>
        <w:gridCol w:w="2693"/>
      </w:tblGrid>
      <w:tr w:rsidR="005A09FC" w:rsidRPr="00D10334" w14:paraId="73FCB42A" w14:textId="77777777" w:rsidTr="00E059F1">
        <w:trPr>
          <w:trHeight w:val="324"/>
          <w:tblHeader/>
          <w:jc w:val="center"/>
        </w:trPr>
        <w:tc>
          <w:tcPr>
            <w:tcW w:w="8222" w:type="dxa"/>
            <w:gridSpan w:val="4"/>
            <w:shd w:val="clear" w:color="auto" w:fill="D9D9D9" w:themeFill="background1" w:themeFillShade="D9"/>
            <w:vAlign w:val="center"/>
            <w:hideMark/>
          </w:tcPr>
          <w:p w14:paraId="290A4968" w14:textId="77777777" w:rsidR="005A09FC" w:rsidRDefault="005A09FC" w:rsidP="00387027">
            <w:pPr>
              <w:pStyle w:val="TableHeading"/>
              <w:keepNext/>
              <w:keepLines/>
              <w:rPr>
                <w:sz w:val="22"/>
              </w:rPr>
            </w:pPr>
            <w:r w:rsidRPr="00F1472F">
              <w:rPr>
                <w:sz w:val="22"/>
                <w:szCs w:val="22"/>
              </w:rPr>
              <w:t>Reform option description</w:t>
            </w:r>
          </w:p>
        </w:tc>
        <w:tc>
          <w:tcPr>
            <w:tcW w:w="2693" w:type="dxa"/>
            <w:vMerge w:val="restart"/>
            <w:shd w:val="clear" w:color="auto" w:fill="D9D9D9" w:themeFill="background1" w:themeFillShade="D9"/>
            <w:noWrap/>
            <w:vAlign w:val="center"/>
          </w:tcPr>
          <w:p w14:paraId="0AAEEE68" w14:textId="77777777" w:rsidR="005A09FC" w:rsidRPr="00F1472F" w:rsidRDefault="005A09FC" w:rsidP="00387027">
            <w:pPr>
              <w:pStyle w:val="TableHeading"/>
              <w:keepNext/>
              <w:keepLines/>
              <w:rPr>
                <w:sz w:val="22"/>
              </w:rPr>
            </w:pPr>
            <w:r w:rsidRPr="00F97560">
              <w:rPr>
                <w:sz w:val="22"/>
              </w:rPr>
              <w:t>Recommendation for inclusion in</w:t>
            </w:r>
            <w:r w:rsidRPr="00F97560">
              <w:rPr>
                <w:sz w:val="22"/>
              </w:rPr>
              <w:br/>
              <w:t>Cost Benefit Analysis</w:t>
            </w:r>
          </w:p>
        </w:tc>
      </w:tr>
      <w:tr w:rsidR="005A09FC" w:rsidRPr="00D10334" w14:paraId="3573ED92" w14:textId="77777777" w:rsidTr="00DF1232">
        <w:trPr>
          <w:trHeight w:val="828"/>
          <w:tblHeader/>
          <w:jc w:val="center"/>
        </w:trPr>
        <w:tc>
          <w:tcPr>
            <w:tcW w:w="2268" w:type="dxa"/>
            <w:tcBorders>
              <w:bottom w:val="single" w:sz="8" w:space="0" w:color="00AD68"/>
            </w:tcBorders>
            <w:shd w:val="clear" w:color="auto" w:fill="D9D9D9" w:themeFill="background1" w:themeFillShade="D9"/>
            <w:vAlign w:val="center"/>
            <w:hideMark/>
          </w:tcPr>
          <w:p w14:paraId="4098ABCA" w14:textId="77777777" w:rsidR="005A09FC" w:rsidRPr="00F97560" w:rsidRDefault="005A09FC" w:rsidP="00387027">
            <w:pPr>
              <w:pStyle w:val="TableHeading"/>
              <w:keepNext/>
              <w:keepLines/>
              <w:rPr>
                <w:sz w:val="18"/>
                <w:szCs w:val="22"/>
              </w:rPr>
            </w:pPr>
            <w:r w:rsidRPr="00F97560">
              <w:rPr>
                <w:sz w:val="18"/>
                <w:szCs w:val="22"/>
              </w:rPr>
              <w:t>Title</w:t>
            </w:r>
          </w:p>
        </w:tc>
        <w:tc>
          <w:tcPr>
            <w:tcW w:w="1276" w:type="dxa"/>
            <w:tcBorders>
              <w:bottom w:val="single" w:sz="8" w:space="0" w:color="00AD68"/>
            </w:tcBorders>
            <w:shd w:val="clear" w:color="auto" w:fill="D9D9D9" w:themeFill="background1" w:themeFillShade="D9"/>
            <w:vAlign w:val="center"/>
            <w:hideMark/>
          </w:tcPr>
          <w:p w14:paraId="3C033A07" w14:textId="77777777" w:rsidR="005A09FC" w:rsidRPr="00F97560" w:rsidRDefault="005A09FC" w:rsidP="00387027">
            <w:pPr>
              <w:pStyle w:val="TableHeading"/>
              <w:keepNext/>
              <w:keepLines/>
              <w:rPr>
                <w:sz w:val="18"/>
                <w:szCs w:val="22"/>
              </w:rPr>
            </w:pPr>
            <w:r w:rsidRPr="00F97560">
              <w:rPr>
                <w:sz w:val="18"/>
                <w:szCs w:val="22"/>
              </w:rPr>
              <w:t>Reform option regulatory status</w:t>
            </w:r>
          </w:p>
        </w:tc>
        <w:tc>
          <w:tcPr>
            <w:tcW w:w="1985" w:type="dxa"/>
            <w:tcBorders>
              <w:bottom w:val="single" w:sz="8" w:space="0" w:color="00AD68"/>
            </w:tcBorders>
            <w:shd w:val="clear" w:color="auto" w:fill="D9D9D9" w:themeFill="background1" w:themeFillShade="D9"/>
            <w:vAlign w:val="center"/>
            <w:hideMark/>
          </w:tcPr>
          <w:p w14:paraId="62D5E99F" w14:textId="77777777" w:rsidR="005A09FC" w:rsidRPr="00F97560" w:rsidRDefault="005A09FC" w:rsidP="00387027">
            <w:pPr>
              <w:pStyle w:val="TableHeading"/>
              <w:keepNext/>
              <w:keepLines/>
              <w:rPr>
                <w:sz w:val="18"/>
                <w:szCs w:val="22"/>
              </w:rPr>
            </w:pPr>
            <w:r w:rsidRPr="00F97560">
              <w:rPr>
                <w:sz w:val="18"/>
                <w:szCs w:val="22"/>
              </w:rPr>
              <w:t>Reform option purpose</w:t>
            </w:r>
          </w:p>
        </w:tc>
        <w:tc>
          <w:tcPr>
            <w:tcW w:w="2693" w:type="dxa"/>
            <w:tcBorders>
              <w:bottom w:val="single" w:sz="8" w:space="0" w:color="00AD68"/>
            </w:tcBorders>
            <w:shd w:val="clear" w:color="auto" w:fill="D9D9D9" w:themeFill="background1" w:themeFillShade="D9"/>
            <w:vAlign w:val="center"/>
          </w:tcPr>
          <w:p w14:paraId="437052C0" w14:textId="77777777" w:rsidR="005A09FC" w:rsidRPr="00F97560" w:rsidRDefault="005A09FC" w:rsidP="00387027">
            <w:pPr>
              <w:pStyle w:val="TableHeading"/>
              <w:keepNext/>
              <w:keepLines/>
              <w:rPr>
                <w:sz w:val="18"/>
              </w:rPr>
            </w:pPr>
            <w:r w:rsidRPr="00F97560">
              <w:rPr>
                <w:sz w:val="18"/>
              </w:rPr>
              <w:t>Primary international obligation relating to the reform option</w:t>
            </w:r>
          </w:p>
        </w:tc>
        <w:tc>
          <w:tcPr>
            <w:tcW w:w="2693" w:type="dxa"/>
            <w:vMerge/>
            <w:tcBorders>
              <w:bottom w:val="single" w:sz="8" w:space="0" w:color="00AD68"/>
            </w:tcBorders>
            <w:shd w:val="clear" w:color="auto" w:fill="D9D9D9" w:themeFill="background1" w:themeFillShade="D9"/>
            <w:vAlign w:val="center"/>
            <w:hideMark/>
          </w:tcPr>
          <w:p w14:paraId="47236F5C" w14:textId="77777777" w:rsidR="005A09FC" w:rsidRPr="000649A5" w:rsidRDefault="005A09FC" w:rsidP="00387027">
            <w:pPr>
              <w:pStyle w:val="TableHeading"/>
              <w:keepNext/>
              <w:keepLines/>
              <w:rPr>
                <w:sz w:val="24"/>
              </w:rPr>
            </w:pPr>
          </w:p>
        </w:tc>
      </w:tr>
      <w:tr w:rsidR="005A09FC" w:rsidRPr="00C85476" w14:paraId="2BA472E0" w14:textId="77777777" w:rsidTr="00DF1232">
        <w:trPr>
          <w:trHeight w:val="801"/>
          <w:jc w:val="center"/>
        </w:trPr>
        <w:tc>
          <w:tcPr>
            <w:tcW w:w="2268" w:type="dxa"/>
            <w:tcBorders>
              <w:bottom w:val="single" w:sz="4" w:space="0" w:color="00AD68"/>
            </w:tcBorders>
            <w:shd w:val="clear" w:color="auto" w:fill="auto"/>
            <w:vAlign w:val="center"/>
            <w:hideMark/>
          </w:tcPr>
          <w:p w14:paraId="3B6DC904" w14:textId="77777777" w:rsidR="005A09FC" w:rsidRPr="00C85476" w:rsidRDefault="005A09FC" w:rsidP="00E059F1">
            <w:pPr>
              <w:pStyle w:val="TableText"/>
              <w:rPr>
                <w:sz w:val="18"/>
              </w:rPr>
            </w:pPr>
            <w:r w:rsidRPr="00C85476">
              <w:rPr>
                <w:sz w:val="18"/>
              </w:rPr>
              <w:t>k) Powers to establish and maintain hazardous waste facilities</w:t>
            </w:r>
          </w:p>
        </w:tc>
        <w:tc>
          <w:tcPr>
            <w:tcW w:w="1276" w:type="dxa"/>
            <w:tcBorders>
              <w:bottom w:val="single" w:sz="4" w:space="0" w:color="00AD68"/>
            </w:tcBorders>
            <w:shd w:val="clear" w:color="auto" w:fill="auto"/>
            <w:vAlign w:val="center"/>
            <w:hideMark/>
          </w:tcPr>
          <w:p w14:paraId="7DC56329" w14:textId="77777777" w:rsidR="005A09FC" w:rsidRPr="00C85476" w:rsidRDefault="005A09FC" w:rsidP="00E059F1">
            <w:pPr>
              <w:pStyle w:val="TableText"/>
              <w:rPr>
                <w:sz w:val="18"/>
              </w:rPr>
            </w:pPr>
            <w:r>
              <w:rPr>
                <w:sz w:val="18"/>
              </w:rPr>
              <w:t>L</w:t>
            </w:r>
            <w:r w:rsidRPr="00C85476">
              <w:rPr>
                <w:sz w:val="18"/>
              </w:rPr>
              <w:t>egislated</w:t>
            </w:r>
            <w:r>
              <w:rPr>
                <w:sz w:val="18"/>
              </w:rPr>
              <w:t>.</w:t>
            </w:r>
          </w:p>
        </w:tc>
        <w:tc>
          <w:tcPr>
            <w:tcW w:w="1985" w:type="dxa"/>
            <w:tcBorders>
              <w:bottom w:val="single" w:sz="4" w:space="0" w:color="00AD68"/>
            </w:tcBorders>
            <w:shd w:val="clear" w:color="auto" w:fill="auto"/>
            <w:vAlign w:val="center"/>
            <w:hideMark/>
          </w:tcPr>
          <w:p w14:paraId="187A0B64" w14:textId="77777777" w:rsidR="005A09FC" w:rsidRPr="00C85476" w:rsidRDefault="005A09FC" w:rsidP="00E059F1">
            <w:pPr>
              <w:pStyle w:val="TableText"/>
              <w:rPr>
                <w:sz w:val="18"/>
              </w:rPr>
            </w:pPr>
            <w:r w:rsidRPr="00C85476">
              <w:rPr>
                <w:sz w:val="18"/>
              </w:rPr>
              <w:t>Address the market inability to deliver a public good.</w:t>
            </w:r>
          </w:p>
        </w:tc>
        <w:tc>
          <w:tcPr>
            <w:tcW w:w="2693" w:type="dxa"/>
            <w:tcBorders>
              <w:bottom w:val="single" w:sz="4" w:space="0" w:color="00AD68"/>
            </w:tcBorders>
            <w:vAlign w:val="center"/>
          </w:tcPr>
          <w:p w14:paraId="1D13B999" w14:textId="77777777" w:rsidR="005A09FC" w:rsidRDefault="005A09FC" w:rsidP="00E059F1">
            <w:pPr>
              <w:pStyle w:val="TableText"/>
              <w:rPr>
                <w:sz w:val="18"/>
              </w:rPr>
            </w:pPr>
            <w:r w:rsidRPr="000647FA">
              <w:rPr>
                <w:rFonts w:ascii="Calibri" w:hAnsi="Calibri"/>
                <w:color w:val="000000"/>
                <w:sz w:val="18"/>
                <w:szCs w:val="20"/>
              </w:rPr>
              <w:t>Restriction of transboundary movements of hazardous wastes, except where it is perceived to be in accordance with the principles of environmentally sound management.</w:t>
            </w:r>
          </w:p>
        </w:tc>
        <w:tc>
          <w:tcPr>
            <w:tcW w:w="2693" w:type="dxa"/>
            <w:tcBorders>
              <w:bottom w:val="single" w:sz="4" w:space="0" w:color="00AD68"/>
            </w:tcBorders>
            <w:shd w:val="clear" w:color="auto" w:fill="92D050"/>
            <w:vAlign w:val="center"/>
            <w:hideMark/>
          </w:tcPr>
          <w:p w14:paraId="18C3D3E3" w14:textId="77777777" w:rsidR="005A09FC" w:rsidRPr="00C85476" w:rsidRDefault="005A09FC" w:rsidP="00E059F1">
            <w:pPr>
              <w:pStyle w:val="TableText"/>
              <w:rPr>
                <w:sz w:val="18"/>
              </w:rPr>
            </w:pPr>
            <w:r>
              <w:rPr>
                <w:sz w:val="18"/>
              </w:rPr>
              <w:t>Assess.</w:t>
            </w:r>
          </w:p>
        </w:tc>
      </w:tr>
      <w:tr w:rsidR="005A09FC" w:rsidRPr="00C85476" w14:paraId="3EC8C6DE" w14:textId="77777777" w:rsidTr="00DF1232">
        <w:trPr>
          <w:trHeight w:val="801"/>
          <w:jc w:val="center"/>
        </w:trPr>
        <w:tc>
          <w:tcPr>
            <w:tcW w:w="2268" w:type="dxa"/>
            <w:tcBorders>
              <w:top w:val="single" w:sz="4" w:space="0" w:color="00AD68"/>
              <w:bottom w:val="single" w:sz="4" w:space="0" w:color="00AD68"/>
            </w:tcBorders>
            <w:shd w:val="clear" w:color="auto" w:fill="auto"/>
            <w:vAlign w:val="center"/>
            <w:hideMark/>
          </w:tcPr>
          <w:p w14:paraId="5ED7B2D2" w14:textId="77777777" w:rsidR="005A09FC" w:rsidRPr="00C85476" w:rsidRDefault="005A09FC" w:rsidP="00E059F1">
            <w:pPr>
              <w:pStyle w:val="TableText"/>
              <w:rPr>
                <w:sz w:val="18"/>
              </w:rPr>
            </w:pPr>
            <w:r w:rsidRPr="00C85476">
              <w:rPr>
                <w:sz w:val="18"/>
              </w:rPr>
              <w:t>l) Nationally consistent system for tracking hazardous waste movements</w:t>
            </w:r>
          </w:p>
        </w:tc>
        <w:tc>
          <w:tcPr>
            <w:tcW w:w="1276" w:type="dxa"/>
            <w:tcBorders>
              <w:top w:val="single" w:sz="4" w:space="0" w:color="00AD68"/>
              <w:bottom w:val="single" w:sz="4" w:space="0" w:color="00AD68"/>
            </w:tcBorders>
            <w:shd w:val="clear" w:color="auto" w:fill="auto"/>
            <w:vAlign w:val="center"/>
            <w:hideMark/>
          </w:tcPr>
          <w:p w14:paraId="13F40C04" w14:textId="77777777" w:rsidR="005A09FC" w:rsidRPr="00C85476" w:rsidRDefault="005A09FC" w:rsidP="00E059F1">
            <w:pPr>
              <w:pStyle w:val="TableText"/>
              <w:rPr>
                <w:sz w:val="18"/>
              </w:rPr>
            </w:pPr>
            <w:r>
              <w:rPr>
                <w:sz w:val="18"/>
              </w:rPr>
              <w:t>Legislated</w:t>
            </w:r>
            <w:r w:rsidRPr="0092461C">
              <w:rPr>
                <w:sz w:val="18"/>
              </w:rPr>
              <w:t xml:space="preserve"> or quasi-regulatory</w:t>
            </w:r>
            <w:r>
              <w:rPr>
                <w:sz w:val="18"/>
              </w:rPr>
              <w:t>.</w:t>
            </w:r>
          </w:p>
        </w:tc>
        <w:tc>
          <w:tcPr>
            <w:tcW w:w="1985" w:type="dxa"/>
            <w:tcBorders>
              <w:top w:val="single" w:sz="4" w:space="0" w:color="00AD68"/>
              <w:bottom w:val="single" w:sz="4" w:space="0" w:color="00AD68"/>
            </w:tcBorders>
            <w:shd w:val="clear" w:color="auto" w:fill="auto"/>
            <w:vAlign w:val="center"/>
            <w:hideMark/>
          </w:tcPr>
          <w:p w14:paraId="147DB43F" w14:textId="77777777" w:rsidR="005A09FC" w:rsidRPr="00C85476" w:rsidRDefault="005A09FC" w:rsidP="00E059F1">
            <w:pPr>
              <w:pStyle w:val="TableText"/>
              <w:rPr>
                <w:sz w:val="18"/>
              </w:rPr>
            </w:pPr>
            <w:r w:rsidRPr="00C85476">
              <w:rPr>
                <w:sz w:val="18"/>
              </w:rPr>
              <w:t>Correct an information gap or asymmetry.</w:t>
            </w:r>
          </w:p>
        </w:tc>
        <w:tc>
          <w:tcPr>
            <w:tcW w:w="2693" w:type="dxa"/>
            <w:tcBorders>
              <w:top w:val="single" w:sz="4" w:space="0" w:color="00AD68"/>
              <w:bottom w:val="single" w:sz="4" w:space="0" w:color="00AD68"/>
            </w:tcBorders>
            <w:vAlign w:val="center"/>
          </w:tcPr>
          <w:p w14:paraId="3578909B" w14:textId="77777777" w:rsidR="005A09FC" w:rsidRDefault="005A09FC" w:rsidP="00E059F1">
            <w:pPr>
              <w:pStyle w:val="TableText"/>
              <w:rPr>
                <w:sz w:val="18"/>
              </w:rPr>
            </w:pPr>
            <w:r w:rsidRPr="000647FA">
              <w:rPr>
                <w:rFonts w:ascii="Calibri" w:hAnsi="Calibri"/>
                <w:color w:val="000000"/>
                <w:sz w:val="18"/>
                <w:szCs w:val="20"/>
              </w:rPr>
              <w:t>Annual reporting on hazardous waste.</w:t>
            </w:r>
          </w:p>
        </w:tc>
        <w:tc>
          <w:tcPr>
            <w:tcW w:w="2693" w:type="dxa"/>
            <w:tcBorders>
              <w:top w:val="single" w:sz="4" w:space="0" w:color="00AD68"/>
              <w:bottom w:val="single" w:sz="4" w:space="0" w:color="00AD68"/>
            </w:tcBorders>
            <w:shd w:val="clear" w:color="auto" w:fill="92D050"/>
            <w:vAlign w:val="center"/>
            <w:hideMark/>
          </w:tcPr>
          <w:p w14:paraId="6D505B3B" w14:textId="77777777" w:rsidR="005A09FC" w:rsidRPr="00C85476" w:rsidRDefault="005A09FC" w:rsidP="00E059F1">
            <w:pPr>
              <w:pStyle w:val="TableText"/>
              <w:rPr>
                <w:sz w:val="18"/>
              </w:rPr>
            </w:pPr>
            <w:r>
              <w:rPr>
                <w:sz w:val="18"/>
              </w:rPr>
              <w:t>Assess.</w:t>
            </w:r>
          </w:p>
        </w:tc>
      </w:tr>
      <w:tr w:rsidR="005A09FC" w:rsidRPr="00C85476" w14:paraId="2D8CFF95" w14:textId="77777777" w:rsidTr="00DF1232">
        <w:trPr>
          <w:trHeight w:val="801"/>
          <w:jc w:val="center"/>
        </w:trPr>
        <w:tc>
          <w:tcPr>
            <w:tcW w:w="2268" w:type="dxa"/>
            <w:tcBorders>
              <w:top w:val="single" w:sz="4" w:space="0" w:color="00AD68"/>
              <w:bottom w:val="single" w:sz="4" w:space="0" w:color="00AD68"/>
            </w:tcBorders>
            <w:shd w:val="clear" w:color="auto" w:fill="auto"/>
            <w:vAlign w:val="center"/>
          </w:tcPr>
          <w:p w14:paraId="378203CC" w14:textId="77777777" w:rsidR="005A09FC" w:rsidRPr="00C85476" w:rsidRDefault="005A09FC" w:rsidP="00E059F1">
            <w:pPr>
              <w:pStyle w:val="TableText"/>
              <w:rPr>
                <w:sz w:val="18"/>
              </w:rPr>
            </w:pPr>
            <w:r w:rsidRPr="00DC2712">
              <w:rPr>
                <w:sz w:val="18"/>
              </w:rPr>
              <w:t>m) Harmonisation of regulatory arrangements</w:t>
            </w:r>
          </w:p>
        </w:tc>
        <w:tc>
          <w:tcPr>
            <w:tcW w:w="1276" w:type="dxa"/>
            <w:tcBorders>
              <w:top w:val="single" w:sz="4" w:space="0" w:color="00AD68"/>
              <w:bottom w:val="single" w:sz="4" w:space="0" w:color="00AD68"/>
            </w:tcBorders>
            <w:shd w:val="clear" w:color="auto" w:fill="auto"/>
            <w:vAlign w:val="center"/>
          </w:tcPr>
          <w:p w14:paraId="11D87816" w14:textId="77777777" w:rsidR="005A09FC" w:rsidRDefault="005A09FC" w:rsidP="00E059F1">
            <w:pPr>
              <w:pStyle w:val="TableText"/>
              <w:rPr>
                <w:sz w:val="18"/>
              </w:rPr>
            </w:pPr>
            <w:r w:rsidRPr="00DC2712">
              <w:rPr>
                <w:sz w:val="18"/>
              </w:rPr>
              <w:t>Legislated or quasi-regulatory.</w:t>
            </w:r>
          </w:p>
        </w:tc>
        <w:tc>
          <w:tcPr>
            <w:tcW w:w="1985" w:type="dxa"/>
            <w:tcBorders>
              <w:top w:val="single" w:sz="4" w:space="0" w:color="00AD68"/>
              <w:bottom w:val="single" w:sz="4" w:space="0" w:color="00AD68"/>
            </w:tcBorders>
            <w:shd w:val="clear" w:color="auto" w:fill="auto"/>
            <w:vAlign w:val="center"/>
          </w:tcPr>
          <w:p w14:paraId="3883A8B4" w14:textId="77777777" w:rsidR="005A09FC" w:rsidRPr="00C85476" w:rsidRDefault="005A09FC" w:rsidP="00E059F1">
            <w:pPr>
              <w:pStyle w:val="TableText"/>
              <w:rPr>
                <w:sz w:val="18"/>
              </w:rPr>
            </w:pPr>
            <w:r w:rsidRPr="00DC2712">
              <w:rPr>
                <w:sz w:val="18"/>
              </w:rPr>
              <w:t>Harmonisation with other policy areas and creating a seamless national economy.</w:t>
            </w:r>
          </w:p>
        </w:tc>
        <w:tc>
          <w:tcPr>
            <w:tcW w:w="2693" w:type="dxa"/>
            <w:tcBorders>
              <w:top w:val="single" w:sz="4" w:space="0" w:color="00AD68"/>
              <w:bottom w:val="single" w:sz="4" w:space="0" w:color="00AD68"/>
            </w:tcBorders>
            <w:vAlign w:val="center"/>
          </w:tcPr>
          <w:p w14:paraId="2DEBCA86" w14:textId="69235C62" w:rsidR="005A09FC" w:rsidRDefault="00DF70DC" w:rsidP="00E059F1">
            <w:pPr>
              <w:pStyle w:val="TableText"/>
              <w:rPr>
                <w:sz w:val="18"/>
              </w:rPr>
            </w:pPr>
            <w:r w:rsidRPr="00B31BF4">
              <w:rPr>
                <w:sz w:val="18"/>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92D050"/>
            <w:vAlign w:val="center"/>
          </w:tcPr>
          <w:p w14:paraId="49C534F2" w14:textId="77777777" w:rsidR="005A09FC" w:rsidRDefault="005A09FC" w:rsidP="00E059F1">
            <w:pPr>
              <w:pStyle w:val="TableText"/>
              <w:rPr>
                <w:sz w:val="18"/>
              </w:rPr>
            </w:pPr>
            <w:r w:rsidRPr="00B31BF4">
              <w:rPr>
                <w:sz w:val="18"/>
              </w:rPr>
              <w:t>Asses</w:t>
            </w:r>
            <w:r w:rsidR="00FA2A3D">
              <w:rPr>
                <w:sz w:val="18"/>
              </w:rPr>
              <w:t>s</w:t>
            </w:r>
          </w:p>
        </w:tc>
      </w:tr>
      <w:tr w:rsidR="005A09FC" w:rsidRPr="00C85476" w14:paraId="73F0569D" w14:textId="77777777" w:rsidTr="00DF1232">
        <w:trPr>
          <w:trHeight w:val="801"/>
          <w:jc w:val="center"/>
        </w:trPr>
        <w:tc>
          <w:tcPr>
            <w:tcW w:w="2268" w:type="dxa"/>
            <w:tcBorders>
              <w:top w:val="single" w:sz="4" w:space="0" w:color="00AD68"/>
              <w:bottom w:val="single" w:sz="4" w:space="0" w:color="00AD68"/>
            </w:tcBorders>
            <w:shd w:val="clear" w:color="auto" w:fill="auto"/>
            <w:vAlign w:val="center"/>
          </w:tcPr>
          <w:p w14:paraId="1535BE8A" w14:textId="77777777" w:rsidR="005A09FC" w:rsidRDefault="005A09FC" w:rsidP="00E059F1">
            <w:pPr>
              <w:pStyle w:val="TableText"/>
              <w:rPr>
                <w:sz w:val="18"/>
              </w:rPr>
            </w:pPr>
            <w:r w:rsidRPr="00DC2712">
              <w:rPr>
                <w:sz w:val="18"/>
              </w:rPr>
              <w:t>n) Developing guidelines on specific hazardous waste issues</w:t>
            </w:r>
          </w:p>
        </w:tc>
        <w:tc>
          <w:tcPr>
            <w:tcW w:w="1276" w:type="dxa"/>
            <w:tcBorders>
              <w:top w:val="single" w:sz="4" w:space="0" w:color="00AD68"/>
              <w:bottom w:val="single" w:sz="4" w:space="0" w:color="00AD68"/>
            </w:tcBorders>
            <w:shd w:val="clear" w:color="auto" w:fill="auto"/>
            <w:vAlign w:val="center"/>
          </w:tcPr>
          <w:p w14:paraId="49DB6B94" w14:textId="77777777" w:rsidR="005A09FC" w:rsidRDefault="005A09FC" w:rsidP="00E059F1">
            <w:pPr>
              <w:pStyle w:val="TableText"/>
              <w:rPr>
                <w:sz w:val="18"/>
              </w:rPr>
            </w:pPr>
            <w:r w:rsidRPr="00DC2712">
              <w:rPr>
                <w:sz w:val="18"/>
              </w:rPr>
              <w:t>Non-regulatory.</w:t>
            </w:r>
          </w:p>
        </w:tc>
        <w:tc>
          <w:tcPr>
            <w:tcW w:w="1985" w:type="dxa"/>
            <w:tcBorders>
              <w:top w:val="single" w:sz="4" w:space="0" w:color="00AD68"/>
              <w:bottom w:val="single" w:sz="4" w:space="0" w:color="00AD68"/>
            </w:tcBorders>
            <w:shd w:val="clear" w:color="auto" w:fill="auto"/>
            <w:vAlign w:val="center"/>
          </w:tcPr>
          <w:p w14:paraId="01BAF67E" w14:textId="77777777" w:rsidR="005A09FC" w:rsidRPr="00C85476" w:rsidRDefault="005A09FC" w:rsidP="00E059F1">
            <w:pPr>
              <w:pStyle w:val="TableText"/>
              <w:rPr>
                <w:sz w:val="18"/>
              </w:rPr>
            </w:pPr>
            <w:r w:rsidRPr="00DC2712">
              <w:rPr>
                <w:sz w:val="18"/>
              </w:rPr>
              <w:t>Promote the environmentally sound management of hazardous wastes.</w:t>
            </w:r>
          </w:p>
        </w:tc>
        <w:tc>
          <w:tcPr>
            <w:tcW w:w="2693" w:type="dxa"/>
            <w:tcBorders>
              <w:top w:val="single" w:sz="4" w:space="0" w:color="00AD68"/>
              <w:bottom w:val="single" w:sz="4" w:space="0" w:color="00AD68"/>
            </w:tcBorders>
            <w:vAlign w:val="center"/>
          </w:tcPr>
          <w:p w14:paraId="7C8EFE8F" w14:textId="77777777" w:rsidR="005A09FC" w:rsidRDefault="005A09FC" w:rsidP="00E059F1">
            <w:pPr>
              <w:pStyle w:val="TableText"/>
              <w:rPr>
                <w:sz w:val="18"/>
              </w:rPr>
            </w:pPr>
            <w:r w:rsidRPr="00B31BF4">
              <w:rPr>
                <w:sz w:val="18"/>
              </w:rPr>
              <w:t>Promotion of environmentally sound management of hazardous wastes, wherever the place of disposal.</w:t>
            </w:r>
          </w:p>
        </w:tc>
        <w:tc>
          <w:tcPr>
            <w:tcW w:w="2693" w:type="dxa"/>
            <w:tcBorders>
              <w:top w:val="single" w:sz="4" w:space="0" w:color="00AD68"/>
              <w:bottom w:val="single" w:sz="4" w:space="0" w:color="00AD68"/>
            </w:tcBorders>
            <w:shd w:val="clear" w:color="auto" w:fill="FFFF00"/>
            <w:vAlign w:val="center"/>
          </w:tcPr>
          <w:p w14:paraId="14C8BC66" w14:textId="77777777" w:rsidR="005A09FC" w:rsidRDefault="005A09FC" w:rsidP="00E059F1">
            <w:pPr>
              <w:pStyle w:val="TableText"/>
              <w:rPr>
                <w:sz w:val="18"/>
              </w:rPr>
            </w:pPr>
            <w:r w:rsidRPr="00B31BF4">
              <w:rPr>
                <w:sz w:val="18"/>
              </w:rPr>
              <w:t>Do not assess. Consider outside of a regulatory framework as a non-regulatory reform</w:t>
            </w:r>
          </w:p>
        </w:tc>
      </w:tr>
      <w:tr w:rsidR="005A09FC" w:rsidRPr="00C85476" w14:paraId="385F694E" w14:textId="77777777" w:rsidTr="00DF1232">
        <w:trPr>
          <w:trHeight w:val="801"/>
          <w:jc w:val="center"/>
        </w:trPr>
        <w:tc>
          <w:tcPr>
            <w:tcW w:w="2268" w:type="dxa"/>
            <w:tcBorders>
              <w:top w:val="single" w:sz="4" w:space="0" w:color="00AD68"/>
              <w:bottom w:val="single" w:sz="4" w:space="0" w:color="00AD68"/>
            </w:tcBorders>
            <w:shd w:val="clear" w:color="auto" w:fill="auto"/>
            <w:vAlign w:val="center"/>
          </w:tcPr>
          <w:p w14:paraId="6637C2C3" w14:textId="77777777" w:rsidR="005A09FC" w:rsidRDefault="005A09FC" w:rsidP="00E059F1">
            <w:pPr>
              <w:pStyle w:val="TableText"/>
              <w:rPr>
                <w:sz w:val="18"/>
              </w:rPr>
            </w:pPr>
            <w:r w:rsidRPr="00DC2712">
              <w:rPr>
                <w:sz w:val="18"/>
              </w:rPr>
              <w:t>o) Nationally consistent system of hazardous waste levies</w:t>
            </w:r>
          </w:p>
        </w:tc>
        <w:tc>
          <w:tcPr>
            <w:tcW w:w="1276" w:type="dxa"/>
            <w:tcBorders>
              <w:top w:val="single" w:sz="4" w:space="0" w:color="00AD68"/>
              <w:bottom w:val="single" w:sz="4" w:space="0" w:color="00AD68"/>
            </w:tcBorders>
            <w:shd w:val="clear" w:color="auto" w:fill="auto"/>
            <w:vAlign w:val="center"/>
          </w:tcPr>
          <w:p w14:paraId="0437AB41" w14:textId="77777777" w:rsidR="005A09FC" w:rsidRDefault="005A09FC" w:rsidP="00E059F1">
            <w:pPr>
              <w:pStyle w:val="TableText"/>
              <w:rPr>
                <w:sz w:val="18"/>
              </w:rPr>
            </w:pPr>
            <w:r w:rsidRPr="00DC2712">
              <w:rPr>
                <w:sz w:val="18"/>
              </w:rPr>
              <w:t>Quasi-regulatory.</w:t>
            </w:r>
          </w:p>
        </w:tc>
        <w:tc>
          <w:tcPr>
            <w:tcW w:w="1985" w:type="dxa"/>
            <w:tcBorders>
              <w:top w:val="single" w:sz="4" w:space="0" w:color="00AD68"/>
              <w:bottom w:val="single" w:sz="4" w:space="0" w:color="00AD68"/>
            </w:tcBorders>
            <w:shd w:val="clear" w:color="auto" w:fill="auto"/>
            <w:vAlign w:val="center"/>
          </w:tcPr>
          <w:p w14:paraId="66B18C1E" w14:textId="77777777" w:rsidR="005A09FC" w:rsidRPr="00C85476" w:rsidRDefault="005A09FC" w:rsidP="00E059F1">
            <w:pPr>
              <w:pStyle w:val="TableText"/>
              <w:rPr>
                <w:sz w:val="18"/>
              </w:rPr>
            </w:pPr>
            <w:r w:rsidRPr="00DC2712">
              <w:rPr>
                <w:sz w:val="18"/>
              </w:rPr>
              <w:t>Harmonisation with other policy areas and creating a seamless national economy.</w:t>
            </w:r>
          </w:p>
        </w:tc>
        <w:tc>
          <w:tcPr>
            <w:tcW w:w="2693" w:type="dxa"/>
            <w:tcBorders>
              <w:top w:val="single" w:sz="4" w:space="0" w:color="00AD68"/>
              <w:bottom w:val="single" w:sz="4" w:space="0" w:color="00AD68"/>
            </w:tcBorders>
            <w:vAlign w:val="center"/>
          </w:tcPr>
          <w:p w14:paraId="44593AE2" w14:textId="0C9C0AA6" w:rsidR="005A09FC" w:rsidRDefault="00DF70DC" w:rsidP="00E059F1">
            <w:pPr>
              <w:pStyle w:val="TableText"/>
              <w:rPr>
                <w:sz w:val="18"/>
              </w:rPr>
            </w:pPr>
            <w:r>
              <w:rPr>
                <w:sz w:val="18"/>
              </w:rPr>
              <w:t>Reduction of hazardous waste generation.</w:t>
            </w:r>
          </w:p>
        </w:tc>
        <w:tc>
          <w:tcPr>
            <w:tcW w:w="2693" w:type="dxa"/>
            <w:tcBorders>
              <w:top w:val="single" w:sz="4" w:space="0" w:color="00AD68"/>
              <w:bottom w:val="single" w:sz="4" w:space="0" w:color="00AD68"/>
            </w:tcBorders>
            <w:shd w:val="clear" w:color="auto" w:fill="FFFF00"/>
            <w:vAlign w:val="center"/>
          </w:tcPr>
          <w:p w14:paraId="2E34BDBB" w14:textId="77777777" w:rsidR="005A09FC" w:rsidRDefault="005A09FC" w:rsidP="00E059F1">
            <w:pPr>
              <w:pStyle w:val="TableText"/>
              <w:rPr>
                <w:sz w:val="18"/>
              </w:rPr>
            </w:pPr>
            <w:r w:rsidRPr="00B31BF4">
              <w:rPr>
                <w:sz w:val="18"/>
              </w:rPr>
              <w:t>Do not assess. Consider outside of</w:t>
            </w:r>
            <w:r>
              <w:rPr>
                <w:sz w:val="18"/>
              </w:rPr>
              <w:t xml:space="preserve"> a regulatory framework as a quasi</w:t>
            </w:r>
            <w:r w:rsidRPr="00B31BF4">
              <w:rPr>
                <w:sz w:val="18"/>
              </w:rPr>
              <w:t>-regulatory reform</w:t>
            </w:r>
          </w:p>
        </w:tc>
      </w:tr>
      <w:tr w:rsidR="005A09FC" w:rsidRPr="00C85476" w14:paraId="351B02B6" w14:textId="77777777" w:rsidTr="00DF1232">
        <w:trPr>
          <w:trHeight w:val="801"/>
          <w:jc w:val="center"/>
        </w:trPr>
        <w:tc>
          <w:tcPr>
            <w:tcW w:w="2268" w:type="dxa"/>
            <w:tcBorders>
              <w:top w:val="single" w:sz="4" w:space="0" w:color="00AD68"/>
            </w:tcBorders>
            <w:shd w:val="clear" w:color="auto" w:fill="auto"/>
            <w:vAlign w:val="center"/>
          </w:tcPr>
          <w:p w14:paraId="3F579BEB" w14:textId="77777777" w:rsidR="005A09FC" w:rsidRDefault="005A09FC" w:rsidP="00E059F1">
            <w:pPr>
              <w:pStyle w:val="TableText"/>
              <w:rPr>
                <w:sz w:val="18"/>
              </w:rPr>
            </w:pPr>
            <w:r w:rsidRPr="00DC2712">
              <w:rPr>
                <w:sz w:val="18"/>
              </w:rPr>
              <w:t>p) Nationally consistent approach to landfill bans or conditional disposal</w:t>
            </w:r>
          </w:p>
        </w:tc>
        <w:tc>
          <w:tcPr>
            <w:tcW w:w="1276" w:type="dxa"/>
            <w:tcBorders>
              <w:top w:val="single" w:sz="4" w:space="0" w:color="00AD68"/>
            </w:tcBorders>
            <w:shd w:val="clear" w:color="auto" w:fill="auto"/>
            <w:vAlign w:val="center"/>
          </w:tcPr>
          <w:p w14:paraId="1F056442" w14:textId="77777777" w:rsidR="005A09FC" w:rsidRDefault="005A09FC" w:rsidP="00E059F1">
            <w:pPr>
              <w:pStyle w:val="TableText"/>
              <w:rPr>
                <w:sz w:val="18"/>
              </w:rPr>
            </w:pPr>
            <w:r w:rsidRPr="00DC2712">
              <w:rPr>
                <w:sz w:val="18"/>
              </w:rPr>
              <w:t>Quasi-regulatory.</w:t>
            </w:r>
          </w:p>
        </w:tc>
        <w:tc>
          <w:tcPr>
            <w:tcW w:w="1985" w:type="dxa"/>
            <w:tcBorders>
              <w:top w:val="single" w:sz="4" w:space="0" w:color="00AD68"/>
            </w:tcBorders>
            <w:shd w:val="clear" w:color="auto" w:fill="auto"/>
            <w:vAlign w:val="center"/>
          </w:tcPr>
          <w:p w14:paraId="2CE4024F" w14:textId="77777777" w:rsidR="005A09FC" w:rsidRPr="00C85476" w:rsidRDefault="005A09FC" w:rsidP="00E059F1">
            <w:pPr>
              <w:pStyle w:val="TableText"/>
              <w:rPr>
                <w:sz w:val="18"/>
              </w:rPr>
            </w:pPr>
            <w:r w:rsidRPr="00DC2712">
              <w:rPr>
                <w:sz w:val="18"/>
              </w:rPr>
              <w:t>Harmonisation with other policy areas and creating a seamless national economy.</w:t>
            </w:r>
          </w:p>
        </w:tc>
        <w:tc>
          <w:tcPr>
            <w:tcW w:w="2693" w:type="dxa"/>
            <w:tcBorders>
              <w:top w:val="single" w:sz="4" w:space="0" w:color="00AD68"/>
            </w:tcBorders>
            <w:vAlign w:val="center"/>
          </w:tcPr>
          <w:p w14:paraId="42394B5E" w14:textId="77777777" w:rsidR="005A09FC" w:rsidRDefault="005A09FC" w:rsidP="00E059F1">
            <w:pPr>
              <w:pStyle w:val="TableText"/>
              <w:rPr>
                <w:sz w:val="18"/>
              </w:rPr>
            </w:pPr>
            <w:r w:rsidRPr="00B31BF4">
              <w:rPr>
                <w:sz w:val="18"/>
              </w:rPr>
              <w:t>Promotion of environmentally sound management of hazardous wastes, wherever the place of disposal.</w:t>
            </w:r>
          </w:p>
        </w:tc>
        <w:tc>
          <w:tcPr>
            <w:tcW w:w="2693" w:type="dxa"/>
            <w:tcBorders>
              <w:top w:val="single" w:sz="4" w:space="0" w:color="00AD68"/>
            </w:tcBorders>
            <w:shd w:val="clear" w:color="auto" w:fill="FFFF00"/>
            <w:vAlign w:val="center"/>
          </w:tcPr>
          <w:p w14:paraId="2B0D379B" w14:textId="77777777" w:rsidR="005A09FC" w:rsidRDefault="005A09FC" w:rsidP="00E059F1">
            <w:pPr>
              <w:pStyle w:val="TableText"/>
              <w:rPr>
                <w:sz w:val="18"/>
              </w:rPr>
            </w:pPr>
            <w:r w:rsidRPr="00B31BF4">
              <w:rPr>
                <w:sz w:val="18"/>
              </w:rPr>
              <w:t>Do not assess. Consider outside of</w:t>
            </w:r>
            <w:r>
              <w:rPr>
                <w:sz w:val="18"/>
              </w:rPr>
              <w:t xml:space="preserve"> a regulatory framework as a quasi</w:t>
            </w:r>
            <w:r w:rsidRPr="00B31BF4">
              <w:rPr>
                <w:sz w:val="18"/>
              </w:rPr>
              <w:t>-regulatory reform</w:t>
            </w:r>
          </w:p>
        </w:tc>
      </w:tr>
    </w:tbl>
    <w:p w14:paraId="6843CBF1" w14:textId="77777777" w:rsidR="00A902C8" w:rsidRDefault="00A902C8" w:rsidP="00F1472F"/>
    <w:p w14:paraId="0BF3D5DD" w14:textId="77777777" w:rsidR="00B0068B" w:rsidRPr="00C85476" w:rsidRDefault="00B0068B">
      <w:pPr>
        <w:spacing w:after="0" w:line="240" w:lineRule="auto"/>
      </w:pPr>
      <w:r w:rsidRPr="00C85476">
        <w:br w:type="page"/>
      </w:r>
    </w:p>
    <w:p w14:paraId="246035AF" w14:textId="77777777" w:rsidR="00F877C7" w:rsidRPr="00C85476" w:rsidRDefault="00F877C7" w:rsidP="00F877C7">
      <w:pPr>
        <w:pStyle w:val="Heading1"/>
        <w:numPr>
          <w:ilvl w:val="0"/>
          <w:numId w:val="0"/>
        </w:numPr>
        <w:ind w:left="1134"/>
        <w:rPr>
          <w:lang w:val="en-AU"/>
        </w:rPr>
      </w:pPr>
      <w:bookmarkStart w:id="13" w:name="_Toc426022018"/>
      <w:r w:rsidRPr="00C85476">
        <w:rPr>
          <w:lang w:val="en-AU"/>
        </w:rPr>
        <w:lastRenderedPageBreak/>
        <w:t>GLOSSARY</w:t>
      </w:r>
      <w:bookmarkEnd w:id="13"/>
    </w:p>
    <w:tbl>
      <w:tblPr>
        <w:tblStyle w:val="TableGrid"/>
        <w:tblW w:w="0" w:type="auto"/>
        <w:tblInd w:w="108" w:type="dxa"/>
        <w:tblBorders>
          <w:top w:val="single" w:sz="4" w:space="0" w:color="00AD68"/>
          <w:left w:val="none" w:sz="0" w:space="0" w:color="auto"/>
          <w:bottom w:val="single" w:sz="4" w:space="0" w:color="00AD68"/>
          <w:right w:val="none" w:sz="0" w:space="0" w:color="auto"/>
          <w:insideH w:val="single" w:sz="4" w:space="0" w:color="00AD68"/>
          <w:insideV w:val="none" w:sz="0" w:space="0" w:color="auto"/>
        </w:tblBorders>
        <w:tblLook w:val="04A0" w:firstRow="1" w:lastRow="0" w:firstColumn="1" w:lastColumn="0" w:noHBand="0" w:noVBand="1"/>
      </w:tblPr>
      <w:tblGrid>
        <w:gridCol w:w="2762"/>
        <w:gridCol w:w="6201"/>
      </w:tblGrid>
      <w:tr w:rsidR="00F877C7" w:rsidRPr="00C85476" w14:paraId="2F0FC951" w14:textId="77777777" w:rsidTr="00F877C7">
        <w:trPr>
          <w:cnfStyle w:val="100000000000" w:firstRow="1" w:lastRow="0" w:firstColumn="0" w:lastColumn="0" w:oddVBand="0" w:evenVBand="0" w:oddHBand="0" w:evenHBand="0" w:firstRowFirstColumn="0" w:firstRowLastColumn="0" w:lastRowFirstColumn="0" w:lastRowLastColumn="0"/>
        </w:trPr>
        <w:tc>
          <w:tcPr>
            <w:tcW w:w="2762" w:type="dxa"/>
          </w:tcPr>
          <w:p w14:paraId="19F84F78" w14:textId="77777777" w:rsidR="00F877C7" w:rsidRPr="00C85476" w:rsidRDefault="00F877C7" w:rsidP="00F877C7">
            <w:pPr>
              <w:spacing w:before="60" w:after="60" w:line="240" w:lineRule="auto"/>
              <w:rPr>
                <w:sz w:val="20"/>
                <w:szCs w:val="20"/>
              </w:rPr>
            </w:pPr>
            <w:r w:rsidRPr="00C85476">
              <w:rPr>
                <w:sz w:val="20"/>
                <w:szCs w:val="20"/>
              </w:rPr>
              <w:t>ANZSIC code</w:t>
            </w:r>
          </w:p>
        </w:tc>
        <w:tc>
          <w:tcPr>
            <w:tcW w:w="6201" w:type="dxa"/>
          </w:tcPr>
          <w:p w14:paraId="660D80B7" w14:textId="77777777" w:rsidR="00F877C7" w:rsidRPr="00C85476" w:rsidRDefault="00F877C7" w:rsidP="00F877C7">
            <w:pPr>
              <w:spacing w:before="60" w:after="60" w:line="240" w:lineRule="auto"/>
              <w:rPr>
                <w:sz w:val="20"/>
                <w:szCs w:val="20"/>
              </w:rPr>
            </w:pPr>
            <w:r w:rsidRPr="00C85476">
              <w:rPr>
                <w:sz w:val="20"/>
                <w:szCs w:val="20"/>
              </w:rPr>
              <w:t>Australian and New Zealand Standard Industry Classification code.</w:t>
            </w:r>
          </w:p>
        </w:tc>
      </w:tr>
      <w:tr w:rsidR="00F877C7" w:rsidRPr="00C85476" w14:paraId="65EEB34F"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0BAB044B" w14:textId="77777777" w:rsidR="00F877C7" w:rsidRPr="00C85476" w:rsidRDefault="00F877C7" w:rsidP="00F877C7">
            <w:pPr>
              <w:spacing w:before="60" w:after="60" w:line="240" w:lineRule="auto"/>
              <w:rPr>
                <w:sz w:val="20"/>
                <w:szCs w:val="20"/>
              </w:rPr>
            </w:pPr>
            <w:r w:rsidRPr="00C85476">
              <w:rPr>
                <w:sz w:val="20"/>
                <w:szCs w:val="20"/>
              </w:rPr>
              <w:t>The (Basel) Convention</w:t>
            </w:r>
          </w:p>
        </w:tc>
        <w:tc>
          <w:tcPr>
            <w:tcW w:w="6201" w:type="dxa"/>
          </w:tcPr>
          <w:p w14:paraId="3AD058E2" w14:textId="77777777" w:rsidR="00F877C7" w:rsidRPr="00720321" w:rsidRDefault="00F877C7" w:rsidP="00F877C7">
            <w:pPr>
              <w:spacing w:before="60" w:after="60" w:line="240" w:lineRule="auto"/>
              <w:rPr>
                <w:i/>
                <w:sz w:val="20"/>
                <w:szCs w:val="20"/>
              </w:rPr>
            </w:pPr>
            <w:r w:rsidRPr="00720321">
              <w:rPr>
                <w:i/>
                <w:sz w:val="20"/>
                <w:szCs w:val="20"/>
              </w:rPr>
              <w:t xml:space="preserve">Basel Convention on the </w:t>
            </w:r>
            <w:r w:rsidR="00DA660C">
              <w:rPr>
                <w:i/>
                <w:sz w:val="20"/>
                <w:szCs w:val="20"/>
              </w:rPr>
              <w:t xml:space="preserve">Control of </w:t>
            </w:r>
            <w:r w:rsidRPr="00720321">
              <w:rPr>
                <w:i/>
                <w:sz w:val="20"/>
                <w:szCs w:val="20"/>
              </w:rPr>
              <w:t>Transboundary of Movements of Hazardous Wastes and their Disposal.</w:t>
            </w:r>
            <w:r w:rsidR="00580BF8">
              <w:rPr>
                <w:i/>
                <w:sz w:val="20"/>
                <w:szCs w:val="20"/>
              </w:rPr>
              <w:t xml:space="preserve"> The Basel Convention was opened for signature in 1989 and entered into force in 1992.</w:t>
            </w:r>
          </w:p>
        </w:tc>
      </w:tr>
      <w:tr w:rsidR="00F877C7" w:rsidRPr="00C85476" w14:paraId="143737A0"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19E1C522" w14:textId="77777777" w:rsidR="00F877C7" w:rsidRPr="00C85476" w:rsidRDefault="00F877C7" w:rsidP="00F877C7">
            <w:pPr>
              <w:spacing w:before="60" w:after="60" w:line="240" w:lineRule="auto"/>
              <w:rPr>
                <w:sz w:val="20"/>
                <w:szCs w:val="20"/>
              </w:rPr>
            </w:pPr>
            <w:r w:rsidRPr="00C85476">
              <w:rPr>
                <w:sz w:val="20"/>
                <w:szCs w:val="20"/>
              </w:rPr>
              <w:t>Department / DoE</w:t>
            </w:r>
          </w:p>
        </w:tc>
        <w:tc>
          <w:tcPr>
            <w:tcW w:w="6201" w:type="dxa"/>
          </w:tcPr>
          <w:p w14:paraId="055475C8" w14:textId="77777777" w:rsidR="00F877C7" w:rsidRPr="00C85476" w:rsidRDefault="00F877C7" w:rsidP="00F877C7">
            <w:pPr>
              <w:spacing w:before="60" w:after="60" w:line="240" w:lineRule="auto"/>
              <w:rPr>
                <w:sz w:val="20"/>
                <w:szCs w:val="20"/>
              </w:rPr>
            </w:pPr>
            <w:r w:rsidRPr="00C85476">
              <w:rPr>
                <w:sz w:val="20"/>
                <w:szCs w:val="20"/>
              </w:rPr>
              <w:t>Department of the Environment.</w:t>
            </w:r>
          </w:p>
        </w:tc>
      </w:tr>
      <w:tr w:rsidR="00F877C7" w:rsidRPr="00C85476" w14:paraId="53E8060F"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59BE9D1D" w14:textId="77777777" w:rsidR="00F877C7" w:rsidRPr="00C85476" w:rsidRDefault="00F877C7" w:rsidP="00F877C7">
            <w:pPr>
              <w:spacing w:before="60" w:after="60" w:line="240" w:lineRule="auto"/>
              <w:rPr>
                <w:sz w:val="20"/>
                <w:szCs w:val="20"/>
              </w:rPr>
            </w:pPr>
            <w:r w:rsidRPr="00C85476">
              <w:rPr>
                <w:sz w:val="20"/>
                <w:szCs w:val="20"/>
              </w:rPr>
              <w:t>Environmentally sound management</w:t>
            </w:r>
          </w:p>
        </w:tc>
        <w:tc>
          <w:tcPr>
            <w:tcW w:w="6201" w:type="dxa"/>
          </w:tcPr>
          <w:p w14:paraId="009E4C76" w14:textId="77777777" w:rsidR="00F877C7" w:rsidRPr="00C85476" w:rsidRDefault="00F877C7" w:rsidP="00F877C7">
            <w:pPr>
              <w:spacing w:before="60" w:after="60" w:line="240" w:lineRule="auto"/>
              <w:rPr>
                <w:sz w:val="20"/>
                <w:szCs w:val="20"/>
              </w:rPr>
            </w:pPr>
            <w:r w:rsidRPr="00C85476">
              <w:rPr>
                <w:sz w:val="20"/>
                <w:szCs w:val="20"/>
              </w:rPr>
              <w:t>Even where all countries have consented, the country in which hazardous waste is generated must be independently satisfied that the waste will be managed in an environmentally sound manner. The Convention provides that this obligation ‘may not under any circumstances be transferred to the states of import or transit.’</w:t>
            </w:r>
          </w:p>
        </w:tc>
      </w:tr>
      <w:tr w:rsidR="00F877C7" w:rsidRPr="00C85476" w14:paraId="505E046B"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073D5A53" w14:textId="77777777" w:rsidR="00F877C7" w:rsidRPr="00C85476" w:rsidRDefault="00F877C7" w:rsidP="00F877C7">
            <w:pPr>
              <w:spacing w:before="60" w:after="60" w:line="240" w:lineRule="auto"/>
              <w:rPr>
                <w:sz w:val="20"/>
                <w:szCs w:val="20"/>
              </w:rPr>
            </w:pPr>
            <w:r w:rsidRPr="00C85476">
              <w:rPr>
                <w:sz w:val="20"/>
                <w:szCs w:val="20"/>
              </w:rPr>
              <w:t>Hazardous waste</w:t>
            </w:r>
          </w:p>
        </w:tc>
        <w:tc>
          <w:tcPr>
            <w:tcW w:w="6201" w:type="dxa"/>
          </w:tcPr>
          <w:p w14:paraId="57BEDE2B" w14:textId="77777777" w:rsidR="00F877C7" w:rsidRPr="00C85476" w:rsidRDefault="00F877C7" w:rsidP="00F877C7">
            <w:pPr>
              <w:spacing w:before="60" w:after="60" w:line="240" w:lineRule="auto"/>
              <w:rPr>
                <w:sz w:val="20"/>
                <w:szCs w:val="20"/>
              </w:rPr>
            </w:pPr>
            <w:r w:rsidRPr="00C85476">
              <w:rPr>
                <w:sz w:val="20"/>
                <w:szCs w:val="20"/>
              </w:rPr>
              <w:t>Hazardous waste as defined under the Act.</w:t>
            </w:r>
          </w:p>
        </w:tc>
      </w:tr>
      <w:tr w:rsidR="00F877C7" w:rsidRPr="00C85476" w14:paraId="1B546635"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41DC4CD2" w14:textId="77777777" w:rsidR="00F877C7" w:rsidRPr="00C85476" w:rsidRDefault="00F877C7" w:rsidP="00F877C7">
            <w:pPr>
              <w:spacing w:before="60" w:after="60" w:line="240" w:lineRule="auto"/>
              <w:rPr>
                <w:sz w:val="20"/>
                <w:szCs w:val="20"/>
              </w:rPr>
            </w:pPr>
            <w:r w:rsidRPr="00C85476">
              <w:rPr>
                <w:sz w:val="20"/>
                <w:szCs w:val="20"/>
              </w:rPr>
              <w:t>Minister</w:t>
            </w:r>
          </w:p>
        </w:tc>
        <w:tc>
          <w:tcPr>
            <w:tcW w:w="6201" w:type="dxa"/>
          </w:tcPr>
          <w:p w14:paraId="3B7BE6DC" w14:textId="77777777" w:rsidR="00F877C7" w:rsidRPr="00C85476" w:rsidRDefault="00F877C7" w:rsidP="00F877C7">
            <w:pPr>
              <w:spacing w:before="60" w:after="60" w:line="240" w:lineRule="auto"/>
              <w:rPr>
                <w:sz w:val="20"/>
                <w:szCs w:val="20"/>
              </w:rPr>
            </w:pPr>
            <w:r w:rsidRPr="00C85476">
              <w:rPr>
                <w:sz w:val="20"/>
                <w:szCs w:val="20"/>
              </w:rPr>
              <w:t>The Minister responsible for administration of the Act and Regulations.</w:t>
            </w:r>
          </w:p>
        </w:tc>
      </w:tr>
      <w:tr w:rsidR="00F877C7" w:rsidRPr="00C85476" w14:paraId="76FF63D8"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0FE1C265" w14:textId="1C6D6616" w:rsidR="00F877C7" w:rsidRPr="00C85476" w:rsidRDefault="00F877C7" w:rsidP="00F877C7">
            <w:pPr>
              <w:spacing w:before="60" w:after="60" w:line="240" w:lineRule="auto"/>
              <w:rPr>
                <w:sz w:val="20"/>
                <w:szCs w:val="20"/>
              </w:rPr>
            </w:pPr>
            <w:r w:rsidRPr="00C85476">
              <w:rPr>
                <w:sz w:val="20"/>
                <w:szCs w:val="20"/>
              </w:rPr>
              <w:t>NEPM</w:t>
            </w:r>
            <w:r w:rsidR="008707CD">
              <w:rPr>
                <w:sz w:val="20"/>
                <w:szCs w:val="20"/>
              </w:rPr>
              <w:t xml:space="preserve"> / </w:t>
            </w:r>
            <w:r w:rsidR="008707CD" w:rsidRPr="00C85476">
              <w:rPr>
                <w:sz w:val="20"/>
                <w:szCs w:val="20"/>
              </w:rPr>
              <w:t>Controlled Waste NEPM</w:t>
            </w:r>
          </w:p>
        </w:tc>
        <w:tc>
          <w:tcPr>
            <w:tcW w:w="6201" w:type="dxa"/>
          </w:tcPr>
          <w:p w14:paraId="62EB4693" w14:textId="77777777" w:rsidR="00F877C7" w:rsidRPr="00C85476" w:rsidRDefault="00F877C7" w:rsidP="00F877C7">
            <w:pPr>
              <w:spacing w:before="60" w:after="60" w:line="240" w:lineRule="auto"/>
              <w:rPr>
                <w:sz w:val="20"/>
                <w:szCs w:val="20"/>
              </w:rPr>
            </w:pPr>
            <w:r w:rsidRPr="00C85476">
              <w:rPr>
                <w:sz w:val="20"/>
                <w:szCs w:val="20"/>
              </w:rPr>
              <w:t>National Environment Protection (Movement of Controlled Waste between States and Territories) Measure.</w:t>
            </w:r>
          </w:p>
        </w:tc>
      </w:tr>
      <w:tr w:rsidR="00F877C7" w:rsidRPr="00C85476" w14:paraId="62293F71"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3EA64BA2" w14:textId="77777777" w:rsidR="00F877C7" w:rsidRPr="00C85476" w:rsidRDefault="00F877C7" w:rsidP="00F877C7">
            <w:pPr>
              <w:spacing w:before="60" w:after="60" w:line="240" w:lineRule="auto"/>
              <w:rPr>
                <w:sz w:val="20"/>
                <w:szCs w:val="20"/>
              </w:rPr>
            </w:pPr>
            <w:r w:rsidRPr="00C85476">
              <w:rPr>
                <w:sz w:val="20"/>
                <w:szCs w:val="20"/>
              </w:rPr>
              <w:t>Prior informed consent</w:t>
            </w:r>
          </w:p>
        </w:tc>
        <w:tc>
          <w:tcPr>
            <w:tcW w:w="6201" w:type="dxa"/>
          </w:tcPr>
          <w:p w14:paraId="0CB04A90" w14:textId="77777777" w:rsidR="00F877C7" w:rsidRPr="00C85476" w:rsidRDefault="00F877C7" w:rsidP="00F877C7">
            <w:pPr>
              <w:spacing w:before="60" w:after="60" w:line="240" w:lineRule="auto"/>
              <w:rPr>
                <w:sz w:val="20"/>
                <w:szCs w:val="20"/>
              </w:rPr>
            </w:pPr>
            <w:r w:rsidRPr="00C85476">
              <w:rPr>
                <w:sz w:val="20"/>
                <w:szCs w:val="20"/>
              </w:rPr>
              <w:t>The prior informed consent requirement is that parties must only permit the export of hazardous waste to another country where that country and all countries of transit have given consent in writing.</w:t>
            </w:r>
          </w:p>
        </w:tc>
      </w:tr>
      <w:tr w:rsidR="00F877C7" w:rsidRPr="00C85476" w14:paraId="0C456726"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6373B6AD" w14:textId="77777777" w:rsidR="00F877C7" w:rsidRPr="00C85476" w:rsidRDefault="00F877C7" w:rsidP="00F877C7">
            <w:pPr>
              <w:spacing w:before="60" w:after="60" w:line="240" w:lineRule="auto"/>
              <w:rPr>
                <w:sz w:val="20"/>
                <w:szCs w:val="20"/>
              </w:rPr>
            </w:pPr>
            <w:r w:rsidRPr="00C85476">
              <w:rPr>
                <w:sz w:val="20"/>
                <w:szCs w:val="20"/>
              </w:rPr>
              <w:t>Regulations</w:t>
            </w:r>
          </w:p>
        </w:tc>
        <w:tc>
          <w:tcPr>
            <w:tcW w:w="6201" w:type="dxa"/>
          </w:tcPr>
          <w:p w14:paraId="693408E0" w14:textId="77777777" w:rsidR="00F877C7" w:rsidRPr="00C85476" w:rsidRDefault="00F877C7" w:rsidP="00F877C7">
            <w:pPr>
              <w:spacing w:before="60" w:after="60" w:line="240" w:lineRule="auto"/>
              <w:rPr>
                <w:sz w:val="20"/>
                <w:szCs w:val="20"/>
              </w:rPr>
            </w:pPr>
            <w:r w:rsidRPr="00C85476">
              <w:rPr>
                <w:sz w:val="20"/>
                <w:szCs w:val="20"/>
              </w:rPr>
              <w:t>Hazardous Waste (Regulation of Exports and Imports) Regulations 1996.</w:t>
            </w:r>
          </w:p>
        </w:tc>
      </w:tr>
      <w:tr w:rsidR="00F877C7" w:rsidRPr="00C85476" w14:paraId="542B299C"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5D92D440" w14:textId="77777777" w:rsidR="00F877C7" w:rsidRPr="00C85476" w:rsidRDefault="00F877C7" w:rsidP="00F877C7">
            <w:pPr>
              <w:spacing w:before="60" w:after="60" w:line="240" w:lineRule="auto"/>
              <w:rPr>
                <w:sz w:val="20"/>
                <w:szCs w:val="20"/>
              </w:rPr>
            </w:pPr>
            <w:r w:rsidRPr="00C85476">
              <w:rPr>
                <w:sz w:val="20"/>
                <w:szCs w:val="20"/>
              </w:rPr>
              <w:t>Regulations (Decision IV/9)</w:t>
            </w:r>
          </w:p>
        </w:tc>
        <w:tc>
          <w:tcPr>
            <w:tcW w:w="6201" w:type="dxa"/>
          </w:tcPr>
          <w:p w14:paraId="64E584F9" w14:textId="77777777" w:rsidR="00F877C7" w:rsidRPr="00C85476" w:rsidRDefault="00F877C7" w:rsidP="00F877C7">
            <w:pPr>
              <w:spacing w:before="60" w:after="60" w:line="240" w:lineRule="auto"/>
              <w:rPr>
                <w:sz w:val="20"/>
                <w:szCs w:val="20"/>
              </w:rPr>
            </w:pPr>
            <w:r w:rsidRPr="00C85476">
              <w:rPr>
                <w:sz w:val="20"/>
                <w:szCs w:val="20"/>
              </w:rPr>
              <w:t>Hazardous Waste (Regulation of Exports and Imports) (Decision IV/9) Regulations 1999.</w:t>
            </w:r>
          </w:p>
        </w:tc>
      </w:tr>
      <w:tr w:rsidR="00F877C7" w:rsidRPr="00C85476" w14:paraId="255781B4"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16E827C1" w14:textId="77777777" w:rsidR="00F877C7" w:rsidRPr="00C85476" w:rsidRDefault="00F877C7" w:rsidP="00F877C7">
            <w:pPr>
              <w:spacing w:before="60" w:after="60" w:line="240" w:lineRule="auto"/>
              <w:rPr>
                <w:sz w:val="20"/>
                <w:szCs w:val="20"/>
              </w:rPr>
            </w:pPr>
            <w:r w:rsidRPr="00C85476">
              <w:rPr>
                <w:sz w:val="20"/>
                <w:szCs w:val="20"/>
              </w:rPr>
              <w:t>Regulations (Fees)</w:t>
            </w:r>
          </w:p>
        </w:tc>
        <w:tc>
          <w:tcPr>
            <w:tcW w:w="6201" w:type="dxa"/>
          </w:tcPr>
          <w:p w14:paraId="6349E809" w14:textId="77777777" w:rsidR="00F877C7" w:rsidRPr="00C85476" w:rsidRDefault="00F877C7" w:rsidP="00F877C7">
            <w:pPr>
              <w:spacing w:before="60" w:after="60" w:line="240" w:lineRule="auto"/>
              <w:rPr>
                <w:sz w:val="20"/>
                <w:szCs w:val="20"/>
              </w:rPr>
            </w:pPr>
            <w:r w:rsidRPr="00C85476">
              <w:rPr>
                <w:sz w:val="20"/>
                <w:szCs w:val="20"/>
              </w:rPr>
              <w:t>Hazardous Waste (Regulation of Exports and Imports) (Fees) Regulations 1990.</w:t>
            </w:r>
          </w:p>
        </w:tc>
      </w:tr>
      <w:tr w:rsidR="00F877C7" w:rsidRPr="00C85476" w14:paraId="536014FD"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2917A777" w14:textId="77777777" w:rsidR="00F877C7" w:rsidRPr="00C85476" w:rsidRDefault="00F877C7" w:rsidP="00F877C7">
            <w:pPr>
              <w:spacing w:before="60" w:after="60" w:line="240" w:lineRule="auto"/>
              <w:rPr>
                <w:sz w:val="20"/>
                <w:szCs w:val="20"/>
              </w:rPr>
            </w:pPr>
            <w:r w:rsidRPr="00C85476">
              <w:rPr>
                <w:sz w:val="20"/>
                <w:szCs w:val="20"/>
              </w:rPr>
              <w:t>Regulations (OECD)</w:t>
            </w:r>
          </w:p>
        </w:tc>
        <w:tc>
          <w:tcPr>
            <w:tcW w:w="6201" w:type="dxa"/>
          </w:tcPr>
          <w:p w14:paraId="0B80483D" w14:textId="77777777" w:rsidR="00F877C7" w:rsidRPr="00C85476" w:rsidRDefault="00F877C7" w:rsidP="00F877C7">
            <w:pPr>
              <w:spacing w:before="60" w:after="60" w:line="240" w:lineRule="auto"/>
              <w:rPr>
                <w:sz w:val="20"/>
                <w:szCs w:val="20"/>
              </w:rPr>
            </w:pPr>
            <w:r w:rsidRPr="00C85476">
              <w:rPr>
                <w:sz w:val="20"/>
                <w:szCs w:val="20"/>
              </w:rPr>
              <w:t>Hazardous Waste (Regulation of Exports and Imports) (OECD Decision) Regulations 1996.</w:t>
            </w:r>
          </w:p>
        </w:tc>
      </w:tr>
      <w:tr w:rsidR="00F877C7" w:rsidRPr="00C85476" w14:paraId="7A12DB92"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28121D08" w14:textId="77777777" w:rsidR="00F877C7" w:rsidRPr="00C85476" w:rsidRDefault="00F877C7" w:rsidP="00F877C7">
            <w:pPr>
              <w:spacing w:before="60" w:after="60" w:line="240" w:lineRule="auto"/>
              <w:rPr>
                <w:sz w:val="20"/>
                <w:szCs w:val="20"/>
              </w:rPr>
            </w:pPr>
            <w:r w:rsidRPr="00C85476">
              <w:rPr>
                <w:sz w:val="20"/>
                <w:szCs w:val="20"/>
              </w:rPr>
              <w:t>Regulations (Waigani)</w:t>
            </w:r>
          </w:p>
        </w:tc>
        <w:tc>
          <w:tcPr>
            <w:tcW w:w="6201" w:type="dxa"/>
          </w:tcPr>
          <w:p w14:paraId="59F07DB1" w14:textId="77777777" w:rsidR="00F877C7" w:rsidRPr="00C85476" w:rsidRDefault="00F877C7" w:rsidP="00F877C7">
            <w:pPr>
              <w:spacing w:before="60" w:after="60" w:line="240" w:lineRule="auto"/>
              <w:rPr>
                <w:sz w:val="20"/>
                <w:szCs w:val="20"/>
              </w:rPr>
            </w:pPr>
            <w:r w:rsidRPr="00C85476">
              <w:rPr>
                <w:sz w:val="20"/>
                <w:szCs w:val="20"/>
              </w:rPr>
              <w:t>Hazardous Waste (Regulation of Exports and Imports) (Waigani Convention) Regulations 1999.</w:t>
            </w:r>
          </w:p>
        </w:tc>
      </w:tr>
      <w:tr w:rsidR="00F877C7" w:rsidRPr="00C85476" w14:paraId="09B05B30"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407E5BF0" w14:textId="77777777" w:rsidR="00F877C7" w:rsidRPr="00C85476" w:rsidRDefault="00F877C7" w:rsidP="00F877C7">
            <w:pPr>
              <w:spacing w:before="60" w:after="60" w:line="240" w:lineRule="auto"/>
              <w:rPr>
                <w:sz w:val="20"/>
                <w:szCs w:val="20"/>
              </w:rPr>
            </w:pPr>
            <w:r w:rsidRPr="00C85476">
              <w:rPr>
                <w:sz w:val="20"/>
                <w:szCs w:val="20"/>
              </w:rPr>
              <w:t>Stockholm Convention</w:t>
            </w:r>
          </w:p>
        </w:tc>
        <w:tc>
          <w:tcPr>
            <w:tcW w:w="6201" w:type="dxa"/>
          </w:tcPr>
          <w:p w14:paraId="4A99CF3E" w14:textId="77777777" w:rsidR="00F877C7" w:rsidRPr="00C85476" w:rsidRDefault="00F877C7" w:rsidP="00F877C7">
            <w:pPr>
              <w:spacing w:before="60" w:after="60" w:line="240" w:lineRule="auto"/>
              <w:rPr>
                <w:i/>
                <w:sz w:val="20"/>
                <w:szCs w:val="20"/>
              </w:rPr>
            </w:pPr>
            <w:r w:rsidRPr="00C85476">
              <w:rPr>
                <w:i/>
                <w:sz w:val="20"/>
                <w:szCs w:val="20"/>
              </w:rPr>
              <w:t>Stockholm Convention on Persistent Organic Pollutants</w:t>
            </w:r>
            <w:r w:rsidR="00720321">
              <w:rPr>
                <w:i/>
                <w:sz w:val="20"/>
                <w:szCs w:val="20"/>
              </w:rPr>
              <w:t xml:space="preserve"> 2001</w:t>
            </w:r>
            <w:r w:rsidRPr="00C85476">
              <w:rPr>
                <w:i/>
                <w:sz w:val="20"/>
                <w:szCs w:val="20"/>
              </w:rPr>
              <w:t>.</w:t>
            </w:r>
          </w:p>
        </w:tc>
      </w:tr>
      <w:tr w:rsidR="00F877C7" w:rsidRPr="00C85476" w14:paraId="50BA92C2"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4DA6F5DC" w14:textId="77777777" w:rsidR="00F877C7" w:rsidRPr="00C85476" w:rsidRDefault="00F877C7" w:rsidP="00F877C7">
            <w:pPr>
              <w:spacing w:before="60" w:after="60" w:line="240" w:lineRule="auto"/>
              <w:rPr>
                <w:sz w:val="20"/>
                <w:szCs w:val="20"/>
              </w:rPr>
            </w:pPr>
            <w:r w:rsidRPr="00C85476">
              <w:rPr>
                <w:sz w:val="20"/>
                <w:szCs w:val="20"/>
              </w:rPr>
              <w:t>The Act</w:t>
            </w:r>
          </w:p>
        </w:tc>
        <w:tc>
          <w:tcPr>
            <w:tcW w:w="6201" w:type="dxa"/>
          </w:tcPr>
          <w:p w14:paraId="1932E652" w14:textId="77777777" w:rsidR="00F877C7" w:rsidRPr="00C85476" w:rsidRDefault="00F877C7" w:rsidP="00F877C7">
            <w:pPr>
              <w:spacing w:before="60" w:after="60" w:line="240" w:lineRule="auto"/>
              <w:rPr>
                <w:sz w:val="20"/>
                <w:szCs w:val="20"/>
              </w:rPr>
            </w:pPr>
            <w:r w:rsidRPr="00C85476">
              <w:rPr>
                <w:i/>
                <w:sz w:val="20"/>
                <w:szCs w:val="20"/>
              </w:rPr>
              <w:t>Hazardous Waste (Regulation of Exports and Imports) Act 1989</w:t>
            </w:r>
            <w:r w:rsidR="00B81525" w:rsidRPr="00B81525">
              <w:rPr>
                <w:sz w:val="20"/>
                <w:szCs w:val="20"/>
              </w:rPr>
              <w:t xml:space="preserve"> (Cth)</w:t>
            </w:r>
            <w:r w:rsidRPr="00B81525">
              <w:rPr>
                <w:sz w:val="20"/>
                <w:szCs w:val="20"/>
              </w:rPr>
              <w:t>.</w:t>
            </w:r>
          </w:p>
        </w:tc>
      </w:tr>
      <w:tr w:rsidR="00F877C7" w:rsidRPr="00C85476" w14:paraId="697A6834"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209CF472" w14:textId="77777777" w:rsidR="00F877C7" w:rsidRPr="00C85476" w:rsidRDefault="00F877C7" w:rsidP="00F877C7">
            <w:pPr>
              <w:spacing w:before="60" w:after="60" w:line="240" w:lineRule="auto"/>
              <w:rPr>
                <w:sz w:val="20"/>
                <w:szCs w:val="20"/>
              </w:rPr>
            </w:pPr>
            <w:r w:rsidRPr="00C85476">
              <w:rPr>
                <w:sz w:val="20"/>
                <w:szCs w:val="20"/>
              </w:rPr>
              <w:t>The Regulations</w:t>
            </w:r>
          </w:p>
        </w:tc>
        <w:tc>
          <w:tcPr>
            <w:tcW w:w="6201" w:type="dxa"/>
          </w:tcPr>
          <w:p w14:paraId="405A7655" w14:textId="77777777" w:rsidR="00F877C7" w:rsidRPr="00C85476" w:rsidRDefault="00F877C7" w:rsidP="00F877C7">
            <w:pPr>
              <w:spacing w:before="60" w:after="60" w:line="240" w:lineRule="auto"/>
              <w:rPr>
                <w:sz w:val="20"/>
                <w:szCs w:val="20"/>
              </w:rPr>
            </w:pPr>
            <w:r w:rsidRPr="00C85476">
              <w:rPr>
                <w:sz w:val="20"/>
                <w:szCs w:val="20"/>
              </w:rPr>
              <w:t>The five sets of regulations made under the Act (see above).</w:t>
            </w:r>
          </w:p>
        </w:tc>
      </w:tr>
      <w:tr w:rsidR="00F877C7" w:rsidRPr="00C85476" w14:paraId="3DA0F155" w14:textId="77777777" w:rsidTr="00F877C7">
        <w:trPr>
          <w:cnfStyle w:val="000000010000" w:firstRow="0" w:lastRow="0" w:firstColumn="0" w:lastColumn="0" w:oddVBand="0" w:evenVBand="0" w:oddHBand="0" w:evenHBand="1" w:firstRowFirstColumn="0" w:firstRowLastColumn="0" w:lastRowFirstColumn="0" w:lastRowLastColumn="0"/>
        </w:trPr>
        <w:tc>
          <w:tcPr>
            <w:tcW w:w="2762" w:type="dxa"/>
          </w:tcPr>
          <w:p w14:paraId="17FC7E1E" w14:textId="77777777" w:rsidR="00F877C7" w:rsidRPr="00C85476" w:rsidRDefault="00F877C7" w:rsidP="00F877C7">
            <w:pPr>
              <w:spacing w:before="60" w:after="60" w:line="240" w:lineRule="auto"/>
              <w:rPr>
                <w:sz w:val="20"/>
                <w:szCs w:val="20"/>
              </w:rPr>
            </w:pPr>
            <w:r w:rsidRPr="00C85476">
              <w:rPr>
                <w:sz w:val="20"/>
                <w:szCs w:val="20"/>
              </w:rPr>
              <w:t>Transit</w:t>
            </w:r>
          </w:p>
        </w:tc>
        <w:tc>
          <w:tcPr>
            <w:tcW w:w="6201" w:type="dxa"/>
          </w:tcPr>
          <w:p w14:paraId="4C7EF59A" w14:textId="77777777" w:rsidR="00F877C7" w:rsidRPr="00C85476" w:rsidRDefault="00F877C7" w:rsidP="00F877C7">
            <w:pPr>
              <w:spacing w:before="60" w:after="60" w:line="240" w:lineRule="auto"/>
              <w:rPr>
                <w:sz w:val="20"/>
                <w:szCs w:val="20"/>
              </w:rPr>
            </w:pPr>
            <w:r w:rsidRPr="00C85476">
              <w:rPr>
                <w:sz w:val="20"/>
                <w:szCs w:val="20"/>
              </w:rPr>
              <w:t>The transit of waste through a country to another country.</w:t>
            </w:r>
          </w:p>
        </w:tc>
      </w:tr>
      <w:tr w:rsidR="00F877C7" w:rsidRPr="00C85476" w14:paraId="70AC946B" w14:textId="77777777" w:rsidTr="00F877C7">
        <w:trPr>
          <w:cnfStyle w:val="000000100000" w:firstRow="0" w:lastRow="0" w:firstColumn="0" w:lastColumn="0" w:oddVBand="0" w:evenVBand="0" w:oddHBand="1" w:evenHBand="0" w:firstRowFirstColumn="0" w:firstRowLastColumn="0" w:lastRowFirstColumn="0" w:lastRowLastColumn="0"/>
        </w:trPr>
        <w:tc>
          <w:tcPr>
            <w:tcW w:w="2762" w:type="dxa"/>
          </w:tcPr>
          <w:p w14:paraId="6257224B" w14:textId="77777777" w:rsidR="00F877C7" w:rsidRPr="00C85476" w:rsidRDefault="00F877C7" w:rsidP="00F877C7">
            <w:pPr>
              <w:spacing w:before="60" w:after="60" w:line="240" w:lineRule="auto"/>
              <w:rPr>
                <w:sz w:val="20"/>
                <w:szCs w:val="20"/>
              </w:rPr>
            </w:pPr>
            <w:r w:rsidRPr="00C85476">
              <w:rPr>
                <w:sz w:val="20"/>
                <w:szCs w:val="20"/>
              </w:rPr>
              <w:t>Transboundary</w:t>
            </w:r>
          </w:p>
        </w:tc>
        <w:tc>
          <w:tcPr>
            <w:tcW w:w="6201" w:type="dxa"/>
          </w:tcPr>
          <w:p w14:paraId="43CB7DF9" w14:textId="77777777" w:rsidR="00F877C7" w:rsidRPr="00C85476" w:rsidRDefault="00F877C7" w:rsidP="00F877C7">
            <w:pPr>
              <w:spacing w:before="60" w:after="60" w:line="240" w:lineRule="auto"/>
              <w:rPr>
                <w:sz w:val="20"/>
                <w:szCs w:val="20"/>
              </w:rPr>
            </w:pPr>
            <w:r w:rsidRPr="00C85476">
              <w:rPr>
                <w:sz w:val="20"/>
                <w:szCs w:val="20"/>
              </w:rPr>
              <w:t>Movement from one country to another.</w:t>
            </w:r>
          </w:p>
        </w:tc>
      </w:tr>
    </w:tbl>
    <w:p w14:paraId="27C6BA58" w14:textId="77777777" w:rsidR="00F877C7" w:rsidRPr="00C85476" w:rsidRDefault="00F877C7" w:rsidP="00F877C7">
      <w:pPr>
        <w:spacing w:after="0" w:line="240" w:lineRule="auto"/>
      </w:pPr>
      <w:r w:rsidRPr="00C85476">
        <w:br w:type="page"/>
      </w:r>
    </w:p>
    <w:p w14:paraId="0DE783FC" w14:textId="77777777" w:rsidR="00B930D8" w:rsidRPr="00C85476" w:rsidRDefault="00A440AB" w:rsidP="00B930D8">
      <w:pPr>
        <w:pStyle w:val="Heading1"/>
        <w:rPr>
          <w:lang w:val="en-AU"/>
        </w:rPr>
      </w:pPr>
      <w:bookmarkStart w:id="14" w:name="_Toc426022019"/>
      <w:r w:rsidRPr="00C85476">
        <w:rPr>
          <w:lang w:val="en-AU"/>
        </w:rPr>
        <w:lastRenderedPageBreak/>
        <w:t>INTRODUCTION</w:t>
      </w:r>
      <w:bookmarkEnd w:id="14"/>
    </w:p>
    <w:p w14:paraId="05BF0F00" w14:textId="77777777" w:rsidR="00B930D8" w:rsidRPr="00451197" w:rsidRDefault="00B0068B" w:rsidP="00551F05">
      <w:pPr>
        <w:pStyle w:val="Heading2"/>
      </w:pPr>
      <w:bookmarkStart w:id="15" w:name="_Toc426022020"/>
      <w:r w:rsidRPr="00451197">
        <w:t>Background</w:t>
      </w:r>
      <w:bookmarkEnd w:id="15"/>
    </w:p>
    <w:p w14:paraId="0DAF2C2C" w14:textId="45F4B6D6" w:rsidR="00790468" w:rsidRPr="00C85476" w:rsidRDefault="00790468" w:rsidP="003F2DC9">
      <w:r w:rsidRPr="00C85476">
        <w:t xml:space="preserve">The purpose of this </w:t>
      </w:r>
      <w:r w:rsidR="00601B57">
        <w:t xml:space="preserve">project </w:t>
      </w:r>
      <w:r w:rsidRPr="00C85476">
        <w:t xml:space="preserve">is to test the feasibility of </w:t>
      </w:r>
      <w:r w:rsidR="003F2DC9" w:rsidRPr="00C85476">
        <w:t>a series of</w:t>
      </w:r>
      <w:r w:rsidR="00A52CBA" w:rsidRPr="00C85476">
        <w:t xml:space="preserve"> </w:t>
      </w:r>
      <w:r w:rsidR="003F2DC9" w:rsidRPr="00C85476">
        <w:t>short-listed option</w:t>
      </w:r>
      <w:r w:rsidRPr="00C85476">
        <w:t>s for national hazardous waste reform with</w:t>
      </w:r>
      <w:r w:rsidR="008707CD">
        <w:t xml:space="preserve"> the f</w:t>
      </w:r>
      <w:r w:rsidR="00601B57">
        <w:t xml:space="preserve">ederal </w:t>
      </w:r>
      <w:r w:rsidRPr="00C85476">
        <w:t>government</w:t>
      </w:r>
      <w:r w:rsidR="00601B57">
        <w:t>,</w:t>
      </w:r>
      <w:r w:rsidRPr="00C85476">
        <w:t xml:space="preserve"> </w:t>
      </w:r>
      <w:r w:rsidR="00601B57">
        <w:t xml:space="preserve">state and territory governments, </w:t>
      </w:r>
      <w:r w:rsidRPr="00C85476">
        <w:t>hazardous waste generators</w:t>
      </w:r>
      <w:r w:rsidR="00601B57">
        <w:t>,</w:t>
      </w:r>
      <w:r w:rsidRPr="00C85476">
        <w:t xml:space="preserve"> </w:t>
      </w:r>
      <w:r w:rsidR="00601B57" w:rsidRPr="00C85476">
        <w:t xml:space="preserve">hazardous waste </w:t>
      </w:r>
      <w:r w:rsidR="00601B57">
        <w:t>transporters and treaters, i</w:t>
      </w:r>
      <w:r w:rsidRPr="00C85476">
        <w:t>ndustry</w:t>
      </w:r>
      <w:r w:rsidR="00601B57">
        <w:t xml:space="preserve"> groups, </w:t>
      </w:r>
      <w:r w:rsidRPr="00C85476">
        <w:t>non-governmenta</w:t>
      </w:r>
      <w:r w:rsidR="008707CD">
        <w:t>l organisations,</w:t>
      </w:r>
      <w:r w:rsidRPr="00C85476">
        <w:t xml:space="preserve"> </w:t>
      </w:r>
      <w:r w:rsidR="00601B57">
        <w:t>academia and consultants</w:t>
      </w:r>
      <w:r w:rsidRPr="00C85476">
        <w:t>.</w:t>
      </w:r>
    </w:p>
    <w:p w14:paraId="143E5E2B" w14:textId="77777777" w:rsidR="003063B8" w:rsidRDefault="003063B8" w:rsidP="003063B8">
      <w:r>
        <w:t xml:space="preserve">Provided in Section </w:t>
      </w:r>
      <w:r w:rsidR="007B2B2A">
        <w:fldChar w:fldCharType="begin"/>
      </w:r>
      <w:r>
        <w:instrText xml:space="preserve"> REF _Ref418605252 \r \h </w:instrText>
      </w:r>
      <w:r w:rsidR="007B2B2A">
        <w:fldChar w:fldCharType="separate"/>
      </w:r>
      <w:r w:rsidR="00C40366">
        <w:t>1.2</w:t>
      </w:r>
      <w:r w:rsidR="007B2B2A">
        <w:fldChar w:fldCharType="end"/>
      </w:r>
      <w:r>
        <w:t xml:space="preserve"> is an outline of the key international and local drivers that are behind this consultation. Particularly important drivers are the hazardous waste related international obligations to which Australia is committed. This is principally, but not limited to, the </w:t>
      </w:r>
      <w:r w:rsidRPr="007B7D77">
        <w:rPr>
          <w:i/>
        </w:rPr>
        <w:t>Basel Convention on the Control of Transboundary Movements of Hazardous Wastes and their Disposal</w:t>
      </w:r>
      <w:r>
        <w:t>.</w:t>
      </w:r>
    </w:p>
    <w:p w14:paraId="37AF445B" w14:textId="77777777" w:rsidR="00790468" w:rsidRPr="00C85476" w:rsidRDefault="00790468" w:rsidP="003F2DC9">
      <w:r w:rsidRPr="00C85476">
        <w:t xml:space="preserve">There is evidence that a range of improved regulatory and non-regulatory arrangements could be undertaken to improve the discharge of our </w:t>
      </w:r>
      <w:r w:rsidR="0052013F" w:rsidRPr="00C85476">
        <w:t xml:space="preserve">hazardous waste </w:t>
      </w:r>
      <w:r w:rsidRPr="00C85476">
        <w:t>international obligations, while also achieving more effective management of hazardous wastes, both from environmental and economic perspectives.</w:t>
      </w:r>
    </w:p>
    <w:p w14:paraId="59DE1B64" w14:textId="200F1A0C" w:rsidR="003F2DC9" w:rsidRDefault="00790468" w:rsidP="003F2DC9">
      <w:r w:rsidRPr="00C85476">
        <w:t xml:space="preserve">The proposed reform </w:t>
      </w:r>
      <w:r w:rsidR="00EB467E">
        <w:t>options</w:t>
      </w:r>
      <w:r w:rsidRPr="00C85476">
        <w:t xml:space="preserve"> relate to amendment of the </w:t>
      </w:r>
      <w:r w:rsidR="0052013F" w:rsidRPr="00B81525">
        <w:rPr>
          <w:i/>
        </w:rPr>
        <w:t xml:space="preserve">Hazardous Waste (Regulation of Exports and Imports) </w:t>
      </w:r>
      <w:r w:rsidRPr="00B81525">
        <w:rPr>
          <w:i/>
        </w:rPr>
        <w:t xml:space="preserve">Act </w:t>
      </w:r>
      <w:r w:rsidR="0052013F" w:rsidRPr="00B65DE5">
        <w:rPr>
          <w:i/>
        </w:rPr>
        <w:t>1989</w:t>
      </w:r>
      <w:r w:rsidR="0052013F" w:rsidRPr="00B65DE5">
        <w:t xml:space="preserve"> </w:t>
      </w:r>
      <w:r w:rsidR="00B65DE5" w:rsidRPr="00B65DE5">
        <w:t xml:space="preserve">(the Act) </w:t>
      </w:r>
      <w:r w:rsidRPr="00C85476">
        <w:t xml:space="preserve">and associated regulations, but also include </w:t>
      </w:r>
      <w:r w:rsidR="00EB467E">
        <w:t>options</w:t>
      </w:r>
      <w:r w:rsidRPr="00C85476">
        <w:t xml:space="preserve"> for hazardous waste reforms that may not require amend</w:t>
      </w:r>
      <w:r w:rsidR="00F97560">
        <w:t xml:space="preserve">ing national legislation. These </w:t>
      </w:r>
      <w:r w:rsidRPr="00C85476">
        <w:t xml:space="preserve">non-regulatory reforms </w:t>
      </w:r>
      <w:r w:rsidR="00F97560">
        <w:t xml:space="preserve">could </w:t>
      </w:r>
      <w:r w:rsidRPr="00C85476">
        <w:t>include, for example, facilitating improved data on Australian hazardous waste management infrastructure, and improved data on hazardous waste generation, treatment and fate.</w:t>
      </w:r>
    </w:p>
    <w:p w14:paraId="38CDBE58" w14:textId="77777777" w:rsidR="00720321" w:rsidRDefault="00720321" w:rsidP="00720321">
      <w:r>
        <w:t>The outcomes of the consultation</w:t>
      </w:r>
      <w:r w:rsidRPr="00000327">
        <w:t xml:space="preserve"> will provide input into</w:t>
      </w:r>
      <w:r>
        <w:t xml:space="preserve"> a</w:t>
      </w:r>
      <w:r w:rsidRPr="00000327">
        <w:t xml:space="preserve"> cost benefit analysis</w:t>
      </w:r>
      <w:r>
        <w:t xml:space="preserve"> (CBA) on the shortlisted reform proposals that will be completed in the second half of 2015, which will then lead to </w:t>
      </w:r>
      <w:r w:rsidRPr="00000327">
        <w:t xml:space="preserve">subsequent regulation impact </w:t>
      </w:r>
      <w:r>
        <w:t>assessment</w:t>
      </w:r>
      <w:r w:rsidRPr="00000327">
        <w:t>.</w:t>
      </w:r>
    </w:p>
    <w:p w14:paraId="480C08D7" w14:textId="77777777" w:rsidR="00720321" w:rsidRDefault="00720321" w:rsidP="00720321">
      <w:r>
        <w:t xml:space="preserve">The following table provides a summary of the major </w:t>
      </w:r>
      <w:r w:rsidR="00DA660C">
        <w:t xml:space="preserve">international </w:t>
      </w:r>
      <w:r>
        <w:t>obligations, a view on the (growing) problems with meeting these obligations, and some of the possible reform options to assist in resolving the problems.</w:t>
      </w:r>
    </w:p>
    <w:p w14:paraId="10BBF5E7" w14:textId="77777777" w:rsidR="00720321" w:rsidRDefault="00720321" w:rsidP="00720321"/>
    <w:p w14:paraId="15D55193" w14:textId="77777777" w:rsidR="00720321" w:rsidRPr="00C85476" w:rsidRDefault="00720321" w:rsidP="00720321">
      <w:pPr>
        <w:keepNext/>
        <w:keepLines/>
        <w:spacing w:after="120" w:line="240" w:lineRule="auto"/>
        <w:rPr>
          <w:b/>
        </w:rPr>
      </w:pPr>
      <w:r w:rsidRPr="00C85476">
        <w:rPr>
          <w:b/>
        </w:rPr>
        <w:lastRenderedPageBreak/>
        <w:t xml:space="preserve">Table </w:t>
      </w:r>
      <w:r w:rsidR="007B2B2A" w:rsidRPr="00C85476">
        <w:rPr>
          <w:b/>
        </w:rPr>
        <w:fldChar w:fldCharType="begin"/>
      </w:r>
      <w:r w:rsidRPr="00C85476">
        <w:rPr>
          <w:b/>
        </w:rPr>
        <w:instrText xml:space="preserve"> SEQ Table \* ARABIC </w:instrText>
      </w:r>
      <w:r w:rsidR="007B2B2A" w:rsidRPr="00C85476">
        <w:rPr>
          <w:b/>
        </w:rPr>
        <w:fldChar w:fldCharType="separate"/>
      </w:r>
      <w:r w:rsidR="00C40366">
        <w:rPr>
          <w:b/>
          <w:noProof/>
        </w:rPr>
        <w:t>1</w:t>
      </w:r>
      <w:r w:rsidR="007B2B2A" w:rsidRPr="00C85476">
        <w:rPr>
          <w:b/>
        </w:rPr>
        <w:fldChar w:fldCharType="end"/>
      </w:r>
      <w:r w:rsidRPr="00C85476">
        <w:rPr>
          <w:b/>
        </w:rPr>
        <w:t xml:space="preserve"> – </w:t>
      </w:r>
      <w:r w:rsidR="00EF2366">
        <w:rPr>
          <w:b/>
        </w:rPr>
        <w:t>M</w:t>
      </w:r>
      <w:r w:rsidRPr="00720321">
        <w:rPr>
          <w:b/>
        </w:rPr>
        <w:t xml:space="preserve">apping </w:t>
      </w:r>
      <w:r>
        <w:rPr>
          <w:b/>
        </w:rPr>
        <w:t xml:space="preserve">of </w:t>
      </w:r>
      <w:r w:rsidRPr="00720321">
        <w:rPr>
          <w:b/>
        </w:rPr>
        <w:t>international obligations</w:t>
      </w:r>
      <w:r w:rsidR="00EB467E">
        <w:rPr>
          <w:b/>
        </w:rPr>
        <w:t xml:space="preserve"> and related</w:t>
      </w:r>
      <w:r w:rsidRPr="00720321">
        <w:rPr>
          <w:b/>
        </w:rPr>
        <w:t xml:space="preserve"> problem</w:t>
      </w:r>
      <w:r>
        <w:rPr>
          <w:b/>
        </w:rPr>
        <w:t xml:space="preserve">s, </w:t>
      </w:r>
      <w:r w:rsidR="00EB467E">
        <w:rPr>
          <w:b/>
        </w:rPr>
        <w:t xml:space="preserve">to </w:t>
      </w:r>
      <w:r w:rsidR="00EF2366">
        <w:rPr>
          <w:b/>
        </w:rPr>
        <w:t xml:space="preserve">selected </w:t>
      </w:r>
      <w:r>
        <w:rPr>
          <w:b/>
        </w:rPr>
        <w:t>po</w:t>
      </w:r>
      <w:r w:rsidR="00EB467E">
        <w:rPr>
          <w:b/>
        </w:rPr>
        <w:t>tential</w:t>
      </w:r>
      <w:r>
        <w:rPr>
          <w:b/>
        </w:rPr>
        <w:t xml:space="preserve"> reform options</w:t>
      </w:r>
    </w:p>
    <w:tbl>
      <w:tblPr>
        <w:tblStyle w:val="TableGrid"/>
        <w:tblW w:w="9924" w:type="dxa"/>
        <w:jc w:val="center"/>
        <w:tblBorders>
          <w:top w:val="single" w:sz="4" w:space="0" w:color="00AD68"/>
          <w:left w:val="none" w:sz="0" w:space="0" w:color="auto"/>
          <w:bottom w:val="single" w:sz="4" w:space="0" w:color="00AD68"/>
          <w:right w:val="none" w:sz="0" w:space="0" w:color="auto"/>
          <w:insideH w:val="single" w:sz="4" w:space="0" w:color="00AD68"/>
          <w:insideV w:val="none" w:sz="0" w:space="0" w:color="auto"/>
        </w:tblBorders>
        <w:tblLook w:val="04A0" w:firstRow="1" w:lastRow="0" w:firstColumn="1" w:lastColumn="0" w:noHBand="0" w:noVBand="1"/>
      </w:tblPr>
      <w:tblGrid>
        <w:gridCol w:w="2632"/>
        <w:gridCol w:w="3646"/>
        <w:gridCol w:w="3646"/>
      </w:tblGrid>
      <w:tr w:rsidR="00720321" w:rsidRPr="00F220D6" w14:paraId="75D9F518" w14:textId="77777777" w:rsidTr="00720321">
        <w:trPr>
          <w:cnfStyle w:val="100000000000" w:firstRow="1" w:lastRow="0" w:firstColumn="0" w:lastColumn="0" w:oddVBand="0" w:evenVBand="0" w:oddHBand="0" w:evenHBand="0" w:firstRowFirstColumn="0" w:firstRowLastColumn="0" w:lastRowFirstColumn="0" w:lastRowLastColumn="0"/>
          <w:jc w:val="center"/>
        </w:trPr>
        <w:tc>
          <w:tcPr>
            <w:tcW w:w="2632" w:type="dxa"/>
            <w:shd w:val="clear" w:color="auto" w:fill="D9D9D9" w:themeFill="background1" w:themeFillShade="D9"/>
          </w:tcPr>
          <w:p w14:paraId="33A71FC9" w14:textId="77777777" w:rsidR="00720321" w:rsidRPr="00F220D6" w:rsidRDefault="00720321" w:rsidP="00720321">
            <w:pPr>
              <w:pStyle w:val="TableHeading"/>
              <w:keepNext/>
              <w:keepLines/>
            </w:pPr>
            <w:r w:rsidRPr="00F220D6">
              <w:t>Obligation</w:t>
            </w:r>
          </w:p>
        </w:tc>
        <w:tc>
          <w:tcPr>
            <w:tcW w:w="3646" w:type="dxa"/>
            <w:shd w:val="clear" w:color="auto" w:fill="D9D9D9" w:themeFill="background1" w:themeFillShade="D9"/>
          </w:tcPr>
          <w:p w14:paraId="2D7B4261" w14:textId="77777777" w:rsidR="00720321" w:rsidRPr="00F220D6" w:rsidRDefault="00720321" w:rsidP="00720321">
            <w:pPr>
              <w:pStyle w:val="TableHeading"/>
              <w:keepNext/>
              <w:keepLines/>
            </w:pPr>
            <w:r w:rsidRPr="00F220D6">
              <w:t>Problem</w:t>
            </w:r>
          </w:p>
        </w:tc>
        <w:tc>
          <w:tcPr>
            <w:tcW w:w="3646" w:type="dxa"/>
            <w:shd w:val="clear" w:color="auto" w:fill="D9D9D9" w:themeFill="background1" w:themeFillShade="D9"/>
          </w:tcPr>
          <w:p w14:paraId="6CAE4D57" w14:textId="77777777" w:rsidR="00720321" w:rsidRPr="00F220D6" w:rsidRDefault="00720321" w:rsidP="00720321">
            <w:pPr>
              <w:pStyle w:val="TableHeading"/>
              <w:keepNext/>
              <w:keepLines/>
            </w:pPr>
            <w:r w:rsidRPr="00F220D6">
              <w:t xml:space="preserve">Some possible </w:t>
            </w:r>
            <w:r>
              <w:t xml:space="preserve">reform </w:t>
            </w:r>
            <w:r w:rsidRPr="00F220D6">
              <w:t>options</w:t>
            </w:r>
          </w:p>
        </w:tc>
      </w:tr>
      <w:tr w:rsidR="00720321" w:rsidRPr="00F220D6" w14:paraId="44BBF990" w14:textId="77777777" w:rsidTr="00720321">
        <w:trPr>
          <w:cnfStyle w:val="000000100000" w:firstRow="0" w:lastRow="0" w:firstColumn="0" w:lastColumn="0" w:oddVBand="0" w:evenVBand="0" w:oddHBand="1" w:evenHBand="0" w:firstRowFirstColumn="0" w:firstRowLastColumn="0" w:lastRowFirstColumn="0" w:lastRowLastColumn="0"/>
          <w:jc w:val="center"/>
        </w:trPr>
        <w:tc>
          <w:tcPr>
            <w:tcW w:w="2632" w:type="dxa"/>
          </w:tcPr>
          <w:p w14:paraId="459C888A" w14:textId="77777777" w:rsidR="00720321" w:rsidRPr="00B97AF2" w:rsidRDefault="00720321" w:rsidP="00720321">
            <w:pPr>
              <w:pStyle w:val="TableText"/>
              <w:keepNext/>
              <w:keepLines/>
              <w:rPr>
                <w:sz w:val="18"/>
              </w:rPr>
            </w:pPr>
            <w:r w:rsidRPr="00B97AF2">
              <w:rPr>
                <w:sz w:val="18"/>
              </w:rPr>
              <w:t>Reduction of hazardous waste generation</w:t>
            </w:r>
            <w:r w:rsidR="00EF2366">
              <w:rPr>
                <w:sz w:val="18"/>
              </w:rPr>
              <w:t>.</w:t>
            </w:r>
          </w:p>
        </w:tc>
        <w:tc>
          <w:tcPr>
            <w:tcW w:w="3646" w:type="dxa"/>
          </w:tcPr>
          <w:p w14:paraId="212EE27D" w14:textId="77777777" w:rsidR="00720321" w:rsidRPr="00B97AF2" w:rsidRDefault="00720321" w:rsidP="00720321">
            <w:pPr>
              <w:pStyle w:val="TableText"/>
              <w:keepNext/>
              <w:keepLines/>
              <w:numPr>
                <w:ilvl w:val="0"/>
                <w:numId w:val="31"/>
              </w:numPr>
              <w:ind w:left="374" w:hanging="284"/>
              <w:rPr>
                <w:sz w:val="18"/>
              </w:rPr>
            </w:pPr>
            <w:r w:rsidRPr="00B97AF2">
              <w:rPr>
                <w:sz w:val="18"/>
              </w:rPr>
              <w:t>Australian generation of hazardous waste is increasing.</w:t>
            </w:r>
          </w:p>
          <w:p w14:paraId="1EB38C69" w14:textId="77777777" w:rsidR="00720321" w:rsidRPr="00B97AF2" w:rsidRDefault="00720321" w:rsidP="00720321">
            <w:pPr>
              <w:pStyle w:val="TableText"/>
              <w:keepNext/>
              <w:keepLines/>
              <w:numPr>
                <w:ilvl w:val="0"/>
                <w:numId w:val="31"/>
              </w:numPr>
              <w:ind w:left="374" w:hanging="284"/>
              <w:rPr>
                <w:sz w:val="18"/>
              </w:rPr>
            </w:pPr>
            <w:r w:rsidRPr="00B97AF2">
              <w:rPr>
                <w:sz w:val="18"/>
              </w:rPr>
              <w:t>Australia does not have a coordinated national policy to avoid and minimise the generation of hazardous waste.</w:t>
            </w:r>
          </w:p>
        </w:tc>
        <w:tc>
          <w:tcPr>
            <w:tcW w:w="3646" w:type="dxa"/>
          </w:tcPr>
          <w:p w14:paraId="691E580E" w14:textId="77777777" w:rsidR="00720321" w:rsidRPr="00B97AF2" w:rsidRDefault="00720321" w:rsidP="00720321">
            <w:pPr>
              <w:pStyle w:val="TableText"/>
              <w:keepNext/>
              <w:keepLines/>
              <w:numPr>
                <w:ilvl w:val="0"/>
                <w:numId w:val="31"/>
              </w:numPr>
              <w:ind w:left="374" w:hanging="284"/>
              <w:rPr>
                <w:sz w:val="18"/>
              </w:rPr>
            </w:pPr>
            <w:r w:rsidRPr="00B97AF2">
              <w:rPr>
                <w:sz w:val="18"/>
              </w:rPr>
              <w:t>Improve knowledge of hazardous waste generation, including sources.</w:t>
            </w:r>
          </w:p>
          <w:p w14:paraId="4C250EF7" w14:textId="77777777" w:rsidR="00720321" w:rsidRPr="00B97AF2" w:rsidRDefault="00720321" w:rsidP="00720321">
            <w:pPr>
              <w:pStyle w:val="TableText"/>
              <w:keepNext/>
              <w:keepLines/>
              <w:numPr>
                <w:ilvl w:val="0"/>
                <w:numId w:val="31"/>
              </w:numPr>
              <w:ind w:left="374" w:hanging="284"/>
              <w:rPr>
                <w:sz w:val="18"/>
              </w:rPr>
            </w:pPr>
            <w:r w:rsidRPr="00B97AF2">
              <w:rPr>
                <w:sz w:val="18"/>
              </w:rPr>
              <w:t>Coordinate a national approach to sending price and regulatory signals to avoid and minimise hazardous waste generation.</w:t>
            </w:r>
          </w:p>
        </w:tc>
      </w:tr>
      <w:tr w:rsidR="00720321" w:rsidRPr="00F220D6" w14:paraId="6BFFAF06" w14:textId="77777777" w:rsidTr="00720321">
        <w:trPr>
          <w:cnfStyle w:val="000000010000" w:firstRow="0" w:lastRow="0" w:firstColumn="0" w:lastColumn="0" w:oddVBand="0" w:evenVBand="0" w:oddHBand="0" w:evenHBand="1" w:firstRowFirstColumn="0" w:firstRowLastColumn="0" w:lastRowFirstColumn="0" w:lastRowLastColumn="0"/>
          <w:jc w:val="center"/>
        </w:trPr>
        <w:tc>
          <w:tcPr>
            <w:tcW w:w="2632" w:type="dxa"/>
          </w:tcPr>
          <w:p w14:paraId="7A61EF5D" w14:textId="77777777" w:rsidR="00720321" w:rsidRPr="00B97AF2" w:rsidRDefault="00720321" w:rsidP="00720321">
            <w:pPr>
              <w:pStyle w:val="TableText"/>
              <w:keepNext/>
              <w:keepLines/>
              <w:rPr>
                <w:sz w:val="18"/>
              </w:rPr>
            </w:pPr>
            <w:r w:rsidRPr="00B97AF2">
              <w:rPr>
                <w:sz w:val="18"/>
              </w:rPr>
              <w:t>Promotion of environmentally sound management of hazardous wastes, wherever the place of disposal</w:t>
            </w:r>
            <w:r w:rsidR="00EF2366">
              <w:rPr>
                <w:sz w:val="18"/>
              </w:rPr>
              <w:t>.</w:t>
            </w:r>
          </w:p>
        </w:tc>
        <w:tc>
          <w:tcPr>
            <w:tcW w:w="3646" w:type="dxa"/>
          </w:tcPr>
          <w:p w14:paraId="1A28ABC3" w14:textId="77777777" w:rsidR="00720321" w:rsidRPr="00B97AF2" w:rsidRDefault="00720321" w:rsidP="00720321">
            <w:pPr>
              <w:pStyle w:val="TableText"/>
              <w:keepNext/>
              <w:keepLines/>
              <w:numPr>
                <w:ilvl w:val="0"/>
                <w:numId w:val="31"/>
              </w:numPr>
              <w:ind w:left="374" w:hanging="284"/>
              <w:rPr>
                <w:sz w:val="18"/>
              </w:rPr>
            </w:pPr>
            <w:r w:rsidRPr="00B97AF2">
              <w:rPr>
                <w:sz w:val="18"/>
              </w:rPr>
              <w:t>Aspects of current hazardous waste management may not be environmentally sound, especially as knowledge improves.</w:t>
            </w:r>
          </w:p>
          <w:p w14:paraId="25521DC0" w14:textId="77777777" w:rsidR="00720321" w:rsidRPr="00B97AF2" w:rsidRDefault="00720321" w:rsidP="00720321">
            <w:pPr>
              <w:pStyle w:val="TableText"/>
              <w:keepNext/>
              <w:keepLines/>
              <w:numPr>
                <w:ilvl w:val="0"/>
                <w:numId w:val="31"/>
              </w:numPr>
              <w:ind w:left="374" w:hanging="284"/>
              <w:rPr>
                <w:sz w:val="18"/>
              </w:rPr>
            </w:pPr>
            <w:r w:rsidRPr="00B97AF2">
              <w:rPr>
                <w:sz w:val="18"/>
              </w:rPr>
              <w:t>Recovery and recycling of resources from hazardous waste flows is at a low level, leading to economic cost and waste of resources.</w:t>
            </w:r>
          </w:p>
        </w:tc>
        <w:tc>
          <w:tcPr>
            <w:tcW w:w="3646" w:type="dxa"/>
          </w:tcPr>
          <w:p w14:paraId="5A4C1448" w14:textId="77777777" w:rsidR="00720321" w:rsidRPr="00B97AF2" w:rsidRDefault="00720321" w:rsidP="00720321">
            <w:pPr>
              <w:pStyle w:val="TableText"/>
              <w:keepNext/>
              <w:keepLines/>
              <w:numPr>
                <w:ilvl w:val="0"/>
                <w:numId w:val="31"/>
              </w:numPr>
              <w:ind w:left="374" w:hanging="284"/>
              <w:rPr>
                <w:sz w:val="18"/>
              </w:rPr>
            </w:pPr>
            <w:r w:rsidRPr="00B97AF2">
              <w:rPr>
                <w:sz w:val="18"/>
              </w:rPr>
              <w:t>Better data and reporting.</w:t>
            </w:r>
          </w:p>
          <w:p w14:paraId="33B2FD93" w14:textId="77777777" w:rsidR="00720321" w:rsidRPr="00B97AF2" w:rsidRDefault="00720321" w:rsidP="00720321">
            <w:pPr>
              <w:pStyle w:val="TableText"/>
              <w:keepNext/>
              <w:keepLines/>
              <w:numPr>
                <w:ilvl w:val="0"/>
                <w:numId w:val="31"/>
              </w:numPr>
              <w:ind w:left="374" w:hanging="284"/>
              <w:rPr>
                <w:sz w:val="18"/>
              </w:rPr>
            </w:pPr>
            <w:r w:rsidRPr="00B97AF2">
              <w:rPr>
                <w:sz w:val="18"/>
              </w:rPr>
              <w:t>Consistent national tracking (inter and intra state) of hazardous wastes.</w:t>
            </w:r>
          </w:p>
          <w:p w14:paraId="74B6CE0F" w14:textId="77777777" w:rsidR="00720321" w:rsidRPr="00B97AF2" w:rsidRDefault="00720321" w:rsidP="00720321">
            <w:pPr>
              <w:pStyle w:val="TableText"/>
              <w:keepNext/>
              <w:keepLines/>
              <w:numPr>
                <w:ilvl w:val="0"/>
                <w:numId w:val="31"/>
              </w:numPr>
              <w:ind w:left="374" w:hanging="284"/>
              <w:rPr>
                <w:sz w:val="18"/>
              </w:rPr>
            </w:pPr>
            <w:r w:rsidRPr="00B97AF2">
              <w:rPr>
                <w:sz w:val="18"/>
              </w:rPr>
              <w:t>Domestic hazardous waste infrastructure available and accessible, including for intractable wastes.</w:t>
            </w:r>
          </w:p>
          <w:p w14:paraId="240C179A" w14:textId="77777777" w:rsidR="00720321" w:rsidRPr="00B97AF2" w:rsidRDefault="00720321" w:rsidP="00720321">
            <w:pPr>
              <w:pStyle w:val="TableText"/>
              <w:keepNext/>
              <w:keepLines/>
              <w:numPr>
                <w:ilvl w:val="0"/>
                <w:numId w:val="31"/>
              </w:numPr>
              <w:ind w:left="374" w:hanging="284"/>
              <w:rPr>
                <w:sz w:val="18"/>
              </w:rPr>
            </w:pPr>
            <w:r w:rsidRPr="00B97AF2">
              <w:rPr>
                <w:sz w:val="18"/>
              </w:rPr>
              <w:t>Pricing and regulatory signals support dealing with hazardous waste in accord</w:t>
            </w:r>
            <w:r w:rsidR="009B05E2">
              <w:rPr>
                <w:sz w:val="18"/>
              </w:rPr>
              <w:t>ance</w:t>
            </w:r>
            <w:r w:rsidRPr="00B97AF2">
              <w:rPr>
                <w:sz w:val="18"/>
              </w:rPr>
              <w:t xml:space="preserve"> with the principles of the waste hierarchy.</w:t>
            </w:r>
          </w:p>
          <w:p w14:paraId="7EF2360C" w14:textId="77777777" w:rsidR="00720321" w:rsidRPr="00B97AF2" w:rsidRDefault="00720321" w:rsidP="00720321">
            <w:pPr>
              <w:pStyle w:val="TableText"/>
              <w:keepNext/>
              <w:keepLines/>
              <w:numPr>
                <w:ilvl w:val="0"/>
                <w:numId w:val="31"/>
              </w:numPr>
              <w:ind w:left="374" w:hanging="284"/>
              <w:rPr>
                <w:sz w:val="18"/>
              </w:rPr>
            </w:pPr>
            <w:r w:rsidRPr="00B97AF2">
              <w:rPr>
                <w:sz w:val="18"/>
              </w:rPr>
              <w:t>Integration of product stewardship and hazardous waste activities.</w:t>
            </w:r>
          </w:p>
          <w:p w14:paraId="2D107906" w14:textId="77777777" w:rsidR="00720321" w:rsidRPr="00B97AF2" w:rsidRDefault="00720321" w:rsidP="00720321">
            <w:pPr>
              <w:pStyle w:val="TableText"/>
              <w:keepNext/>
              <w:keepLines/>
              <w:numPr>
                <w:ilvl w:val="0"/>
                <w:numId w:val="31"/>
              </w:numPr>
              <w:ind w:left="374" w:hanging="284"/>
              <w:rPr>
                <w:sz w:val="18"/>
              </w:rPr>
            </w:pPr>
            <w:r w:rsidRPr="00B97AF2">
              <w:rPr>
                <w:sz w:val="18"/>
              </w:rPr>
              <w:t>Harmonisation of transport and environmental regulations.</w:t>
            </w:r>
          </w:p>
        </w:tc>
      </w:tr>
      <w:tr w:rsidR="00720321" w:rsidRPr="00F220D6" w14:paraId="0A2D0DC9" w14:textId="77777777" w:rsidTr="00720321">
        <w:trPr>
          <w:cnfStyle w:val="000000100000" w:firstRow="0" w:lastRow="0" w:firstColumn="0" w:lastColumn="0" w:oddVBand="0" w:evenVBand="0" w:oddHBand="1" w:evenHBand="0" w:firstRowFirstColumn="0" w:firstRowLastColumn="0" w:lastRowFirstColumn="0" w:lastRowLastColumn="0"/>
          <w:jc w:val="center"/>
        </w:trPr>
        <w:tc>
          <w:tcPr>
            <w:tcW w:w="2632" w:type="dxa"/>
          </w:tcPr>
          <w:p w14:paraId="4AEA5CD6" w14:textId="77777777" w:rsidR="00720321" w:rsidRPr="00B97AF2" w:rsidRDefault="00720321" w:rsidP="00720321">
            <w:pPr>
              <w:pStyle w:val="TableText"/>
              <w:keepNext/>
              <w:keepLines/>
              <w:rPr>
                <w:sz w:val="18"/>
              </w:rPr>
            </w:pPr>
            <w:r w:rsidRPr="00B97AF2">
              <w:rPr>
                <w:sz w:val="18"/>
              </w:rPr>
              <w:t>Restriction of transboundary movements of hazardous wastes, except where it is perceived to be in accordance with the principles of environmentally sound management</w:t>
            </w:r>
            <w:r w:rsidR="00EF2366">
              <w:rPr>
                <w:sz w:val="18"/>
              </w:rPr>
              <w:t>.</w:t>
            </w:r>
          </w:p>
        </w:tc>
        <w:tc>
          <w:tcPr>
            <w:tcW w:w="3646" w:type="dxa"/>
          </w:tcPr>
          <w:p w14:paraId="1BF847B3" w14:textId="77777777" w:rsidR="00720321" w:rsidRPr="00B97AF2" w:rsidRDefault="00720321" w:rsidP="00720321">
            <w:pPr>
              <w:pStyle w:val="TableText"/>
              <w:keepNext/>
              <w:keepLines/>
              <w:numPr>
                <w:ilvl w:val="0"/>
                <w:numId w:val="31"/>
              </w:numPr>
              <w:ind w:left="374" w:hanging="284"/>
              <w:rPr>
                <w:sz w:val="18"/>
              </w:rPr>
            </w:pPr>
            <w:r w:rsidRPr="00B97AF2">
              <w:rPr>
                <w:sz w:val="18"/>
              </w:rPr>
              <w:t>Out of date legislation is preventing efficient and effective regulation of transboundary movements, including appropriate compliance and enforcement activities.</w:t>
            </w:r>
          </w:p>
          <w:p w14:paraId="1EE35C38" w14:textId="77777777" w:rsidR="00720321" w:rsidRPr="00B97AF2" w:rsidRDefault="00720321" w:rsidP="00720321">
            <w:pPr>
              <w:pStyle w:val="TableText"/>
              <w:keepNext/>
              <w:keepLines/>
              <w:numPr>
                <w:ilvl w:val="0"/>
                <w:numId w:val="31"/>
              </w:numPr>
              <w:ind w:left="374" w:hanging="284"/>
              <w:rPr>
                <w:sz w:val="18"/>
              </w:rPr>
            </w:pPr>
            <w:r w:rsidRPr="00B97AF2">
              <w:rPr>
                <w:sz w:val="18"/>
              </w:rPr>
              <w:t>Stockpiling or landfill disposal of hazardous wastes continues, though more environmentally sound fates are available in Australia or overseas.</w:t>
            </w:r>
          </w:p>
        </w:tc>
        <w:tc>
          <w:tcPr>
            <w:tcW w:w="3646" w:type="dxa"/>
          </w:tcPr>
          <w:p w14:paraId="1355A10B" w14:textId="77777777" w:rsidR="00720321" w:rsidRPr="00B97AF2" w:rsidRDefault="00720321" w:rsidP="00720321">
            <w:pPr>
              <w:pStyle w:val="TableText"/>
              <w:keepNext/>
              <w:keepLines/>
              <w:numPr>
                <w:ilvl w:val="0"/>
                <w:numId w:val="31"/>
              </w:numPr>
              <w:ind w:left="374" w:hanging="284"/>
              <w:rPr>
                <w:sz w:val="18"/>
              </w:rPr>
            </w:pPr>
            <w:r w:rsidRPr="00B97AF2">
              <w:rPr>
                <w:sz w:val="18"/>
              </w:rPr>
              <w:t xml:space="preserve">Update the </w:t>
            </w:r>
            <w:r w:rsidRPr="00B97AF2">
              <w:rPr>
                <w:i/>
                <w:sz w:val="18"/>
              </w:rPr>
              <w:t>Hazardous Waste (Regulation of Exports and Imports Act 1989</w:t>
            </w:r>
            <w:r w:rsidRPr="00B97AF2">
              <w:rPr>
                <w:sz w:val="18"/>
              </w:rPr>
              <w:t xml:space="preserve"> and regulations.</w:t>
            </w:r>
          </w:p>
          <w:p w14:paraId="570FEE86" w14:textId="77777777" w:rsidR="00720321" w:rsidRPr="00B97AF2" w:rsidRDefault="00720321" w:rsidP="00720321">
            <w:pPr>
              <w:pStyle w:val="TableText"/>
              <w:keepNext/>
              <w:keepLines/>
              <w:numPr>
                <w:ilvl w:val="0"/>
                <w:numId w:val="31"/>
              </w:numPr>
              <w:ind w:left="374" w:hanging="284"/>
              <w:rPr>
                <w:sz w:val="18"/>
              </w:rPr>
            </w:pPr>
            <w:r w:rsidRPr="00B97AF2">
              <w:rPr>
                <w:sz w:val="18"/>
              </w:rPr>
              <w:t>Develop a coordinated approach with relevant jurisdictions to problematic hazardous waste stockpiles and landfill disposal, including to support product stewardship.</w:t>
            </w:r>
          </w:p>
          <w:p w14:paraId="193E681E" w14:textId="77777777" w:rsidR="00720321" w:rsidRPr="00B97AF2" w:rsidRDefault="00720321" w:rsidP="00720321">
            <w:pPr>
              <w:pStyle w:val="TableText"/>
              <w:keepNext/>
              <w:keepLines/>
              <w:numPr>
                <w:ilvl w:val="0"/>
                <w:numId w:val="31"/>
              </w:numPr>
              <w:ind w:left="374" w:hanging="284"/>
              <w:rPr>
                <w:sz w:val="18"/>
              </w:rPr>
            </w:pPr>
            <w:r w:rsidRPr="00B97AF2">
              <w:rPr>
                <w:sz w:val="18"/>
              </w:rPr>
              <w:t>Domestic hazardous waste infrastructure available and accessible, including for intractable wastes.</w:t>
            </w:r>
          </w:p>
        </w:tc>
      </w:tr>
      <w:tr w:rsidR="00720321" w:rsidRPr="00F220D6" w14:paraId="38833BA5" w14:textId="77777777" w:rsidTr="00720321">
        <w:trPr>
          <w:cnfStyle w:val="000000010000" w:firstRow="0" w:lastRow="0" w:firstColumn="0" w:lastColumn="0" w:oddVBand="0" w:evenVBand="0" w:oddHBand="0" w:evenHBand="1" w:firstRowFirstColumn="0" w:firstRowLastColumn="0" w:lastRowFirstColumn="0" w:lastRowLastColumn="0"/>
          <w:jc w:val="center"/>
        </w:trPr>
        <w:tc>
          <w:tcPr>
            <w:tcW w:w="2632" w:type="dxa"/>
          </w:tcPr>
          <w:p w14:paraId="7D76850C" w14:textId="77777777" w:rsidR="00720321" w:rsidRPr="00B97AF2" w:rsidRDefault="00720321" w:rsidP="00720321">
            <w:pPr>
              <w:pStyle w:val="TableText"/>
              <w:keepNext/>
              <w:keepLines/>
              <w:rPr>
                <w:sz w:val="18"/>
              </w:rPr>
            </w:pPr>
            <w:r w:rsidRPr="00B97AF2">
              <w:rPr>
                <w:sz w:val="18"/>
              </w:rPr>
              <w:t>A regulatory system applying to cases where transboundary (i.e. international) movements are permissible</w:t>
            </w:r>
            <w:r w:rsidR="00EF2366">
              <w:rPr>
                <w:sz w:val="18"/>
              </w:rPr>
              <w:t>.</w:t>
            </w:r>
          </w:p>
        </w:tc>
        <w:tc>
          <w:tcPr>
            <w:tcW w:w="3646" w:type="dxa"/>
          </w:tcPr>
          <w:p w14:paraId="46DB23EE" w14:textId="77777777" w:rsidR="00720321" w:rsidRPr="00B97AF2" w:rsidRDefault="00720321" w:rsidP="00720321">
            <w:pPr>
              <w:pStyle w:val="TableText"/>
              <w:keepNext/>
              <w:keepLines/>
              <w:numPr>
                <w:ilvl w:val="0"/>
                <w:numId w:val="31"/>
              </w:numPr>
              <w:ind w:left="374" w:hanging="284"/>
              <w:rPr>
                <w:sz w:val="18"/>
              </w:rPr>
            </w:pPr>
            <w:r w:rsidRPr="00B97AF2">
              <w:rPr>
                <w:sz w:val="18"/>
              </w:rPr>
              <w:t>A regulatory system is in place, but it is out of date, difficult to administer and inefficient.</w:t>
            </w:r>
          </w:p>
        </w:tc>
        <w:tc>
          <w:tcPr>
            <w:tcW w:w="3646" w:type="dxa"/>
          </w:tcPr>
          <w:p w14:paraId="5FFE43FD" w14:textId="77777777" w:rsidR="00720321" w:rsidRPr="00B97AF2" w:rsidRDefault="00720321" w:rsidP="00720321">
            <w:pPr>
              <w:pStyle w:val="TableText"/>
              <w:keepNext/>
              <w:keepLines/>
              <w:numPr>
                <w:ilvl w:val="0"/>
                <w:numId w:val="31"/>
              </w:numPr>
              <w:ind w:left="374" w:hanging="284"/>
              <w:rPr>
                <w:sz w:val="18"/>
              </w:rPr>
            </w:pPr>
            <w:r w:rsidRPr="00B97AF2">
              <w:rPr>
                <w:sz w:val="18"/>
              </w:rPr>
              <w:t xml:space="preserve">Update the </w:t>
            </w:r>
            <w:r w:rsidRPr="00B97AF2">
              <w:rPr>
                <w:i/>
                <w:sz w:val="18"/>
              </w:rPr>
              <w:t>Hazardous Waste (Regulation of Exports and Imports Act 1989</w:t>
            </w:r>
            <w:r w:rsidRPr="00B97AF2">
              <w:rPr>
                <w:sz w:val="18"/>
              </w:rPr>
              <w:t xml:space="preserve"> and regulations.</w:t>
            </w:r>
          </w:p>
        </w:tc>
      </w:tr>
      <w:tr w:rsidR="00720321" w:rsidRPr="00F220D6" w14:paraId="49D42866" w14:textId="77777777" w:rsidTr="00720321">
        <w:trPr>
          <w:cnfStyle w:val="000000100000" w:firstRow="0" w:lastRow="0" w:firstColumn="0" w:lastColumn="0" w:oddVBand="0" w:evenVBand="0" w:oddHBand="1" w:evenHBand="0" w:firstRowFirstColumn="0" w:firstRowLastColumn="0" w:lastRowFirstColumn="0" w:lastRowLastColumn="0"/>
          <w:jc w:val="center"/>
        </w:trPr>
        <w:tc>
          <w:tcPr>
            <w:tcW w:w="2632" w:type="dxa"/>
          </w:tcPr>
          <w:p w14:paraId="1D93F0A6" w14:textId="77777777" w:rsidR="00720321" w:rsidRPr="00B97AF2" w:rsidRDefault="00720321" w:rsidP="00720321">
            <w:pPr>
              <w:pStyle w:val="TableText"/>
              <w:keepNext/>
              <w:keepLines/>
              <w:rPr>
                <w:sz w:val="18"/>
              </w:rPr>
            </w:pPr>
            <w:r w:rsidRPr="00B97AF2">
              <w:rPr>
                <w:sz w:val="18"/>
              </w:rPr>
              <w:t>Annual reporting on hazardous waste</w:t>
            </w:r>
            <w:r w:rsidR="00EF2366">
              <w:rPr>
                <w:sz w:val="18"/>
              </w:rPr>
              <w:t>.</w:t>
            </w:r>
          </w:p>
        </w:tc>
        <w:tc>
          <w:tcPr>
            <w:tcW w:w="3646" w:type="dxa"/>
          </w:tcPr>
          <w:p w14:paraId="4F83E3A0" w14:textId="77777777" w:rsidR="00720321" w:rsidRPr="00B97AF2" w:rsidRDefault="00720321" w:rsidP="00720321">
            <w:pPr>
              <w:pStyle w:val="TableText"/>
              <w:keepNext/>
              <w:keepLines/>
              <w:numPr>
                <w:ilvl w:val="0"/>
                <w:numId w:val="31"/>
              </w:numPr>
              <w:ind w:left="374" w:hanging="284"/>
              <w:rPr>
                <w:sz w:val="18"/>
              </w:rPr>
            </w:pPr>
            <w:r w:rsidRPr="00B97AF2">
              <w:rPr>
                <w:sz w:val="18"/>
              </w:rPr>
              <w:t>Major gaps exist in Australian data and reporting on hazardous wastes.</w:t>
            </w:r>
          </w:p>
          <w:p w14:paraId="11C04A5E" w14:textId="77777777" w:rsidR="00720321" w:rsidRPr="00B97AF2" w:rsidRDefault="00720321" w:rsidP="00720321">
            <w:pPr>
              <w:pStyle w:val="TableText"/>
              <w:keepNext/>
              <w:keepLines/>
              <w:numPr>
                <w:ilvl w:val="0"/>
                <w:numId w:val="31"/>
              </w:numPr>
              <w:ind w:left="374" w:hanging="284"/>
              <w:rPr>
                <w:sz w:val="18"/>
              </w:rPr>
            </w:pPr>
            <w:r w:rsidRPr="00B97AF2">
              <w:rPr>
                <w:sz w:val="18"/>
              </w:rPr>
              <w:t>Data is not easily available, accurate, up to date and presented at useful scales for participants in domestic markets, including regulators and industry.</w:t>
            </w:r>
          </w:p>
        </w:tc>
        <w:tc>
          <w:tcPr>
            <w:tcW w:w="3646" w:type="dxa"/>
          </w:tcPr>
          <w:p w14:paraId="18F1B871" w14:textId="77777777" w:rsidR="00720321" w:rsidRPr="00B97AF2" w:rsidRDefault="00720321" w:rsidP="00720321">
            <w:pPr>
              <w:pStyle w:val="TableText"/>
              <w:keepNext/>
              <w:keepLines/>
              <w:numPr>
                <w:ilvl w:val="0"/>
                <w:numId w:val="31"/>
              </w:numPr>
              <w:ind w:left="374" w:hanging="284"/>
              <w:rPr>
                <w:sz w:val="18"/>
              </w:rPr>
            </w:pPr>
            <w:r w:rsidRPr="00B97AF2">
              <w:rPr>
                <w:sz w:val="18"/>
              </w:rPr>
              <w:t>Improve Australia’s hazardous waste domestic and international data and reporting.</w:t>
            </w:r>
          </w:p>
          <w:p w14:paraId="0C3D74B0" w14:textId="77777777" w:rsidR="00720321" w:rsidRPr="00B97AF2" w:rsidRDefault="00720321" w:rsidP="00720321">
            <w:pPr>
              <w:pStyle w:val="TableText"/>
              <w:keepNext/>
              <w:keepLines/>
              <w:numPr>
                <w:ilvl w:val="0"/>
                <w:numId w:val="31"/>
              </w:numPr>
              <w:ind w:left="374" w:hanging="284"/>
              <w:rPr>
                <w:sz w:val="18"/>
              </w:rPr>
            </w:pPr>
            <w:r w:rsidRPr="00B97AF2">
              <w:rPr>
                <w:sz w:val="18"/>
              </w:rPr>
              <w:t>Consistent nat</w:t>
            </w:r>
            <w:r>
              <w:rPr>
                <w:sz w:val="18"/>
              </w:rPr>
              <w:t>ional tracking (inter and intra-</w:t>
            </w:r>
            <w:r w:rsidRPr="00B97AF2">
              <w:rPr>
                <w:sz w:val="18"/>
              </w:rPr>
              <w:t>state) of hazardous wastes to fill in key data gaps and ensure environmentally sound management is taking place.</w:t>
            </w:r>
          </w:p>
          <w:p w14:paraId="2CB228CE" w14:textId="77777777" w:rsidR="00720321" w:rsidRPr="00B97AF2" w:rsidRDefault="00720321" w:rsidP="00720321">
            <w:pPr>
              <w:pStyle w:val="TableText"/>
              <w:keepNext/>
              <w:keepLines/>
              <w:numPr>
                <w:ilvl w:val="0"/>
                <w:numId w:val="31"/>
              </w:numPr>
              <w:ind w:left="374" w:hanging="284"/>
              <w:rPr>
                <w:sz w:val="18"/>
              </w:rPr>
            </w:pPr>
            <w:r w:rsidRPr="00B97AF2">
              <w:rPr>
                <w:sz w:val="18"/>
              </w:rPr>
              <w:t>Integrate hazardous and non-hazardous waste data and reporting.</w:t>
            </w:r>
          </w:p>
        </w:tc>
      </w:tr>
    </w:tbl>
    <w:p w14:paraId="6B1EA86B" w14:textId="77777777" w:rsidR="00720321" w:rsidRDefault="00720321" w:rsidP="00720321"/>
    <w:p w14:paraId="12300922" w14:textId="61F5C90B" w:rsidR="00720321" w:rsidRDefault="00720321" w:rsidP="00720321">
      <w:r>
        <w:t xml:space="preserve">Note that the reform options outlined in the table above, as well as other options, are addressed in the list of reform options provided in Section </w:t>
      </w:r>
      <w:r w:rsidR="007B2B2A">
        <w:fldChar w:fldCharType="begin"/>
      </w:r>
      <w:r>
        <w:instrText xml:space="preserve"> REF _Ref424899765 \r \h </w:instrText>
      </w:r>
      <w:r w:rsidR="007B2B2A">
        <w:fldChar w:fldCharType="separate"/>
      </w:r>
      <w:r w:rsidR="00C40366">
        <w:t>2</w:t>
      </w:r>
      <w:r w:rsidR="007B2B2A">
        <w:fldChar w:fldCharType="end"/>
      </w:r>
      <w:r>
        <w:t xml:space="preserve"> of this </w:t>
      </w:r>
      <w:r w:rsidR="006F26E7">
        <w:t>report</w:t>
      </w:r>
      <w:r>
        <w:t>.</w:t>
      </w:r>
    </w:p>
    <w:p w14:paraId="57DB255B" w14:textId="77777777" w:rsidR="00720321" w:rsidRPr="00DD277B" w:rsidRDefault="00720321" w:rsidP="00720321">
      <w:pPr>
        <w:pStyle w:val="Heading2"/>
        <w:numPr>
          <w:ilvl w:val="1"/>
          <w:numId w:val="2"/>
        </w:numPr>
        <w:ind w:left="1134" w:hanging="1134"/>
      </w:pPr>
      <w:bookmarkStart w:id="16" w:name="_Ref418605252"/>
      <w:bookmarkStart w:id="17" w:name="_Toc420568924"/>
      <w:bookmarkStart w:id="18" w:name="_Toc426022021"/>
      <w:r>
        <w:lastRenderedPageBreak/>
        <w:t>Context to hazardous waste reform</w:t>
      </w:r>
      <w:bookmarkEnd w:id="16"/>
      <w:bookmarkEnd w:id="17"/>
      <w:bookmarkEnd w:id="18"/>
    </w:p>
    <w:p w14:paraId="0D350341" w14:textId="77777777" w:rsidR="00720321" w:rsidRDefault="00720321" w:rsidP="00720321">
      <w:r w:rsidRPr="00DD277B">
        <w:t xml:space="preserve">To assist in understanding the context of this project, provided </w:t>
      </w:r>
      <w:r>
        <w:t>here</w:t>
      </w:r>
      <w:r w:rsidRPr="00DD277B">
        <w:t xml:space="preserve"> </w:t>
      </w:r>
      <w:r>
        <w:t>are</w:t>
      </w:r>
      <w:r w:rsidRPr="00DD277B">
        <w:t xml:space="preserve"> outline</w:t>
      </w:r>
      <w:r>
        <w:t>s</w:t>
      </w:r>
      <w:r w:rsidRPr="00DD277B">
        <w:t xml:space="preserve"> of the Department of the Environment and other Commonwealth agencies </w:t>
      </w:r>
      <w:r>
        <w:t>policy objectives and areas of</w:t>
      </w:r>
      <w:r w:rsidRPr="00DD277B">
        <w:t xml:space="preserve"> remit </w:t>
      </w:r>
      <w:r>
        <w:t>in relation to hazardous waste.</w:t>
      </w:r>
    </w:p>
    <w:p w14:paraId="45CA9D5E" w14:textId="77777777" w:rsidR="00720321" w:rsidRDefault="00720321" w:rsidP="00720321">
      <w:pPr>
        <w:pStyle w:val="Heading3"/>
        <w:numPr>
          <w:ilvl w:val="2"/>
          <w:numId w:val="2"/>
        </w:numPr>
        <w:ind w:left="1134" w:hanging="1134"/>
      </w:pPr>
      <w:r>
        <w:t>Federal policy objectives of hazardous waste reform</w:t>
      </w:r>
    </w:p>
    <w:p w14:paraId="0904074D" w14:textId="77777777" w:rsidR="00720321" w:rsidRDefault="00720321" w:rsidP="00720321">
      <w:r>
        <w:t>At the Federal level the policy objectives of this reform process are to improve Australian hazardous waste management, markets and regulation. This will be done by working with the states and territories, and also other stakeholder groups.</w:t>
      </w:r>
    </w:p>
    <w:p w14:paraId="7A98DAE1" w14:textId="77777777" w:rsidR="00720321" w:rsidRDefault="00720321" w:rsidP="00720321">
      <w:pPr>
        <w:pStyle w:val="Heading4"/>
      </w:pPr>
      <w:r w:rsidRPr="00632671">
        <w:t>How will Commonwealth agencies achieve this?</w:t>
      </w:r>
    </w:p>
    <w:p w14:paraId="5511D5A2" w14:textId="77777777" w:rsidR="00720321" w:rsidRPr="00CF27A5" w:rsidRDefault="00720321" w:rsidP="00720321">
      <w:pPr>
        <w:rPr>
          <w:lang w:val="en-US"/>
        </w:rPr>
      </w:pPr>
      <w:r>
        <w:rPr>
          <w:lang w:val="en-US"/>
        </w:rPr>
        <w:t>The Commonwealth will achieve its policy objectives by:</w:t>
      </w:r>
    </w:p>
    <w:p w14:paraId="283D9746" w14:textId="77777777" w:rsidR="00720321" w:rsidRPr="00D9751B" w:rsidRDefault="00720321" w:rsidP="00720321">
      <w:pPr>
        <w:pStyle w:val="BulletPoints"/>
      </w:pPr>
      <w:r w:rsidRPr="00D9751B">
        <w:t>amending national hazardous waste legislation</w:t>
      </w:r>
    </w:p>
    <w:p w14:paraId="5DE10FBA" w14:textId="77777777" w:rsidR="00720321" w:rsidRDefault="00720321" w:rsidP="00720321">
      <w:pPr>
        <w:pStyle w:val="BulletPoints"/>
      </w:pPr>
      <w:r>
        <w:t>pursuing harmonisation with other policy areas (such as transport)</w:t>
      </w:r>
    </w:p>
    <w:p w14:paraId="1E252E5C" w14:textId="77777777" w:rsidR="00720321" w:rsidRDefault="00720321" w:rsidP="00720321">
      <w:pPr>
        <w:pStyle w:val="BulletPoints"/>
      </w:pPr>
      <w:r>
        <w:t>enhanced hazardous waste data and reporting (domestic &amp; international)</w:t>
      </w:r>
    </w:p>
    <w:p w14:paraId="13704675" w14:textId="77777777" w:rsidR="00720321" w:rsidRDefault="00720321" w:rsidP="00720321">
      <w:pPr>
        <w:pStyle w:val="BulletPoints"/>
      </w:pPr>
      <w:r>
        <w:t>investigating nationally-consistent inter and intra-state waste tracking</w:t>
      </w:r>
    </w:p>
    <w:p w14:paraId="554BB179" w14:textId="77777777" w:rsidR="00720321" w:rsidRDefault="00720321" w:rsidP="00720321">
      <w:pPr>
        <w:pStyle w:val="BulletPoints"/>
        <w:spacing w:after="240"/>
        <w:ind w:left="1208" w:hanging="357"/>
      </w:pPr>
      <w:r>
        <w:t>providing better information on Australian hazardous waste infrastructure and its capacity.</w:t>
      </w:r>
    </w:p>
    <w:p w14:paraId="53E446EC" w14:textId="77777777" w:rsidR="00720321" w:rsidRPr="00632671" w:rsidRDefault="00720321" w:rsidP="00720321">
      <w:pPr>
        <w:pStyle w:val="Heading4"/>
      </w:pPr>
      <w:r w:rsidRPr="00632671">
        <w:t>What are the reasons for doing this?</w:t>
      </w:r>
    </w:p>
    <w:p w14:paraId="7781AF03" w14:textId="77777777" w:rsidR="00720321" w:rsidRDefault="00720321" w:rsidP="00720321">
      <w:r>
        <w:t>Meet Australia’s international obligations to:</w:t>
      </w:r>
    </w:p>
    <w:p w14:paraId="4523F9C7" w14:textId="77777777" w:rsidR="00720321" w:rsidRDefault="00720321" w:rsidP="00720321">
      <w:pPr>
        <w:pStyle w:val="BulletPoints"/>
      </w:pPr>
      <w:r>
        <w:t>minimise the generation of hazardous waste</w:t>
      </w:r>
    </w:p>
    <w:p w14:paraId="10323285" w14:textId="77777777" w:rsidR="00720321" w:rsidRDefault="00720321" w:rsidP="00720321">
      <w:pPr>
        <w:pStyle w:val="BulletPoints"/>
      </w:pPr>
      <w:r>
        <w:t>ensure that hazardous waste is managed efficiently and effectively</w:t>
      </w:r>
    </w:p>
    <w:p w14:paraId="70C8C904" w14:textId="77777777" w:rsidR="00720321" w:rsidRDefault="00720321" w:rsidP="00720321">
      <w:pPr>
        <w:pStyle w:val="BulletPoints"/>
        <w:spacing w:after="240"/>
        <w:ind w:left="1208" w:hanging="357"/>
      </w:pPr>
      <w:r>
        <w:t>protect human health and the environment.</w:t>
      </w:r>
    </w:p>
    <w:p w14:paraId="61D4A134" w14:textId="77777777" w:rsidR="00720321" w:rsidRDefault="00720321" w:rsidP="00720321">
      <w:pPr>
        <w:pStyle w:val="Heading4"/>
      </w:pPr>
      <w:r w:rsidRPr="00632671">
        <w:t>What are the other reform activity and priorities that relate to this?</w:t>
      </w:r>
    </w:p>
    <w:p w14:paraId="35392062" w14:textId="77777777" w:rsidR="00720321" w:rsidRPr="00CF27A5" w:rsidRDefault="00720321" w:rsidP="00720321">
      <w:pPr>
        <w:rPr>
          <w:lang w:val="en-US"/>
        </w:rPr>
      </w:pPr>
      <w:r>
        <w:rPr>
          <w:lang w:val="en-US"/>
        </w:rPr>
        <w:t>The other areas of reform activity or priority that relate to this reform process are:</w:t>
      </w:r>
    </w:p>
    <w:p w14:paraId="6B9C16EE" w14:textId="77777777" w:rsidR="00720321" w:rsidRDefault="00720321" w:rsidP="00720321">
      <w:pPr>
        <w:pStyle w:val="BulletPoints"/>
      </w:pPr>
      <w:r>
        <w:t>red tape reduction</w:t>
      </w:r>
    </w:p>
    <w:p w14:paraId="5E28A5AA" w14:textId="77777777" w:rsidR="00720321" w:rsidRDefault="00720321" w:rsidP="00720321">
      <w:pPr>
        <w:pStyle w:val="BulletPoints"/>
      </w:pPr>
      <w:r>
        <w:t>developing a national waste data system</w:t>
      </w:r>
    </w:p>
    <w:p w14:paraId="586858AD" w14:textId="77777777" w:rsidR="00720321" w:rsidRDefault="00720321" w:rsidP="00720321">
      <w:pPr>
        <w:pStyle w:val="BulletPoints"/>
        <w:spacing w:after="240"/>
        <w:ind w:left="1208" w:hanging="357"/>
      </w:pPr>
      <w:r>
        <w:t>creating a seamless national economy.</w:t>
      </w:r>
    </w:p>
    <w:p w14:paraId="361ED098" w14:textId="2D2E8D61" w:rsidR="00720321" w:rsidRDefault="00720321" w:rsidP="00720321">
      <w:pPr>
        <w:spacing w:after="240" w:line="240" w:lineRule="auto"/>
      </w:pPr>
      <w:r>
        <w:t xml:space="preserve">The </w:t>
      </w:r>
      <w:r w:rsidRPr="009B32F4">
        <w:t xml:space="preserve">Commonwealth’s </w:t>
      </w:r>
      <w:r>
        <w:t xml:space="preserve">areas of </w:t>
      </w:r>
      <w:r w:rsidR="00A97574">
        <w:t xml:space="preserve">responsibility </w:t>
      </w:r>
      <w:r>
        <w:t xml:space="preserve">for the management of hazardous waste are complex and varied. They relate not just to </w:t>
      </w:r>
      <w:r w:rsidRPr="00096646">
        <w:t xml:space="preserve">transboundary movements of hazardous waste, </w:t>
      </w:r>
      <w:r>
        <w:t>but also to</w:t>
      </w:r>
      <w:r w:rsidRPr="00096646">
        <w:t xml:space="preserve"> other aspects of Australian management of hazardous waste</w:t>
      </w:r>
      <w:r w:rsidRPr="009B32F4">
        <w:t xml:space="preserve">. </w:t>
      </w:r>
      <w:r>
        <w:t>Provide</w:t>
      </w:r>
      <w:r w:rsidR="009B05E2">
        <w:t>d</w:t>
      </w:r>
      <w:r>
        <w:t xml:space="preserve"> immediately below is a current summary of these areas, with greater detail provided over the following pages.</w:t>
      </w:r>
    </w:p>
    <w:p w14:paraId="573538B3" w14:textId="77777777" w:rsidR="00720321" w:rsidRPr="00F22158" w:rsidRDefault="00720321" w:rsidP="00720321">
      <w:pPr>
        <w:keepNext/>
        <w:keepLines/>
        <w:rPr>
          <w:b/>
        </w:rPr>
      </w:pPr>
      <w:r w:rsidRPr="00F22158">
        <w:rPr>
          <w:b/>
        </w:rPr>
        <w:lastRenderedPageBreak/>
        <w:t xml:space="preserve">Figure </w:t>
      </w:r>
      <w:r w:rsidR="007B2B2A" w:rsidRPr="00F22158">
        <w:rPr>
          <w:b/>
        </w:rPr>
        <w:fldChar w:fldCharType="begin"/>
      </w:r>
      <w:r w:rsidRPr="00F22158">
        <w:rPr>
          <w:b/>
        </w:rPr>
        <w:instrText xml:space="preserve"> SEQ Figure \* ARABIC </w:instrText>
      </w:r>
      <w:r w:rsidR="007B2B2A" w:rsidRPr="00F22158">
        <w:rPr>
          <w:b/>
        </w:rPr>
        <w:fldChar w:fldCharType="separate"/>
      </w:r>
      <w:r w:rsidR="00C40366">
        <w:rPr>
          <w:b/>
          <w:noProof/>
        </w:rPr>
        <w:t>1</w:t>
      </w:r>
      <w:r w:rsidR="007B2B2A" w:rsidRPr="00F22158">
        <w:rPr>
          <w:b/>
          <w:noProof/>
        </w:rPr>
        <w:fldChar w:fldCharType="end"/>
      </w:r>
      <w:r w:rsidRPr="00F22158">
        <w:rPr>
          <w:b/>
        </w:rPr>
        <w:t xml:space="preserve"> – </w:t>
      </w:r>
      <w:r w:rsidRPr="00D9751B">
        <w:rPr>
          <w:b/>
        </w:rPr>
        <w:t>Current Aus</w:t>
      </w:r>
      <w:r>
        <w:rPr>
          <w:b/>
        </w:rPr>
        <w:t>t</w:t>
      </w:r>
      <w:r w:rsidRPr="00D9751B">
        <w:rPr>
          <w:b/>
        </w:rPr>
        <w:t>r</w:t>
      </w:r>
      <w:r>
        <w:rPr>
          <w:b/>
        </w:rPr>
        <w:t>a</w:t>
      </w:r>
      <w:r w:rsidRPr="00D9751B">
        <w:rPr>
          <w:b/>
        </w:rPr>
        <w:t>lian Govern</w:t>
      </w:r>
      <w:r>
        <w:rPr>
          <w:b/>
        </w:rPr>
        <w:t>ment</w:t>
      </w:r>
      <w:r w:rsidRPr="00D9751B">
        <w:rPr>
          <w:b/>
        </w:rPr>
        <w:t xml:space="preserve"> involvement in hazardous waste</w:t>
      </w:r>
    </w:p>
    <w:p w14:paraId="2FCD10EE" w14:textId="77777777" w:rsidR="00720321" w:rsidRDefault="00C40366" w:rsidP="00720321">
      <w:pPr>
        <w:spacing w:after="0"/>
      </w:pPr>
      <w:r>
        <w:rPr>
          <w:noProof/>
        </w:rPr>
      </w:r>
      <w:r>
        <w:rPr>
          <w:noProof/>
        </w:rPr>
        <w:pict w14:anchorId="14E8BE41">
          <v:group id="Group 2" o:spid="_x0000_s1026" style="width:453.55pt;height:574.15pt;mso-position-horizontal-relative:char;mso-position-vertical-relative:line" coordorigin="1477,2124" coordsize="8718,11780">
            <v:shapetype id="_x0000_t202" coordsize="21600,21600" o:spt="202" path="m,l,21600r21600,l21600,xe">
              <v:stroke joinstyle="miter"/>
              <v:path gradientshapeok="t" o:connecttype="rect"/>
            </v:shapetype>
            <v:shape id="Text Box 12" o:spid="_x0000_s1027" type="#_x0000_t202" style="position:absolute;left:1523;top:2133;width:4128;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fG8UA&#10;AADaAAAADwAAAGRycy9kb3ducmV2LnhtbESPT2vCQBTE7wW/w/IEL8VsqlBC6irFP7ReAtVA6e2R&#10;fSbB7Ns0u8b47V2h0OMwM79hFqvBNKKnztWWFbxEMQjiwuqaSwX5cTdNQDiPrLGxTApu5GC1HD0t&#10;MNX2yl/UH3wpAoRdigoq79tUSldUZNBFtiUO3sl2Bn2QXSl1h9cAN42cxfGrNFhzWKiwpXVFxflw&#10;MQqy2zf/flziU79vk5/8nG03u+etUpPx8P4GwtPg/8N/7U+tYA6PK+EG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t8bxQAAANoAAAAPAAAAAAAAAAAAAAAAAJgCAABkcnMv&#10;ZG93bnJldi54bWxQSwUGAAAAAAQABAD1AAAAigMAAAAA&#10;" strokeweight="1pt">
              <v:textbox style="mso-next-textbox:#Text Box 12">
                <w:txbxContent>
                  <w:p w14:paraId="5759AACE" w14:textId="77777777" w:rsidR="00365806" w:rsidRPr="00C63F8D" w:rsidRDefault="00365806" w:rsidP="00C63F8D">
                    <w:pPr>
                      <w:spacing w:before="120"/>
                      <w:rPr>
                        <w:rFonts w:ascii="Gotham Book" w:hAnsi="Gotham Book" w:cs="Arial"/>
                        <w:color w:val="00AD68"/>
                        <w:kern w:val="28"/>
                        <w:sz w:val="24"/>
                        <w:lang w:val="en-US"/>
                      </w:rPr>
                    </w:pPr>
                    <w:r w:rsidRPr="00C63F8D">
                      <w:rPr>
                        <w:rFonts w:ascii="Gotham Book" w:hAnsi="Gotham Book" w:cs="Arial"/>
                        <w:color w:val="00AD68"/>
                        <w:kern w:val="28"/>
                        <w:sz w:val="24"/>
                        <w:lang w:val="en-US"/>
                      </w:rPr>
                      <w:t>Transboundary movements</w:t>
                    </w:r>
                  </w:p>
                  <w:p w14:paraId="25FA8099" w14:textId="77777777" w:rsidR="00365806" w:rsidRPr="00EA4798" w:rsidRDefault="00365806" w:rsidP="00720321">
                    <w:pPr>
                      <w:spacing w:before="120" w:after="120" w:line="240" w:lineRule="auto"/>
                      <w:rPr>
                        <w:sz w:val="20"/>
                        <w:szCs w:val="20"/>
                      </w:rPr>
                    </w:pPr>
                    <w:r w:rsidRPr="00EA4798">
                      <w:rPr>
                        <w:sz w:val="20"/>
                        <w:szCs w:val="20"/>
                      </w:rPr>
                      <w:t xml:space="preserve">Control of import, export &amp; transit of hazardous wastes through the </w:t>
                    </w:r>
                    <w:r w:rsidRPr="00EA4798">
                      <w:rPr>
                        <w:i/>
                        <w:sz w:val="20"/>
                        <w:szCs w:val="20"/>
                      </w:rPr>
                      <w:t>Hazardous Waste (Regulation of Exports and Imports) Act 1989)</w:t>
                    </w:r>
                    <w:r w:rsidRPr="00EA4798">
                      <w:rPr>
                        <w:sz w:val="20"/>
                        <w:szCs w:val="20"/>
                      </w:rPr>
                      <w:t xml:space="preserve"> – </w:t>
                    </w:r>
                    <w:r w:rsidRPr="00EA4798">
                      <w:rPr>
                        <w:b/>
                        <w:sz w:val="20"/>
                        <w:szCs w:val="20"/>
                      </w:rPr>
                      <w:t>Department of the Environment (DoE)</w:t>
                    </w:r>
                  </w:p>
                  <w:p w14:paraId="1624264E" w14:textId="77777777" w:rsidR="00365806" w:rsidRPr="00EA4798" w:rsidRDefault="00365806" w:rsidP="00720321">
                    <w:pPr>
                      <w:spacing w:before="120" w:after="120" w:line="240" w:lineRule="auto"/>
                      <w:rPr>
                        <w:sz w:val="20"/>
                        <w:szCs w:val="20"/>
                      </w:rPr>
                    </w:pPr>
                    <w:r w:rsidRPr="00EA4798">
                      <w:rPr>
                        <w:sz w:val="20"/>
                        <w:szCs w:val="20"/>
                      </w:rPr>
                      <w:t xml:space="preserve">Australian Customs Service import &amp; export controls – </w:t>
                    </w:r>
                    <w:r w:rsidRPr="00EA4798">
                      <w:rPr>
                        <w:b/>
                        <w:sz w:val="20"/>
                        <w:szCs w:val="20"/>
                      </w:rPr>
                      <w:t>Australian Customs and Border Protection Service (ACBPS)</w:t>
                    </w:r>
                  </w:p>
                  <w:p w14:paraId="03DE4512" w14:textId="77777777" w:rsidR="00365806" w:rsidRPr="00EA4798" w:rsidRDefault="00365806" w:rsidP="00720321">
                    <w:pPr>
                      <w:spacing w:before="120" w:after="120" w:line="240" w:lineRule="auto"/>
                      <w:rPr>
                        <w:sz w:val="20"/>
                        <w:szCs w:val="20"/>
                      </w:rPr>
                    </w:pPr>
                    <w:r w:rsidRPr="00EA4798">
                      <w:rPr>
                        <w:sz w:val="20"/>
                        <w:szCs w:val="20"/>
                      </w:rPr>
                      <w:t xml:space="preserve">Control of maritime movements of dangerous goods / hazardous wastes – </w:t>
                    </w:r>
                    <w:r w:rsidRPr="00EA4798">
                      <w:rPr>
                        <w:b/>
                        <w:sz w:val="20"/>
                        <w:szCs w:val="20"/>
                      </w:rPr>
                      <w:t>Australian Maritime Safety Authority (AMSA)</w:t>
                    </w:r>
                  </w:p>
                </w:txbxContent>
              </v:textbox>
            </v:shape>
            <v:shape id="Text Box 13" o:spid="_x0000_s1028" type="#_x0000_t202" style="position:absolute;left:6013;top:2124;width:4182;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QUsUA&#10;AADaAAAADwAAAGRycy9kb3ducmV2LnhtbESPQWvCQBSE74L/YXkFb7qpaChpVqmKYLG2mvbS2yP7&#10;mgSzb0N21eiv7wqFHoeZ+YZJ552pxZlaV1lW8DiKQBDnVldcKPj6XA+fQDiPrLG2TAqu5GA+6/dS&#10;TLS98IHOmS9EgLBLUEHpfZNI6fKSDLqRbYiD92Nbgz7ItpC6xUuAm1qOoyiWBisOCyU2tCwpP2Yn&#10;o2D6pvGWjV/fJ/vd6uMYb5vrYvGt1OChe3kG4anz/+G/9kYriOF+Jd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RBSxQAAANoAAAAPAAAAAAAAAAAAAAAAAJgCAABkcnMv&#10;ZG93bnJldi54bWxQSwUGAAAAAAQABAD1AAAAigMAAAAA&#10;" strokecolor="black [3213]" strokeweight="1pt">
              <v:textbox style="mso-next-textbox:#Text Box 13">
                <w:txbxContent>
                  <w:p w14:paraId="58F08716"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Product stewardship</w:t>
                    </w:r>
                  </w:p>
                  <w:p w14:paraId="1E7B38C7" w14:textId="77777777" w:rsidR="00365806" w:rsidRDefault="00365806" w:rsidP="00720321">
                    <w:pPr>
                      <w:spacing w:before="120" w:after="120" w:line="240" w:lineRule="auto"/>
                      <w:rPr>
                        <w:b/>
                        <w:sz w:val="20"/>
                        <w:szCs w:val="20"/>
                      </w:rPr>
                    </w:pPr>
                    <w:r w:rsidRPr="00EA4798">
                      <w:rPr>
                        <w:sz w:val="20"/>
                        <w:szCs w:val="20"/>
                      </w:rPr>
                      <w:t xml:space="preserve">Waste oil stewardship – </w:t>
                    </w:r>
                    <w:r w:rsidRPr="00EA4798">
                      <w:rPr>
                        <w:b/>
                        <w:sz w:val="20"/>
                        <w:szCs w:val="20"/>
                      </w:rPr>
                      <w:t>DoE, Australian Taxation Office (ATO), ACBPS</w:t>
                    </w:r>
                  </w:p>
                  <w:p w14:paraId="783DEACE" w14:textId="77777777" w:rsidR="00365806" w:rsidRPr="00674E23" w:rsidRDefault="00365806" w:rsidP="00720321">
                    <w:pPr>
                      <w:spacing w:before="120" w:after="120" w:line="240" w:lineRule="auto"/>
                      <w:rPr>
                        <w:b/>
                        <w:sz w:val="20"/>
                        <w:szCs w:val="20"/>
                      </w:rPr>
                    </w:pPr>
                    <w:r w:rsidRPr="00D9751B">
                      <w:rPr>
                        <w:sz w:val="20"/>
                        <w:szCs w:val="20"/>
                      </w:rPr>
                      <w:t xml:space="preserve">Asbestos – </w:t>
                    </w:r>
                    <w:r w:rsidRPr="00D9751B">
                      <w:rPr>
                        <w:b/>
                        <w:sz w:val="20"/>
                        <w:szCs w:val="20"/>
                      </w:rPr>
                      <w:t>Asbestos Safety and Eradication Agency</w:t>
                    </w:r>
                    <w:r>
                      <w:rPr>
                        <w:b/>
                        <w:sz w:val="20"/>
                        <w:szCs w:val="20"/>
                      </w:rPr>
                      <w:t xml:space="preserve"> (ASEA)</w:t>
                    </w:r>
                  </w:p>
                  <w:p w14:paraId="7A65C9BB" w14:textId="77777777" w:rsidR="00365806" w:rsidRDefault="00365806" w:rsidP="00720321">
                    <w:pPr>
                      <w:spacing w:before="120" w:after="120" w:line="240" w:lineRule="auto"/>
                      <w:rPr>
                        <w:sz w:val="20"/>
                        <w:szCs w:val="20"/>
                      </w:rPr>
                    </w:pPr>
                    <w:r w:rsidRPr="00EA4798">
                      <w:rPr>
                        <w:i/>
                        <w:sz w:val="20"/>
                        <w:szCs w:val="20"/>
                      </w:rPr>
                      <w:t>Product Stewardship Act 2011</w:t>
                    </w:r>
                    <w:r>
                      <w:rPr>
                        <w:sz w:val="20"/>
                        <w:szCs w:val="20"/>
                      </w:rPr>
                      <w:t xml:space="preserve"> – </w:t>
                    </w:r>
                    <w:r w:rsidRPr="00EA4798">
                      <w:rPr>
                        <w:b/>
                        <w:sz w:val="20"/>
                        <w:szCs w:val="20"/>
                      </w:rPr>
                      <w:t>Department of the Environment</w:t>
                    </w:r>
                  </w:p>
                  <w:p w14:paraId="2DF91687" w14:textId="77777777" w:rsidR="00365806" w:rsidRPr="00EA4798" w:rsidRDefault="00365806" w:rsidP="00720321">
                    <w:pPr>
                      <w:spacing w:before="120" w:after="60" w:line="240" w:lineRule="auto"/>
                      <w:rPr>
                        <w:sz w:val="20"/>
                        <w:szCs w:val="20"/>
                      </w:rPr>
                    </w:pPr>
                    <w:r>
                      <w:rPr>
                        <w:sz w:val="20"/>
                        <w:szCs w:val="20"/>
                      </w:rPr>
                      <w:t>This includes s</w:t>
                    </w:r>
                    <w:r w:rsidRPr="00EA4798">
                      <w:rPr>
                        <w:sz w:val="20"/>
                        <w:szCs w:val="20"/>
                      </w:rPr>
                      <w:t>chemes for:</w:t>
                    </w:r>
                  </w:p>
                  <w:p w14:paraId="47E1FBCE" w14:textId="77777777" w:rsidR="00365806" w:rsidRPr="00EA4798" w:rsidRDefault="00365806" w:rsidP="00720321">
                    <w:pPr>
                      <w:pStyle w:val="ListParagraph"/>
                      <w:numPr>
                        <w:ilvl w:val="0"/>
                        <w:numId w:val="32"/>
                      </w:numPr>
                      <w:spacing w:after="120" w:line="240" w:lineRule="auto"/>
                      <w:ind w:left="357" w:hanging="357"/>
                      <w:rPr>
                        <w:sz w:val="20"/>
                        <w:szCs w:val="20"/>
                      </w:rPr>
                    </w:pPr>
                    <w:r w:rsidRPr="00EA4798">
                      <w:rPr>
                        <w:sz w:val="20"/>
                        <w:szCs w:val="20"/>
                      </w:rPr>
                      <w:t>E-waste (computers &amp; televisions)</w:t>
                    </w:r>
                  </w:p>
                  <w:p w14:paraId="4385E19B" w14:textId="77777777" w:rsidR="00365806" w:rsidRPr="00EA4798" w:rsidRDefault="00365806" w:rsidP="00720321">
                    <w:pPr>
                      <w:pStyle w:val="ListParagraph"/>
                      <w:numPr>
                        <w:ilvl w:val="0"/>
                        <w:numId w:val="32"/>
                      </w:numPr>
                      <w:spacing w:before="120" w:after="120" w:line="240" w:lineRule="auto"/>
                      <w:rPr>
                        <w:sz w:val="20"/>
                        <w:szCs w:val="20"/>
                      </w:rPr>
                    </w:pPr>
                    <w:r w:rsidRPr="00EA4798">
                      <w:rPr>
                        <w:sz w:val="20"/>
                        <w:szCs w:val="20"/>
                      </w:rPr>
                      <w:t>Tyres</w:t>
                    </w:r>
                  </w:p>
                  <w:p w14:paraId="022CD400" w14:textId="77777777" w:rsidR="00365806" w:rsidRPr="00EA4798" w:rsidRDefault="00365806" w:rsidP="00720321">
                    <w:pPr>
                      <w:pStyle w:val="ListParagraph"/>
                      <w:numPr>
                        <w:ilvl w:val="0"/>
                        <w:numId w:val="32"/>
                      </w:numPr>
                      <w:spacing w:before="120" w:after="120" w:line="240" w:lineRule="auto"/>
                      <w:rPr>
                        <w:sz w:val="20"/>
                        <w:szCs w:val="20"/>
                      </w:rPr>
                    </w:pPr>
                    <w:r w:rsidRPr="00EA4798">
                      <w:rPr>
                        <w:sz w:val="20"/>
                        <w:szCs w:val="20"/>
                      </w:rPr>
                      <w:t>Paint</w:t>
                    </w:r>
                  </w:p>
                  <w:p w14:paraId="0CCDAB91" w14:textId="77777777" w:rsidR="00365806" w:rsidRPr="00EA4798" w:rsidRDefault="00365806" w:rsidP="00720321">
                    <w:pPr>
                      <w:pStyle w:val="ListParagraph"/>
                      <w:numPr>
                        <w:ilvl w:val="0"/>
                        <w:numId w:val="32"/>
                      </w:numPr>
                      <w:spacing w:before="120" w:after="120" w:line="240" w:lineRule="auto"/>
                      <w:rPr>
                        <w:sz w:val="20"/>
                        <w:szCs w:val="20"/>
                      </w:rPr>
                    </w:pPr>
                    <w:r w:rsidRPr="00EA4798">
                      <w:rPr>
                        <w:sz w:val="20"/>
                        <w:szCs w:val="20"/>
                      </w:rPr>
                      <w:t>Batteries</w:t>
                    </w:r>
                  </w:p>
                  <w:p w14:paraId="493B898F" w14:textId="77777777" w:rsidR="00365806" w:rsidRPr="00EA4798" w:rsidRDefault="00365806" w:rsidP="00720321">
                    <w:pPr>
                      <w:pStyle w:val="ListParagraph"/>
                      <w:numPr>
                        <w:ilvl w:val="0"/>
                        <w:numId w:val="32"/>
                      </w:numPr>
                      <w:spacing w:before="120" w:after="120" w:line="240" w:lineRule="auto"/>
                      <w:rPr>
                        <w:sz w:val="20"/>
                        <w:szCs w:val="20"/>
                      </w:rPr>
                    </w:pPr>
                    <w:r>
                      <w:rPr>
                        <w:sz w:val="20"/>
                        <w:szCs w:val="20"/>
                      </w:rPr>
                      <w:t>Mercury-containing lighting</w:t>
                    </w:r>
                  </w:p>
                  <w:p w14:paraId="0C19000B" w14:textId="77777777" w:rsidR="00365806" w:rsidRPr="00EA4798" w:rsidRDefault="00365806" w:rsidP="00720321">
                    <w:pPr>
                      <w:spacing w:before="120" w:after="120" w:line="240" w:lineRule="auto"/>
                      <w:rPr>
                        <w:sz w:val="20"/>
                        <w:szCs w:val="20"/>
                      </w:rPr>
                    </w:pPr>
                    <w:r w:rsidRPr="00EA4798">
                      <w:rPr>
                        <w:sz w:val="20"/>
                        <w:szCs w:val="20"/>
                      </w:rPr>
                      <w:t xml:space="preserve">Return of Unwanted Medicines Scheme – </w:t>
                    </w:r>
                    <w:r w:rsidRPr="00EA4798">
                      <w:rPr>
                        <w:b/>
                        <w:sz w:val="20"/>
                        <w:szCs w:val="20"/>
                      </w:rPr>
                      <w:t>Department of Health</w:t>
                    </w:r>
                  </w:p>
                </w:txbxContent>
              </v:textbox>
            </v:shape>
            <v:shape id="Text Box 14" o:spid="_x0000_s1029" type="#_x0000_t202" style="position:absolute;left:1495;top:11480;width:420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21ycUA&#10;AADaAAAADwAAAGRycy9kb3ducmV2LnhtbESPQWvCQBSE74L/YXlCb82mUq2krlJbCkq1aurF2yP7&#10;mgSzb0N21eivdwsFj8PMfMOMp62pxIkaV1pW8BTFIIgzq0vOFex+Ph9HIJxH1lhZJgUXcjCddDtj&#10;TLQ985ZOqc9FgLBLUEHhfZ1I6bKCDLrI1sTB+7WNQR9kk0vd4DnATSX7cTyUBksOCwXW9F5QdkiP&#10;RsFgqfGa9hffz5vVx/ow/Kovs9leqYde+/YKwlPr7+H/9lwreIG/K+EG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XJxQAAANoAAAAPAAAAAAAAAAAAAAAAAJgCAABkcnMv&#10;ZG93bnJldi54bWxQSwUGAAAAAAQABAD1AAAAigMAAAAA&#10;" strokecolor="black [3213]" strokeweight="1pt">
              <v:textbox style="mso-next-textbox:#Text Box 14">
                <w:txbxContent>
                  <w:p w14:paraId="081A86E1"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Chemical wastes</w:t>
                    </w:r>
                  </w:p>
                  <w:p w14:paraId="7CB51756" w14:textId="77777777" w:rsidR="00365806" w:rsidRPr="00EA4798" w:rsidRDefault="00365806" w:rsidP="00720321">
                    <w:pPr>
                      <w:spacing w:before="120" w:after="120" w:line="240" w:lineRule="auto"/>
                      <w:rPr>
                        <w:sz w:val="20"/>
                        <w:szCs w:val="20"/>
                      </w:rPr>
                    </w:pPr>
                    <w:r w:rsidRPr="00EA4798">
                      <w:rPr>
                        <w:sz w:val="20"/>
                        <w:szCs w:val="20"/>
                      </w:rPr>
                      <w:t>Stockholm Convention &amp; management of chemical wastes</w:t>
                    </w:r>
                    <w:r>
                      <w:rPr>
                        <w:sz w:val="20"/>
                        <w:szCs w:val="20"/>
                      </w:rPr>
                      <w:t xml:space="preserve"> – </w:t>
                    </w:r>
                    <w:r w:rsidRPr="00EA4798">
                      <w:rPr>
                        <w:b/>
                        <w:sz w:val="20"/>
                        <w:szCs w:val="20"/>
                      </w:rPr>
                      <w:t>Department of the Environment</w:t>
                    </w:r>
                  </w:p>
                  <w:p w14:paraId="4A4D47E3" w14:textId="77777777" w:rsidR="00365806" w:rsidRPr="00EA4798" w:rsidRDefault="00365806" w:rsidP="00720321">
                    <w:pPr>
                      <w:spacing w:before="120" w:after="120" w:line="240" w:lineRule="auto"/>
                      <w:rPr>
                        <w:sz w:val="20"/>
                        <w:szCs w:val="20"/>
                      </w:rPr>
                    </w:pPr>
                    <w:r>
                      <w:rPr>
                        <w:sz w:val="20"/>
                        <w:szCs w:val="20"/>
                      </w:rPr>
                      <w:t xml:space="preserve">Clearance of stockpiles – </w:t>
                    </w:r>
                    <w:r w:rsidRPr="00EA4798">
                      <w:rPr>
                        <w:b/>
                        <w:sz w:val="20"/>
                        <w:szCs w:val="20"/>
                      </w:rPr>
                      <w:t>Department of the Environment</w:t>
                    </w:r>
                  </w:p>
                </w:txbxContent>
              </v:textbox>
            </v:shape>
            <v:shape id="Text Box 15" o:spid="_x0000_s1030" type="#_x0000_t202" style="position:absolute;left:1477;top:9757;width:419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hu8MA&#10;AADaAAAADwAAAGRycy9kb3ducmV2LnhtbERPTWvCQBC9F/oflin0ZjaVKhJdQ60ISqu20Yu3ITtN&#10;QrKzIbtq7K/vHoQeH+97lvamERfqXGVZwUsUgyDOra64UHA8rAYTEM4ja2wsk4IbOUjnjw8zTLS9&#10;8jddMl+IEMIuQQWl920ipctLMugi2xIH7sd2Bn2AXSF1h9cQbho5jOOxNFhxaCixpfeS8jo7GwWj&#10;T42/2XCze/3aLvf1+KO9LRYnpZ6f+rcpCE+9/xff3WutIGwNV8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hu8MAAADaAAAADwAAAAAAAAAAAAAAAACYAgAAZHJzL2Rv&#10;d25yZXYueG1sUEsFBgAAAAAEAAQA9QAAAIgDAAAAAA==&#10;" strokecolor="black [3213]" strokeweight="1pt">
              <v:textbox style="mso-next-textbox:#Text Box 15">
                <w:txbxContent>
                  <w:p w14:paraId="4B4DBC7A"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Mercury</w:t>
                    </w:r>
                  </w:p>
                  <w:p w14:paraId="00446745" w14:textId="77777777" w:rsidR="00365806" w:rsidRPr="009B32F4" w:rsidRDefault="00365806" w:rsidP="00720321">
                    <w:pPr>
                      <w:spacing w:before="120" w:after="120" w:line="240" w:lineRule="auto"/>
                      <w:rPr>
                        <w:sz w:val="20"/>
                        <w:szCs w:val="20"/>
                      </w:rPr>
                    </w:pPr>
                    <w:r w:rsidRPr="00EA4798">
                      <w:rPr>
                        <w:sz w:val="20"/>
                        <w:szCs w:val="20"/>
                      </w:rPr>
                      <w:t>Minamata Conventio</w:t>
                    </w:r>
                    <w:r>
                      <w:rPr>
                        <w:sz w:val="20"/>
                        <w:szCs w:val="20"/>
                      </w:rPr>
                      <w:t xml:space="preserve">n on mercury (including wastes) – </w:t>
                    </w:r>
                    <w:r w:rsidRPr="00EA4798">
                      <w:rPr>
                        <w:b/>
                        <w:sz w:val="20"/>
                        <w:szCs w:val="20"/>
                      </w:rPr>
                      <w:t>Department of the Environment</w:t>
                    </w:r>
                  </w:p>
                </w:txbxContent>
              </v:textbox>
            </v:shape>
            <v:shape id="Text Box 16" o:spid="_x0000_s1031" type="#_x0000_t202" style="position:absolute;left:1495;top:6255;width:415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EIMUA&#10;AADaAAAADwAAAGRycy9kb3ducmV2LnhtbESPQWvCQBSE74L/YXlCb82mUqWmrlJbCkq1aurF2yP7&#10;mgSzb0N21eivdwsFj8PMfMOMp62pxIkaV1pW8BTFIIgzq0vOFex+Ph9fQDiPrLGyTAou5GA66XbG&#10;mGh75i2dUp+LAGGXoILC+zqR0mUFGXSRrYmD92sbgz7IJpe6wXOAm0r243goDZYcFgqs6b2g7JAe&#10;jYLBUuM17S++nzerj/Vh+FVfZrO9Ug+99u0VhKfW38P/7blWMIK/K+EG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QgxQAAANoAAAAPAAAAAAAAAAAAAAAAAJgCAABkcnMv&#10;ZG93bnJldi54bWxQSwUGAAAAAAQABAD1AAAAigMAAAAA&#10;" strokecolor="black [3213]" strokeweight="1pt">
              <v:textbox style="mso-next-textbox:#Text Box 16">
                <w:txbxContent>
                  <w:p w14:paraId="6D2C4220"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Ozone</w:t>
                    </w:r>
                  </w:p>
                  <w:p w14:paraId="55F1A622" w14:textId="77777777" w:rsidR="00365806" w:rsidRPr="00EA4798" w:rsidRDefault="00365806" w:rsidP="00720321">
                    <w:pPr>
                      <w:spacing w:before="120" w:after="120" w:line="240" w:lineRule="auto"/>
                      <w:rPr>
                        <w:sz w:val="20"/>
                        <w:szCs w:val="20"/>
                      </w:rPr>
                    </w:pPr>
                    <w:r w:rsidRPr="00EA4798">
                      <w:rPr>
                        <w:sz w:val="20"/>
                        <w:szCs w:val="20"/>
                      </w:rPr>
                      <w:t>Regulation of w</w:t>
                    </w:r>
                    <w:r>
                      <w:rPr>
                        <w:sz w:val="20"/>
                        <w:szCs w:val="20"/>
                      </w:rPr>
                      <w:t xml:space="preserve">aste ozone depleting substances – </w:t>
                    </w:r>
                    <w:r w:rsidRPr="00EA4798">
                      <w:rPr>
                        <w:b/>
                        <w:sz w:val="20"/>
                        <w:szCs w:val="20"/>
                      </w:rPr>
                      <w:t>Department of the Environment</w:t>
                    </w:r>
                  </w:p>
                </w:txbxContent>
              </v:textbox>
            </v:shape>
            <v:shape id="Text Box 17" o:spid="_x0000_s1032" type="#_x0000_t202" style="position:absolute;left:6004;top:7294;width:418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iEscA&#10;AADbAAAADwAAAGRycy9kb3ducmV2LnhtbESPQWvCQBCF74X+h2UKvdVNpRWJrqIthRZt1ejF25Ad&#10;k2B2NmS3Gv31zqHQ2wzvzXvfjKedq9WJ2lB5NvDcS0AR595WXBjYbT+ehqBCRLZYeyYDFwowndzf&#10;jTG1/swbOmWxUBLCIUUDZYxNqnXIS3IYer4hFu3gW4dR1rbQtsWzhLta95NkoB1WLA0lNvRWUn7M&#10;fp2B16XFa9b/+nlZf7+vjoNFc5nP98Y8PnSzEahIXfw3/11/WsEXevlFBt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ohLHAAAA2wAAAA8AAAAAAAAAAAAAAAAAmAIAAGRy&#10;cy9kb3ducmV2LnhtbFBLBQYAAAAABAAEAPUAAACMAwAAAAA=&#10;" strokecolor="black [3213]" strokeweight="1pt">
              <v:textbox style="mso-next-textbox:#Text Box 17">
                <w:txbxContent>
                  <w:p w14:paraId="56896C93"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Waste movement tracking</w:t>
                    </w:r>
                  </w:p>
                  <w:p w14:paraId="711732F8" w14:textId="77777777" w:rsidR="00365806" w:rsidRPr="00EA4798" w:rsidRDefault="00365806" w:rsidP="00720321">
                    <w:pPr>
                      <w:spacing w:before="120" w:after="120" w:line="240" w:lineRule="auto"/>
                      <w:rPr>
                        <w:sz w:val="20"/>
                        <w:szCs w:val="20"/>
                      </w:rPr>
                    </w:pPr>
                    <w:r w:rsidRPr="00EA4798">
                      <w:rPr>
                        <w:sz w:val="20"/>
                        <w:szCs w:val="20"/>
                      </w:rPr>
                      <w:t>Movement of Controlled Waste National Environment Protection Measure</w:t>
                    </w:r>
                    <w:r>
                      <w:rPr>
                        <w:sz w:val="20"/>
                        <w:szCs w:val="20"/>
                      </w:rPr>
                      <w:t xml:space="preserve"> – </w:t>
                    </w:r>
                    <w:r w:rsidRPr="00EA4798">
                      <w:rPr>
                        <w:b/>
                        <w:sz w:val="20"/>
                        <w:szCs w:val="20"/>
                      </w:rPr>
                      <w:t>Department of the Environment</w:t>
                    </w:r>
                  </w:p>
                </w:txbxContent>
              </v:textbox>
            </v:shape>
            <v:shape id="Text Box 18" o:spid="_x0000_s1033" type="#_x0000_t202" style="position:absolute;left:6004;top:11468;width:4173;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HicQA&#10;AADbAAAADwAAAGRycy9kb3ducmV2LnhtbERPTWvCQBC9F/wPywje6iZiRVLXoJaC0mrbtBdvQ3ZM&#10;gtnZkF019te7hYK3ebzPmaWdqcWZWldZVhAPIxDEudUVFwp+vl8fpyCcR9ZYWyYFV3KQznsPM0y0&#10;vfAXnTNfiBDCLkEFpfdNIqXLSzLohrYhDtzBtgZ9gG0hdYuXEG5qOYqiiTRYcWgosaFVSfkxOxkF&#10;T+8af7PRZjf+3L58HCdvzXW53Cs16HeLZxCeOn8X/7vXOsyP4e+Xc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B4nEAAAA2wAAAA8AAAAAAAAAAAAAAAAAmAIAAGRycy9k&#10;b3ducmV2LnhtbFBLBQYAAAAABAAEAPUAAACJAwAAAAA=&#10;" strokecolor="black [3213]" strokeweight="1pt">
              <v:textbox style="mso-next-textbox:#Text Box 18">
                <w:txbxContent>
                  <w:p w14:paraId="24973CD9"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Data and reporting</w:t>
                    </w:r>
                  </w:p>
                  <w:p w14:paraId="5906189D" w14:textId="77777777" w:rsidR="00365806" w:rsidRPr="00EA4798" w:rsidRDefault="00365806" w:rsidP="00720321">
                    <w:pPr>
                      <w:spacing w:before="120" w:after="120" w:line="240" w:lineRule="auto"/>
                      <w:rPr>
                        <w:sz w:val="20"/>
                        <w:szCs w:val="20"/>
                      </w:rPr>
                    </w:pPr>
                    <w:r w:rsidRPr="00EA4798">
                      <w:rPr>
                        <w:sz w:val="20"/>
                        <w:szCs w:val="20"/>
                      </w:rPr>
                      <w:t>Annual national reporting on hazardous waste, including for the Basel Convention</w:t>
                    </w:r>
                    <w:r>
                      <w:rPr>
                        <w:sz w:val="20"/>
                        <w:szCs w:val="20"/>
                      </w:rPr>
                      <w:t xml:space="preserve"> – </w:t>
                    </w:r>
                    <w:r w:rsidRPr="00EA4798">
                      <w:rPr>
                        <w:b/>
                        <w:sz w:val="20"/>
                        <w:szCs w:val="20"/>
                      </w:rPr>
                      <w:t>Department of the Environment</w:t>
                    </w:r>
                  </w:p>
                  <w:p w14:paraId="59EB1953" w14:textId="77777777" w:rsidR="00365806" w:rsidRPr="00EA4798" w:rsidRDefault="00365806" w:rsidP="00720321">
                    <w:pPr>
                      <w:spacing w:before="120" w:after="120" w:line="240" w:lineRule="auto"/>
                      <w:rPr>
                        <w:sz w:val="20"/>
                        <w:szCs w:val="20"/>
                      </w:rPr>
                    </w:pPr>
                    <w:r w:rsidRPr="00EA4798">
                      <w:rPr>
                        <w:sz w:val="20"/>
                        <w:szCs w:val="20"/>
                      </w:rPr>
                      <w:t>National waste data system</w:t>
                    </w:r>
                    <w:r>
                      <w:rPr>
                        <w:sz w:val="20"/>
                        <w:szCs w:val="20"/>
                      </w:rPr>
                      <w:t xml:space="preserve"> coverage of hazardous waste – </w:t>
                    </w:r>
                    <w:r w:rsidRPr="00EA4798">
                      <w:rPr>
                        <w:b/>
                        <w:sz w:val="20"/>
                        <w:szCs w:val="20"/>
                      </w:rPr>
                      <w:t>Department of the Environment</w:t>
                    </w:r>
                  </w:p>
                </w:txbxContent>
              </v:textbox>
            </v:shape>
            <v:shape id="Text Box 19" o:spid="_x0000_s1034" type="#_x0000_t202" style="position:absolute;left:6013;top:9166;width:418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Z/sQA&#10;AADbAAAADwAAAGRycy9kb3ducmV2LnhtbERPTWvCQBC9C/6HZQredNOgUtKsUi0Fxdpq2ktvQ3aa&#10;BLOzIbtq9Ne7QqG3ebzPSeedqcWJWldZVvA4ikAQ51ZXXCj4/nobPoFwHlljbZkUXMjBfNbvpZho&#10;e+Y9nTJfiBDCLkEFpfdNIqXLSzLoRrYhDtyvbQ36ANtC6hbPIdzUMo6iqTRYcWgosaFlSfkhOxoF&#10;k3eN1yxef4x329fPw3TTXBaLH6UGD93LMwhPnf8X/7lXOsyP4f5LO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mf7EAAAA2wAAAA8AAAAAAAAAAAAAAAAAmAIAAGRycy9k&#10;b3ducmV2LnhtbFBLBQYAAAAABAAEAPUAAACJAwAAAAA=&#10;" strokecolor="black [3213]" strokeweight="1pt">
              <v:textbox style="mso-next-textbox:#Text Box 19">
                <w:txbxContent>
                  <w:p w14:paraId="058EF019"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Transport</w:t>
                    </w:r>
                  </w:p>
                  <w:p w14:paraId="579D9931" w14:textId="77777777" w:rsidR="00365806" w:rsidRPr="00393AAB" w:rsidRDefault="00365806" w:rsidP="00720321">
                    <w:pPr>
                      <w:spacing w:before="120" w:after="120" w:line="240" w:lineRule="auto"/>
                      <w:rPr>
                        <w:sz w:val="20"/>
                        <w:szCs w:val="20"/>
                      </w:rPr>
                    </w:pPr>
                    <w:r w:rsidRPr="00EA4798">
                      <w:rPr>
                        <w:sz w:val="20"/>
                        <w:szCs w:val="20"/>
                      </w:rPr>
                      <w:t>Transport regula</w:t>
                    </w:r>
                    <w:r>
                      <w:rPr>
                        <w:sz w:val="20"/>
                        <w:szCs w:val="20"/>
                      </w:rPr>
                      <w:t xml:space="preserve">tion, including dangerous goods – </w:t>
                    </w:r>
                    <w:r w:rsidRPr="009B32F4">
                      <w:rPr>
                        <w:b/>
                        <w:sz w:val="20"/>
                        <w:szCs w:val="20"/>
                      </w:rPr>
                      <w:t>Department of Infrastructure and Regional Development &amp; related entities</w:t>
                    </w:r>
                    <w:r w:rsidRPr="00393AAB">
                      <w:rPr>
                        <w:sz w:val="20"/>
                        <w:szCs w:val="20"/>
                      </w:rPr>
                      <w:t xml:space="preserve"> (</w:t>
                    </w:r>
                    <w:r>
                      <w:rPr>
                        <w:sz w:val="20"/>
                        <w:szCs w:val="20"/>
                      </w:rPr>
                      <w:t>primarily</w:t>
                    </w:r>
                    <w:r w:rsidRPr="00393AAB">
                      <w:rPr>
                        <w:sz w:val="20"/>
                        <w:szCs w:val="20"/>
                      </w:rPr>
                      <w:t xml:space="preserve"> represent</w:t>
                    </w:r>
                    <w:r>
                      <w:rPr>
                        <w:sz w:val="20"/>
                        <w:szCs w:val="20"/>
                      </w:rPr>
                      <w:t>ing</w:t>
                    </w:r>
                    <w:r w:rsidRPr="00393AAB">
                      <w:rPr>
                        <w:sz w:val="20"/>
                        <w:szCs w:val="20"/>
                      </w:rPr>
                      <w:t xml:space="preserve"> Australia’s interests at the United Nations level)</w:t>
                    </w:r>
                  </w:p>
                </w:txbxContent>
              </v:textbox>
            </v:shape>
            <v:shape id="Text Box 20" o:spid="_x0000_s1035" type="#_x0000_t202" style="position:absolute;left:1495;top:7840;width:417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uFMcA&#10;AADbAAAADwAAAGRycy9kb3ducmV2LnhtbESPQWvCQBCF74X+h2UKvdVNpRWJrqIthRZt1ejF25Ad&#10;k2B2NmS3Gv31zqHQ2wzvzXvfjKedq9WJ2lB5NvDcS0AR595WXBjYbT+ehqBCRLZYeyYDFwowndzf&#10;jTG1/swbOmWxUBLCIUUDZYxNqnXIS3IYer4hFu3gW4dR1rbQtsWzhLta95NkoB1WLA0lNvRWUn7M&#10;fp2B16XFa9b/+nlZf7+vjoNFc5nP98Y8PnSzEahIXfw3/11/WsEXWPlFBt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rhTHAAAA2wAAAA8AAAAAAAAAAAAAAAAAmAIAAGRy&#10;cy9kb3ducmV2LnhtbFBLBQYAAAAABAAEAPUAAACMAwAAAAA=&#10;" strokecolor="black [3213]" strokeweight="1pt">
              <v:textbox style="mso-next-textbox:#Text Box 20">
                <w:txbxContent>
                  <w:p w14:paraId="3CEC0DD2" w14:textId="77777777" w:rsidR="00365806" w:rsidRPr="00CF27A5" w:rsidRDefault="00365806" w:rsidP="00720321">
                    <w:pPr>
                      <w:spacing w:before="120" w:after="120" w:line="240" w:lineRule="auto"/>
                      <w:rPr>
                        <w:rFonts w:ascii="Gotham Book" w:hAnsi="Gotham Book" w:cs="Arial"/>
                        <w:color w:val="00AD68"/>
                        <w:kern w:val="28"/>
                        <w:sz w:val="24"/>
                        <w:lang w:val="en-US"/>
                      </w:rPr>
                    </w:pPr>
                    <w:r w:rsidRPr="00CF27A5">
                      <w:rPr>
                        <w:rFonts w:ascii="Gotham Book" w:hAnsi="Gotham Book" w:cs="Arial"/>
                        <w:color w:val="00AD68"/>
                        <w:kern w:val="28"/>
                        <w:sz w:val="24"/>
                        <w:lang w:val="en-US"/>
                      </w:rPr>
                      <w:t>Greenhouse</w:t>
                    </w:r>
                  </w:p>
                  <w:p w14:paraId="46DAF70C" w14:textId="77777777" w:rsidR="00365806" w:rsidRPr="00EA4798" w:rsidRDefault="00365806" w:rsidP="00720321">
                    <w:pPr>
                      <w:spacing w:before="120" w:after="120" w:line="240" w:lineRule="auto"/>
                      <w:rPr>
                        <w:sz w:val="20"/>
                        <w:szCs w:val="20"/>
                      </w:rPr>
                    </w:pPr>
                    <w:r w:rsidRPr="00EA4798">
                      <w:rPr>
                        <w:sz w:val="20"/>
                        <w:szCs w:val="20"/>
                      </w:rPr>
                      <w:t>Greenhouse gas emissions reporting from hazardous</w:t>
                    </w:r>
                    <w:r>
                      <w:rPr>
                        <w:sz w:val="20"/>
                        <w:szCs w:val="20"/>
                      </w:rPr>
                      <w:t xml:space="preserve"> wastes – </w:t>
                    </w:r>
                    <w:r w:rsidRPr="00EA4798">
                      <w:rPr>
                        <w:b/>
                        <w:sz w:val="20"/>
                        <w:szCs w:val="20"/>
                      </w:rPr>
                      <w:t>Department of the Environment</w:t>
                    </w:r>
                  </w:p>
                </w:txbxContent>
              </v:textbox>
            </v:shape>
            <w10:anchorlock/>
          </v:group>
        </w:pict>
      </w:r>
    </w:p>
    <w:p w14:paraId="690F557F" w14:textId="77777777" w:rsidR="00EB467E" w:rsidRDefault="00EB467E" w:rsidP="00720321">
      <w:pPr>
        <w:spacing w:after="0" w:line="240" w:lineRule="auto"/>
      </w:pPr>
    </w:p>
    <w:p w14:paraId="0C4FDD94" w14:textId="77777777" w:rsidR="00720321" w:rsidRDefault="00720321" w:rsidP="00720321">
      <w:pPr>
        <w:spacing w:after="0" w:line="240" w:lineRule="auto"/>
      </w:pPr>
      <w:r>
        <w:br w:type="page"/>
      </w:r>
    </w:p>
    <w:p w14:paraId="6EF43494" w14:textId="77777777" w:rsidR="00720321" w:rsidRDefault="00720321" w:rsidP="00720321">
      <w:pPr>
        <w:pStyle w:val="Heading3"/>
        <w:numPr>
          <w:ilvl w:val="2"/>
          <w:numId w:val="2"/>
        </w:numPr>
        <w:ind w:left="1134" w:hanging="1134"/>
      </w:pPr>
      <w:r w:rsidRPr="00990727">
        <w:lastRenderedPageBreak/>
        <w:t>Transboundary movements of hazardous waste</w:t>
      </w:r>
    </w:p>
    <w:p w14:paraId="29920C5A" w14:textId="77777777" w:rsidR="00720321" w:rsidRPr="006F38D1" w:rsidRDefault="00720321" w:rsidP="00720321">
      <w:pPr>
        <w:pStyle w:val="Heading4"/>
      </w:pPr>
      <w:r>
        <w:t>The Basel Convention</w:t>
      </w:r>
    </w:p>
    <w:p w14:paraId="62F09277" w14:textId="77777777" w:rsidR="00720321" w:rsidRDefault="00720321" w:rsidP="00720321">
      <w:r>
        <w:t xml:space="preserve">Australia is a signatory to the </w:t>
      </w:r>
      <w:r w:rsidRPr="00187B94">
        <w:rPr>
          <w:i/>
        </w:rPr>
        <w:t>Basel Convention on the Control of Transboundary Movements of Hazardous Wastes and their Disposal</w:t>
      </w:r>
      <w:r>
        <w:t xml:space="preserve"> (Basel Convention). </w:t>
      </w:r>
      <w:r w:rsidR="00580BF8">
        <w:t>The Basel C</w:t>
      </w:r>
      <w:r w:rsidRPr="006C0731">
        <w:t>onvention has four guiding principles of</w:t>
      </w:r>
      <w:r w:rsidR="00580BF8">
        <w:t>:</w:t>
      </w:r>
      <w:r w:rsidRPr="006C0731">
        <w:t xml:space="preserve"> polluter pays, user pays, proximity</w:t>
      </w:r>
      <w:bookmarkStart w:id="19" w:name="_Ref413388315"/>
      <w:r w:rsidRPr="000F65BF">
        <w:rPr>
          <w:rStyle w:val="FootnoteReference"/>
        </w:rPr>
        <w:footnoteReference w:id="2"/>
      </w:r>
      <w:bookmarkEnd w:id="19"/>
      <w:r w:rsidRPr="006C0731">
        <w:t xml:space="preserve"> and product stewardship.</w:t>
      </w:r>
      <w:r w:rsidRPr="006F38D1">
        <w:t xml:space="preserve"> Its principal aims are:</w:t>
      </w:r>
    </w:p>
    <w:p w14:paraId="422FBACB" w14:textId="77777777" w:rsidR="00720321" w:rsidRDefault="00720321" w:rsidP="00720321">
      <w:pPr>
        <w:pStyle w:val="BulletPoints"/>
      </w:pPr>
      <w:r>
        <w:t>R</w:t>
      </w:r>
      <w:r w:rsidRPr="00501FE4">
        <w:t>eduction of hazardous waste generation and the promotion of environmentally sound management of hazardous wastes, wherever the place of disposal</w:t>
      </w:r>
      <w:r>
        <w:t>.</w:t>
      </w:r>
    </w:p>
    <w:p w14:paraId="3C1DD63D" w14:textId="77777777" w:rsidR="00720321" w:rsidRDefault="00720321" w:rsidP="00720321">
      <w:pPr>
        <w:pStyle w:val="BulletPoints"/>
      </w:pPr>
      <w:r>
        <w:t>R</w:t>
      </w:r>
      <w:r w:rsidRPr="00501FE4">
        <w:t>estriction of transboundary movements of hazardous wastes</w:t>
      </w:r>
      <w:r>
        <w:t>,</w:t>
      </w:r>
      <w:r w:rsidRPr="00501FE4">
        <w:t xml:space="preserve"> except where it is perceived to be in accordance with the principles of environmentally sound management</w:t>
      </w:r>
      <w:r>
        <w:t>.</w:t>
      </w:r>
    </w:p>
    <w:p w14:paraId="5FB0A97E" w14:textId="77777777" w:rsidR="00720321" w:rsidRPr="000B2161" w:rsidRDefault="00720321" w:rsidP="00720321">
      <w:pPr>
        <w:pStyle w:val="BulletPoints"/>
        <w:spacing w:after="240"/>
        <w:ind w:left="1208" w:hanging="357"/>
      </w:pPr>
      <w:r>
        <w:t>A</w:t>
      </w:r>
      <w:r w:rsidRPr="00501FE4">
        <w:t xml:space="preserve"> regulatory system applying to cases where transboundary </w:t>
      </w:r>
      <w:r>
        <w:t xml:space="preserve">(i.e. international) </w:t>
      </w:r>
      <w:r w:rsidRPr="00501FE4">
        <w:t>movements are permissible</w:t>
      </w:r>
      <w:r w:rsidR="009B05E2">
        <w:t>.</w:t>
      </w:r>
    </w:p>
    <w:p w14:paraId="17631D9E" w14:textId="77777777" w:rsidR="00720321" w:rsidRDefault="00720321" w:rsidP="00720321">
      <w:r>
        <w:t>The principal aim of the Basel Convention is to reduce the risk of lower quality treatment and final disposal of hazardous waste in developing countries by addressing a range of areas including:</w:t>
      </w:r>
    </w:p>
    <w:p w14:paraId="5073FDE1" w14:textId="77777777" w:rsidR="00720321" w:rsidRDefault="00720321" w:rsidP="00720321">
      <w:pPr>
        <w:pStyle w:val="BulletPoints"/>
      </w:pPr>
      <w:r>
        <w:t>Tracking of waste transport.</w:t>
      </w:r>
    </w:p>
    <w:p w14:paraId="0CDF8585" w14:textId="77777777" w:rsidR="00720321" w:rsidRDefault="00720321" w:rsidP="00720321">
      <w:pPr>
        <w:pStyle w:val="BulletPoints"/>
      </w:pPr>
      <w:r>
        <w:t>Arrangements for prior notification of receiving jurisdictions.</w:t>
      </w:r>
    </w:p>
    <w:p w14:paraId="7611FE8E" w14:textId="77777777" w:rsidR="00720321" w:rsidRDefault="00720321" w:rsidP="00720321">
      <w:pPr>
        <w:pStyle w:val="BulletPoints"/>
      </w:pPr>
      <w:r>
        <w:t>Consignment authorisations, either from the jurisdiction or from a delegated facility.</w:t>
      </w:r>
    </w:p>
    <w:p w14:paraId="2B5F731E" w14:textId="77777777" w:rsidR="00720321" w:rsidRDefault="00720321" w:rsidP="00720321">
      <w:pPr>
        <w:pStyle w:val="BulletPoints"/>
        <w:spacing w:after="240"/>
        <w:ind w:left="1208" w:hanging="357"/>
      </w:pPr>
      <w:r>
        <w:t>Licensing of transport providers and facilities.</w:t>
      </w:r>
    </w:p>
    <w:p w14:paraId="07CFFE2C" w14:textId="77777777" w:rsidR="00720321" w:rsidRDefault="00720321" w:rsidP="00720321">
      <w:r>
        <w:t>Australia provides domestic hazardous waste generation and transboundary movement data to the Secretariat of the Basel Convention in the form of an annual Government report.</w:t>
      </w:r>
    </w:p>
    <w:p w14:paraId="5156A145" w14:textId="77777777" w:rsidR="00720321" w:rsidRPr="00DF1232" w:rsidRDefault="00720321" w:rsidP="00720321">
      <w:pPr>
        <w:pStyle w:val="Heading4"/>
      </w:pPr>
      <w:r w:rsidRPr="00DF1232">
        <w:t>The Hazardous Waste (Regulation of Exports and Imports) Act 1989</w:t>
      </w:r>
    </w:p>
    <w:p w14:paraId="0375B241" w14:textId="77777777" w:rsidR="00720321" w:rsidRPr="00F22158" w:rsidRDefault="00720321" w:rsidP="00720321">
      <w:r w:rsidRPr="00F22158">
        <w:t xml:space="preserve">Australia introduced the </w:t>
      </w:r>
      <w:r w:rsidRPr="00734F46">
        <w:rPr>
          <w:i/>
        </w:rPr>
        <w:t xml:space="preserve">Hazardous Waste (Regulation of Exports and Imports) Act </w:t>
      </w:r>
      <w:r w:rsidRPr="00B65DE5">
        <w:rPr>
          <w:i/>
        </w:rPr>
        <w:t xml:space="preserve">1989 </w:t>
      </w:r>
      <w:r w:rsidR="00B65DE5">
        <w:t>(the Act) t</w:t>
      </w:r>
      <w:r w:rsidRPr="00F22158">
        <w:t>o meet its obligat</w:t>
      </w:r>
      <w:r>
        <w:t>ions under the Basel Convention.</w:t>
      </w:r>
    </w:p>
    <w:p w14:paraId="55442774" w14:textId="77777777" w:rsidR="00720321" w:rsidRPr="00F22158" w:rsidRDefault="00720321" w:rsidP="00720321">
      <w:r>
        <w:t xml:space="preserve">The object of the </w:t>
      </w:r>
      <w:r w:rsidRPr="00F22158">
        <w:t>Act is to regulate the export, import and transit of hazardous waste to ensure transboundary movements are managed in an environmentally sound manner, to protect human health and the environment. The Act also makes reference to the Commonwealth making arrangements to fulfil other obligations under Article 4 of the Basel Convention, such as the obligation to ensure that the generation of hazardous waste is reduced to a minimum.</w:t>
      </w:r>
    </w:p>
    <w:p w14:paraId="32AA5DB1" w14:textId="77777777" w:rsidR="00720321" w:rsidRDefault="00720321" w:rsidP="00720321">
      <w:r w:rsidRPr="00F22158">
        <w:t xml:space="preserve">The Act and </w:t>
      </w:r>
      <w:r>
        <w:t>related r</w:t>
      </w:r>
      <w:r w:rsidRPr="00F22158">
        <w:t>egulations</w:t>
      </w:r>
      <w:r>
        <w:t xml:space="preserve"> </w:t>
      </w:r>
      <w:r w:rsidRPr="00F22158">
        <w:t xml:space="preserve">were last </w:t>
      </w:r>
      <w:r>
        <w:t>updated</w:t>
      </w:r>
      <w:r w:rsidRPr="00F22158">
        <w:t xml:space="preserve"> in 2001. That </w:t>
      </w:r>
      <w:r>
        <w:t>update</w:t>
      </w:r>
      <w:r w:rsidRPr="00F22158">
        <w:t>, undertaken under the National Competition Policy, focused on those aspects of the legislation which affected competition, or which imposed costs or conferred benefits on to business. Minor amendments were made to the Act</w:t>
      </w:r>
      <w:r>
        <w:t xml:space="preserve"> and r</w:t>
      </w:r>
      <w:r w:rsidRPr="00F22158">
        <w:t xml:space="preserve">egulations as a result of that </w:t>
      </w:r>
      <w:r>
        <w:t>work</w:t>
      </w:r>
      <w:r w:rsidRPr="00F22158">
        <w:t>.</w:t>
      </w:r>
    </w:p>
    <w:p w14:paraId="4CD90CE4" w14:textId="77777777" w:rsidR="00720321" w:rsidRPr="00C847B7" w:rsidRDefault="00720321" w:rsidP="00720321">
      <w:pPr>
        <w:pStyle w:val="Heading4"/>
      </w:pPr>
      <w:r w:rsidRPr="00257A08">
        <w:lastRenderedPageBreak/>
        <w:t>Ozone Protection and Synthetic Greenhouse Gas Management Act 1989</w:t>
      </w:r>
    </w:p>
    <w:p w14:paraId="3DD06C82" w14:textId="77777777" w:rsidR="00720321" w:rsidRPr="00C847B7" w:rsidRDefault="00720321" w:rsidP="00720321">
      <w:r w:rsidRPr="00C847B7">
        <w:t xml:space="preserve">The objectives of the </w:t>
      </w:r>
      <w:r w:rsidRPr="00257A08">
        <w:rPr>
          <w:i/>
        </w:rPr>
        <w:t>Ozone Protection and Synthetic Greenhouse Gas Management Act 1989</w:t>
      </w:r>
      <w:r w:rsidRPr="00257A08">
        <w:t xml:space="preserve"> </w:t>
      </w:r>
      <w:r w:rsidRPr="00C847B7">
        <w:t>are to give effect to Australia’s international obligations to phase-out the production and consumption of ozone depleting substances (ODS) under the Vienna Convention for the Protection of the Ozone Layer (Vienna Convention) and the Montreal Prot</w:t>
      </w:r>
      <w:r>
        <w:t>ocol on Substances that Deplete</w:t>
      </w:r>
      <w:r w:rsidRPr="00C847B7">
        <w:t xml:space="preserve"> the Ozone Layer (Montreal Protocol). The Ozone Act assists Australia to meet its obligation</w:t>
      </w:r>
      <w:r w:rsidR="009B05E2">
        <w:t>s</w:t>
      </w:r>
      <w:r w:rsidRPr="00C847B7">
        <w:t xml:space="preserve"> under the United Nations Framework Convention on Climate Change (UNFCCC) and its Kyoto Protocol with respect to reducing emissions of synthetic greenhouse gases (SGGs) and reporting on Australia’s emissions of these gases. </w:t>
      </w:r>
    </w:p>
    <w:p w14:paraId="7FDF7D5B" w14:textId="77777777" w:rsidR="00720321" w:rsidRPr="00C847B7" w:rsidRDefault="00720321" w:rsidP="00720321">
      <w:r w:rsidRPr="00C847B7">
        <w:t>The Ozone Act achieves its objectives by regulating the manufacture, import, export, use and disposal of ODS and SGGs through import, export and domestic use licensing systems through several pieces of legislation.</w:t>
      </w:r>
      <w:r>
        <w:t xml:space="preserve"> The Ozone Act and regulations:</w:t>
      </w:r>
    </w:p>
    <w:p w14:paraId="3BD90CDC" w14:textId="77777777" w:rsidR="00720321" w:rsidRPr="00C847B7" w:rsidRDefault="00720321" w:rsidP="00720321">
      <w:pPr>
        <w:pStyle w:val="BulletPoints"/>
      </w:pPr>
      <w:r w:rsidRPr="00C847B7">
        <w:t>require the import and export of waste ODS must be done under a used substances licence</w:t>
      </w:r>
    </w:p>
    <w:p w14:paraId="10CF370E" w14:textId="77777777" w:rsidR="00720321" w:rsidRPr="00C847B7" w:rsidRDefault="00720321" w:rsidP="00720321">
      <w:pPr>
        <w:pStyle w:val="BulletPoints"/>
      </w:pPr>
      <w:r w:rsidRPr="00C847B7">
        <w:t>require the destruction of waste ODS to be done in accordance with Montreal Protocol requirements on approved destruction technologies</w:t>
      </w:r>
    </w:p>
    <w:p w14:paraId="787FD379" w14:textId="77777777" w:rsidR="00720321" w:rsidRPr="00C847B7" w:rsidRDefault="00720321" w:rsidP="00720321">
      <w:pPr>
        <w:pStyle w:val="BulletPoints"/>
      </w:pPr>
      <w:r w:rsidRPr="00C847B7">
        <w:t xml:space="preserve">ban the emission of waste ODS to the atmosphere </w:t>
      </w:r>
    </w:p>
    <w:p w14:paraId="5AE0BC6C" w14:textId="77777777" w:rsidR="00720321" w:rsidRPr="00C847B7" w:rsidRDefault="00720321" w:rsidP="00720321">
      <w:pPr>
        <w:pStyle w:val="BulletPoints"/>
        <w:spacing w:after="240"/>
        <w:ind w:left="1208" w:hanging="357"/>
      </w:pPr>
      <w:r w:rsidRPr="00C847B7">
        <w:t>require that waste ODS is handled by technicians who hold refrigerant handling licences or extinguishing agent handling licences.</w:t>
      </w:r>
    </w:p>
    <w:p w14:paraId="7AA951A0" w14:textId="77777777" w:rsidR="00720321" w:rsidRDefault="00720321" w:rsidP="00720321">
      <w:pPr>
        <w:pStyle w:val="Heading4"/>
      </w:pPr>
      <w:r>
        <w:t>The role of the ACBPS</w:t>
      </w:r>
    </w:p>
    <w:p w14:paraId="4CAD5186" w14:textId="77777777" w:rsidR="00720321" w:rsidRDefault="00720321" w:rsidP="00720321">
      <w:r w:rsidRPr="00990727">
        <w:t xml:space="preserve">The Australian Customs </w:t>
      </w:r>
      <w:r>
        <w:t xml:space="preserve">and Border Protection </w:t>
      </w:r>
      <w:r w:rsidRPr="00990727">
        <w:t xml:space="preserve">Service </w:t>
      </w:r>
      <w:r>
        <w:t xml:space="preserve">(ACBPS) </w:t>
      </w:r>
      <w:r w:rsidRPr="00990727">
        <w:t>controls international freight movements in and out of Australia. This includes the control of cargoes containing hazardous wastes that may move throug</w:t>
      </w:r>
      <w:r>
        <w:t>h Australian ports or airports.</w:t>
      </w:r>
    </w:p>
    <w:p w14:paraId="301D58D3" w14:textId="77777777" w:rsidR="00720321" w:rsidRDefault="00720321" w:rsidP="00720321">
      <w:pPr>
        <w:pStyle w:val="Heading4"/>
      </w:pPr>
      <w:r>
        <w:t>The role of AMSA</w:t>
      </w:r>
    </w:p>
    <w:p w14:paraId="70E553A4" w14:textId="77777777" w:rsidR="00720321" w:rsidRPr="00990727" w:rsidRDefault="00720321" w:rsidP="00720321">
      <w:pPr>
        <w:rPr>
          <w:lang w:val="en-US"/>
        </w:rPr>
      </w:pPr>
      <w:r w:rsidRPr="00990727">
        <w:t xml:space="preserve">Ensuring </w:t>
      </w:r>
      <w:r>
        <w:t xml:space="preserve">the </w:t>
      </w:r>
      <w:r w:rsidRPr="00990727">
        <w:t>safe movement of cargoes through Australian waters is the responsibility of the Australian Maritime Safety Authority</w:t>
      </w:r>
      <w:r>
        <w:t xml:space="preserve"> (AMSA). This role includes oversight of </w:t>
      </w:r>
      <w:r w:rsidRPr="00990727">
        <w:t>how hazardous w</w:t>
      </w:r>
      <w:r>
        <w:t>aste cargoes should be packaged</w:t>
      </w:r>
      <w:r w:rsidRPr="00990727">
        <w:t>.</w:t>
      </w:r>
    </w:p>
    <w:p w14:paraId="28C6B53D" w14:textId="77777777" w:rsidR="00720321" w:rsidRDefault="00720321" w:rsidP="00720321">
      <w:pPr>
        <w:pStyle w:val="Heading3"/>
        <w:numPr>
          <w:ilvl w:val="2"/>
          <w:numId w:val="2"/>
        </w:numPr>
        <w:ind w:left="1134" w:hanging="1134"/>
      </w:pPr>
      <w:r>
        <w:t>Other aspects of Australian management of hazardous waste</w:t>
      </w:r>
    </w:p>
    <w:p w14:paraId="6A23A5F9" w14:textId="77777777" w:rsidR="00720321" w:rsidRDefault="00720321" w:rsidP="00720321">
      <w:pPr>
        <w:pStyle w:val="Heading4"/>
      </w:pPr>
      <w:r w:rsidRPr="00257A08">
        <w:t>The Product Stewardship (Oil) Act 2000</w:t>
      </w:r>
    </w:p>
    <w:p w14:paraId="74A31FDD" w14:textId="77777777" w:rsidR="00720321" w:rsidRDefault="00720321" w:rsidP="00720321">
      <w:r>
        <w:t xml:space="preserve">The </w:t>
      </w:r>
      <w:r w:rsidRPr="00257A08">
        <w:rPr>
          <w:i/>
        </w:rPr>
        <w:t>Product Stewardship (Oil) Act 2000</w:t>
      </w:r>
      <w:r>
        <w:t xml:space="preserve"> establishes the general framework and benefit entitlements of the Product Stewardship for Oil scheme. The scheme provides incentives to encourage the collection and recycling of used oil. The arrangements comprise a levy-benefit system, which includes an 8.5 cents per litre levy on new oil and a scale of benefit payments to used oil recyclers. The highest benefit of 50 cents per litre is provided for re-refining of used oil back to virgin quality.</w:t>
      </w:r>
    </w:p>
    <w:p w14:paraId="310A5C65" w14:textId="1DFBFCD1" w:rsidR="00720321" w:rsidRDefault="00720321" w:rsidP="00720321">
      <w:pPr>
        <w:keepNext/>
        <w:keepLines/>
      </w:pPr>
      <w:r>
        <w:lastRenderedPageBreak/>
        <w:t xml:space="preserve">The Department of </w:t>
      </w:r>
      <w:r w:rsidR="00575421">
        <w:t xml:space="preserve">the </w:t>
      </w:r>
      <w:r>
        <w:t>Environment has policy responsibility for the scheme. Under the enabling legislation and instruments the Australian Taxation Office (ATO) perform a number of functions including:</w:t>
      </w:r>
    </w:p>
    <w:p w14:paraId="758752F3" w14:textId="77777777" w:rsidR="00720321" w:rsidRDefault="00580BF8" w:rsidP="00720321">
      <w:pPr>
        <w:pStyle w:val="BulletPoints"/>
      </w:pPr>
      <w:r>
        <w:t>d</w:t>
      </w:r>
      <w:r w:rsidR="00720321">
        <w:t>etermining eligibility for the scheme</w:t>
      </w:r>
    </w:p>
    <w:p w14:paraId="63862052" w14:textId="77777777" w:rsidR="00720321" w:rsidRDefault="00580BF8" w:rsidP="00720321">
      <w:pPr>
        <w:pStyle w:val="BulletPoints"/>
      </w:pPr>
      <w:r>
        <w:t>r</w:t>
      </w:r>
      <w:r w:rsidR="00720321">
        <w:t>egistering eligible scheme claimants</w:t>
      </w:r>
    </w:p>
    <w:p w14:paraId="2B92E74C" w14:textId="77777777" w:rsidR="00720321" w:rsidRDefault="00580BF8" w:rsidP="00720321">
      <w:pPr>
        <w:pStyle w:val="BulletPoints"/>
      </w:pPr>
      <w:r>
        <w:t>p</w:t>
      </w:r>
      <w:r w:rsidR="00720321">
        <w:t>ayment of benefits</w:t>
      </w:r>
    </w:p>
    <w:p w14:paraId="3DC00B9A" w14:textId="77777777" w:rsidR="00720321" w:rsidRDefault="00580BF8" w:rsidP="00720321">
      <w:pPr>
        <w:pStyle w:val="BulletPoints"/>
      </w:pPr>
      <w:r>
        <w:t>c</w:t>
      </w:r>
      <w:r w:rsidR="00720321">
        <w:t>ollection of some levies</w:t>
      </w:r>
    </w:p>
    <w:p w14:paraId="0B89E73E" w14:textId="77777777" w:rsidR="00720321" w:rsidRDefault="00580BF8" w:rsidP="00720321">
      <w:pPr>
        <w:pStyle w:val="BulletPoints"/>
        <w:spacing w:after="240"/>
        <w:ind w:left="1208" w:hanging="357"/>
      </w:pPr>
      <w:r>
        <w:t>c</w:t>
      </w:r>
      <w:r w:rsidR="00720321">
        <w:t>ompliance activities.</w:t>
      </w:r>
    </w:p>
    <w:p w14:paraId="4478F643" w14:textId="77777777" w:rsidR="00720321" w:rsidRDefault="00720321" w:rsidP="00720321">
      <w:r>
        <w:t>The Australian Customs and Border Protection Service (ACBPS) also collects some of the levy on new oil.</w:t>
      </w:r>
    </w:p>
    <w:p w14:paraId="6F8C3FC7" w14:textId="77777777" w:rsidR="00720321" w:rsidRPr="00F01E82" w:rsidRDefault="00720321" w:rsidP="00720321">
      <w:pPr>
        <w:pStyle w:val="Heading4"/>
      </w:pPr>
      <w:r w:rsidRPr="00F01E82">
        <w:t>The Product Stewardship Act 2011</w:t>
      </w:r>
    </w:p>
    <w:p w14:paraId="7277B485" w14:textId="77777777" w:rsidR="00720321" w:rsidRDefault="00720321" w:rsidP="00720321">
      <w:pPr>
        <w:keepLines/>
      </w:pPr>
      <w:r>
        <w:t xml:space="preserve">The </w:t>
      </w:r>
      <w:r w:rsidRPr="00090E51">
        <w:rPr>
          <w:i/>
        </w:rPr>
        <w:t>Product Stewardship Act 2011</w:t>
      </w:r>
      <w:r>
        <w:t xml:space="preserve"> provides the framework to effectively manage the environmental, health and safety impacts of products, and in particular those impacts associated with the disposal of products. The framework includes voluntary, co-regulatory and mandatory product stewardship. Televisions, computers and computer peripherals were the first products to be regulated under the </w:t>
      </w:r>
      <w:r w:rsidRPr="00090E51">
        <w:rPr>
          <w:i/>
        </w:rPr>
        <w:t>Product Stewardship Act</w:t>
      </w:r>
      <w:r>
        <w:t>, through the co-regulatory National Television and Computer Recy</w:t>
      </w:r>
      <w:r w:rsidR="00090E51">
        <w:t>cling Scheme. In the future, this</w:t>
      </w:r>
      <w:r>
        <w:t xml:space="preserve"> Act may be used to regulate (through a co-regulatory or mandatory approach) products that contain or produce hazardous waste, if this is the most appropriate way for these products and their end-of-life impacts to be managed.</w:t>
      </w:r>
    </w:p>
    <w:p w14:paraId="75553CA3" w14:textId="77777777" w:rsidR="00720321" w:rsidRDefault="00720321" w:rsidP="00720321">
      <w:pPr>
        <w:keepLines/>
      </w:pPr>
      <w:r>
        <w:t xml:space="preserve">Under the </w:t>
      </w:r>
      <w:r w:rsidRPr="00090E51">
        <w:rPr>
          <w:i/>
        </w:rPr>
        <w:t>Product Stewardship Act</w:t>
      </w:r>
      <w:r>
        <w:t xml:space="preserve"> there are currently schemes in place or under development for:</w:t>
      </w:r>
    </w:p>
    <w:p w14:paraId="62042FD3" w14:textId="77777777" w:rsidR="00720321" w:rsidRDefault="00580BF8" w:rsidP="00720321">
      <w:pPr>
        <w:pStyle w:val="BulletPoints"/>
      </w:pPr>
      <w:r>
        <w:t>t</w:t>
      </w:r>
      <w:r w:rsidR="00720321">
        <w:t>elevision and computer recycling</w:t>
      </w:r>
    </w:p>
    <w:p w14:paraId="55ABA02C" w14:textId="77777777" w:rsidR="00720321" w:rsidRDefault="00580BF8" w:rsidP="00720321">
      <w:pPr>
        <w:pStyle w:val="BulletPoints"/>
      </w:pPr>
      <w:r>
        <w:t>e</w:t>
      </w:r>
      <w:r w:rsidR="00720321">
        <w:t>nd-of-life tyres</w:t>
      </w:r>
    </w:p>
    <w:p w14:paraId="342C8EC1" w14:textId="77777777" w:rsidR="00720321" w:rsidRDefault="00580BF8" w:rsidP="00720321">
      <w:pPr>
        <w:pStyle w:val="BulletPoints"/>
      </w:pPr>
      <w:r>
        <w:t>p</w:t>
      </w:r>
      <w:r w:rsidR="00720321">
        <w:t>ackaging</w:t>
      </w:r>
    </w:p>
    <w:p w14:paraId="2C6D42A1" w14:textId="77777777" w:rsidR="00720321" w:rsidRDefault="00580BF8" w:rsidP="00720321">
      <w:pPr>
        <w:pStyle w:val="BulletPoints"/>
      </w:pPr>
      <w:r>
        <w:t>m</w:t>
      </w:r>
      <w:r w:rsidR="00720321">
        <w:t>ercury-containing lamps</w:t>
      </w:r>
    </w:p>
    <w:p w14:paraId="76A1DD06" w14:textId="77777777" w:rsidR="00720321" w:rsidRDefault="00580BF8" w:rsidP="00720321">
      <w:pPr>
        <w:pStyle w:val="BulletPoints"/>
      </w:pPr>
      <w:r>
        <w:t>w</w:t>
      </w:r>
      <w:r w:rsidR="00720321">
        <w:t>aste architectural and decorative paint</w:t>
      </w:r>
    </w:p>
    <w:p w14:paraId="3AA91469" w14:textId="77777777" w:rsidR="00720321" w:rsidRDefault="00580BF8" w:rsidP="00720321">
      <w:pPr>
        <w:pStyle w:val="BulletPoints"/>
      </w:pPr>
      <w:r>
        <w:t>e</w:t>
      </w:r>
      <w:r w:rsidR="00720321">
        <w:t>nd-of-life batteries (less than 5 kg in weight)</w:t>
      </w:r>
    </w:p>
    <w:p w14:paraId="0380C2E9" w14:textId="77777777" w:rsidR="00720321" w:rsidRDefault="00580BF8" w:rsidP="00720321">
      <w:pPr>
        <w:pStyle w:val="BulletPoints"/>
      </w:pPr>
      <w:r>
        <w:t>e</w:t>
      </w:r>
      <w:r w:rsidR="00720321">
        <w:t>nd-of-life air conditioners with small gas charges</w:t>
      </w:r>
    </w:p>
    <w:p w14:paraId="7DC2120C" w14:textId="77777777" w:rsidR="00720321" w:rsidRDefault="00580BF8" w:rsidP="00720321">
      <w:pPr>
        <w:pStyle w:val="BulletPoints"/>
        <w:spacing w:after="240"/>
        <w:ind w:left="1208" w:hanging="357"/>
      </w:pPr>
      <w:r>
        <w:t>e</w:t>
      </w:r>
      <w:r w:rsidR="00720321">
        <w:t>nd-of-life refrigerators with small gas charges.</w:t>
      </w:r>
    </w:p>
    <w:p w14:paraId="193B5969" w14:textId="77777777" w:rsidR="00720321" w:rsidRDefault="00720321" w:rsidP="00720321">
      <w:pPr>
        <w:pStyle w:val="Heading4"/>
      </w:pPr>
      <w:r>
        <w:t>National Waste Data System</w:t>
      </w:r>
    </w:p>
    <w:p w14:paraId="14E1DF26" w14:textId="77777777" w:rsidR="00720321" w:rsidRDefault="00720321" w:rsidP="00720321">
      <w:r>
        <w:t>The National Waste Data System is currently being developed and will, for the first time, allow for integrated reporting of hazardous waste as part of the Commonwealth’s reporting on waste. It will remove duplication of requests to state and territory jurisdictions for hazardous waste data, and also align differences in hazardous waste</w:t>
      </w:r>
      <w:r w:rsidRPr="00A933DB">
        <w:t xml:space="preserve"> classification</w:t>
      </w:r>
      <w:r>
        <w:t>s</w:t>
      </w:r>
      <w:r w:rsidRPr="00A933DB">
        <w:t xml:space="preserve"> </w:t>
      </w:r>
      <w:r>
        <w:t>between jurisdictions for collation into national reporting.</w:t>
      </w:r>
    </w:p>
    <w:p w14:paraId="383A6BA7" w14:textId="77777777" w:rsidR="00B0068B" w:rsidRPr="00551F05" w:rsidRDefault="00B0068B" w:rsidP="00551F05">
      <w:pPr>
        <w:pStyle w:val="Heading2"/>
      </w:pPr>
      <w:bookmarkStart w:id="20" w:name="_Toc426022022"/>
      <w:r w:rsidRPr="00551F05">
        <w:lastRenderedPageBreak/>
        <w:t>Project scope</w:t>
      </w:r>
      <w:bookmarkEnd w:id="20"/>
    </w:p>
    <w:p w14:paraId="3440BE02" w14:textId="77777777" w:rsidR="00601B57" w:rsidRDefault="0052013F" w:rsidP="00B0068B">
      <w:r>
        <w:t>E</w:t>
      </w:r>
      <w:r w:rsidR="00E17045" w:rsidRPr="00C85476">
        <w:t>xtensive</w:t>
      </w:r>
      <w:r w:rsidR="00B0068B" w:rsidRPr="00C85476">
        <w:t xml:space="preserve"> research and consultation </w:t>
      </w:r>
      <w:r>
        <w:t xml:space="preserve">has been undertaken </w:t>
      </w:r>
      <w:r w:rsidR="00B0068B" w:rsidRPr="00C85476">
        <w:t>in order to coll</w:t>
      </w:r>
      <w:r>
        <w:t>ate</w:t>
      </w:r>
      <w:r w:rsidR="00B0068B" w:rsidRPr="00C85476">
        <w:t xml:space="preserve"> and test </w:t>
      </w:r>
      <w:r>
        <w:t>the</w:t>
      </w:r>
      <w:r w:rsidR="00B0068B" w:rsidRPr="00C85476">
        <w:t xml:space="preserve"> feasibility </w:t>
      </w:r>
      <w:r>
        <w:t xml:space="preserve">of sixteen </w:t>
      </w:r>
      <w:r w:rsidR="00E17045" w:rsidRPr="00C85476">
        <w:t>options</w:t>
      </w:r>
      <w:r w:rsidR="00B0068B" w:rsidRPr="00C85476">
        <w:t xml:space="preserve"> for national hazardous waste reform, including those involving amendments to national legislation. </w:t>
      </w:r>
    </w:p>
    <w:p w14:paraId="32C6327C" w14:textId="77777777" w:rsidR="00601B57" w:rsidRPr="00C85476" w:rsidRDefault="00601B57" w:rsidP="00601B57">
      <w:r w:rsidRPr="00C85476">
        <w:t xml:space="preserve">The outcomes of the </w:t>
      </w:r>
      <w:r>
        <w:t>project</w:t>
      </w:r>
      <w:r w:rsidRPr="00C85476">
        <w:t xml:space="preserve"> will provide input into a cost benefit analysis (CBA) on the shortlisted reform proposals that will be completed in 2015–16, which may then lead to </w:t>
      </w:r>
      <w:r>
        <w:t xml:space="preserve">a regulatory </w:t>
      </w:r>
      <w:r w:rsidRPr="00C85476">
        <w:t>impact assessment.</w:t>
      </w:r>
    </w:p>
    <w:p w14:paraId="788B9E21" w14:textId="3F03C2F5" w:rsidR="00B930D8" w:rsidRPr="00C85476" w:rsidRDefault="00E17045" w:rsidP="00B930D8">
      <w:r w:rsidRPr="00C85476">
        <w:t>An outline of the</w:t>
      </w:r>
      <w:r w:rsidR="00B930D8" w:rsidRPr="00C85476">
        <w:t xml:space="preserve"> project method is provided in </w:t>
      </w:r>
      <w:r w:rsidR="00175ECB">
        <w:fldChar w:fldCharType="begin"/>
      </w:r>
      <w:r w:rsidR="00175ECB">
        <w:instrText xml:space="preserve"> REF _Ref423294047 \h  \* MERGEFORMAT </w:instrText>
      </w:r>
      <w:r w:rsidR="00175ECB">
        <w:fldChar w:fldCharType="separate"/>
      </w:r>
      <w:r w:rsidR="00C40366" w:rsidRPr="00C40366">
        <w:t>Figure 2</w:t>
      </w:r>
      <w:r w:rsidR="00175ECB">
        <w:fldChar w:fldCharType="end"/>
      </w:r>
      <w:r w:rsidR="00B930D8" w:rsidRPr="00C85476">
        <w:t>.</w:t>
      </w:r>
    </w:p>
    <w:p w14:paraId="1F3E4516" w14:textId="77777777" w:rsidR="00E17045" w:rsidRPr="00C85476" w:rsidRDefault="00E17045" w:rsidP="00B930D8"/>
    <w:p w14:paraId="32ED2274" w14:textId="77777777" w:rsidR="00B930D8" w:rsidRPr="00C85476" w:rsidRDefault="00B930D8" w:rsidP="00E17045">
      <w:pPr>
        <w:keepNext/>
        <w:keepLines/>
        <w:rPr>
          <w:b/>
        </w:rPr>
      </w:pPr>
      <w:bookmarkStart w:id="21" w:name="_Ref423294047"/>
      <w:r w:rsidRPr="00C85476">
        <w:rPr>
          <w:b/>
        </w:rPr>
        <w:t xml:space="preserve">Figure </w:t>
      </w:r>
      <w:r w:rsidR="007B2B2A" w:rsidRPr="00C85476">
        <w:rPr>
          <w:b/>
        </w:rPr>
        <w:fldChar w:fldCharType="begin"/>
      </w:r>
      <w:r w:rsidRPr="00C85476">
        <w:rPr>
          <w:b/>
        </w:rPr>
        <w:instrText xml:space="preserve"> SEQ Figure \* ARABIC </w:instrText>
      </w:r>
      <w:r w:rsidR="007B2B2A" w:rsidRPr="00C85476">
        <w:rPr>
          <w:b/>
        </w:rPr>
        <w:fldChar w:fldCharType="separate"/>
      </w:r>
      <w:r w:rsidR="00C40366">
        <w:rPr>
          <w:b/>
          <w:noProof/>
        </w:rPr>
        <w:t>2</w:t>
      </w:r>
      <w:r w:rsidR="007B2B2A" w:rsidRPr="00C85476">
        <w:rPr>
          <w:b/>
          <w:noProof/>
        </w:rPr>
        <w:fldChar w:fldCharType="end"/>
      </w:r>
      <w:bookmarkEnd w:id="21"/>
      <w:r w:rsidRPr="00C85476">
        <w:rPr>
          <w:b/>
        </w:rPr>
        <w:t xml:space="preserve"> – Project tasks</w:t>
      </w:r>
    </w:p>
    <w:p w14:paraId="4E4F7E3A" w14:textId="77777777" w:rsidR="00B930D8" w:rsidRPr="00C85476" w:rsidRDefault="00B930D8" w:rsidP="00B930D8">
      <w:r w:rsidRPr="00C85476">
        <w:rPr>
          <w:noProof/>
        </w:rPr>
        <w:drawing>
          <wp:inline distT="0" distB="0" distL="0" distR="0" wp14:anchorId="0A8CB815" wp14:editId="537EA6D7">
            <wp:extent cx="5400675" cy="4448175"/>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AA58DA" w14:textId="77777777" w:rsidR="00B930D8" w:rsidRPr="00C85476" w:rsidRDefault="00B930D8" w:rsidP="00B930D8"/>
    <w:p w14:paraId="541F7E9B" w14:textId="77777777" w:rsidR="00551F05" w:rsidRDefault="00551F05" w:rsidP="00551F05">
      <w:pPr>
        <w:pStyle w:val="Heading2"/>
      </w:pPr>
      <w:bookmarkStart w:id="22" w:name="_Toc426022023"/>
      <w:r>
        <w:lastRenderedPageBreak/>
        <w:t>Consultation responses</w:t>
      </w:r>
      <w:bookmarkEnd w:id="22"/>
    </w:p>
    <w:p w14:paraId="5748F139" w14:textId="77777777" w:rsidR="00451197" w:rsidRPr="00C85476" w:rsidRDefault="00451197" w:rsidP="00580BF8">
      <w:pPr>
        <w:keepNext/>
        <w:keepLines/>
      </w:pPr>
      <w:r w:rsidRPr="00C85476">
        <w:t>On the 3 June 2015 a consultation paper was released to 15 government stakeholders nationally, followed by the release of the consultation paper to 52 other stakeholders on the 10 June 2015. In total the consultation paper was directly e-mailed to 67 organisations. The consultation period was concluded on the 22 June 2015, and this report documents the outcomes and responses from the consultation.</w:t>
      </w:r>
    </w:p>
    <w:p w14:paraId="245B0DA5" w14:textId="27281767" w:rsidR="00451197" w:rsidRPr="00C85476" w:rsidRDefault="00744048" w:rsidP="00451197">
      <w:r>
        <w:t>In total, 26</w:t>
      </w:r>
      <w:r w:rsidR="00A507D9">
        <w:t xml:space="preserve"> written</w:t>
      </w:r>
      <w:r w:rsidR="00451197" w:rsidRPr="00C85476">
        <w:t xml:space="preserve"> responses were received from stakeholders across: government; industry groups; industry (generators, transporter and treaters); and NGOs. A summary of the consultation responses is provided in </w:t>
      </w:r>
      <w:r w:rsidR="00175ECB">
        <w:fldChar w:fldCharType="begin"/>
      </w:r>
      <w:r w:rsidR="00175ECB">
        <w:instrText xml:space="preserve"> REF _Ref423022952 \h  \* MERGEFORMAT </w:instrText>
      </w:r>
      <w:r w:rsidR="00175ECB">
        <w:fldChar w:fldCharType="separate"/>
      </w:r>
      <w:r w:rsidR="00C40366" w:rsidRPr="00C40366">
        <w:t>Table 2</w:t>
      </w:r>
      <w:r w:rsidR="00175ECB">
        <w:fldChar w:fldCharType="end"/>
      </w:r>
      <w:r w:rsidR="00451197" w:rsidRPr="00C85476">
        <w:t>.</w:t>
      </w:r>
    </w:p>
    <w:p w14:paraId="54274908" w14:textId="77777777" w:rsidR="00451197" w:rsidRPr="00C85476" w:rsidRDefault="00451197" w:rsidP="00451197"/>
    <w:p w14:paraId="0229ACCC" w14:textId="77777777" w:rsidR="00451197" w:rsidRPr="00C85476" w:rsidRDefault="00451197" w:rsidP="00451197">
      <w:pPr>
        <w:keepNext/>
        <w:keepLines/>
        <w:spacing w:after="120" w:line="240" w:lineRule="auto"/>
        <w:rPr>
          <w:b/>
        </w:rPr>
      </w:pPr>
      <w:bookmarkStart w:id="23" w:name="_Ref423022952"/>
      <w:r w:rsidRPr="00C85476">
        <w:rPr>
          <w:b/>
        </w:rPr>
        <w:t xml:space="preserve">Table </w:t>
      </w:r>
      <w:r w:rsidR="007B2B2A" w:rsidRPr="00C85476">
        <w:rPr>
          <w:b/>
        </w:rPr>
        <w:fldChar w:fldCharType="begin"/>
      </w:r>
      <w:r w:rsidRPr="00C85476">
        <w:rPr>
          <w:b/>
        </w:rPr>
        <w:instrText xml:space="preserve"> SEQ Table \* ARABIC </w:instrText>
      </w:r>
      <w:r w:rsidR="007B2B2A" w:rsidRPr="00C85476">
        <w:rPr>
          <w:b/>
        </w:rPr>
        <w:fldChar w:fldCharType="separate"/>
      </w:r>
      <w:r w:rsidR="00C40366">
        <w:rPr>
          <w:b/>
          <w:noProof/>
        </w:rPr>
        <w:t>2</w:t>
      </w:r>
      <w:r w:rsidR="007B2B2A" w:rsidRPr="00C85476">
        <w:rPr>
          <w:b/>
        </w:rPr>
        <w:fldChar w:fldCharType="end"/>
      </w:r>
      <w:bookmarkEnd w:id="23"/>
      <w:r w:rsidRPr="00C85476">
        <w:rPr>
          <w:b/>
        </w:rPr>
        <w:t xml:space="preserve"> – Consultation responses</w:t>
      </w:r>
    </w:p>
    <w:tbl>
      <w:tblPr>
        <w:tblW w:w="7697" w:type="dxa"/>
        <w:tblInd w:w="28" w:type="dxa"/>
        <w:tblLayout w:type="fixed"/>
        <w:tblLook w:val="04A0" w:firstRow="1" w:lastRow="0" w:firstColumn="1" w:lastColumn="0" w:noHBand="0" w:noVBand="1"/>
      </w:tblPr>
      <w:tblGrid>
        <w:gridCol w:w="3374"/>
        <w:gridCol w:w="1347"/>
        <w:gridCol w:w="1488"/>
        <w:gridCol w:w="1488"/>
      </w:tblGrid>
      <w:tr w:rsidR="00451197" w:rsidRPr="00C85476" w14:paraId="4A577C7D" w14:textId="77777777" w:rsidTr="00551F05">
        <w:tc>
          <w:tcPr>
            <w:tcW w:w="3374" w:type="dxa"/>
            <w:tcBorders>
              <w:top w:val="single" w:sz="4" w:space="0" w:color="00B082"/>
              <w:bottom w:val="single" w:sz="4" w:space="0" w:color="00B082"/>
            </w:tcBorders>
            <w:shd w:val="clear" w:color="auto" w:fill="D9D9D9" w:themeFill="background1" w:themeFillShade="D9"/>
            <w:tcMar>
              <w:left w:w="28" w:type="dxa"/>
              <w:right w:w="28" w:type="dxa"/>
            </w:tcMar>
            <w:vAlign w:val="center"/>
          </w:tcPr>
          <w:p w14:paraId="13D6CF60" w14:textId="77777777" w:rsidR="00451197" w:rsidRPr="00C85476" w:rsidRDefault="00451197" w:rsidP="00551F05">
            <w:pPr>
              <w:pStyle w:val="TableHeading"/>
              <w:keepNext/>
              <w:keepLines/>
            </w:pPr>
            <w:r w:rsidRPr="00C85476">
              <w:t>Stakeholder group</w:t>
            </w:r>
          </w:p>
        </w:tc>
        <w:tc>
          <w:tcPr>
            <w:tcW w:w="1347" w:type="dxa"/>
            <w:tcBorders>
              <w:top w:val="single" w:sz="4" w:space="0" w:color="00B082"/>
              <w:bottom w:val="single" w:sz="4" w:space="0" w:color="00B082"/>
            </w:tcBorders>
            <w:shd w:val="clear" w:color="auto" w:fill="D9D9D9" w:themeFill="background1" w:themeFillShade="D9"/>
            <w:vAlign w:val="center"/>
          </w:tcPr>
          <w:p w14:paraId="32DE515F" w14:textId="77777777" w:rsidR="00451197" w:rsidRPr="00C85476" w:rsidRDefault="00451197" w:rsidP="00551F05">
            <w:pPr>
              <w:pStyle w:val="TableHeading"/>
              <w:keepNext/>
              <w:keepLines/>
            </w:pPr>
            <w:r w:rsidRPr="00C85476">
              <w:t>Number invited</w:t>
            </w:r>
          </w:p>
        </w:tc>
        <w:tc>
          <w:tcPr>
            <w:tcW w:w="1488" w:type="dxa"/>
            <w:tcBorders>
              <w:top w:val="single" w:sz="4" w:space="0" w:color="00B082"/>
              <w:bottom w:val="single" w:sz="4" w:space="0" w:color="00B082"/>
            </w:tcBorders>
            <w:shd w:val="clear" w:color="auto" w:fill="D9D9D9" w:themeFill="background1" w:themeFillShade="D9"/>
            <w:vAlign w:val="center"/>
          </w:tcPr>
          <w:p w14:paraId="15E47C89" w14:textId="77777777" w:rsidR="00451197" w:rsidRPr="00C85476" w:rsidRDefault="00451197" w:rsidP="00551F05">
            <w:pPr>
              <w:pStyle w:val="TableHeading"/>
              <w:keepNext/>
              <w:keepLines/>
            </w:pPr>
            <w:r w:rsidRPr="00C85476">
              <w:t>Number of written responses</w:t>
            </w:r>
          </w:p>
        </w:tc>
        <w:tc>
          <w:tcPr>
            <w:tcW w:w="1488" w:type="dxa"/>
            <w:tcBorders>
              <w:top w:val="single" w:sz="4" w:space="0" w:color="00B082"/>
              <w:bottom w:val="single" w:sz="4" w:space="0" w:color="00B082"/>
            </w:tcBorders>
            <w:shd w:val="clear" w:color="auto" w:fill="D9D9D9" w:themeFill="background1" w:themeFillShade="D9"/>
            <w:vAlign w:val="center"/>
          </w:tcPr>
          <w:p w14:paraId="798A5122" w14:textId="77777777" w:rsidR="00451197" w:rsidRPr="00C85476" w:rsidRDefault="00451197" w:rsidP="00551F05">
            <w:pPr>
              <w:pStyle w:val="TableHeading"/>
              <w:keepNext/>
              <w:keepLines/>
            </w:pPr>
            <w:r w:rsidRPr="00C85476">
              <w:t>% written response rate</w:t>
            </w:r>
          </w:p>
        </w:tc>
      </w:tr>
      <w:tr w:rsidR="00451197" w:rsidRPr="00C85476" w14:paraId="1FE6F087" w14:textId="77777777" w:rsidTr="00551F05">
        <w:tc>
          <w:tcPr>
            <w:tcW w:w="3374" w:type="dxa"/>
            <w:tcBorders>
              <w:top w:val="single" w:sz="4" w:space="0" w:color="00B082"/>
            </w:tcBorders>
            <w:tcMar>
              <w:left w:w="28" w:type="dxa"/>
              <w:right w:w="28" w:type="dxa"/>
            </w:tcMar>
          </w:tcPr>
          <w:p w14:paraId="194F9A0F" w14:textId="77777777" w:rsidR="00451197" w:rsidRPr="00C85476" w:rsidRDefault="00451197" w:rsidP="00551F05">
            <w:pPr>
              <w:pStyle w:val="TableText"/>
              <w:keepNext/>
              <w:keepLines/>
            </w:pPr>
            <w:r w:rsidRPr="00C85476">
              <w:t xml:space="preserve">Government </w:t>
            </w:r>
            <w:r>
              <w:t xml:space="preserve">agencies </w:t>
            </w:r>
            <w:r w:rsidRPr="00C85476">
              <w:t>– Federal</w:t>
            </w:r>
          </w:p>
        </w:tc>
        <w:tc>
          <w:tcPr>
            <w:tcW w:w="1347" w:type="dxa"/>
            <w:tcBorders>
              <w:top w:val="single" w:sz="4" w:space="0" w:color="00B082"/>
            </w:tcBorders>
          </w:tcPr>
          <w:p w14:paraId="1DD5F257" w14:textId="77777777" w:rsidR="00451197" w:rsidRPr="00C85476" w:rsidRDefault="00451197" w:rsidP="00551F05">
            <w:pPr>
              <w:pStyle w:val="TableText"/>
              <w:keepNext/>
              <w:keepLines/>
              <w:tabs>
                <w:tab w:val="left" w:pos="528"/>
                <w:tab w:val="center" w:pos="636"/>
              </w:tabs>
              <w:jc w:val="center"/>
            </w:pPr>
            <w:r w:rsidRPr="00C85476">
              <w:t>5</w:t>
            </w:r>
          </w:p>
        </w:tc>
        <w:tc>
          <w:tcPr>
            <w:tcW w:w="1488" w:type="dxa"/>
            <w:tcBorders>
              <w:top w:val="single" w:sz="4" w:space="0" w:color="00B082"/>
            </w:tcBorders>
            <w:vAlign w:val="center"/>
          </w:tcPr>
          <w:p w14:paraId="33BEB29F" w14:textId="77777777" w:rsidR="00451197" w:rsidRPr="00C85476" w:rsidRDefault="00A507D9" w:rsidP="00551F05">
            <w:pPr>
              <w:pStyle w:val="TableText"/>
              <w:keepNext/>
              <w:keepLines/>
              <w:jc w:val="center"/>
            </w:pPr>
            <w:r>
              <w:t>2</w:t>
            </w:r>
          </w:p>
        </w:tc>
        <w:tc>
          <w:tcPr>
            <w:tcW w:w="1488" w:type="dxa"/>
            <w:tcBorders>
              <w:top w:val="single" w:sz="4" w:space="0" w:color="00B082"/>
            </w:tcBorders>
          </w:tcPr>
          <w:p w14:paraId="35D74E63" w14:textId="77777777" w:rsidR="00451197" w:rsidRPr="00C85476" w:rsidRDefault="006E5C30" w:rsidP="00551F05">
            <w:pPr>
              <w:pStyle w:val="TableText"/>
              <w:keepNext/>
              <w:keepLines/>
              <w:tabs>
                <w:tab w:val="left" w:pos="528"/>
                <w:tab w:val="center" w:pos="636"/>
              </w:tabs>
              <w:jc w:val="center"/>
            </w:pPr>
            <w:r>
              <w:t>4</w:t>
            </w:r>
            <w:r w:rsidR="00451197" w:rsidRPr="00C85476">
              <w:t>0%</w:t>
            </w:r>
          </w:p>
        </w:tc>
      </w:tr>
      <w:tr w:rsidR="00451197" w:rsidRPr="00C85476" w14:paraId="6B5AAD0C" w14:textId="77777777" w:rsidTr="00551F05">
        <w:tc>
          <w:tcPr>
            <w:tcW w:w="3374" w:type="dxa"/>
            <w:tcMar>
              <w:left w:w="28" w:type="dxa"/>
              <w:right w:w="28" w:type="dxa"/>
            </w:tcMar>
          </w:tcPr>
          <w:p w14:paraId="79A6263C" w14:textId="77777777" w:rsidR="00451197" w:rsidRPr="00C85476" w:rsidRDefault="00451197" w:rsidP="00551F05">
            <w:pPr>
              <w:pStyle w:val="TableText"/>
              <w:keepNext/>
              <w:keepLines/>
            </w:pPr>
            <w:r w:rsidRPr="00C85476">
              <w:t xml:space="preserve">Government </w:t>
            </w:r>
            <w:r>
              <w:t>agencies</w:t>
            </w:r>
            <w:r w:rsidRPr="00C85476">
              <w:t>– State/Territory</w:t>
            </w:r>
          </w:p>
        </w:tc>
        <w:tc>
          <w:tcPr>
            <w:tcW w:w="1347" w:type="dxa"/>
          </w:tcPr>
          <w:p w14:paraId="7615B8AA" w14:textId="77777777" w:rsidR="00451197" w:rsidRPr="00C85476" w:rsidRDefault="00451197" w:rsidP="00551F05">
            <w:pPr>
              <w:pStyle w:val="TableText"/>
              <w:keepNext/>
              <w:keepLines/>
              <w:tabs>
                <w:tab w:val="left" w:pos="528"/>
                <w:tab w:val="center" w:pos="636"/>
              </w:tabs>
              <w:jc w:val="center"/>
            </w:pPr>
            <w:r w:rsidRPr="00C85476">
              <w:t>10</w:t>
            </w:r>
          </w:p>
        </w:tc>
        <w:tc>
          <w:tcPr>
            <w:tcW w:w="1488" w:type="dxa"/>
            <w:vAlign w:val="center"/>
          </w:tcPr>
          <w:p w14:paraId="3A5A4F1D" w14:textId="3A679B9B" w:rsidR="00451197" w:rsidRPr="00C85476" w:rsidRDefault="00744048" w:rsidP="00551F05">
            <w:pPr>
              <w:pStyle w:val="TableText"/>
              <w:keepNext/>
              <w:keepLines/>
              <w:jc w:val="center"/>
              <w:rPr>
                <w:rFonts w:ascii="Calibri" w:hAnsi="Calibri"/>
                <w:color w:val="000000"/>
                <w:szCs w:val="20"/>
              </w:rPr>
            </w:pPr>
            <w:r>
              <w:rPr>
                <w:rFonts w:ascii="Calibri" w:hAnsi="Calibri"/>
                <w:color w:val="000000"/>
                <w:szCs w:val="20"/>
              </w:rPr>
              <w:t>9</w:t>
            </w:r>
          </w:p>
        </w:tc>
        <w:tc>
          <w:tcPr>
            <w:tcW w:w="1488" w:type="dxa"/>
          </w:tcPr>
          <w:p w14:paraId="3599E108" w14:textId="23E9B395" w:rsidR="00451197" w:rsidRPr="00C85476" w:rsidRDefault="00744048" w:rsidP="00551F05">
            <w:pPr>
              <w:pStyle w:val="TableText"/>
              <w:keepNext/>
              <w:keepLines/>
              <w:tabs>
                <w:tab w:val="left" w:pos="528"/>
                <w:tab w:val="center" w:pos="636"/>
              </w:tabs>
              <w:jc w:val="center"/>
            </w:pPr>
            <w:r>
              <w:t>9</w:t>
            </w:r>
            <w:r w:rsidR="00451197" w:rsidRPr="00C85476">
              <w:t>0%</w:t>
            </w:r>
          </w:p>
        </w:tc>
      </w:tr>
      <w:tr w:rsidR="00451197" w:rsidRPr="00C85476" w14:paraId="3DB6F59B" w14:textId="77777777" w:rsidTr="00551F05">
        <w:tc>
          <w:tcPr>
            <w:tcW w:w="3374" w:type="dxa"/>
            <w:tcMar>
              <w:left w:w="28" w:type="dxa"/>
              <w:right w:w="28" w:type="dxa"/>
            </w:tcMar>
          </w:tcPr>
          <w:p w14:paraId="10AD8798" w14:textId="77777777" w:rsidR="00451197" w:rsidRPr="00C85476" w:rsidRDefault="00451197" w:rsidP="00551F05">
            <w:pPr>
              <w:pStyle w:val="TableText"/>
              <w:keepNext/>
              <w:keepLines/>
            </w:pPr>
            <w:r>
              <w:t>Hazardous waste g</w:t>
            </w:r>
            <w:r w:rsidRPr="00C85476">
              <w:t>enerator</w:t>
            </w:r>
            <w:r>
              <w:t>s</w:t>
            </w:r>
          </w:p>
        </w:tc>
        <w:tc>
          <w:tcPr>
            <w:tcW w:w="1347" w:type="dxa"/>
          </w:tcPr>
          <w:p w14:paraId="6C378ACA" w14:textId="77777777" w:rsidR="00451197" w:rsidRPr="00C85476" w:rsidRDefault="00451197" w:rsidP="00551F05">
            <w:pPr>
              <w:pStyle w:val="TableText"/>
              <w:keepNext/>
              <w:keepLines/>
              <w:tabs>
                <w:tab w:val="left" w:pos="528"/>
                <w:tab w:val="center" w:pos="636"/>
              </w:tabs>
              <w:jc w:val="center"/>
            </w:pPr>
            <w:r w:rsidRPr="00C85476">
              <w:t>13</w:t>
            </w:r>
          </w:p>
        </w:tc>
        <w:tc>
          <w:tcPr>
            <w:tcW w:w="1488" w:type="dxa"/>
            <w:vAlign w:val="center"/>
          </w:tcPr>
          <w:p w14:paraId="29D4468B" w14:textId="77777777" w:rsidR="00451197" w:rsidRPr="00C85476" w:rsidRDefault="00451197" w:rsidP="00551F05">
            <w:pPr>
              <w:pStyle w:val="TableText"/>
              <w:keepNext/>
              <w:keepLines/>
              <w:jc w:val="center"/>
              <w:rPr>
                <w:rFonts w:ascii="Calibri" w:hAnsi="Calibri"/>
                <w:color w:val="000000"/>
                <w:szCs w:val="20"/>
              </w:rPr>
            </w:pPr>
            <w:r w:rsidRPr="00C85476">
              <w:rPr>
                <w:rFonts w:ascii="Calibri" w:hAnsi="Calibri"/>
                <w:color w:val="000000"/>
                <w:szCs w:val="20"/>
              </w:rPr>
              <w:t>1</w:t>
            </w:r>
          </w:p>
        </w:tc>
        <w:tc>
          <w:tcPr>
            <w:tcW w:w="1488" w:type="dxa"/>
          </w:tcPr>
          <w:p w14:paraId="4FA31059" w14:textId="77777777" w:rsidR="00451197" w:rsidRPr="00C85476" w:rsidRDefault="00451197" w:rsidP="00551F05">
            <w:pPr>
              <w:pStyle w:val="TableText"/>
              <w:keepNext/>
              <w:keepLines/>
              <w:tabs>
                <w:tab w:val="left" w:pos="528"/>
                <w:tab w:val="center" w:pos="636"/>
              </w:tabs>
              <w:jc w:val="center"/>
            </w:pPr>
            <w:r w:rsidRPr="00C85476">
              <w:t>8%</w:t>
            </w:r>
          </w:p>
        </w:tc>
      </w:tr>
      <w:tr w:rsidR="00451197" w:rsidRPr="00C85476" w14:paraId="4D7C93EE" w14:textId="77777777" w:rsidTr="00551F05">
        <w:tc>
          <w:tcPr>
            <w:tcW w:w="3374" w:type="dxa"/>
            <w:tcMar>
              <w:left w:w="28" w:type="dxa"/>
              <w:right w:w="28" w:type="dxa"/>
            </w:tcMar>
          </w:tcPr>
          <w:p w14:paraId="2EF91BE4" w14:textId="77777777" w:rsidR="00451197" w:rsidRPr="00C85476" w:rsidRDefault="00451197" w:rsidP="00551F05">
            <w:pPr>
              <w:pStyle w:val="TableText"/>
              <w:keepNext/>
              <w:keepLines/>
            </w:pPr>
            <w:r>
              <w:t>Hazardous waste t</w:t>
            </w:r>
            <w:r w:rsidRPr="00C85476">
              <w:t>ransporter</w:t>
            </w:r>
            <w:r>
              <w:t>s</w:t>
            </w:r>
            <w:r w:rsidRPr="00C85476">
              <w:t>/treater</w:t>
            </w:r>
            <w:r>
              <w:t>s</w:t>
            </w:r>
          </w:p>
        </w:tc>
        <w:tc>
          <w:tcPr>
            <w:tcW w:w="1347" w:type="dxa"/>
          </w:tcPr>
          <w:p w14:paraId="25AFD8D7" w14:textId="77777777" w:rsidR="00451197" w:rsidRPr="00C85476" w:rsidRDefault="00451197" w:rsidP="00551F05">
            <w:pPr>
              <w:pStyle w:val="TableText"/>
              <w:keepNext/>
              <w:keepLines/>
              <w:tabs>
                <w:tab w:val="left" w:pos="528"/>
                <w:tab w:val="center" w:pos="636"/>
              </w:tabs>
              <w:jc w:val="center"/>
            </w:pPr>
            <w:r w:rsidRPr="00C85476">
              <w:t>18</w:t>
            </w:r>
          </w:p>
        </w:tc>
        <w:tc>
          <w:tcPr>
            <w:tcW w:w="1488" w:type="dxa"/>
            <w:vAlign w:val="center"/>
          </w:tcPr>
          <w:p w14:paraId="661E6FDE" w14:textId="77777777" w:rsidR="00451197" w:rsidRPr="00C85476" w:rsidRDefault="00451197" w:rsidP="00551F05">
            <w:pPr>
              <w:pStyle w:val="TableText"/>
              <w:keepNext/>
              <w:keepLines/>
              <w:jc w:val="center"/>
              <w:rPr>
                <w:rFonts w:ascii="Calibri" w:hAnsi="Calibri"/>
                <w:color w:val="000000"/>
                <w:szCs w:val="20"/>
              </w:rPr>
            </w:pPr>
            <w:r w:rsidRPr="00C85476">
              <w:rPr>
                <w:rFonts w:ascii="Calibri" w:hAnsi="Calibri"/>
                <w:color w:val="000000"/>
                <w:szCs w:val="20"/>
              </w:rPr>
              <w:t>6</w:t>
            </w:r>
          </w:p>
        </w:tc>
        <w:tc>
          <w:tcPr>
            <w:tcW w:w="1488" w:type="dxa"/>
          </w:tcPr>
          <w:p w14:paraId="38B68798" w14:textId="77777777" w:rsidR="00451197" w:rsidRPr="00C85476" w:rsidRDefault="00451197" w:rsidP="00551F05">
            <w:pPr>
              <w:pStyle w:val="TableText"/>
              <w:keepNext/>
              <w:keepLines/>
              <w:tabs>
                <w:tab w:val="left" w:pos="528"/>
                <w:tab w:val="center" w:pos="636"/>
              </w:tabs>
              <w:jc w:val="center"/>
            </w:pPr>
            <w:r w:rsidRPr="00C85476">
              <w:t>33%</w:t>
            </w:r>
          </w:p>
        </w:tc>
      </w:tr>
      <w:tr w:rsidR="00451197" w:rsidRPr="00C85476" w14:paraId="58B41B04" w14:textId="77777777" w:rsidTr="00551F05">
        <w:tc>
          <w:tcPr>
            <w:tcW w:w="3374" w:type="dxa"/>
            <w:tcMar>
              <w:left w:w="28" w:type="dxa"/>
              <w:right w:w="28" w:type="dxa"/>
            </w:tcMar>
          </w:tcPr>
          <w:p w14:paraId="3F43F6C4" w14:textId="77777777" w:rsidR="00451197" w:rsidRPr="00C85476" w:rsidRDefault="00451197" w:rsidP="00551F05">
            <w:pPr>
              <w:pStyle w:val="TableText"/>
              <w:keepNext/>
              <w:keepLines/>
            </w:pPr>
            <w:r w:rsidRPr="00C85476">
              <w:t>Industry group</w:t>
            </w:r>
            <w:r>
              <w:t>s</w:t>
            </w:r>
          </w:p>
        </w:tc>
        <w:tc>
          <w:tcPr>
            <w:tcW w:w="1347" w:type="dxa"/>
          </w:tcPr>
          <w:p w14:paraId="2D5E86DC" w14:textId="77777777" w:rsidR="00451197" w:rsidRPr="00C85476" w:rsidRDefault="00451197" w:rsidP="00551F05">
            <w:pPr>
              <w:pStyle w:val="TableText"/>
              <w:keepNext/>
              <w:keepLines/>
              <w:jc w:val="center"/>
            </w:pPr>
            <w:r w:rsidRPr="00C85476">
              <w:t>11</w:t>
            </w:r>
          </w:p>
        </w:tc>
        <w:tc>
          <w:tcPr>
            <w:tcW w:w="1488" w:type="dxa"/>
            <w:vAlign w:val="center"/>
          </w:tcPr>
          <w:p w14:paraId="1E686E9B" w14:textId="77777777" w:rsidR="00451197" w:rsidRPr="00C85476" w:rsidRDefault="00451197" w:rsidP="00551F05">
            <w:pPr>
              <w:pStyle w:val="TableText"/>
              <w:keepNext/>
              <w:keepLines/>
              <w:jc w:val="center"/>
            </w:pPr>
            <w:r w:rsidRPr="00C85476">
              <w:rPr>
                <w:rFonts w:ascii="Calibri" w:hAnsi="Calibri"/>
                <w:color w:val="000000"/>
                <w:szCs w:val="20"/>
              </w:rPr>
              <w:t>4</w:t>
            </w:r>
          </w:p>
        </w:tc>
        <w:tc>
          <w:tcPr>
            <w:tcW w:w="1488" w:type="dxa"/>
          </w:tcPr>
          <w:p w14:paraId="2767EB21" w14:textId="77777777" w:rsidR="00451197" w:rsidRPr="00C85476" w:rsidRDefault="00451197" w:rsidP="00551F05">
            <w:pPr>
              <w:pStyle w:val="TableText"/>
              <w:keepNext/>
              <w:keepLines/>
              <w:tabs>
                <w:tab w:val="left" w:pos="528"/>
                <w:tab w:val="center" w:pos="636"/>
              </w:tabs>
              <w:jc w:val="center"/>
            </w:pPr>
            <w:r w:rsidRPr="00C85476">
              <w:t>36%</w:t>
            </w:r>
          </w:p>
        </w:tc>
      </w:tr>
      <w:tr w:rsidR="00451197" w:rsidRPr="00C85476" w14:paraId="0F6A2604" w14:textId="77777777" w:rsidTr="00551F05">
        <w:tc>
          <w:tcPr>
            <w:tcW w:w="3374" w:type="dxa"/>
            <w:tcMar>
              <w:left w:w="28" w:type="dxa"/>
              <w:right w:w="28" w:type="dxa"/>
            </w:tcMar>
          </w:tcPr>
          <w:p w14:paraId="107D53FA" w14:textId="77777777" w:rsidR="00451197" w:rsidRPr="00C85476" w:rsidRDefault="00451197" w:rsidP="00551F05">
            <w:pPr>
              <w:pStyle w:val="TableText"/>
              <w:keepNext/>
              <w:keepLines/>
              <w:ind w:right="-28"/>
            </w:pPr>
            <w:r w:rsidRPr="00C85476">
              <w:t>Non-governmental organisation</w:t>
            </w:r>
            <w:r>
              <w:t>s</w:t>
            </w:r>
            <w:r w:rsidRPr="00C85476">
              <w:t xml:space="preserve"> (NGO)</w:t>
            </w:r>
          </w:p>
        </w:tc>
        <w:tc>
          <w:tcPr>
            <w:tcW w:w="1347" w:type="dxa"/>
          </w:tcPr>
          <w:p w14:paraId="330B6A66" w14:textId="77777777" w:rsidR="00451197" w:rsidRPr="00C85476" w:rsidRDefault="00451197" w:rsidP="00551F05">
            <w:pPr>
              <w:pStyle w:val="TableText"/>
              <w:keepNext/>
              <w:keepLines/>
              <w:jc w:val="center"/>
            </w:pPr>
            <w:r w:rsidRPr="00C85476">
              <w:t>4</w:t>
            </w:r>
          </w:p>
        </w:tc>
        <w:tc>
          <w:tcPr>
            <w:tcW w:w="1488" w:type="dxa"/>
            <w:vAlign w:val="center"/>
          </w:tcPr>
          <w:p w14:paraId="57FD96F5" w14:textId="77777777" w:rsidR="00451197" w:rsidRPr="00C85476" w:rsidRDefault="00451197" w:rsidP="00551F05">
            <w:pPr>
              <w:pStyle w:val="TableText"/>
              <w:keepNext/>
              <w:keepLines/>
              <w:jc w:val="center"/>
            </w:pPr>
            <w:r w:rsidRPr="00C85476">
              <w:rPr>
                <w:rFonts w:ascii="Calibri" w:hAnsi="Calibri"/>
                <w:color w:val="000000"/>
                <w:szCs w:val="20"/>
              </w:rPr>
              <w:t>1</w:t>
            </w:r>
          </w:p>
        </w:tc>
        <w:tc>
          <w:tcPr>
            <w:tcW w:w="1488" w:type="dxa"/>
          </w:tcPr>
          <w:p w14:paraId="36950EEB" w14:textId="77777777" w:rsidR="00451197" w:rsidRPr="00C85476" w:rsidRDefault="00451197" w:rsidP="00551F05">
            <w:pPr>
              <w:pStyle w:val="TableText"/>
              <w:keepNext/>
              <w:keepLines/>
              <w:tabs>
                <w:tab w:val="left" w:pos="528"/>
                <w:tab w:val="center" w:pos="636"/>
              </w:tabs>
              <w:jc w:val="center"/>
            </w:pPr>
            <w:r w:rsidRPr="00C85476">
              <w:t>25%</w:t>
            </w:r>
          </w:p>
        </w:tc>
      </w:tr>
      <w:tr w:rsidR="00451197" w:rsidRPr="00C85476" w14:paraId="5C042562" w14:textId="77777777" w:rsidTr="00551F05">
        <w:tc>
          <w:tcPr>
            <w:tcW w:w="3374" w:type="dxa"/>
            <w:tcMar>
              <w:left w:w="28" w:type="dxa"/>
              <w:right w:w="28" w:type="dxa"/>
            </w:tcMar>
          </w:tcPr>
          <w:p w14:paraId="7641165B" w14:textId="77777777" w:rsidR="00451197" w:rsidRPr="00C85476" w:rsidRDefault="00451197" w:rsidP="00551F05">
            <w:pPr>
              <w:pStyle w:val="TableText"/>
              <w:keepNext/>
              <w:keepLines/>
            </w:pPr>
            <w:r>
              <w:t xml:space="preserve">Academia and consultants </w:t>
            </w:r>
          </w:p>
        </w:tc>
        <w:tc>
          <w:tcPr>
            <w:tcW w:w="1347" w:type="dxa"/>
          </w:tcPr>
          <w:p w14:paraId="3A039606" w14:textId="77777777" w:rsidR="00451197" w:rsidRPr="00C85476" w:rsidRDefault="00451197" w:rsidP="00551F05">
            <w:pPr>
              <w:pStyle w:val="TableText"/>
              <w:keepNext/>
              <w:keepLines/>
              <w:jc w:val="center"/>
            </w:pPr>
            <w:r w:rsidRPr="00C85476">
              <w:t>6</w:t>
            </w:r>
          </w:p>
        </w:tc>
        <w:tc>
          <w:tcPr>
            <w:tcW w:w="1488" w:type="dxa"/>
            <w:vAlign w:val="center"/>
          </w:tcPr>
          <w:p w14:paraId="369F2C7D" w14:textId="77777777" w:rsidR="00451197" w:rsidRPr="00C85476" w:rsidRDefault="006E5C30" w:rsidP="00551F05">
            <w:pPr>
              <w:pStyle w:val="TableText"/>
              <w:keepNext/>
              <w:keepLines/>
              <w:jc w:val="center"/>
            </w:pPr>
            <w:r>
              <w:t>3</w:t>
            </w:r>
          </w:p>
        </w:tc>
        <w:tc>
          <w:tcPr>
            <w:tcW w:w="1488" w:type="dxa"/>
          </w:tcPr>
          <w:p w14:paraId="137A75C1" w14:textId="77777777" w:rsidR="00451197" w:rsidRPr="00C85476" w:rsidRDefault="006E5C30" w:rsidP="00551F05">
            <w:pPr>
              <w:pStyle w:val="TableText"/>
              <w:keepNext/>
              <w:keepLines/>
              <w:tabs>
                <w:tab w:val="left" w:pos="528"/>
                <w:tab w:val="center" w:pos="636"/>
              </w:tabs>
              <w:jc w:val="center"/>
            </w:pPr>
            <w:r>
              <w:t>50</w:t>
            </w:r>
            <w:r w:rsidR="00451197" w:rsidRPr="00C85476">
              <w:t>%</w:t>
            </w:r>
          </w:p>
        </w:tc>
      </w:tr>
      <w:tr w:rsidR="00451197" w:rsidRPr="00C85476" w14:paraId="2C4FBED0" w14:textId="77777777" w:rsidTr="00551F05">
        <w:tc>
          <w:tcPr>
            <w:tcW w:w="3374" w:type="dxa"/>
            <w:tcBorders>
              <w:top w:val="single" w:sz="4" w:space="0" w:color="00B082"/>
              <w:bottom w:val="single" w:sz="4" w:space="0" w:color="00B082"/>
            </w:tcBorders>
            <w:tcMar>
              <w:left w:w="28" w:type="dxa"/>
              <w:right w:w="28" w:type="dxa"/>
            </w:tcMar>
          </w:tcPr>
          <w:p w14:paraId="261B0A41" w14:textId="77777777" w:rsidR="00451197" w:rsidRPr="00C85476" w:rsidRDefault="00451197" w:rsidP="00551F05">
            <w:pPr>
              <w:pStyle w:val="TableText"/>
              <w:keepNext/>
              <w:keepLines/>
              <w:rPr>
                <w:b/>
              </w:rPr>
            </w:pPr>
            <w:r w:rsidRPr="00C85476">
              <w:rPr>
                <w:b/>
              </w:rPr>
              <w:t>Total</w:t>
            </w:r>
          </w:p>
        </w:tc>
        <w:tc>
          <w:tcPr>
            <w:tcW w:w="1347" w:type="dxa"/>
            <w:tcBorders>
              <w:top w:val="single" w:sz="4" w:space="0" w:color="00B082"/>
              <w:bottom w:val="single" w:sz="4" w:space="0" w:color="00B082"/>
            </w:tcBorders>
          </w:tcPr>
          <w:p w14:paraId="7665176F" w14:textId="77777777" w:rsidR="00451197" w:rsidRPr="00C85476" w:rsidRDefault="00451197" w:rsidP="00551F05">
            <w:pPr>
              <w:pStyle w:val="TableText"/>
              <w:keepNext/>
              <w:keepLines/>
              <w:jc w:val="center"/>
              <w:rPr>
                <w:b/>
              </w:rPr>
            </w:pPr>
            <w:r w:rsidRPr="00C85476">
              <w:rPr>
                <w:b/>
              </w:rPr>
              <w:t>67</w:t>
            </w:r>
          </w:p>
        </w:tc>
        <w:tc>
          <w:tcPr>
            <w:tcW w:w="1488" w:type="dxa"/>
            <w:tcBorders>
              <w:top w:val="single" w:sz="4" w:space="0" w:color="00B082"/>
              <w:bottom w:val="single" w:sz="4" w:space="0" w:color="00B082"/>
            </w:tcBorders>
            <w:vAlign w:val="center"/>
          </w:tcPr>
          <w:p w14:paraId="1F40E387" w14:textId="58690C29" w:rsidR="00451197" w:rsidRPr="00C85476" w:rsidRDefault="00744048" w:rsidP="00551F05">
            <w:pPr>
              <w:pStyle w:val="TableText"/>
              <w:keepNext/>
              <w:keepLines/>
              <w:jc w:val="center"/>
              <w:rPr>
                <w:b/>
              </w:rPr>
            </w:pPr>
            <w:r>
              <w:rPr>
                <w:rFonts w:ascii="Calibri" w:hAnsi="Calibri"/>
                <w:b/>
                <w:bCs/>
                <w:color w:val="000000"/>
                <w:szCs w:val="20"/>
              </w:rPr>
              <w:t>26</w:t>
            </w:r>
          </w:p>
        </w:tc>
        <w:tc>
          <w:tcPr>
            <w:tcW w:w="1488" w:type="dxa"/>
            <w:tcBorders>
              <w:top w:val="single" w:sz="4" w:space="0" w:color="00B082"/>
              <w:bottom w:val="single" w:sz="4" w:space="0" w:color="00B082"/>
            </w:tcBorders>
          </w:tcPr>
          <w:p w14:paraId="17658298" w14:textId="20DBAC9A" w:rsidR="00451197" w:rsidRPr="00C85476" w:rsidRDefault="00744048" w:rsidP="00551F05">
            <w:pPr>
              <w:pStyle w:val="TableText"/>
              <w:keepNext/>
              <w:keepLines/>
              <w:tabs>
                <w:tab w:val="left" w:pos="528"/>
                <w:tab w:val="center" w:pos="636"/>
              </w:tabs>
              <w:jc w:val="center"/>
              <w:rPr>
                <w:b/>
              </w:rPr>
            </w:pPr>
            <w:r>
              <w:rPr>
                <w:b/>
              </w:rPr>
              <w:t>39</w:t>
            </w:r>
            <w:r w:rsidR="00451197" w:rsidRPr="00C85476">
              <w:rPr>
                <w:b/>
              </w:rPr>
              <w:t>%</w:t>
            </w:r>
          </w:p>
        </w:tc>
      </w:tr>
    </w:tbl>
    <w:p w14:paraId="0A57F0E1" w14:textId="77777777" w:rsidR="00451197" w:rsidRPr="00C85476" w:rsidRDefault="00451197" w:rsidP="00451197"/>
    <w:p w14:paraId="6AC0ADDE" w14:textId="56DCC478" w:rsidR="00451197" w:rsidRPr="00C85476" w:rsidRDefault="00451197" w:rsidP="00451197">
      <w:r w:rsidRPr="00C85476">
        <w:t xml:space="preserve">The response rate for Generators (8%) was particularly low, with one responses from 13 invitations, highlighting in part the difficulty of engaging </w:t>
      </w:r>
      <w:r w:rsidR="00744048">
        <w:t>with these groups. Beyond the 26</w:t>
      </w:r>
      <w:r w:rsidRPr="00C85476">
        <w:t xml:space="preserve"> stakeholders providing written response, a further 15 stakeholders responded to indicate that they did not see a need to respond to the consultation (inc</w:t>
      </w:r>
      <w:r w:rsidR="00744048">
        <w:t>luding six generators), and eight</w:t>
      </w:r>
      <w:r w:rsidRPr="00C85476">
        <w:t xml:space="preserve"> stakeholders were unable to respond within the time period available.</w:t>
      </w:r>
    </w:p>
    <w:p w14:paraId="7CDB1E72" w14:textId="77777777" w:rsidR="00426ACA" w:rsidRPr="00551F05" w:rsidRDefault="008426C1" w:rsidP="00551F05">
      <w:pPr>
        <w:pStyle w:val="Heading2"/>
      </w:pPr>
      <w:bookmarkStart w:id="24" w:name="_Toc426022024"/>
      <w:r w:rsidRPr="00551F05">
        <w:t>C</w:t>
      </w:r>
      <w:r w:rsidR="00426ACA" w:rsidRPr="00551F05">
        <w:t>onfidential</w:t>
      </w:r>
      <w:r w:rsidRPr="00551F05">
        <w:t>ity</w:t>
      </w:r>
      <w:r w:rsidR="00BF2DF6" w:rsidRPr="00551F05">
        <w:t xml:space="preserve"> and status of responses</w:t>
      </w:r>
      <w:bookmarkEnd w:id="24"/>
    </w:p>
    <w:p w14:paraId="7D2C04D4" w14:textId="77777777" w:rsidR="00F1439B" w:rsidRDefault="008F5FDF" w:rsidP="00DF41B3">
      <w:r w:rsidRPr="00C85476">
        <w:t xml:space="preserve">This report incorporates and directly quotes consultation responses provided on </w:t>
      </w:r>
      <w:r w:rsidR="00F1439B">
        <w:t xml:space="preserve">both </w:t>
      </w:r>
      <w:r w:rsidRPr="00C85476">
        <w:t>confidential</w:t>
      </w:r>
      <w:r w:rsidR="00F1439B">
        <w:t xml:space="preserve"> and non-confidential bases.</w:t>
      </w:r>
    </w:p>
    <w:p w14:paraId="1CC23E51" w14:textId="77777777" w:rsidR="00DF41B3" w:rsidRDefault="00F1439B" w:rsidP="00DF41B3">
      <w:r>
        <w:t>Responses provided on a confidential basis, where quoted, are identified as a ‘Confidential response’ without any further identifier. Some of these responses have been edited to protect the c</w:t>
      </w:r>
      <w:r w:rsidR="00503C69">
        <w:t>onfidentiality of the respondent</w:t>
      </w:r>
      <w:r>
        <w:t>.</w:t>
      </w:r>
    </w:p>
    <w:p w14:paraId="62DD624B" w14:textId="77777777" w:rsidR="00F1439B" w:rsidRPr="00C85476" w:rsidRDefault="00F1439B" w:rsidP="00DF3B2D">
      <w:pPr>
        <w:keepLines/>
      </w:pPr>
      <w:r>
        <w:lastRenderedPageBreak/>
        <w:t xml:space="preserve">Consultation responses </w:t>
      </w:r>
      <w:r w:rsidR="00C611EA">
        <w:t xml:space="preserve">and discussion on specific reform options generally demonstrated a strong level of understanding on the reform option in question. However, </w:t>
      </w:r>
      <w:r w:rsidR="00503C69">
        <w:t xml:space="preserve">for </w:t>
      </w:r>
      <w:r w:rsidR="00C611EA">
        <w:t xml:space="preserve">a small minority of responses </w:t>
      </w:r>
      <w:r w:rsidR="00503C69">
        <w:t>it was clear</w:t>
      </w:r>
      <w:r w:rsidR="00C611EA">
        <w:t xml:space="preserve"> that a misinterpretation in the meaning of the reform option had occurred. Where this was apparent the response was either clarified with the respondent, or where this wasn’t practicable has been excluded from this report.</w:t>
      </w:r>
    </w:p>
    <w:p w14:paraId="6210D247" w14:textId="77777777" w:rsidR="00E17045" w:rsidRPr="00C85476" w:rsidRDefault="00E17045" w:rsidP="00DF41B3"/>
    <w:p w14:paraId="3A5FD160" w14:textId="77777777" w:rsidR="00B930D8" w:rsidRPr="00C85476" w:rsidRDefault="00B930D8">
      <w:pPr>
        <w:spacing w:after="0" w:line="240" w:lineRule="auto"/>
      </w:pPr>
      <w:r w:rsidRPr="00C85476">
        <w:br w:type="page"/>
      </w:r>
    </w:p>
    <w:p w14:paraId="08F012B7" w14:textId="77777777" w:rsidR="00B930D8" w:rsidRPr="00C85476" w:rsidRDefault="00B930D8" w:rsidP="00B930D8">
      <w:pPr>
        <w:pStyle w:val="Heading1"/>
        <w:rPr>
          <w:lang w:val="en-AU"/>
        </w:rPr>
      </w:pPr>
      <w:bookmarkStart w:id="25" w:name="_Ref424899765"/>
      <w:bookmarkStart w:id="26" w:name="_Toc426022025"/>
      <w:r w:rsidRPr="00C85476">
        <w:rPr>
          <w:lang w:val="en-AU"/>
        </w:rPr>
        <w:lastRenderedPageBreak/>
        <w:t xml:space="preserve">REFORM </w:t>
      </w:r>
      <w:r w:rsidR="00C56306" w:rsidRPr="00C85476">
        <w:rPr>
          <w:lang w:val="en-AU"/>
        </w:rPr>
        <w:t>OPTIONS</w:t>
      </w:r>
      <w:bookmarkEnd w:id="25"/>
      <w:bookmarkEnd w:id="26"/>
    </w:p>
    <w:p w14:paraId="7D0AAADA" w14:textId="77777777" w:rsidR="00790468" w:rsidRPr="00C85476" w:rsidRDefault="00283712" w:rsidP="00C56306">
      <w:r w:rsidRPr="00C85476">
        <w:t>A</w:t>
      </w:r>
      <w:r w:rsidR="00790468" w:rsidRPr="00C85476">
        <w:t xml:space="preserve"> list of sixteen (16) ha</w:t>
      </w:r>
      <w:r w:rsidRPr="00C85476">
        <w:t xml:space="preserve">zardous waste reform </w:t>
      </w:r>
      <w:r w:rsidR="00C56306" w:rsidRPr="00C85476">
        <w:t>option</w:t>
      </w:r>
      <w:r w:rsidRPr="00C85476">
        <w:t xml:space="preserve">s were provided to stakeholders within the </w:t>
      </w:r>
      <w:r w:rsidR="00C56306" w:rsidRPr="00C85476">
        <w:t xml:space="preserve">issued </w:t>
      </w:r>
      <w:r w:rsidRPr="00C85476">
        <w:rPr>
          <w:i/>
        </w:rPr>
        <w:t>Consultation paper and questionnaire</w:t>
      </w:r>
      <w:r w:rsidRPr="00C85476">
        <w:t xml:space="preserve"> </w:t>
      </w:r>
      <w:r w:rsidR="00C56306" w:rsidRPr="00C85476">
        <w:t xml:space="preserve">document </w:t>
      </w:r>
      <w:sdt>
        <w:sdtPr>
          <w:id w:val="-1566017416"/>
          <w:citation/>
        </w:sdtPr>
        <w:sdtEndPr/>
        <w:sdtContent>
          <w:r w:rsidR="007B2B2A" w:rsidRPr="00C85476">
            <w:fldChar w:fldCharType="begin"/>
          </w:r>
          <w:r w:rsidR="00EB38CA" w:rsidRPr="00C85476">
            <w:instrText xml:space="preserve">CITATION SRU15 \l 3081 </w:instrText>
          </w:r>
          <w:r w:rsidR="007B2B2A" w:rsidRPr="00C85476">
            <w:fldChar w:fldCharType="separate"/>
          </w:r>
          <w:r w:rsidR="001F6F42">
            <w:rPr>
              <w:noProof/>
            </w:rPr>
            <w:t>(SRU and MJA, 2015)</w:t>
          </w:r>
          <w:r w:rsidR="007B2B2A" w:rsidRPr="00C85476">
            <w:fldChar w:fldCharType="end"/>
          </w:r>
        </w:sdtContent>
      </w:sdt>
      <w:r w:rsidRPr="00C85476">
        <w:t xml:space="preserve">. The </w:t>
      </w:r>
      <w:r w:rsidR="00C56306" w:rsidRPr="00C85476">
        <w:t xml:space="preserve">options </w:t>
      </w:r>
      <w:r w:rsidRPr="00C85476">
        <w:t xml:space="preserve">list was based on a core list of reform proposals developed by the </w:t>
      </w:r>
      <w:r w:rsidR="00C56306" w:rsidRPr="00C85476">
        <w:t>Department, which was tested and</w:t>
      </w:r>
      <w:r w:rsidRPr="00C85476">
        <w:t xml:space="preserve"> augmented </w:t>
      </w:r>
      <w:r w:rsidR="00C56306" w:rsidRPr="00C85476">
        <w:t>during an initial round of consultation with a restricted list of stakeholders in May 2015.</w:t>
      </w:r>
    </w:p>
    <w:p w14:paraId="1D496C20" w14:textId="77777777" w:rsidR="00B930D8" w:rsidRPr="00C85476" w:rsidRDefault="00C56306" w:rsidP="00C56306">
      <w:r w:rsidRPr="00C85476">
        <w:t>The</w:t>
      </w:r>
      <w:r w:rsidR="00E65ED0" w:rsidRPr="00C85476">
        <w:t xml:space="preserve"> full list of reform options, as presented to stakeholders, is provided in Sections </w:t>
      </w:r>
      <w:r w:rsidR="007B2B2A" w:rsidRPr="00C85476">
        <w:fldChar w:fldCharType="begin"/>
      </w:r>
      <w:r w:rsidR="00E65ED0" w:rsidRPr="00C85476">
        <w:instrText xml:space="preserve"> REF _Ref422984861 \r \h </w:instrText>
      </w:r>
      <w:r w:rsidR="007B2B2A" w:rsidRPr="00C85476">
        <w:fldChar w:fldCharType="separate"/>
      </w:r>
      <w:r w:rsidR="00C40366">
        <w:t>2.1</w:t>
      </w:r>
      <w:r w:rsidR="007B2B2A" w:rsidRPr="00C85476">
        <w:fldChar w:fldCharType="end"/>
      </w:r>
      <w:r w:rsidR="00E65ED0" w:rsidRPr="00C85476">
        <w:t xml:space="preserve"> and </w:t>
      </w:r>
      <w:r w:rsidR="007B2B2A" w:rsidRPr="00C85476">
        <w:fldChar w:fldCharType="begin"/>
      </w:r>
      <w:r w:rsidR="00E65ED0" w:rsidRPr="00C85476">
        <w:instrText xml:space="preserve"> REF _Ref422984865 \r \h </w:instrText>
      </w:r>
      <w:r w:rsidR="007B2B2A" w:rsidRPr="00C85476">
        <w:fldChar w:fldCharType="separate"/>
      </w:r>
      <w:r w:rsidR="00C40366">
        <w:t>2.2</w:t>
      </w:r>
      <w:r w:rsidR="007B2B2A" w:rsidRPr="00C85476">
        <w:fldChar w:fldCharType="end"/>
      </w:r>
      <w:r w:rsidR="00E65ED0" w:rsidRPr="00C85476">
        <w:t>. The</w:t>
      </w:r>
      <w:r w:rsidR="00790468" w:rsidRPr="00C85476">
        <w:t xml:space="preserve"> reform </w:t>
      </w:r>
      <w:r w:rsidRPr="00C85476">
        <w:t>option</w:t>
      </w:r>
      <w:r w:rsidR="00790468" w:rsidRPr="00C85476">
        <w:t>s loosely fall into two groups; those involving international movements of hazardous waste, and those focussed on Australia’s generation and mana</w:t>
      </w:r>
      <w:r w:rsidR="00E65ED0" w:rsidRPr="00C85476">
        <w:t>gement of hazardous wastes.</w:t>
      </w:r>
    </w:p>
    <w:p w14:paraId="24C5D614" w14:textId="77777777" w:rsidR="002F6B7D" w:rsidRPr="00C85476" w:rsidRDefault="002F6B7D" w:rsidP="00C56306">
      <w:r w:rsidRPr="00C85476">
        <w:t xml:space="preserve">In addition to the reform options, stakeholders were also provided with a series of questions (the </w:t>
      </w:r>
      <w:r w:rsidRPr="00C85476">
        <w:rPr>
          <w:i/>
        </w:rPr>
        <w:t>Assessment framework</w:t>
      </w:r>
      <w:r w:rsidRPr="00C85476">
        <w:t xml:space="preserve">) against which the consultation was testing each of the reform options. The Assessment framework is provided in Section </w:t>
      </w:r>
      <w:r w:rsidR="007B2B2A" w:rsidRPr="00C85476">
        <w:fldChar w:fldCharType="begin"/>
      </w:r>
      <w:r w:rsidR="00854081" w:rsidRPr="00C85476">
        <w:instrText xml:space="preserve"> REF _Ref422986247 \r \h </w:instrText>
      </w:r>
      <w:r w:rsidR="007B2B2A" w:rsidRPr="00C85476">
        <w:fldChar w:fldCharType="separate"/>
      </w:r>
      <w:r w:rsidR="00C40366">
        <w:t>3</w:t>
      </w:r>
      <w:r w:rsidR="007B2B2A" w:rsidRPr="00C85476">
        <w:fldChar w:fldCharType="end"/>
      </w:r>
      <w:r w:rsidRPr="00C85476">
        <w:t>.</w:t>
      </w:r>
    </w:p>
    <w:p w14:paraId="54B2778F" w14:textId="77777777" w:rsidR="00283712" w:rsidRPr="00C85476" w:rsidRDefault="00283712" w:rsidP="00551F05">
      <w:pPr>
        <w:pStyle w:val="Heading2"/>
      </w:pPr>
      <w:bookmarkStart w:id="27" w:name="_Toc421018694"/>
      <w:bookmarkStart w:id="28" w:name="_Ref422984861"/>
      <w:bookmarkStart w:id="29" w:name="_Toc426022026"/>
      <w:r w:rsidRPr="00C85476">
        <w:t>International movements of hazardous wastes</w:t>
      </w:r>
      <w:bookmarkEnd w:id="27"/>
      <w:bookmarkEnd w:id="28"/>
      <w:bookmarkEnd w:id="29"/>
    </w:p>
    <w:p w14:paraId="5DA18EED" w14:textId="77777777" w:rsidR="00283712" w:rsidRPr="00C85476" w:rsidRDefault="00F777BB" w:rsidP="00283712">
      <w:r>
        <w:t xml:space="preserve">To </w:t>
      </w:r>
      <w:r w:rsidRPr="00C85476">
        <w:t>improve Australia’s acquittal of its international hazardous waste obligations</w:t>
      </w:r>
      <w:r>
        <w:t xml:space="preserve"> </w:t>
      </w:r>
      <w:r w:rsidR="00C56595">
        <w:t>six</w:t>
      </w:r>
      <w:r w:rsidR="0052013F">
        <w:t xml:space="preserve"> </w:t>
      </w:r>
      <w:r w:rsidR="00ED70C5" w:rsidRPr="00C85476">
        <w:t xml:space="preserve">regulatory </w:t>
      </w:r>
      <w:r w:rsidR="00C56595">
        <w:t xml:space="preserve">and quasi-regulatory </w:t>
      </w:r>
      <w:r>
        <w:t>reform options</w:t>
      </w:r>
      <w:r w:rsidR="0052013F">
        <w:t xml:space="preserve"> have been analysed.</w:t>
      </w:r>
      <w:r w:rsidR="00283712" w:rsidRPr="00C85476">
        <w:t xml:space="preserve"> The list of reform options are:</w:t>
      </w:r>
    </w:p>
    <w:p w14:paraId="19F4FC1B" w14:textId="77777777" w:rsidR="00283712" w:rsidRPr="00C85476" w:rsidRDefault="00283712" w:rsidP="005916AC">
      <w:pPr>
        <w:pStyle w:val="NumberPoints"/>
        <w:numPr>
          <w:ilvl w:val="0"/>
          <w:numId w:val="17"/>
        </w:numPr>
        <w:ind w:left="1134" w:hanging="567"/>
      </w:pPr>
      <w:r w:rsidRPr="00C85476">
        <w:t>Adding in</w:t>
      </w:r>
      <w:r w:rsidR="00BD0138">
        <w:t xml:space="preserve"> </w:t>
      </w:r>
      <w:r w:rsidRPr="00C85476">
        <w:t>(consistent with Customs regulation) a power to require the provision of information where needed to prevent breaches of the Act.</w:t>
      </w:r>
    </w:p>
    <w:p w14:paraId="667861C3" w14:textId="77777777" w:rsidR="00283712" w:rsidRPr="00C85476" w:rsidRDefault="00BD0138" w:rsidP="005916AC">
      <w:pPr>
        <w:pStyle w:val="NumberPoints"/>
        <w:numPr>
          <w:ilvl w:val="0"/>
          <w:numId w:val="17"/>
        </w:numPr>
        <w:ind w:left="1134" w:hanging="567"/>
      </w:pPr>
      <w:r>
        <w:t>C</w:t>
      </w:r>
      <w:r w:rsidR="00283712" w:rsidRPr="00C85476">
        <w:t>apacity to recognise bans imposed by other countries on hazardous waste imports.</w:t>
      </w:r>
    </w:p>
    <w:p w14:paraId="334B5A65" w14:textId="77777777" w:rsidR="00283712" w:rsidRPr="00C85476" w:rsidRDefault="00283712" w:rsidP="005916AC">
      <w:pPr>
        <w:pStyle w:val="NumberPoints"/>
        <w:numPr>
          <w:ilvl w:val="0"/>
          <w:numId w:val="17"/>
        </w:numPr>
        <w:ind w:left="1134" w:hanging="567"/>
      </w:pPr>
      <w:r w:rsidRPr="00C85476">
        <w:t>Updating compliance and enforcement provisions, including to introduce civil penalties.</w:t>
      </w:r>
    </w:p>
    <w:p w14:paraId="6CD7A563" w14:textId="77777777" w:rsidR="00283712" w:rsidRPr="00C85476" w:rsidRDefault="00283712" w:rsidP="005916AC">
      <w:pPr>
        <w:pStyle w:val="NumberPoints"/>
        <w:numPr>
          <w:ilvl w:val="0"/>
          <w:numId w:val="17"/>
        </w:numPr>
        <w:ind w:left="1134" w:hanging="567"/>
      </w:pPr>
      <w:r w:rsidRPr="00C85476">
        <w:t>Adding a capacity to take economic efficiency into account when comparing the efficiency of different recovery and recycling options of equivalent environmental and safety benefit.</w:t>
      </w:r>
    </w:p>
    <w:p w14:paraId="27F0B8DC" w14:textId="77777777" w:rsidR="00283712" w:rsidRPr="00C85476" w:rsidRDefault="00283712" w:rsidP="005916AC">
      <w:pPr>
        <w:pStyle w:val="NumberPoints"/>
        <w:numPr>
          <w:ilvl w:val="0"/>
          <w:numId w:val="17"/>
        </w:numPr>
        <w:ind w:left="1134" w:hanging="567"/>
      </w:pPr>
      <w:r w:rsidRPr="00C85476">
        <w:t>Updated cost recovery arrangements, including possible weight-based charging.</w:t>
      </w:r>
    </w:p>
    <w:p w14:paraId="58F086FE" w14:textId="77777777" w:rsidR="00283712" w:rsidRDefault="00283712" w:rsidP="00F777BB">
      <w:pPr>
        <w:pStyle w:val="NumberPoints"/>
        <w:numPr>
          <w:ilvl w:val="0"/>
          <w:numId w:val="17"/>
        </w:numPr>
        <w:spacing w:after="240"/>
        <w:ind w:left="1134" w:hanging="567"/>
      </w:pPr>
      <w:r w:rsidRPr="00C85476">
        <w:t>Increased transparency on the operations of the Act, in particular increased communications on import and export applications, and the issuing of permits.</w:t>
      </w:r>
    </w:p>
    <w:p w14:paraId="1E77AB85" w14:textId="77777777" w:rsidR="0052013F" w:rsidRDefault="0052013F" w:rsidP="00A005C5">
      <w:r>
        <w:t xml:space="preserve">Option f) </w:t>
      </w:r>
      <w:r w:rsidR="00F777BB">
        <w:t xml:space="preserve">is an </w:t>
      </w:r>
      <w:r>
        <w:t>additional option that was identified through the initial consultation process. All options require amendment(s) to the Act and/or associated regulations</w:t>
      </w:r>
      <w:r w:rsidR="00A005C5">
        <w:t xml:space="preserve">. </w:t>
      </w:r>
      <w:r w:rsidR="00A37C4F">
        <w:t xml:space="preserve">Options a) to e) are </w:t>
      </w:r>
      <w:r w:rsidR="00A37C4F" w:rsidRPr="00A37C4F">
        <w:t xml:space="preserve">regulatory </w:t>
      </w:r>
      <w:r w:rsidR="00A37C4F">
        <w:t>options while Option f) is a quasi-regulatory option.</w:t>
      </w:r>
    </w:p>
    <w:p w14:paraId="6FFBE0B6" w14:textId="77777777" w:rsidR="00283712" w:rsidRPr="00C85476" w:rsidRDefault="00283712" w:rsidP="00551F05">
      <w:pPr>
        <w:pStyle w:val="Heading2"/>
      </w:pPr>
      <w:bookmarkStart w:id="30" w:name="_Toc421018695"/>
      <w:bookmarkStart w:id="31" w:name="_Ref422984865"/>
      <w:bookmarkStart w:id="32" w:name="_Toc426022027"/>
      <w:r w:rsidRPr="00C85476">
        <w:t>Australia’s generation and management of hazardous wastes</w:t>
      </w:r>
      <w:bookmarkEnd w:id="30"/>
      <w:bookmarkEnd w:id="31"/>
      <w:bookmarkEnd w:id="32"/>
    </w:p>
    <w:p w14:paraId="2CE88654" w14:textId="77777777" w:rsidR="00283712" w:rsidRPr="00C85476" w:rsidRDefault="00F777BB" w:rsidP="00E17045">
      <w:r>
        <w:t>T</w:t>
      </w:r>
      <w:r w:rsidRPr="00F777BB">
        <w:t xml:space="preserve">he scope of the Act accords with the breadth of </w:t>
      </w:r>
      <w:r>
        <w:t>Australia’s</w:t>
      </w:r>
      <w:r w:rsidRPr="00F777BB">
        <w:t xml:space="preserve"> Basel obligations, but the specific provisions in the current text of the Act have a narrower focus, mostly on permits for transboundary movements</w:t>
      </w:r>
      <w:r>
        <w:t>.</w:t>
      </w:r>
      <w:r w:rsidRPr="00F777BB">
        <w:t xml:space="preserve"> </w:t>
      </w:r>
      <w:r w:rsidR="00283712" w:rsidRPr="00C85476">
        <w:t>The Act and Regulations do not directly regulate the domestic management of hazardous waste, except where there is a connection to import or export.</w:t>
      </w:r>
    </w:p>
    <w:p w14:paraId="6F7600AE" w14:textId="77777777" w:rsidR="00283712" w:rsidRPr="00C85476" w:rsidRDefault="00A37C4F" w:rsidP="00F777BB">
      <w:pPr>
        <w:keepNext/>
        <w:keepLines/>
      </w:pPr>
      <w:r>
        <w:lastRenderedPageBreak/>
        <w:t xml:space="preserve">Ten </w:t>
      </w:r>
      <w:r w:rsidR="00ED70C5" w:rsidRPr="00C85476">
        <w:t>legislated, co-regulatory, quasi-regulatory and non-regulatory</w:t>
      </w:r>
      <w:r w:rsidR="00283712" w:rsidRPr="00C85476">
        <w:t xml:space="preserve"> reform options </w:t>
      </w:r>
      <w:r w:rsidRPr="00C85476">
        <w:t>to clarify the Commonwealth’s role in a number of domestic areas</w:t>
      </w:r>
      <w:r>
        <w:t xml:space="preserve"> have been analysed. These </w:t>
      </w:r>
      <w:r w:rsidR="00CF27FB">
        <w:t xml:space="preserve">are intended to either </w:t>
      </w:r>
      <w:r w:rsidR="00283712" w:rsidRPr="00C85476">
        <w:t>assist in streamlining regulation and hazardous waste management between jur</w:t>
      </w:r>
      <w:r w:rsidR="00A005C5">
        <w:t>isdictions, or are</w:t>
      </w:r>
      <w:r w:rsidR="00283712" w:rsidRPr="00C85476">
        <w:t xml:space="preserve"> necessary to meet Australia’s international obligations under the </w:t>
      </w:r>
      <w:r w:rsidR="00F1439B">
        <w:t xml:space="preserve">Basel </w:t>
      </w:r>
      <w:r w:rsidR="00283712" w:rsidRPr="00C85476">
        <w:t>Convention, the Stockholm Convention or other international instruments.</w:t>
      </w:r>
    </w:p>
    <w:p w14:paraId="1D050DF2" w14:textId="77777777" w:rsidR="00283712" w:rsidRPr="00C85476" w:rsidRDefault="00283712" w:rsidP="00E17045">
      <w:pPr>
        <w:keepLines/>
      </w:pPr>
      <w:r w:rsidRPr="00C85476">
        <w:t>These areas include the requirement to avoid or minimise the generation of hazardous waste, to prevent pollution from hazardous waste, and to ensure the availability of adequate disposal facilities. Australia also has data reporting obligations under the Convention which the related reform options could support. A significant objective of these reform options is to encourage harmonisation of Australia’s hazardous waste management laws.</w:t>
      </w:r>
    </w:p>
    <w:p w14:paraId="65F4C4C5" w14:textId="77777777" w:rsidR="00283712" w:rsidRPr="00C85476" w:rsidRDefault="00CF27FB" w:rsidP="00283712">
      <w:r>
        <w:t xml:space="preserve">The ten </w:t>
      </w:r>
      <w:r w:rsidRPr="00C85476">
        <w:t xml:space="preserve">reform options </w:t>
      </w:r>
      <w:r>
        <w:t>that have been analysed</w:t>
      </w:r>
      <w:r w:rsidRPr="00C85476">
        <w:t xml:space="preserve"> to clarify the Commonwealth’s role in a number of domestic areas</w:t>
      </w:r>
      <w:r w:rsidR="00283712" w:rsidRPr="00C85476">
        <w:t xml:space="preserve"> are:</w:t>
      </w:r>
    </w:p>
    <w:p w14:paraId="7A2D9AD2" w14:textId="77777777" w:rsidR="00283712" w:rsidRPr="00C85476" w:rsidRDefault="00283712" w:rsidP="005916AC">
      <w:pPr>
        <w:pStyle w:val="NumberPoints"/>
        <w:numPr>
          <w:ilvl w:val="0"/>
          <w:numId w:val="17"/>
        </w:numPr>
        <w:ind w:left="1134" w:hanging="567"/>
      </w:pPr>
      <w:bookmarkStart w:id="33" w:name="OLE_LINK1"/>
      <w:r w:rsidRPr="00C85476">
        <w:t>Provision of national information on the capacity of, and needs for, hazardous waste infrastructure in Australia, on an ongoing basis.</w:t>
      </w:r>
    </w:p>
    <w:p w14:paraId="429961A6" w14:textId="77777777" w:rsidR="00283712" w:rsidRPr="00C85476" w:rsidRDefault="00283712" w:rsidP="005916AC">
      <w:pPr>
        <w:pStyle w:val="NumberPoints"/>
        <w:numPr>
          <w:ilvl w:val="0"/>
          <w:numId w:val="17"/>
        </w:numPr>
        <w:ind w:left="1134" w:hanging="567"/>
      </w:pPr>
      <w:r w:rsidRPr="00C85476">
        <w:t>Provision of regular and timely public reporting on hazardous waste generation and management in Australia. This reporting could also capture public interest aspects such as the industrial activities generating hazardous wastes, new infrastructure, or noteworthy hazardous waste minimisation achievements.</w:t>
      </w:r>
    </w:p>
    <w:p w14:paraId="114404C9" w14:textId="77777777" w:rsidR="00283712" w:rsidRPr="00C85476" w:rsidRDefault="00283712" w:rsidP="005916AC">
      <w:pPr>
        <w:pStyle w:val="NumberPoints"/>
        <w:numPr>
          <w:ilvl w:val="0"/>
          <w:numId w:val="17"/>
        </w:numPr>
        <w:ind w:left="1134" w:hanging="567"/>
      </w:pPr>
      <w:r w:rsidRPr="00C85476">
        <w:t>A power to establish a statutory covenant or similar agreement for dealing with particular wastes (e.g. an agreement with legal status to phase out of stocks of spent pot linings, via domestic and international facilities).</w:t>
      </w:r>
    </w:p>
    <w:p w14:paraId="79784093" w14:textId="77777777" w:rsidR="00283712" w:rsidRPr="00C85476" w:rsidRDefault="00283712" w:rsidP="005916AC">
      <w:pPr>
        <w:pStyle w:val="NumberPoints"/>
        <w:numPr>
          <w:ilvl w:val="0"/>
          <w:numId w:val="17"/>
        </w:numPr>
        <w:ind w:left="1134" w:hanging="567"/>
      </w:pPr>
      <w:r w:rsidRPr="00C85476">
        <w:t>An agreed, nationally-consistent arrangement for hazardous waste data collection and reporting, based on consistent definitions and classifications, aligned with data and reporting arrangements for non-hazardous wastes, and international hazardous waste classifications (e.g. Basel Convention).</w:t>
      </w:r>
    </w:p>
    <w:p w14:paraId="15523207" w14:textId="77777777" w:rsidR="00283712" w:rsidRPr="00C85476" w:rsidRDefault="00283712" w:rsidP="005916AC">
      <w:pPr>
        <w:pStyle w:val="NumberPoints"/>
        <w:numPr>
          <w:ilvl w:val="0"/>
          <w:numId w:val="17"/>
        </w:numPr>
        <w:ind w:left="1134" w:hanging="567"/>
      </w:pPr>
      <w:r w:rsidRPr="00C85476">
        <w:t>Powers consistent with those in radioactive waste legislation for the establishment and maintenance of hazardous waste processing or treatment facilities. The selection criteria for the preferred processing technologies should have due consideration of the waste hierarchy.</w:t>
      </w:r>
    </w:p>
    <w:p w14:paraId="0D55FC4E" w14:textId="77777777" w:rsidR="00283712" w:rsidRPr="00C85476" w:rsidRDefault="00283712" w:rsidP="005916AC">
      <w:pPr>
        <w:pStyle w:val="NumberPoints"/>
        <w:numPr>
          <w:ilvl w:val="0"/>
          <w:numId w:val="17"/>
        </w:numPr>
        <w:ind w:left="1134" w:hanging="567"/>
      </w:pPr>
      <w:r w:rsidRPr="00C85476">
        <w:t>National consistency of tracking systems for movements of controlled (hazardous) wastes, covering inter and intra-state movements.</w:t>
      </w:r>
    </w:p>
    <w:p w14:paraId="36BCF3EF" w14:textId="77777777" w:rsidR="00283712" w:rsidRPr="00C85476" w:rsidRDefault="00283712" w:rsidP="005916AC">
      <w:pPr>
        <w:pStyle w:val="NumberPoints"/>
        <w:numPr>
          <w:ilvl w:val="0"/>
          <w:numId w:val="17"/>
        </w:numPr>
        <w:ind w:left="1134" w:hanging="567"/>
      </w:pPr>
      <w:r w:rsidRPr="00C85476">
        <w:t>Harmonisation of regulatory arrangements pertaining to hazardous wastes or specific hazardous wastes (e.g. asbestos), such as between transport and environmental regulation.</w:t>
      </w:r>
    </w:p>
    <w:p w14:paraId="09E6E920" w14:textId="77777777" w:rsidR="00283712" w:rsidRPr="00C85476" w:rsidRDefault="00283712" w:rsidP="005916AC">
      <w:pPr>
        <w:pStyle w:val="NumberPoints"/>
        <w:numPr>
          <w:ilvl w:val="0"/>
          <w:numId w:val="17"/>
        </w:numPr>
        <w:ind w:left="1134" w:hanging="567"/>
      </w:pPr>
      <w:r w:rsidRPr="00C85476">
        <w:t>The development of a series of Federal policy guidelines and standards on specific hazardous waste management issues in Australia, with clear linkages to the international policy environment. Examples of the types of issues the guidelines could address include: management of end-of-life rechargeable batteries; management of wastes containing brominated flame retardants; or management of mercury containing wastes.</w:t>
      </w:r>
    </w:p>
    <w:p w14:paraId="7A8A272B" w14:textId="77777777" w:rsidR="00283712" w:rsidRPr="00C85476" w:rsidRDefault="00283712" w:rsidP="00503C69">
      <w:pPr>
        <w:pStyle w:val="NumberPoints"/>
        <w:keepNext/>
        <w:keepLines/>
        <w:numPr>
          <w:ilvl w:val="0"/>
          <w:numId w:val="17"/>
        </w:numPr>
        <w:ind w:left="1134" w:hanging="567"/>
      </w:pPr>
      <w:r w:rsidRPr="00C85476">
        <w:lastRenderedPageBreak/>
        <w:t>A nationally-consistent system of hazardous waste levies (including a Commonwealth import/export levy or charge for international movements), to reduce economic incentives to transport wastes long distances to fates of possibly higher risk to health and the environment, consistent with the proximity principle under the Basel Convention.</w:t>
      </w:r>
    </w:p>
    <w:p w14:paraId="210DA5D1" w14:textId="77777777" w:rsidR="00283712" w:rsidRDefault="00283712" w:rsidP="00503C69">
      <w:pPr>
        <w:pStyle w:val="NumberPoints"/>
        <w:numPr>
          <w:ilvl w:val="0"/>
          <w:numId w:val="17"/>
        </w:numPr>
        <w:spacing w:after="240"/>
        <w:ind w:left="1134" w:hanging="567"/>
      </w:pPr>
      <w:r w:rsidRPr="00C85476">
        <w:t>A nationally-consistent approach to landfill bans or conditional disposal restrictions for metropolitan areas, to support product stewardship. For example, in relation to e</w:t>
      </w:r>
      <w:r w:rsidRPr="00C85476">
        <w:noBreakHyphen/>
        <w:t>waste or tyres.</w:t>
      </w:r>
    </w:p>
    <w:p w14:paraId="239F0CE2" w14:textId="28740921" w:rsidR="00CF27FB" w:rsidRDefault="00CF27FB" w:rsidP="000649A5">
      <w:r>
        <w:t xml:space="preserve">These </w:t>
      </w:r>
      <w:r w:rsidR="000649A5">
        <w:t xml:space="preserve">reform </w:t>
      </w:r>
      <w:r>
        <w:t xml:space="preserve">options </w:t>
      </w:r>
      <w:r w:rsidR="000649A5">
        <w:t xml:space="preserve">consist of thirteen options </w:t>
      </w:r>
      <w:r>
        <w:t>identified by the Department</w:t>
      </w:r>
      <w:r w:rsidR="000649A5">
        <w:t>,</w:t>
      </w:r>
      <w:r>
        <w:t xml:space="preserve"> and </w:t>
      </w:r>
      <w:r w:rsidR="000649A5">
        <w:t xml:space="preserve">three </w:t>
      </w:r>
      <w:r>
        <w:t xml:space="preserve">additional reform options identified </w:t>
      </w:r>
      <w:r w:rsidRPr="00CF27FB">
        <w:t xml:space="preserve">through </w:t>
      </w:r>
      <w:r w:rsidR="000649A5">
        <w:t>the initial consultation process. These additional reform options are Options f), h) and n)</w:t>
      </w:r>
      <w:r>
        <w:t>.</w:t>
      </w:r>
    </w:p>
    <w:bookmarkEnd w:id="33"/>
    <w:p w14:paraId="27BDF84B" w14:textId="77777777" w:rsidR="00B930D8" w:rsidRPr="00C85476" w:rsidRDefault="00B930D8">
      <w:pPr>
        <w:spacing w:after="0" w:line="240" w:lineRule="auto"/>
      </w:pPr>
      <w:r w:rsidRPr="00C85476">
        <w:br w:type="page"/>
      </w:r>
    </w:p>
    <w:p w14:paraId="3DEB25F2" w14:textId="77777777" w:rsidR="00B930D8" w:rsidRPr="00C85476" w:rsidRDefault="00B930D8" w:rsidP="00B930D8">
      <w:pPr>
        <w:pStyle w:val="Heading1"/>
        <w:rPr>
          <w:lang w:val="en-AU"/>
        </w:rPr>
      </w:pPr>
      <w:bookmarkStart w:id="34" w:name="_Ref422986247"/>
      <w:bookmarkStart w:id="35" w:name="_Toc426022028"/>
      <w:r w:rsidRPr="00C85476">
        <w:rPr>
          <w:lang w:val="en-AU"/>
        </w:rPr>
        <w:lastRenderedPageBreak/>
        <w:t>ASSESSMENT FRAMEWORK</w:t>
      </w:r>
      <w:bookmarkEnd w:id="34"/>
      <w:bookmarkEnd w:id="35"/>
    </w:p>
    <w:p w14:paraId="011B8072" w14:textId="77777777" w:rsidR="00B930D8" w:rsidRPr="00C85476" w:rsidRDefault="00195001" w:rsidP="00551F05">
      <w:pPr>
        <w:pStyle w:val="Heading2"/>
      </w:pPr>
      <w:bookmarkStart w:id="36" w:name="_Toc426022029"/>
      <w:r w:rsidRPr="00C85476">
        <w:t>Assessment questions</w:t>
      </w:r>
      <w:bookmarkEnd w:id="36"/>
    </w:p>
    <w:p w14:paraId="171B4C7D" w14:textId="77777777" w:rsidR="003A7B05" w:rsidRPr="00C85476" w:rsidRDefault="003A7B05" w:rsidP="003A7B05">
      <w:r w:rsidRPr="00C85476">
        <w:t>All stakeholders were p</w:t>
      </w:r>
      <w:r w:rsidR="00195001" w:rsidRPr="00C85476">
        <w:t xml:space="preserve">rovided </w:t>
      </w:r>
      <w:r w:rsidRPr="00C85476">
        <w:t>with</w:t>
      </w:r>
      <w:r w:rsidR="00195001" w:rsidRPr="00C85476">
        <w:t xml:space="preserve"> a set of reform option assessment questions developed to help structure and facilitate </w:t>
      </w:r>
      <w:r w:rsidRPr="00C85476">
        <w:t xml:space="preserve">responses, these questions are summarised in Sections </w:t>
      </w:r>
      <w:r w:rsidR="007B2B2A" w:rsidRPr="00C85476">
        <w:fldChar w:fldCharType="begin"/>
      </w:r>
      <w:r w:rsidR="00E65ED0" w:rsidRPr="00C85476">
        <w:instrText xml:space="preserve"> REF _Ref423099419 \r \h </w:instrText>
      </w:r>
      <w:r w:rsidR="007B2B2A" w:rsidRPr="00C85476">
        <w:fldChar w:fldCharType="separate"/>
      </w:r>
      <w:r w:rsidR="00C40366">
        <w:t>3.1.1</w:t>
      </w:r>
      <w:r w:rsidR="007B2B2A" w:rsidRPr="00C85476">
        <w:fldChar w:fldCharType="end"/>
      </w:r>
      <w:r w:rsidRPr="00C85476">
        <w:t xml:space="preserve"> and </w:t>
      </w:r>
      <w:r w:rsidR="007B2B2A" w:rsidRPr="00C85476">
        <w:fldChar w:fldCharType="begin"/>
      </w:r>
      <w:r w:rsidRPr="00C85476">
        <w:instrText xml:space="preserve"> REF _Ref422988156 \r \h </w:instrText>
      </w:r>
      <w:r w:rsidR="007B2B2A" w:rsidRPr="00C85476">
        <w:fldChar w:fldCharType="separate"/>
      </w:r>
      <w:r w:rsidR="00C40366">
        <w:t>3.1.2</w:t>
      </w:r>
      <w:r w:rsidR="007B2B2A" w:rsidRPr="00C85476">
        <w:fldChar w:fldCharType="end"/>
      </w:r>
      <w:r w:rsidRPr="00C85476">
        <w:t xml:space="preserve"> below.</w:t>
      </w:r>
      <w:r w:rsidR="00195001" w:rsidRPr="00C85476">
        <w:t xml:space="preserve"> </w:t>
      </w:r>
      <w:r w:rsidRPr="00C85476">
        <w:t xml:space="preserve">A </w:t>
      </w:r>
      <w:r w:rsidR="00195001" w:rsidRPr="00C85476">
        <w:t xml:space="preserve">Microsoft Excel </w:t>
      </w:r>
      <w:r w:rsidRPr="00C85476">
        <w:t>based ‘</w:t>
      </w:r>
      <w:r w:rsidRPr="00C85476">
        <w:rPr>
          <w:i/>
        </w:rPr>
        <w:t>R</w:t>
      </w:r>
      <w:r w:rsidR="00195001" w:rsidRPr="00C85476">
        <w:rPr>
          <w:i/>
        </w:rPr>
        <w:t>esponse template</w:t>
      </w:r>
      <w:r w:rsidRPr="00C85476">
        <w:t>’</w:t>
      </w:r>
      <w:r w:rsidR="00195001" w:rsidRPr="00C85476">
        <w:t xml:space="preserve"> </w:t>
      </w:r>
      <w:r w:rsidR="009D47DF" w:rsidRPr="00C85476">
        <w:t>containing</w:t>
      </w:r>
      <w:r w:rsidRPr="00C85476">
        <w:t xml:space="preserve"> the questions was also provided to stakeholders</w:t>
      </w:r>
      <w:bookmarkStart w:id="37" w:name="_Toc421018697"/>
      <w:bookmarkStart w:id="38" w:name="_Ref422988154"/>
      <w:bookmarkStart w:id="39" w:name="_Toc417400350"/>
      <w:r w:rsidRPr="00C85476">
        <w:t>.</w:t>
      </w:r>
    </w:p>
    <w:p w14:paraId="0D521E4C" w14:textId="77777777" w:rsidR="00195001" w:rsidRDefault="00195001" w:rsidP="00551F05">
      <w:pPr>
        <w:pStyle w:val="Heading3"/>
      </w:pPr>
      <w:bookmarkStart w:id="40" w:name="_Ref423099419"/>
      <w:r w:rsidRPr="00C85476">
        <w:t xml:space="preserve">Reform option questions for </w:t>
      </w:r>
      <w:r w:rsidR="003A7B05" w:rsidRPr="00C85476">
        <w:t xml:space="preserve">all </w:t>
      </w:r>
      <w:r w:rsidRPr="00C85476">
        <w:t>stakeholders</w:t>
      </w:r>
      <w:bookmarkEnd w:id="37"/>
      <w:bookmarkEnd w:id="38"/>
      <w:bookmarkEnd w:id="40"/>
    </w:p>
    <w:p w14:paraId="22610225" w14:textId="77777777" w:rsidR="00CF27FB" w:rsidRDefault="00CF27FB" w:rsidP="000649A5">
      <w:r>
        <w:t>The questions put to all stakeholders were a combination of general questions and specific questions relating to individual options. These questions are listed below.</w:t>
      </w:r>
    </w:p>
    <w:p w14:paraId="7E9C0DEE" w14:textId="77777777" w:rsidR="00CF27FB" w:rsidRPr="000649A5" w:rsidRDefault="00CF27FB" w:rsidP="00551F05">
      <w:pPr>
        <w:pStyle w:val="Heading4"/>
        <w:rPr>
          <w:lang w:val="en-US"/>
        </w:rPr>
      </w:pPr>
      <w:r>
        <w:t>General questions</w:t>
      </w:r>
    </w:p>
    <w:p w14:paraId="43CF6CC4" w14:textId="77777777" w:rsidR="00195001" w:rsidRPr="00C85476" w:rsidRDefault="00195001" w:rsidP="005916AC">
      <w:pPr>
        <w:pStyle w:val="NumberPoints"/>
        <w:ind w:left="1134" w:hanging="567"/>
      </w:pPr>
      <w:r w:rsidRPr="00C85476">
        <w:t xml:space="preserve">In general do you </w:t>
      </w:r>
      <w:r w:rsidRPr="00C85476">
        <w:rPr>
          <w:b/>
        </w:rPr>
        <w:t>support</w:t>
      </w:r>
      <w:r w:rsidRPr="00C85476">
        <w:t xml:space="preserve"> the package of reform options?</w:t>
      </w:r>
    </w:p>
    <w:p w14:paraId="078C82D5" w14:textId="77777777" w:rsidR="00195001" w:rsidRPr="00C85476" w:rsidRDefault="00195001" w:rsidP="005916AC">
      <w:pPr>
        <w:pStyle w:val="NumberPoints"/>
        <w:ind w:left="1134" w:hanging="567"/>
      </w:pPr>
      <w:r w:rsidRPr="00C85476">
        <w:t xml:space="preserve">In general do you </w:t>
      </w:r>
      <w:r w:rsidRPr="00C85476">
        <w:rPr>
          <w:b/>
        </w:rPr>
        <w:t>not support</w:t>
      </w:r>
      <w:r w:rsidRPr="00C85476">
        <w:t xml:space="preserve"> the package of reform options?</w:t>
      </w:r>
    </w:p>
    <w:p w14:paraId="3483E0DF" w14:textId="77777777" w:rsidR="00195001" w:rsidRPr="00C85476" w:rsidRDefault="00195001" w:rsidP="005916AC">
      <w:pPr>
        <w:pStyle w:val="NumberPoints"/>
        <w:ind w:left="1134" w:hanging="567"/>
      </w:pPr>
      <w:r w:rsidRPr="00C85476">
        <w:t>Do you think that the package of reform options will result in an increase or decrease in compliance costs for industry?</w:t>
      </w:r>
    </w:p>
    <w:p w14:paraId="4256AD65" w14:textId="77777777" w:rsidR="00195001" w:rsidRDefault="00195001" w:rsidP="005916AC">
      <w:pPr>
        <w:pStyle w:val="NumberPoints"/>
        <w:ind w:left="1134" w:hanging="567"/>
      </w:pPr>
      <w:r w:rsidRPr="00C85476">
        <w:t>Do you think that the package of reform options will result in some benefits, and if so what sort? (e.g. financial, social or environmental)</w:t>
      </w:r>
    </w:p>
    <w:p w14:paraId="1246C221" w14:textId="77777777" w:rsidR="00CF27FB" w:rsidRPr="00C85476" w:rsidRDefault="00CF27FB" w:rsidP="00551F05">
      <w:pPr>
        <w:pStyle w:val="Heading4"/>
      </w:pPr>
      <w:r>
        <w:t>Specific questions</w:t>
      </w:r>
    </w:p>
    <w:p w14:paraId="3F921593" w14:textId="77777777" w:rsidR="00195001" w:rsidRPr="00C85476" w:rsidRDefault="00195001" w:rsidP="005916AC">
      <w:pPr>
        <w:pStyle w:val="NumberPoints"/>
        <w:ind w:left="1134" w:hanging="567"/>
      </w:pPr>
      <w:r w:rsidRPr="00C85476">
        <w:t>Are there particular reforms you feel strongly about (either support or oppose)?</w:t>
      </w:r>
    </w:p>
    <w:p w14:paraId="62527AF9" w14:textId="77777777" w:rsidR="00195001" w:rsidRPr="00C85476" w:rsidRDefault="00195001" w:rsidP="005916AC">
      <w:pPr>
        <w:pStyle w:val="NumberPoints"/>
        <w:ind w:left="1134" w:hanging="567"/>
      </w:pPr>
      <w:r w:rsidRPr="00C85476">
        <w:t>Are there likely to be significant barriers to any of the reform options? If so, then please outline the barriers.</w:t>
      </w:r>
    </w:p>
    <w:p w14:paraId="114482BE" w14:textId="77777777" w:rsidR="00195001" w:rsidRPr="00C85476" w:rsidRDefault="00195001" w:rsidP="005916AC">
      <w:pPr>
        <w:pStyle w:val="NumberPoints"/>
        <w:ind w:left="1134" w:hanging="567"/>
      </w:pPr>
      <w:r w:rsidRPr="00C85476">
        <w:t xml:space="preserve">Are you aware of similar reform options that have been implemented in other countries? </w:t>
      </w:r>
    </w:p>
    <w:p w14:paraId="0C58762A" w14:textId="77777777" w:rsidR="00195001" w:rsidRPr="00C85476" w:rsidRDefault="00C85476" w:rsidP="005916AC">
      <w:pPr>
        <w:pStyle w:val="NumberPoints"/>
        <w:ind w:left="1134" w:hanging="567"/>
      </w:pPr>
      <w:r>
        <w:t>Over what timeframes s</w:t>
      </w:r>
      <w:r w:rsidR="00195001" w:rsidRPr="00C85476">
        <w:t>hould the reform options be implemented?</w:t>
      </w:r>
    </w:p>
    <w:bookmarkEnd w:id="39"/>
    <w:p w14:paraId="38B9D325" w14:textId="77777777" w:rsidR="00195001" w:rsidRPr="00C85476" w:rsidRDefault="00195001" w:rsidP="005916AC">
      <w:pPr>
        <w:pStyle w:val="NumberPoints"/>
        <w:ind w:left="1134" w:hanging="567"/>
      </w:pPr>
      <w:r w:rsidRPr="00C85476">
        <w:t>Do you have any additional comments?</w:t>
      </w:r>
    </w:p>
    <w:p w14:paraId="4BE5FA86" w14:textId="77777777" w:rsidR="00195001" w:rsidRDefault="00195001" w:rsidP="00551F05">
      <w:pPr>
        <w:pStyle w:val="Heading3"/>
      </w:pPr>
      <w:bookmarkStart w:id="41" w:name="_Toc421018698"/>
      <w:bookmarkStart w:id="42" w:name="_Ref422988156"/>
      <w:r w:rsidRPr="00C85476">
        <w:t>Additional reform option questions for regulators</w:t>
      </w:r>
      <w:bookmarkEnd w:id="41"/>
      <w:bookmarkEnd w:id="42"/>
    </w:p>
    <w:p w14:paraId="50C8B67A" w14:textId="7C39DAD2" w:rsidR="00CF27FB" w:rsidRPr="00120622" w:rsidRDefault="00CF27FB" w:rsidP="000649A5">
      <w:r>
        <w:t>The foll</w:t>
      </w:r>
      <w:r w:rsidR="00DF3B2D">
        <w:t xml:space="preserve">owing questions were </w:t>
      </w:r>
      <w:bookmarkStart w:id="43" w:name="_GoBack"/>
      <w:bookmarkEnd w:id="43"/>
      <w:r>
        <w:t>put to the federal, state and territory departments and agencies.</w:t>
      </w:r>
    </w:p>
    <w:p w14:paraId="3F0D5151" w14:textId="77777777" w:rsidR="00195001" w:rsidRPr="00C85476" w:rsidRDefault="00195001" w:rsidP="005916AC">
      <w:pPr>
        <w:pStyle w:val="NumberPoints"/>
        <w:ind w:left="1134" w:hanging="567"/>
      </w:pPr>
      <w:r w:rsidRPr="00C85476">
        <w:t>Do you believe that the reform options align with the policy objectives of your state/territory?</w:t>
      </w:r>
    </w:p>
    <w:p w14:paraId="7CF578F3" w14:textId="77777777" w:rsidR="00195001" w:rsidRPr="00C85476" w:rsidRDefault="00195001" w:rsidP="005916AC">
      <w:pPr>
        <w:pStyle w:val="NumberPoints"/>
        <w:ind w:left="1134" w:hanging="567"/>
      </w:pPr>
      <w:r w:rsidRPr="00C85476">
        <w:t xml:space="preserve">For the reform options that you support </w:t>
      </w:r>
      <w:r w:rsidR="001D1AC0" w:rsidRPr="00C85476">
        <w:t>please outline</w:t>
      </w:r>
      <w:r w:rsidRPr="00C85476">
        <w:t xml:space="preserve"> th</w:t>
      </w:r>
      <w:r w:rsidR="001D1AC0" w:rsidRPr="00C85476">
        <w:t>e types of costs and benefits.</w:t>
      </w:r>
    </w:p>
    <w:p w14:paraId="702DEB06" w14:textId="77777777" w:rsidR="00195001" w:rsidRPr="00C85476" w:rsidRDefault="00195001" w:rsidP="005916AC">
      <w:pPr>
        <w:pStyle w:val="NumberPoints"/>
        <w:ind w:left="1134" w:hanging="567"/>
      </w:pPr>
      <w:r w:rsidRPr="00C85476">
        <w:t xml:space="preserve">For the changes you oppose </w:t>
      </w:r>
      <w:r w:rsidR="001D1AC0" w:rsidRPr="00C85476">
        <w:t>please outline</w:t>
      </w:r>
      <w:r w:rsidRPr="00C85476">
        <w:t xml:space="preserve"> the </w:t>
      </w:r>
      <w:r w:rsidR="001D1AC0" w:rsidRPr="00C85476">
        <w:t>types of costs and benefits.</w:t>
      </w:r>
    </w:p>
    <w:p w14:paraId="2C9E42FC" w14:textId="77777777" w:rsidR="00195001" w:rsidRPr="00C85476" w:rsidRDefault="00195001" w:rsidP="00551F05">
      <w:pPr>
        <w:pStyle w:val="Heading2"/>
      </w:pPr>
      <w:bookmarkStart w:id="44" w:name="_Ref423292924"/>
      <w:bookmarkStart w:id="45" w:name="_Toc426022030"/>
      <w:r w:rsidRPr="00C85476">
        <w:lastRenderedPageBreak/>
        <w:t>Assessment criteria</w:t>
      </w:r>
      <w:bookmarkEnd w:id="44"/>
      <w:bookmarkEnd w:id="45"/>
    </w:p>
    <w:p w14:paraId="4E7C967C" w14:textId="77777777" w:rsidR="003A7B05" w:rsidRPr="00C85476" w:rsidRDefault="009D47DF" w:rsidP="003A7B05">
      <w:r w:rsidRPr="00C85476">
        <w:t>The</w:t>
      </w:r>
      <w:r w:rsidR="00A52CBA" w:rsidRPr="00C85476">
        <w:t xml:space="preserve"> reform option</w:t>
      </w:r>
      <w:r w:rsidRPr="00C85476">
        <w:t>s</w:t>
      </w:r>
      <w:r w:rsidR="00A52CBA" w:rsidRPr="00C85476">
        <w:t xml:space="preserve"> have been uniformly assessed against the following descriptive and assessment criteria:</w:t>
      </w:r>
    </w:p>
    <w:p w14:paraId="1CA60431" w14:textId="77777777" w:rsidR="003A7B05" w:rsidRPr="00C85476" w:rsidRDefault="005D7C22" w:rsidP="005916AC">
      <w:pPr>
        <w:pStyle w:val="NumberPoints"/>
        <w:numPr>
          <w:ilvl w:val="0"/>
          <w:numId w:val="16"/>
        </w:numPr>
        <w:ind w:left="1134" w:hanging="567"/>
      </w:pPr>
      <w:r w:rsidRPr="00C85476">
        <w:rPr>
          <w:b/>
        </w:rPr>
        <w:t>Reform option description and context</w:t>
      </w:r>
      <w:r w:rsidR="00503C69" w:rsidRPr="00503C69">
        <w:t xml:space="preserve"> – A detailed </w:t>
      </w:r>
      <w:r w:rsidR="00503C69">
        <w:t>description of each reform option is provided, along with contextual detail on the option, which is primarily based on the extensive review of prior work undertaken for this project.</w:t>
      </w:r>
    </w:p>
    <w:p w14:paraId="27FB89EB" w14:textId="602EC3F3" w:rsidR="003A7B05" w:rsidRPr="00C85476" w:rsidRDefault="003A7B05" w:rsidP="002B6DB7">
      <w:pPr>
        <w:pStyle w:val="NumberPoints"/>
        <w:ind w:left="1134" w:hanging="567"/>
      </w:pPr>
      <w:r w:rsidRPr="00C85476">
        <w:rPr>
          <w:b/>
        </w:rPr>
        <w:t>Reform option regulatory status</w:t>
      </w:r>
      <w:r w:rsidR="009D47DF" w:rsidRPr="00C85476">
        <w:t xml:space="preserve"> – Reform options are categorised into: legislated, co-regulatory, quasi-regulatory, self-regulatory, non-regulatory and status quo.</w:t>
      </w:r>
      <w:r w:rsidR="002B6DB7">
        <w:t xml:space="preserve"> See </w:t>
      </w:r>
      <w:r w:rsidR="00175ECB">
        <w:fldChar w:fldCharType="begin"/>
      </w:r>
      <w:r w:rsidR="00175ECB">
        <w:instrText xml:space="preserve"> REF _Ref424896078 \h  \* MERGEFORMAT </w:instrText>
      </w:r>
      <w:r w:rsidR="00175ECB">
        <w:fldChar w:fldCharType="separate"/>
      </w:r>
      <w:r w:rsidR="00C40366" w:rsidRPr="00C40366">
        <w:t>Table 3</w:t>
      </w:r>
      <w:r w:rsidR="00175ECB">
        <w:fldChar w:fldCharType="end"/>
      </w:r>
      <w:r w:rsidR="002B6DB7">
        <w:t xml:space="preserve"> on the following page for descriptions of each of these r</w:t>
      </w:r>
      <w:r w:rsidR="002B6DB7" w:rsidRPr="002B6DB7">
        <w:t>eform optio</w:t>
      </w:r>
      <w:r w:rsidR="002B6DB7">
        <w:t>n regulatory status types.</w:t>
      </w:r>
    </w:p>
    <w:p w14:paraId="77E6C619" w14:textId="04833788" w:rsidR="003A7B05" w:rsidRPr="00C85476" w:rsidRDefault="003A7B05" w:rsidP="005916AC">
      <w:pPr>
        <w:pStyle w:val="NumberPoints"/>
        <w:ind w:left="1134" w:hanging="567"/>
      </w:pPr>
      <w:r w:rsidRPr="00C85476">
        <w:rPr>
          <w:b/>
        </w:rPr>
        <w:t>Reform option purpose</w:t>
      </w:r>
      <w:r w:rsidR="009D47DF" w:rsidRPr="00C85476">
        <w:t xml:space="preserve"> – </w:t>
      </w:r>
      <w:r w:rsidR="00482713" w:rsidRPr="00C85476">
        <w:t>In line with the</w:t>
      </w:r>
      <w:r w:rsidR="009D47DF" w:rsidRPr="00C85476">
        <w:t xml:space="preserve"> Australian Government Gu</w:t>
      </w:r>
      <w:r w:rsidR="00482713" w:rsidRPr="00C85476">
        <w:t xml:space="preserve">ide to Regulation </w:t>
      </w:r>
      <w:sdt>
        <w:sdtPr>
          <w:id w:val="-1744249828"/>
          <w:citation/>
        </w:sdtPr>
        <w:sdtEndPr/>
        <w:sdtContent>
          <w:r w:rsidR="007B2B2A" w:rsidRPr="00C85476">
            <w:fldChar w:fldCharType="begin"/>
          </w:r>
          <w:r w:rsidR="00482713" w:rsidRPr="00C85476">
            <w:instrText xml:space="preserve"> CITATION DPM14 \l 3081 </w:instrText>
          </w:r>
          <w:r w:rsidR="007B2B2A" w:rsidRPr="00C85476">
            <w:fldChar w:fldCharType="separate"/>
          </w:r>
          <w:r w:rsidR="001F6F42">
            <w:rPr>
              <w:noProof/>
            </w:rPr>
            <w:t>(DPMC, 2014)</w:t>
          </w:r>
          <w:r w:rsidR="007B2B2A" w:rsidRPr="00C85476">
            <w:fldChar w:fldCharType="end"/>
          </w:r>
        </w:sdtContent>
      </w:sdt>
      <w:r w:rsidR="009D47DF" w:rsidRPr="00C85476">
        <w:t>, a clear statement identifying and defining the problem that the reform option is trying to solve</w:t>
      </w:r>
      <w:r w:rsidRPr="00C85476">
        <w:t>.</w:t>
      </w:r>
      <w:r w:rsidR="002B6DB7">
        <w:t xml:space="preserve"> See </w:t>
      </w:r>
      <w:r w:rsidR="00175ECB">
        <w:fldChar w:fldCharType="begin"/>
      </w:r>
      <w:r w:rsidR="00175ECB">
        <w:instrText xml:space="preserve"> REF _Ref424896081 \h  \* MERGEFORMAT </w:instrText>
      </w:r>
      <w:r w:rsidR="00175ECB">
        <w:fldChar w:fldCharType="separate"/>
      </w:r>
      <w:r w:rsidR="00C40366" w:rsidRPr="00C40366">
        <w:t>Table 4</w:t>
      </w:r>
      <w:r w:rsidR="00175ECB">
        <w:fldChar w:fldCharType="end"/>
      </w:r>
      <w:r w:rsidR="002B6DB7">
        <w:t xml:space="preserve"> on the following page for the list of reform option purposes used in this report. </w:t>
      </w:r>
    </w:p>
    <w:p w14:paraId="6B4AA317" w14:textId="77777777" w:rsidR="003A7B05" w:rsidRPr="00C85476" w:rsidRDefault="003A7B05" w:rsidP="005916AC">
      <w:pPr>
        <w:pStyle w:val="NumberPoints"/>
        <w:ind w:left="1134" w:hanging="567"/>
      </w:pPr>
      <w:r w:rsidRPr="00C85476">
        <w:rPr>
          <w:b/>
        </w:rPr>
        <w:t>Does the option have broad stakeholder support?</w:t>
      </w:r>
      <w:r w:rsidR="009D47DF" w:rsidRPr="00C85476">
        <w:t xml:space="preserve"> – </w:t>
      </w:r>
      <w:r w:rsidRPr="00C85476">
        <w:t>Summary</w:t>
      </w:r>
      <w:r w:rsidR="00104000" w:rsidRPr="00C85476">
        <w:t xml:space="preserve"> statement</w:t>
      </w:r>
      <w:r w:rsidRPr="00C85476">
        <w:t xml:space="preserve"> of the consultation findings on support and opposition for the reform option.</w:t>
      </w:r>
    </w:p>
    <w:p w14:paraId="295FACDB" w14:textId="77777777" w:rsidR="003A7B05" w:rsidRPr="00C85476" w:rsidRDefault="003A7B05" w:rsidP="005916AC">
      <w:pPr>
        <w:pStyle w:val="NumberPoints"/>
        <w:ind w:left="1134" w:hanging="567"/>
      </w:pPr>
      <w:r w:rsidRPr="00C85476">
        <w:rPr>
          <w:b/>
        </w:rPr>
        <w:t>Are there significant barriers that realistically would</w:t>
      </w:r>
      <w:r w:rsidR="00A52CBA" w:rsidRPr="00C85476">
        <w:rPr>
          <w:b/>
        </w:rPr>
        <w:t xml:space="preserve"> prevent adoption</w:t>
      </w:r>
      <w:r w:rsidRPr="00C85476">
        <w:rPr>
          <w:b/>
        </w:rPr>
        <w:t>?</w:t>
      </w:r>
      <w:r w:rsidR="009D47DF" w:rsidRPr="00C85476">
        <w:t xml:space="preserve"> – </w:t>
      </w:r>
      <w:r w:rsidRPr="00C85476">
        <w:t xml:space="preserve">Summary </w:t>
      </w:r>
      <w:r w:rsidR="00104000" w:rsidRPr="00C85476">
        <w:t xml:space="preserve">statement </w:t>
      </w:r>
      <w:r w:rsidRPr="00C85476">
        <w:t>of the consultation findings on barriers to the reform option.</w:t>
      </w:r>
    </w:p>
    <w:p w14:paraId="56771F01" w14:textId="77777777" w:rsidR="003A7B05" w:rsidRPr="00C85476" w:rsidRDefault="00D72C29" w:rsidP="005916AC">
      <w:pPr>
        <w:pStyle w:val="NumberPoints"/>
        <w:ind w:left="1134" w:hanging="567"/>
      </w:pPr>
      <w:r w:rsidRPr="000649A5">
        <w:rPr>
          <w:b/>
        </w:rPr>
        <w:t>Potential for overall economic benefits</w:t>
      </w:r>
      <w:r w:rsidR="009D47DF" w:rsidRPr="00C85476">
        <w:t xml:space="preserve">– </w:t>
      </w:r>
      <w:r w:rsidR="003A7B05" w:rsidRPr="00C85476">
        <w:t xml:space="preserve">Summary </w:t>
      </w:r>
      <w:r w:rsidR="00104000" w:rsidRPr="00C85476">
        <w:t xml:space="preserve">statement </w:t>
      </w:r>
      <w:r w:rsidR="003A7B05" w:rsidRPr="00C85476">
        <w:t>of the consultation findings of the economic costs and benefits, as well as consideration of the distribution of impacts. Is the reform likely to lead to overall net benefit to the community?</w:t>
      </w:r>
    </w:p>
    <w:p w14:paraId="32ED5436" w14:textId="77777777" w:rsidR="003A7B05" w:rsidRPr="00C85476" w:rsidRDefault="00D72C29" w:rsidP="005916AC">
      <w:pPr>
        <w:pStyle w:val="NumberPoints"/>
        <w:ind w:left="1134" w:hanging="567"/>
      </w:pPr>
      <w:r w:rsidRPr="000649A5">
        <w:rPr>
          <w:b/>
        </w:rPr>
        <w:t>Likely regulatory (financial) impact on industry</w:t>
      </w:r>
      <w:r w:rsidR="009D47DF" w:rsidRPr="00C85476">
        <w:t xml:space="preserve">– </w:t>
      </w:r>
      <w:r w:rsidR="00104000" w:rsidRPr="00C85476">
        <w:t>Summary statement</w:t>
      </w:r>
      <w:r w:rsidR="003A7B05" w:rsidRPr="00C85476">
        <w:t xml:space="preserve"> of the regulatory burden (industry costs), and consideration of if the reform likely to lead to a </w:t>
      </w:r>
      <w:r w:rsidR="009D47DF" w:rsidRPr="00C85476">
        <w:t xml:space="preserve">reduction in regulatory burden. </w:t>
      </w:r>
      <w:r w:rsidR="003A7B05" w:rsidRPr="00C85476">
        <w:t>Reducing the regulatory burden placed on industry is a key focus of government, and a key factor to be considered in the cost-benefit analysis (CBA).</w:t>
      </w:r>
    </w:p>
    <w:p w14:paraId="55C47634" w14:textId="77777777" w:rsidR="003A7B05" w:rsidRPr="00120622" w:rsidRDefault="003A7B05" w:rsidP="000649A5">
      <w:pPr>
        <w:pStyle w:val="NumberPoints"/>
        <w:ind w:left="1134" w:hanging="567"/>
      </w:pPr>
      <w:r w:rsidRPr="00C85476">
        <w:rPr>
          <w:b/>
        </w:rPr>
        <w:t>Implementation timeframe</w:t>
      </w:r>
      <w:r w:rsidR="009D47DF" w:rsidRPr="000649A5">
        <w:t xml:space="preserve"> – </w:t>
      </w:r>
      <w:r w:rsidR="00104000" w:rsidRPr="00120622">
        <w:t>Summary</w:t>
      </w:r>
      <w:r w:rsidRPr="00120622">
        <w:t xml:space="preserve"> of the consultation findings on implementation timeframes for the reform option.</w:t>
      </w:r>
      <w:r w:rsidR="005C36B7">
        <w:t xml:space="preserve"> </w:t>
      </w:r>
      <w:r w:rsidR="00D72C29" w:rsidRPr="00120622">
        <w:t>The implementation timeframe includes an allowance for early warning.</w:t>
      </w:r>
    </w:p>
    <w:p w14:paraId="6CF799E1" w14:textId="77777777" w:rsidR="005C36B7" w:rsidRPr="005C36B7" w:rsidRDefault="000649A5" w:rsidP="005C36B7">
      <w:pPr>
        <w:pStyle w:val="NumberPoints"/>
        <w:ind w:left="1134" w:hanging="567"/>
        <w:rPr>
          <w:b/>
        </w:rPr>
      </w:pPr>
      <w:r w:rsidRPr="000649A5">
        <w:rPr>
          <w:b/>
        </w:rPr>
        <w:t>Recommendation for inclusion in</w:t>
      </w:r>
      <w:r>
        <w:rPr>
          <w:b/>
        </w:rPr>
        <w:t xml:space="preserve"> </w:t>
      </w:r>
      <w:r w:rsidRPr="000649A5">
        <w:rPr>
          <w:b/>
        </w:rPr>
        <w:t>Cost Benefit Analysis</w:t>
      </w:r>
      <w:r w:rsidRPr="000649A5">
        <w:t xml:space="preserve"> –</w:t>
      </w:r>
      <w:r w:rsidR="005C36B7">
        <w:t xml:space="preserve"> Recommendation on further assessment of the reform options. Recommendation categories are:</w:t>
      </w:r>
    </w:p>
    <w:p w14:paraId="71D749A4" w14:textId="7930B3A2" w:rsidR="005C36B7" w:rsidRPr="005C36B7" w:rsidRDefault="005C36B7" w:rsidP="005C36B7">
      <w:pPr>
        <w:pStyle w:val="BulletPoints"/>
        <w:spacing w:after="60"/>
        <w:ind w:left="1701" w:hanging="567"/>
        <w:rPr>
          <w:b/>
        </w:rPr>
      </w:pPr>
      <w:r w:rsidRPr="00D81C92">
        <w:rPr>
          <w:i/>
        </w:rPr>
        <w:t>Assess</w:t>
      </w:r>
      <w:r w:rsidR="00D81C92">
        <w:t xml:space="preserve"> – Reform options with no significant barriers (assessment criterion 5), no net cost in relation to assessment cr</w:t>
      </w:r>
      <w:r w:rsidR="003D20A4">
        <w:t>iteria 6 and 7</w:t>
      </w:r>
      <w:r w:rsidR="00D81C92">
        <w:t>.</w:t>
      </w:r>
    </w:p>
    <w:p w14:paraId="6B3110FC" w14:textId="77777777" w:rsidR="005C36B7" w:rsidRPr="005C36B7" w:rsidRDefault="005C36B7" w:rsidP="005C36B7">
      <w:pPr>
        <w:pStyle w:val="BulletPoints"/>
        <w:spacing w:after="60"/>
        <w:ind w:left="1701" w:hanging="567"/>
        <w:rPr>
          <w:b/>
        </w:rPr>
      </w:pPr>
      <w:r w:rsidRPr="00D81C92">
        <w:rPr>
          <w:i/>
        </w:rPr>
        <w:t>Do not assess</w:t>
      </w:r>
      <w:r w:rsidR="00D81C92">
        <w:t xml:space="preserve"> – Reform options with a significant cost in relation to either assessment criteria 6 and 7, with no corresponding benefit to offset this.</w:t>
      </w:r>
    </w:p>
    <w:p w14:paraId="54658FDA" w14:textId="782D8BB9" w:rsidR="005C36B7" w:rsidRPr="005C36B7" w:rsidRDefault="005C36B7" w:rsidP="003D20A4">
      <w:pPr>
        <w:pStyle w:val="BulletPoints"/>
        <w:spacing w:after="240"/>
        <w:ind w:left="1701" w:hanging="567"/>
        <w:rPr>
          <w:b/>
        </w:rPr>
      </w:pPr>
      <w:r w:rsidRPr="00D81C92">
        <w:rPr>
          <w:i/>
        </w:rPr>
        <w:t xml:space="preserve">Do not assess </w:t>
      </w:r>
      <w:r w:rsidR="00D81C92" w:rsidRPr="00D81C92">
        <w:rPr>
          <w:i/>
        </w:rPr>
        <w:t>(c</w:t>
      </w:r>
      <w:r w:rsidRPr="00D81C92">
        <w:rPr>
          <w:i/>
        </w:rPr>
        <w:t>onsider outside of</w:t>
      </w:r>
      <w:r w:rsidR="003D20A4">
        <w:rPr>
          <w:i/>
        </w:rPr>
        <w:t xml:space="preserve"> a regulatory framework as</w:t>
      </w:r>
      <w:r w:rsidRPr="00D81C92">
        <w:rPr>
          <w:i/>
        </w:rPr>
        <w:t xml:space="preserve"> a non-regulatory</w:t>
      </w:r>
      <w:r w:rsidR="003D20A4">
        <w:rPr>
          <w:i/>
        </w:rPr>
        <w:t xml:space="preserve"> or quasi-regulatory</w:t>
      </w:r>
      <w:r w:rsidRPr="00D81C92">
        <w:rPr>
          <w:i/>
        </w:rPr>
        <w:t xml:space="preserve"> reform</w:t>
      </w:r>
      <w:r w:rsidR="00D81C92" w:rsidRPr="00D81C92">
        <w:rPr>
          <w:i/>
        </w:rPr>
        <w:t xml:space="preserve">) </w:t>
      </w:r>
      <w:r w:rsidR="00D81C92">
        <w:t>– Non-regulatory or quasi-regulatory reform that can be pursued outside of a regulatory framework.</w:t>
      </w:r>
    </w:p>
    <w:p w14:paraId="2D9FAC2E" w14:textId="77777777" w:rsidR="00195001" w:rsidRDefault="009D47DF" w:rsidP="00B930D8">
      <w:r w:rsidRPr="00C85476">
        <w:t xml:space="preserve">The consultation outcomes are presented in the following section of this report (Section </w:t>
      </w:r>
      <w:r w:rsidR="007B2B2A" w:rsidRPr="00C85476">
        <w:fldChar w:fldCharType="begin"/>
      </w:r>
      <w:r w:rsidRPr="00C85476">
        <w:instrText xml:space="preserve"> REF _Ref423294382 \r \h </w:instrText>
      </w:r>
      <w:r w:rsidR="007B2B2A" w:rsidRPr="00C85476">
        <w:fldChar w:fldCharType="separate"/>
      </w:r>
      <w:r w:rsidR="00C40366">
        <w:t>4</w:t>
      </w:r>
      <w:r w:rsidR="007B2B2A" w:rsidRPr="00C85476">
        <w:fldChar w:fldCharType="end"/>
      </w:r>
      <w:r w:rsidRPr="00C85476">
        <w:t xml:space="preserve">), and each of the reform options is evaluated against the nine assessment criteria listed above in Section </w:t>
      </w:r>
      <w:r w:rsidR="007B2B2A" w:rsidRPr="00C85476">
        <w:fldChar w:fldCharType="begin"/>
      </w:r>
      <w:r w:rsidRPr="00C85476">
        <w:instrText xml:space="preserve"> REF _Ref423294596 \r \h </w:instrText>
      </w:r>
      <w:r w:rsidR="007B2B2A" w:rsidRPr="00C85476">
        <w:fldChar w:fldCharType="separate"/>
      </w:r>
      <w:r w:rsidR="00C40366">
        <w:t>7</w:t>
      </w:r>
      <w:r w:rsidR="007B2B2A" w:rsidRPr="00C85476">
        <w:fldChar w:fldCharType="end"/>
      </w:r>
      <w:r w:rsidRPr="00C85476">
        <w:t xml:space="preserve"> of this report.</w:t>
      </w:r>
    </w:p>
    <w:p w14:paraId="619D3DB2" w14:textId="77777777" w:rsidR="006525A9" w:rsidRPr="00C85476" w:rsidRDefault="006525A9" w:rsidP="006525A9">
      <w:pPr>
        <w:keepNext/>
        <w:keepLines/>
        <w:spacing w:after="120" w:line="240" w:lineRule="auto"/>
        <w:rPr>
          <w:b/>
        </w:rPr>
      </w:pPr>
      <w:bookmarkStart w:id="46" w:name="_Ref424896078"/>
      <w:r w:rsidRPr="00C85476">
        <w:rPr>
          <w:b/>
        </w:rPr>
        <w:lastRenderedPageBreak/>
        <w:t xml:space="preserve">Table </w:t>
      </w:r>
      <w:r w:rsidR="007B2B2A" w:rsidRPr="00C85476">
        <w:rPr>
          <w:b/>
        </w:rPr>
        <w:fldChar w:fldCharType="begin"/>
      </w:r>
      <w:r w:rsidRPr="00C85476">
        <w:rPr>
          <w:b/>
        </w:rPr>
        <w:instrText xml:space="preserve"> SEQ Table \* ARABIC </w:instrText>
      </w:r>
      <w:r w:rsidR="007B2B2A" w:rsidRPr="00C85476">
        <w:rPr>
          <w:b/>
        </w:rPr>
        <w:fldChar w:fldCharType="separate"/>
      </w:r>
      <w:r w:rsidR="00C40366">
        <w:rPr>
          <w:b/>
          <w:noProof/>
        </w:rPr>
        <w:t>3</w:t>
      </w:r>
      <w:r w:rsidR="007B2B2A" w:rsidRPr="00C85476">
        <w:rPr>
          <w:b/>
        </w:rPr>
        <w:fldChar w:fldCharType="end"/>
      </w:r>
      <w:bookmarkEnd w:id="46"/>
      <w:r w:rsidRPr="00C85476">
        <w:rPr>
          <w:b/>
        </w:rPr>
        <w:t xml:space="preserve"> – </w:t>
      </w:r>
      <w:r w:rsidRPr="006525A9">
        <w:rPr>
          <w:b/>
        </w:rPr>
        <w:t>Reform option regulatory status</w:t>
      </w:r>
      <w:r>
        <w:rPr>
          <w:b/>
        </w:rPr>
        <w:t xml:space="preserve"> descriptions</w:t>
      </w:r>
    </w:p>
    <w:tbl>
      <w:tblPr>
        <w:tblW w:w="8903" w:type="dxa"/>
        <w:tblInd w:w="28" w:type="dxa"/>
        <w:tblLayout w:type="fixed"/>
        <w:tblLook w:val="04A0" w:firstRow="1" w:lastRow="0" w:firstColumn="1" w:lastColumn="0" w:noHBand="0" w:noVBand="1"/>
      </w:tblPr>
      <w:tblGrid>
        <w:gridCol w:w="2382"/>
        <w:gridCol w:w="6521"/>
      </w:tblGrid>
      <w:tr w:rsidR="006525A9" w:rsidRPr="00C85476" w14:paraId="7CB9B0DE" w14:textId="77777777" w:rsidTr="002B6DB7">
        <w:trPr>
          <w:trHeight w:val="364"/>
        </w:trPr>
        <w:tc>
          <w:tcPr>
            <w:tcW w:w="2382" w:type="dxa"/>
            <w:tcBorders>
              <w:top w:val="single" w:sz="4" w:space="0" w:color="00B082"/>
              <w:bottom w:val="single" w:sz="4" w:space="0" w:color="00B082"/>
            </w:tcBorders>
            <w:shd w:val="clear" w:color="auto" w:fill="D9D9D9" w:themeFill="background1" w:themeFillShade="D9"/>
            <w:tcMar>
              <w:left w:w="28" w:type="dxa"/>
              <w:right w:w="28" w:type="dxa"/>
            </w:tcMar>
            <w:vAlign w:val="center"/>
          </w:tcPr>
          <w:p w14:paraId="6854BF76" w14:textId="77777777" w:rsidR="006525A9" w:rsidRPr="00C85476" w:rsidRDefault="006525A9" w:rsidP="00720321">
            <w:pPr>
              <w:pStyle w:val="TableHeading"/>
              <w:keepNext/>
              <w:keepLines/>
            </w:pPr>
            <w:r w:rsidRPr="006525A9">
              <w:t>Reform option regulatory status</w:t>
            </w:r>
          </w:p>
        </w:tc>
        <w:tc>
          <w:tcPr>
            <w:tcW w:w="6521" w:type="dxa"/>
            <w:tcBorders>
              <w:top w:val="single" w:sz="4" w:space="0" w:color="00B082"/>
              <w:bottom w:val="single" w:sz="4" w:space="0" w:color="00B082"/>
            </w:tcBorders>
            <w:shd w:val="clear" w:color="auto" w:fill="D9D9D9" w:themeFill="background1" w:themeFillShade="D9"/>
            <w:vAlign w:val="center"/>
          </w:tcPr>
          <w:p w14:paraId="1641FDFE" w14:textId="77777777" w:rsidR="006525A9" w:rsidRPr="00C85476" w:rsidRDefault="006525A9" w:rsidP="00720321">
            <w:pPr>
              <w:pStyle w:val="TableHeading"/>
              <w:keepNext/>
              <w:keepLines/>
            </w:pPr>
            <w:r>
              <w:t>Description</w:t>
            </w:r>
          </w:p>
        </w:tc>
      </w:tr>
      <w:tr w:rsidR="006525A9" w:rsidRPr="00C85476" w14:paraId="6C6BB672" w14:textId="77777777" w:rsidTr="002B6DB7">
        <w:trPr>
          <w:trHeight w:val="364"/>
        </w:trPr>
        <w:tc>
          <w:tcPr>
            <w:tcW w:w="2382" w:type="dxa"/>
            <w:tcBorders>
              <w:top w:val="single" w:sz="4" w:space="0" w:color="00B082"/>
              <w:bottom w:val="single" w:sz="4" w:space="0" w:color="00B082"/>
            </w:tcBorders>
            <w:tcMar>
              <w:left w:w="28" w:type="dxa"/>
              <w:right w:w="28" w:type="dxa"/>
            </w:tcMar>
          </w:tcPr>
          <w:p w14:paraId="7AC32C4E" w14:textId="77777777" w:rsidR="006525A9" w:rsidRPr="00C85476" w:rsidRDefault="006525A9" w:rsidP="006525A9">
            <w:pPr>
              <w:pStyle w:val="TableText"/>
              <w:keepNext/>
              <w:keepLines/>
            </w:pPr>
            <w:r>
              <w:t>Status quo</w:t>
            </w:r>
          </w:p>
        </w:tc>
        <w:tc>
          <w:tcPr>
            <w:tcW w:w="6521" w:type="dxa"/>
            <w:tcBorders>
              <w:top w:val="single" w:sz="4" w:space="0" w:color="00B082"/>
              <w:bottom w:val="single" w:sz="4" w:space="0" w:color="00B082"/>
            </w:tcBorders>
          </w:tcPr>
          <w:p w14:paraId="2C87AFB0" w14:textId="77777777" w:rsidR="006525A9" w:rsidRPr="00C85476" w:rsidRDefault="006525A9" w:rsidP="006525A9">
            <w:pPr>
              <w:pStyle w:val="TableText"/>
              <w:keepNext/>
              <w:keepLines/>
              <w:tabs>
                <w:tab w:val="left" w:pos="528"/>
                <w:tab w:val="center" w:pos="636"/>
              </w:tabs>
            </w:pPr>
            <w:r w:rsidRPr="00A6019C">
              <w:t>No change</w:t>
            </w:r>
            <w:r w:rsidR="00503C69">
              <w:t xml:space="preserve"> to regulation</w:t>
            </w:r>
            <w:r w:rsidRPr="00A6019C">
              <w:t>.</w:t>
            </w:r>
          </w:p>
        </w:tc>
      </w:tr>
      <w:tr w:rsidR="006525A9" w:rsidRPr="00C85476" w14:paraId="71735722" w14:textId="77777777" w:rsidTr="002B6DB7">
        <w:trPr>
          <w:trHeight w:val="364"/>
        </w:trPr>
        <w:tc>
          <w:tcPr>
            <w:tcW w:w="2382" w:type="dxa"/>
            <w:tcBorders>
              <w:top w:val="single" w:sz="4" w:space="0" w:color="00B082"/>
              <w:bottom w:val="single" w:sz="4" w:space="0" w:color="00B082"/>
            </w:tcBorders>
            <w:tcMar>
              <w:left w:w="28" w:type="dxa"/>
              <w:right w:w="28" w:type="dxa"/>
            </w:tcMar>
          </w:tcPr>
          <w:p w14:paraId="7B432680" w14:textId="77777777" w:rsidR="006525A9" w:rsidRPr="00C85476" w:rsidRDefault="006525A9" w:rsidP="006525A9">
            <w:pPr>
              <w:pStyle w:val="TableText"/>
              <w:keepNext/>
              <w:keepLines/>
            </w:pPr>
            <w:r>
              <w:t>Non-regulatory</w:t>
            </w:r>
          </w:p>
        </w:tc>
        <w:tc>
          <w:tcPr>
            <w:tcW w:w="6521" w:type="dxa"/>
            <w:tcBorders>
              <w:top w:val="single" w:sz="4" w:space="0" w:color="00B082"/>
              <w:bottom w:val="single" w:sz="4" w:space="0" w:color="00B082"/>
            </w:tcBorders>
          </w:tcPr>
          <w:p w14:paraId="5A28FCB3" w14:textId="77777777" w:rsidR="006525A9" w:rsidRPr="00C85476" w:rsidRDefault="006525A9" w:rsidP="006525A9">
            <w:pPr>
              <w:pStyle w:val="TableText"/>
              <w:keepNext/>
              <w:keepLines/>
              <w:tabs>
                <w:tab w:val="left" w:pos="528"/>
                <w:tab w:val="center" w:pos="636"/>
              </w:tabs>
            </w:pPr>
            <w:r>
              <w:t>Non-regulatory reform options i</w:t>
            </w:r>
            <w:r w:rsidRPr="00A6019C">
              <w:t>nclude a range of options such as: letting comp</w:t>
            </w:r>
            <w:r>
              <w:t xml:space="preserve">etitive market forces prevail; </w:t>
            </w:r>
            <w:r w:rsidRPr="00A6019C">
              <w:t>reducing information barriers through consultative mechanisms; and providing educat</w:t>
            </w:r>
            <w:r w:rsidR="00503C69">
              <w:t>ion programmes and information.</w:t>
            </w:r>
          </w:p>
        </w:tc>
      </w:tr>
      <w:tr w:rsidR="006525A9" w:rsidRPr="00C85476" w14:paraId="0D4919AC" w14:textId="77777777" w:rsidTr="002B6DB7">
        <w:trPr>
          <w:trHeight w:val="364"/>
        </w:trPr>
        <w:tc>
          <w:tcPr>
            <w:tcW w:w="2382" w:type="dxa"/>
            <w:tcBorders>
              <w:top w:val="single" w:sz="4" w:space="0" w:color="00B082"/>
              <w:bottom w:val="single" w:sz="4" w:space="0" w:color="00B082"/>
            </w:tcBorders>
            <w:tcMar>
              <w:left w:w="28" w:type="dxa"/>
              <w:right w:w="28" w:type="dxa"/>
            </w:tcMar>
          </w:tcPr>
          <w:p w14:paraId="70E2BA12" w14:textId="77777777" w:rsidR="006525A9" w:rsidRPr="00C85476" w:rsidRDefault="006525A9" w:rsidP="006525A9">
            <w:pPr>
              <w:pStyle w:val="TableText"/>
              <w:keepNext/>
              <w:keepLines/>
            </w:pPr>
            <w:r>
              <w:t>Self-regulatory</w:t>
            </w:r>
          </w:p>
        </w:tc>
        <w:tc>
          <w:tcPr>
            <w:tcW w:w="6521" w:type="dxa"/>
            <w:tcBorders>
              <w:top w:val="single" w:sz="4" w:space="0" w:color="00B082"/>
              <w:bottom w:val="single" w:sz="4" w:space="0" w:color="00B082"/>
            </w:tcBorders>
          </w:tcPr>
          <w:p w14:paraId="45093528" w14:textId="77777777" w:rsidR="006525A9" w:rsidRPr="00C85476" w:rsidRDefault="006525A9" w:rsidP="006525A9">
            <w:pPr>
              <w:pStyle w:val="TableText"/>
              <w:keepNext/>
              <w:keepLines/>
              <w:tabs>
                <w:tab w:val="left" w:pos="528"/>
                <w:tab w:val="center" w:pos="636"/>
              </w:tabs>
            </w:pPr>
            <w:r w:rsidRPr="00A6019C">
              <w:t xml:space="preserve">Self-regulation consists of industry-written rules and codes of conduct enforced by industry. </w:t>
            </w:r>
          </w:p>
        </w:tc>
      </w:tr>
      <w:tr w:rsidR="006525A9" w:rsidRPr="00C85476" w14:paraId="1EEB3345" w14:textId="77777777" w:rsidTr="002B6DB7">
        <w:trPr>
          <w:trHeight w:val="364"/>
        </w:trPr>
        <w:tc>
          <w:tcPr>
            <w:tcW w:w="2382" w:type="dxa"/>
            <w:tcBorders>
              <w:top w:val="single" w:sz="4" w:space="0" w:color="00B082"/>
              <w:bottom w:val="single" w:sz="4" w:space="0" w:color="00B082"/>
            </w:tcBorders>
            <w:tcMar>
              <w:left w:w="28" w:type="dxa"/>
              <w:right w:w="28" w:type="dxa"/>
            </w:tcMar>
          </w:tcPr>
          <w:p w14:paraId="486AA2AB" w14:textId="77777777" w:rsidR="006525A9" w:rsidRPr="00C85476" w:rsidRDefault="006525A9" w:rsidP="006525A9">
            <w:pPr>
              <w:pStyle w:val="TableText"/>
              <w:keepNext/>
              <w:keepLines/>
            </w:pPr>
            <w:r>
              <w:t>Quasi-regulatory</w:t>
            </w:r>
          </w:p>
        </w:tc>
        <w:tc>
          <w:tcPr>
            <w:tcW w:w="6521" w:type="dxa"/>
            <w:tcBorders>
              <w:top w:val="single" w:sz="4" w:space="0" w:color="00B082"/>
              <w:bottom w:val="single" w:sz="4" w:space="0" w:color="00B082"/>
            </w:tcBorders>
          </w:tcPr>
          <w:p w14:paraId="3DEF4307" w14:textId="77777777" w:rsidR="006525A9" w:rsidRPr="00C85476" w:rsidRDefault="002B6DB7" w:rsidP="006525A9">
            <w:pPr>
              <w:pStyle w:val="TableText"/>
              <w:keepNext/>
              <w:keepLines/>
            </w:pPr>
            <w:r>
              <w:t>Quasi-regulation</w:t>
            </w:r>
            <w:r w:rsidR="006525A9" w:rsidRPr="00A6019C">
              <w:t xml:space="preserve"> cover</w:t>
            </w:r>
            <w:r>
              <w:t>s</w:t>
            </w:r>
            <w:r w:rsidR="006525A9" w:rsidRPr="00A6019C">
              <w:t xml:space="preserve"> a wide range of rules or arrangements that are not part of explicit government regulation, but nevertheless seek to influence the behaviour of businesses, community organisations and individuals. They may be designed to accompany existing regulations but are also increasingly used as stand-alone documents. Examples include: standards, codes of practice/conduct, administrative process and any ruling document, or other piece of advice with an expectation of compliance.</w:t>
            </w:r>
          </w:p>
        </w:tc>
      </w:tr>
      <w:tr w:rsidR="006525A9" w:rsidRPr="00C85476" w14:paraId="2B41B324" w14:textId="77777777" w:rsidTr="002B6DB7">
        <w:trPr>
          <w:trHeight w:val="364"/>
        </w:trPr>
        <w:tc>
          <w:tcPr>
            <w:tcW w:w="2382" w:type="dxa"/>
            <w:tcBorders>
              <w:top w:val="single" w:sz="4" w:space="0" w:color="00B082"/>
              <w:bottom w:val="single" w:sz="4" w:space="0" w:color="00B082"/>
            </w:tcBorders>
            <w:tcMar>
              <w:left w:w="28" w:type="dxa"/>
              <w:right w:w="28" w:type="dxa"/>
            </w:tcMar>
          </w:tcPr>
          <w:p w14:paraId="401A9BBC" w14:textId="77777777" w:rsidR="006525A9" w:rsidRPr="00C85476" w:rsidRDefault="006525A9" w:rsidP="006525A9">
            <w:pPr>
              <w:pStyle w:val="TableText"/>
              <w:keepNext/>
              <w:keepLines/>
              <w:ind w:right="-28"/>
            </w:pPr>
            <w:r>
              <w:t>Co-regulatory</w:t>
            </w:r>
          </w:p>
        </w:tc>
        <w:tc>
          <w:tcPr>
            <w:tcW w:w="6521" w:type="dxa"/>
            <w:tcBorders>
              <w:top w:val="single" w:sz="4" w:space="0" w:color="00B082"/>
              <w:bottom w:val="single" w:sz="4" w:space="0" w:color="00B082"/>
            </w:tcBorders>
          </w:tcPr>
          <w:p w14:paraId="57D54194" w14:textId="77777777" w:rsidR="006525A9" w:rsidRPr="00C85476" w:rsidRDefault="002B6DB7" w:rsidP="006525A9">
            <w:pPr>
              <w:pStyle w:val="TableText"/>
              <w:keepNext/>
              <w:keepLines/>
            </w:pPr>
            <w:r w:rsidRPr="002B6DB7">
              <w:t>Co-regulation is the sharing of the regulatory role between government and industry. It is usually affected through legislative reference or endorsement of a code of practice.</w:t>
            </w:r>
          </w:p>
        </w:tc>
      </w:tr>
      <w:tr w:rsidR="006525A9" w:rsidRPr="00C85476" w14:paraId="66A451F6" w14:textId="77777777" w:rsidTr="002B6DB7">
        <w:trPr>
          <w:trHeight w:val="365"/>
        </w:trPr>
        <w:tc>
          <w:tcPr>
            <w:tcW w:w="2382" w:type="dxa"/>
            <w:tcBorders>
              <w:top w:val="single" w:sz="4" w:space="0" w:color="00B082"/>
              <w:bottom w:val="single" w:sz="4" w:space="0" w:color="00B082"/>
            </w:tcBorders>
            <w:tcMar>
              <w:left w:w="28" w:type="dxa"/>
              <w:right w:w="28" w:type="dxa"/>
            </w:tcMar>
          </w:tcPr>
          <w:p w14:paraId="128246E5" w14:textId="77777777" w:rsidR="006525A9" w:rsidRPr="006525A9" w:rsidRDefault="006525A9" w:rsidP="006525A9">
            <w:pPr>
              <w:pStyle w:val="TableText"/>
              <w:keepNext/>
              <w:keepLines/>
            </w:pPr>
            <w:r>
              <w:t>Legislated</w:t>
            </w:r>
            <w:r w:rsidR="00503C69">
              <w:t xml:space="preserve"> regulation</w:t>
            </w:r>
          </w:p>
        </w:tc>
        <w:tc>
          <w:tcPr>
            <w:tcW w:w="6521" w:type="dxa"/>
            <w:tcBorders>
              <w:top w:val="single" w:sz="4" w:space="0" w:color="00B082"/>
              <w:bottom w:val="single" w:sz="4" w:space="0" w:color="00B082"/>
            </w:tcBorders>
          </w:tcPr>
          <w:p w14:paraId="2AE6785D" w14:textId="77777777" w:rsidR="006525A9" w:rsidRPr="006525A9" w:rsidRDefault="00503C69" w:rsidP="006525A9">
            <w:pPr>
              <w:pStyle w:val="TableText"/>
              <w:keepNext/>
              <w:keepLines/>
            </w:pPr>
            <w:r w:rsidRPr="00503C69">
              <w:t>Legislated regulation comprises primary and subordinate legislation and is probably the most common form of regulation. Usually used as a regulatory tool where there is high perceived risk or public interest and achieving compliance is seen as critically important.</w:t>
            </w:r>
          </w:p>
        </w:tc>
      </w:tr>
    </w:tbl>
    <w:p w14:paraId="48E943D3" w14:textId="77777777" w:rsidR="006525A9" w:rsidRPr="00C85476" w:rsidRDefault="006525A9" w:rsidP="006525A9"/>
    <w:p w14:paraId="37DBE05A" w14:textId="77777777" w:rsidR="002B6DB7" w:rsidRPr="00C85476" w:rsidRDefault="002B6DB7" w:rsidP="002B6DB7">
      <w:pPr>
        <w:keepNext/>
        <w:keepLines/>
        <w:spacing w:after="120" w:line="240" w:lineRule="auto"/>
        <w:rPr>
          <w:b/>
        </w:rPr>
      </w:pPr>
      <w:bookmarkStart w:id="47" w:name="_Ref424896081"/>
      <w:r w:rsidRPr="00C85476">
        <w:rPr>
          <w:b/>
        </w:rPr>
        <w:t xml:space="preserve">Table </w:t>
      </w:r>
      <w:r w:rsidR="007B2B2A" w:rsidRPr="00C85476">
        <w:rPr>
          <w:b/>
        </w:rPr>
        <w:fldChar w:fldCharType="begin"/>
      </w:r>
      <w:r w:rsidRPr="00C85476">
        <w:rPr>
          <w:b/>
        </w:rPr>
        <w:instrText xml:space="preserve"> SEQ Table \* ARABIC </w:instrText>
      </w:r>
      <w:r w:rsidR="007B2B2A" w:rsidRPr="00C85476">
        <w:rPr>
          <w:b/>
        </w:rPr>
        <w:fldChar w:fldCharType="separate"/>
      </w:r>
      <w:r w:rsidR="00C40366">
        <w:rPr>
          <w:b/>
          <w:noProof/>
        </w:rPr>
        <w:t>4</w:t>
      </w:r>
      <w:r w:rsidR="007B2B2A" w:rsidRPr="00C85476">
        <w:rPr>
          <w:b/>
        </w:rPr>
        <w:fldChar w:fldCharType="end"/>
      </w:r>
      <w:bookmarkEnd w:id="47"/>
      <w:r w:rsidRPr="00C85476">
        <w:rPr>
          <w:b/>
        </w:rPr>
        <w:t xml:space="preserve"> – </w:t>
      </w:r>
      <w:r>
        <w:rPr>
          <w:b/>
        </w:rPr>
        <w:t>Defined list of r</w:t>
      </w:r>
      <w:r w:rsidRPr="006525A9">
        <w:rPr>
          <w:b/>
        </w:rPr>
        <w:t xml:space="preserve">eform option </w:t>
      </w:r>
      <w:r>
        <w:rPr>
          <w:b/>
        </w:rPr>
        <w:t>purposes</w:t>
      </w:r>
    </w:p>
    <w:tbl>
      <w:tblPr>
        <w:tblW w:w="8903" w:type="dxa"/>
        <w:tblInd w:w="28" w:type="dxa"/>
        <w:tblLayout w:type="fixed"/>
        <w:tblLook w:val="04A0" w:firstRow="1" w:lastRow="0" w:firstColumn="1" w:lastColumn="0" w:noHBand="0" w:noVBand="1"/>
      </w:tblPr>
      <w:tblGrid>
        <w:gridCol w:w="8903"/>
      </w:tblGrid>
      <w:tr w:rsidR="002B6DB7" w:rsidRPr="00C85476" w14:paraId="2A7F8E34" w14:textId="77777777" w:rsidTr="002B6DB7">
        <w:trPr>
          <w:trHeight w:val="364"/>
        </w:trPr>
        <w:tc>
          <w:tcPr>
            <w:tcW w:w="8903" w:type="dxa"/>
            <w:tcBorders>
              <w:top w:val="single" w:sz="4" w:space="0" w:color="00B082"/>
              <w:bottom w:val="single" w:sz="4" w:space="0" w:color="00B082"/>
            </w:tcBorders>
            <w:shd w:val="clear" w:color="auto" w:fill="D9D9D9" w:themeFill="background1" w:themeFillShade="D9"/>
            <w:tcMar>
              <w:left w:w="28" w:type="dxa"/>
              <w:right w:w="28" w:type="dxa"/>
            </w:tcMar>
            <w:vAlign w:val="center"/>
          </w:tcPr>
          <w:p w14:paraId="093AA95A" w14:textId="77777777" w:rsidR="002B6DB7" w:rsidRPr="002B6DB7" w:rsidRDefault="002B6DB7" w:rsidP="002B6DB7">
            <w:pPr>
              <w:pStyle w:val="TableHeading"/>
            </w:pPr>
            <w:r w:rsidRPr="002B6DB7">
              <w:t>Reform option purpose</w:t>
            </w:r>
            <w:r>
              <w:t>s</w:t>
            </w:r>
          </w:p>
        </w:tc>
      </w:tr>
      <w:tr w:rsidR="002B6DB7" w:rsidRPr="00C85476" w14:paraId="7D61B096"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7A7F36AE" w14:textId="77777777" w:rsidR="002B6DB7" w:rsidRPr="00C85476" w:rsidRDefault="002B6DB7" w:rsidP="002B6DB7">
            <w:pPr>
              <w:pStyle w:val="TableText"/>
              <w:keepNext/>
              <w:keepLines/>
              <w:numPr>
                <w:ilvl w:val="0"/>
                <w:numId w:val="30"/>
              </w:numPr>
              <w:ind w:left="511" w:hanging="425"/>
            </w:pPr>
            <w:r>
              <w:rPr>
                <w:rFonts w:ascii="Calibri" w:hAnsi="Calibri"/>
                <w:color w:val="000000"/>
                <w:szCs w:val="20"/>
              </w:rPr>
              <w:t>Correct an information gap or asymmetry.</w:t>
            </w:r>
          </w:p>
        </w:tc>
      </w:tr>
      <w:tr w:rsidR="002B6DB7" w:rsidRPr="00C85476" w14:paraId="1A938E61"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27C0629B" w14:textId="77777777" w:rsidR="002B6DB7" w:rsidRPr="00C85476" w:rsidRDefault="002B6DB7" w:rsidP="002B6DB7">
            <w:pPr>
              <w:pStyle w:val="TableText"/>
              <w:keepNext/>
              <w:keepLines/>
              <w:numPr>
                <w:ilvl w:val="0"/>
                <w:numId w:val="30"/>
              </w:numPr>
              <w:ind w:left="511" w:hanging="425"/>
            </w:pPr>
            <w:r>
              <w:rPr>
                <w:rFonts w:ascii="Calibri" w:hAnsi="Calibri"/>
                <w:color w:val="000000"/>
                <w:szCs w:val="20"/>
              </w:rPr>
              <w:t>Promote the environmentally sound management of hazardous wastes.</w:t>
            </w:r>
          </w:p>
        </w:tc>
      </w:tr>
      <w:tr w:rsidR="002B6DB7" w:rsidRPr="00C85476" w14:paraId="4314F512"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29C9F050" w14:textId="77777777" w:rsidR="002B6DB7" w:rsidRPr="00C85476" w:rsidRDefault="002B6DB7" w:rsidP="002B6DB7">
            <w:pPr>
              <w:pStyle w:val="TableText"/>
              <w:keepNext/>
              <w:keepLines/>
              <w:numPr>
                <w:ilvl w:val="0"/>
                <w:numId w:val="30"/>
              </w:numPr>
              <w:ind w:left="511" w:hanging="425"/>
            </w:pPr>
            <w:r>
              <w:rPr>
                <w:rFonts w:ascii="Calibri" w:hAnsi="Calibri"/>
                <w:color w:val="000000"/>
                <w:szCs w:val="20"/>
              </w:rPr>
              <w:t>Address a competition failure by supporting a competitive market or managing a continuing monopoly situation.</w:t>
            </w:r>
          </w:p>
        </w:tc>
      </w:tr>
      <w:tr w:rsidR="002B6DB7" w:rsidRPr="00C85476" w14:paraId="2B521145"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160A7C5F" w14:textId="77777777" w:rsidR="002B6DB7" w:rsidRPr="00C85476" w:rsidRDefault="002B6DB7" w:rsidP="002B6DB7">
            <w:pPr>
              <w:pStyle w:val="TableText"/>
              <w:keepNext/>
              <w:keepLines/>
              <w:numPr>
                <w:ilvl w:val="0"/>
                <w:numId w:val="30"/>
              </w:numPr>
              <w:ind w:left="511" w:hanging="425"/>
            </w:pPr>
            <w:r>
              <w:rPr>
                <w:rFonts w:ascii="Calibri" w:hAnsi="Calibri"/>
                <w:color w:val="000000"/>
                <w:szCs w:val="20"/>
              </w:rPr>
              <w:t>Address a structural failure in the market.</w:t>
            </w:r>
          </w:p>
        </w:tc>
      </w:tr>
      <w:tr w:rsidR="002B6DB7" w:rsidRPr="00C85476" w14:paraId="291DA878"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066D45DB" w14:textId="77777777" w:rsidR="002B6DB7" w:rsidRDefault="002B6DB7" w:rsidP="002B6DB7">
            <w:pPr>
              <w:pStyle w:val="TableText"/>
              <w:keepNext/>
              <w:keepLines/>
              <w:numPr>
                <w:ilvl w:val="0"/>
                <w:numId w:val="30"/>
              </w:numPr>
              <w:ind w:left="511" w:hanging="425"/>
            </w:pPr>
            <w:r>
              <w:rPr>
                <w:rFonts w:ascii="Calibri" w:hAnsi="Calibri"/>
                <w:color w:val="000000"/>
                <w:szCs w:val="20"/>
              </w:rPr>
              <w:t>Address the market inability to deliver a public good.</w:t>
            </w:r>
          </w:p>
        </w:tc>
      </w:tr>
      <w:tr w:rsidR="002B6DB7" w:rsidRPr="00C85476" w14:paraId="0B34C00C"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71D4C920" w14:textId="77777777" w:rsidR="002B6DB7" w:rsidRDefault="002B6DB7" w:rsidP="002B6DB7">
            <w:pPr>
              <w:pStyle w:val="TableText"/>
              <w:keepNext/>
              <w:keepLines/>
              <w:numPr>
                <w:ilvl w:val="0"/>
                <w:numId w:val="30"/>
              </w:numPr>
              <w:ind w:left="511" w:hanging="425"/>
            </w:pPr>
            <w:r>
              <w:rPr>
                <w:rFonts w:ascii="Calibri" w:hAnsi="Calibri"/>
                <w:color w:val="000000"/>
                <w:szCs w:val="20"/>
              </w:rPr>
              <w:t>Address the existence of externalities in the market.</w:t>
            </w:r>
          </w:p>
        </w:tc>
      </w:tr>
      <w:tr w:rsidR="002B6DB7" w:rsidRPr="00C85476" w14:paraId="150B3FB1" w14:textId="77777777" w:rsidTr="00720321">
        <w:trPr>
          <w:trHeight w:val="364"/>
        </w:trPr>
        <w:tc>
          <w:tcPr>
            <w:tcW w:w="8903" w:type="dxa"/>
            <w:tcBorders>
              <w:top w:val="single" w:sz="4" w:space="0" w:color="00B082"/>
              <w:bottom w:val="single" w:sz="4" w:space="0" w:color="00B082"/>
            </w:tcBorders>
            <w:tcMar>
              <w:left w:w="28" w:type="dxa"/>
              <w:right w:w="28" w:type="dxa"/>
            </w:tcMar>
            <w:vAlign w:val="center"/>
          </w:tcPr>
          <w:p w14:paraId="01B843BC" w14:textId="77777777" w:rsidR="002B6DB7" w:rsidRPr="00C85476" w:rsidRDefault="002B6DB7" w:rsidP="002B6DB7">
            <w:pPr>
              <w:pStyle w:val="TableText"/>
              <w:keepNext/>
              <w:keepLines/>
              <w:numPr>
                <w:ilvl w:val="0"/>
                <w:numId w:val="30"/>
              </w:numPr>
              <w:ind w:left="511" w:right="-28" w:hanging="425"/>
            </w:pPr>
            <w:r>
              <w:rPr>
                <w:rFonts w:ascii="Calibri" w:hAnsi="Calibri"/>
                <w:color w:val="000000"/>
                <w:szCs w:val="20"/>
              </w:rPr>
              <w:t>Improve Australian hazardous waste regulation and/or reduced red tape.</w:t>
            </w:r>
          </w:p>
        </w:tc>
      </w:tr>
      <w:tr w:rsidR="002B6DB7" w:rsidRPr="00C85476" w14:paraId="21880C54" w14:textId="77777777" w:rsidTr="00720321">
        <w:trPr>
          <w:trHeight w:val="365"/>
        </w:trPr>
        <w:tc>
          <w:tcPr>
            <w:tcW w:w="8903" w:type="dxa"/>
            <w:tcBorders>
              <w:top w:val="single" w:sz="4" w:space="0" w:color="00B082"/>
              <w:bottom w:val="single" w:sz="4" w:space="0" w:color="00B082"/>
            </w:tcBorders>
            <w:tcMar>
              <w:left w:w="28" w:type="dxa"/>
              <w:right w:w="28" w:type="dxa"/>
            </w:tcMar>
            <w:vAlign w:val="center"/>
          </w:tcPr>
          <w:p w14:paraId="6B972C36" w14:textId="77777777" w:rsidR="002B6DB7" w:rsidRPr="006525A9" w:rsidRDefault="002B6DB7" w:rsidP="002B6DB7">
            <w:pPr>
              <w:pStyle w:val="TableText"/>
              <w:keepNext/>
              <w:keepLines/>
              <w:numPr>
                <w:ilvl w:val="0"/>
                <w:numId w:val="30"/>
              </w:numPr>
              <w:ind w:left="511" w:hanging="425"/>
            </w:pPr>
            <w:r>
              <w:rPr>
                <w:rFonts w:ascii="Calibri" w:hAnsi="Calibri"/>
                <w:color w:val="000000"/>
                <w:szCs w:val="20"/>
              </w:rPr>
              <w:t>Harmonisation with other policy areas and creating a seamless national economy.</w:t>
            </w:r>
          </w:p>
        </w:tc>
      </w:tr>
    </w:tbl>
    <w:p w14:paraId="7B4DBDF7" w14:textId="77777777" w:rsidR="002B6DB7" w:rsidRPr="00C85476" w:rsidRDefault="002B6DB7" w:rsidP="002B6DB7"/>
    <w:p w14:paraId="707DA98F" w14:textId="77777777" w:rsidR="00283712" w:rsidRPr="00C85476" w:rsidRDefault="00283712">
      <w:pPr>
        <w:spacing w:after="0" w:line="240" w:lineRule="auto"/>
      </w:pPr>
      <w:r w:rsidRPr="00C85476">
        <w:br w:type="page"/>
      </w:r>
    </w:p>
    <w:p w14:paraId="1FDEC478" w14:textId="77777777" w:rsidR="00B930D8" w:rsidRPr="00B8329E" w:rsidRDefault="00B930D8" w:rsidP="00B8329E">
      <w:pPr>
        <w:pStyle w:val="Heading1"/>
        <w:rPr>
          <w:lang w:val="en-AU"/>
        </w:rPr>
      </w:pPr>
      <w:bookmarkStart w:id="48" w:name="_Ref423292850"/>
      <w:bookmarkStart w:id="49" w:name="_Ref423294382"/>
      <w:bookmarkStart w:id="50" w:name="_Toc426022031"/>
      <w:r w:rsidRPr="00B8329E">
        <w:rPr>
          <w:lang w:val="en-AU"/>
        </w:rPr>
        <w:lastRenderedPageBreak/>
        <w:t>CONSULTATION OUTCOMES</w:t>
      </w:r>
      <w:bookmarkEnd w:id="48"/>
      <w:bookmarkEnd w:id="49"/>
      <w:r w:rsidR="00B8329E" w:rsidRPr="00B8329E">
        <w:rPr>
          <w:lang w:val="en-AU"/>
        </w:rPr>
        <w:t xml:space="preserve"> – General comments on the package of reform options</w:t>
      </w:r>
      <w:bookmarkEnd w:id="50"/>
    </w:p>
    <w:p w14:paraId="4023EA43" w14:textId="77777777" w:rsidR="003F2DC9" w:rsidRPr="00C85476" w:rsidRDefault="003F2DC9" w:rsidP="00283712">
      <w:r w:rsidRPr="00C85476">
        <w:t xml:space="preserve">The consultation questionnaire was designed to direct stakeholders to provide feedback on </w:t>
      </w:r>
      <w:r w:rsidR="00D72C29">
        <w:t xml:space="preserve">four general questions, as listed in Section </w:t>
      </w:r>
      <w:r w:rsidR="007B2B2A">
        <w:fldChar w:fldCharType="begin"/>
      </w:r>
      <w:r w:rsidR="00705AAE">
        <w:instrText xml:space="preserve"> REF _Ref423099419 \r \h </w:instrText>
      </w:r>
      <w:r w:rsidR="007B2B2A">
        <w:fldChar w:fldCharType="separate"/>
      </w:r>
      <w:r w:rsidR="00C40366">
        <w:t>3.1.1</w:t>
      </w:r>
      <w:r w:rsidR="007B2B2A">
        <w:fldChar w:fldCharType="end"/>
      </w:r>
      <w:r w:rsidR="00D72C29">
        <w:t xml:space="preserve">. </w:t>
      </w:r>
      <w:r w:rsidR="00E93636" w:rsidRPr="00C85476">
        <w:t>The responses to these four questions are provided over the following pages.</w:t>
      </w:r>
    </w:p>
    <w:p w14:paraId="3CDEEECC" w14:textId="77777777" w:rsidR="00283712" w:rsidRPr="00C85476" w:rsidRDefault="00283712" w:rsidP="00B8329E">
      <w:pPr>
        <w:pStyle w:val="Heading2"/>
      </w:pPr>
      <w:bookmarkStart w:id="51" w:name="_Toc426022032"/>
      <w:bookmarkStart w:id="52" w:name="_Ref426022399"/>
      <w:r w:rsidRPr="00C85476">
        <w:t xml:space="preserve">General </w:t>
      </w:r>
      <w:r w:rsidR="00D72C29" w:rsidRPr="00705AAE">
        <w:rPr>
          <w:b/>
        </w:rPr>
        <w:t>support</w:t>
      </w:r>
      <w:r w:rsidRPr="00C85476">
        <w:t xml:space="preserve"> for the package of reform options</w:t>
      </w:r>
      <w:bookmarkEnd w:id="51"/>
      <w:bookmarkEnd w:id="52"/>
    </w:p>
    <w:p w14:paraId="4F7BD582" w14:textId="77777777" w:rsidR="00D72C29" w:rsidRDefault="00D72C29" w:rsidP="00410339">
      <w:r>
        <w:t>This question related to the overall direction of the 16 reform options (the “reform package”).</w:t>
      </w:r>
    </w:p>
    <w:p w14:paraId="5CBACE6A" w14:textId="77777777" w:rsidR="00410339" w:rsidRPr="00C85476" w:rsidRDefault="00D72C29" w:rsidP="00365806">
      <w:pPr>
        <w:spacing w:after="120"/>
      </w:pPr>
      <w:r>
        <w:t>R</w:t>
      </w:r>
      <w:r w:rsidR="00410339" w:rsidRPr="00C85476">
        <w:t xml:space="preserve">espondents were supportive of the </w:t>
      </w:r>
      <w:r>
        <w:t xml:space="preserve">overall direction of the </w:t>
      </w:r>
      <w:r w:rsidR="00410339" w:rsidRPr="00C85476">
        <w:t>reform pa</w:t>
      </w:r>
      <w:r w:rsidR="00503C69">
        <w:t>ckage, although one respondent</w:t>
      </w:r>
      <w:r w:rsidR="00410339" w:rsidRPr="00C85476">
        <w:t xml:space="preserve"> commented that support was conditional on a review of its own legislation. A number of respondents gave reasoning for their support. No clear themes are apparent from these varied comments which included the following:</w:t>
      </w:r>
    </w:p>
    <w:p w14:paraId="058DB1D2" w14:textId="77777777" w:rsidR="00410339" w:rsidRPr="00C85476" w:rsidRDefault="00410339" w:rsidP="005916AC">
      <w:pPr>
        <w:pStyle w:val="BulletPoints"/>
      </w:pPr>
      <w:r w:rsidRPr="00C85476">
        <w:t>Supportive of reforms that requires increased industry involvement (and cost sharing) associated with the recovery and disposal of hazardous waste (</w:t>
      </w:r>
      <w:r w:rsidR="00D21C67">
        <w:t>C</w:t>
      </w:r>
      <w:r w:rsidR="00D56453">
        <w:t>onfidential response</w:t>
      </w:r>
      <w:r w:rsidR="00503C69">
        <w:t>).</w:t>
      </w:r>
    </w:p>
    <w:p w14:paraId="27EB7BB0" w14:textId="77777777" w:rsidR="00410339" w:rsidRPr="00C85476" w:rsidRDefault="00410339" w:rsidP="005916AC">
      <w:pPr>
        <w:pStyle w:val="BulletPoints"/>
      </w:pPr>
      <w:r w:rsidRPr="00C85476">
        <w:t>The reforms are able to deal with waste recovery and disposal at both ends of the supply chain i.e. local and international (Queensland Department of Envir</w:t>
      </w:r>
      <w:r w:rsidR="00503C69">
        <w:t>onment and Heritage Protection).</w:t>
      </w:r>
    </w:p>
    <w:p w14:paraId="0FF4E3D6" w14:textId="77777777" w:rsidR="00410339" w:rsidRPr="00C85476" w:rsidRDefault="00410339" w:rsidP="005916AC">
      <w:pPr>
        <w:pStyle w:val="BulletPoints"/>
      </w:pPr>
      <w:r w:rsidRPr="00C85476">
        <w:t>Simplifies compliance and reduces costs for waste recove</w:t>
      </w:r>
      <w:r w:rsidR="00503C69">
        <w:t>ry (Enirgi Metal Group Pty Ltd).</w:t>
      </w:r>
    </w:p>
    <w:p w14:paraId="40D53480" w14:textId="77777777" w:rsidR="00410339" w:rsidRPr="00C85476" w:rsidRDefault="00410339" w:rsidP="005916AC">
      <w:pPr>
        <w:pStyle w:val="BulletPoints"/>
      </w:pPr>
      <w:r w:rsidRPr="00C85476">
        <w:t xml:space="preserve">Enables Australia to become a leader in the </w:t>
      </w:r>
      <w:r w:rsidR="00C54A96" w:rsidRPr="00C85476">
        <w:t>‘</w:t>
      </w:r>
      <w:r w:rsidRPr="00C85476">
        <w:t>safe and effective processing and treatment of hazardous waste</w:t>
      </w:r>
      <w:r w:rsidR="00C54A96" w:rsidRPr="00C85476">
        <w:t>’</w:t>
      </w:r>
      <w:r w:rsidRPr="00C85476">
        <w:t>. (Veolia</w:t>
      </w:r>
      <w:r w:rsidR="00503C69">
        <w:t xml:space="preserve"> Australia and New Zealand).</w:t>
      </w:r>
    </w:p>
    <w:p w14:paraId="4E4BEF56" w14:textId="77777777" w:rsidR="00410339" w:rsidRPr="00C85476" w:rsidRDefault="00410339" w:rsidP="00705AAE">
      <w:pPr>
        <w:pStyle w:val="BulletPoints"/>
        <w:spacing w:after="240"/>
        <w:ind w:left="1208" w:hanging="357"/>
      </w:pPr>
      <w:r w:rsidRPr="00C85476">
        <w:t xml:space="preserve">Prevents existing legislation from becoming </w:t>
      </w:r>
      <w:r w:rsidR="00C54A96" w:rsidRPr="00C85476">
        <w:t>‘</w:t>
      </w:r>
      <w:r w:rsidRPr="00C85476">
        <w:t>outmoded</w:t>
      </w:r>
      <w:r w:rsidR="00C54A96" w:rsidRPr="00C85476">
        <w:t>’</w:t>
      </w:r>
      <w:r w:rsidRPr="00C85476">
        <w:t xml:space="preserve"> (Dodd &amp; Dodd Group Pty Ltd).</w:t>
      </w:r>
    </w:p>
    <w:p w14:paraId="5229921A" w14:textId="77777777" w:rsidR="00BD0138" w:rsidRPr="00C85476" w:rsidRDefault="00410339" w:rsidP="00365806">
      <w:pPr>
        <w:spacing w:after="120"/>
      </w:pPr>
      <w:r w:rsidRPr="00C85476">
        <w:t>With regard to the successful imp</w:t>
      </w:r>
      <w:r w:rsidR="00503C69">
        <w:t xml:space="preserve">lementation of the reforms, one stakeholder </w:t>
      </w:r>
      <w:r w:rsidRPr="00C85476">
        <w:t xml:space="preserve">indicated </w:t>
      </w:r>
      <w:r w:rsidR="00503C69">
        <w:t xml:space="preserve">that </w:t>
      </w:r>
      <w:r w:rsidRPr="00C85476">
        <w:t>the following would be required</w:t>
      </w:r>
      <w:r w:rsidR="00BD0138">
        <w:t xml:space="preserve"> for successful reform</w:t>
      </w:r>
      <w:r w:rsidRPr="00C85476">
        <w:t>:</w:t>
      </w:r>
    </w:p>
    <w:p w14:paraId="1FD6E3D0" w14:textId="77777777" w:rsidR="00410339" w:rsidRPr="00C85476" w:rsidRDefault="00410339" w:rsidP="00120622">
      <w:pPr>
        <w:pStyle w:val="BulletPoints"/>
      </w:pPr>
      <w:r w:rsidRPr="00C85476">
        <w:t xml:space="preserve">A </w:t>
      </w:r>
      <w:r w:rsidR="00C54A96" w:rsidRPr="00C85476">
        <w:t>‘</w:t>
      </w:r>
      <w:r w:rsidRPr="00C85476">
        <w:t>very long lead-time to get agreement</w:t>
      </w:r>
      <w:r w:rsidR="00C54A96" w:rsidRPr="00C85476">
        <w:t>’</w:t>
      </w:r>
      <w:r w:rsidR="00C85476">
        <w:t>.</w:t>
      </w:r>
    </w:p>
    <w:p w14:paraId="11EE596A" w14:textId="77777777" w:rsidR="00410339" w:rsidRPr="00C85476" w:rsidRDefault="00410339" w:rsidP="005916AC">
      <w:pPr>
        <w:pStyle w:val="BulletPoints"/>
      </w:pPr>
      <w:r w:rsidRPr="00C85476">
        <w:t>That there is a role for the Commonwealth Government to resolve disputes and reduce inf</w:t>
      </w:r>
      <w:r w:rsidR="00C85476">
        <w:t>ormation and capacity gaps.</w:t>
      </w:r>
    </w:p>
    <w:p w14:paraId="7FE8E97B" w14:textId="77777777" w:rsidR="00410339" w:rsidRPr="00C85476" w:rsidRDefault="00410339" w:rsidP="005916AC">
      <w:pPr>
        <w:pStyle w:val="BulletPoints"/>
      </w:pPr>
      <w:r w:rsidRPr="00C85476">
        <w:t>Mechanisms in place to ensure reforms are being implemented and duplication is avoided between jurisdictions.</w:t>
      </w:r>
    </w:p>
    <w:p w14:paraId="255219CF" w14:textId="77777777" w:rsidR="00410339" w:rsidRPr="00C85476" w:rsidRDefault="00410339" w:rsidP="00B8329E">
      <w:pPr>
        <w:pStyle w:val="Heading2"/>
      </w:pPr>
      <w:bookmarkStart w:id="53" w:name="_Toc426022033"/>
      <w:r w:rsidRPr="00C85476">
        <w:lastRenderedPageBreak/>
        <w:t xml:space="preserve">General </w:t>
      </w:r>
      <w:r w:rsidR="00BD0138" w:rsidRPr="00705AAE">
        <w:rPr>
          <w:b/>
        </w:rPr>
        <w:t>non-support</w:t>
      </w:r>
      <w:r w:rsidR="00BD0138" w:rsidRPr="00C85476">
        <w:t xml:space="preserve"> </w:t>
      </w:r>
      <w:r w:rsidRPr="00C85476">
        <w:t>for the package of reform options</w:t>
      </w:r>
      <w:bookmarkEnd w:id="53"/>
    </w:p>
    <w:p w14:paraId="09122E36" w14:textId="05F46DF0" w:rsidR="00BD0138" w:rsidRPr="00C85476" w:rsidRDefault="00BD0138" w:rsidP="00503C69">
      <w:pPr>
        <w:keepNext/>
        <w:keepLines/>
      </w:pPr>
      <w:r>
        <w:t>While r</w:t>
      </w:r>
      <w:r w:rsidRPr="00C85476">
        <w:t xml:space="preserve">espondents were supportive of the </w:t>
      </w:r>
      <w:r>
        <w:t>overall direction of the reform package</w:t>
      </w:r>
      <w:r w:rsidR="00365806">
        <w:t xml:space="preserve"> (see Section </w:t>
      </w:r>
      <w:r w:rsidR="00365806">
        <w:fldChar w:fldCharType="begin"/>
      </w:r>
      <w:r w:rsidR="00365806">
        <w:instrText xml:space="preserve"> REF _Ref426022399 \r \h </w:instrText>
      </w:r>
      <w:r w:rsidR="00365806">
        <w:fldChar w:fldCharType="separate"/>
      </w:r>
      <w:r w:rsidR="00C40366">
        <w:t>4.1</w:t>
      </w:r>
      <w:r w:rsidR="00365806">
        <w:fldChar w:fldCharType="end"/>
      </w:r>
      <w:r w:rsidR="00365806">
        <w:t>)</w:t>
      </w:r>
      <w:r w:rsidR="00410339" w:rsidRPr="00C85476">
        <w:t>, so</w:t>
      </w:r>
      <w:r w:rsidR="00365806">
        <w:t>me outlined particular concerns, t</w:t>
      </w:r>
      <w:r w:rsidR="00D21C67">
        <w:t>hese</w:t>
      </w:r>
      <w:r w:rsidRPr="00C85476">
        <w:t xml:space="preserve"> included:</w:t>
      </w:r>
    </w:p>
    <w:p w14:paraId="19838AD6" w14:textId="77777777" w:rsidR="00BD0138" w:rsidRPr="00C85476" w:rsidRDefault="00BD0138" w:rsidP="00BD0138">
      <w:pPr>
        <w:pStyle w:val="BulletPoints"/>
      </w:pPr>
      <w:r>
        <w:t>T</w:t>
      </w:r>
      <w:r w:rsidRPr="00C85476">
        <w:t>he domestic reforms don’t adequately take into account ‘the complexities and jurisdictional legislation’. There were concerns that a national code may prevent the evolution of jurisdictional codes (West Australian Departme</w:t>
      </w:r>
      <w:r>
        <w:t>nt of Environmental Regulation).</w:t>
      </w:r>
    </w:p>
    <w:p w14:paraId="6671F694" w14:textId="77777777" w:rsidR="00BD0138" w:rsidRPr="00C85476" w:rsidRDefault="00BD0138" w:rsidP="00BD0138">
      <w:pPr>
        <w:pStyle w:val="BulletPoints"/>
      </w:pPr>
      <w:r w:rsidRPr="00C85476">
        <w:t>Need to ensure ha</w:t>
      </w:r>
      <w:r w:rsidR="00D21C67">
        <w:t>rmonisation doesn’t result in ‘lowest common denominator</w:t>
      </w:r>
      <w:r w:rsidRPr="00C85476">
        <w:t xml:space="preserve"> outcomes’ and should be linked to specific waste streams to ‘reduce the complexity of implementation’ (</w:t>
      </w:r>
      <w:r w:rsidR="00D56453">
        <w:t>Confidential response</w:t>
      </w:r>
      <w:r>
        <w:t>)</w:t>
      </w:r>
    </w:p>
    <w:p w14:paraId="3D0D6681" w14:textId="77777777" w:rsidR="00BD0138" w:rsidRPr="00C85476" w:rsidRDefault="00BD0138" w:rsidP="00BD0138">
      <w:pPr>
        <w:pStyle w:val="BulletPoints"/>
        <w:spacing w:after="240"/>
        <w:ind w:left="1208" w:hanging="357"/>
      </w:pPr>
      <w:r>
        <w:t>R</w:t>
      </w:r>
      <w:r w:rsidRPr="00C85476">
        <w:t xml:space="preserve">eforms </w:t>
      </w:r>
      <w:r>
        <w:t xml:space="preserve">should not allow </w:t>
      </w:r>
      <w:r w:rsidRPr="00C85476">
        <w:t>the standards required to manag</w:t>
      </w:r>
      <w:r>
        <w:t>e the export of hazardous waste</w:t>
      </w:r>
      <w:r w:rsidRPr="00C85476">
        <w:t xml:space="preserve"> </w:t>
      </w:r>
      <w:r>
        <w:t xml:space="preserve">to be lowered </w:t>
      </w:r>
      <w:r w:rsidRPr="00C85476">
        <w:t>(</w:t>
      </w:r>
      <w:r w:rsidR="00D05D93">
        <w:t>Confidential response</w:t>
      </w:r>
      <w:r w:rsidRPr="00C85476">
        <w:t>).</w:t>
      </w:r>
    </w:p>
    <w:p w14:paraId="46223B6E" w14:textId="77777777" w:rsidR="00410339" w:rsidRPr="00C85476" w:rsidRDefault="00BD0138" w:rsidP="005916AC">
      <w:pPr>
        <w:pStyle w:val="BulletPoints"/>
      </w:pPr>
      <w:r>
        <w:t>W</w:t>
      </w:r>
      <w:r w:rsidR="00410339" w:rsidRPr="00C85476">
        <w:t>hile national consistency is admirable, it is important to respect state differences e.g. state levies and landfill bans</w:t>
      </w:r>
      <w:r>
        <w:t xml:space="preserve"> (</w:t>
      </w:r>
      <w:r w:rsidRPr="00C85476">
        <w:t>Queensland Department of Environment and Heritage Protection</w:t>
      </w:r>
      <w:r>
        <w:t>).</w:t>
      </w:r>
    </w:p>
    <w:p w14:paraId="2A4EB943" w14:textId="77777777" w:rsidR="00410339" w:rsidRPr="00C85476" w:rsidRDefault="00BD0138" w:rsidP="005916AC">
      <w:pPr>
        <w:pStyle w:val="BulletPoints"/>
      </w:pPr>
      <w:r>
        <w:t xml:space="preserve">Uncertainty with respect to who would </w:t>
      </w:r>
      <w:r w:rsidR="00410339" w:rsidRPr="00C85476">
        <w:t>bear the costs associated with the proposals e.g. costs of reporting and online data tracking</w:t>
      </w:r>
      <w:r>
        <w:t xml:space="preserve"> (</w:t>
      </w:r>
      <w:r w:rsidR="00D56453">
        <w:t>Confidential response</w:t>
      </w:r>
      <w:r>
        <w:t>).</w:t>
      </w:r>
    </w:p>
    <w:p w14:paraId="29261210" w14:textId="77777777" w:rsidR="00410339" w:rsidRPr="00C85476" w:rsidRDefault="00BD0138" w:rsidP="00705AAE">
      <w:pPr>
        <w:pStyle w:val="BulletPoints"/>
        <w:spacing w:after="240"/>
        <w:ind w:left="1208" w:hanging="357"/>
      </w:pPr>
      <w:r>
        <w:t xml:space="preserve">It will be necessary to have an </w:t>
      </w:r>
      <w:r w:rsidRPr="00C85476">
        <w:t xml:space="preserve">increased focus on policing compliance </w:t>
      </w:r>
      <w:r>
        <w:t>(</w:t>
      </w:r>
      <w:r w:rsidR="00410339" w:rsidRPr="00C85476">
        <w:t>Dodd &amp; Dodd Group</w:t>
      </w:r>
      <w:r>
        <w:t>).</w:t>
      </w:r>
    </w:p>
    <w:p w14:paraId="348FB7AB" w14:textId="77777777" w:rsidR="00BD0138" w:rsidRDefault="00410339" w:rsidP="00410339">
      <w:r w:rsidRPr="00C85476">
        <w:t xml:space="preserve">Two respondents were concerned specifically with </w:t>
      </w:r>
      <w:r w:rsidR="00705AAE">
        <w:t>reform o</w:t>
      </w:r>
      <w:r w:rsidRPr="00C85476">
        <w:t xml:space="preserve">ption </w:t>
      </w:r>
      <w:r w:rsidR="00705AAE">
        <w:t>d)</w:t>
      </w:r>
      <w:r w:rsidRPr="00C85476">
        <w:t xml:space="preserve"> </w:t>
      </w:r>
      <w:r w:rsidR="00BD0138">
        <w:t>(</w:t>
      </w:r>
      <w:r w:rsidR="00BD0138" w:rsidRPr="00BD0138">
        <w:t>Adding a capacity to take economic efficiency into account</w:t>
      </w:r>
      <w:r w:rsidR="00BD0138">
        <w:t>)</w:t>
      </w:r>
      <w:r w:rsidRPr="00C85476">
        <w:t xml:space="preserve">. Enirgi Metal Group were </w:t>
      </w:r>
      <w:r w:rsidR="00BD0138">
        <w:t xml:space="preserve">particularly </w:t>
      </w:r>
      <w:r w:rsidRPr="00C85476">
        <w:t>concerned with</w:t>
      </w:r>
      <w:r w:rsidR="00BD0138">
        <w:t>:</w:t>
      </w:r>
    </w:p>
    <w:p w14:paraId="0885FC62" w14:textId="77777777" w:rsidR="00410339" w:rsidRPr="00C85476" w:rsidRDefault="00410339" w:rsidP="00705AAE">
      <w:pPr>
        <w:pStyle w:val="BulletPoints"/>
      </w:pPr>
      <w:r w:rsidRPr="00C85476">
        <w:t xml:space="preserve">the </w:t>
      </w:r>
      <w:r w:rsidR="00C54A96" w:rsidRPr="00C85476">
        <w:t>‘</w:t>
      </w:r>
      <w:r w:rsidRPr="00C85476">
        <w:t>potential for economic distortion, created by government subsidies in overseas jurisdictions, to unfairly influence decisions on hazardous waste management and disposal in Australia.</w:t>
      </w:r>
      <w:r w:rsidR="00C54A96" w:rsidRPr="00C85476">
        <w:t>’</w:t>
      </w:r>
    </w:p>
    <w:p w14:paraId="172FE63D" w14:textId="77777777" w:rsidR="00410339" w:rsidRPr="00C85476" w:rsidRDefault="00410339" w:rsidP="00705AAE">
      <w:pPr>
        <w:pStyle w:val="BulletPoints"/>
      </w:pPr>
      <w:r w:rsidRPr="00C85476">
        <w:t>economic efficiency (or more specifically productive efficiency in this case) should only be a secondary factor in determining Australia’s international obligations on hazardous waste management, since countries can achieve lower costs by having lower environmental performance standards. Enirgi indicated that this was an appropriate argument to support Used Lead Acid Battery processing within Australia as opposed to offshoring Used Lead Acid Battery for recycling and disposal.</w:t>
      </w:r>
    </w:p>
    <w:p w14:paraId="23A07333" w14:textId="77777777" w:rsidR="00410339" w:rsidRPr="00C85476" w:rsidRDefault="00410339" w:rsidP="00B8329E">
      <w:pPr>
        <w:pStyle w:val="Heading2"/>
      </w:pPr>
      <w:bookmarkStart w:id="54" w:name="_Toc426022034"/>
      <w:r w:rsidRPr="00C85476">
        <w:t>Do you think that the package of reform options will result in an increase or decrease in compliance costs for industry?</w:t>
      </w:r>
      <w:bookmarkEnd w:id="54"/>
    </w:p>
    <w:p w14:paraId="5D70387A" w14:textId="77777777" w:rsidR="00410339" w:rsidRPr="00C85476" w:rsidRDefault="00410339" w:rsidP="00410339">
      <w:r w:rsidRPr="00C85476">
        <w:t xml:space="preserve">The majority </w:t>
      </w:r>
      <w:r w:rsidR="00AF14BD">
        <w:t xml:space="preserve">of </w:t>
      </w:r>
      <w:r w:rsidRPr="00C85476">
        <w:t xml:space="preserve">respondents indicated that the reform package would result in an increase in compliance costs for industry. </w:t>
      </w:r>
    </w:p>
    <w:p w14:paraId="35338F11" w14:textId="77777777" w:rsidR="00410339" w:rsidRPr="00C85476" w:rsidRDefault="00410339" w:rsidP="00410339">
      <w:r w:rsidRPr="00C85476">
        <w:t xml:space="preserve">Two respondents (West Australian Department of Environmental Regulation and </w:t>
      </w:r>
      <w:r w:rsidR="00D21C67">
        <w:t>one confidential response</w:t>
      </w:r>
      <w:r w:rsidRPr="00C85476">
        <w:t xml:space="preserve">) indicated that harmonisation of legislation should reduce compliance costs for industry. </w:t>
      </w:r>
    </w:p>
    <w:p w14:paraId="1604447D" w14:textId="6A996549" w:rsidR="00410339" w:rsidRPr="00C85476" w:rsidRDefault="00167D78" w:rsidP="00410339">
      <w:r>
        <w:lastRenderedPageBreak/>
        <w:t xml:space="preserve">However, </w:t>
      </w:r>
      <w:r w:rsidR="00D21C67">
        <w:t>another stakeholder confidentially</w:t>
      </w:r>
      <w:r w:rsidR="00410339" w:rsidRPr="00C85476">
        <w:t xml:space="preserve"> indicated that the costs of regulation are currently being </w:t>
      </w:r>
      <w:r w:rsidR="00C54A96" w:rsidRPr="00C85476">
        <w:t>‘</w:t>
      </w:r>
      <w:r w:rsidR="00410339" w:rsidRPr="00C85476">
        <w:t>borne by Governments and society</w:t>
      </w:r>
      <w:r w:rsidR="00C54A96" w:rsidRPr="00C85476">
        <w:t>’</w:t>
      </w:r>
      <w:r w:rsidR="00410339" w:rsidRPr="00C85476">
        <w:t xml:space="preserve"> and that reforms (i.e. price signals) should result in the </w:t>
      </w:r>
      <w:r w:rsidR="00C54A96" w:rsidRPr="00C85476">
        <w:t>‘</w:t>
      </w:r>
      <w:r w:rsidR="00410339" w:rsidRPr="00C85476">
        <w:t>least cost to society over time.</w:t>
      </w:r>
      <w:r w:rsidR="00C54A96" w:rsidRPr="00C85476">
        <w:t>’</w:t>
      </w:r>
      <w:r w:rsidR="00410339" w:rsidRPr="00C85476">
        <w:t xml:space="preserve"> The Queensland Department of Environment and Heritage Protection was also considering cost recovery from industry as a way of recovering costs.</w:t>
      </w:r>
    </w:p>
    <w:p w14:paraId="3CC42390" w14:textId="77777777" w:rsidR="00410339" w:rsidRPr="00C85476" w:rsidRDefault="00410339" w:rsidP="00410339">
      <w:r w:rsidRPr="00C85476">
        <w:t xml:space="preserve">The South Australian EPA suggested that reforms should be </w:t>
      </w:r>
      <w:r w:rsidR="00C54A96" w:rsidRPr="00C85476">
        <w:t>‘</w:t>
      </w:r>
      <w:r w:rsidRPr="00C85476">
        <w:t>structured and implemented</w:t>
      </w:r>
      <w:r w:rsidR="00C54A96" w:rsidRPr="00C85476">
        <w:t>’</w:t>
      </w:r>
      <w:r w:rsidRPr="00C85476">
        <w:t xml:space="preserve"> to ensure cost neutrality.</w:t>
      </w:r>
    </w:p>
    <w:p w14:paraId="4B950EF9" w14:textId="77777777" w:rsidR="00410339" w:rsidRPr="00C85476" w:rsidRDefault="00410339" w:rsidP="00410339">
      <w:r w:rsidRPr="00C85476">
        <w:t>The Waste Management Association of Australia</w:t>
      </w:r>
      <w:r w:rsidR="00D21C67">
        <w:t xml:space="preserve"> (Queensland Branch)</w:t>
      </w:r>
      <w:r w:rsidRPr="00C85476">
        <w:t xml:space="preserve"> indicated that it was appropriate that exporters of hazardous waste </w:t>
      </w:r>
      <w:r w:rsidR="002B4241">
        <w:t>(</w:t>
      </w:r>
      <w:r w:rsidRPr="00C85476">
        <w:t xml:space="preserve">who benefit from this activity), should bear higher </w:t>
      </w:r>
      <w:r w:rsidR="002B4241" w:rsidRPr="00C85476">
        <w:t xml:space="preserve">compliance </w:t>
      </w:r>
      <w:r w:rsidRPr="00C85476">
        <w:t>cost</w:t>
      </w:r>
      <w:r w:rsidR="002B4241">
        <w:t>s</w:t>
      </w:r>
      <w:r w:rsidRPr="00C85476">
        <w:t>.</w:t>
      </w:r>
    </w:p>
    <w:p w14:paraId="306C411F" w14:textId="77777777" w:rsidR="00410339" w:rsidRPr="00C85476" w:rsidRDefault="00410339" w:rsidP="00410339">
      <w:r w:rsidRPr="00C85476">
        <w:t>Dodd &amp; Dodd Group indicated that it was not clear whether costs would increase or not.</w:t>
      </w:r>
    </w:p>
    <w:p w14:paraId="440B13DC" w14:textId="77777777" w:rsidR="00410339" w:rsidRPr="00C85476" w:rsidRDefault="00410339" w:rsidP="00B8329E">
      <w:pPr>
        <w:pStyle w:val="Heading2"/>
      </w:pPr>
      <w:bookmarkStart w:id="55" w:name="_Toc426022035"/>
      <w:r w:rsidRPr="00C85476">
        <w:t>Do you think that the package of reform options will result in some benefits, and if so what sort? (e.g. financial, social or environmental)</w:t>
      </w:r>
      <w:bookmarkEnd w:id="55"/>
    </w:p>
    <w:p w14:paraId="7805B157" w14:textId="77777777" w:rsidR="00410339" w:rsidRPr="00C85476" w:rsidRDefault="00410339" w:rsidP="00410339">
      <w:r w:rsidRPr="00C85476">
        <w:t>Some respondents indicated that there would be benefits associated with the reform package.</w:t>
      </w:r>
    </w:p>
    <w:p w14:paraId="0D714F52" w14:textId="77777777" w:rsidR="00410339" w:rsidRPr="00C85476" w:rsidRDefault="00D21C67" w:rsidP="00410339">
      <w:r>
        <w:t>One stakeholder</w:t>
      </w:r>
      <w:r w:rsidR="00410339" w:rsidRPr="00C85476">
        <w:t xml:space="preserve"> indicated that the reforms could provide </w:t>
      </w:r>
      <w:r w:rsidR="00C54A96" w:rsidRPr="00C85476">
        <w:t>‘</w:t>
      </w:r>
      <w:r w:rsidR="00410339" w:rsidRPr="00C85476">
        <w:t>environmental, social and economic benefits.</w:t>
      </w:r>
      <w:r w:rsidR="00C54A96" w:rsidRPr="00C85476">
        <w:t>’</w:t>
      </w:r>
      <w:r w:rsidR="00410339" w:rsidRPr="00C85476">
        <w:t xml:space="preserve"> Environmental benefits included recycling of materials and reduced emissions over product life cycle. Social benefits included increased jobs in recycling and HSE quality assurance to ensure workers in those industries are not exploited or work in unsafe environments. Economic benefits included price signals that incorporate environmental externalities, which should result in reduced costs to society in the future.</w:t>
      </w:r>
    </w:p>
    <w:p w14:paraId="4EFCA1E1" w14:textId="77777777" w:rsidR="00410339" w:rsidRPr="00C85476" w:rsidRDefault="00410339" w:rsidP="00410339">
      <w:r w:rsidRPr="00C85476">
        <w:t xml:space="preserve">The Queensland Department of Environment and Heritage Protection indicated that benefits should result from </w:t>
      </w:r>
      <w:r w:rsidR="00C54A96" w:rsidRPr="00C85476">
        <w:t>‘</w:t>
      </w:r>
      <w:r w:rsidRPr="00C85476">
        <w:t>better monitoring and tracking of wastes movements and exports.</w:t>
      </w:r>
      <w:r w:rsidR="00C54A96" w:rsidRPr="00C85476">
        <w:t>’</w:t>
      </w:r>
    </w:p>
    <w:p w14:paraId="4CDB0B34" w14:textId="77777777" w:rsidR="00410339" w:rsidRPr="00C85476" w:rsidRDefault="00410339" w:rsidP="00410339">
      <w:r w:rsidRPr="00C85476">
        <w:t xml:space="preserve">The West Australian Department of Environmental Regulation indicated that there should be an </w:t>
      </w:r>
      <w:r w:rsidR="00C54A96" w:rsidRPr="00C85476">
        <w:t>‘</w:t>
      </w:r>
      <w:r w:rsidRPr="00C85476">
        <w:t>environmental benefit, but there are elements that may not meet this objective.</w:t>
      </w:r>
      <w:r w:rsidR="00C54A96" w:rsidRPr="00C85476">
        <w:t>’</w:t>
      </w:r>
    </w:p>
    <w:p w14:paraId="0A49BB43" w14:textId="3826B677" w:rsidR="00410339" w:rsidRPr="00C85476" w:rsidRDefault="00D21C67" w:rsidP="00410339">
      <w:r>
        <w:t>A government stakeholder confidentially stated</w:t>
      </w:r>
      <w:r w:rsidR="00410339" w:rsidRPr="00C85476">
        <w:t xml:space="preserve"> that benefits should arise from an increased ability to meet international obligations (e.g. reporting and effective management) and that environmental and economic benefits should also arise from price signals helping to reduce the amount of hazardous waste produced and transported.</w:t>
      </w:r>
    </w:p>
    <w:p w14:paraId="49A1A5FF" w14:textId="77777777" w:rsidR="00410339" w:rsidRPr="00C85476" w:rsidRDefault="00410339" w:rsidP="00410339">
      <w:r w:rsidRPr="00C85476">
        <w:t>The Q</w:t>
      </w:r>
      <w:r w:rsidR="002B4241">
        <w:t xml:space="preserve">ueensland </w:t>
      </w:r>
      <w:r w:rsidRPr="00C85476">
        <w:t>Branch of WMAA indicated that the above benefits will only be realised through strong regulation and enforcement.</w:t>
      </w:r>
    </w:p>
    <w:p w14:paraId="596A0B5D" w14:textId="77777777" w:rsidR="00410339" w:rsidRPr="00C85476" w:rsidRDefault="00410339" w:rsidP="00410339">
      <w:r w:rsidRPr="00C85476">
        <w:t>Dodd &amp; Dodd Group Pty Ltd believe that the environmental benefits of the reform package will be large, while the financial benefits will be smaller. Positive attitudes towards recycling will help provide social benefits.</w:t>
      </w:r>
    </w:p>
    <w:p w14:paraId="5442E5EC" w14:textId="77777777" w:rsidR="00410339" w:rsidRPr="00C85476" w:rsidRDefault="00410339" w:rsidP="00410339">
      <w:r w:rsidRPr="00C85476">
        <w:t>Veolia Australia and New Zealand emphasised that investment in hazardous waste treatment will provide economic benefits through job creation.</w:t>
      </w:r>
    </w:p>
    <w:p w14:paraId="257B613B" w14:textId="77777777" w:rsidR="00B8329E" w:rsidRDefault="00B8329E" w:rsidP="00B8329E">
      <w:bookmarkStart w:id="56" w:name="_Ref417995506"/>
      <w:bookmarkStart w:id="57" w:name="_Toc420568927"/>
    </w:p>
    <w:p w14:paraId="094DEDC0" w14:textId="77777777" w:rsidR="00B8329E" w:rsidRDefault="00B8329E" w:rsidP="00B8329E">
      <w:pPr>
        <w:rPr>
          <w:lang w:val="en-US"/>
        </w:rPr>
      </w:pPr>
      <w:r>
        <w:br w:type="page"/>
      </w:r>
    </w:p>
    <w:p w14:paraId="0DA6A603" w14:textId="77777777" w:rsidR="00283712" w:rsidRPr="00C85476" w:rsidRDefault="00451197" w:rsidP="00B8329E">
      <w:pPr>
        <w:pStyle w:val="Heading1"/>
      </w:pPr>
      <w:bookmarkStart w:id="58" w:name="_Toc426022036"/>
      <w:r>
        <w:lastRenderedPageBreak/>
        <w:t xml:space="preserve">CONSULTATION OUTCOMES </w:t>
      </w:r>
      <w:r w:rsidR="00551F05">
        <w:t>– THEME 1:</w:t>
      </w:r>
      <w:r w:rsidR="00E522C1" w:rsidRPr="00C85476">
        <w:t xml:space="preserve"> </w:t>
      </w:r>
      <w:r w:rsidR="00283712" w:rsidRPr="00C85476">
        <w:t>International movements of hazardous wastes</w:t>
      </w:r>
      <w:bookmarkEnd w:id="56"/>
      <w:bookmarkEnd w:id="57"/>
      <w:bookmarkEnd w:id="58"/>
    </w:p>
    <w:p w14:paraId="4D3B6A9A" w14:textId="77777777" w:rsidR="00283712" w:rsidRPr="00C85476" w:rsidRDefault="00CB226A" w:rsidP="001D01D3">
      <w:pPr>
        <w:keepNext/>
        <w:keepLines/>
      </w:pPr>
      <w:r w:rsidRPr="00C85476">
        <w:t xml:space="preserve">Provided in this section of the report are the assessment and stakeholder consultation outcomes for reform options </w:t>
      </w:r>
      <w:r w:rsidR="007643FC">
        <w:t xml:space="preserve">a) to f) </w:t>
      </w:r>
      <w:r w:rsidRPr="00C85476">
        <w:t>that relate to international movements of hazardous wastes.</w:t>
      </w:r>
    </w:p>
    <w:p w14:paraId="7B75618B" w14:textId="77777777" w:rsidR="00E358EA" w:rsidRPr="00C85476" w:rsidRDefault="00451197" w:rsidP="00B8329E">
      <w:pPr>
        <w:pStyle w:val="Heading2"/>
      </w:pPr>
      <w:bookmarkStart w:id="59" w:name="_Toc426022037"/>
      <w:r>
        <w:t xml:space="preserve">Option a) </w:t>
      </w:r>
      <w:r w:rsidR="00E358EA" w:rsidRPr="00C85476">
        <w:t>Power to require provision of information</w:t>
      </w:r>
      <w:bookmarkEnd w:id="59"/>
    </w:p>
    <w:p w14:paraId="612C1C43" w14:textId="77777777" w:rsidR="002B4241" w:rsidRDefault="005D7C22" w:rsidP="00551F05">
      <w:pPr>
        <w:pStyle w:val="Heading4"/>
      </w:pPr>
      <w:r w:rsidRPr="00C85476">
        <w:t xml:space="preserve">Reform option description </w:t>
      </w:r>
    </w:p>
    <w:p w14:paraId="74451F76" w14:textId="77777777" w:rsidR="00E358EA" w:rsidRPr="00A92254" w:rsidRDefault="002B4241" w:rsidP="00A92254">
      <w:pPr>
        <w:rPr>
          <w:i/>
        </w:rPr>
      </w:pPr>
      <w:r w:rsidRPr="00A92254">
        <w:rPr>
          <w:i/>
        </w:rPr>
        <w:t>Adding in (consistent with Customs regulation) a power to require the provision of information where needed to prevent breaches of the Act.</w:t>
      </w:r>
    </w:p>
    <w:p w14:paraId="1AD4EC01" w14:textId="77777777" w:rsidR="002B4241" w:rsidRPr="00DF210D" w:rsidRDefault="002B4241" w:rsidP="00551F05">
      <w:pPr>
        <w:pStyle w:val="Heading4"/>
      </w:pPr>
      <w:r>
        <w:t>C</w:t>
      </w:r>
      <w:r w:rsidRPr="00C85476">
        <w:t>ontext</w:t>
      </w:r>
    </w:p>
    <w:p w14:paraId="756E98D5" w14:textId="1CB3F776" w:rsidR="000816FC" w:rsidRPr="00C85476" w:rsidRDefault="000816FC" w:rsidP="00E358EA">
      <w:r w:rsidRPr="00C85476">
        <w:t>This option is driven by the concern</w:t>
      </w:r>
      <w:r w:rsidR="0008448A" w:rsidRPr="00C85476">
        <w:t xml:space="preserve"> that t</w:t>
      </w:r>
      <w:r w:rsidR="00E358EA" w:rsidRPr="00C85476">
        <w:t xml:space="preserve">he </w:t>
      </w:r>
      <w:r w:rsidR="00C54A96" w:rsidRPr="00C85476">
        <w:t>‘</w:t>
      </w:r>
      <w:r w:rsidR="00E358EA" w:rsidRPr="00C85476">
        <w:t>Act’s information gathering and compliance powers have deficiencies</w:t>
      </w:r>
      <w:r w:rsidR="0008448A" w:rsidRPr="00C85476">
        <w:t>.</w:t>
      </w:r>
      <w:r w:rsidR="00E358EA" w:rsidRPr="00C85476">
        <w:t xml:space="preserve"> This makes it more difficult to inve</w:t>
      </w:r>
      <w:r w:rsidR="0008448A" w:rsidRPr="00C85476">
        <w:t>stigate and prosecute offenders</w:t>
      </w:r>
      <w:r w:rsidR="00C54A96" w:rsidRPr="00C85476">
        <w:t>’</w:t>
      </w:r>
      <w:r w:rsidR="0008448A" w:rsidRPr="00C85476">
        <w:t xml:space="preserve"> </w:t>
      </w:r>
      <w:sdt>
        <w:sdtPr>
          <w:id w:val="565458771"/>
          <w:citation/>
        </w:sdtPr>
        <w:sdtEndPr/>
        <w:sdtContent>
          <w:r w:rsidR="007B2B2A" w:rsidRPr="00C85476">
            <w:fldChar w:fldCharType="begin"/>
          </w:r>
          <w:r w:rsidR="00575421">
            <w:instrText xml:space="preserve">CITATION Dep13 \p 35 \l 3081 </w:instrText>
          </w:r>
          <w:r w:rsidR="007B2B2A" w:rsidRPr="00C85476">
            <w:fldChar w:fldCharType="separate"/>
          </w:r>
          <w:r w:rsidR="001F6F42">
            <w:rPr>
              <w:noProof/>
            </w:rPr>
            <w:t>(DoE, 2012, p. 35)</w:t>
          </w:r>
          <w:r w:rsidR="007B2B2A" w:rsidRPr="00C85476">
            <w:fldChar w:fldCharType="end"/>
          </w:r>
        </w:sdtContent>
      </w:sdt>
      <w:r w:rsidR="0008448A" w:rsidRPr="00C85476">
        <w:t>.</w:t>
      </w:r>
      <w:r w:rsidRPr="00C85476">
        <w:t xml:space="preserve"> With specific regard to this reform option, the Department of the Environment </w:t>
      </w:r>
      <w:sdt>
        <w:sdtPr>
          <w:id w:val="827252380"/>
          <w:citation/>
        </w:sdtPr>
        <w:sdtEndPr/>
        <w:sdtContent>
          <w:r w:rsidR="007B2B2A" w:rsidRPr="00C85476">
            <w:fldChar w:fldCharType="begin"/>
          </w:r>
          <w:r w:rsidR="00575421">
            <w:instrText xml:space="preserve">CITATION Dep13 \p 35 \l 3081 </w:instrText>
          </w:r>
          <w:r w:rsidR="007B2B2A" w:rsidRPr="00C85476">
            <w:fldChar w:fldCharType="separate"/>
          </w:r>
          <w:r w:rsidR="001F6F42">
            <w:rPr>
              <w:noProof/>
            </w:rPr>
            <w:t>(DoE, 2012, p. 35)</w:t>
          </w:r>
          <w:r w:rsidR="007B2B2A" w:rsidRPr="00C85476">
            <w:fldChar w:fldCharType="end"/>
          </w:r>
        </w:sdtContent>
      </w:sdt>
      <w:r w:rsidRPr="00C85476">
        <w:t xml:space="preserve"> report states that:</w:t>
      </w:r>
    </w:p>
    <w:p w14:paraId="2EEA259B" w14:textId="77777777" w:rsidR="000816FC" w:rsidRPr="00C85476" w:rsidRDefault="000816FC" w:rsidP="000816FC">
      <w:pPr>
        <w:ind w:left="567" w:right="567"/>
        <w:rPr>
          <w:i/>
          <w:sz w:val="20"/>
        </w:rPr>
      </w:pPr>
      <w:r w:rsidRPr="00C85476">
        <w:rPr>
          <w:i/>
          <w:sz w:val="20"/>
        </w:rPr>
        <w:t>Unlike more modern legislation, the Act does not allow the Minister to require a person to provide information or documents where the Minister reasonably believes this would assist in investigating or preventing a breach of the Act.</w:t>
      </w:r>
    </w:p>
    <w:p w14:paraId="67B17975" w14:textId="77777777" w:rsidR="00E358EA" w:rsidRPr="00C85476" w:rsidRDefault="000816FC" w:rsidP="00E358EA">
      <w:r w:rsidRPr="00C85476">
        <w:t>On a related note,</w:t>
      </w:r>
      <w:r w:rsidR="0008448A" w:rsidRPr="00C85476">
        <w:t xml:space="preserve"> </w:t>
      </w:r>
      <w:r w:rsidRPr="00C85476">
        <w:t>t</w:t>
      </w:r>
      <w:r w:rsidR="00E358EA" w:rsidRPr="00C85476">
        <w:t xml:space="preserve">he Act </w:t>
      </w:r>
      <w:r w:rsidR="0008448A" w:rsidRPr="00C85476">
        <w:t>allows that seized</w:t>
      </w:r>
      <w:r w:rsidR="00E358EA" w:rsidRPr="00C85476">
        <w:t xml:space="preserve"> evidence may be retained for 60 days, </w:t>
      </w:r>
      <w:r w:rsidR="0008448A" w:rsidRPr="00C85476">
        <w:t>unless</w:t>
      </w:r>
      <w:r w:rsidR="00E358EA" w:rsidRPr="00C85476">
        <w:t xml:space="preserve"> a prosecution is instituted within that period.</w:t>
      </w:r>
      <w:r w:rsidRPr="00C85476">
        <w:t xml:space="preserve"> This period may be too short for the required preliminary investigations.</w:t>
      </w:r>
    </w:p>
    <w:p w14:paraId="1E8D68A7" w14:textId="77777777" w:rsidR="00E358EA" w:rsidRPr="00C85476" w:rsidRDefault="00E358EA" w:rsidP="00551F05">
      <w:pPr>
        <w:pStyle w:val="Heading4"/>
      </w:pPr>
      <w:r w:rsidRPr="00C85476">
        <w:t>Reform option regulatory status</w:t>
      </w:r>
    </w:p>
    <w:p w14:paraId="31F49EC4" w14:textId="77777777" w:rsidR="00E358EA" w:rsidRPr="00C85476" w:rsidRDefault="000816FC" w:rsidP="00E358EA">
      <w:r w:rsidRPr="00C85476">
        <w:t>This is a legislated reform option.</w:t>
      </w:r>
    </w:p>
    <w:p w14:paraId="107BA5B7" w14:textId="77777777" w:rsidR="00E358EA" w:rsidRPr="00C85476" w:rsidRDefault="00E358EA" w:rsidP="00551F05">
      <w:pPr>
        <w:pStyle w:val="Heading4"/>
      </w:pPr>
      <w:r w:rsidRPr="00C85476">
        <w:t>Reform option purpose</w:t>
      </w:r>
    </w:p>
    <w:p w14:paraId="72910F28" w14:textId="77777777" w:rsidR="00E358EA" w:rsidRPr="00C85476" w:rsidRDefault="00EA12A9" w:rsidP="00E358EA">
      <w:r w:rsidRPr="00C85476">
        <w:t>Correct an information gap or asymmetry</w:t>
      </w:r>
      <w:r w:rsidR="0002401F" w:rsidRPr="00C85476">
        <w:t>.</w:t>
      </w:r>
    </w:p>
    <w:p w14:paraId="41FF5BC8" w14:textId="77777777" w:rsidR="007A68DE" w:rsidRPr="00C85476" w:rsidRDefault="007A68DE" w:rsidP="00551F05">
      <w:pPr>
        <w:pStyle w:val="Heading4"/>
      </w:pPr>
      <w:r w:rsidRPr="00C85476">
        <w:t>Stakeholder feedback</w:t>
      </w:r>
    </w:p>
    <w:p w14:paraId="7C70D102" w14:textId="77777777" w:rsidR="00072192" w:rsidRPr="00C85476" w:rsidRDefault="00EA12A9" w:rsidP="00072192">
      <w:r w:rsidRPr="00C85476">
        <w:t xml:space="preserve">This reform option was supported by </w:t>
      </w:r>
      <w:r w:rsidR="008A3EDF">
        <w:t>all six</w:t>
      </w:r>
      <w:r w:rsidRPr="00C85476">
        <w:t xml:space="preserve"> of the stakeholders that commented on it.</w:t>
      </w:r>
      <w:r w:rsidR="00AB41A2" w:rsidRPr="00C85476">
        <w:t xml:space="preserve"> </w:t>
      </w:r>
      <w:r w:rsidR="00072192" w:rsidRPr="00C85476">
        <w:t>Comments in support of this reform option included:</w:t>
      </w:r>
    </w:p>
    <w:p w14:paraId="0F0F3343" w14:textId="77777777" w:rsidR="00072192" w:rsidRPr="00C85476" w:rsidRDefault="00072192" w:rsidP="00072192">
      <w:pPr>
        <w:pStyle w:val="BulletPoints"/>
      </w:pPr>
      <w:r w:rsidRPr="00C85476">
        <w:t>If</w:t>
      </w:r>
      <w:r w:rsidR="00EA12A9" w:rsidRPr="00C85476">
        <w:t xml:space="preserve"> information is required for the purposes of obtaining evidence of breaches of the Act, or ascertaining whether a material is hazardous or not, then these powers should be broader, such that documents from the top of the supply-chain could be obtained, i.e. from original waste producers, should they be (knowingly or unknowingly) using 3</w:t>
      </w:r>
      <w:r w:rsidR="00EA12A9" w:rsidRPr="00C85476">
        <w:rPr>
          <w:vertAlign w:val="superscript"/>
        </w:rPr>
        <w:t>r</w:t>
      </w:r>
      <w:r w:rsidRPr="00C85476">
        <w:rPr>
          <w:vertAlign w:val="superscript"/>
        </w:rPr>
        <w:t>d</w:t>
      </w:r>
      <w:r w:rsidRPr="00C85476">
        <w:t xml:space="preserve"> parties to export their waste (</w:t>
      </w:r>
      <w:r w:rsidR="00D56453">
        <w:t>Confidential response</w:t>
      </w:r>
      <w:r w:rsidRPr="00C85476">
        <w:t>).</w:t>
      </w:r>
    </w:p>
    <w:p w14:paraId="552E5CCB" w14:textId="77777777" w:rsidR="00EA12A9" w:rsidRPr="00C85476" w:rsidRDefault="00072192" w:rsidP="00072192">
      <w:pPr>
        <w:pStyle w:val="BulletPoints"/>
        <w:spacing w:after="240"/>
        <w:ind w:left="1208" w:hanging="357"/>
      </w:pPr>
      <w:r w:rsidRPr="00C85476">
        <w:lastRenderedPageBreak/>
        <w:t>Agree</w:t>
      </w:r>
      <w:r w:rsidR="00EA12A9" w:rsidRPr="00C85476">
        <w:t xml:space="preserve"> whole heartedly </w:t>
      </w:r>
      <w:r w:rsidR="00705AAE">
        <w:t>–</w:t>
      </w:r>
      <w:r w:rsidR="00EA12A9" w:rsidRPr="00C85476">
        <w:t xml:space="preserve"> but it needs enforcement to be useful</w:t>
      </w:r>
      <w:r w:rsidRPr="00C85476">
        <w:t xml:space="preserve"> (Dodd &amp; Dodd Group).</w:t>
      </w:r>
    </w:p>
    <w:p w14:paraId="6EAAAE36" w14:textId="77777777" w:rsidR="006C40C9" w:rsidRPr="00C85476" w:rsidRDefault="006C40C9" w:rsidP="00551F05">
      <w:pPr>
        <w:pStyle w:val="Heading4"/>
      </w:pPr>
      <w:r w:rsidRPr="00C85476">
        <w:t>Barriers and implementation timeframe</w:t>
      </w:r>
    </w:p>
    <w:p w14:paraId="24EA3EFC" w14:textId="77777777" w:rsidR="006C40C9" w:rsidRPr="00C85476" w:rsidRDefault="006C40C9" w:rsidP="006C40C9">
      <w:r w:rsidRPr="00C85476">
        <w:t>No specific significant potential barriers raised to the adoption of this option.</w:t>
      </w:r>
    </w:p>
    <w:p w14:paraId="497F1CA4" w14:textId="77777777" w:rsidR="005D26EC" w:rsidRPr="00C85476" w:rsidRDefault="005D26EC" w:rsidP="005D26EC">
      <w:r w:rsidRPr="00C85476">
        <w:t xml:space="preserve">Only </w:t>
      </w:r>
      <w:r w:rsidR="00AB41A2" w:rsidRPr="00C85476">
        <w:t xml:space="preserve">one stakeholder proposed phase in periods for the reform option. </w:t>
      </w:r>
      <w:r w:rsidRPr="00C85476">
        <w:t>Dodd &amp; Dodd proposed advanced warning and implementation timeframes</w:t>
      </w:r>
      <w:r w:rsidR="00AB41A2" w:rsidRPr="00C85476">
        <w:t xml:space="preserve"> of </w:t>
      </w:r>
      <w:r w:rsidR="00EA12A9" w:rsidRPr="00C85476">
        <w:t>3</w:t>
      </w:r>
      <w:r w:rsidR="007643FC">
        <w:t xml:space="preserve"> to </w:t>
      </w:r>
      <w:r w:rsidR="00EA12A9" w:rsidRPr="00C85476">
        <w:t>6 months</w:t>
      </w:r>
      <w:r w:rsidR="00AB41A2" w:rsidRPr="00C85476">
        <w:t xml:space="preserve"> each</w:t>
      </w:r>
      <w:r w:rsidRPr="00C85476">
        <w:t>.</w:t>
      </w:r>
    </w:p>
    <w:p w14:paraId="2C7AAA47" w14:textId="77777777" w:rsidR="00E358EA" w:rsidRPr="00C85476" w:rsidRDefault="00E358EA" w:rsidP="00551F05">
      <w:pPr>
        <w:pStyle w:val="Heading4"/>
      </w:pPr>
      <w:r w:rsidRPr="00C85476">
        <w:t>Recommendation</w:t>
      </w:r>
    </w:p>
    <w:p w14:paraId="78E33271" w14:textId="77777777" w:rsidR="00E358EA" w:rsidRPr="00C85476" w:rsidRDefault="00CC2B6E" w:rsidP="00E358EA">
      <w:r w:rsidRPr="00C85476">
        <w:t xml:space="preserve">It is recommended that </w:t>
      </w:r>
      <w:r w:rsidR="007F1AC8">
        <w:t>this reform option be</w:t>
      </w:r>
      <w:r w:rsidR="005C36B7">
        <w:t xml:space="preserve"> </w:t>
      </w:r>
      <w:r w:rsidR="00724DDC">
        <w:t xml:space="preserve">assessed </w:t>
      </w:r>
      <w:r w:rsidR="00724DDC" w:rsidRPr="00C85476">
        <w:t>in</w:t>
      </w:r>
      <w:r w:rsidR="005D26EC" w:rsidRPr="00C85476">
        <w:t xml:space="preserve"> the cost-benefit analysis.</w:t>
      </w:r>
    </w:p>
    <w:p w14:paraId="3F131249" w14:textId="77777777" w:rsidR="00E358EA" w:rsidRPr="00C85476" w:rsidRDefault="00451197" w:rsidP="00B8329E">
      <w:pPr>
        <w:pStyle w:val="Heading2"/>
      </w:pPr>
      <w:bookmarkStart w:id="60" w:name="_Toc426022038"/>
      <w:r>
        <w:t xml:space="preserve">Option </w:t>
      </w:r>
      <w:r w:rsidR="000647FA">
        <w:t>b) Recognise bans imposed by other countries</w:t>
      </w:r>
      <w:bookmarkEnd w:id="60"/>
    </w:p>
    <w:p w14:paraId="59B15076" w14:textId="77777777" w:rsidR="002B4241" w:rsidRPr="00DF210D" w:rsidRDefault="002B4241" w:rsidP="00551F05">
      <w:pPr>
        <w:pStyle w:val="Heading4"/>
      </w:pPr>
      <w:r w:rsidRPr="00C85476">
        <w:t>Reform option description</w:t>
      </w:r>
    </w:p>
    <w:p w14:paraId="0268A5D3" w14:textId="77777777" w:rsidR="002B4241" w:rsidRPr="00705AAE" w:rsidRDefault="002B4241" w:rsidP="00AB41A2">
      <w:pPr>
        <w:rPr>
          <w:i/>
        </w:rPr>
      </w:pPr>
      <w:r w:rsidRPr="00705AAE">
        <w:rPr>
          <w:i/>
        </w:rPr>
        <w:t>Capacity to recognise bans imposed by other countries on hazardous waste imports.</w:t>
      </w:r>
    </w:p>
    <w:p w14:paraId="03AE32CC" w14:textId="77777777" w:rsidR="007643FC" w:rsidRDefault="007643FC" w:rsidP="00551F05">
      <w:pPr>
        <w:pStyle w:val="Heading4"/>
      </w:pPr>
      <w:r>
        <w:t>Context</w:t>
      </w:r>
    </w:p>
    <w:p w14:paraId="4CDF76DB" w14:textId="77777777" w:rsidR="00AB7F51" w:rsidRDefault="007643FC" w:rsidP="00705AAE">
      <w:r>
        <w:t xml:space="preserve">Some nations place </w:t>
      </w:r>
      <w:r w:rsidRPr="00705AAE">
        <w:t>bans on the importation of hazardous waste imports into the</w:t>
      </w:r>
      <w:r w:rsidR="003E0657">
        <w:t>i</w:t>
      </w:r>
      <w:r w:rsidR="003E0657" w:rsidRPr="00120622">
        <w:t>r</w:t>
      </w:r>
      <w:r w:rsidRPr="00705AAE">
        <w:t xml:space="preserve"> countries.</w:t>
      </w:r>
      <w:r w:rsidR="003E0657" w:rsidRPr="003E0657">
        <w:t xml:space="preserve"> </w:t>
      </w:r>
      <w:r w:rsidR="003E0657">
        <w:t xml:space="preserve">The Act does not provide a mechanism </w:t>
      </w:r>
      <w:r w:rsidR="003E0657" w:rsidRPr="00C85476">
        <w:t xml:space="preserve">for accepting </w:t>
      </w:r>
      <w:r w:rsidR="003E0657">
        <w:t xml:space="preserve">and acting on these </w:t>
      </w:r>
      <w:r w:rsidR="003E0657" w:rsidRPr="00C85476">
        <w:t>bans</w:t>
      </w:r>
      <w:r w:rsidR="006D5736">
        <w:t xml:space="preserve">, and so </w:t>
      </w:r>
      <w:r w:rsidR="002A0478">
        <w:t xml:space="preserve">does not </w:t>
      </w:r>
      <w:r w:rsidR="006D5736">
        <w:t>prevent Australian hazardous waste being shipped to these countries, where the status upon arrival may be illegal acceptance or refusal to accept the shipment.</w:t>
      </w:r>
    </w:p>
    <w:p w14:paraId="34F3996B" w14:textId="77777777" w:rsidR="006F26E7" w:rsidRDefault="00AB7F51" w:rsidP="00705AAE">
      <w:r>
        <w:t xml:space="preserve">This mechanism will be of relevance to the </w:t>
      </w:r>
      <w:r w:rsidRPr="00AB7F51">
        <w:t xml:space="preserve">situation where a country has banned the import of a </w:t>
      </w:r>
      <w:r>
        <w:t xml:space="preserve">hazardous </w:t>
      </w:r>
      <w:r w:rsidRPr="00AB7F51">
        <w:t>waste</w:t>
      </w:r>
      <w:r>
        <w:t xml:space="preserve"> and has not informed the Basel Convention of this listing. This issue </w:t>
      </w:r>
      <w:r w:rsidR="006D5736">
        <w:t xml:space="preserve">particularly </w:t>
      </w:r>
      <w:r>
        <w:t xml:space="preserve">relates to hazardous wastes that are not </w:t>
      </w:r>
      <w:r w:rsidRPr="00AB7F51">
        <w:t xml:space="preserve">listed under </w:t>
      </w:r>
      <w:r>
        <w:t xml:space="preserve">the </w:t>
      </w:r>
      <w:r w:rsidRPr="00AB7F51">
        <w:t>Basel</w:t>
      </w:r>
      <w:r>
        <w:t xml:space="preserve"> Convention,</w:t>
      </w:r>
      <w:r w:rsidRPr="00AB7F51">
        <w:t xml:space="preserve"> or </w:t>
      </w:r>
      <w:r w:rsidR="006F26E7">
        <w:t xml:space="preserve">are not </w:t>
      </w:r>
      <w:r w:rsidRPr="00AB7F51">
        <w:t>listed by Australia as hazardous</w:t>
      </w:r>
      <w:r>
        <w:t>.</w:t>
      </w:r>
    </w:p>
    <w:p w14:paraId="33DF899D" w14:textId="00516A61" w:rsidR="007643FC" w:rsidRPr="00120622" w:rsidRDefault="006D5736" w:rsidP="00705AAE">
      <w:r>
        <w:t>Enabling this reform option could include informing a</w:t>
      </w:r>
      <w:r w:rsidR="00AB7F51" w:rsidRPr="00AB7F51">
        <w:t xml:space="preserve"> potential exporter </w:t>
      </w:r>
      <w:r>
        <w:t>of</w:t>
      </w:r>
      <w:r w:rsidR="00AB7F51" w:rsidRPr="00AB7F51">
        <w:t xml:space="preserve"> </w:t>
      </w:r>
      <w:r>
        <w:t xml:space="preserve">(non-Basel) </w:t>
      </w:r>
      <w:r w:rsidR="00AB7F51" w:rsidRPr="00AB7F51">
        <w:t>permit</w:t>
      </w:r>
      <w:r>
        <w:t xml:space="preserve"> requirements</w:t>
      </w:r>
      <w:r w:rsidR="00AB7F51" w:rsidRPr="00AB7F51">
        <w:t xml:space="preserve">, </w:t>
      </w:r>
      <w:r>
        <w:t xml:space="preserve">and </w:t>
      </w:r>
      <w:r w:rsidR="00AB7F51" w:rsidRPr="00AB7F51">
        <w:t>notify</w:t>
      </w:r>
      <w:r>
        <w:t>ing</w:t>
      </w:r>
      <w:r w:rsidR="00AB7F51" w:rsidRPr="00AB7F51">
        <w:t xml:space="preserve"> t</w:t>
      </w:r>
      <w:r>
        <w:t>he recipient country of the proposed import, which can then consent or not.</w:t>
      </w:r>
    </w:p>
    <w:p w14:paraId="21AF2354" w14:textId="77777777" w:rsidR="001A3878" w:rsidRPr="00C85476" w:rsidRDefault="001A3878" w:rsidP="00551F05">
      <w:pPr>
        <w:pStyle w:val="Heading4"/>
      </w:pPr>
      <w:r w:rsidRPr="00C85476">
        <w:t>Reform option regulatory status</w:t>
      </w:r>
    </w:p>
    <w:p w14:paraId="29FC0273" w14:textId="087F3D4D" w:rsidR="003D5922" w:rsidRPr="00C85476" w:rsidRDefault="003D5922" w:rsidP="003D5922">
      <w:r w:rsidRPr="00C85476">
        <w:t xml:space="preserve">This is </w:t>
      </w:r>
      <w:r>
        <w:t xml:space="preserve">either </w:t>
      </w:r>
      <w:r w:rsidRPr="00C85476">
        <w:t>a</w:t>
      </w:r>
      <w:r>
        <w:t xml:space="preserve"> legislated</w:t>
      </w:r>
      <w:r w:rsidRPr="00C85476">
        <w:t xml:space="preserve"> or quasi-regulatory reform option.</w:t>
      </w:r>
    </w:p>
    <w:p w14:paraId="14159978" w14:textId="77777777" w:rsidR="001A3878" w:rsidRPr="00C85476" w:rsidRDefault="001A3878" w:rsidP="00551F05">
      <w:pPr>
        <w:pStyle w:val="Heading4"/>
      </w:pPr>
      <w:r w:rsidRPr="00C85476">
        <w:t>Reform option purpose</w:t>
      </w:r>
    </w:p>
    <w:p w14:paraId="1BAD5215" w14:textId="77777777" w:rsidR="00AB41A2" w:rsidRPr="00C85476" w:rsidRDefault="00AB41A2" w:rsidP="00AB41A2">
      <w:r w:rsidRPr="00C85476">
        <w:t>Promote the environmentally sound management of hazardous wastes.</w:t>
      </w:r>
    </w:p>
    <w:p w14:paraId="6332C006" w14:textId="77777777" w:rsidR="001A3878" w:rsidRPr="00C85476" w:rsidRDefault="001A3878" w:rsidP="00551F05">
      <w:pPr>
        <w:pStyle w:val="Heading4"/>
      </w:pPr>
      <w:r w:rsidRPr="00C85476">
        <w:t>Stakeholder feedback</w:t>
      </w:r>
    </w:p>
    <w:p w14:paraId="2CFDA290" w14:textId="77777777" w:rsidR="00AB41A2" w:rsidRPr="00C85476" w:rsidRDefault="008A3EDF" w:rsidP="00AB41A2">
      <w:r>
        <w:t>Nine</w:t>
      </w:r>
      <w:r w:rsidR="00AB41A2" w:rsidRPr="00C85476">
        <w:t xml:space="preserve"> stakeholders commented </w:t>
      </w:r>
      <w:r w:rsidR="007A05A1">
        <w:t>on</w:t>
      </w:r>
      <w:r w:rsidR="00AB41A2" w:rsidRPr="00C85476">
        <w:t xml:space="preserve"> this reform option,</w:t>
      </w:r>
      <w:r>
        <w:t xml:space="preserve"> with seven</w:t>
      </w:r>
      <w:r w:rsidR="00832007" w:rsidRPr="00C85476">
        <w:t xml:space="preserve"> in support</w:t>
      </w:r>
      <w:r w:rsidR="00B943AB">
        <w:t>, and two in neither</w:t>
      </w:r>
      <w:r w:rsidR="00B943AB" w:rsidRPr="00C85476">
        <w:t xml:space="preserve"> </w:t>
      </w:r>
      <w:r w:rsidR="00B943AB">
        <w:t>support</w:t>
      </w:r>
      <w:r w:rsidR="00B943AB" w:rsidRPr="00C85476">
        <w:t xml:space="preserve"> nor</w:t>
      </w:r>
      <w:r w:rsidR="00832007" w:rsidRPr="00C85476">
        <w:t xml:space="preserve"> opposition.</w:t>
      </w:r>
    </w:p>
    <w:p w14:paraId="195235DF" w14:textId="77777777" w:rsidR="00072192" w:rsidRPr="00C85476" w:rsidRDefault="00072192" w:rsidP="00D21C67">
      <w:pPr>
        <w:keepNext/>
        <w:keepLines/>
      </w:pPr>
      <w:r w:rsidRPr="00C85476">
        <w:lastRenderedPageBreak/>
        <w:t>Comments in support of this reform option included:</w:t>
      </w:r>
    </w:p>
    <w:p w14:paraId="01E97166" w14:textId="77777777" w:rsidR="00AB41A2" w:rsidRPr="00C85476" w:rsidRDefault="00072192" w:rsidP="00072192">
      <w:pPr>
        <w:pStyle w:val="BulletPoints"/>
      </w:pPr>
      <w:r w:rsidRPr="00C85476">
        <w:t xml:space="preserve">[We] </w:t>
      </w:r>
      <w:r w:rsidR="00832007" w:rsidRPr="00C85476">
        <w:t>d</w:t>
      </w:r>
      <w:r w:rsidR="00AB41A2" w:rsidRPr="00C85476">
        <w:t xml:space="preserve">on't think we currently have a framework for </w:t>
      </w:r>
      <w:r w:rsidRPr="00C85476">
        <w:t>accepting</w:t>
      </w:r>
      <w:r w:rsidR="00832007" w:rsidRPr="00C85476">
        <w:t xml:space="preserve"> bans in other countries, [and it can]</w:t>
      </w:r>
      <w:r w:rsidR="00AB41A2" w:rsidRPr="00C85476">
        <w:t xml:space="preserve"> be d</w:t>
      </w:r>
      <w:r w:rsidR="00FB68A1" w:rsidRPr="00C85476">
        <w:t>ifficult to stop things leaving</w:t>
      </w:r>
      <w:r w:rsidRPr="00C85476">
        <w:t>. Could</w:t>
      </w:r>
      <w:r w:rsidR="00BB232A" w:rsidRPr="00C85476">
        <w:t xml:space="preserve"> impact</w:t>
      </w:r>
      <w:r w:rsidRPr="00C85476">
        <w:t xml:space="preserve"> on trade agreements (QLD DEHP).</w:t>
      </w:r>
    </w:p>
    <w:p w14:paraId="73B0112C" w14:textId="77777777" w:rsidR="00DD4DB1" w:rsidRPr="00C85476" w:rsidRDefault="00AB41A2" w:rsidP="00626CE8">
      <w:pPr>
        <w:pStyle w:val="BulletPoints"/>
      </w:pPr>
      <w:r w:rsidRPr="00C85476">
        <w:t>The EU Battery Directive restricts the use of mercury and cadmium in handheld batteries. The exemption for cadmium used in cordless power tool batteries will cease on 31 December 2016. We would support this being implemented in Australia as alternatives are available (lithium-ion).</w:t>
      </w:r>
      <w:r w:rsidR="00C54A96" w:rsidRPr="00C85476">
        <w:t>’</w:t>
      </w:r>
      <w:r w:rsidR="00DD4DB1" w:rsidRPr="00C85476">
        <w:t xml:space="preserve"> ABRI also noted that </w:t>
      </w:r>
      <w:r w:rsidR="00C54A96" w:rsidRPr="00C85476">
        <w:t>‘</w:t>
      </w:r>
      <w:r w:rsidR="00DD4DB1" w:rsidRPr="00C85476">
        <w:t>there would be existing stocks of NiC</w:t>
      </w:r>
      <w:r w:rsidR="003E0657">
        <w:t>a</w:t>
      </w:r>
      <w:r w:rsidR="00DD4DB1" w:rsidRPr="00C85476">
        <w:t>d batteries in particular so industry would n</w:t>
      </w:r>
      <w:r w:rsidR="00626CE8" w:rsidRPr="00C85476">
        <w:t>eed a period of advanced notice (ABRI).</w:t>
      </w:r>
    </w:p>
    <w:p w14:paraId="448FAAE4" w14:textId="77777777" w:rsidR="00626CE8" w:rsidRDefault="00626CE8" w:rsidP="008A3EDF">
      <w:pPr>
        <w:pStyle w:val="BulletPoints"/>
        <w:spacing w:after="240"/>
        <w:ind w:left="1208" w:hanging="357"/>
      </w:pPr>
      <w:r w:rsidRPr="00C85476">
        <w:t>[This] should assist Australia in ensuring that it acts responsibly in relation to its Basel Convention requirements (WMAA Queensland Branch).</w:t>
      </w:r>
    </w:p>
    <w:p w14:paraId="569BB894" w14:textId="77777777" w:rsidR="006C40C9" w:rsidRPr="00C85476" w:rsidRDefault="006C40C9" w:rsidP="00551F05">
      <w:pPr>
        <w:pStyle w:val="Heading4"/>
      </w:pPr>
      <w:r w:rsidRPr="00C85476">
        <w:t>Barriers and implementation timeframe</w:t>
      </w:r>
    </w:p>
    <w:p w14:paraId="2F04F81C" w14:textId="77777777" w:rsidR="00AB41A2" w:rsidRPr="00C85476" w:rsidRDefault="00FB68A1" w:rsidP="00AB41A2">
      <w:r w:rsidRPr="00C85476">
        <w:t>The most</w:t>
      </w:r>
      <w:r w:rsidR="00AB41A2" w:rsidRPr="00C85476">
        <w:t xml:space="preserve"> significant </w:t>
      </w:r>
      <w:r w:rsidRPr="00C85476">
        <w:t xml:space="preserve">potential </w:t>
      </w:r>
      <w:r w:rsidR="00AB41A2" w:rsidRPr="00C85476">
        <w:t>barrier</w:t>
      </w:r>
      <w:r w:rsidR="00DD4DB1" w:rsidRPr="00C85476">
        <w:t>s</w:t>
      </w:r>
      <w:r w:rsidR="00AB41A2" w:rsidRPr="00C85476">
        <w:t xml:space="preserve"> raised to the adoption of this option</w:t>
      </w:r>
      <w:r w:rsidR="00DD4DB1" w:rsidRPr="00C85476">
        <w:t xml:space="preserve"> are </w:t>
      </w:r>
      <w:r w:rsidR="003E0657">
        <w:t xml:space="preserve">(i) </w:t>
      </w:r>
      <w:r w:rsidR="00DD4DB1" w:rsidRPr="00C85476">
        <w:t xml:space="preserve">potential conflicts with trade agreements and </w:t>
      </w:r>
      <w:r w:rsidR="003E0657">
        <w:t xml:space="preserve">(ii) a </w:t>
      </w:r>
      <w:r w:rsidR="00DD4DB1" w:rsidRPr="00C85476">
        <w:t>method for assessing and accepting that an overseas ban is appropriate for Australian circumstances</w:t>
      </w:r>
      <w:r w:rsidR="003E0657">
        <w:t xml:space="preserve"> has yet to be developed.</w:t>
      </w:r>
      <w:r w:rsidR="008F1E1C" w:rsidRPr="008F1E1C">
        <w:t xml:space="preserve"> </w:t>
      </w:r>
      <w:r w:rsidR="008F1E1C">
        <w:t xml:space="preserve">The </w:t>
      </w:r>
      <w:r w:rsidR="008F1E1C" w:rsidRPr="008F1E1C">
        <w:t>duplication and overlapping requirements/approvals is a key source of red tape as it does not deliver a benefit and increases regulatory burden (often inconsistently).</w:t>
      </w:r>
    </w:p>
    <w:p w14:paraId="6CAF04B0" w14:textId="77777777" w:rsidR="00FB68A1" w:rsidRPr="00C85476" w:rsidRDefault="00DD4DB1" w:rsidP="00FB68A1">
      <w:r w:rsidRPr="00C85476">
        <w:t xml:space="preserve">Three </w:t>
      </w:r>
      <w:r w:rsidR="00FB68A1" w:rsidRPr="00C85476">
        <w:t>stakeholder</w:t>
      </w:r>
      <w:r w:rsidRPr="00C85476">
        <w:t>s</w:t>
      </w:r>
      <w:r w:rsidR="00FB68A1" w:rsidRPr="00C85476">
        <w:t xml:space="preserve"> proposed phase in periods for the reform option. </w:t>
      </w:r>
      <w:r w:rsidRPr="00C85476">
        <w:t>QLD DEHP</w:t>
      </w:r>
      <w:r w:rsidR="00FB68A1" w:rsidRPr="00C85476">
        <w:t xml:space="preserve"> proposed advanced warning </w:t>
      </w:r>
      <w:r w:rsidRPr="00C85476">
        <w:t xml:space="preserve">of at least 18 months, and observed that a great deal of consultation will be required. ABRI and WMAA </w:t>
      </w:r>
      <w:r w:rsidR="00D21C67">
        <w:t xml:space="preserve">Queensland Branch </w:t>
      </w:r>
      <w:r w:rsidRPr="00C85476">
        <w:t>both proposed advanced warning and implementation timeframes of 12 months each.</w:t>
      </w:r>
    </w:p>
    <w:p w14:paraId="1153CED3" w14:textId="77777777" w:rsidR="001A3878" w:rsidRPr="00C85476" w:rsidRDefault="001A3878" w:rsidP="00551F05">
      <w:pPr>
        <w:pStyle w:val="Heading4"/>
      </w:pPr>
      <w:r w:rsidRPr="00C85476">
        <w:t>Recommendation</w:t>
      </w:r>
    </w:p>
    <w:p w14:paraId="573223EE" w14:textId="2320EB22" w:rsidR="008F1E1C" w:rsidRDefault="00C56595" w:rsidP="008F1E1C">
      <w:r w:rsidRPr="00C85476">
        <w:t xml:space="preserve">It is recommended that this reform option </w:t>
      </w:r>
      <w:r>
        <w:t xml:space="preserve">not be </w:t>
      </w:r>
      <w:r w:rsidRPr="00C85476">
        <w:t>assessed in the cost-benefit analysis</w:t>
      </w:r>
      <w:r w:rsidR="00A640B2">
        <w:t>.</w:t>
      </w:r>
      <w:r w:rsidR="008317CB">
        <w:t xml:space="preserve"> Instead,</w:t>
      </w:r>
      <w:r w:rsidR="006F26E7">
        <w:t xml:space="preserve"> the </w:t>
      </w:r>
      <w:r w:rsidR="00B943AB" w:rsidRPr="00B943AB">
        <w:t>potential to deal with non-Basel-notified hazardous waste bans via the issue of evidentiary certificates</w:t>
      </w:r>
      <w:r w:rsidR="00A640B2">
        <w:t xml:space="preserve"> or guidance documents</w:t>
      </w:r>
      <w:r w:rsidR="00AF14BD">
        <w:t xml:space="preserve"> should be investigated</w:t>
      </w:r>
      <w:r w:rsidR="00B943AB" w:rsidRPr="00B943AB">
        <w:t>.</w:t>
      </w:r>
    </w:p>
    <w:p w14:paraId="399952E7" w14:textId="77777777" w:rsidR="00E358EA" w:rsidRPr="00C85476" w:rsidRDefault="00451197" w:rsidP="00B8329E">
      <w:pPr>
        <w:pStyle w:val="Heading2"/>
      </w:pPr>
      <w:bookmarkStart w:id="61" w:name="_Toc426022039"/>
      <w:r>
        <w:t xml:space="preserve">Option </w:t>
      </w:r>
      <w:r w:rsidR="00D851CD" w:rsidRPr="00C85476">
        <w:t xml:space="preserve">c) </w:t>
      </w:r>
      <w:r w:rsidR="00E358EA" w:rsidRPr="00C85476">
        <w:t>Updating compliance and enforcement provisions</w:t>
      </w:r>
      <w:bookmarkEnd w:id="61"/>
    </w:p>
    <w:p w14:paraId="4A0E41E8" w14:textId="77777777" w:rsidR="001A3878" w:rsidRPr="00C85476" w:rsidRDefault="005D7C22" w:rsidP="00551F05">
      <w:pPr>
        <w:pStyle w:val="Heading4"/>
      </w:pPr>
      <w:r w:rsidRPr="00C85476">
        <w:t>Reform option description and context</w:t>
      </w:r>
    </w:p>
    <w:p w14:paraId="200340E4" w14:textId="77777777" w:rsidR="002B4241" w:rsidRPr="00705AAE" w:rsidRDefault="002B4241" w:rsidP="003427F2">
      <w:pPr>
        <w:rPr>
          <w:i/>
        </w:rPr>
      </w:pPr>
      <w:r w:rsidRPr="00705AAE">
        <w:rPr>
          <w:i/>
        </w:rPr>
        <w:t>Updating compliance and enforcement provisions, including to introduce civil penalties.</w:t>
      </w:r>
    </w:p>
    <w:p w14:paraId="37DD3BFA" w14:textId="77777777" w:rsidR="002B4241" w:rsidRPr="00C85476" w:rsidRDefault="002B4241" w:rsidP="00551F05">
      <w:pPr>
        <w:pStyle w:val="Heading4"/>
      </w:pPr>
      <w:r>
        <w:t>C</w:t>
      </w:r>
      <w:r w:rsidRPr="00C85476">
        <w:t>ontext</w:t>
      </w:r>
    </w:p>
    <w:p w14:paraId="3D52B4CC" w14:textId="35A06468" w:rsidR="003427F2" w:rsidRPr="00C85476" w:rsidRDefault="002B4241" w:rsidP="003427F2">
      <w:r>
        <w:t>T</w:t>
      </w:r>
      <w:r w:rsidR="003427F2" w:rsidRPr="00C85476">
        <w:t xml:space="preserve">he Department undertook a review of the Act in 2012 </w:t>
      </w:r>
      <w:sdt>
        <w:sdtPr>
          <w:id w:val="966479218"/>
          <w:citation/>
        </w:sdtPr>
        <w:sdtEndPr/>
        <w:sdtContent>
          <w:r w:rsidR="007B2B2A" w:rsidRPr="00C85476">
            <w:fldChar w:fldCharType="begin"/>
          </w:r>
          <w:r w:rsidR="00575421">
            <w:instrText xml:space="preserve">CITATION Dep13 \l 3081 </w:instrText>
          </w:r>
          <w:r w:rsidR="007B2B2A" w:rsidRPr="00C85476">
            <w:fldChar w:fldCharType="separate"/>
          </w:r>
          <w:r w:rsidR="001F6F42">
            <w:rPr>
              <w:noProof/>
            </w:rPr>
            <w:t>(DoE, 2012)</w:t>
          </w:r>
          <w:r w:rsidR="007B2B2A" w:rsidRPr="00C85476">
            <w:fldChar w:fldCharType="end"/>
          </w:r>
        </w:sdtContent>
      </w:sdt>
      <w:r w:rsidR="003427F2" w:rsidRPr="00C85476">
        <w:t xml:space="preserve"> that considered a number of possible amendments to the Act that relate to the area of this reform option. These include </w:t>
      </w:r>
      <w:sdt>
        <w:sdtPr>
          <w:id w:val="42337741"/>
          <w:citation/>
        </w:sdtPr>
        <w:sdtEndPr/>
        <w:sdtContent>
          <w:r w:rsidR="007B2B2A" w:rsidRPr="00C85476">
            <w:fldChar w:fldCharType="begin"/>
          </w:r>
          <w:r w:rsidR="00575421">
            <w:instrText xml:space="preserve">CITATION Dep13 \p 34&amp;#8211;35 \l 3081 </w:instrText>
          </w:r>
          <w:r w:rsidR="007B2B2A" w:rsidRPr="00C85476">
            <w:fldChar w:fldCharType="separate"/>
          </w:r>
          <w:r w:rsidR="001F6F42">
            <w:rPr>
              <w:noProof/>
            </w:rPr>
            <w:t>(DoE, 2012, p. 34–35)</w:t>
          </w:r>
          <w:r w:rsidR="007B2B2A" w:rsidRPr="00C85476">
            <w:fldChar w:fldCharType="end"/>
          </w:r>
        </w:sdtContent>
      </w:sdt>
      <w:r w:rsidR="003427F2" w:rsidRPr="00C85476">
        <w:t>:</w:t>
      </w:r>
    </w:p>
    <w:p w14:paraId="28EEBAD2" w14:textId="77777777" w:rsidR="003427F2" w:rsidRPr="00C85476" w:rsidRDefault="003427F2" w:rsidP="003427F2">
      <w:pPr>
        <w:pStyle w:val="BulletPoints"/>
      </w:pPr>
      <w:r w:rsidRPr="00C85476">
        <w:t>New ‘strict liability’ offences or comparable civil penalty provisions.</w:t>
      </w:r>
    </w:p>
    <w:p w14:paraId="6981D36B" w14:textId="77777777" w:rsidR="003427F2" w:rsidRPr="00C85476" w:rsidRDefault="003427F2" w:rsidP="003427F2">
      <w:pPr>
        <w:pStyle w:val="BulletPoints"/>
      </w:pPr>
      <w:r w:rsidRPr="00C85476">
        <w:t>Alleviate proof of a negative under the legislation when prosecuting.</w:t>
      </w:r>
    </w:p>
    <w:p w14:paraId="34989480" w14:textId="77777777" w:rsidR="003427F2" w:rsidRPr="00C85476" w:rsidRDefault="003427F2" w:rsidP="003427F2">
      <w:pPr>
        <w:pStyle w:val="BulletPoints"/>
      </w:pPr>
      <w:r w:rsidRPr="00C85476">
        <w:lastRenderedPageBreak/>
        <w:t>Introduce penalty infringement notices.</w:t>
      </w:r>
    </w:p>
    <w:p w14:paraId="5C85CA2A" w14:textId="77777777" w:rsidR="003427F2" w:rsidRPr="00C85476" w:rsidRDefault="003427F2" w:rsidP="003427F2">
      <w:pPr>
        <w:pStyle w:val="BulletPoints"/>
        <w:spacing w:after="240"/>
      </w:pPr>
      <w:r w:rsidRPr="00C85476">
        <w:t>Provide that the Minister may publicise contraventions</w:t>
      </w:r>
    </w:p>
    <w:p w14:paraId="13A99B08" w14:textId="62FB329A" w:rsidR="003427F2" w:rsidRPr="00C85476" w:rsidRDefault="003427F2" w:rsidP="003427F2">
      <w:r w:rsidRPr="00C85476">
        <w:t xml:space="preserve">The report provides significant additional detail on these amendments. For example, with respect to civil penalty provisions the Department of the Environment found in its 2012 review of the Act </w:t>
      </w:r>
      <w:sdt>
        <w:sdtPr>
          <w:id w:val="-220991754"/>
          <w:citation/>
        </w:sdtPr>
        <w:sdtEndPr/>
        <w:sdtContent>
          <w:r w:rsidR="007B2B2A" w:rsidRPr="00C85476">
            <w:fldChar w:fldCharType="begin"/>
          </w:r>
          <w:r w:rsidR="00575421">
            <w:instrText xml:space="preserve">CITATION Dep13 \p 34 \l 3081 </w:instrText>
          </w:r>
          <w:r w:rsidR="007B2B2A" w:rsidRPr="00C85476">
            <w:fldChar w:fldCharType="separate"/>
          </w:r>
          <w:r w:rsidR="001F6F42">
            <w:rPr>
              <w:noProof/>
            </w:rPr>
            <w:t>(DoE, 2012, p. 34)</w:t>
          </w:r>
          <w:r w:rsidR="007B2B2A" w:rsidRPr="00C85476">
            <w:fldChar w:fldCharType="end"/>
          </w:r>
        </w:sdtContent>
      </w:sdt>
      <w:r w:rsidRPr="00C85476">
        <w:t xml:space="preserve"> that if civil penalty provisions were introduced, a power to accept enforceable undertakings could also be considered:</w:t>
      </w:r>
    </w:p>
    <w:p w14:paraId="6CAD395A" w14:textId="77777777" w:rsidR="003427F2" w:rsidRPr="00C85476" w:rsidRDefault="003427F2" w:rsidP="003427F2">
      <w:pPr>
        <w:spacing w:after="240"/>
        <w:ind w:left="567" w:right="567"/>
        <w:rPr>
          <w:i/>
          <w:sz w:val="20"/>
        </w:rPr>
      </w:pPr>
      <w:r w:rsidRPr="00C85476">
        <w:rPr>
          <w:i/>
          <w:sz w:val="20"/>
        </w:rPr>
        <w:t>Enforceable undertakings are administrative settlements which may be accepted as alternatives to other enforcement action where a contravention of a civil penalty provision has taken place. They are written promises enforceable in court. Enforceable undertakings are an efficient way for regulators to ensure compliance, while avoiding the time and expense of court action. They have the additional benefits of supporting behaviour change and ongoing compliance.</w:t>
      </w:r>
    </w:p>
    <w:p w14:paraId="4C7E1B6B" w14:textId="2550F89F" w:rsidR="003427F2" w:rsidRPr="00C85476" w:rsidRDefault="003427F2" w:rsidP="003427F2">
      <w:r w:rsidRPr="00C85476">
        <w:t xml:space="preserve">The report </w:t>
      </w:r>
      <w:sdt>
        <w:sdtPr>
          <w:id w:val="-1931965957"/>
          <w:citation/>
        </w:sdtPr>
        <w:sdtEndPr/>
        <w:sdtContent>
          <w:r w:rsidR="007B2B2A" w:rsidRPr="00C85476">
            <w:fldChar w:fldCharType="begin"/>
          </w:r>
          <w:r w:rsidR="00575421">
            <w:instrText xml:space="preserve">CITATION Dep13 \p 35 \l 3081 </w:instrText>
          </w:r>
          <w:r w:rsidR="007B2B2A" w:rsidRPr="00C85476">
            <w:fldChar w:fldCharType="separate"/>
          </w:r>
          <w:r w:rsidR="001F6F42">
            <w:rPr>
              <w:noProof/>
            </w:rPr>
            <w:t>(DoE, 2012, p. 35)</w:t>
          </w:r>
          <w:r w:rsidR="007B2B2A" w:rsidRPr="00C85476">
            <w:fldChar w:fldCharType="end"/>
          </w:r>
        </w:sdtContent>
      </w:sdt>
      <w:r w:rsidRPr="00C85476">
        <w:t xml:space="preserve"> also observes that the costs for the establishment and operation of a penalty infringement notice regime, or presumably other compliance and/or enforcement regimes can be considerable and require significant internal management systems.</w:t>
      </w:r>
    </w:p>
    <w:p w14:paraId="1CEEBD1A" w14:textId="71F1D456" w:rsidR="003427F2" w:rsidRPr="00C85476" w:rsidRDefault="003427F2" w:rsidP="00651659">
      <w:pPr>
        <w:keepNext/>
        <w:keepLines/>
      </w:pPr>
      <w:r w:rsidRPr="00C85476">
        <w:t>It is also worth noting that there is a strong relationship between regulatory harmonisation (Section </w:t>
      </w:r>
      <w:r w:rsidR="007B2B2A" w:rsidRPr="00C85476">
        <w:fldChar w:fldCharType="begin"/>
      </w:r>
      <w:r w:rsidRPr="00C85476">
        <w:instrText xml:space="preserve"> REF _Ref423090759 \r \h </w:instrText>
      </w:r>
      <w:r w:rsidR="007B2B2A" w:rsidRPr="00C85476">
        <w:fldChar w:fldCharType="separate"/>
      </w:r>
      <w:r w:rsidR="00C40366">
        <w:t>6.7</w:t>
      </w:r>
      <w:r w:rsidR="007B2B2A" w:rsidRPr="00C85476">
        <w:fldChar w:fldCharType="end"/>
      </w:r>
      <w:r w:rsidRPr="00C85476">
        <w:t xml:space="preserve"> reform option) and improving enforcement outcomes. A recent GHD</w:t>
      </w:r>
      <w:sdt>
        <w:sdtPr>
          <w:id w:val="-1634169343"/>
          <w:citation/>
        </w:sdtPr>
        <w:sdtEndPr/>
        <w:sdtContent>
          <w:r w:rsidR="007B2B2A" w:rsidRPr="00C85476">
            <w:fldChar w:fldCharType="begin"/>
          </w:r>
          <w:r w:rsidRPr="00C85476">
            <w:instrText xml:space="preserve">CITATION GHD15 \p 34 \n  \l 3081 </w:instrText>
          </w:r>
          <w:r w:rsidR="007B2B2A" w:rsidRPr="00C85476">
            <w:fldChar w:fldCharType="separate"/>
          </w:r>
          <w:r w:rsidR="001F6F42">
            <w:rPr>
              <w:noProof/>
            </w:rPr>
            <w:t xml:space="preserve"> (2015, p. 34)</w:t>
          </w:r>
          <w:r w:rsidR="007B2B2A" w:rsidRPr="00C85476">
            <w:fldChar w:fldCharType="end"/>
          </w:r>
        </w:sdtContent>
      </w:sdt>
      <w:r w:rsidRPr="00C85476">
        <w:t xml:space="preserve"> study undertaken for the Department found that harmonisation within environmental protection regulation also provided an opportunity to improve and harmonise approaches to enforcement:</w:t>
      </w:r>
    </w:p>
    <w:p w14:paraId="0DD95123" w14:textId="77777777" w:rsidR="003427F2" w:rsidRPr="00C85476" w:rsidRDefault="003427F2" w:rsidP="00651659">
      <w:pPr>
        <w:keepNext/>
        <w:keepLines/>
        <w:spacing w:after="240"/>
        <w:ind w:left="567" w:right="567"/>
        <w:rPr>
          <w:i/>
          <w:sz w:val="20"/>
        </w:rPr>
      </w:pPr>
      <w:r w:rsidRPr="00C85476">
        <w:rPr>
          <w:i/>
          <w:sz w:val="20"/>
        </w:rPr>
        <w:t>Simplification of regulatory regimes, based on risk assessment, would both increase the perceived strategic importance of enforcement activity and potentially release resources that could be redeployed into enforcement. Thus a harmonised approach to enforcement is an important but longer term objective. Benefits include greater certainty and reduced costs for business and improved environmental outcomes.</w:t>
      </w:r>
    </w:p>
    <w:p w14:paraId="650A5227" w14:textId="77777777" w:rsidR="001A3878" w:rsidRPr="00C85476" w:rsidRDefault="001A3878" w:rsidP="00551F05">
      <w:pPr>
        <w:pStyle w:val="Heading4"/>
      </w:pPr>
      <w:r w:rsidRPr="00C85476">
        <w:t>Reform option regulatory status</w:t>
      </w:r>
    </w:p>
    <w:p w14:paraId="57FE82F9" w14:textId="77777777" w:rsidR="003427F2" w:rsidRPr="00C85476" w:rsidRDefault="003427F2" w:rsidP="003427F2">
      <w:r w:rsidRPr="00C85476">
        <w:t>This is a legislated reform option.</w:t>
      </w:r>
    </w:p>
    <w:p w14:paraId="59F37E5F" w14:textId="77777777" w:rsidR="001A3878" w:rsidRPr="00C85476" w:rsidRDefault="001A3878" w:rsidP="00551F05">
      <w:pPr>
        <w:pStyle w:val="Heading4"/>
      </w:pPr>
      <w:r w:rsidRPr="00C85476">
        <w:t>Reform option purpose</w:t>
      </w:r>
    </w:p>
    <w:p w14:paraId="6D43DC46" w14:textId="77777777" w:rsidR="00B276D9" w:rsidRPr="00C85476" w:rsidRDefault="000B0DA8" w:rsidP="00B276D9">
      <w:r w:rsidRPr="00C85476">
        <w:t>Improve Australian hazardous waste regulation and/or reduced red tape.</w:t>
      </w:r>
    </w:p>
    <w:p w14:paraId="5F665A7F" w14:textId="77777777" w:rsidR="001A3878" w:rsidRPr="00C85476" w:rsidRDefault="001A3878" w:rsidP="00551F05">
      <w:pPr>
        <w:pStyle w:val="Heading4"/>
      </w:pPr>
      <w:r w:rsidRPr="00C85476">
        <w:t>Stakeholder feedback</w:t>
      </w:r>
    </w:p>
    <w:p w14:paraId="74AA97B8" w14:textId="77777777" w:rsidR="00D72C81" w:rsidRPr="00C85476" w:rsidRDefault="008A3EDF" w:rsidP="00D72C81">
      <w:r>
        <w:t>Nine</w:t>
      </w:r>
      <w:r w:rsidR="00D72C81" w:rsidRPr="00C85476">
        <w:t xml:space="preserve"> stakeholders commented </w:t>
      </w:r>
      <w:r w:rsidR="007A05A1">
        <w:t>on</w:t>
      </w:r>
      <w:r w:rsidR="00D72C81" w:rsidRPr="00C85476">
        <w:t xml:space="preserve"> this reform option, with </w:t>
      </w:r>
      <w:r>
        <w:t>eight</w:t>
      </w:r>
      <w:r w:rsidR="00D72C81" w:rsidRPr="00C85476">
        <w:t xml:space="preserve"> in support, </w:t>
      </w:r>
      <w:r w:rsidR="003C7600" w:rsidRPr="00C85476">
        <w:t>none</w:t>
      </w:r>
      <w:r w:rsidR="00D72C81" w:rsidRPr="00C85476">
        <w:t xml:space="preserve"> in opposition, and </w:t>
      </w:r>
      <w:r w:rsidR="00651659" w:rsidRPr="00C85476">
        <w:t>one</w:t>
      </w:r>
      <w:r w:rsidR="00D72C81" w:rsidRPr="00C85476">
        <w:t xml:space="preserve"> neither in </w:t>
      </w:r>
      <w:r w:rsidR="007A05A1">
        <w:t>support</w:t>
      </w:r>
      <w:r w:rsidR="00D72C81" w:rsidRPr="00C85476">
        <w:t xml:space="preserve"> or opposition.</w:t>
      </w:r>
    </w:p>
    <w:p w14:paraId="4F8B6906" w14:textId="77777777" w:rsidR="00072192" w:rsidRPr="00C85476" w:rsidRDefault="00072192" w:rsidP="00072192">
      <w:r w:rsidRPr="00C85476">
        <w:t>Comments in support of this reform option included:</w:t>
      </w:r>
    </w:p>
    <w:p w14:paraId="3248FCB2" w14:textId="77777777" w:rsidR="00EA05BD" w:rsidRPr="00C85476" w:rsidRDefault="00EA05BD" w:rsidP="00EA05BD">
      <w:pPr>
        <w:pStyle w:val="BulletPoints"/>
      </w:pPr>
      <w:r w:rsidRPr="00C85476">
        <w:t>ABRI would support changes to the</w:t>
      </w:r>
      <w:r w:rsidRPr="00B81525">
        <w:t xml:space="preserve"> </w:t>
      </w:r>
      <w:r w:rsidR="00B81525" w:rsidRPr="00B81525">
        <w:t>Act</w:t>
      </w:r>
      <w:r w:rsidRPr="00B81525">
        <w:t xml:space="preserve"> </w:t>
      </w:r>
      <w:r w:rsidRPr="00C85476">
        <w:t>that are likely to improve the ability of the Commonwealth to enforce the Act. In particular we are concerned that illegal exports of used lead acid batteries are still happening (ABRI).</w:t>
      </w:r>
    </w:p>
    <w:p w14:paraId="3513199F" w14:textId="77777777" w:rsidR="00EA05BD" w:rsidRPr="00C85476" w:rsidRDefault="00D21C67" w:rsidP="00D21C67">
      <w:pPr>
        <w:pStyle w:val="BulletPoints"/>
        <w:keepLines/>
        <w:ind w:left="1208" w:hanging="357"/>
      </w:pPr>
      <w:r>
        <w:lastRenderedPageBreak/>
        <w:t>[We] support</w:t>
      </w:r>
      <w:r w:rsidR="00EA05BD" w:rsidRPr="00C85476">
        <w:t xml:space="preserve"> the increase of penalties and enforcement for non-compliance and other related offences. Tough penalties should be imposed in order to effectively manage transboundary movements of hazardous waste. The Government should also tighten the requirements of permit applications, particularly in hazardous waste export (</w:t>
      </w:r>
      <w:r>
        <w:t>Confidential response</w:t>
      </w:r>
      <w:r w:rsidR="00EA05BD" w:rsidRPr="00C85476">
        <w:t>).</w:t>
      </w:r>
    </w:p>
    <w:p w14:paraId="38CAC440" w14:textId="77777777" w:rsidR="00EA05BD" w:rsidRPr="00C85476" w:rsidRDefault="00EA05BD" w:rsidP="00EA05BD">
      <w:pPr>
        <w:pStyle w:val="BulletPoints"/>
      </w:pPr>
      <w:r w:rsidRPr="00C85476">
        <w:t>Strongly support. Provisions that reduce illegal exports, informal stockpiling and disposal to landfill are encouraged (Enirgi Metal Group).</w:t>
      </w:r>
    </w:p>
    <w:p w14:paraId="55D79CC5" w14:textId="77777777" w:rsidR="00EA05BD" w:rsidRPr="00C85476" w:rsidRDefault="00EA05BD" w:rsidP="008A3EDF">
      <w:pPr>
        <w:pStyle w:val="BulletPoints"/>
        <w:spacing w:after="240"/>
        <w:ind w:left="1208" w:hanging="357"/>
      </w:pPr>
      <w:r w:rsidRPr="00C85476">
        <w:t xml:space="preserve">The weak and inconsistent enforcement of the </w:t>
      </w:r>
      <w:r w:rsidRPr="009D13E7">
        <w:rPr>
          <w:i/>
        </w:rPr>
        <w:t>Hazardous Waste (Regulation of Exports and Imports) Act 1989</w:t>
      </w:r>
      <w:r w:rsidRPr="00C85476">
        <w:t xml:space="preserve"> is a real issue. Hazardous wastes under the Basel Convention are routinely exported from Australia without the appropriate permits, and there is no effective deterrent currently available (</w:t>
      </w:r>
      <w:r w:rsidR="00D05D93">
        <w:t>Confidential response</w:t>
      </w:r>
      <w:r w:rsidRPr="00C85476">
        <w:t>).</w:t>
      </w:r>
    </w:p>
    <w:p w14:paraId="3FA83D12" w14:textId="77777777" w:rsidR="00626CE8" w:rsidRPr="00C85476" w:rsidRDefault="00D21C67" w:rsidP="00626CE8">
      <w:r>
        <w:t>Another stakeholder</w:t>
      </w:r>
      <w:r w:rsidR="00EA05BD" w:rsidRPr="00C85476">
        <w:t xml:space="preserve"> was not in support or opposi</w:t>
      </w:r>
      <w:r>
        <w:t xml:space="preserve">tion to this reform option, but </w:t>
      </w:r>
      <w:r w:rsidR="00EA05BD" w:rsidRPr="00C85476">
        <w:t>observed that:</w:t>
      </w:r>
    </w:p>
    <w:p w14:paraId="343BA68B" w14:textId="77777777" w:rsidR="00EA05BD" w:rsidRPr="00C85476" w:rsidRDefault="00EA05BD" w:rsidP="00EA05BD">
      <w:pPr>
        <w:pStyle w:val="BulletPoints"/>
      </w:pPr>
      <w:r w:rsidRPr="00C85476">
        <w:t>Having seen South Australia implement civil penalties, it must be noted that the process from legislation, through policy development, establishing guidelines, and final delivery of cases suited to civil penalties can take a number of years. Even then, to my understanding, &lt;50% of cases in SA now are going through the civil route, where the majority of environmental offences still warrant ‘standard’ criminal procedures.</w:t>
      </w:r>
    </w:p>
    <w:p w14:paraId="6F70F584" w14:textId="77777777" w:rsidR="00EA05BD" w:rsidRPr="00C85476" w:rsidRDefault="00EA05BD" w:rsidP="008A3EDF">
      <w:pPr>
        <w:pStyle w:val="BulletPoints"/>
        <w:numPr>
          <w:ilvl w:val="0"/>
          <w:numId w:val="0"/>
        </w:numPr>
        <w:spacing w:after="240"/>
        <w:ind w:left="1213"/>
      </w:pPr>
      <w:r w:rsidRPr="00C85476">
        <w:t>[The] implementation of the attempt provisions of the criminal code, which should be available without any legislative changes. To my understanding, this would enable cases where export hasn’t yet occurred, and an offence under the strict wording of the legislation hasn’t been committed, but has only been attempted. Better legal minds than mine would need to review this concept, but I strongly feel that division 11 of the Criminal Code would readily apply to the legislation already, and could provide an opportunity for the department to bolster its enforcement activities in this area (</w:t>
      </w:r>
      <w:r w:rsidR="00D56453">
        <w:t>Confidential response</w:t>
      </w:r>
      <w:r w:rsidRPr="00C85476">
        <w:t>).</w:t>
      </w:r>
    </w:p>
    <w:p w14:paraId="5B87ACAE" w14:textId="77777777" w:rsidR="006C40C9" w:rsidRPr="00C85476" w:rsidRDefault="006C40C9" w:rsidP="00551F05">
      <w:pPr>
        <w:pStyle w:val="Heading4"/>
      </w:pPr>
      <w:r w:rsidRPr="00C85476">
        <w:t>Barriers and implementation timeframe</w:t>
      </w:r>
    </w:p>
    <w:p w14:paraId="7EF8866B" w14:textId="77777777" w:rsidR="0025087C" w:rsidRPr="00C85476" w:rsidRDefault="0025087C" w:rsidP="0025087C">
      <w:r w:rsidRPr="00C85476">
        <w:t>There were no significant potential barriers raised to the adoption of this option.</w:t>
      </w:r>
    </w:p>
    <w:p w14:paraId="1F49B6B3" w14:textId="77777777" w:rsidR="00EA05BD" w:rsidRPr="00C85476" w:rsidRDefault="00EA05BD" w:rsidP="00EA05BD">
      <w:r w:rsidRPr="00C85476">
        <w:t>None of the stakeholders proposed phase in periods for the reform option.</w:t>
      </w:r>
    </w:p>
    <w:p w14:paraId="69F2C65E" w14:textId="77777777" w:rsidR="001A3878" w:rsidRPr="00C85476" w:rsidRDefault="001A3878" w:rsidP="00551F05">
      <w:pPr>
        <w:pStyle w:val="Heading4"/>
      </w:pPr>
      <w:r w:rsidRPr="00C85476">
        <w:t>Recommendation</w:t>
      </w:r>
    </w:p>
    <w:p w14:paraId="21B10015" w14:textId="77777777" w:rsidR="0025087C" w:rsidRPr="00C85476" w:rsidRDefault="0025087C" w:rsidP="0025087C">
      <w:r w:rsidRPr="00C85476">
        <w:t xml:space="preserve">It is recommended that </w:t>
      </w:r>
      <w:r w:rsidR="007F1AC8">
        <w:t>this reform option be</w:t>
      </w:r>
      <w:r w:rsidR="005C36B7">
        <w:t xml:space="preserve"> </w:t>
      </w:r>
      <w:r w:rsidR="00724DDC">
        <w:t xml:space="preserve">assessed </w:t>
      </w:r>
      <w:r w:rsidR="00724DDC" w:rsidRPr="00C85476">
        <w:t>in</w:t>
      </w:r>
      <w:r w:rsidRPr="00C85476">
        <w:t xml:space="preserve"> the cost-benefit analysis.</w:t>
      </w:r>
    </w:p>
    <w:p w14:paraId="1E5CE9BE" w14:textId="77777777" w:rsidR="00E358EA" w:rsidRPr="00C85476" w:rsidRDefault="00451197" w:rsidP="00B8329E">
      <w:pPr>
        <w:pStyle w:val="Heading2"/>
      </w:pPr>
      <w:bookmarkStart w:id="62" w:name="_Toc426022040"/>
      <w:r>
        <w:lastRenderedPageBreak/>
        <w:t xml:space="preserve">Option </w:t>
      </w:r>
      <w:r w:rsidR="00D851CD" w:rsidRPr="00C85476">
        <w:t xml:space="preserve">d) </w:t>
      </w:r>
      <w:r w:rsidR="00E358EA" w:rsidRPr="00C85476">
        <w:t>Taking economic efficiency into account</w:t>
      </w:r>
      <w:bookmarkEnd w:id="62"/>
    </w:p>
    <w:p w14:paraId="6D7FD5C5" w14:textId="77777777" w:rsidR="001A3878" w:rsidRPr="00C85476" w:rsidRDefault="005D7C22" w:rsidP="00551F05">
      <w:pPr>
        <w:pStyle w:val="Heading4"/>
      </w:pPr>
      <w:r w:rsidRPr="00C85476">
        <w:t>Reform option description</w:t>
      </w:r>
    </w:p>
    <w:p w14:paraId="5C38C5CD" w14:textId="77777777" w:rsidR="002B4241" w:rsidRPr="00705AAE" w:rsidRDefault="002B4241" w:rsidP="008679A4">
      <w:pPr>
        <w:keepNext/>
        <w:keepLines/>
        <w:rPr>
          <w:i/>
        </w:rPr>
      </w:pPr>
      <w:r w:rsidRPr="00705AAE">
        <w:rPr>
          <w:i/>
        </w:rPr>
        <w:t>Adding a capacity to take economic efficiency into account when comparing the efficiency of different recovery and recycling options of equivalent environmental and safety benefit</w:t>
      </w:r>
      <w:r>
        <w:rPr>
          <w:i/>
        </w:rPr>
        <w:t>.</w:t>
      </w:r>
    </w:p>
    <w:p w14:paraId="09091E38" w14:textId="77777777" w:rsidR="002B4241" w:rsidRPr="00DF210D" w:rsidRDefault="002B4241" w:rsidP="00551F05">
      <w:pPr>
        <w:pStyle w:val="Heading4"/>
      </w:pPr>
      <w:r w:rsidRPr="00705AAE">
        <w:t>C</w:t>
      </w:r>
      <w:r w:rsidRPr="00C85476">
        <w:t>ontext</w:t>
      </w:r>
    </w:p>
    <w:p w14:paraId="3DD90E87" w14:textId="77777777" w:rsidR="007B25F1" w:rsidRPr="00C85476" w:rsidRDefault="007B25F1" w:rsidP="007B25F1">
      <w:r w:rsidRPr="00C85476">
        <w:t>Current policy, as implemented through the Act and Regulations, favours treatment of hazardous wastes for recovery within Australia, where appropriate domestic capacity exists. While under the Basel Convention, as applied by other OECD countries, domestic preference settings generally apply only in respect of treatment in developing countries.</w:t>
      </w:r>
      <w:r w:rsidR="005C36B7">
        <w:t xml:space="preserve"> </w:t>
      </w:r>
      <w:r>
        <w:t>The adoption of this reform option would likely result in overall economic benefits whil</w:t>
      </w:r>
      <w:r w:rsidR="00F86F73">
        <w:t>e reducing domestic processing.</w:t>
      </w:r>
    </w:p>
    <w:p w14:paraId="4B0F361F" w14:textId="77777777" w:rsidR="0025087C" w:rsidRDefault="00903D0C" w:rsidP="0025087C">
      <w:r w:rsidRPr="00C85476">
        <w:t>While it was presented to stakeholders in terms of ‘economic efficiency’, it was generally interpreted that this reform option would entail the amendment of the Act and Regulations such that the existence or otherwise of domestic processing capacity would no longer be a consideration in assessing applications, however that the requirement for environmentally sound management requirements for export permits would be unaffected.</w:t>
      </w:r>
    </w:p>
    <w:p w14:paraId="5D9C9EDC" w14:textId="1EC488E0" w:rsidR="0078650E" w:rsidRPr="00C85476" w:rsidRDefault="0078650E" w:rsidP="0078650E">
      <w:r>
        <w:t xml:space="preserve">The </w:t>
      </w:r>
      <w:r w:rsidR="008A730C">
        <w:t xml:space="preserve">type and </w:t>
      </w:r>
      <w:r>
        <w:t xml:space="preserve">extent of any changes to </w:t>
      </w:r>
      <w:r w:rsidRPr="00C85476">
        <w:t xml:space="preserve">domestic preference settings </w:t>
      </w:r>
      <w:r>
        <w:t xml:space="preserve">are </w:t>
      </w:r>
      <w:r w:rsidR="008A730C">
        <w:t>at</w:t>
      </w:r>
      <w:r w:rsidR="00365806">
        <w:t xml:space="preserve"> an</w:t>
      </w:r>
      <w:r w:rsidR="008A730C">
        <w:t xml:space="preserve"> </w:t>
      </w:r>
      <w:r w:rsidR="00365806">
        <w:t>early stage</w:t>
      </w:r>
      <w:r w:rsidR="008A730C">
        <w:t xml:space="preserve"> of consideration</w:t>
      </w:r>
      <w:r>
        <w:t xml:space="preserve">, </w:t>
      </w:r>
      <w:r w:rsidR="008A730C">
        <w:t xml:space="preserve">and may be informed by </w:t>
      </w:r>
      <w:r>
        <w:t>financial information</w:t>
      </w:r>
      <w:r w:rsidR="008A730C">
        <w:t>,</w:t>
      </w:r>
      <w:r>
        <w:t xml:space="preserve"> </w:t>
      </w:r>
      <w:r w:rsidR="008A730C">
        <w:t>such as</w:t>
      </w:r>
      <w:r>
        <w:t xml:space="preserve"> </w:t>
      </w:r>
      <w:r w:rsidR="008A730C">
        <w:t xml:space="preserve">comparative </w:t>
      </w:r>
      <w:r>
        <w:t>gate fee</w:t>
      </w:r>
      <w:r w:rsidR="008A730C">
        <w:t>s</w:t>
      </w:r>
      <w:r>
        <w:t xml:space="preserve">, </w:t>
      </w:r>
      <w:r w:rsidR="008A730C">
        <w:t xml:space="preserve">in any </w:t>
      </w:r>
      <w:r>
        <w:t>assessment of</w:t>
      </w:r>
      <w:r w:rsidR="008A730C">
        <w:t xml:space="preserve"> overall</w:t>
      </w:r>
      <w:r>
        <w:t xml:space="preserve"> economic efficiency.</w:t>
      </w:r>
    </w:p>
    <w:p w14:paraId="219C1E60" w14:textId="77777777" w:rsidR="0025087C" w:rsidRPr="00C85476" w:rsidRDefault="0025087C" w:rsidP="0025087C">
      <w:r w:rsidRPr="00C85476">
        <w:t xml:space="preserve">To provide </w:t>
      </w:r>
      <w:r w:rsidR="00903D0C" w:rsidRPr="00C85476">
        <w:t xml:space="preserve">some </w:t>
      </w:r>
      <w:r w:rsidRPr="00C85476">
        <w:t xml:space="preserve">context </w:t>
      </w:r>
      <w:r w:rsidR="00903D0C" w:rsidRPr="00C85476">
        <w:t xml:space="preserve">on </w:t>
      </w:r>
      <w:r w:rsidR="004B621B" w:rsidRPr="00C85476">
        <w:t xml:space="preserve">the potential economic benefit of </w:t>
      </w:r>
      <w:r w:rsidR="00903D0C" w:rsidRPr="00C85476">
        <w:t>this reform option</w:t>
      </w:r>
      <w:r w:rsidR="004B621B" w:rsidRPr="00C85476">
        <w:t>,</w:t>
      </w:r>
      <w:r w:rsidR="00903D0C" w:rsidRPr="00C85476">
        <w:t xml:space="preserve"> </w:t>
      </w:r>
      <w:r w:rsidRPr="00C85476">
        <w:t xml:space="preserve">the </w:t>
      </w:r>
      <w:r w:rsidR="004B621B" w:rsidRPr="00C85476">
        <w:t xml:space="preserve">2013 </w:t>
      </w:r>
      <w:r w:rsidRPr="00C85476">
        <w:t xml:space="preserve">GHD </w:t>
      </w:r>
      <w:r w:rsidR="00903D0C" w:rsidRPr="00C85476">
        <w:t>cost</w:t>
      </w:r>
      <w:r w:rsidRPr="00C85476">
        <w:t xml:space="preserve">-benefit analysis </w:t>
      </w:r>
      <w:r w:rsidR="004B621B" w:rsidRPr="00C85476">
        <w:t xml:space="preserve">for the Department </w:t>
      </w:r>
      <w:r w:rsidRPr="00C85476">
        <w:t xml:space="preserve">found that removal of the domestic </w:t>
      </w:r>
      <w:r w:rsidR="007B25F1">
        <w:t xml:space="preserve">processing </w:t>
      </w:r>
      <w:r w:rsidRPr="00C85476">
        <w:t xml:space="preserve">capacity test in the </w:t>
      </w:r>
      <w:r w:rsidR="007B25F1">
        <w:t>used lead acid batteries</w:t>
      </w:r>
      <w:r w:rsidRPr="00C85476">
        <w:t xml:space="preserve">, </w:t>
      </w:r>
      <w:r w:rsidR="007B25F1">
        <w:t xml:space="preserve">cathode ray tube </w:t>
      </w:r>
      <w:r w:rsidRPr="00C85476">
        <w:t xml:space="preserve">glass and sulphuric </w:t>
      </w:r>
      <w:r w:rsidR="004B621B" w:rsidRPr="00C85476">
        <w:t>acid regeneration industries had</w:t>
      </w:r>
      <w:r w:rsidRPr="00C85476">
        <w:t xml:space="preserve"> a </w:t>
      </w:r>
      <w:r w:rsidR="00C54A96" w:rsidRPr="00C85476">
        <w:t>‘</w:t>
      </w:r>
      <w:r w:rsidRPr="00C85476">
        <w:t>positive net present value, at a real discount rate of seven per cent, of AUD</w:t>
      </w:r>
      <w:r w:rsidR="007B25F1">
        <w:t>$</w:t>
      </w:r>
      <w:r w:rsidRPr="00C85476">
        <w:t>147 million and a benefit-cost ratio of 1.9.</w:t>
      </w:r>
      <w:r w:rsidR="00C54A96" w:rsidRPr="00C85476">
        <w:t>’</w:t>
      </w:r>
      <w:r w:rsidR="00903D0C" w:rsidRPr="00C85476">
        <w:t xml:space="preserve"> </w:t>
      </w:r>
      <w:sdt>
        <w:sdtPr>
          <w:id w:val="328413493"/>
          <w:citation/>
        </w:sdtPr>
        <w:sdtEndPr/>
        <w:sdtContent>
          <w:r w:rsidR="007B2B2A" w:rsidRPr="00C85476">
            <w:fldChar w:fldCharType="begin"/>
          </w:r>
          <w:r w:rsidR="00903D0C" w:rsidRPr="00C85476">
            <w:instrText xml:space="preserve">CITATION GHD \p ii \l 3081 </w:instrText>
          </w:r>
          <w:r w:rsidR="007B2B2A" w:rsidRPr="00C85476">
            <w:fldChar w:fldCharType="separate"/>
          </w:r>
          <w:r w:rsidR="001F6F42">
            <w:rPr>
              <w:noProof/>
            </w:rPr>
            <w:t>(GHD, 2013, p. ii)</w:t>
          </w:r>
          <w:r w:rsidR="007B2B2A" w:rsidRPr="00C85476">
            <w:fldChar w:fldCharType="end"/>
          </w:r>
        </w:sdtContent>
      </w:sdt>
      <w:r w:rsidR="00903D0C" w:rsidRPr="00C85476">
        <w:t>.</w:t>
      </w:r>
    </w:p>
    <w:p w14:paraId="7D461DEA" w14:textId="77777777" w:rsidR="0025087C" w:rsidRPr="00C85476" w:rsidRDefault="0025087C" w:rsidP="0025087C">
      <w:r w:rsidRPr="00C85476">
        <w:t>Furthermore, a recent Blue Environment</w:t>
      </w:r>
      <w:r w:rsidR="004B621B" w:rsidRPr="00C85476">
        <w:t>, et al.</w:t>
      </w:r>
      <w:r w:rsidRPr="00C85476">
        <w:t xml:space="preserve"> </w:t>
      </w:r>
      <w:sdt>
        <w:sdtPr>
          <w:id w:val="773063786"/>
          <w:citation/>
        </w:sdtPr>
        <w:sdtEndPr/>
        <w:sdtContent>
          <w:r w:rsidR="007B2B2A" w:rsidRPr="00C85476">
            <w:fldChar w:fldCharType="begin"/>
          </w:r>
          <w:r w:rsidRPr="00C85476">
            <w:instrText xml:space="preserve">CITATION Ble15 \p 73 \n  \l 3081 </w:instrText>
          </w:r>
          <w:r w:rsidR="007B2B2A" w:rsidRPr="00C85476">
            <w:fldChar w:fldCharType="separate"/>
          </w:r>
          <w:r w:rsidR="001F6F42">
            <w:rPr>
              <w:noProof/>
            </w:rPr>
            <w:t>(2015b, p. 73)</w:t>
          </w:r>
          <w:r w:rsidR="007B2B2A" w:rsidRPr="00C85476">
            <w:fldChar w:fldCharType="end"/>
          </w:r>
        </w:sdtContent>
      </w:sdt>
      <w:r w:rsidRPr="00C85476">
        <w:t xml:space="preserve"> study undertaken for the Department observed that:</w:t>
      </w:r>
    </w:p>
    <w:p w14:paraId="05F6A06F" w14:textId="1F9EDAB2" w:rsidR="0025087C" w:rsidRPr="00C85476" w:rsidRDefault="0025087C" w:rsidP="0025087C">
      <w:pPr>
        <w:ind w:left="567" w:right="567"/>
        <w:rPr>
          <w:i/>
          <w:sz w:val="20"/>
        </w:rPr>
      </w:pPr>
      <w:r w:rsidRPr="00C85476">
        <w:rPr>
          <w:i/>
          <w:sz w:val="20"/>
        </w:rPr>
        <w:t>As Australia’s manufacturing sector slows, hazardous wastes commonly generate</w:t>
      </w:r>
      <w:r w:rsidR="006925A7">
        <w:rPr>
          <w:i/>
          <w:sz w:val="20"/>
        </w:rPr>
        <w:t>d by manufacturing in Australia…</w:t>
      </w:r>
      <w:r w:rsidRPr="00C85476">
        <w:rPr>
          <w:i/>
          <w:sz w:val="20"/>
        </w:rPr>
        <w:t>are in decline. Across the country, industry reported falling amounts of hazardous manufacturing wastes sent for treatment. In some instances sharp declines were reported.</w:t>
      </w:r>
    </w:p>
    <w:p w14:paraId="617570B4" w14:textId="77777777" w:rsidR="0025087C" w:rsidRPr="00C85476" w:rsidRDefault="0025087C" w:rsidP="008707CD">
      <w:pPr>
        <w:spacing w:after="240"/>
        <w:ind w:left="567" w:right="567"/>
        <w:rPr>
          <w:i/>
          <w:sz w:val="20"/>
        </w:rPr>
      </w:pPr>
      <w:r w:rsidRPr="00C85476">
        <w:rPr>
          <w:i/>
          <w:sz w:val="20"/>
        </w:rPr>
        <w:t>This project is focused on identifying where Australia’s hazardous waste industry may become constrained over the next 20 years. Industry flagged that undersupply of wastes could cause infrastructure shortages due to closure of key infrastructure that may no longer be viable as demand falls for processing of key high volume wastes.</w:t>
      </w:r>
    </w:p>
    <w:p w14:paraId="09DE268D" w14:textId="1A54DB3A" w:rsidR="006925A7" w:rsidRDefault="006925A7" w:rsidP="004B621B">
      <w:r>
        <w:t xml:space="preserve">Note that the decline in generation of some forms of hazardous waste reported by industry is sector specific, and that </w:t>
      </w:r>
      <w:r w:rsidRPr="00C85476">
        <w:t xml:space="preserve">Blue Environment, et al. </w:t>
      </w:r>
      <w:sdt>
        <w:sdtPr>
          <w:id w:val="1752391545"/>
          <w:citation/>
        </w:sdtPr>
        <w:sdtEndPr/>
        <w:sdtContent>
          <w:r w:rsidRPr="00C85476">
            <w:fldChar w:fldCharType="begin"/>
          </w:r>
          <w:r>
            <w:instrText xml:space="preserve">CITATION Ble15 \p xi \n  \l 3081 </w:instrText>
          </w:r>
          <w:r w:rsidRPr="00C85476">
            <w:fldChar w:fldCharType="separate"/>
          </w:r>
          <w:r w:rsidR="001F6F42">
            <w:rPr>
              <w:noProof/>
            </w:rPr>
            <w:t>(2015b, p. xi)</w:t>
          </w:r>
          <w:r w:rsidRPr="00C85476">
            <w:fldChar w:fldCharType="end"/>
          </w:r>
        </w:sdtContent>
      </w:sdt>
      <w:r>
        <w:t xml:space="preserve"> projects that hazardous waste generation in Australia will increase from </w:t>
      </w:r>
      <w:r w:rsidRPr="006925A7">
        <w:t xml:space="preserve">5.7 million tonnes </w:t>
      </w:r>
      <w:r>
        <w:t>in 2013–</w:t>
      </w:r>
      <w:r w:rsidRPr="006925A7">
        <w:t xml:space="preserve">14 to 9.9 </w:t>
      </w:r>
      <w:r>
        <w:t xml:space="preserve">million tonnes in 2033–34. This is </w:t>
      </w:r>
      <w:r w:rsidRPr="006925A7">
        <w:t>an avera</w:t>
      </w:r>
      <w:r>
        <w:t>ge growth rate of 2.8% per year across all sectors and hazardous waste material types.</w:t>
      </w:r>
    </w:p>
    <w:p w14:paraId="717193F0" w14:textId="77777777" w:rsidR="004B621B" w:rsidRPr="00C85476" w:rsidRDefault="004B621B" w:rsidP="004B621B">
      <w:r w:rsidRPr="00C85476">
        <w:lastRenderedPageBreak/>
        <w:t>Notwithstanding the findings of the GHD and Blue Environment reports above, this reform option generated strong views from many of the stakeholders, both in support and in opposition.</w:t>
      </w:r>
    </w:p>
    <w:p w14:paraId="2D454344" w14:textId="77777777" w:rsidR="001A3878" w:rsidRPr="00C85476" w:rsidRDefault="001A3878" w:rsidP="00551F05">
      <w:pPr>
        <w:pStyle w:val="Heading4"/>
      </w:pPr>
      <w:r w:rsidRPr="00C85476">
        <w:t>Reform option regulatory status</w:t>
      </w:r>
    </w:p>
    <w:p w14:paraId="553262E4" w14:textId="77777777" w:rsidR="0002401F" w:rsidRPr="00C85476" w:rsidRDefault="0002401F" w:rsidP="0002401F">
      <w:r w:rsidRPr="00C85476">
        <w:t>This is a legislated reform option.</w:t>
      </w:r>
    </w:p>
    <w:p w14:paraId="0908A0D8" w14:textId="77777777" w:rsidR="001A3878" w:rsidRPr="00C85476" w:rsidRDefault="001A3878" w:rsidP="00551F05">
      <w:pPr>
        <w:pStyle w:val="Heading4"/>
      </w:pPr>
      <w:r w:rsidRPr="00C85476">
        <w:t>Reform option purpose</w:t>
      </w:r>
    </w:p>
    <w:p w14:paraId="2B0F340B" w14:textId="77777777" w:rsidR="0002401F" w:rsidRPr="00C85476" w:rsidRDefault="0002401F" w:rsidP="0002401F">
      <w:r w:rsidRPr="00C85476">
        <w:t>Address a competition failure by supporting a competitive market or managing a continuing monopoly situation.</w:t>
      </w:r>
    </w:p>
    <w:p w14:paraId="014C5EF8" w14:textId="77777777" w:rsidR="001A3878" w:rsidRPr="00C85476" w:rsidRDefault="001A3878" w:rsidP="00551F05">
      <w:pPr>
        <w:pStyle w:val="Heading4"/>
      </w:pPr>
      <w:r w:rsidRPr="00C85476">
        <w:t>Stakeholder feedback</w:t>
      </w:r>
    </w:p>
    <w:p w14:paraId="69E402D1" w14:textId="0344CE5E" w:rsidR="000742E8" w:rsidRPr="00C85476" w:rsidRDefault="00744048" w:rsidP="000742E8">
      <w:r>
        <w:t>Six</w:t>
      </w:r>
      <w:r w:rsidR="007B25F1">
        <w:t xml:space="preserve">teen </w:t>
      </w:r>
      <w:r w:rsidR="000742E8" w:rsidRPr="00C85476">
        <w:t xml:space="preserve">stakeholders commented </w:t>
      </w:r>
      <w:r w:rsidR="007A05A1">
        <w:t>on</w:t>
      </w:r>
      <w:r w:rsidR="000742E8" w:rsidRPr="00C85476">
        <w:t xml:space="preserve"> this reform option</w:t>
      </w:r>
      <w:r w:rsidR="008A3EDF">
        <w:t>, with seven</w:t>
      </w:r>
      <w:r>
        <w:t xml:space="preserve"> in support and nine</w:t>
      </w:r>
      <w:r w:rsidR="000742E8" w:rsidRPr="00C85476">
        <w:t xml:space="preserve"> in opposition</w:t>
      </w:r>
      <w:r w:rsidR="00D00FAF" w:rsidRPr="00C85476">
        <w:t>.</w:t>
      </w:r>
    </w:p>
    <w:p w14:paraId="6B4D0B01" w14:textId="77777777" w:rsidR="00072192" w:rsidRPr="00C85476" w:rsidRDefault="00072192" w:rsidP="00D21C67">
      <w:pPr>
        <w:keepNext/>
        <w:keepLines/>
      </w:pPr>
      <w:r w:rsidRPr="00C85476">
        <w:t>Comments in support of this reform option included:</w:t>
      </w:r>
    </w:p>
    <w:p w14:paraId="05AC0D11" w14:textId="77777777" w:rsidR="00EA05BD" w:rsidRPr="00C85476" w:rsidRDefault="00F04052" w:rsidP="00F04052">
      <w:pPr>
        <w:pStyle w:val="BulletPoints"/>
      </w:pPr>
      <w:r w:rsidRPr="00C85476">
        <w:t>[We understood]</w:t>
      </w:r>
      <w:r w:rsidR="00EA05BD" w:rsidRPr="00C85476">
        <w:t xml:space="preserve"> that consi</w:t>
      </w:r>
      <w:r w:rsidRPr="00C85476">
        <w:t>deration of domestic processing</w:t>
      </w:r>
      <w:r w:rsidR="00EA05BD" w:rsidRPr="00C85476">
        <w:t xml:space="preserve"> is currently a policy position not a legislative requirement - but transparency would be good</w:t>
      </w:r>
      <w:r w:rsidRPr="00C85476">
        <w:t xml:space="preserve"> (QLD DEHP).</w:t>
      </w:r>
    </w:p>
    <w:p w14:paraId="347E07A3" w14:textId="77777777" w:rsidR="00EA05BD" w:rsidRPr="00C85476" w:rsidRDefault="00EA05BD" w:rsidP="00F04052">
      <w:pPr>
        <w:pStyle w:val="BulletPoints"/>
      </w:pPr>
      <w:r w:rsidRPr="00C85476">
        <w:t>Domestic capacity requirem</w:t>
      </w:r>
      <w:r w:rsidR="00F04052" w:rsidRPr="00C85476">
        <w:t>ent has potential for misuse and</w:t>
      </w:r>
      <w:r w:rsidRPr="00C85476">
        <w:t xml:space="preserve"> monopoly pricing</w:t>
      </w:r>
      <w:r w:rsidR="00F04052" w:rsidRPr="00C85476">
        <w:t xml:space="preserve"> (</w:t>
      </w:r>
      <w:r w:rsidR="00D56453">
        <w:t>Confidential response</w:t>
      </w:r>
      <w:r w:rsidR="00F04052" w:rsidRPr="00C85476">
        <w:t>).</w:t>
      </w:r>
    </w:p>
    <w:p w14:paraId="61F7D679" w14:textId="77777777" w:rsidR="00EA05BD" w:rsidRPr="00C85476" w:rsidRDefault="00EA05BD" w:rsidP="00F04052">
      <w:pPr>
        <w:pStyle w:val="BulletPoints"/>
      </w:pPr>
      <w:r w:rsidRPr="00C85476">
        <w:t>There are often significant costs involved in battery recycling (transport and reprocessing) so economic efficiency should be taken into account. However, environmental and safety benefits of processing within Australia, rather than export, should be given pr</w:t>
      </w:r>
      <w:r w:rsidR="00F04052" w:rsidRPr="00C85476">
        <w:t>iority over economic efficiency (ABRI).</w:t>
      </w:r>
    </w:p>
    <w:p w14:paraId="7BEBCD20" w14:textId="77777777" w:rsidR="00EA05BD" w:rsidRPr="00C85476" w:rsidRDefault="00EA05BD" w:rsidP="00F04052">
      <w:pPr>
        <w:pStyle w:val="BulletPoints"/>
      </w:pPr>
      <w:r w:rsidRPr="00C85476">
        <w:t xml:space="preserve">Critical and certainly should almost be guaranteed for exports to OECD countries </w:t>
      </w:r>
      <w:r w:rsidR="00F04052" w:rsidRPr="00C85476">
        <w:t>(Dodd &amp; Dodd Group).</w:t>
      </w:r>
    </w:p>
    <w:p w14:paraId="2029376B" w14:textId="77777777" w:rsidR="00EA05BD" w:rsidRPr="00C85476" w:rsidRDefault="00EA05BD" w:rsidP="00F04052">
      <w:pPr>
        <w:pStyle w:val="BulletPoints"/>
      </w:pPr>
      <w:r w:rsidRPr="00C85476">
        <w:t>We agree in principle with this option on the proviso that ‘economic efficiency’ is solidly defined and not al</w:t>
      </w:r>
      <w:r w:rsidR="00F04052" w:rsidRPr="00C85476">
        <w:t>lowed to be openly interpreted (Southern Oil Refining Pty Ltd).</w:t>
      </w:r>
    </w:p>
    <w:p w14:paraId="683FC1D6" w14:textId="77777777" w:rsidR="00626CE8" w:rsidRPr="00C85476" w:rsidRDefault="00EA05BD" w:rsidP="00F04052">
      <w:pPr>
        <w:pStyle w:val="BulletPoints"/>
        <w:spacing w:after="240"/>
        <w:ind w:left="1208" w:hanging="357"/>
      </w:pPr>
      <w:r w:rsidRPr="00C85476">
        <w:t xml:space="preserve">Where environmental and safety benefits are truly equivalent, Veolia supports reforms that include practical measures to discourage waste generators inventing offshore markets which in reality do not deliver </w:t>
      </w:r>
      <w:r w:rsidR="00F04052" w:rsidRPr="00C85476">
        <w:t>safe and environmental outcomes (Veolia).</w:t>
      </w:r>
    </w:p>
    <w:p w14:paraId="70FC10E5" w14:textId="77777777" w:rsidR="00626CE8" w:rsidRPr="00C85476" w:rsidRDefault="00626CE8" w:rsidP="00626CE8">
      <w:r w:rsidRPr="00C85476">
        <w:t>Comments expressing concern or opposition to the reform option included:</w:t>
      </w:r>
    </w:p>
    <w:p w14:paraId="11211F73" w14:textId="0F001B6B" w:rsidR="00EA05BD" w:rsidRPr="00C85476" w:rsidRDefault="00EA05BD" w:rsidP="00F04052">
      <w:pPr>
        <w:pStyle w:val="BulletPoints"/>
      </w:pPr>
      <w:r w:rsidRPr="00C85476">
        <w:t>I do not support any change which would lower the bar to exporting hazardous waste without stron</w:t>
      </w:r>
      <w:r w:rsidR="00F04052" w:rsidRPr="00C85476">
        <w:t>g tr</w:t>
      </w:r>
      <w:r w:rsidR="00F1624F">
        <w:t>acking of its ultimate fate (University of Technology Sydney</w:t>
      </w:r>
      <w:r w:rsidR="00F04052" w:rsidRPr="00C85476">
        <w:t>).</w:t>
      </w:r>
    </w:p>
    <w:p w14:paraId="3EC034CD" w14:textId="77777777" w:rsidR="00EA05BD" w:rsidRPr="00C85476" w:rsidRDefault="00F04052" w:rsidP="00F04052">
      <w:pPr>
        <w:pStyle w:val="BulletPoints"/>
      </w:pPr>
      <w:r w:rsidRPr="00C85476">
        <w:t>This</w:t>
      </w:r>
      <w:r w:rsidR="00EA05BD" w:rsidRPr="00C85476">
        <w:t xml:space="preserve"> proposal is getting into a policy grey-area for me personally, as I believe that the economics of</w:t>
      </w:r>
      <w:r w:rsidRPr="00C85476">
        <w:t xml:space="preserve"> </w:t>
      </w:r>
      <w:r w:rsidR="00EA05BD" w:rsidRPr="00C85476">
        <w:t>the marketplace should drive the movement of goods and services, not government policy. I would</w:t>
      </w:r>
      <w:r w:rsidRPr="00C85476">
        <w:t xml:space="preserve"> </w:t>
      </w:r>
      <w:r w:rsidR="00EA05BD" w:rsidRPr="00C85476">
        <w:t>further point out that the objective of the legislation, as specified in section 3 is solely focussed on</w:t>
      </w:r>
      <w:r w:rsidRPr="00C85476">
        <w:t xml:space="preserve"> </w:t>
      </w:r>
      <w:r w:rsidR="00EA05BD" w:rsidRPr="00C85476">
        <w:t>managing waste in an environmentally sound manner, and protecting humans and the environment.</w:t>
      </w:r>
      <w:r w:rsidRPr="00C85476">
        <w:t xml:space="preserve"> </w:t>
      </w:r>
      <w:r w:rsidR="00EA05BD" w:rsidRPr="00C85476">
        <w:t>To put economic efficiency into the legislation would therefore seem</w:t>
      </w:r>
      <w:r w:rsidRPr="00C85476">
        <w:t xml:space="preserve"> to be outside the remit of the </w:t>
      </w:r>
      <w:r w:rsidR="00EA05BD" w:rsidRPr="00C85476">
        <w:t>Act as it stands, and would need broader changes to the raw objectives o</w:t>
      </w:r>
      <w:r w:rsidRPr="00C85476">
        <w:t>f the legislation (</w:t>
      </w:r>
      <w:r w:rsidR="00D56453">
        <w:t>Confidential response</w:t>
      </w:r>
      <w:r w:rsidRPr="00C85476">
        <w:t>).</w:t>
      </w:r>
    </w:p>
    <w:p w14:paraId="6EB674E3" w14:textId="77777777" w:rsidR="00EA05BD" w:rsidRPr="00C85476" w:rsidRDefault="00EA05BD" w:rsidP="00F04052">
      <w:pPr>
        <w:pStyle w:val="BulletPoints"/>
      </w:pPr>
      <w:r w:rsidRPr="00C85476">
        <w:lastRenderedPageBreak/>
        <w:t>Should only consider the environmental and safety outcome</w:t>
      </w:r>
      <w:r w:rsidR="00F04052" w:rsidRPr="00C85476">
        <w:t>. Is this a policy or a legislative barrier? Loosening the criteria is a good thing but could be less specific. Increasing the permit costs may reduce competitiveness of exports (WA DER)</w:t>
      </w:r>
      <w:r w:rsidRPr="00C85476">
        <w:t>.</w:t>
      </w:r>
    </w:p>
    <w:p w14:paraId="68AF0F30" w14:textId="77777777" w:rsidR="00EA05BD" w:rsidRPr="00C85476" w:rsidRDefault="00D21C67" w:rsidP="00D00FAF">
      <w:pPr>
        <w:pStyle w:val="BulletPoints"/>
      </w:pPr>
      <w:r>
        <w:t>[We] oppose</w:t>
      </w:r>
      <w:r w:rsidR="00EA05BD" w:rsidRPr="00C85476">
        <w:t xml:space="preserve"> this reform as it will potentially undermine the entire </w:t>
      </w:r>
      <w:r w:rsidR="00EA05BD" w:rsidRPr="00B81525">
        <w:rPr>
          <w:i/>
        </w:rPr>
        <w:t>Hazardous Waste (Regulation of Exports and Imports) Act 1989</w:t>
      </w:r>
      <w:r w:rsidR="00EA05BD" w:rsidRPr="00C85476">
        <w:t xml:space="preserve"> and the resource recovery industry, parti</w:t>
      </w:r>
      <w:r w:rsidR="00D00FAF" w:rsidRPr="00C85476">
        <w:t>cularly in the waste oil sector (</w:t>
      </w:r>
      <w:r w:rsidR="00CB1C6D">
        <w:t>Confidential response</w:t>
      </w:r>
      <w:r w:rsidR="00D00FAF" w:rsidRPr="00C85476">
        <w:t>).</w:t>
      </w:r>
    </w:p>
    <w:p w14:paraId="1EE6A5D7" w14:textId="77777777" w:rsidR="00EA05BD" w:rsidRPr="00C85476" w:rsidRDefault="00EA05BD" w:rsidP="00D00FAF">
      <w:pPr>
        <w:pStyle w:val="BulletPoints"/>
      </w:pPr>
      <w:r w:rsidRPr="00C85476">
        <w:t>Too high a weighting on the economic benefit of transporting haz</w:t>
      </w:r>
      <w:r w:rsidR="00D00FAF" w:rsidRPr="00C85476">
        <w:t>ardous</w:t>
      </w:r>
      <w:r w:rsidRPr="00C85476">
        <w:t xml:space="preserve"> waste internationally will further limit business investment in Australia that would otherwise treat hazardous wastes within the country</w:t>
      </w:r>
      <w:r w:rsidR="00D00FAF" w:rsidRPr="00C85476">
        <w:t xml:space="preserve"> (WMAA Queensland Branch).</w:t>
      </w:r>
    </w:p>
    <w:p w14:paraId="1174F72F" w14:textId="77777777" w:rsidR="00EA05BD" w:rsidRPr="00C85476" w:rsidRDefault="00EA05BD" w:rsidP="00D00FAF">
      <w:pPr>
        <w:pStyle w:val="BulletPoints"/>
      </w:pPr>
      <w:r w:rsidRPr="00C85476">
        <w:t>We are concerned that this option will result in the cheapest, barely acceptable fate being the management end-point, with environmental benefits potentially based on dubious numbers. Processing and changing the form of hazardous waste can be inherently expensive with high capital costs. The risks of shi</w:t>
      </w:r>
      <w:r w:rsidR="00D00FAF" w:rsidRPr="00C85476">
        <w:t>pping should also be considered (</w:t>
      </w:r>
      <w:r w:rsidR="00D05D93">
        <w:t>Confidential response</w:t>
      </w:r>
      <w:r w:rsidR="00D00FAF" w:rsidRPr="00C85476">
        <w:t>).</w:t>
      </w:r>
    </w:p>
    <w:p w14:paraId="4F3B83E4" w14:textId="77777777" w:rsidR="00EA05BD" w:rsidRPr="00C85476" w:rsidRDefault="00EA05BD" w:rsidP="00CB1C6D">
      <w:pPr>
        <w:pStyle w:val="BulletPoints"/>
        <w:keepLines/>
        <w:ind w:left="1208" w:hanging="357"/>
      </w:pPr>
      <w:r w:rsidRPr="00C85476">
        <w:t>Strongly object</w:t>
      </w:r>
      <w:r w:rsidR="007B25F1">
        <w:t xml:space="preserve"> -</w:t>
      </w:r>
      <w:r w:rsidRPr="00C85476">
        <w:t xml:space="preserve"> Whilst economic efficiency could be considered, the potential for economic distortion due to government subsidies in some foreign jurisdictions is evident. Issues of economic efficiency should be discounted when considering overseas recovery and recycling options of comparable environmental and safety benefit to available solutions in Australia that remove the need for tr</w:t>
      </w:r>
      <w:r w:rsidR="00D00FAF" w:rsidRPr="00C85476">
        <w:t>ans boundary movements of waste (Enirgi Metal Group).</w:t>
      </w:r>
    </w:p>
    <w:p w14:paraId="393F960C" w14:textId="77777777" w:rsidR="00EA05BD" w:rsidRPr="00C85476" w:rsidRDefault="00D00FAF" w:rsidP="00D00FAF">
      <w:pPr>
        <w:pStyle w:val="BulletPoints"/>
        <w:spacing w:after="240"/>
        <w:ind w:left="1208" w:hanging="357"/>
      </w:pPr>
      <w:r w:rsidRPr="00C85476">
        <w:t xml:space="preserve">Strongly oppose – </w:t>
      </w:r>
      <w:r w:rsidR="00EA05BD" w:rsidRPr="00C85476">
        <w:t>To remain consistent with the principle aims of the Basel Convention, the environmentally sound management of hazardous waste must remain at the core</w:t>
      </w:r>
      <w:r w:rsidRPr="00C85476">
        <w:t xml:space="preserve"> of any decision making process (</w:t>
      </w:r>
      <w:r w:rsidR="00D05D93">
        <w:t>Confidential response</w:t>
      </w:r>
      <w:r w:rsidRPr="00C85476">
        <w:t>).</w:t>
      </w:r>
    </w:p>
    <w:p w14:paraId="576C2A7E" w14:textId="77777777" w:rsidR="006C40C9" w:rsidRPr="00C85476" w:rsidRDefault="006C40C9" w:rsidP="00551F05">
      <w:pPr>
        <w:pStyle w:val="Heading4"/>
      </w:pPr>
      <w:r w:rsidRPr="00C85476">
        <w:t>Barriers and implementation timeframe</w:t>
      </w:r>
    </w:p>
    <w:p w14:paraId="6BA6FF55" w14:textId="77777777" w:rsidR="004B621B" w:rsidRDefault="00750BBE" w:rsidP="004B621B">
      <w:r w:rsidRPr="00C85476">
        <w:t>The significant potential barriers raised to the adoption of this option were in relation to addressing the ambiguity with respect to assessment of economic efficiency, and ensuring that overseas treatment facilities were of a suitably high standard, as is currently managed under the Act.</w:t>
      </w:r>
    </w:p>
    <w:p w14:paraId="009E5EBD" w14:textId="77777777" w:rsidR="00716C54" w:rsidRPr="00C85476" w:rsidRDefault="00750BBE" w:rsidP="004B621B">
      <w:r w:rsidRPr="00C85476">
        <w:t>Only one</w:t>
      </w:r>
      <w:r w:rsidR="00716C54" w:rsidRPr="00C85476">
        <w:t xml:space="preserve"> stakeholder proposed phase in periods for the reform option. </w:t>
      </w:r>
      <w:r w:rsidRPr="00C85476">
        <w:t>WMAA Qld Branch</w:t>
      </w:r>
      <w:r w:rsidR="00675175" w:rsidRPr="00C85476">
        <w:t xml:space="preserve"> proposed advanced warning of three years, and an implementation timeframe of three years, to allow sufficient time for local industry to adjust.</w:t>
      </w:r>
    </w:p>
    <w:p w14:paraId="56A519B4" w14:textId="77777777" w:rsidR="001A3878" w:rsidRPr="00C85476" w:rsidRDefault="001A3878" w:rsidP="00551F05">
      <w:pPr>
        <w:pStyle w:val="Heading4"/>
      </w:pPr>
      <w:r w:rsidRPr="00C85476">
        <w:t>Recommendation</w:t>
      </w:r>
    </w:p>
    <w:p w14:paraId="16D7EC34" w14:textId="77777777" w:rsidR="00E358EA" w:rsidRPr="00C85476" w:rsidRDefault="00675175" w:rsidP="00E358EA">
      <w:r w:rsidRPr="00C85476">
        <w:t xml:space="preserve">It is recommended that </w:t>
      </w:r>
      <w:r w:rsidR="007F1AC8">
        <w:t>this reform option be</w:t>
      </w:r>
      <w:r w:rsidR="005C36B7">
        <w:t xml:space="preserve"> </w:t>
      </w:r>
      <w:r w:rsidR="00724DDC">
        <w:t xml:space="preserve">assessed </w:t>
      </w:r>
      <w:r w:rsidR="00724DDC" w:rsidRPr="00C85476">
        <w:t>in</w:t>
      </w:r>
      <w:r w:rsidRPr="00C85476">
        <w:t xml:space="preserve"> the cost-benefit analysis.</w:t>
      </w:r>
    </w:p>
    <w:p w14:paraId="748D55B6" w14:textId="77777777" w:rsidR="00E358EA" w:rsidRPr="00C85476" w:rsidRDefault="00451197" w:rsidP="00B8329E">
      <w:pPr>
        <w:pStyle w:val="Heading2"/>
      </w:pPr>
      <w:bookmarkStart w:id="63" w:name="_Toc426022041"/>
      <w:r>
        <w:t xml:space="preserve">Option </w:t>
      </w:r>
      <w:r w:rsidR="00D851CD" w:rsidRPr="00C85476">
        <w:t xml:space="preserve">e) </w:t>
      </w:r>
      <w:r w:rsidR="00E358EA" w:rsidRPr="00C85476">
        <w:t>Updating cost recovery arrangements</w:t>
      </w:r>
      <w:bookmarkEnd w:id="63"/>
    </w:p>
    <w:p w14:paraId="6D1E2A9D" w14:textId="77777777" w:rsidR="001A3878" w:rsidRPr="00C85476" w:rsidRDefault="005D7C22" w:rsidP="00551F05">
      <w:pPr>
        <w:pStyle w:val="Heading4"/>
      </w:pPr>
      <w:r w:rsidRPr="00C85476">
        <w:t>Reform option description</w:t>
      </w:r>
    </w:p>
    <w:p w14:paraId="3955C0D9" w14:textId="77777777" w:rsidR="004D6713" w:rsidRPr="00705AAE" w:rsidRDefault="004D6713" w:rsidP="00A141BC">
      <w:pPr>
        <w:rPr>
          <w:i/>
        </w:rPr>
      </w:pPr>
      <w:r w:rsidRPr="00705AAE">
        <w:rPr>
          <w:i/>
        </w:rPr>
        <w:t>Updated cost recovery arrangements, including possible weight-based charging</w:t>
      </w:r>
    </w:p>
    <w:p w14:paraId="29D40965" w14:textId="77777777" w:rsidR="004D6713" w:rsidRPr="00C85476" w:rsidRDefault="004D6713" w:rsidP="00551F05">
      <w:pPr>
        <w:pStyle w:val="Heading4"/>
      </w:pPr>
      <w:r>
        <w:t>C</w:t>
      </w:r>
      <w:r w:rsidRPr="00C85476">
        <w:t>ontext</w:t>
      </w:r>
    </w:p>
    <w:p w14:paraId="467922E2" w14:textId="77777777" w:rsidR="007B25F1" w:rsidRDefault="007B25F1" w:rsidP="004729DE">
      <w:pPr>
        <w:keepLines/>
      </w:pPr>
      <w:r>
        <w:t>Currently the fees charged for evaluating and approving and renewing hazardous waste export permits are well below the costs incurred by government.</w:t>
      </w:r>
    </w:p>
    <w:p w14:paraId="303C24F9" w14:textId="77777777" w:rsidR="004D6713" w:rsidRDefault="007B25F1" w:rsidP="004729DE">
      <w:pPr>
        <w:keepLines/>
      </w:pPr>
      <w:r>
        <w:lastRenderedPageBreak/>
        <w:t>The intent of this reform option is to s</w:t>
      </w:r>
      <w:r w:rsidR="004D6713" w:rsidRPr="004D6713">
        <w:t>et charges to recover all the costs of a product or service where it is efficient and effective to do so, where the beneficiaries are a narrow and identifiable group and where charging is consistent with Australian Government policy objectives (DSEWPaC, 2011, p. 4).</w:t>
      </w:r>
    </w:p>
    <w:p w14:paraId="0E633B61" w14:textId="4C8F4308" w:rsidR="00D851CD" w:rsidRPr="00C85476" w:rsidRDefault="00B75B6B" w:rsidP="004729DE">
      <w:pPr>
        <w:keepLines/>
      </w:pPr>
      <w:r w:rsidRPr="00C85476">
        <w:t>The Department has undertaken significant prior work in considering the need and nature of these changes</w:t>
      </w:r>
      <w:r w:rsidR="00D649D7" w:rsidRPr="00C85476">
        <w:t xml:space="preserve">, with the Department completing a </w:t>
      </w:r>
      <w:r w:rsidR="00A141BC" w:rsidRPr="00C85476">
        <w:t>Cost Recovery Implementation Statement (CRIS)</w:t>
      </w:r>
      <w:r w:rsidR="00D649D7" w:rsidRPr="00C85476">
        <w:t xml:space="preserve"> in 2011</w:t>
      </w:r>
      <w:r w:rsidRPr="00C85476">
        <w:t xml:space="preserve"> </w:t>
      </w:r>
      <w:sdt>
        <w:sdtPr>
          <w:id w:val="-924250916"/>
          <w:citation/>
        </w:sdtPr>
        <w:sdtEndPr/>
        <w:sdtContent>
          <w:r w:rsidR="007B2B2A" w:rsidRPr="00C85476">
            <w:fldChar w:fldCharType="begin"/>
          </w:r>
          <w:r w:rsidRPr="00C85476">
            <w:instrText xml:space="preserve"> CITATION DSE11 \l 3081 </w:instrText>
          </w:r>
          <w:r w:rsidR="007B2B2A" w:rsidRPr="00C85476">
            <w:fldChar w:fldCharType="separate"/>
          </w:r>
          <w:r w:rsidR="001F6F42">
            <w:rPr>
              <w:noProof/>
            </w:rPr>
            <w:t>(DSEWPaC, 2011)</w:t>
          </w:r>
          <w:r w:rsidR="007B2B2A" w:rsidRPr="00C85476">
            <w:fldChar w:fldCharType="end"/>
          </w:r>
        </w:sdtContent>
      </w:sdt>
      <w:r w:rsidR="00D649D7" w:rsidRPr="00C85476">
        <w:t>, and recently commissioning The Centre for International Economics</w:t>
      </w:r>
      <w:r w:rsidR="00420851">
        <w:t xml:space="preserve"> (TheCIE) </w:t>
      </w:r>
      <w:r w:rsidR="00A141BC" w:rsidRPr="00C85476">
        <w:t xml:space="preserve">to undertake an </w:t>
      </w:r>
      <w:r w:rsidR="008B6ACC" w:rsidRPr="00C85476">
        <w:t>updated</w:t>
      </w:r>
      <w:r w:rsidR="00A141BC" w:rsidRPr="00C85476">
        <w:t xml:space="preserve"> CRIS</w:t>
      </w:r>
      <w:r w:rsidR="00420851">
        <w:t xml:space="preserve"> </w:t>
      </w:r>
      <w:sdt>
        <w:sdtPr>
          <w:id w:val="-289442710"/>
          <w:citation/>
        </w:sdtPr>
        <w:sdtEndPr/>
        <w:sdtContent>
          <w:r w:rsidR="00420851" w:rsidRPr="00C85476">
            <w:fldChar w:fldCharType="begin"/>
          </w:r>
          <w:r w:rsidR="00420851">
            <w:instrText xml:space="preserve">CITATION The15 \l 3081 </w:instrText>
          </w:r>
          <w:r w:rsidR="00420851" w:rsidRPr="00C85476">
            <w:fldChar w:fldCharType="separate"/>
          </w:r>
          <w:r w:rsidR="001F6F42">
            <w:rPr>
              <w:noProof/>
            </w:rPr>
            <w:t>(DoE, 2015)</w:t>
          </w:r>
          <w:r w:rsidR="00420851" w:rsidRPr="00C85476">
            <w:fldChar w:fldCharType="end"/>
          </w:r>
        </w:sdtContent>
      </w:sdt>
      <w:r w:rsidR="00C54A96" w:rsidRPr="00C85476">
        <w:t xml:space="preserve">. The </w:t>
      </w:r>
      <w:r w:rsidR="00A141BC" w:rsidRPr="00C85476">
        <w:t xml:space="preserve">update was required as the Department’s CRIS was </w:t>
      </w:r>
      <w:r w:rsidR="007B25F1">
        <w:t xml:space="preserve">only </w:t>
      </w:r>
      <w:r w:rsidR="00A141BC" w:rsidRPr="00C85476">
        <w:t xml:space="preserve">applicable </w:t>
      </w:r>
      <w:r w:rsidR="007B25F1">
        <w:t>for</w:t>
      </w:r>
      <w:r w:rsidR="00A141BC" w:rsidRPr="00C85476">
        <w:t xml:space="preserve"> the 2012–2014 period, and the Department of Finance also released </w:t>
      </w:r>
      <w:r w:rsidR="007814A9">
        <w:t xml:space="preserve">a </w:t>
      </w:r>
      <w:r w:rsidR="00A141BC" w:rsidRPr="00C85476">
        <w:t>new set of Cost Recovery Guidelines in July 2014.</w:t>
      </w:r>
    </w:p>
    <w:p w14:paraId="0FE9A054" w14:textId="2738118B" w:rsidR="004729DE" w:rsidRPr="00C85476" w:rsidRDefault="004729DE" w:rsidP="00D4107A">
      <w:pPr>
        <w:keepLines/>
      </w:pPr>
      <w:r w:rsidRPr="00C85476">
        <w:t xml:space="preserve">The </w:t>
      </w:r>
      <w:r w:rsidR="00420851">
        <w:t xml:space="preserve">latest CRIS </w:t>
      </w:r>
      <w:r w:rsidRPr="00C85476">
        <w:t xml:space="preserve">report estimated that the Government’s </w:t>
      </w:r>
      <w:r w:rsidR="00B72AC3" w:rsidRPr="00C85476">
        <w:t xml:space="preserve">2014 </w:t>
      </w:r>
      <w:r w:rsidRPr="00C85476">
        <w:t xml:space="preserve">cost recovery for activities in relation to hazardous waste permits, which was dominated by </w:t>
      </w:r>
      <w:r w:rsidR="00B72AC3" w:rsidRPr="00C85476">
        <w:t>costs related to processing new applications or varying/renewing existing permits, was</w:t>
      </w:r>
      <w:r w:rsidRPr="00C85476">
        <w:t xml:space="preserve"> around 5.5 per cent of the total costs incurred by the hazardous waste permitting team </w:t>
      </w:r>
      <w:sdt>
        <w:sdtPr>
          <w:id w:val="2095133269"/>
          <w:citation/>
        </w:sdtPr>
        <w:sdtEndPr/>
        <w:sdtContent>
          <w:r w:rsidR="007B2B2A" w:rsidRPr="00C85476">
            <w:fldChar w:fldCharType="begin"/>
          </w:r>
          <w:r w:rsidR="00420851">
            <w:instrText xml:space="preserve">CITATION The15 \p 10 \l 3081 </w:instrText>
          </w:r>
          <w:r w:rsidR="007B2B2A" w:rsidRPr="00C85476">
            <w:fldChar w:fldCharType="separate"/>
          </w:r>
          <w:r w:rsidR="001F6F42">
            <w:rPr>
              <w:noProof/>
            </w:rPr>
            <w:t>(DoE, 2015, p. 10)</w:t>
          </w:r>
          <w:r w:rsidR="007B2B2A" w:rsidRPr="00C85476">
            <w:fldChar w:fldCharType="end"/>
          </w:r>
        </w:sdtContent>
      </w:sdt>
      <w:r w:rsidRPr="00C85476">
        <w:t>.</w:t>
      </w:r>
    </w:p>
    <w:p w14:paraId="10B870D0" w14:textId="77777777" w:rsidR="00D649D7" w:rsidRPr="00C85476" w:rsidRDefault="00D649D7" w:rsidP="00D649D7">
      <w:r w:rsidRPr="00C85476">
        <w:t>The current fee</w:t>
      </w:r>
      <w:r w:rsidR="008B6ACC" w:rsidRPr="00C85476">
        <w:t>s were</w:t>
      </w:r>
      <w:r w:rsidRPr="00C85476">
        <w:t xml:space="preserve"> initially introduced in 1990</w:t>
      </w:r>
      <w:r w:rsidR="008B6ACC" w:rsidRPr="00C85476">
        <w:t xml:space="preserve"> </w:t>
      </w:r>
      <w:sdt>
        <w:sdtPr>
          <w:id w:val="-516234012"/>
          <w:citation/>
        </w:sdtPr>
        <w:sdtEndPr/>
        <w:sdtContent>
          <w:r w:rsidR="007B2B2A" w:rsidRPr="00C85476">
            <w:fldChar w:fldCharType="begin"/>
          </w:r>
          <w:r w:rsidR="008B6ACC" w:rsidRPr="00C85476">
            <w:instrText xml:space="preserve"> CITATION The90 \l 3081 </w:instrText>
          </w:r>
          <w:r w:rsidR="007B2B2A" w:rsidRPr="00C85476">
            <w:fldChar w:fldCharType="separate"/>
          </w:r>
          <w:r w:rsidR="001F6F42">
            <w:rPr>
              <w:noProof/>
            </w:rPr>
            <w:t>(The Regulations, 1990)</w:t>
          </w:r>
          <w:r w:rsidR="007B2B2A" w:rsidRPr="00C85476">
            <w:fldChar w:fldCharType="end"/>
          </w:r>
        </w:sdtContent>
      </w:sdt>
      <w:r w:rsidRPr="00C85476">
        <w:t xml:space="preserve"> and revised in 1996</w:t>
      </w:r>
      <w:r w:rsidR="008B6ACC" w:rsidRPr="00C85476">
        <w:t xml:space="preserve"> </w:t>
      </w:r>
      <w:r w:rsidRPr="00C85476">
        <w:t>and w</w:t>
      </w:r>
      <w:r w:rsidR="008B6ACC" w:rsidRPr="00C85476">
        <w:t>ere</w:t>
      </w:r>
      <w:r w:rsidRPr="00C85476">
        <w:t xml:space="preserve"> based on average public service salary r</w:t>
      </w:r>
      <w:r w:rsidR="008B6ACC" w:rsidRPr="00C85476">
        <w:t>ates applicable at that time ($</w:t>
      </w:r>
      <w:r w:rsidRPr="00C85476">
        <w:t>53 per hour).</w:t>
      </w:r>
      <w:r w:rsidR="00A141BC" w:rsidRPr="00C85476">
        <w:t xml:space="preserve"> The fees h</w:t>
      </w:r>
      <w:r w:rsidR="00C122A1" w:rsidRPr="00C85476">
        <w:t>ave not been changed since 1996, and have a maximum total cap of $8,000 prescribed in the Act.</w:t>
      </w:r>
      <w:r w:rsidR="00A141BC" w:rsidRPr="00C85476">
        <w:t xml:space="preserve"> The fees were initially set with the knowledge that they would only achieve partial cost recovery, but that they were unlikely to inhibit the regulatory objective, which might occur if the full costs of regulation were charged. </w:t>
      </w:r>
      <w:sdt>
        <w:sdtPr>
          <w:id w:val="719331265"/>
          <w:citation/>
        </w:sdtPr>
        <w:sdtEndPr/>
        <w:sdtContent>
          <w:r w:rsidR="007B2B2A" w:rsidRPr="00C85476">
            <w:fldChar w:fldCharType="begin"/>
          </w:r>
          <w:r w:rsidR="00A141BC" w:rsidRPr="00C85476">
            <w:instrText xml:space="preserve">CITATION DSE11 \p 10 \l 3081 </w:instrText>
          </w:r>
          <w:r w:rsidR="007B2B2A" w:rsidRPr="00C85476">
            <w:fldChar w:fldCharType="separate"/>
          </w:r>
          <w:r w:rsidR="001F6F42">
            <w:rPr>
              <w:noProof/>
            </w:rPr>
            <w:t>(DSEWPaC, 2011, p. 10)</w:t>
          </w:r>
          <w:r w:rsidR="007B2B2A" w:rsidRPr="00C85476">
            <w:fldChar w:fldCharType="end"/>
          </w:r>
        </w:sdtContent>
      </w:sdt>
      <w:r w:rsidR="00A141BC" w:rsidRPr="00C85476">
        <w:t>.</w:t>
      </w:r>
    </w:p>
    <w:p w14:paraId="0ECC9B2E" w14:textId="5F490313" w:rsidR="00D851CD" w:rsidRPr="00C85476" w:rsidRDefault="008B6ACC" w:rsidP="00D851CD">
      <w:r w:rsidRPr="00C85476">
        <w:t>In relation to the question of the achievement of regulatory objectives if the full costs of regulation are charged, the</w:t>
      </w:r>
      <w:r w:rsidR="00D851CD" w:rsidRPr="00C85476">
        <w:t xml:space="preserve"> recent </w:t>
      </w:r>
      <w:r w:rsidR="00420851">
        <w:t>DoE</w:t>
      </w:r>
      <w:r w:rsidR="00D851CD" w:rsidRPr="00C85476">
        <w:t xml:space="preserve"> </w:t>
      </w:r>
      <w:sdt>
        <w:sdtPr>
          <w:id w:val="1602527036"/>
          <w:citation/>
        </w:sdtPr>
        <w:sdtEndPr/>
        <w:sdtContent>
          <w:r w:rsidR="007B2B2A" w:rsidRPr="00C85476">
            <w:fldChar w:fldCharType="begin"/>
          </w:r>
          <w:r w:rsidR="00420851">
            <w:instrText xml:space="preserve">CITATION The15 \p 27 \n  \l 3081 </w:instrText>
          </w:r>
          <w:r w:rsidR="007B2B2A" w:rsidRPr="00C85476">
            <w:fldChar w:fldCharType="separate"/>
          </w:r>
          <w:r w:rsidR="001F6F42">
            <w:rPr>
              <w:noProof/>
            </w:rPr>
            <w:t>(2015, p. 27)</w:t>
          </w:r>
          <w:r w:rsidR="007B2B2A" w:rsidRPr="00C85476">
            <w:fldChar w:fldCharType="end"/>
          </w:r>
        </w:sdtContent>
      </w:sdt>
      <w:r w:rsidR="00D851CD" w:rsidRPr="00C85476">
        <w:t xml:space="preserve"> study </w:t>
      </w:r>
      <w:r w:rsidR="00C122A1" w:rsidRPr="00C85476">
        <w:t>concluded</w:t>
      </w:r>
      <w:r w:rsidR="00D851CD" w:rsidRPr="00C85476">
        <w:t xml:space="preserve"> that:</w:t>
      </w:r>
    </w:p>
    <w:p w14:paraId="5A69EF5A" w14:textId="77777777" w:rsidR="00C54A96" w:rsidRPr="00C85476" w:rsidRDefault="00C54A96" w:rsidP="00C54A96">
      <w:pPr>
        <w:spacing w:after="240"/>
        <w:ind w:left="567" w:right="567"/>
        <w:rPr>
          <w:i/>
          <w:sz w:val="20"/>
        </w:rPr>
      </w:pPr>
      <w:r w:rsidRPr="00C85476">
        <w:rPr>
          <w:i/>
          <w:sz w:val="20"/>
        </w:rPr>
        <w:t>The consultation process highlighted some circumstances where higher fees (based on full cost recovery) could contribute to adverse environmental outcomes, which would be inconsistent with the overarching policy objectives…Nevertheless, these adverse environmental outcomes are likely to occur in a relatively low proportion of cases. The efficiency benefits outlined above should therefore outweigh these costs.</w:t>
      </w:r>
    </w:p>
    <w:p w14:paraId="2D104004" w14:textId="6FB2EA02" w:rsidR="00D851CD" w:rsidRPr="00C85476" w:rsidRDefault="00420851" w:rsidP="00D851CD">
      <w:r>
        <w:t>The DoE report</w:t>
      </w:r>
      <w:r w:rsidR="00D851CD" w:rsidRPr="00C85476">
        <w:t xml:space="preserve"> </w:t>
      </w:r>
      <w:sdt>
        <w:sdtPr>
          <w:id w:val="-1815252596"/>
          <w:citation/>
        </w:sdtPr>
        <w:sdtEndPr/>
        <w:sdtContent>
          <w:r w:rsidR="007B2B2A" w:rsidRPr="00C85476">
            <w:fldChar w:fldCharType="begin"/>
          </w:r>
          <w:r>
            <w:instrText xml:space="preserve">CITATION The15 \p 27 \n  \l 3081 </w:instrText>
          </w:r>
          <w:r w:rsidR="007B2B2A" w:rsidRPr="00C85476">
            <w:fldChar w:fldCharType="separate"/>
          </w:r>
          <w:r w:rsidR="001F6F42">
            <w:rPr>
              <w:noProof/>
            </w:rPr>
            <w:t>(2015, p. 27)</w:t>
          </w:r>
          <w:r w:rsidR="007B2B2A" w:rsidRPr="00C85476">
            <w:fldChar w:fldCharType="end"/>
          </w:r>
        </w:sdtContent>
      </w:sdt>
      <w:r w:rsidR="00D851CD" w:rsidRPr="00C85476">
        <w:t xml:space="preserve"> recommends that </w:t>
      </w:r>
      <w:r w:rsidR="00C54A96" w:rsidRPr="00C85476">
        <w:t>‘</w:t>
      </w:r>
      <w:r w:rsidRPr="00420851">
        <w:t>the costs incurred by the Commonwealth Government that can be directly linked to specific applications should be recovered through cost reflective charges.</w:t>
      </w:r>
      <w:r w:rsidR="00C54A96" w:rsidRPr="00C85476">
        <w:t>’</w:t>
      </w:r>
      <w:r w:rsidR="00D851CD" w:rsidRPr="00C85476">
        <w:t xml:space="preserve"> There is a two part fee structure proposed</w:t>
      </w:r>
      <w:r w:rsidR="00113B89">
        <w:t xml:space="preserve">, with annual increases indexed to the </w:t>
      </w:r>
      <w:r w:rsidR="00113B89" w:rsidRPr="00113B89">
        <w:t>Consumer Price Index (CPI)</w:t>
      </w:r>
      <w:r w:rsidR="00113B89">
        <w:t>. The fee structure consists</w:t>
      </w:r>
      <w:r w:rsidR="00D851CD" w:rsidRPr="00C85476">
        <w:t xml:space="preserve"> of a fixed fee component</w:t>
      </w:r>
      <w:r w:rsidR="00113B89">
        <w:t>,</w:t>
      </w:r>
      <w:r w:rsidR="00D851CD" w:rsidRPr="00C85476">
        <w:t xml:space="preserve"> which is dependent on the type of permit (varying from $</w:t>
      </w:r>
      <w:r w:rsidR="005763B1" w:rsidRPr="005763B1">
        <w:t>6</w:t>
      </w:r>
      <w:r w:rsidR="005763B1">
        <w:t>,001–</w:t>
      </w:r>
      <w:r w:rsidR="005763B1" w:rsidRPr="005763B1">
        <w:t>$42,072</w:t>
      </w:r>
      <w:r w:rsidR="00D851CD" w:rsidRPr="00C85476">
        <w:t xml:space="preserve"> per permit</w:t>
      </w:r>
      <w:r>
        <w:t xml:space="preserve"> in </w:t>
      </w:r>
      <w:r w:rsidR="00113B89">
        <w:t>2017</w:t>
      </w:r>
      <w:r w:rsidR="005763B1">
        <w:t>, excluding the re-lodgement fee</w:t>
      </w:r>
      <w:r w:rsidR="00D851CD" w:rsidRPr="00C85476">
        <w:t>), and a variable fee component based on the weight of the</w:t>
      </w:r>
      <w:r w:rsidR="005763B1">
        <w:t xml:space="preserve"> hazardous waste shipment ($2</w:t>
      </w:r>
      <w:r w:rsidR="00D851CD" w:rsidRPr="00C85476">
        <w:t xml:space="preserve"> per tonne</w:t>
      </w:r>
      <w:r w:rsidR="00113B89">
        <w:t xml:space="preserve"> in 2017</w:t>
      </w:r>
      <w:r w:rsidR="00D851CD" w:rsidRPr="00C85476">
        <w:t>)</w:t>
      </w:r>
      <w:r w:rsidR="00113B89">
        <w:t xml:space="preserve"> </w:t>
      </w:r>
      <w:sdt>
        <w:sdtPr>
          <w:id w:val="-768995060"/>
          <w:citation/>
        </w:sdtPr>
        <w:sdtEndPr/>
        <w:sdtContent>
          <w:r w:rsidR="00113B89" w:rsidRPr="00C85476">
            <w:fldChar w:fldCharType="begin"/>
          </w:r>
          <w:r w:rsidR="00113B89">
            <w:instrText xml:space="preserve">CITATION The15 \p 28 \l 3081 </w:instrText>
          </w:r>
          <w:r w:rsidR="00113B89" w:rsidRPr="00C85476">
            <w:fldChar w:fldCharType="separate"/>
          </w:r>
          <w:r w:rsidR="001F6F42">
            <w:rPr>
              <w:noProof/>
            </w:rPr>
            <w:t>(DoE, 2015, p. 28)</w:t>
          </w:r>
          <w:r w:rsidR="00113B89" w:rsidRPr="00C85476">
            <w:fldChar w:fldCharType="end"/>
          </w:r>
        </w:sdtContent>
      </w:sdt>
      <w:r w:rsidR="00D851CD" w:rsidRPr="00C85476">
        <w:t>.</w:t>
      </w:r>
    </w:p>
    <w:p w14:paraId="637497A4" w14:textId="77777777" w:rsidR="001A3878" w:rsidRPr="00C85476" w:rsidRDefault="001A3878" w:rsidP="00551F05">
      <w:pPr>
        <w:pStyle w:val="Heading4"/>
      </w:pPr>
      <w:r w:rsidRPr="00C85476">
        <w:t>Reform option regulatory status</w:t>
      </w:r>
    </w:p>
    <w:p w14:paraId="0AEA65A5" w14:textId="77777777" w:rsidR="00D851CD" w:rsidRPr="00C85476" w:rsidRDefault="00C122A1" w:rsidP="00D851CD">
      <w:r w:rsidRPr="00C85476">
        <w:t>This is a legislated reform option.</w:t>
      </w:r>
    </w:p>
    <w:p w14:paraId="5D4A101B" w14:textId="77777777" w:rsidR="001A3878" w:rsidRPr="00C85476" w:rsidRDefault="001A3878" w:rsidP="00551F05">
      <w:pPr>
        <w:pStyle w:val="Heading4"/>
      </w:pPr>
      <w:r w:rsidRPr="00C85476">
        <w:t>Reform option purpose</w:t>
      </w:r>
    </w:p>
    <w:p w14:paraId="7D58B93E" w14:textId="1630A347" w:rsidR="002A5209" w:rsidRPr="00705AAE" w:rsidRDefault="00E94FA0" w:rsidP="002A5209">
      <w:r w:rsidRPr="00E94FA0">
        <w:t>Improve Australian hazardous waste reg</w:t>
      </w:r>
      <w:r>
        <w:t>ulation and/or reduced red tape</w:t>
      </w:r>
      <w:r w:rsidR="002A5209" w:rsidRPr="00705AAE">
        <w:t>.</w:t>
      </w:r>
    </w:p>
    <w:p w14:paraId="4FC76CC5" w14:textId="77777777" w:rsidR="001A3878" w:rsidRPr="00C85476" w:rsidRDefault="001A3878" w:rsidP="00551F05">
      <w:pPr>
        <w:pStyle w:val="Heading4"/>
      </w:pPr>
      <w:r w:rsidRPr="00C85476">
        <w:lastRenderedPageBreak/>
        <w:t>Stakeholder feedback</w:t>
      </w:r>
    </w:p>
    <w:p w14:paraId="30A4951D" w14:textId="799D2761" w:rsidR="006E3F33" w:rsidRPr="00C85476" w:rsidRDefault="00744048" w:rsidP="006E3F33">
      <w:r>
        <w:t>Eight</w:t>
      </w:r>
      <w:r w:rsidR="002A5209" w:rsidRPr="00C85476">
        <w:t xml:space="preserve"> respondents </w:t>
      </w:r>
      <w:r w:rsidR="006E3F33" w:rsidRPr="00C85476">
        <w:t>support</w:t>
      </w:r>
      <w:r w:rsidR="002A5209">
        <w:t>ed</w:t>
      </w:r>
      <w:r w:rsidR="006E3F33" w:rsidRPr="00C85476">
        <w:t xml:space="preserve"> </w:t>
      </w:r>
      <w:r w:rsidR="002A5209">
        <w:t xml:space="preserve">this </w:t>
      </w:r>
      <w:r w:rsidR="006E3F33" w:rsidRPr="00C85476">
        <w:t>reform proposal</w:t>
      </w:r>
      <w:r w:rsidR="002A5209">
        <w:t>, and</w:t>
      </w:r>
      <w:r w:rsidR="005C36B7">
        <w:t xml:space="preserve"> </w:t>
      </w:r>
      <w:r w:rsidR="006E3F33" w:rsidRPr="00C85476">
        <w:t>two indicat</w:t>
      </w:r>
      <w:r w:rsidR="002A5209">
        <w:t xml:space="preserve">ed </w:t>
      </w:r>
      <w:r w:rsidR="006E3F33" w:rsidRPr="00C85476">
        <w:t xml:space="preserve">opposition. Specific comments </w:t>
      </w:r>
      <w:r w:rsidR="002A5209">
        <w:t xml:space="preserve">in support </w:t>
      </w:r>
      <w:r w:rsidR="006E3F33" w:rsidRPr="00C85476">
        <w:t>included:</w:t>
      </w:r>
    </w:p>
    <w:p w14:paraId="34F94151" w14:textId="77777777" w:rsidR="006E3F33" w:rsidRPr="00C85476" w:rsidRDefault="006E3F33" w:rsidP="00B72AC3">
      <w:pPr>
        <w:pStyle w:val="BulletPoints"/>
      </w:pPr>
      <w:r w:rsidRPr="00C85476">
        <w:t xml:space="preserve">Current arrangements are meeting </w:t>
      </w:r>
      <w:r w:rsidR="004D7E45">
        <w:t xml:space="preserve">a </w:t>
      </w:r>
      <w:r w:rsidRPr="00C85476">
        <w:t>fraction of costs. There would be value in more appropriately matching true costs of service to users, and accurate costs of waste removal to inform producers so as to minimise production (</w:t>
      </w:r>
      <w:r w:rsidR="00D56453">
        <w:t>Confidential response</w:t>
      </w:r>
      <w:r w:rsidRPr="00C85476">
        <w:t>).</w:t>
      </w:r>
    </w:p>
    <w:p w14:paraId="594B9AB7" w14:textId="77777777" w:rsidR="006E3F33" w:rsidRDefault="002A5209" w:rsidP="00B72AC3">
      <w:pPr>
        <w:pStyle w:val="BulletPoints"/>
      </w:pPr>
      <w:r>
        <w:t>F</w:t>
      </w:r>
      <w:r w:rsidR="006E3F33" w:rsidRPr="00C85476">
        <w:t xml:space="preserve">ull cost recovery on export permit applications with extra built in to fund resources for auditing, investigation and enforcement action </w:t>
      </w:r>
      <w:r>
        <w:t xml:space="preserve">is supported </w:t>
      </w:r>
      <w:r w:rsidR="006E3F33" w:rsidRPr="00C85476">
        <w:t>(</w:t>
      </w:r>
      <w:r w:rsidR="00D4107A">
        <w:t>Confidential response</w:t>
      </w:r>
      <w:r w:rsidR="006E3F33" w:rsidRPr="00C85476">
        <w:t>).</w:t>
      </w:r>
    </w:p>
    <w:p w14:paraId="1CFCA263" w14:textId="77BD3E3F" w:rsidR="00744048" w:rsidRPr="00C85476" w:rsidRDefault="00744048" w:rsidP="00744048">
      <w:pPr>
        <w:pStyle w:val="BulletPoints"/>
      </w:pPr>
      <w:r>
        <w:t>[Our jurisdiction]</w:t>
      </w:r>
      <w:r w:rsidRPr="00744048">
        <w:t xml:space="preserve"> is moving to cost recovery and if the Commonwealth is recovering the true cost of import/export permits then the cost should include state/territory costs</w:t>
      </w:r>
      <w:r>
        <w:t xml:space="preserve"> </w:t>
      </w:r>
      <w:r w:rsidRPr="00C85476">
        <w:t>(</w:t>
      </w:r>
      <w:r>
        <w:t>Confidential response</w:t>
      </w:r>
      <w:r w:rsidRPr="00C85476">
        <w:t>)</w:t>
      </w:r>
      <w:r w:rsidRPr="00744048">
        <w:t>.</w:t>
      </w:r>
    </w:p>
    <w:p w14:paraId="447B3399" w14:textId="77777777" w:rsidR="006E3F33" w:rsidRPr="00C85476" w:rsidRDefault="006E3F33" w:rsidP="00B72AC3">
      <w:pPr>
        <w:pStyle w:val="BulletPoints"/>
      </w:pPr>
      <w:r w:rsidRPr="00C85476">
        <w:t>[Cost recovery] provides further incentive to develop options for treatment in Australia and is in line with the ‘User Pays’ principle in terms of the cost of administration/licensing/enforcement (WMAA Queensland Branch).</w:t>
      </w:r>
    </w:p>
    <w:p w14:paraId="45775B9C" w14:textId="77777777" w:rsidR="006E3F33" w:rsidRPr="00C85476" w:rsidRDefault="006E3F33" w:rsidP="00B72AC3">
      <w:pPr>
        <w:pStyle w:val="BulletPoints"/>
        <w:spacing w:after="240"/>
      </w:pPr>
      <w:r w:rsidRPr="00C85476">
        <w:t>New applications should be assessed and charged differently from renewals (same product to the same destination) (Dodd &amp; Dodd Group).</w:t>
      </w:r>
    </w:p>
    <w:p w14:paraId="0F024026" w14:textId="77777777" w:rsidR="00B72AC3" w:rsidRPr="00C85476" w:rsidRDefault="00B72AC3" w:rsidP="00B72AC3">
      <w:r w:rsidRPr="00C85476">
        <w:t>Points made in opposition were:</w:t>
      </w:r>
    </w:p>
    <w:p w14:paraId="6463A86D" w14:textId="77777777" w:rsidR="00D851CD" w:rsidRPr="00C85476" w:rsidRDefault="006E3F33" w:rsidP="00B72AC3">
      <w:pPr>
        <w:pStyle w:val="BulletPoints"/>
      </w:pPr>
      <w:r w:rsidRPr="00C85476">
        <w:t xml:space="preserve">This </w:t>
      </w:r>
      <w:r w:rsidR="00B72AC3" w:rsidRPr="00C85476">
        <w:t xml:space="preserve">[reform] </w:t>
      </w:r>
      <w:r w:rsidRPr="00C85476">
        <w:t>may provide less responsible operators with an incentive not to apply for an export permit, i.e. to export waste products for recycling without a permit. The administrative cost of applying for a permit is already very high. Increasing fees and charges will increase total costs</w:t>
      </w:r>
      <w:r w:rsidR="00B72AC3" w:rsidRPr="00C85476">
        <w:t xml:space="preserve"> (ABRI)</w:t>
      </w:r>
      <w:r w:rsidRPr="00C85476">
        <w:t>.</w:t>
      </w:r>
    </w:p>
    <w:p w14:paraId="5E414765" w14:textId="77777777" w:rsidR="00D851CD" w:rsidRPr="00C85476" w:rsidRDefault="00D851CD" w:rsidP="00B72AC3">
      <w:pPr>
        <w:pStyle w:val="BulletPoints"/>
        <w:spacing w:after="240"/>
      </w:pPr>
      <w:r w:rsidRPr="00C85476">
        <w:t>I don’t believe that the introduction of a weight</w:t>
      </w:r>
      <w:r w:rsidR="00B72AC3" w:rsidRPr="00C85476">
        <w:t>-</w:t>
      </w:r>
      <w:r w:rsidRPr="00C85476">
        <w:t>based</w:t>
      </w:r>
      <w:r w:rsidR="006E3F33" w:rsidRPr="00C85476">
        <w:t xml:space="preserve"> </w:t>
      </w:r>
      <w:r w:rsidRPr="00C85476">
        <w:t>charging would be appropriate, as I don’t believe that the costs incurred by the department</w:t>
      </w:r>
      <w:r w:rsidR="006E3F33" w:rsidRPr="00C85476">
        <w:t xml:space="preserve"> a</w:t>
      </w:r>
      <w:r w:rsidRPr="00C85476">
        <w:t>re proportional to the volumes of wastes involved in the application, but rather the type of waste,</w:t>
      </w:r>
      <w:r w:rsidR="006E3F33" w:rsidRPr="00C85476">
        <w:t xml:space="preserve"> </w:t>
      </w:r>
      <w:r w:rsidRPr="00C85476">
        <w:t xml:space="preserve">the destination country, the final fate (destruction vs recycling), and </w:t>
      </w:r>
      <w:r w:rsidR="00B72AC3" w:rsidRPr="00C85476">
        <w:t>the number of transit countries (</w:t>
      </w:r>
      <w:r w:rsidR="00D56453">
        <w:t>Confidential response</w:t>
      </w:r>
      <w:r w:rsidR="00B72AC3" w:rsidRPr="00C85476">
        <w:t>).</w:t>
      </w:r>
    </w:p>
    <w:p w14:paraId="095CD9D1" w14:textId="77777777" w:rsidR="006C40C9" w:rsidRPr="00C85476" w:rsidRDefault="006C40C9" w:rsidP="00551F05">
      <w:pPr>
        <w:pStyle w:val="Heading4"/>
      </w:pPr>
      <w:r w:rsidRPr="00C85476">
        <w:t>Barriers and implementation timeframe</w:t>
      </w:r>
    </w:p>
    <w:p w14:paraId="4A1CDE86" w14:textId="77777777" w:rsidR="002A5209" w:rsidRDefault="00BB232A" w:rsidP="00EB3382">
      <w:r w:rsidRPr="00C85476">
        <w:t xml:space="preserve">The most significant potential barrier </w:t>
      </w:r>
      <w:r w:rsidR="002A5209">
        <w:t>to this reform option is</w:t>
      </w:r>
      <w:r w:rsidRPr="00C85476">
        <w:t xml:space="preserve"> </w:t>
      </w:r>
      <w:r w:rsidR="00EE3EF5" w:rsidRPr="00C85476">
        <w:t xml:space="preserve">the potential incentive to illegally export hazardous wastes without an export permit, </w:t>
      </w:r>
      <w:r w:rsidR="002A5209">
        <w:t xml:space="preserve">to increase </w:t>
      </w:r>
      <w:r w:rsidR="002A5209" w:rsidRPr="00C85476">
        <w:t>hazardous waste disposed to landfill</w:t>
      </w:r>
      <w:r w:rsidR="002A5209">
        <w:t>, and to store hazardous wastes.</w:t>
      </w:r>
    </w:p>
    <w:p w14:paraId="50918BFA" w14:textId="77777777" w:rsidR="00BB232A" w:rsidRPr="00C85476" w:rsidRDefault="00EB3382" w:rsidP="00EB3382">
      <w:r w:rsidRPr="00C85476">
        <w:t>Only one</w:t>
      </w:r>
      <w:r w:rsidR="00BB232A" w:rsidRPr="00C85476">
        <w:t xml:space="preserve"> stakeholder proposed </w:t>
      </w:r>
      <w:r w:rsidRPr="00C85476">
        <w:t>a phase in period</w:t>
      </w:r>
      <w:r w:rsidR="00BB232A" w:rsidRPr="00C85476">
        <w:t xml:space="preserve"> for the reform option. </w:t>
      </w:r>
      <w:r w:rsidRPr="00C85476">
        <w:t>WMAA Queensland Branch suggested</w:t>
      </w:r>
      <w:r w:rsidR="00BB232A" w:rsidRPr="00C85476">
        <w:t xml:space="preserve"> advanced warning of at least </w:t>
      </w:r>
      <w:r w:rsidRPr="00C85476">
        <w:t>three years</w:t>
      </w:r>
      <w:r w:rsidR="00BB232A" w:rsidRPr="00C85476">
        <w:t>.</w:t>
      </w:r>
    </w:p>
    <w:p w14:paraId="7AB3D2BA" w14:textId="77777777" w:rsidR="001A3878" w:rsidRPr="00C85476" w:rsidRDefault="001A3878" w:rsidP="00551F05">
      <w:pPr>
        <w:pStyle w:val="Heading4"/>
      </w:pPr>
      <w:r w:rsidRPr="00C85476">
        <w:t>Recommendation</w:t>
      </w:r>
    </w:p>
    <w:p w14:paraId="5FA832C3" w14:textId="77777777" w:rsidR="003912D4" w:rsidRPr="00C85476" w:rsidRDefault="003912D4" w:rsidP="00EB3382">
      <w:r w:rsidRPr="00C85476">
        <w:t xml:space="preserve">It is recommended that </w:t>
      </w:r>
      <w:r w:rsidR="007F1AC8">
        <w:t>this reform option be</w:t>
      </w:r>
      <w:r w:rsidR="005C36B7">
        <w:t xml:space="preserve"> </w:t>
      </w:r>
      <w:r w:rsidR="00724DDC">
        <w:t xml:space="preserve">assessed </w:t>
      </w:r>
      <w:r w:rsidR="00724DDC" w:rsidRPr="00C85476">
        <w:t>in</w:t>
      </w:r>
      <w:r w:rsidRPr="00C85476">
        <w:t xml:space="preserve"> the cost-benefit analysis.</w:t>
      </w:r>
    </w:p>
    <w:p w14:paraId="52B05328" w14:textId="77777777" w:rsidR="00E358EA" w:rsidRPr="00C85476" w:rsidRDefault="00451197" w:rsidP="00B8329E">
      <w:pPr>
        <w:pStyle w:val="Heading2"/>
      </w:pPr>
      <w:bookmarkStart w:id="64" w:name="_Toc426022042"/>
      <w:r>
        <w:lastRenderedPageBreak/>
        <w:t xml:space="preserve">Option </w:t>
      </w:r>
      <w:r w:rsidR="00D851CD" w:rsidRPr="00C85476">
        <w:t xml:space="preserve">f) </w:t>
      </w:r>
      <w:r w:rsidR="00E358EA" w:rsidRPr="00C85476">
        <w:t>Increased transparency on the operations of the Act</w:t>
      </w:r>
      <w:bookmarkEnd w:id="64"/>
    </w:p>
    <w:p w14:paraId="51730A16" w14:textId="77777777" w:rsidR="001A3878" w:rsidRPr="00C85476" w:rsidRDefault="005D7C22" w:rsidP="00E90FD5">
      <w:pPr>
        <w:pStyle w:val="Heading4"/>
        <w:keepLines/>
      </w:pPr>
      <w:r w:rsidRPr="00C85476">
        <w:t>Reform option description</w:t>
      </w:r>
    </w:p>
    <w:p w14:paraId="4556BEB1" w14:textId="77777777" w:rsidR="004D6713" w:rsidRPr="00705AAE" w:rsidRDefault="004D6713" w:rsidP="00E90FD5">
      <w:pPr>
        <w:keepNext/>
        <w:keepLines/>
        <w:rPr>
          <w:i/>
        </w:rPr>
      </w:pPr>
      <w:r w:rsidRPr="00705AAE">
        <w:rPr>
          <w:i/>
        </w:rPr>
        <w:t>Increased transparency on the operations of the Act, in particular increased communications on import and export applications, and the issuing of permits.</w:t>
      </w:r>
    </w:p>
    <w:p w14:paraId="2BDE57D4" w14:textId="77777777" w:rsidR="004D6713" w:rsidRPr="00C85476" w:rsidRDefault="004D6713" w:rsidP="00551F05">
      <w:pPr>
        <w:pStyle w:val="Heading4"/>
      </w:pPr>
      <w:r>
        <w:t>C</w:t>
      </w:r>
      <w:r w:rsidRPr="00C85476">
        <w:t>ontext</w:t>
      </w:r>
    </w:p>
    <w:p w14:paraId="0BDC3D74" w14:textId="41E31C84" w:rsidR="00C575D0" w:rsidRPr="00C85476" w:rsidRDefault="002A5209" w:rsidP="00D851CD">
      <w:r>
        <w:t>T</w:t>
      </w:r>
      <w:r w:rsidR="00D15B48" w:rsidRPr="00C85476">
        <w:t xml:space="preserve">he </w:t>
      </w:r>
      <w:r w:rsidR="00C575D0" w:rsidRPr="00C85476">
        <w:t>Department of the Environment</w:t>
      </w:r>
      <w:r w:rsidR="00D15B48" w:rsidRPr="00C85476">
        <w:t>’s 2012 review of the Act and Regulations found that</w:t>
      </w:r>
      <w:r w:rsidR="00C575D0" w:rsidRPr="00C85476">
        <w:t xml:space="preserve"> </w:t>
      </w:r>
      <w:sdt>
        <w:sdtPr>
          <w:id w:val="321939531"/>
          <w:citation/>
        </w:sdtPr>
        <w:sdtEndPr/>
        <w:sdtContent>
          <w:r w:rsidR="007B2B2A" w:rsidRPr="00C85476">
            <w:fldChar w:fldCharType="begin"/>
          </w:r>
          <w:r w:rsidR="00575421">
            <w:instrText xml:space="preserve">CITATION Dep13 \p 43 \n  \l 3081 </w:instrText>
          </w:r>
          <w:r w:rsidR="007B2B2A" w:rsidRPr="00C85476">
            <w:fldChar w:fldCharType="separate"/>
          </w:r>
          <w:r w:rsidR="001F6F42">
            <w:rPr>
              <w:noProof/>
            </w:rPr>
            <w:t>(2012, p. 43)</w:t>
          </w:r>
          <w:r w:rsidR="007B2B2A" w:rsidRPr="00C85476">
            <w:fldChar w:fldCharType="end"/>
          </w:r>
        </w:sdtContent>
      </w:sdt>
      <w:r w:rsidR="00C575D0" w:rsidRPr="00C85476">
        <w:t>:</w:t>
      </w:r>
    </w:p>
    <w:p w14:paraId="1B2E5206" w14:textId="77777777" w:rsidR="00D851CD" w:rsidRPr="00C85476" w:rsidRDefault="00D15B48" w:rsidP="00D15B48">
      <w:pPr>
        <w:spacing w:after="240"/>
        <w:ind w:left="567" w:right="567"/>
        <w:rPr>
          <w:i/>
          <w:sz w:val="20"/>
        </w:rPr>
      </w:pPr>
      <w:r w:rsidRPr="00C85476">
        <w:rPr>
          <w:i/>
          <w:sz w:val="20"/>
        </w:rPr>
        <w:t>The Act</w:t>
      </w:r>
      <w:r w:rsidR="002A5209">
        <w:rPr>
          <w:i/>
          <w:sz w:val="20"/>
        </w:rPr>
        <w:t xml:space="preserve"> </w:t>
      </w:r>
      <w:r w:rsidR="00D851CD" w:rsidRPr="00C85476">
        <w:rPr>
          <w:i/>
          <w:sz w:val="20"/>
        </w:rPr>
        <w:t>requires the publication of certain particulars in the Government Notices Gazette, including the particulars of each application received and each permit granted, not granted, revoked, surrendered or varied.</w:t>
      </w:r>
      <w:r w:rsidRPr="00C85476">
        <w:rPr>
          <w:i/>
          <w:sz w:val="20"/>
        </w:rPr>
        <w:t xml:space="preserve"> </w:t>
      </w:r>
      <w:r w:rsidR="00D851CD" w:rsidRPr="00C85476">
        <w:rPr>
          <w:i/>
          <w:sz w:val="20"/>
        </w:rPr>
        <w:t>It would be more effici</w:t>
      </w:r>
      <w:r w:rsidRPr="00C85476">
        <w:rPr>
          <w:i/>
          <w:sz w:val="20"/>
        </w:rPr>
        <w:t xml:space="preserve">ent, in officer time and cost, </w:t>
      </w:r>
      <w:r w:rsidR="00D851CD" w:rsidRPr="00C85476">
        <w:rPr>
          <w:i/>
          <w:sz w:val="20"/>
        </w:rPr>
        <w:t>if this requirement were amended to require publication on the Department’s website. It would also be more convenient for applicants and other interested parties to be able to access all material concerning permits on the Department’s website.</w:t>
      </w:r>
    </w:p>
    <w:p w14:paraId="5B0D8393" w14:textId="77777777" w:rsidR="00D851CD" w:rsidRPr="00C85476" w:rsidRDefault="00DE45A4" w:rsidP="00D851CD">
      <w:r w:rsidRPr="00C85476">
        <w:t>The Department’s report proposed amending the Act to remove the requirement to publish notices in the Gazette, and allow notices to be published on the Department’s website.</w:t>
      </w:r>
    </w:p>
    <w:p w14:paraId="307D7E9D" w14:textId="77777777" w:rsidR="00A4201C" w:rsidRPr="00C85476" w:rsidRDefault="00A4201C" w:rsidP="00D851CD">
      <w:r w:rsidRPr="00C85476">
        <w:t xml:space="preserve">The reform option was </w:t>
      </w:r>
      <w:r w:rsidR="009560C6" w:rsidRPr="00C85476">
        <w:t>described in quite general terms</w:t>
      </w:r>
      <w:r w:rsidRPr="00C85476">
        <w:t xml:space="preserve"> to stakeholders in the round of consultation undertaken for this report, and a range of interpretations and responses were received, all of which were supportive</w:t>
      </w:r>
      <w:r w:rsidR="009560C6" w:rsidRPr="00C85476">
        <w:t xml:space="preserve"> of reviewing and updating communications on the operations of the Act.</w:t>
      </w:r>
    </w:p>
    <w:p w14:paraId="596F0934" w14:textId="77777777" w:rsidR="001A3878" w:rsidRPr="00C85476" w:rsidRDefault="001A3878" w:rsidP="00551F05">
      <w:pPr>
        <w:pStyle w:val="Heading4"/>
      </w:pPr>
      <w:r w:rsidRPr="00C85476">
        <w:t>Reform option regulatory status</w:t>
      </w:r>
    </w:p>
    <w:p w14:paraId="13C0E443" w14:textId="77777777" w:rsidR="00D851CD" w:rsidRPr="00C85476" w:rsidRDefault="00C122A1" w:rsidP="00D851CD">
      <w:r w:rsidRPr="00C85476">
        <w:t>This is a quasi-regulatory reform option.</w:t>
      </w:r>
    </w:p>
    <w:p w14:paraId="6A01A60B" w14:textId="77777777" w:rsidR="001A3878" w:rsidRPr="00C85476" w:rsidRDefault="001A3878" w:rsidP="00551F05">
      <w:pPr>
        <w:pStyle w:val="Heading4"/>
      </w:pPr>
      <w:r w:rsidRPr="00C85476">
        <w:t>Reform option purpose</w:t>
      </w:r>
    </w:p>
    <w:p w14:paraId="5C4BEDAE" w14:textId="77777777" w:rsidR="009560C6" w:rsidRPr="00C85476" w:rsidRDefault="009560C6" w:rsidP="009560C6">
      <w:r w:rsidRPr="00C85476">
        <w:t>Improve Australian hazardous waste regulation and/or reduced red tape.</w:t>
      </w:r>
    </w:p>
    <w:p w14:paraId="67EA0573" w14:textId="77777777" w:rsidR="001A3878" w:rsidRPr="00C85476" w:rsidRDefault="001A3878" w:rsidP="00551F05">
      <w:pPr>
        <w:pStyle w:val="Heading4"/>
      </w:pPr>
      <w:r w:rsidRPr="00C85476">
        <w:t>Stakeholder feedback</w:t>
      </w:r>
    </w:p>
    <w:p w14:paraId="17DFF36F" w14:textId="77777777" w:rsidR="003912D4" w:rsidRPr="00C85476" w:rsidRDefault="00857021" w:rsidP="003912D4">
      <w:r>
        <w:t>Nine</w:t>
      </w:r>
      <w:r w:rsidR="003912D4" w:rsidRPr="00C85476">
        <w:t xml:space="preserve"> stakeholders commented </w:t>
      </w:r>
      <w:r w:rsidR="007A05A1">
        <w:t>on</w:t>
      </w:r>
      <w:r w:rsidR="003912D4" w:rsidRPr="00C85476">
        <w:t xml:space="preserve"> this reform option</w:t>
      </w:r>
      <w:r w:rsidR="002A5209">
        <w:t xml:space="preserve"> </w:t>
      </w:r>
      <w:r w:rsidR="003912D4" w:rsidRPr="00C85476">
        <w:t xml:space="preserve">with </w:t>
      </w:r>
      <w:r w:rsidR="00BF150B" w:rsidRPr="00C85476">
        <w:t>all in support</w:t>
      </w:r>
      <w:r w:rsidR="002A5209">
        <w:t>.</w:t>
      </w:r>
    </w:p>
    <w:p w14:paraId="058A96F6" w14:textId="77777777" w:rsidR="00D851CD" w:rsidRPr="00C85476" w:rsidRDefault="00BF150B" w:rsidP="00D851CD">
      <w:r w:rsidRPr="00C85476">
        <w:t xml:space="preserve">The </w:t>
      </w:r>
      <w:r w:rsidR="00D851CD" w:rsidRPr="00C85476">
        <w:t>QLD DEHP</w:t>
      </w:r>
      <w:r w:rsidRPr="00C85476">
        <w:t xml:space="preserve"> </w:t>
      </w:r>
      <w:r w:rsidR="00BB232A" w:rsidRPr="00C85476">
        <w:t xml:space="preserve">would like to see </w:t>
      </w:r>
      <w:r w:rsidR="00D851CD" w:rsidRPr="00C85476">
        <w:t>i</w:t>
      </w:r>
      <w:r w:rsidR="00BB232A" w:rsidRPr="00C85476">
        <w:t>ncreased transparency on export permit applications and the finer detail on what should get a permit or not, as well as information on operational definitions of what</w:t>
      </w:r>
      <w:r w:rsidR="00D851CD" w:rsidRPr="00C85476">
        <w:t xml:space="preserve"> constitutes a hazardous waste</w:t>
      </w:r>
      <w:r w:rsidR="00BB232A" w:rsidRPr="00C85476">
        <w:t xml:space="preserve"> versus </w:t>
      </w:r>
      <w:r w:rsidR="005F3ADB" w:rsidRPr="00C85476">
        <w:t>a strict interpretation of the Act and Regulations</w:t>
      </w:r>
      <w:r w:rsidR="00BB232A" w:rsidRPr="00C85476">
        <w:t>.</w:t>
      </w:r>
    </w:p>
    <w:p w14:paraId="30CE003C" w14:textId="77777777" w:rsidR="00DA20A0" w:rsidRPr="00C85476" w:rsidRDefault="00A602B7" w:rsidP="003D60C7">
      <w:pPr>
        <w:keepNext/>
        <w:keepLines/>
      </w:pPr>
      <w:r w:rsidRPr="00C85476">
        <w:lastRenderedPageBreak/>
        <w:t>Other comments in support included</w:t>
      </w:r>
      <w:r w:rsidR="00DA20A0" w:rsidRPr="00C85476">
        <w:t>:</w:t>
      </w:r>
    </w:p>
    <w:p w14:paraId="69EBBF5B" w14:textId="77777777" w:rsidR="00DA20A0" w:rsidRPr="00C85476" w:rsidRDefault="00D851CD" w:rsidP="003D60C7">
      <w:pPr>
        <w:pStyle w:val="BulletPoints"/>
        <w:keepNext/>
        <w:keepLines/>
      </w:pPr>
      <w:r w:rsidRPr="00C85476">
        <w:t>We used to see information and requests coming from the C</w:t>
      </w:r>
      <w:r w:rsidR="00705AAE">
        <w:t>ommonwealth</w:t>
      </w:r>
      <w:r w:rsidRPr="00C85476">
        <w:t xml:space="preserve"> however this seems to have reduced in recent years. Foreshadowing of upcoming restrictions to exports and imports would also be of interest. Also of interest would be a more formalised information sh</w:t>
      </w:r>
      <w:r w:rsidR="00DA20A0" w:rsidRPr="00C85476">
        <w:t xml:space="preserve">aring arrangement for when a </w:t>
      </w:r>
      <w:r w:rsidR="0085541F">
        <w:t>[locally]</w:t>
      </w:r>
      <w:r w:rsidRPr="00C85476">
        <w:t xml:space="preserve"> sourced export permit application is received, with the objective of giving </w:t>
      </w:r>
      <w:r w:rsidR="0085541F">
        <w:t>[our jurisdiction]</w:t>
      </w:r>
      <w:r w:rsidRPr="00C85476">
        <w:t xml:space="preserve"> an opportunity to influence the fate of the hazardous waste. Working groups or a 6-monthly communiqué could be optio</w:t>
      </w:r>
      <w:r w:rsidR="00A602B7" w:rsidRPr="00C85476">
        <w:t>ns for facilitating this option (</w:t>
      </w:r>
      <w:r w:rsidR="00D56453">
        <w:t>Confidential response</w:t>
      </w:r>
      <w:r w:rsidR="00A602B7" w:rsidRPr="00C85476">
        <w:t>).</w:t>
      </w:r>
    </w:p>
    <w:p w14:paraId="141903CB" w14:textId="77777777" w:rsidR="00D851CD" w:rsidRPr="00C85476" w:rsidRDefault="0085541F" w:rsidP="00A602B7">
      <w:pPr>
        <w:pStyle w:val="BulletPoints"/>
      </w:pPr>
      <w:r>
        <w:t>T</w:t>
      </w:r>
      <w:r w:rsidR="00D851CD" w:rsidRPr="00C85476">
        <w:t xml:space="preserve">here needs to be </w:t>
      </w:r>
      <w:r w:rsidR="00DA20A0" w:rsidRPr="00C85476">
        <w:t xml:space="preserve">[improved] </w:t>
      </w:r>
      <w:r w:rsidR="00D851CD" w:rsidRPr="00C85476">
        <w:t>transparency to help applicants and objectors to underst</w:t>
      </w:r>
      <w:r w:rsidR="00A602B7" w:rsidRPr="00C85476">
        <w:t>and the decision making process (ABRI).</w:t>
      </w:r>
    </w:p>
    <w:p w14:paraId="1EB32E48" w14:textId="77777777" w:rsidR="00A602B7" w:rsidRPr="00C85476" w:rsidRDefault="0085541F" w:rsidP="00C44C5B">
      <w:pPr>
        <w:pStyle w:val="BulletPoints"/>
      </w:pPr>
      <w:r>
        <w:t>M</w:t>
      </w:r>
      <w:r w:rsidR="00A602B7" w:rsidRPr="00C85476">
        <w:t xml:space="preserve">y history to date </w:t>
      </w:r>
      <w:r w:rsidR="00BF150B" w:rsidRPr="00C85476">
        <w:t>with department has been very good in terms of transparency and communication, though at times</w:t>
      </w:r>
      <w:r w:rsidR="00A602B7" w:rsidRPr="00C85476">
        <w:t xml:space="preserve"> </w:t>
      </w:r>
      <w:r w:rsidR="00BF150B" w:rsidRPr="00C85476">
        <w:t>advice could be clearer as I have encountered differing advice from person to person.</w:t>
      </w:r>
      <w:r w:rsidR="00A602B7" w:rsidRPr="00C85476">
        <w:t xml:space="preserve"> </w:t>
      </w:r>
      <w:r w:rsidR="00BF150B" w:rsidRPr="00C85476">
        <w:t>If there were areas where improvements could be made, I would suggest more guidance on ‘</w:t>
      </w:r>
      <w:r w:rsidR="00A602B7" w:rsidRPr="00C85476">
        <w:t xml:space="preserve">what is </w:t>
      </w:r>
      <w:r w:rsidR="00BF150B" w:rsidRPr="00C85476">
        <w:t>hazardous waste vs non-hazardous waste’, akin to the MW2 and MW3 guidance from the UK, and</w:t>
      </w:r>
      <w:r w:rsidR="00A602B7" w:rsidRPr="00C85476">
        <w:t xml:space="preserve"> </w:t>
      </w:r>
      <w:r w:rsidR="00BF150B" w:rsidRPr="00C85476">
        <w:t>some clarity regarding the Department’s interpretation of the date of ‘receiving and application’ in</w:t>
      </w:r>
      <w:r w:rsidR="00A602B7" w:rsidRPr="00C85476">
        <w:t xml:space="preserve"> s15A (</w:t>
      </w:r>
      <w:r w:rsidR="00D56453">
        <w:t>Confidential response</w:t>
      </w:r>
      <w:r w:rsidR="00A602B7" w:rsidRPr="00C85476">
        <w:t>).</w:t>
      </w:r>
      <w:r w:rsidR="00C44C5B" w:rsidRPr="00C85476">
        <w:t xml:space="preserve"> </w:t>
      </w:r>
      <w:r>
        <w:t xml:space="preserve">This stakeholder </w:t>
      </w:r>
      <w:r w:rsidR="00C44C5B" w:rsidRPr="00C85476">
        <w:t>also commended the Department for placing on its website a concise list of approvals and application for 2015, which was seen as a great improvement on having to interrogate the ComLaw database.</w:t>
      </w:r>
    </w:p>
    <w:p w14:paraId="5B034816" w14:textId="77777777" w:rsidR="00D851CD" w:rsidRPr="00C85476" w:rsidRDefault="00A602B7" w:rsidP="00C44C5B">
      <w:pPr>
        <w:pStyle w:val="BulletPoints"/>
      </w:pPr>
      <w:r w:rsidRPr="00C85476">
        <w:t>Strongly support [this reform option]. G</w:t>
      </w:r>
      <w:r w:rsidR="00D851CD" w:rsidRPr="00C85476">
        <w:t>reater transparency on the day-to-day operations of the Act is missing and would be of v</w:t>
      </w:r>
      <w:r w:rsidR="0085541F">
        <w:t>alue to stakeholders such as [our organisation]</w:t>
      </w:r>
      <w:r w:rsidR="00D851CD" w:rsidRPr="00C85476">
        <w:t>. There seems to be diminishing transparency on export and import applications, with no mechanism for scrutiny except for the Gazettes</w:t>
      </w:r>
      <w:r w:rsidR="00C44C5B" w:rsidRPr="00C85476">
        <w:t xml:space="preserve"> (</w:t>
      </w:r>
      <w:r w:rsidR="00D05D93">
        <w:t>Confidential response</w:t>
      </w:r>
      <w:r w:rsidR="00C44C5B" w:rsidRPr="00C85476">
        <w:t>)</w:t>
      </w:r>
      <w:r w:rsidR="00D851CD" w:rsidRPr="00C85476">
        <w:t>.</w:t>
      </w:r>
      <w:r w:rsidR="00C44C5B" w:rsidRPr="00C85476">
        <w:t xml:space="preserve"> </w:t>
      </w:r>
    </w:p>
    <w:p w14:paraId="27F15C38" w14:textId="77777777" w:rsidR="00D851CD" w:rsidRPr="00C85476" w:rsidRDefault="00D851CD" w:rsidP="00C44C5B">
      <w:pPr>
        <w:pStyle w:val="BulletPoints"/>
        <w:spacing w:after="240"/>
      </w:pPr>
      <w:r w:rsidRPr="00C85476">
        <w:t>Probably the highest priority change proposed</w:t>
      </w:r>
      <w:r w:rsidR="00C44C5B" w:rsidRPr="00C85476">
        <w:t>. Some past decisions on export licences appear inconsistent. The focus of all assessments should be environmental outcomes. (Dodd &amp; Dodd Group)</w:t>
      </w:r>
      <w:r w:rsidRPr="00C85476">
        <w:t>.</w:t>
      </w:r>
    </w:p>
    <w:p w14:paraId="487B551F" w14:textId="77777777" w:rsidR="006C40C9" w:rsidRPr="00C85476" w:rsidRDefault="006C40C9" w:rsidP="00551F05">
      <w:pPr>
        <w:pStyle w:val="Heading4"/>
      </w:pPr>
      <w:r w:rsidRPr="00C85476">
        <w:t>Barriers and implementation timeframe</w:t>
      </w:r>
    </w:p>
    <w:p w14:paraId="3E7D4FC4" w14:textId="77777777" w:rsidR="00120622" w:rsidRDefault="00120622" w:rsidP="006C40C9">
      <w:r>
        <w:t xml:space="preserve">This </w:t>
      </w:r>
      <w:r w:rsidR="00405838">
        <w:t xml:space="preserve">reform option </w:t>
      </w:r>
      <w:r>
        <w:t>require</w:t>
      </w:r>
      <w:r w:rsidR="00405838">
        <w:t>s some improved</w:t>
      </w:r>
      <w:r>
        <w:t xml:space="preserve"> </w:t>
      </w:r>
      <w:r w:rsidR="00405838">
        <w:t>detail</w:t>
      </w:r>
      <w:r>
        <w:t xml:space="preserve"> </w:t>
      </w:r>
      <w:r w:rsidR="00405838">
        <w:t>on its methods for increased transparency</w:t>
      </w:r>
      <w:r>
        <w:t>.</w:t>
      </w:r>
      <w:r w:rsidR="005C36B7">
        <w:t xml:space="preserve"> </w:t>
      </w:r>
      <w:r>
        <w:t>For this project it is assumed to be limited to the</w:t>
      </w:r>
      <w:r w:rsidRPr="00120622">
        <w:t xml:space="preserve"> Department’s propos</w:t>
      </w:r>
      <w:r>
        <w:t xml:space="preserve">al to </w:t>
      </w:r>
      <w:r w:rsidRPr="00120622">
        <w:t>amen</w:t>
      </w:r>
      <w:r>
        <w:t>d</w:t>
      </w:r>
      <w:r w:rsidRPr="00120622">
        <w:t xml:space="preserve"> the Act to remove the requirement to </w:t>
      </w:r>
      <w:r>
        <w:t xml:space="preserve">publish notices in the Gazette </w:t>
      </w:r>
      <w:r w:rsidRPr="00120622">
        <w:t>and allow notices to be published on the Department’s website</w:t>
      </w:r>
      <w:r>
        <w:t>.</w:t>
      </w:r>
    </w:p>
    <w:p w14:paraId="6869F34F" w14:textId="77777777" w:rsidR="00BB232A" w:rsidRPr="00C85476" w:rsidRDefault="00405838" w:rsidP="006C40C9">
      <w:r>
        <w:t xml:space="preserve">A potential barrier/challenge may arise with respect to managing commercial confidentiality aspects if </w:t>
      </w:r>
      <w:r w:rsidRPr="00405838">
        <w:t>publishing the reasons for permit decisions.</w:t>
      </w:r>
    </w:p>
    <w:p w14:paraId="43A80720" w14:textId="77777777" w:rsidR="00BB232A" w:rsidRPr="00C85476" w:rsidRDefault="005F3ADB" w:rsidP="006C40C9">
      <w:r w:rsidRPr="00C85476">
        <w:t>No requirement for either advanced warning or an implementation timeframe were proposed for this option.</w:t>
      </w:r>
    </w:p>
    <w:p w14:paraId="20261FE8" w14:textId="77777777" w:rsidR="001A3878" w:rsidRPr="00C85476" w:rsidRDefault="001A3878" w:rsidP="00551F05">
      <w:pPr>
        <w:pStyle w:val="Heading4"/>
      </w:pPr>
      <w:r w:rsidRPr="00C85476">
        <w:t>Recommendation</w:t>
      </w:r>
    </w:p>
    <w:p w14:paraId="71A2D37B" w14:textId="77777777" w:rsidR="00751351" w:rsidRDefault="00751351" w:rsidP="00751351">
      <w:r>
        <w:t>This is a quasi</w:t>
      </w:r>
      <w:r w:rsidRPr="00A878EE">
        <w:t>-regulatory reform</w:t>
      </w:r>
      <w:r>
        <w:t xml:space="preserve"> option</w:t>
      </w:r>
      <w:r w:rsidRPr="00A878EE">
        <w:t xml:space="preserve">, and for this reason is it not recommended for assessment in the cost-benefit analysis. </w:t>
      </w:r>
      <w:r w:rsidRPr="00C85476">
        <w:t xml:space="preserve">It is recommended that </w:t>
      </w:r>
      <w:r>
        <w:t xml:space="preserve">it be </w:t>
      </w:r>
      <w:r w:rsidRPr="00C85476">
        <w:t>pursued as a non-regulatory reform</w:t>
      </w:r>
      <w:r>
        <w:t>.</w:t>
      </w:r>
    </w:p>
    <w:p w14:paraId="79FCE91C" w14:textId="77777777" w:rsidR="00B8329E" w:rsidRDefault="00B8329E">
      <w:pPr>
        <w:spacing w:after="0" w:line="240" w:lineRule="auto"/>
      </w:pPr>
      <w:r>
        <w:br w:type="page"/>
      </w:r>
    </w:p>
    <w:p w14:paraId="7687D44D" w14:textId="77777777" w:rsidR="00283712" w:rsidRPr="00C85476" w:rsidRDefault="00B8329E" w:rsidP="00B8329E">
      <w:pPr>
        <w:pStyle w:val="Heading1"/>
      </w:pPr>
      <w:bookmarkStart w:id="65" w:name="_Ref417995509"/>
      <w:bookmarkStart w:id="66" w:name="_Toc420568928"/>
      <w:bookmarkStart w:id="67" w:name="_Toc426022043"/>
      <w:r>
        <w:lastRenderedPageBreak/>
        <w:t>CONSULTATION OUTCOMES – THEME 2:</w:t>
      </w:r>
      <w:r w:rsidR="00E522C1" w:rsidRPr="00C85476">
        <w:t xml:space="preserve"> </w:t>
      </w:r>
      <w:r w:rsidR="00283712" w:rsidRPr="00C85476">
        <w:t>Australia’s generation and management of hazardous wastes</w:t>
      </w:r>
      <w:bookmarkEnd w:id="65"/>
      <w:bookmarkEnd w:id="66"/>
      <w:bookmarkEnd w:id="67"/>
    </w:p>
    <w:p w14:paraId="53E87500" w14:textId="77777777" w:rsidR="00CB226A" w:rsidRPr="00C85476" w:rsidRDefault="00CB226A" w:rsidP="00CB226A">
      <w:pPr>
        <w:keepNext/>
        <w:keepLines/>
      </w:pPr>
      <w:r w:rsidRPr="00C85476">
        <w:t xml:space="preserve">Provided in this section of the report are the assessment and stakeholder consultation outcomes for those reform options </w:t>
      </w:r>
      <w:r w:rsidR="00120622" w:rsidRPr="00C85476">
        <w:t>to improve Australia’s domestic management of hazardous waste.</w:t>
      </w:r>
    </w:p>
    <w:p w14:paraId="17DD518D" w14:textId="77777777" w:rsidR="00E358EA" w:rsidRPr="00C85476" w:rsidRDefault="00451197" w:rsidP="00B8329E">
      <w:pPr>
        <w:pStyle w:val="Heading2"/>
      </w:pPr>
      <w:bookmarkStart w:id="68" w:name="_Toc426022044"/>
      <w:r>
        <w:t xml:space="preserve">Option </w:t>
      </w:r>
      <w:r w:rsidR="00D851CD" w:rsidRPr="00C85476">
        <w:t xml:space="preserve">g) </w:t>
      </w:r>
      <w:r w:rsidR="00E358EA" w:rsidRPr="00C85476">
        <w:t>Information on hazardous waste infrastructure</w:t>
      </w:r>
      <w:bookmarkEnd w:id="68"/>
    </w:p>
    <w:p w14:paraId="208E4BD1" w14:textId="77777777" w:rsidR="00702036" w:rsidRPr="00C85476" w:rsidRDefault="005D7C22" w:rsidP="00551F05">
      <w:pPr>
        <w:pStyle w:val="Heading4"/>
      </w:pPr>
      <w:r w:rsidRPr="00C85476">
        <w:t>Reform option description</w:t>
      </w:r>
    </w:p>
    <w:p w14:paraId="0DFF503E" w14:textId="77777777" w:rsidR="004D6713" w:rsidRPr="00705AAE" w:rsidRDefault="004D6713" w:rsidP="001D01D3">
      <w:pPr>
        <w:rPr>
          <w:i/>
        </w:rPr>
      </w:pPr>
      <w:r w:rsidRPr="00705AAE">
        <w:rPr>
          <w:i/>
        </w:rPr>
        <w:t>Provision of national information on the capacity of, and needs for, hazardous waste infrastructure in Australia, on an ongoing basis.</w:t>
      </w:r>
    </w:p>
    <w:p w14:paraId="16B620A9" w14:textId="77777777" w:rsidR="004D6713" w:rsidRPr="00DF210D" w:rsidRDefault="004D6713" w:rsidP="00551F05">
      <w:pPr>
        <w:pStyle w:val="Heading4"/>
      </w:pPr>
      <w:r w:rsidRPr="00705AAE">
        <w:t>Context</w:t>
      </w:r>
    </w:p>
    <w:p w14:paraId="640FA778" w14:textId="77777777" w:rsidR="001D01D3" w:rsidRPr="00C85476" w:rsidRDefault="001D01D3" w:rsidP="001D01D3">
      <w:r w:rsidRPr="00C85476">
        <w:t xml:space="preserve">This could include the establishment of an </w:t>
      </w:r>
      <w:r w:rsidRPr="00C85476">
        <w:rPr>
          <w:i/>
        </w:rPr>
        <w:t>Australian Recycling Capacity Register</w:t>
      </w:r>
      <w:r w:rsidR="00241E36" w:rsidRPr="00C85476">
        <w:t xml:space="preserve"> where r</w:t>
      </w:r>
      <w:r w:rsidRPr="00C85476">
        <w:t>ecyclers would register their capacity</w:t>
      </w:r>
      <w:r w:rsidR="00241E36" w:rsidRPr="00C85476">
        <w:t>, and also</w:t>
      </w:r>
      <w:r w:rsidRPr="00C85476">
        <w:t xml:space="preserve"> outlin</w:t>
      </w:r>
      <w:r w:rsidR="00241E36" w:rsidRPr="00C85476">
        <w:t>e</w:t>
      </w:r>
      <w:r w:rsidRPr="00C85476">
        <w:t xml:space="preserve"> their technologies, volu</w:t>
      </w:r>
      <w:r w:rsidR="00241E36" w:rsidRPr="00C85476">
        <w:t>me and processing capabilities.</w:t>
      </w:r>
      <w:r w:rsidR="007D7BF0" w:rsidRPr="00C85476">
        <w:t xml:space="preserve"> </w:t>
      </w:r>
      <w:r w:rsidR="00165DB0">
        <w:t xml:space="preserve">To ensure that the infrastructure information is comprehensive and of an acceptable quality </w:t>
      </w:r>
      <w:r w:rsidR="00165DB0" w:rsidRPr="00165DB0">
        <w:t xml:space="preserve">the disclosure </w:t>
      </w:r>
      <w:r w:rsidR="00165DB0">
        <w:t>of information by recyclers may</w:t>
      </w:r>
      <w:r w:rsidR="00165DB0" w:rsidRPr="00165DB0">
        <w:t xml:space="preserve"> be mandatory.</w:t>
      </w:r>
      <w:r w:rsidR="00165DB0">
        <w:t xml:space="preserve"> </w:t>
      </w:r>
      <w:r w:rsidR="007D7BF0" w:rsidRPr="00C85476">
        <w:t>This information would also assist in assessing the export permits with regards to the availability and sufficiency of domestic processing capacity</w:t>
      </w:r>
      <w:r w:rsidR="00165DB0">
        <w:t>.</w:t>
      </w:r>
    </w:p>
    <w:p w14:paraId="479889A6" w14:textId="77777777" w:rsidR="00241E36" w:rsidRPr="00C85476" w:rsidRDefault="007D7BF0" w:rsidP="001D01D3">
      <w:r w:rsidRPr="00C85476">
        <w:t>The need for improving information in this area</w:t>
      </w:r>
      <w:r w:rsidR="00241E36" w:rsidRPr="00C85476">
        <w:t xml:space="preserve"> is highlighted in the recent Blue Environment, et al.</w:t>
      </w:r>
      <w:r w:rsidR="009773F4" w:rsidRPr="00C85476">
        <w:t xml:space="preserve"> report</w:t>
      </w:r>
      <w:r w:rsidR="00241E36" w:rsidRPr="00C85476">
        <w:t xml:space="preserve"> </w:t>
      </w:r>
      <w:sdt>
        <w:sdtPr>
          <w:id w:val="-1135403057"/>
          <w:citation/>
        </w:sdtPr>
        <w:sdtEndPr/>
        <w:sdtContent>
          <w:r w:rsidR="007B2B2A" w:rsidRPr="00C85476">
            <w:fldChar w:fldCharType="begin"/>
          </w:r>
          <w:r w:rsidR="009773F4" w:rsidRPr="00C85476">
            <w:instrText xml:space="preserve">CITATION Ble15 \p 105 \n  \l 3081 </w:instrText>
          </w:r>
          <w:r w:rsidR="007B2B2A" w:rsidRPr="00C85476">
            <w:fldChar w:fldCharType="separate"/>
          </w:r>
          <w:r w:rsidR="001F6F42">
            <w:rPr>
              <w:noProof/>
            </w:rPr>
            <w:t>(2015b, p. 105)</w:t>
          </w:r>
          <w:r w:rsidR="007B2B2A" w:rsidRPr="00C85476">
            <w:fldChar w:fldCharType="end"/>
          </w:r>
        </w:sdtContent>
      </w:sdt>
      <w:r w:rsidR="009773F4" w:rsidRPr="00C85476">
        <w:t xml:space="preserve"> </w:t>
      </w:r>
      <w:r w:rsidRPr="00C85476">
        <w:t>which concluded</w:t>
      </w:r>
      <w:r w:rsidR="009773F4" w:rsidRPr="00C85476">
        <w:t>:</w:t>
      </w:r>
    </w:p>
    <w:p w14:paraId="41E58417" w14:textId="77777777" w:rsidR="009773F4" w:rsidRPr="00C85476" w:rsidRDefault="009773F4" w:rsidP="009773F4">
      <w:pPr>
        <w:spacing w:after="240"/>
        <w:ind w:left="567" w:right="567"/>
        <w:rPr>
          <w:i/>
          <w:sz w:val="20"/>
        </w:rPr>
      </w:pPr>
      <w:r w:rsidRPr="00C85476">
        <w:rPr>
          <w:i/>
          <w:sz w:val="20"/>
        </w:rPr>
        <w:t>The arisings of hazardous waste are influenced by industrial markets, development activities, social licences, government regulations and technological innovations that are all unpredictable. The infrastructure servicing this waste is difficult to characterise, changeable and information on its activities is limited and hard to obtain.</w:t>
      </w:r>
    </w:p>
    <w:p w14:paraId="1D093795" w14:textId="77777777" w:rsidR="007D7BF0" w:rsidRPr="00C85476" w:rsidRDefault="007D7BF0" w:rsidP="001D01D3">
      <w:r w:rsidRPr="00C85476">
        <w:t xml:space="preserve">The Blue Environment, et al. </w:t>
      </w:r>
      <w:r w:rsidR="00A878EE">
        <w:t xml:space="preserve">(2015b) </w:t>
      </w:r>
      <w:r w:rsidRPr="00C85476">
        <w:t>recommendation arising from this conclusion is that ‘DoE should work with the jurisdictions to improve hazardous waste tracking system data so that fate is consistently recorded and categorised.’ This recommendation is consistent with the underlying purpose of reform option g).</w:t>
      </w:r>
    </w:p>
    <w:p w14:paraId="05A5FEB6" w14:textId="77777777" w:rsidR="00702036" w:rsidRPr="00C85476" w:rsidRDefault="00702036" w:rsidP="00551F05">
      <w:pPr>
        <w:pStyle w:val="Heading4"/>
      </w:pPr>
      <w:r w:rsidRPr="00C85476">
        <w:t>Reform option regulatory status</w:t>
      </w:r>
    </w:p>
    <w:p w14:paraId="4C294CB4" w14:textId="145F6B66" w:rsidR="00BC4E23" w:rsidRPr="00C85476" w:rsidRDefault="00BC4E23" w:rsidP="00BC4E23">
      <w:r w:rsidRPr="00C85476">
        <w:t>This is</w:t>
      </w:r>
      <w:r w:rsidR="003D5922">
        <w:t xml:space="preserve"> either</w:t>
      </w:r>
      <w:r w:rsidRPr="00C85476">
        <w:t xml:space="preserve"> a </w:t>
      </w:r>
      <w:r w:rsidR="003D5922">
        <w:t>legislated</w:t>
      </w:r>
      <w:r w:rsidR="0092461C" w:rsidRPr="00C85476">
        <w:t xml:space="preserve"> or quasi-regulatory</w:t>
      </w:r>
      <w:r w:rsidRPr="00C85476">
        <w:t xml:space="preserve"> reform option.</w:t>
      </w:r>
    </w:p>
    <w:p w14:paraId="67708542" w14:textId="77777777" w:rsidR="00702036" w:rsidRPr="00C85476" w:rsidRDefault="00702036" w:rsidP="00551F05">
      <w:pPr>
        <w:pStyle w:val="Heading4"/>
      </w:pPr>
      <w:r w:rsidRPr="00C85476">
        <w:t>Reform option purpose</w:t>
      </w:r>
    </w:p>
    <w:p w14:paraId="62B51615" w14:textId="77777777" w:rsidR="00A52CBA" w:rsidRPr="00C85476" w:rsidRDefault="00A52CBA" w:rsidP="00A52CBA">
      <w:r w:rsidRPr="00C85476">
        <w:t>Correct an information gap.</w:t>
      </w:r>
    </w:p>
    <w:p w14:paraId="581D0D0D" w14:textId="77777777" w:rsidR="00702036" w:rsidRPr="00C85476" w:rsidRDefault="00702036" w:rsidP="00551F05">
      <w:pPr>
        <w:pStyle w:val="Heading4"/>
      </w:pPr>
      <w:r w:rsidRPr="00C85476">
        <w:lastRenderedPageBreak/>
        <w:t>Stakeholder feedback</w:t>
      </w:r>
    </w:p>
    <w:p w14:paraId="6D8A9B5D" w14:textId="20E6F25D" w:rsidR="00702036" w:rsidRPr="00C85476" w:rsidRDefault="00744048" w:rsidP="00702036">
      <w:r>
        <w:t>Four</w:t>
      </w:r>
      <w:r w:rsidR="001C2E4E">
        <w:t>teen</w:t>
      </w:r>
      <w:r w:rsidR="00A878EE">
        <w:t xml:space="preserve"> </w:t>
      </w:r>
      <w:r w:rsidR="00A878EE" w:rsidRPr="00C85476">
        <w:t>respondents indicat</w:t>
      </w:r>
      <w:r>
        <w:t>ed</w:t>
      </w:r>
      <w:r w:rsidR="00A878EE" w:rsidRPr="00C85476">
        <w:t xml:space="preserve"> </w:t>
      </w:r>
      <w:r>
        <w:t xml:space="preserve">a degree of </w:t>
      </w:r>
      <w:r w:rsidR="00A878EE" w:rsidRPr="00C85476">
        <w:t xml:space="preserve">support </w:t>
      </w:r>
      <w:r w:rsidR="00702036" w:rsidRPr="00C85476">
        <w:t xml:space="preserve">for this reform proposal </w:t>
      </w:r>
      <w:r w:rsidR="00A878EE">
        <w:t xml:space="preserve">and </w:t>
      </w:r>
      <w:r w:rsidR="00702036" w:rsidRPr="00C85476">
        <w:t>one</w:t>
      </w:r>
      <w:r w:rsidR="005C36B7">
        <w:t xml:space="preserve"> </w:t>
      </w:r>
      <w:r w:rsidR="00702036" w:rsidRPr="00C85476">
        <w:t>indicat</w:t>
      </w:r>
      <w:r w:rsidR="00A878EE">
        <w:t>ed</w:t>
      </w:r>
      <w:r w:rsidR="00702036" w:rsidRPr="00C85476">
        <w:t xml:space="preserve"> opposition.</w:t>
      </w:r>
      <w:r w:rsidR="00D15B48" w:rsidRPr="00C85476">
        <w:t xml:space="preserve"> </w:t>
      </w:r>
      <w:r w:rsidR="00702036" w:rsidRPr="00C85476">
        <w:t>Specific comments in</w:t>
      </w:r>
      <w:r w:rsidR="00A878EE">
        <w:t xml:space="preserve"> support in</w:t>
      </w:r>
      <w:r w:rsidR="00702036" w:rsidRPr="00C85476">
        <w:t>cluded:</w:t>
      </w:r>
    </w:p>
    <w:p w14:paraId="79773159" w14:textId="77777777" w:rsidR="00702036" w:rsidRPr="00C85476" w:rsidRDefault="00702036" w:rsidP="00DA20A0">
      <w:pPr>
        <w:pStyle w:val="BulletPoints"/>
      </w:pPr>
      <w:r w:rsidRPr="00C85476">
        <w:t>While information is available from state-based licensing databases, it is incomplete in some regions (QLD) and that consolidation into a national database would be use</w:t>
      </w:r>
      <w:r w:rsidR="00DA20A0" w:rsidRPr="00C85476">
        <w:t>ful (</w:t>
      </w:r>
      <w:r w:rsidR="005601B4">
        <w:t>Confidential response</w:t>
      </w:r>
      <w:r w:rsidR="00DA20A0" w:rsidRPr="00C85476">
        <w:t>).</w:t>
      </w:r>
    </w:p>
    <w:p w14:paraId="6CAD1931" w14:textId="77777777" w:rsidR="00702036" w:rsidRDefault="00702036" w:rsidP="00DA20A0">
      <w:pPr>
        <w:pStyle w:val="BulletPoints"/>
      </w:pPr>
      <w:r w:rsidRPr="00C85476">
        <w:t xml:space="preserve">Would support the development of infrastructure in the medium term, but in the longer term would support </w:t>
      </w:r>
      <w:r w:rsidR="00C54A96" w:rsidRPr="00C85476">
        <w:t>‘</w:t>
      </w:r>
      <w:r w:rsidRPr="00C85476">
        <w:t>product stewardship related activities</w:t>
      </w:r>
      <w:r w:rsidR="00C54A96" w:rsidRPr="00C85476">
        <w:t>’</w:t>
      </w:r>
      <w:r w:rsidRPr="00C85476">
        <w:t>. A national database would help to provide a state level view in time (</w:t>
      </w:r>
      <w:r w:rsidR="005601B4">
        <w:t>Confidential response</w:t>
      </w:r>
      <w:r w:rsidR="00DA20A0" w:rsidRPr="00C85476">
        <w:t>).</w:t>
      </w:r>
    </w:p>
    <w:p w14:paraId="17177268" w14:textId="506A56E8" w:rsidR="00744048" w:rsidRPr="00C85476" w:rsidRDefault="00744048" w:rsidP="00744048">
      <w:pPr>
        <w:pStyle w:val="BulletPoints"/>
      </w:pPr>
      <w:r w:rsidRPr="00744048">
        <w:t>In principle, such information would be useful but needs to be assessed against the cost of m</w:t>
      </w:r>
      <w:r>
        <w:t xml:space="preserve">aintaining it. </w:t>
      </w:r>
      <w:r w:rsidRPr="00744048">
        <w:t>Should the Commonwealth propose to investigate this proposal further, it should gauge the level of interest from industry (and perhaps its willingness to provide financial support), assess the extent to which the information could draw on data obtained for other purposes and undertake a cost-benefit analysis</w:t>
      </w:r>
      <w:r>
        <w:t xml:space="preserve"> </w:t>
      </w:r>
      <w:r w:rsidRPr="00C85476">
        <w:t>(</w:t>
      </w:r>
      <w:r>
        <w:t>Confidential response</w:t>
      </w:r>
      <w:r w:rsidRPr="00C85476">
        <w:t>)</w:t>
      </w:r>
      <w:r w:rsidRPr="00744048">
        <w:t>.</w:t>
      </w:r>
    </w:p>
    <w:p w14:paraId="47AC625D" w14:textId="77777777" w:rsidR="00702036" w:rsidRPr="00C85476" w:rsidRDefault="00702036" w:rsidP="00DA20A0">
      <w:pPr>
        <w:pStyle w:val="BulletPoints"/>
      </w:pPr>
      <w:r w:rsidRPr="00C85476">
        <w:t>This information is important to identify investment priorities and could be updated every 5 years (Australia</w:t>
      </w:r>
      <w:r w:rsidR="00DA20A0" w:rsidRPr="00C85476">
        <w:t>n Battery Recycling Initiative).</w:t>
      </w:r>
    </w:p>
    <w:p w14:paraId="3B46637A" w14:textId="77777777" w:rsidR="00702036" w:rsidRPr="00C85476" w:rsidRDefault="00702036" w:rsidP="00DA20A0">
      <w:pPr>
        <w:pStyle w:val="BulletPoints"/>
      </w:pPr>
      <w:r w:rsidRPr="00C85476">
        <w:t>Information could be updated annually (Ve</w:t>
      </w:r>
      <w:r w:rsidR="00DA20A0" w:rsidRPr="00C85476">
        <w:t>olia Australia and New Zealand).</w:t>
      </w:r>
    </w:p>
    <w:p w14:paraId="1663030F" w14:textId="77777777" w:rsidR="00702036" w:rsidRPr="00C85476" w:rsidRDefault="00702036" w:rsidP="00DA20A0">
      <w:pPr>
        <w:pStyle w:val="BulletPoints"/>
        <w:spacing w:after="240"/>
      </w:pPr>
      <w:r w:rsidRPr="00C85476">
        <w:t>That the development of a domestic waste treatment facilities (especially for POPs) is important and that Australia (a developed country) should adhere to the ‘proximity principle’ (</w:t>
      </w:r>
      <w:r w:rsidR="00D05D93">
        <w:t>Confidential response</w:t>
      </w:r>
      <w:r w:rsidR="00DA20A0" w:rsidRPr="00C85476">
        <w:t>).</w:t>
      </w:r>
    </w:p>
    <w:p w14:paraId="6F7911B7" w14:textId="77777777" w:rsidR="00702036" w:rsidRPr="00C85476" w:rsidRDefault="00A878EE" w:rsidP="00702036">
      <w:r w:rsidRPr="00C85476">
        <w:t xml:space="preserve">WA DER </w:t>
      </w:r>
      <w:r w:rsidR="00702036" w:rsidRPr="00C85476">
        <w:t xml:space="preserve">did not agree with this </w:t>
      </w:r>
      <w:r>
        <w:t xml:space="preserve">option. It </w:t>
      </w:r>
      <w:r w:rsidR="00702036" w:rsidRPr="00C85476">
        <w:t xml:space="preserve">adopted the laissez-faire </w:t>
      </w:r>
      <w:r>
        <w:t xml:space="preserve">position </w:t>
      </w:r>
      <w:r w:rsidR="00702036" w:rsidRPr="00C85476">
        <w:t>that the market (or industry) will know if there is demand for waste processing and will develop facilities accordingly.</w:t>
      </w:r>
      <w:r w:rsidR="00D15B48" w:rsidRPr="00C85476">
        <w:t xml:space="preserve"> </w:t>
      </w:r>
      <w:r w:rsidR="00702036" w:rsidRPr="00C85476">
        <w:t>They argued that the role of the Government should be in the planning and approvals of these facilities, not promoting waste processing.</w:t>
      </w:r>
    </w:p>
    <w:p w14:paraId="12A98D53" w14:textId="77777777" w:rsidR="006C40C9" w:rsidRPr="00C85476" w:rsidRDefault="006C40C9" w:rsidP="00551F05">
      <w:pPr>
        <w:pStyle w:val="Heading4"/>
      </w:pPr>
      <w:r w:rsidRPr="00C85476">
        <w:t>Barriers and implementation timeframe</w:t>
      </w:r>
    </w:p>
    <w:p w14:paraId="0D9F55BD" w14:textId="77777777" w:rsidR="00702036" w:rsidRPr="00C85476" w:rsidRDefault="007D7BF0" w:rsidP="00702036">
      <w:r w:rsidRPr="00C85476">
        <w:t>The WMAA Queensland Branch</w:t>
      </w:r>
      <w:r w:rsidR="00702036" w:rsidRPr="00C85476">
        <w:t xml:space="preserve"> indicated that this </w:t>
      </w:r>
      <w:r w:rsidR="00A878EE">
        <w:t xml:space="preserve">reform option </w:t>
      </w:r>
      <w:r w:rsidR="00702036" w:rsidRPr="00C85476">
        <w:t>will only be succe</w:t>
      </w:r>
      <w:r w:rsidR="007C066B">
        <w:t xml:space="preserve">ssful if there is a </w:t>
      </w:r>
      <w:r w:rsidR="00702036" w:rsidRPr="00C85476">
        <w:t>regulatory requirement for waste facility operators to provide the data.</w:t>
      </w:r>
      <w:r w:rsidR="005C36B7">
        <w:t xml:space="preserve"> </w:t>
      </w:r>
      <w:r w:rsidR="00A878EE">
        <w:t xml:space="preserve">This is </w:t>
      </w:r>
      <w:r w:rsidR="00A878EE" w:rsidRPr="00C85476">
        <w:t>due to the reluctance of many operators to undertake reporting</w:t>
      </w:r>
      <w:r w:rsidR="00A878EE">
        <w:t>.</w:t>
      </w:r>
    </w:p>
    <w:p w14:paraId="34A8EA0F" w14:textId="77777777" w:rsidR="00702036" w:rsidRPr="00C85476" w:rsidRDefault="005601B4" w:rsidP="00702036">
      <w:r>
        <w:t>Another stakeholder confidentially suggested that</w:t>
      </w:r>
      <w:r w:rsidR="00702036" w:rsidRPr="00C85476">
        <w:t xml:space="preserve"> that overseas facilities may achieve more significant economies of scale than domestic facilities and that domestic waste treatment may result in </w:t>
      </w:r>
      <w:r w:rsidR="00C54A96" w:rsidRPr="00C85476">
        <w:t>‘</w:t>
      </w:r>
      <w:r w:rsidR="00702036" w:rsidRPr="00C85476">
        <w:t>exorbitant</w:t>
      </w:r>
      <w:r w:rsidR="00C54A96" w:rsidRPr="00C85476">
        <w:t>’</w:t>
      </w:r>
      <w:r w:rsidR="00702036" w:rsidRPr="00C85476">
        <w:t xml:space="preserve"> costs for Australia’s manufacturing sector.</w:t>
      </w:r>
    </w:p>
    <w:p w14:paraId="4F281658" w14:textId="77777777" w:rsidR="00702036" w:rsidRPr="00C85476" w:rsidRDefault="00702036" w:rsidP="00702036">
      <w:r w:rsidRPr="00C85476">
        <w:t xml:space="preserve">The </w:t>
      </w:r>
      <w:r w:rsidR="007D7BF0" w:rsidRPr="00C85476">
        <w:t>WMAA Queensland Branch</w:t>
      </w:r>
      <w:r w:rsidRPr="00C85476">
        <w:t xml:space="preserve"> indicated that th</w:t>
      </w:r>
      <w:r w:rsidR="00A878EE">
        <w:t>is</w:t>
      </w:r>
      <w:r w:rsidRPr="00C85476">
        <w:t xml:space="preserve"> </w:t>
      </w:r>
      <w:r w:rsidR="00A878EE">
        <w:t xml:space="preserve">reform </w:t>
      </w:r>
      <w:r w:rsidRPr="00C85476">
        <w:t>could be implemented over 12 months.</w:t>
      </w:r>
    </w:p>
    <w:p w14:paraId="4FEE0017" w14:textId="77777777" w:rsidR="00702036" w:rsidRPr="00C85476" w:rsidRDefault="00702036" w:rsidP="00551F05">
      <w:pPr>
        <w:pStyle w:val="Heading4"/>
      </w:pPr>
      <w:r w:rsidRPr="00C85476">
        <w:t>Recommendation</w:t>
      </w:r>
    </w:p>
    <w:p w14:paraId="78864F30" w14:textId="77777777" w:rsidR="00702036" w:rsidRPr="00C85476" w:rsidRDefault="007C066B" w:rsidP="005E5C79">
      <w:r w:rsidRPr="00C85476">
        <w:t xml:space="preserve">It is recommended that </w:t>
      </w:r>
      <w:r>
        <w:t xml:space="preserve">this reform option be assessed </w:t>
      </w:r>
      <w:r w:rsidRPr="00C85476">
        <w:t>in the cost-benefit analysis.</w:t>
      </w:r>
    </w:p>
    <w:p w14:paraId="5398E6A9" w14:textId="77777777" w:rsidR="00E358EA" w:rsidRPr="00C85476" w:rsidRDefault="00451197" w:rsidP="00B8329E">
      <w:pPr>
        <w:pStyle w:val="Heading2"/>
      </w:pPr>
      <w:bookmarkStart w:id="69" w:name="_Toc426022045"/>
      <w:r>
        <w:lastRenderedPageBreak/>
        <w:t xml:space="preserve">Option </w:t>
      </w:r>
      <w:r w:rsidR="00D851CD" w:rsidRPr="00C85476">
        <w:t xml:space="preserve">h) </w:t>
      </w:r>
      <w:r w:rsidR="00E358EA" w:rsidRPr="00C85476">
        <w:t>Information on hazardous waste generation and management</w:t>
      </w:r>
      <w:bookmarkEnd w:id="69"/>
    </w:p>
    <w:p w14:paraId="2BD5D5E9" w14:textId="77777777" w:rsidR="00702036" w:rsidRPr="00C85476" w:rsidRDefault="005D7C22" w:rsidP="00551F05">
      <w:pPr>
        <w:pStyle w:val="Heading4"/>
      </w:pPr>
      <w:r w:rsidRPr="00C85476">
        <w:t>Reform option description</w:t>
      </w:r>
    </w:p>
    <w:p w14:paraId="457C106E" w14:textId="77777777" w:rsidR="004D6713" w:rsidRPr="00705AAE" w:rsidRDefault="004D6713" w:rsidP="00136C9F">
      <w:pPr>
        <w:keepNext/>
        <w:keepLines/>
        <w:rPr>
          <w:i/>
        </w:rPr>
      </w:pPr>
      <w:r w:rsidRPr="00705AAE">
        <w:rPr>
          <w:i/>
        </w:rPr>
        <w:t>Provision of regular and timely public reporting on hazardous waste generation and management in Australia. This reporting could also capture public interest aspects such as the industrial activities generating hazardous wastes, new infrastructure, or noteworthy hazardous waste minimisation achievements.</w:t>
      </w:r>
    </w:p>
    <w:p w14:paraId="438F1C0F" w14:textId="77777777" w:rsidR="004D6713" w:rsidRPr="00C85476" w:rsidRDefault="004D6713" w:rsidP="00551F05">
      <w:pPr>
        <w:pStyle w:val="Heading4"/>
      </w:pPr>
      <w:r>
        <w:t>C</w:t>
      </w:r>
      <w:r w:rsidRPr="00C85476">
        <w:t>ontext</w:t>
      </w:r>
    </w:p>
    <w:p w14:paraId="64344BF4" w14:textId="77777777" w:rsidR="0033058A" w:rsidRPr="00C85476" w:rsidRDefault="00A878EE" w:rsidP="001D01D3">
      <w:r>
        <w:t>T</w:t>
      </w:r>
      <w:r w:rsidR="004D6713" w:rsidRPr="00C85476">
        <w:t>he Commonwealth does not currently have any regulatory role in relation to reporting of hazardous waste generation transport or disposal.</w:t>
      </w:r>
      <w:r w:rsidR="005C36B7">
        <w:t xml:space="preserve"> </w:t>
      </w:r>
      <w:r w:rsidR="001D01D3" w:rsidRPr="00C85476">
        <w:t>Th</w:t>
      </w:r>
      <w:r>
        <w:t>is</w:t>
      </w:r>
      <w:r w:rsidR="001D01D3" w:rsidRPr="00C85476">
        <w:t xml:space="preserve"> reform </w:t>
      </w:r>
      <w:r>
        <w:t xml:space="preserve">option </w:t>
      </w:r>
      <w:r w:rsidR="001D01D3" w:rsidRPr="00C85476">
        <w:t>would provide a head of power to require regular and timely public reporting on hazardous waste generation and management.</w:t>
      </w:r>
    </w:p>
    <w:p w14:paraId="4552CE0B" w14:textId="77777777" w:rsidR="0033058A" w:rsidRPr="00C85476" w:rsidRDefault="0033058A" w:rsidP="001D01D3">
      <w:r w:rsidRPr="00C85476">
        <w:t xml:space="preserve">There are a series of hazardous waste data related reforms that are identified across two recent Blue Environment, et al. </w:t>
      </w:r>
      <w:sdt>
        <w:sdtPr>
          <w:id w:val="-551774896"/>
          <w:citation/>
        </w:sdtPr>
        <w:sdtEndPr/>
        <w:sdtContent>
          <w:r w:rsidR="007B2B2A" w:rsidRPr="00C85476">
            <w:fldChar w:fldCharType="begin"/>
          </w:r>
          <w:r w:rsidR="00AF4110" w:rsidRPr="00C85476">
            <w:instrText xml:space="preserve">CITATION Blu15 \p 77 \n  \m Blu14 \p 17 \n  \l 3081 </w:instrText>
          </w:r>
          <w:r w:rsidR="007B2B2A" w:rsidRPr="00C85476">
            <w:fldChar w:fldCharType="separate"/>
          </w:r>
          <w:r w:rsidR="001F6F42">
            <w:rPr>
              <w:noProof/>
            </w:rPr>
            <w:t>(2015a, p. 77; 2014, p. 17)</w:t>
          </w:r>
          <w:r w:rsidR="007B2B2A" w:rsidRPr="00C85476">
            <w:fldChar w:fldCharType="end"/>
          </w:r>
        </w:sdtContent>
      </w:sdt>
      <w:r w:rsidR="00AF4110" w:rsidRPr="00C85476">
        <w:t xml:space="preserve"> </w:t>
      </w:r>
      <w:r w:rsidRPr="00C85476">
        <w:t>report</w:t>
      </w:r>
      <w:r w:rsidR="00AF4110" w:rsidRPr="00C85476">
        <w:t>s</w:t>
      </w:r>
      <w:r w:rsidRPr="00C85476">
        <w:t xml:space="preserve"> </w:t>
      </w:r>
      <w:r w:rsidR="00AF4110" w:rsidRPr="00C85476">
        <w:t>completed</w:t>
      </w:r>
      <w:r w:rsidRPr="00C85476">
        <w:t xml:space="preserve"> for the Department</w:t>
      </w:r>
      <w:r w:rsidR="00AF4110" w:rsidRPr="00C85476">
        <w:t xml:space="preserve"> that provide context on the underlying purposes of this reform option</w:t>
      </w:r>
      <w:r w:rsidRPr="00C85476">
        <w:t>. A compiled summary of these recommendations is:</w:t>
      </w:r>
    </w:p>
    <w:p w14:paraId="14B7663F" w14:textId="77777777" w:rsidR="0033058A" w:rsidRPr="00C85476" w:rsidRDefault="0033058A" w:rsidP="0033058A">
      <w:pPr>
        <w:pStyle w:val="ListParagraph"/>
        <w:numPr>
          <w:ilvl w:val="0"/>
          <w:numId w:val="19"/>
        </w:numPr>
        <w:spacing w:after="120" w:line="240" w:lineRule="auto"/>
        <w:ind w:right="567"/>
        <w:contextualSpacing w:val="0"/>
        <w:rPr>
          <w:i/>
          <w:sz w:val="20"/>
        </w:rPr>
      </w:pPr>
      <w:r w:rsidRPr="00C85476">
        <w:rPr>
          <w:i/>
          <w:sz w:val="20"/>
        </w:rPr>
        <w:t>Adopt the 75 NEPM code classification system as a national framework for collecting, collating and reporting on hazardous waste in Australia.</w:t>
      </w:r>
    </w:p>
    <w:p w14:paraId="5ADA4817" w14:textId="77777777" w:rsidR="0033058A" w:rsidRPr="00C85476" w:rsidRDefault="0033058A" w:rsidP="0033058A">
      <w:pPr>
        <w:pStyle w:val="ListParagraph"/>
        <w:numPr>
          <w:ilvl w:val="0"/>
          <w:numId w:val="19"/>
        </w:numPr>
        <w:spacing w:after="120" w:line="240" w:lineRule="auto"/>
        <w:ind w:right="567"/>
        <w:contextualSpacing w:val="0"/>
        <w:rPr>
          <w:i/>
          <w:sz w:val="20"/>
        </w:rPr>
      </w:pPr>
      <w:r w:rsidRPr="00C85476">
        <w:rPr>
          <w:i/>
          <w:sz w:val="20"/>
        </w:rPr>
        <w:t>Consider mechanisms for obtaining ongoing data on the fate of hazardous wastes in order to eliminate the discrepancies between the data presented for Basel and the proposed National Waste Data System.</w:t>
      </w:r>
    </w:p>
    <w:p w14:paraId="030C85F5" w14:textId="77777777" w:rsidR="0033058A" w:rsidRPr="00C85476" w:rsidRDefault="0033058A" w:rsidP="0033058A">
      <w:pPr>
        <w:pStyle w:val="ListParagraph"/>
        <w:numPr>
          <w:ilvl w:val="0"/>
          <w:numId w:val="19"/>
        </w:numPr>
        <w:spacing w:after="120" w:line="240" w:lineRule="auto"/>
        <w:ind w:right="567"/>
        <w:contextualSpacing w:val="0"/>
        <w:rPr>
          <w:i/>
          <w:sz w:val="20"/>
        </w:rPr>
      </w:pPr>
      <w:r w:rsidRPr="00C85476">
        <w:rPr>
          <w:i/>
          <w:sz w:val="20"/>
        </w:rPr>
        <w:t>Align the data collection task and reporting timeframes with those of the proposed National Waste Data System.</w:t>
      </w:r>
    </w:p>
    <w:p w14:paraId="127BB530" w14:textId="77777777" w:rsidR="0033058A" w:rsidRPr="00C85476" w:rsidRDefault="0033058A" w:rsidP="0033058A">
      <w:pPr>
        <w:pStyle w:val="ListParagraph"/>
        <w:numPr>
          <w:ilvl w:val="0"/>
          <w:numId w:val="19"/>
        </w:numPr>
        <w:spacing w:after="120" w:line="240" w:lineRule="auto"/>
        <w:ind w:right="567"/>
        <w:contextualSpacing w:val="0"/>
        <w:rPr>
          <w:i/>
          <w:sz w:val="20"/>
        </w:rPr>
      </w:pPr>
      <w:r w:rsidRPr="00C85476">
        <w:rPr>
          <w:i/>
          <w:sz w:val="20"/>
        </w:rPr>
        <w:t>Examine t</w:t>
      </w:r>
      <w:r w:rsidR="00072104">
        <w:rPr>
          <w:i/>
          <w:sz w:val="20"/>
        </w:rPr>
        <w:t>he potential to combine the data</w:t>
      </w:r>
      <w:r w:rsidRPr="00C85476">
        <w:rPr>
          <w:i/>
          <w:sz w:val="20"/>
        </w:rPr>
        <w:t xml:space="preserve"> collection tasks for the Basel Convention and the Controlled Waste NEPM.</w:t>
      </w:r>
    </w:p>
    <w:p w14:paraId="2EE2BA39" w14:textId="77777777" w:rsidR="0033058A" w:rsidRPr="00C85476" w:rsidRDefault="0033058A" w:rsidP="0033058A">
      <w:pPr>
        <w:pStyle w:val="ListParagraph"/>
        <w:numPr>
          <w:ilvl w:val="0"/>
          <w:numId w:val="19"/>
        </w:numPr>
        <w:spacing w:after="120" w:line="240" w:lineRule="auto"/>
        <w:ind w:right="567"/>
        <w:contextualSpacing w:val="0"/>
        <w:rPr>
          <w:i/>
          <w:sz w:val="20"/>
        </w:rPr>
      </w:pPr>
      <w:r w:rsidRPr="00C85476">
        <w:rPr>
          <w:i/>
          <w:sz w:val="20"/>
        </w:rPr>
        <w:t>Conduct further investigation into the key waste stream issues of contaminated soils and asbestos, to address clear deficiencies in their data recording and tracking.</w:t>
      </w:r>
    </w:p>
    <w:p w14:paraId="4B0EE7A3" w14:textId="77777777" w:rsidR="0033058A" w:rsidRPr="00C85476" w:rsidRDefault="0033058A" w:rsidP="0033058A">
      <w:pPr>
        <w:pStyle w:val="ListParagraph"/>
        <w:numPr>
          <w:ilvl w:val="0"/>
          <w:numId w:val="19"/>
        </w:numPr>
        <w:spacing w:after="240" w:line="240" w:lineRule="auto"/>
        <w:ind w:left="1281" w:right="567" w:hanging="357"/>
        <w:contextualSpacing w:val="0"/>
        <w:rPr>
          <w:i/>
          <w:sz w:val="20"/>
        </w:rPr>
      </w:pPr>
      <w:r w:rsidRPr="00C85476">
        <w:rPr>
          <w:i/>
          <w:sz w:val="20"/>
        </w:rPr>
        <w:t>Investigate the feasibility, effort requirement, accuracy of, and extent to which any commercial confidentiality could be breached if jurisdictions provided generation data by ANZSIC code.</w:t>
      </w:r>
    </w:p>
    <w:p w14:paraId="15D92445" w14:textId="77777777" w:rsidR="001D01D3" w:rsidRPr="00C85476" w:rsidRDefault="00AF4110" w:rsidP="001D01D3">
      <w:r w:rsidRPr="00C85476">
        <w:t>Another potential focus of this</w:t>
      </w:r>
      <w:r w:rsidR="001D01D3" w:rsidRPr="00C85476">
        <w:t xml:space="preserve"> reform</w:t>
      </w:r>
      <w:r w:rsidR="000B3935">
        <w:t xml:space="preserve"> option</w:t>
      </w:r>
      <w:r w:rsidR="001D01D3" w:rsidRPr="00C85476">
        <w:t xml:space="preserve"> includes </w:t>
      </w:r>
      <w:r w:rsidR="000B3935">
        <w:t xml:space="preserve">the broader communication of </w:t>
      </w:r>
      <w:r w:rsidR="001D01D3" w:rsidRPr="00C85476">
        <w:t>public interest aspects such as changes to</w:t>
      </w:r>
      <w:r w:rsidR="000B3935">
        <w:t xml:space="preserve"> Australian</w:t>
      </w:r>
      <w:r w:rsidR="001D01D3" w:rsidRPr="00C85476">
        <w:t xml:space="preserve"> processes and systems</w:t>
      </w:r>
      <w:r w:rsidR="000B3935">
        <w:t xml:space="preserve"> for managing hazardous waste,</w:t>
      </w:r>
      <w:r w:rsidR="001D01D3" w:rsidRPr="00C85476">
        <w:t xml:space="preserve"> as well as </w:t>
      </w:r>
      <w:r w:rsidR="000B3935">
        <w:t>information on the generation of hazardous waste and the environmental impacts of hazardous waste</w:t>
      </w:r>
      <w:r w:rsidR="001D01D3" w:rsidRPr="00C85476">
        <w:t>.</w:t>
      </w:r>
    </w:p>
    <w:p w14:paraId="46512C8E" w14:textId="77777777" w:rsidR="00702036" w:rsidRPr="00C85476" w:rsidRDefault="00702036" w:rsidP="00551F05">
      <w:pPr>
        <w:pStyle w:val="Heading4"/>
      </w:pPr>
      <w:r w:rsidRPr="00C85476">
        <w:t>Reform option regulatory status</w:t>
      </w:r>
    </w:p>
    <w:p w14:paraId="332713FC" w14:textId="77777777" w:rsidR="00BC4E23" w:rsidRPr="00C85476" w:rsidRDefault="00072104" w:rsidP="00BC4E23">
      <w:r w:rsidRPr="00C85476">
        <w:t xml:space="preserve">This is a </w:t>
      </w:r>
      <w:r w:rsidR="00A92254">
        <w:t>legislated</w:t>
      </w:r>
      <w:r>
        <w:t>,</w:t>
      </w:r>
      <w:r w:rsidRPr="00C85476">
        <w:t xml:space="preserve"> quasi-regulatory</w:t>
      </w:r>
      <w:r>
        <w:t xml:space="preserve"> or non-regulatory reform option.</w:t>
      </w:r>
    </w:p>
    <w:p w14:paraId="7D368090" w14:textId="77777777" w:rsidR="00702036" w:rsidRPr="00C85476" w:rsidRDefault="00702036" w:rsidP="00551F05">
      <w:pPr>
        <w:pStyle w:val="Heading4"/>
      </w:pPr>
      <w:r w:rsidRPr="00C85476">
        <w:t>Reform option purpose</w:t>
      </w:r>
    </w:p>
    <w:p w14:paraId="2EEF023C" w14:textId="77777777" w:rsidR="00A52CBA" w:rsidRPr="00C85476" w:rsidRDefault="00A52CBA" w:rsidP="00A52CBA">
      <w:r w:rsidRPr="00C85476">
        <w:t>Correct an information gap.</w:t>
      </w:r>
    </w:p>
    <w:p w14:paraId="22357D42" w14:textId="77777777" w:rsidR="00702036" w:rsidRPr="00C85476" w:rsidRDefault="00702036" w:rsidP="00551F05">
      <w:pPr>
        <w:pStyle w:val="Heading4"/>
      </w:pPr>
      <w:r w:rsidRPr="00C85476">
        <w:lastRenderedPageBreak/>
        <w:t>Stakeholder feedback</w:t>
      </w:r>
    </w:p>
    <w:p w14:paraId="79130F0F" w14:textId="780D1EBB" w:rsidR="00702036" w:rsidRPr="00C85476" w:rsidRDefault="0067597E" w:rsidP="00702036">
      <w:r>
        <w:t>Nine</w:t>
      </w:r>
      <w:r w:rsidR="00702036" w:rsidRPr="00C85476">
        <w:t xml:space="preserve"> </w:t>
      </w:r>
      <w:r w:rsidR="00A878EE">
        <w:t xml:space="preserve">respondents </w:t>
      </w:r>
      <w:r w:rsidR="00702036" w:rsidRPr="00C85476">
        <w:t>indicated support for t</w:t>
      </w:r>
      <w:r w:rsidR="00A878EE">
        <w:t xml:space="preserve">his </w:t>
      </w:r>
      <w:r w:rsidR="00702036" w:rsidRPr="00C85476">
        <w:t xml:space="preserve">reform </w:t>
      </w:r>
      <w:r>
        <w:t>option,</w:t>
      </w:r>
      <w:r w:rsidR="00702036" w:rsidRPr="00C85476">
        <w:t xml:space="preserve"> three indicated opposition</w:t>
      </w:r>
      <w:r>
        <w:t>, and one stakeholder commented that further assessment is required to establish the need for this reform</w:t>
      </w:r>
      <w:r w:rsidR="00702036" w:rsidRPr="00C85476">
        <w:t>.</w:t>
      </w:r>
    </w:p>
    <w:p w14:paraId="6B35BA97" w14:textId="77777777" w:rsidR="00702036" w:rsidRPr="00C85476" w:rsidRDefault="00702036" w:rsidP="00702036">
      <w:r w:rsidRPr="00C85476">
        <w:t>Comments made in support of the reform appeared to align to a theme of improved transparency and better information for decision makers.</w:t>
      </w:r>
      <w:r w:rsidR="00D15B48" w:rsidRPr="00C85476">
        <w:t xml:space="preserve"> </w:t>
      </w:r>
      <w:r w:rsidRPr="00C85476">
        <w:t>Some specific comments were:</w:t>
      </w:r>
    </w:p>
    <w:p w14:paraId="074434B6" w14:textId="77777777" w:rsidR="00702036" w:rsidRPr="00C85476" w:rsidRDefault="00702036" w:rsidP="00AF4110">
      <w:pPr>
        <w:pStyle w:val="BulletPoints"/>
      </w:pPr>
      <w:r w:rsidRPr="00C85476">
        <w:t>better data and tracking of hazardous waste</w:t>
      </w:r>
      <w:r w:rsidR="00C85476" w:rsidRPr="00C85476">
        <w:t xml:space="preserve"> </w:t>
      </w:r>
      <w:r w:rsidRPr="00C85476">
        <w:t xml:space="preserve">(University of Technology </w:t>
      </w:r>
      <w:r w:rsidR="00AF4110" w:rsidRPr="00C85476">
        <w:t>Sydney).</w:t>
      </w:r>
    </w:p>
    <w:p w14:paraId="5EA6D559" w14:textId="77777777" w:rsidR="00702036" w:rsidRPr="00C85476" w:rsidRDefault="00702036" w:rsidP="00AF4110">
      <w:pPr>
        <w:pStyle w:val="BulletPoints"/>
      </w:pPr>
      <w:r w:rsidRPr="00C85476">
        <w:t xml:space="preserve">increased transparency across the entire hazardous product supply chain from </w:t>
      </w:r>
      <w:r w:rsidR="00C54A96" w:rsidRPr="00C85476">
        <w:t>‘</w:t>
      </w:r>
      <w:r w:rsidRPr="00C85476">
        <w:t>cradle to grave</w:t>
      </w:r>
      <w:r w:rsidR="00C54A96" w:rsidRPr="00C85476">
        <w:t>’</w:t>
      </w:r>
      <w:r w:rsidR="00D15B48" w:rsidRPr="00C85476">
        <w:t xml:space="preserve"> </w:t>
      </w:r>
      <w:r w:rsidRPr="00C85476">
        <w:t>- useful data for decision makers (</w:t>
      </w:r>
      <w:r w:rsidR="000E743E">
        <w:t>Confidential response</w:t>
      </w:r>
      <w:r w:rsidR="00AF4110" w:rsidRPr="00C85476">
        <w:t>).</w:t>
      </w:r>
    </w:p>
    <w:p w14:paraId="4153B01E" w14:textId="77777777" w:rsidR="00702036" w:rsidRPr="00C85476" w:rsidRDefault="00702036" w:rsidP="00AF4110">
      <w:pPr>
        <w:pStyle w:val="BulletPoints"/>
        <w:spacing w:after="240"/>
      </w:pPr>
      <w:r w:rsidRPr="00C85476">
        <w:t>Federal regulators/administrators have a good grip on the international context for hazardous waste, and an increased role to play in communicating this context to state/territory regulators (</w:t>
      </w:r>
      <w:r w:rsidR="00D05D93">
        <w:t>Confidential response</w:t>
      </w:r>
      <w:r w:rsidRPr="00C85476">
        <w:t>).</w:t>
      </w:r>
    </w:p>
    <w:p w14:paraId="4298413F" w14:textId="77777777" w:rsidR="00702036" w:rsidRPr="00C85476" w:rsidRDefault="00702036" w:rsidP="00702036">
      <w:r w:rsidRPr="00C85476">
        <w:t>Points made in opposition were:</w:t>
      </w:r>
    </w:p>
    <w:p w14:paraId="660BD943" w14:textId="77777777" w:rsidR="00702036" w:rsidRPr="00C85476" w:rsidRDefault="00702036" w:rsidP="00AF4110">
      <w:pPr>
        <w:pStyle w:val="BulletPoints"/>
      </w:pPr>
      <w:r w:rsidRPr="00C85476">
        <w:t>Increase in reporting (Australian Vinyls Corporation)</w:t>
      </w:r>
      <w:r w:rsidR="00AF4110" w:rsidRPr="00C85476">
        <w:t>.</w:t>
      </w:r>
    </w:p>
    <w:p w14:paraId="6F9AD533" w14:textId="77777777" w:rsidR="00702036" w:rsidRPr="00C85476" w:rsidRDefault="00702036" w:rsidP="00AF4110">
      <w:pPr>
        <w:pStyle w:val="BulletPoints"/>
      </w:pPr>
      <w:r w:rsidRPr="00C85476">
        <w:t>Potential overlap and duplication with</w:t>
      </w:r>
      <w:r w:rsidR="00072104">
        <w:t xml:space="preserve"> state level reporting (</w:t>
      </w:r>
      <w:r w:rsidR="00D56453">
        <w:t>Confidential response</w:t>
      </w:r>
      <w:r w:rsidR="008661EE">
        <w:t xml:space="preserve"> and Australian Vinyl Corporation</w:t>
      </w:r>
      <w:r w:rsidRPr="00C85476">
        <w:t>)</w:t>
      </w:r>
      <w:r w:rsidR="00AF4110" w:rsidRPr="00C85476">
        <w:t>.</w:t>
      </w:r>
    </w:p>
    <w:p w14:paraId="21F1FB04" w14:textId="77777777" w:rsidR="00702036" w:rsidRPr="00C85476" w:rsidRDefault="00702036" w:rsidP="00AF4110">
      <w:pPr>
        <w:pStyle w:val="BulletPoints"/>
        <w:spacing w:after="240"/>
      </w:pPr>
      <w:r w:rsidRPr="00C85476">
        <w:t>Concerns about information being used in public interest disputes and exposing commercial confidentiality (Veolia Australia and New Zealand).</w:t>
      </w:r>
    </w:p>
    <w:p w14:paraId="575479AF" w14:textId="5A5AB4EE" w:rsidR="0067597E" w:rsidRPr="00C85476" w:rsidRDefault="0067597E" w:rsidP="0067597E">
      <w:r>
        <w:t>The stakeholder that was</w:t>
      </w:r>
      <w:r w:rsidRPr="00C85476">
        <w:t xml:space="preserve"> not directly in support or opposition to this reform option</w:t>
      </w:r>
      <w:r>
        <w:t xml:space="preserve"> </w:t>
      </w:r>
      <w:r w:rsidRPr="00C85476">
        <w:t>observed that:</w:t>
      </w:r>
    </w:p>
    <w:p w14:paraId="66C333F8" w14:textId="0471FFA3" w:rsidR="00744048" w:rsidRDefault="00744048" w:rsidP="0067597E">
      <w:pPr>
        <w:pStyle w:val="BulletPoints"/>
        <w:spacing w:after="240"/>
      </w:pPr>
      <w:r w:rsidRPr="00744048">
        <w:t>Noting that some information on hazardous waste is already available through the annual Controlled Waste NEPM reports and transfers reported on the NPI, identification of the public data gaps proposed to be filled by this proposals is needed to en</w:t>
      </w:r>
      <w:r w:rsidR="0067597E">
        <w:t>able its merits to be assessed.</w:t>
      </w:r>
      <w:r w:rsidRPr="00744048">
        <w:t xml:space="preserve"> In principle, </w:t>
      </w:r>
      <w:r w:rsidR="0067597E">
        <w:t>[our organisation]</w:t>
      </w:r>
      <w:r w:rsidRPr="00744048">
        <w:t xml:space="preserve"> supports the increased provision of information to the public and is planning to upgrade its public register to provide more information about hazardous waste</w:t>
      </w:r>
      <w:r w:rsidR="0067597E">
        <w:t xml:space="preserve"> (Confidential response).</w:t>
      </w:r>
    </w:p>
    <w:p w14:paraId="5B379B19" w14:textId="77777777" w:rsidR="006C40C9" w:rsidRPr="00C85476" w:rsidRDefault="006C40C9" w:rsidP="00551F05">
      <w:pPr>
        <w:pStyle w:val="Heading4"/>
      </w:pPr>
      <w:r w:rsidRPr="00C85476">
        <w:t>Barriers and implementation timeframe</w:t>
      </w:r>
    </w:p>
    <w:p w14:paraId="7F45F554" w14:textId="77777777" w:rsidR="00BB232A" w:rsidRPr="00C85476" w:rsidRDefault="00BB232A" w:rsidP="00AF4110">
      <w:r w:rsidRPr="00C85476">
        <w:t xml:space="preserve">The most significant potential barriers raised </w:t>
      </w:r>
      <w:r w:rsidR="00A878EE">
        <w:t>were</w:t>
      </w:r>
      <w:r w:rsidRPr="00C85476">
        <w:t xml:space="preserve"> </w:t>
      </w:r>
      <w:r w:rsidR="00AF4110" w:rsidRPr="00C85476">
        <w:t>around the release of commercially sensitive information, the risk of an increased burden of reporting for industry, and the related issue of potential overlap between the reporting requirements of jurisdictions.</w:t>
      </w:r>
      <w:r w:rsidR="000B3935">
        <w:t xml:space="preserve"> It is worth noting however that concerns about duplication with s</w:t>
      </w:r>
      <w:r w:rsidR="000B3935" w:rsidRPr="000B3935">
        <w:t>tate</w:t>
      </w:r>
      <w:r w:rsidR="000B3935">
        <w:t>/territory</w:t>
      </w:r>
      <w:r w:rsidR="000B3935" w:rsidRPr="000B3935">
        <w:t xml:space="preserve"> data collection and reporting need to be put in the context that, in general, the jurisdictions do not publicly report hazardous waste data.</w:t>
      </w:r>
    </w:p>
    <w:p w14:paraId="39E1A342" w14:textId="77777777" w:rsidR="00BB232A" w:rsidRPr="00C85476" w:rsidRDefault="00AF4110" w:rsidP="00AF4110">
      <w:r w:rsidRPr="00C85476">
        <w:t>None of the</w:t>
      </w:r>
      <w:r w:rsidR="00BB232A" w:rsidRPr="00C85476">
        <w:t xml:space="preserve"> stakeholders proposed </w:t>
      </w:r>
      <w:r w:rsidR="00A878EE">
        <w:t xml:space="preserve">any </w:t>
      </w:r>
      <w:r w:rsidRPr="00C85476">
        <w:t>timeframes for th</w:t>
      </w:r>
      <w:r w:rsidR="00A878EE">
        <w:t>is</w:t>
      </w:r>
      <w:r w:rsidRPr="00C85476">
        <w:t xml:space="preserve"> reform option.</w:t>
      </w:r>
    </w:p>
    <w:p w14:paraId="2040EBAD" w14:textId="77777777" w:rsidR="00702036" w:rsidRPr="00C85476" w:rsidRDefault="00702036" w:rsidP="00551F05">
      <w:pPr>
        <w:pStyle w:val="Heading4"/>
      </w:pPr>
      <w:r w:rsidRPr="00C85476">
        <w:t>Recommendation</w:t>
      </w:r>
    </w:p>
    <w:p w14:paraId="759E175F" w14:textId="77777777" w:rsidR="00D951BD" w:rsidRPr="00C85476" w:rsidRDefault="00072104" w:rsidP="00D951BD">
      <w:r>
        <w:t xml:space="preserve">It is recommended that this reform option is approached as </w:t>
      </w:r>
      <w:r w:rsidR="00D951BD" w:rsidRPr="00C85476">
        <w:t>a non-regulatory reform</w:t>
      </w:r>
      <w:r>
        <w:t xml:space="preserve"> for the foreseeable future</w:t>
      </w:r>
      <w:r w:rsidR="00D951BD" w:rsidRPr="00C85476">
        <w:t xml:space="preserve">, and for this reason is it </w:t>
      </w:r>
      <w:r w:rsidR="00D951BD">
        <w:t xml:space="preserve">not </w:t>
      </w:r>
      <w:r w:rsidR="00D951BD" w:rsidRPr="00C85476">
        <w:t xml:space="preserve">recommended </w:t>
      </w:r>
      <w:r w:rsidR="00D951BD">
        <w:t xml:space="preserve">for </w:t>
      </w:r>
      <w:r w:rsidR="00D951BD" w:rsidRPr="00C85476">
        <w:t>assess</w:t>
      </w:r>
      <w:r w:rsidR="00D951BD">
        <w:t xml:space="preserve">ment in the cost-benefit analysis. It should be pursued further </w:t>
      </w:r>
      <w:r w:rsidR="00D951BD" w:rsidRPr="00D951BD">
        <w:t>out</w:t>
      </w:r>
      <w:r w:rsidR="00D951BD">
        <w:t>side of a regulatory framework.</w:t>
      </w:r>
    </w:p>
    <w:p w14:paraId="4CF39B4F" w14:textId="77777777" w:rsidR="00E358EA" w:rsidRPr="00C85476" w:rsidRDefault="00451197" w:rsidP="000E743E">
      <w:pPr>
        <w:pStyle w:val="Heading2"/>
        <w:keepLines/>
      </w:pPr>
      <w:bookmarkStart w:id="70" w:name="_Toc426022046"/>
      <w:r>
        <w:lastRenderedPageBreak/>
        <w:t xml:space="preserve">Option </w:t>
      </w:r>
      <w:r w:rsidR="00D851CD" w:rsidRPr="00C85476">
        <w:t xml:space="preserve">i) </w:t>
      </w:r>
      <w:r w:rsidR="00E358EA" w:rsidRPr="00C85476">
        <w:t>Power to establish agreements targeting particular wastes</w:t>
      </w:r>
      <w:bookmarkEnd w:id="70"/>
    </w:p>
    <w:p w14:paraId="389A1305" w14:textId="77777777" w:rsidR="00702036" w:rsidRPr="00C85476" w:rsidRDefault="005D7C22" w:rsidP="000E743E">
      <w:pPr>
        <w:pStyle w:val="Heading4"/>
        <w:keepLines/>
      </w:pPr>
      <w:r w:rsidRPr="00C85476">
        <w:t>Reform option description</w:t>
      </w:r>
    </w:p>
    <w:p w14:paraId="09D8812F" w14:textId="77777777" w:rsidR="004D6713" w:rsidRPr="00705AAE" w:rsidRDefault="004D6713" w:rsidP="000E743E">
      <w:pPr>
        <w:keepNext/>
        <w:keepLines/>
        <w:rPr>
          <w:i/>
        </w:rPr>
      </w:pPr>
      <w:r w:rsidRPr="00705AAE">
        <w:rPr>
          <w:i/>
        </w:rPr>
        <w:t>A power to establish a statutory covenant or similar agreement for dealing with particular wastes (e.g. an agreement with legal status to phase out of stocks of spent pot linings, via domestic and international facilities).</w:t>
      </w:r>
    </w:p>
    <w:p w14:paraId="51E09DCC" w14:textId="77777777" w:rsidR="004D6713" w:rsidRPr="00C85476" w:rsidRDefault="004D6713" w:rsidP="00551F05">
      <w:pPr>
        <w:pStyle w:val="Heading4"/>
      </w:pPr>
      <w:r>
        <w:t>C</w:t>
      </w:r>
      <w:r w:rsidRPr="00C85476">
        <w:t>ontext</w:t>
      </w:r>
    </w:p>
    <w:p w14:paraId="31127E04" w14:textId="77777777" w:rsidR="004D6713" w:rsidRDefault="004D6713" w:rsidP="004D6713">
      <w:r w:rsidRPr="00C85476">
        <w:t xml:space="preserve">The reform seeks to bring about a legal power to establish a legal agreement for dealing with particular wastes of concern. </w:t>
      </w:r>
    </w:p>
    <w:p w14:paraId="2D79304D" w14:textId="77777777" w:rsidR="001D01D3" w:rsidRPr="00C85476" w:rsidRDefault="001D01D3" w:rsidP="00136C9F">
      <w:pPr>
        <w:keepNext/>
        <w:keepLines/>
      </w:pPr>
      <w:r w:rsidRPr="00C85476">
        <w:t>The example of spent pot linings was highligh</w:t>
      </w:r>
      <w:r w:rsidR="00BE6EFB" w:rsidRPr="00C85476">
        <w:t>ted in a recent report for the C</w:t>
      </w:r>
      <w:r w:rsidRPr="00C85476">
        <w:t xml:space="preserve">ommonwealth </w:t>
      </w:r>
      <w:sdt>
        <w:sdtPr>
          <w:id w:val="566922524"/>
          <w:citation/>
        </w:sdtPr>
        <w:sdtEndPr/>
        <w:sdtContent>
          <w:r w:rsidR="007B2B2A" w:rsidRPr="00C85476">
            <w:fldChar w:fldCharType="begin"/>
          </w:r>
          <w:r w:rsidR="008573A4" w:rsidRPr="00C85476">
            <w:instrText xml:space="preserve">CITATION Ble15 \p 73 \l 3081 </w:instrText>
          </w:r>
          <w:r w:rsidR="007B2B2A" w:rsidRPr="00C85476">
            <w:fldChar w:fldCharType="separate"/>
          </w:r>
          <w:r w:rsidR="001F6F42">
            <w:rPr>
              <w:noProof/>
            </w:rPr>
            <w:t>(Blue Environment, et al., 2015b, p. 73)</w:t>
          </w:r>
          <w:r w:rsidR="007B2B2A" w:rsidRPr="00C85476">
            <w:fldChar w:fldCharType="end"/>
          </w:r>
        </w:sdtContent>
      </w:sdt>
      <w:r w:rsidR="008573A4" w:rsidRPr="00C85476">
        <w:t>, which stated:</w:t>
      </w:r>
    </w:p>
    <w:p w14:paraId="1D3ED371" w14:textId="77777777" w:rsidR="001D01D3" w:rsidRPr="00C85476" w:rsidRDefault="008573A4" w:rsidP="00EF68B9">
      <w:pPr>
        <w:spacing w:after="240"/>
        <w:ind w:left="567" w:right="567"/>
        <w:rPr>
          <w:i/>
          <w:sz w:val="20"/>
        </w:rPr>
      </w:pPr>
      <w:r w:rsidRPr="00C85476">
        <w:rPr>
          <w:i/>
          <w:sz w:val="20"/>
        </w:rPr>
        <w:t>Industry estimates around 900,000 tonnes of spent potlining – a waste from aluminium smelting – are in stored in stockpiles across Australia. As the aluminium industry slows in Australia there is a risk that funding to treat/recycle these stockpiles becomes unavailable and the stockpiles become a legacy waste without funding for recovery.</w:t>
      </w:r>
    </w:p>
    <w:p w14:paraId="0E4244E2" w14:textId="77777777" w:rsidR="00EF68B9" w:rsidRPr="00C85476" w:rsidRDefault="00EF68B9" w:rsidP="00EF68B9">
      <w:r w:rsidRPr="00C85476">
        <w:t xml:space="preserve">The Blue Environment, et al. </w:t>
      </w:r>
      <w:sdt>
        <w:sdtPr>
          <w:id w:val="-1315556467"/>
          <w:citation/>
        </w:sdtPr>
        <w:sdtEndPr/>
        <w:sdtContent>
          <w:r w:rsidR="007B2B2A" w:rsidRPr="00C85476">
            <w:fldChar w:fldCharType="begin"/>
          </w:r>
          <w:r w:rsidRPr="00C85476">
            <w:instrText xml:space="preserve">CITATION Ble15 \p 104&amp;#8211;112 \n  \l 3081 </w:instrText>
          </w:r>
          <w:r w:rsidR="007B2B2A" w:rsidRPr="00C85476">
            <w:fldChar w:fldCharType="separate"/>
          </w:r>
          <w:r w:rsidR="001F6F42">
            <w:rPr>
              <w:noProof/>
            </w:rPr>
            <w:t>(2015b, p. 104–112)</w:t>
          </w:r>
          <w:r w:rsidR="007B2B2A" w:rsidRPr="00C85476">
            <w:fldChar w:fldCharType="end"/>
          </w:r>
        </w:sdtContent>
      </w:sdt>
      <w:r w:rsidRPr="00C85476">
        <w:t xml:space="preserve"> report also identified potential </w:t>
      </w:r>
      <w:r w:rsidR="000750DB" w:rsidRPr="00C85476">
        <w:t>re</w:t>
      </w:r>
      <w:r w:rsidRPr="00C85476">
        <w:t>processing</w:t>
      </w:r>
      <w:r w:rsidR="000750DB" w:rsidRPr="00C85476">
        <w:t xml:space="preserve"> and treatment capacity</w:t>
      </w:r>
      <w:r w:rsidRPr="00C85476">
        <w:t xml:space="preserve"> shortfall risks, either </w:t>
      </w:r>
      <w:r w:rsidR="000750DB" w:rsidRPr="00C85476">
        <w:t>existing</w:t>
      </w:r>
      <w:r w:rsidRPr="00C85476">
        <w:t xml:space="preserve"> currently or projected in the next decade or so, for:</w:t>
      </w:r>
    </w:p>
    <w:p w14:paraId="1F5959BC" w14:textId="77777777" w:rsidR="00EF68B9" w:rsidRPr="00C85476" w:rsidRDefault="000B3935" w:rsidP="00EF68B9">
      <w:pPr>
        <w:pStyle w:val="BulletPoints"/>
      </w:pPr>
      <w:r>
        <w:t>h</w:t>
      </w:r>
      <w:r w:rsidR="00EF68B9" w:rsidRPr="00C85476">
        <w:t>azardous waste contaminated packaging</w:t>
      </w:r>
    </w:p>
    <w:p w14:paraId="41D44DA6" w14:textId="77777777" w:rsidR="00EF68B9" w:rsidRPr="00C85476" w:rsidRDefault="000B3935" w:rsidP="00EF68B9">
      <w:pPr>
        <w:pStyle w:val="BulletPoints"/>
      </w:pPr>
      <w:r>
        <w:t>w</w:t>
      </w:r>
      <w:r w:rsidR="00EF68B9" w:rsidRPr="00C85476">
        <w:t>aste oil re-refining capacity</w:t>
      </w:r>
    </w:p>
    <w:p w14:paraId="08B3B6AB" w14:textId="77777777" w:rsidR="00EF68B9" w:rsidRPr="00C85476" w:rsidRDefault="000B3935" w:rsidP="00EF68B9">
      <w:pPr>
        <w:pStyle w:val="BulletPoints"/>
      </w:pPr>
      <w:r>
        <w:t>w</w:t>
      </w:r>
      <w:r w:rsidR="00EF68B9" w:rsidRPr="00C85476">
        <w:t>aste solvents/paints</w:t>
      </w:r>
    </w:p>
    <w:p w14:paraId="71737E08" w14:textId="77777777" w:rsidR="00EF68B9" w:rsidRPr="00C85476" w:rsidRDefault="000B3935" w:rsidP="00EF68B9">
      <w:pPr>
        <w:pStyle w:val="BulletPoints"/>
      </w:pPr>
      <w:r>
        <w:t>h</w:t>
      </w:r>
      <w:r w:rsidR="00EF68B9" w:rsidRPr="00C85476">
        <w:t xml:space="preserve">azardous waste organics </w:t>
      </w:r>
    </w:p>
    <w:p w14:paraId="76B6F6C8" w14:textId="77777777" w:rsidR="00EF68B9" w:rsidRPr="00C85476" w:rsidRDefault="000B3935" w:rsidP="00EF68B9">
      <w:pPr>
        <w:pStyle w:val="BulletPoints"/>
      </w:pPr>
      <w:r>
        <w:t>c</w:t>
      </w:r>
      <w:r w:rsidR="00EF68B9" w:rsidRPr="00C85476">
        <w:t>linical waste treatment and thermal destruction</w:t>
      </w:r>
    </w:p>
    <w:p w14:paraId="64265CDA" w14:textId="77777777" w:rsidR="00EF68B9" w:rsidRPr="00C85476" w:rsidRDefault="00EF68B9" w:rsidP="00EF68B9">
      <w:pPr>
        <w:pStyle w:val="BulletPoints"/>
        <w:spacing w:after="240"/>
      </w:pPr>
      <w:r w:rsidRPr="00C85476">
        <w:t>POPs thermal destruction</w:t>
      </w:r>
      <w:r w:rsidR="000B3935">
        <w:t>.</w:t>
      </w:r>
    </w:p>
    <w:p w14:paraId="2EC4FD53" w14:textId="77777777" w:rsidR="00702036" w:rsidRPr="00C85476" w:rsidRDefault="00702036" w:rsidP="00551F05">
      <w:pPr>
        <w:pStyle w:val="Heading4"/>
      </w:pPr>
      <w:r w:rsidRPr="00C85476">
        <w:t>Reform option regulatory status</w:t>
      </w:r>
    </w:p>
    <w:p w14:paraId="563722BB" w14:textId="77777777" w:rsidR="00BC4E23" w:rsidRPr="00C85476" w:rsidRDefault="00BC4E23" w:rsidP="00BC4E23">
      <w:r w:rsidRPr="00C85476">
        <w:t>This is a co-regulatory reform option.</w:t>
      </w:r>
    </w:p>
    <w:p w14:paraId="1C3C4803" w14:textId="77777777" w:rsidR="00702036" w:rsidRPr="00C85476" w:rsidRDefault="00702036" w:rsidP="00551F05">
      <w:pPr>
        <w:pStyle w:val="Heading4"/>
      </w:pPr>
      <w:r w:rsidRPr="00C85476">
        <w:t>Reform option purpose</w:t>
      </w:r>
    </w:p>
    <w:p w14:paraId="4FA35A07" w14:textId="77777777" w:rsidR="00A52CBA" w:rsidRPr="00C85476" w:rsidRDefault="00A52CBA" w:rsidP="00A52CBA">
      <w:r w:rsidRPr="00C85476">
        <w:t>Address the market inability to deliver a public good.</w:t>
      </w:r>
    </w:p>
    <w:p w14:paraId="48C1AE90" w14:textId="77777777" w:rsidR="00702036" w:rsidRPr="00C85476" w:rsidRDefault="00702036" w:rsidP="00551F05">
      <w:pPr>
        <w:pStyle w:val="Heading4"/>
      </w:pPr>
      <w:r w:rsidRPr="00C85476">
        <w:t>Stakeholder feedback</w:t>
      </w:r>
    </w:p>
    <w:p w14:paraId="495292FE" w14:textId="27DD0489" w:rsidR="00702036" w:rsidRPr="00C85476" w:rsidRDefault="007F1AC8" w:rsidP="00702036">
      <w:r>
        <w:t xml:space="preserve">Eight </w:t>
      </w:r>
      <w:r w:rsidRPr="007F1AC8">
        <w:t>respondents indicated support for</w:t>
      </w:r>
      <w:r w:rsidR="0067597E">
        <w:t xml:space="preserve"> this reform option while three</w:t>
      </w:r>
      <w:r>
        <w:t xml:space="preserve"> </w:t>
      </w:r>
      <w:r w:rsidRPr="007F1AC8">
        <w:t xml:space="preserve">indicated </w:t>
      </w:r>
      <w:r w:rsidR="0067597E">
        <w:t xml:space="preserve">a degree of </w:t>
      </w:r>
      <w:r>
        <w:t>concern,</w:t>
      </w:r>
      <w:r w:rsidR="005C36B7">
        <w:t xml:space="preserve"> </w:t>
      </w:r>
      <w:r w:rsidR="00702036" w:rsidRPr="00C85476">
        <w:t>though not specific opposition.</w:t>
      </w:r>
    </w:p>
    <w:p w14:paraId="7FDDFB74" w14:textId="248D4868" w:rsidR="00702036" w:rsidRPr="00C85476" w:rsidRDefault="00702036" w:rsidP="00702036">
      <w:r w:rsidRPr="00C85476">
        <w:t xml:space="preserve">Some specific comments </w:t>
      </w:r>
      <w:r w:rsidR="0067597E">
        <w:t xml:space="preserve">in support </w:t>
      </w:r>
      <w:r w:rsidRPr="00C85476">
        <w:t>were:</w:t>
      </w:r>
    </w:p>
    <w:p w14:paraId="0204818A" w14:textId="77777777" w:rsidR="00702036" w:rsidRPr="00C85476" w:rsidRDefault="00645293" w:rsidP="00645293">
      <w:pPr>
        <w:pStyle w:val="BulletPoints"/>
      </w:pPr>
      <w:r w:rsidRPr="00C85476">
        <w:t>[This is a]</w:t>
      </w:r>
      <w:r w:rsidR="00702036" w:rsidRPr="00C85476">
        <w:t xml:space="preserve"> great 1</w:t>
      </w:r>
      <w:r w:rsidR="00702036" w:rsidRPr="00C85476">
        <w:rPr>
          <w:vertAlign w:val="superscript"/>
        </w:rPr>
        <w:t>st</w:t>
      </w:r>
      <w:r w:rsidR="00702036" w:rsidRPr="00C85476">
        <w:t xml:space="preserve"> step in identifying problematic wastes, and taking an outcomes-focussed approach to dealing with the issue (</w:t>
      </w:r>
      <w:r w:rsidR="00D56453">
        <w:t>Confidential response</w:t>
      </w:r>
      <w:r w:rsidRPr="00C85476">
        <w:t>).</w:t>
      </w:r>
    </w:p>
    <w:p w14:paraId="01EA29EF" w14:textId="77777777" w:rsidR="00702036" w:rsidRPr="00C85476" w:rsidRDefault="00645293" w:rsidP="00645293">
      <w:pPr>
        <w:pStyle w:val="BulletPoints"/>
      </w:pPr>
      <w:r w:rsidRPr="00C85476">
        <w:lastRenderedPageBreak/>
        <w:t>Will enable prioritis</w:t>
      </w:r>
      <w:r w:rsidR="00702036" w:rsidRPr="00C85476">
        <w:t>ation of stockpiles and responsible management</w:t>
      </w:r>
      <w:r w:rsidRPr="00C85476">
        <w:t xml:space="preserve"> [such as the] Orica HCB waste stockpile (</w:t>
      </w:r>
      <w:r w:rsidR="00D56453">
        <w:t>Confidential response</w:t>
      </w:r>
      <w:r w:rsidRPr="00C85476">
        <w:t>).</w:t>
      </w:r>
    </w:p>
    <w:p w14:paraId="0F575C0B" w14:textId="77777777" w:rsidR="00702036" w:rsidRDefault="00645293" w:rsidP="0067597E">
      <w:pPr>
        <w:pStyle w:val="BulletPoints"/>
        <w:spacing w:after="240"/>
        <w:ind w:left="1208" w:hanging="357"/>
      </w:pPr>
      <w:r w:rsidRPr="00C85476">
        <w:t xml:space="preserve">If properly formulated this </w:t>
      </w:r>
      <w:r w:rsidR="00702036" w:rsidRPr="00C85476">
        <w:t>should provide clear long term direction on the handling of particular wastes</w:t>
      </w:r>
      <w:r w:rsidRPr="00C85476">
        <w:t xml:space="preserve"> (WMAA Queensland Branch).</w:t>
      </w:r>
    </w:p>
    <w:p w14:paraId="7C981899" w14:textId="6A33B0F1" w:rsidR="0067597E" w:rsidRDefault="0067597E" w:rsidP="0067597E">
      <w:r>
        <w:t xml:space="preserve">Comments </w:t>
      </w:r>
      <w:r w:rsidR="0053259B">
        <w:t>raising concerns included:</w:t>
      </w:r>
    </w:p>
    <w:p w14:paraId="2572CE89" w14:textId="77777777" w:rsidR="001C2E4E" w:rsidRPr="00C85476" w:rsidRDefault="001C2E4E" w:rsidP="0053259B">
      <w:pPr>
        <w:pStyle w:val="BulletPoints"/>
        <w:ind w:left="1208" w:hanging="357"/>
      </w:pPr>
      <w:r w:rsidRPr="001C2E4E">
        <w:t>A strong and transparent case would need to be made for the Commonwealth to involve itself in State matters (CRC CARE)</w:t>
      </w:r>
      <w:r>
        <w:t>.</w:t>
      </w:r>
    </w:p>
    <w:p w14:paraId="05430EC3" w14:textId="1F62B7FF" w:rsidR="0067597E" w:rsidRDefault="0067597E" w:rsidP="0053259B">
      <w:pPr>
        <w:pStyle w:val="BulletPoints"/>
        <w:spacing w:after="240"/>
        <w:ind w:left="1208" w:hanging="357"/>
      </w:pPr>
      <w:r w:rsidRPr="0067597E">
        <w:t xml:space="preserve">Legislation already exists in </w:t>
      </w:r>
      <w:r w:rsidR="0053259B">
        <w:t>[our jurisdiction]</w:t>
      </w:r>
      <w:r w:rsidRPr="0067597E">
        <w:t xml:space="preserve"> to impose conditions on specific hazardous wastes, including the phase </w:t>
      </w:r>
      <w:r w:rsidR="0053259B">
        <w:t>out a particular waste stream. [Our organisation]</w:t>
      </w:r>
      <w:r w:rsidRPr="0067597E">
        <w:t xml:space="preserve"> believes that existing legislation should be used if at all possible to deal with specific ha</w:t>
      </w:r>
      <w:r w:rsidR="0053259B">
        <w:t xml:space="preserve">zardous waste issues. </w:t>
      </w:r>
      <w:r w:rsidRPr="0067597E">
        <w:t>Any proposal to introduce additional powers should be subject to a rigorous assessment to ensure that it does not cause duplication in an already complex regulatory environment</w:t>
      </w:r>
      <w:r w:rsidR="0053259B">
        <w:t xml:space="preserve"> (Confidential response)</w:t>
      </w:r>
      <w:r w:rsidRPr="0067597E">
        <w:t>.</w:t>
      </w:r>
    </w:p>
    <w:p w14:paraId="406A26FE" w14:textId="77777777" w:rsidR="00702036" w:rsidRPr="00C85476" w:rsidRDefault="00702036" w:rsidP="001C2E4E">
      <w:pPr>
        <w:keepNext/>
        <w:keepLines/>
      </w:pPr>
      <w:r w:rsidRPr="00C85476">
        <w:t>Some respondents sought to guide the direction or scope of the proposed reform – such as:</w:t>
      </w:r>
    </w:p>
    <w:p w14:paraId="4366C201" w14:textId="77777777" w:rsidR="00702036" w:rsidRPr="00C85476" w:rsidRDefault="00702036" w:rsidP="00645293">
      <w:pPr>
        <w:pStyle w:val="BulletPoints"/>
      </w:pPr>
      <w:r w:rsidRPr="00C85476">
        <w:t>The statutory covenant should be industry-led (</w:t>
      </w:r>
      <w:r w:rsidR="00D56453">
        <w:t>Confidential response</w:t>
      </w:r>
      <w:r w:rsidRPr="00C85476">
        <w:t>)</w:t>
      </w:r>
      <w:r w:rsidR="00645293" w:rsidRPr="00C85476">
        <w:t>.</w:t>
      </w:r>
    </w:p>
    <w:p w14:paraId="582D7123" w14:textId="77777777" w:rsidR="00702036" w:rsidRPr="00C85476" w:rsidRDefault="00702036" w:rsidP="00645293">
      <w:pPr>
        <w:pStyle w:val="BulletPoints"/>
      </w:pPr>
      <w:r w:rsidRPr="00C85476">
        <w:t xml:space="preserve">Not applicable to </w:t>
      </w:r>
      <w:r w:rsidR="007F1AC8">
        <w:t>u</w:t>
      </w:r>
      <w:r w:rsidRPr="00C85476">
        <w:t>sed lead acid batteries (Enirgi Metal Group)</w:t>
      </w:r>
      <w:r w:rsidR="00645293" w:rsidRPr="00C85476">
        <w:t>.</w:t>
      </w:r>
    </w:p>
    <w:p w14:paraId="625A1E36" w14:textId="77777777" w:rsidR="00702036" w:rsidRPr="00C85476" w:rsidRDefault="00E63E19" w:rsidP="00645293">
      <w:pPr>
        <w:pStyle w:val="BulletPoints"/>
        <w:spacing w:after="240"/>
      </w:pPr>
      <w:r w:rsidRPr="00C85476">
        <w:t>A</w:t>
      </w:r>
      <w:r w:rsidR="00702036" w:rsidRPr="00C85476">
        <w:t xml:space="preserve">gree in </w:t>
      </w:r>
      <w:r w:rsidRPr="00C85476">
        <w:t>principal with</w:t>
      </w:r>
      <w:r w:rsidR="00702036" w:rsidRPr="00C85476">
        <w:t xml:space="preserve"> this option on the proviso that any covenant does not contradict existing legislation (Southern Oil Refining)</w:t>
      </w:r>
      <w:r w:rsidR="00645293" w:rsidRPr="00C85476">
        <w:t>.</w:t>
      </w:r>
    </w:p>
    <w:p w14:paraId="3645D6EF" w14:textId="77777777" w:rsidR="006C40C9" w:rsidRPr="00C85476" w:rsidRDefault="006C40C9" w:rsidP="00551F05">
      <w:pPr>
        <w:pStyle w:val="Heading4"/>
      </w:pPr>
      <w:r w:rsidRPr="00C85476">
        <w:t>Barriers and implementation timeframe</w:t>
      </w:r>
    </w:p>
    <w:p w14:paraId="30535615" w14:textId="77777777" w:rsidR="00702036" w:rsidRPr="00C85476" w:rsidRDefault="007F1AC8" w:rsidP="00702036">
      <w:r>
        <w:t xml:space="preserve">The </w:t>
      </w:r>
      <w:r w:rsidR="006644B7" w:rsidRPr="00C85476">
        <w:t>WMAA Queensland Branch</w:t>
      </w:r>
      <w:r w:rsidR="00702036" w:rsidRPr="00C85476">
        <w:t xml:space="preserve"> </w:t>
      </w:r>
      <w:r w:rsidRPr="00C85476">
        <w:t xml:space="preserve">identified </w:t>
      </w:r>
      <w:r>
        <w:t>t</w:t>
      </w:r>
      <w:r w:rsidR="006644B7" w:rsidRPr="00C85476">
        <w:t xml:space="preserve">he </w:t>
      </w:r>
      <w:r w:rsidR="00702036" w:rsidRPr="00C85476">
        <w:t>curre</w:t>
      </w:r>
      <w:r w:rsidR="006644B7" w:rsidRPr="00C85476">
        <w:t>nt ambiguity around definitions</w:t>
      </w:r>
      <w:r>
        <w:t xml:space="preserve"> as </w:t>
      </w:r>
      <w:r w:rsidRPr="00C85476">
        <w:t>a potential barrier</w:t>
      </w:r>
      <w:r>
        <w:t xml:space="preserve"> to this reform option.</w:t>
      </w:r>
    </w:p>
    <w:p w14:paraId="081A3382" w14:textId="77777777" w:rsidR="00702036" w:rsidRPr="00C85476" w:rsidRDefault="00702036" w:rsidP="00702036">
      <w:r w:rsidRPr="00C85476">
        <w:t xml:space="preserve">The </w:t>
      </w:r>
      <w:r w:rsidR="00E63E19" w:rsidRPr="00C85476">
        <w:t>WMAA Queensland Branch</w:t>
      </w:r>
      <w:r w:rsidRPr="00C85476">
        <w:t xml:space="preserve"> commented that the reform should be implemented within a three year timeframe and that it should be developed in conjunction with product stewardship</w:t>
      </w:r>
      <w:r w:rsidR="00E63E19" w:rsidRPr="00C85476">
        <w:t xml:space="preserve"> advances,</w:t>
      </w:r>
      <w:r w:rsidRPr="00C85476">
        <w:t xml:space="preserve"> </w:t>
      </w:r>
      <w:r w:rsidR="00A52CBA" w:rsidRPr="00C85476">
        <w:t>i.e.</w:t>
      </w:r>
      <w:r w:rsidR="00E63E19" w:rsidRPr="00C85476">
        <w:t>,</w:t>
      </w:r>
      <w:r w:rsidRPr="00C85476">
        <w:t xml:space="preserve"> where hazardous wastes are generated as the result of activities in Australia, the manufacturer/importer should bear some costs associated with treatment and/or disposal</w:t>
      </w:r>
      <w:r w:rsidR="007F1AC8">
        <w:t>.</w:t>
      </w:r>
    </w:p>
    <w:p w14:paraId="7036A777" w14:textId="77777777" w:rsidR="00702036" w:rsidRPr="00C85476" w:rsidRDefault="00702036" w:rsidP="00551F05">
      <w:pPr>
        <w:pStyle w:val="Heading4"/>
      </w:pPr>
      <w:r w:rsidRPr="00C85476">
        <w:t>Recommendation</w:t>
      </w:r>
    </w:p>
    <w:p w14:paraId="7BC364A2" w14:textId="77777777" w:rsidR="00A52CBA" w:rsidRPr="00C85476" w:rsidRDefault="00A52CBA" w:rsidP="00A52CBA">
      <w:r w:rsidRPr="00C85476">
        <w:t xml:space="preserve">It is recommended that </w:t>
      </w:r>
      <w:r w:rsidR="007F1AC8">
        <w:t>this reform option be assessed</w:t>
      </w:r>
      <w:r w:rsidR="005C36B7">
        <w:t xml:space="preserve"> </w:t>
      </w:r>
      <w:r w:rsidRPr="00C85476">
        <w:t>in the cost-benefit analysis.</w:t>
      </w:r>
    </w:p>
    <w:p w14:paraId="11F883FB" w14:textId="77777777" w:rsidR="00E358EA" w:rsidRPr="00C85476" w:rsidRDefault="00451197" w:rsidP="00B8329E">
      <w:pPr>
        <w:pStyle w:val="Heading2"/>
      </w:pPr>
      <w:bookmarkStart w:id="71" w:name="_Toc426022047"/>
      <w:r>
        <w:t xml:space="preserve">Option </w:t>
      </w:r>
      <w:r w:rsidR="00D851CD" w:rsidRPr="00C85476">
        <w:t xml:space="preserve">j) </w:t>
      </w:r>
      <w:r w:rsidR="00E358EA" w:rsidRPr="00C85476">
        <w:t>Nationally consistent arrangement on hazardous waste data collection and reporting</w:t>
      </w:r>
      <w:bookmarkEnd w:id="71"/>
    </w:p>
    <w:p w14:paraId="05EBE1AB" w14:textId="77777777" w:rsidR="004D6713" w:rsidRDefault="005D7C22" w:rsidP="00551F05">
      <w:pPr>
        <w:pStyle w:val="Heading4"/>
      </w:pPr>
      <w:r w:rsidRPr="00C85476">
        <w:t>Reform option description</w:t>
      </w:r>
    </w:p>
    <w:p w14:paraId="453D1A6A" w14:textId="77777777" w:rsidR="004D6713" w:rsidRPr="00705AAE" w:rsidRDefault="004D6713" w:rsidP="00705AAE">
      <w:pPr>
        <w:rPr>
          <w:i/>
        </w:rPr>
      </w:pPr>
      <w:r w:rsidRPr="00705AAE">
        <w:rPr>
          <w:i/>
        </w:rPr>
        <w:t>An agreed, nationally-consistent arrangement for hazardous waste data collection and reporting, based on consistent definitions and classifications, aligned with data and reporting arrangements for non-hazardous wastes, and international hazardous waste classifications (e.g. Basel Convention).</w:t>
      </w:r>
    </w:p>
    <w:p w14:paraId="542B1E50" w14:textId="77777777" w:rsidR="005D7C22" w:rsidRPr="00C85476" w:rsidRDefault="004D6713" w:rsidP="00551F05">
      <w:pPr>
        <w:pStyle w:val="Heading4"/>
      </w:pPr>
      <w:r>
        <w:lastRenderedPageBreak/>
        <w:t>C</w:t>
      </w:r>
      <w:r w:rsidR="005D7C22" w:rsidRPr="00C85476">
        <w:t>ontext</w:t>
      </w:r>
    </w:p>
    <w:p w14:paraId="1536B9AF" w14:textId="77777777" w:rsidR="00C44367" w:rsidRPr="00C85476" w:rsidRDefault="00C44367" w:rsidP="00A2649E">
      <w:r w:rsidRPr="00C85476">
        <w:t>In terms of the underlying rationale and purpose of this reform option, a</w:t>
      </w:r>
      <w:r w:rsidR="00A2649E" w:rsidRPr="00C85476">
        <w:t xml:space="preserve"> recent GHD study on the transport and environmental regulation of waste consulted with a wide range </w:t>
      </w:r>
      <w:r w:rsidR="00EC0A4E">
        <w:t xml:space="preserve">of </w:t>
      </w:r>
      <w:r w:rsidRPr="00C85476">
        <w:t xml:space="preserve">stakeholders, with the following findings </w:t>
      </w:r>
      <w:sdt>
        <w:sdtPr>
          <w:id w:val="-1736231333"/>
          <w:citation/>
        </w:sdtPr>
        <w:sdtEndPr/>
        <w:sdtContent>
          <w:r w:rsidR="007B2B2A" w:rsidRPr="00C85476">
            <w:fldChar w:fldCharType="begin"/>
          </w:r>
          <w:r w:rsidRPr="00C85476">
            <w:instrText xml:space="preserve">CITATION GHD15 \p 24 \l 3081 </w:instrText>
          </w:r>
          <w:r w:rsidR="007B2B2A" w:rsidRPr="00C85476">
            <w:fldChar w:fldCharType="separate"/>
          </w:r>
          <w:r w:rsidR="001F6F42">
            <w:rPr>
              <w:noProof/>
            </w:rPr>
            <w:t>(GHD, 2015, p. 24)</w:t>
          </w:r>
          <w:r w:rsidR="007B2B2A" w:rsidRPr="00C85476">
            <w:fldChar w:fldCharType="end"/>
          </w:r>
        </w:sdtContent>
      </w:sdt>
      <w:r w:rsidRPr="00C85476">
        <w:t>:</w:t>
      </w:r>
    </w:p>
    <w:p w14:paraId="6F7E2126" w14:textId="77777777" w:rsidR="00C44367" w:rsidRPr="00C85476" w:rsidRDefault="00A2649E" w:rsidP="00C44367">
      <w:pPr>
        <w:spacing w:after="240"/>
        <w:ind w:left="567" w:right="567"/>
        <w:rPr>
          <w:i/>
          <w:sz w:val="20"/>
        </w:rPr>
      </w:pPr>
      <w:r w:rsidRPr="00C85476">
        <w:rPr>
          <w:i/>
          <w:sz w:val="20"/>
        </w:rPr>
        <w:t>Industry respondents considered that the existence of multiple jurisdiction-specific waste tracking regimes, each with its own waste classifications,</w:t>
      </w:r>
      <w:r w:rsidR="00D15B48" w:rsidRPr="00C85476">
        <w:rPr>
          <w:i/>
          <w:sz w:val="20"/>
        </w:rPr>
        <w:t xml:space="preserve"> </w:t>
      </w:r>
      <w:r w:rsidRPr="00C85476">
        <w:rPr>
          <w:i/>
          <w:sz w:val="20"/>
        </w:rPr>
        <w:t>codes and administrative requirements, complicated their operations and added to the cost of doing business.</w:t>
      </w:r>
      <w:r w:rsidR="00D15B48" w:rsidRPr="00C85476">
        <w:rPr>
          <w:i/>
          <w:sz w:val="20"/>
        </w:rPr>
        <w:t xml:space="preserve"> </w:t>
      </w:r>
      <w:r w:rsidRPr="00C85476">
        <w:rPr>
          <w:i/>
          <w:sz w:val="20"/>
        </w:rPr>
        <w:t>National businesses must liaise with the ‘NEPM expert’ in each jurisdiction and company information systems need to pick up each jurisdiction’s set of NEPM codes.</w:t>
      </w:r>
    </w:p>
    <w:p w14:paraId="54CA9FF2" w14:textId="77777777" w:rsidR="00C44367" w:rsidRPr="00C85476" w:rsidRDefault="00C44367" w:rsidP="00C44367">
      <w:r w:rsidRPr="00C85476">
        <w:t>And furthermore that:</w:t>
      </w:r>
    </w:p>
    <w:p w14:paraId="7C66EB8A" w14:textId="77777777" w:rsidR="00C44367" w:rsidRPr="00C85476" w:rsidRDefault="00C44367" w:rsidP="00C44367">
      <w:pPr>
        <w:spacing w:after="120"/>
        <w:ind w:left="567" w:right="567"/>
        <w:rPr>
          <w:i/>
          <w:sz w:val="20"/>
        </w:rPr>
      </w:pPr>
      <w:r w:rsidRPr="00C85476">
        <w:rPr>
          <w:i/>
          <w:sz w:val="20"/>
        </w:rPr>
        <w:t>Government regulators were highly aware of the limitations of existing arrangements for industry [and] while each jurisdiction has full information on hazardous waste transported into the jurisdiction, it can be prohibitively difficult to gain comparable information on hazardous waste leaving the jurisdiction – because of the number of jurisdictions, as well as possible hazardous versus non-hazardous classification differences in the other jurisdiction. One consequence is the additional difficulty in monitoring hazardous waste stockpiles.</w:t>
      </w:r>
    </w:p>
    <w:p w14:paraId="13670B2A" w14:textId="77777777" w:rsidR="00A2649E" w:rsidRPr="00C85476" w:rsidRDefault="00C44367" w:rsidP="00C44367">
      <w:pPr>
        <w:spacing w:after="240"/>
        <w:ind w:left="567" w:right="567"/>
        <w:rPr>
          <w:i/>
          <w:sz w:val="20"/>
        </w:rPr>
      </w:pPr>
      <w:r w:rsidRPr="00C85476">
        <w:rPr>
          <w:i/>
          <w:sz w:val="20"/>
        </w:rPr>
        <w:t>Industry considers that the appropriate solution is to classify hazardous wastes uniformly and consistently, based on harm to the environment and the controls needed. A single system is required, integrating intra-jurisdictional and international (import/export), as well as inter-jurisdictional tracking. Given existing jurisdiction differences, regulators consider that national leadership would be needed to address the issue.</w:t>
      </w:r>
    </w:p>
    <w:p w14:paraId="732411D0" w14:textId="77777777" w:rsidR="00D851CD" w:rsidRPr="00C85476" w:rsidRDefault="00C57AB6" w:rsidP="00D851CD">
      <w:r w:rsidRPr="00C85476">
        <w:t>This finding is support</w:t>
      </w:r>
      <w:r w:rsidR="007F1AC8">
        <w:t>ed</w:t>
      </w:r>
      <w:r w:rsidRPr="00C85476">
        <w:t xml:space="preserve"> by a series of findings in a recent </w:t>
      </w:r>
      <w:r w:rsidR="00C44367" w:rsidRPr="00C85476">
        <w:t xml:space="preserve">Blue Environment, et al. report also </w:t>
      </w:r>
      <w:r w:rsidRPr="00C85476">
        <w:t>undertaken for the Department</w:t>
      </w:r>
      <w:r w:rsidR="00C44367" w:rsidRPr="00C85476">
        <w:t xml:space="preserve"> that </w:t>
      </w:r>
      <w:sdt>
        <w:sdtPr>
          <w:id w:val="240149450"/>
          <w:citation/>
        </w:sdtPr>
        <w:sdtEndPr/>
        <w:sdtContent>
          <w:r w:rsidR="007B2B2A" w:rsidRPr="00C85476">
            <w:fldChar w:fldCharType="begin"/>
          </w:r>
          <w:r w:rsidR="00C44367" w:rsidRPr="00C85476">
            <w:instrText xml:space="preserve">CITATION Blu15 \p 74 \n  \l 3081 </w:instrText>
          </w:r>
          <w:r w:rsidR="007B2B2A" w:rsidRPr="00C85476">
            <w:fldChar w:fldCharType="separate"/>
          </w:r>
          <w:r w:rsidR="001F6F42">
            <w:rPr>
              <w:noProof/>
            </w:rPr>
            <w:t>(2015a, p. 74)</w:t>
          </w:r>
          <w:r w:rsidR="007B2B2A" w:rsidRPr="00C85476">
            <w:fldChar w:fldCharType="end"/>
          </w:r>
        </w:sdtContent>
      </w:sdt>
      <w:r w:rsidRPr="00C85476">
        <w:t>:</w:t>
      </w:r>
    </w:p>
    <w:p w14:paraId="49CC444F" w14:textId="77777777" w:rsidR="00D851CD" w:rsidRPr="00C85476" w:rsidRDefault="00D851CD" w:rsidP="00517B40">
      <w:pPr>
        <w:pStyle w:val="ListParagraph"/>
        <w:numPr>
          <w:ilvl w:val="0"/>
          <w:numId w:val="21"/>
        </w:numPr>
        <w:spacing w:after="240"/>
        <w:ind w:left="1134" w:right="567" w:hanging="567"/>
        <w:rPr>
          <w:i/>
          <w:sz w:val="20"/>
        </w:rPr>
      </w:pPr>
      <w:r w:rsidRPr="00C85476">
        <w:rPr>
          <w:i/>
          <w:sz w:val="20"/>
        </w:rPr>
        <w:t>Differences in jurisdictional approaches to hazardous waste management adversely affect data quality</w:t>
      </w:r>
      <w:r w:rsidR="001E3381" w:rsidRPr="00C85476">
        <w:rPr>
          <w:i/>
          <w:sz w:val="20"/>
        </w:rPr>
        <w:t>.</w:t>
      </w:r>
    </w:p>
    <w:p w14:paraId="3C656C55" w14:textId="77777777" w:rsidR="00D851CD" w:rsidRPr="00C85476" w:rsidRDefault="00D851CD" w:rsidP="00517B40">
      <w:pPr>
        <w:pStyle w:val="ListParagraph"/>
        <w:numPr>
          <w:ilvl w:val="0"/>
          <w:numId w:val="21"/>
        </w:numPr>
        <w:spacing w:after="240"/>
        <w:ind w:left="1134" w:right="567" w:hanging="567"/>
        <w:rPr>
          <w:i/>
          <w:sz w:val="20"/>
        </w:rPr>
      </w:pPr>
      <w:r w:rsidRPr="00C85476">
        <w:rPr>
          <w:i/>
          <w:sz w:val="20"/>
        </w:rPr>
        <w:t>Jurisdictional fate categories are inconsistent and inadequate for national analysis</w:t>
      </w:r>
      <w:r w:rsidR="001E3381" w:rsidRPr="00C85476">
        <w:rPr>
          <w:i/>
          <w:sz w:val="20"/>
        </w:rPr>
        <w:t>.</w:t>
      </w:r>
    </w:p>
    <w:p w14:paraId="19F9C65B" w14:textId="77777777" w:rsidR="00D851CD" w:rsidRPr="00C85476" w:rsidRDefault="00D851CD" w:rsidP="00517B40">
      <w:pPr>
        <w:pStyle w:val="ListParagraph"/>
        <w:numPr>
          <w:ilvl w:val="0"/>
          <w:numId w:val="21"/>
        </w:numPr>
        <w:spacing w:after="240"/>
        <w:ind w:left="1134" w:right="567" w:hanging="567"/>
        <w:rPr>
          <w:i/>
          <w:sz w:val="20"/>
        </w:rPr>
      </w:pPr>
      <w:r w:rsidRPr="00C85476">
        <w:rPr>
          <w:i/>
          <w:sz w:val="20"/>
        </w:rPr>
        <w:t>Significant tracking certificate errors exist in tracking data</w:t>
      </w:r>
      <w:r w:rsidR="001E3381" w:rsidRPr="00C85476">
        <w:rPr>
          <w:i/>
          <w:sz w:val="20"/>
        </w:rPr>
        <w:t>.</w:t>
      </w:r>
    </w:p>
    <w:p w14:paraId="1E3B63DB" w14:textId="77777777" w:rsidR="00D851CD" w:rsidRPr="00C85476" w:rsidRDefault="00D851CD" w:rsidP="00517B40">
      <w:pPr>
        <w:pStyle w:val="ListParagraph"/>
        <w:numPr>
          <w:ilvl w:val="0"/>
          <w:numId w:val="21"/>
        </w:numPr>
        <w:spacing w:after="240"/>
        <w:ind w:left="1134" w:right="567" w:hanging="567"/>
        <w:rPr>
          <w:i/>
          <w:sz w:val="20"/>
        </w:rPr>
      </w:pPr>
      <w:r w:rsidRPr="00C85476">
        <w:rPr>
          <w:i/>
          <w:sz w:val="20"/>
        </w:rPr>
        <w:t>Large volumes of problem wastes are ‘hidden’ outside of tracking systems</w:t>
      </w:r>
      <w:r w:rsidR="001E3381" w:rsidRPr="00C85476">
        <w:rPr>
          <w:i/>
          <w:sz w:val="20"/>
        </w:rPr>
        <w:t>.</w:t>
      </w:r>
    </w:p>
    <w:p w14:paraId="67729762" w14:textId="77777777" w:rsidR="00F07C8C" w:rsidRPr="00C85476" w:rsidRDefault="00C57AB6" w:rsidP="00F07C8C">
      <w:r w:rsidRPr="00C85476">
        <w:t xml:space="preserve">As part of the solution to this issue, a previous Blue Environment, et al. </w:t>
      </w:r>
      <w:r w:rsidR="007F1AC8">
        <w:t xml:space="preserve">(2014) </w:t>
      </w:r>
      <w:r w:rsidRPr="00C85476">
        <w:t xml:space="preserve">study strongly recommended that the Commonwealth and jurisdictions adopt the 75 NEPM code classification system as a national framework for collecting, collating and reporting on hazardous waste in Australia </w:t>
      </w:r>
      <w:sdt>
        <w:sdtPr>
          <w:id w:val="-1324818879"/>
          <w:citation/>
        </w:sdtPr>
        <w:sdtEndPr/>
        <w:sdtContent>
          <w:r w:rsidR="007B2B2A" w:rsidRPr="00C85476">
            <w:fldChar w:fldCharType="begin"/>
          </w:r>
          <w:r w:rsidRPr="00C85476">
            <w:instrText xml:space="preserve">CITATION Blu14 \p v \l 3081 </w:instrText>
          </w:r>
          <w:r w:rsidR="007B2B2A" w:rsidRPr="00C85476">
            <w:fldChar w:fldCharType="separate"/>
          </w:r>
          <w:r w:rsidR="001F6F42">
            <w:rPr>
              <w:noProof/>
            </w:rPr>
            <w:t>(Blue Environment, et al., 2014, p. v)</w:t>
          </w:r>
          <w:r w:rsidR="007B2B2A" w:rsidRPr="00C85476">
            <w:fldChar w:fldCharType="end"/>
          </w:r>
        </w:sdtContent>
      </w:sdt>
      <w:r w:rsidRPr="00C85476">
        <w:t>.</w:t>
      </w:r>
      <w:r w:rsidR="00F07C8C" w:rsidRPr="00C85476">
        <w:t xml:space="preserve"> The report also observed that </w:t>
      </w:r>
      <w:sdt>
        <w:sdtPr>
          <w:id w:val="-2141023724"/>
          <w:citation/>
        </w:sdtPr>
        <w:sdtEndPr/>
        <w:sdtContent>
          <w:r w:rsidR="007B2B2A" w:rsidRPr="00C85476">
            <w:fldChar w:fldCharType="begin"/>
          </w:r>
          <w:r w:rsidR="00F07C8C" w:rsidRPr="00C85476">
            <w:instrText xml:space="preserve">CITATION Blu14 \p iii \n  \l 3081 </w:instrText>
          </w:r>
          <w:r w:rsidR="007B2B2A" w:rsidRPr="00C85476">
            <w:fldChar w:fldCharType="separate"/>
          </w:r>
          <w:r w:rsidR="001F6F42">
            <w:rPr>
              <w:noProof/>
            </w:rPr>
            <w:t>(2014, p. iii)</w:t>
          </w:r>
          <w:r w:rsidR="007B2B2A" w:rsidRPr="00C85476">
            <w:fldChar w:fldCharType="end"/>
          </w:r>
        </w:sdtContent>
      </w:sdt>
      <w:r w:rsidR="00F07C8C" w:rsidRPr="00C85476">
        <w:t>:</w:t>
      </w:r>
    </w:p>
    <w:p w14:paraId="322667BD" w14:textId="77777777" w:rsidR="00F07C8C" w:rsidRPr="00C85476" w:rsidRDefault="00F07C8C" w:rsidP="00F07C8C">
      <w:pPr>
        <w:ind w:left="567" w:right="567"/>
        <w:rPr>
          <w:i/>
          <w:sz w:val="20"/>
        </w:rPr>
      </w:pPr>
      <w:r w:rsidRPr="00C85476">
        <w:rPr>
          <w:i/>
          <w:sz w:val="20"/>
        </w:rPr>
        <w:t>DoE has flagged multiple areas where compliance with Basel requirements can be improved, including: improvements to timeliness, completeness, consistency, accuracy, verifiability and generally meeting common principles of data quality.</w:t>
      </w:r>
    </w:p>
    <w:p w14:paraId="06668F09" w14:textId="77777777" w:rsidR="00F07C8C" w:rsidRPr="00C85476" w:rsidRDefault="007F1AC8" w:rsidP="00D851CD">
      <w:r>
        <w:t>T</w:t>
      </w:r>
      <w:r w:rsidR="00F07C8C" w:rsidRPr="00C85476">
        <w:t xml:space="preserve">he adoption of this reform option </w:t>
      </w:r>
      <w:r>
        <w:t xml:space="preserve">is likely to </w:t>
      </w:r>
      <w:r w:rsidR="00F07C8C" w:rsidRPr="00C85476">
        <w:t>provide significant support to improving Basel reporting compliance and quality.</w:t>
      </w:r>
    </w:p>
    <w:p w14:paraId="278A09CA" w14:textId="77777777" w:rsidR="00D851CD" w:rsidRPr="00C85476" w:rsidRDefault="001E3381" w:rsidP="00FE741D">
      <w:pPr>
        <w:keepNext/>
        <w:keepLines/>
      </w:pPr>
      <w:r w:rsidRPr="00C85476">
        <w:lastRenderedPageBreak/>
        <w:t>Adding to these recommendations and</w:t>
      </w:r>
      <w:r w:rsidR="00C57AB6" w:rsidRPr="00C85476">
        <w:t xml:space="preserve"> finding</w:t>
      </w:r>
      <w:r w:rsidRPr="00C85476">
        <w:t>s,</w:t>
      </w:r>
      <w:r w:rsidR="00C57AB6" w:rsidRPr="00C85476">
        <w:t xml:space="preserve"> the GHD report found that </w:t>
      </w:r>
      <w:sdt>
        <w:sdtPr>
          <w:id w:val="-1434279375"/>
          <w:citation/>
        </w:sdtPr>
        <w:sdtEndPr/>
        <w:sdtContent>
          <w:r w:rsidR="007B2B2A" w:rsidRPr="00C85476">
            <w:fldChar w:fldCharType="begin"/>
          </w:r>
          <w:r w:rsidR="00C57AB6" w:rsidRPr="00C85476">
            <w:instrText xml:space="preserve">CITATION GHD15 \p 33 \l 3081 </w:instrText>
          </w:r>
          <w:r w:rsidR="007B2B2A" w:rsidRPr="00C85476">
            <w:fldChar w:fldCharType="separate"/>
          </w:r>
          <w:r w:rsidR="001F6F42">
            <w:rPr>
              <w:noProof/>
            </w:rPr>
            <w:t>(GHD, 2015, p. 33)</w:t>
          </w:r>
          <w:r w:rsidR="007B2B2A" w:rsidRPr="00C85476">
            <w:fldChar w:fldCharType="end"/>
          </w:r>
        </w:sdtContent>
      </w:sdt>
      <w:r w:rsidR="00C57AB6" w:rsidRPr="00C85476">
        <w:t>:</w:t>
      </w:r>
    </w:p>
    <w:p w14:paraId="75A642BA" w14:textId="77777777" w:rsidR="00D851CD" w:rsidRPr="00C85476" w:rsidRDefault="00D851CD" w:rsidP="00FE741D">
      <w:pPr>
        <w:keepNext/>
        <w:keepLines/>
        <w:spacing w:after="120"/>
        <w:ind w:left="567" w:right="567"/>
        <w:rPr>
          <w:i/>
          <w:sz w:val="20"/>
        </w:rPr>
      </w:pPr>
      <w:r w:rsidRPr="00C85476">
        <w:rPr>
          <w:i/>
          <w:sz w:val="20"/>
        </w:rPr>
        <w:t>Development of a consistent set of codes and definitions is feasible, given strong national leadership aimed at developing and implementing either a model code (no legal force) or a set of national law.</w:t>
      </w:r>
      <w:r w:rsidR="00D15B48" w:rsidRPr="00C85476">
        <w:rPr>
          <w:i/>
          <w:sz w:val="20"/>
        </w:rPr>
        <w:t xml:space="preserve"> </w:t>
      </w:r>
      <w:r w:rsidRPr="00C85476">
        <w:rPr>
          <w:i/>
          <w:sz w:val="20"/>
        </w:rPr>
        <w:t xml:space="preserve">Jurisdictions would need to agree, based on risk to the environment and to human health, on what is hazardous and what is non-hazardous, including all questions of thresholds. </w:t>
      </w:r>
    </w:p>
    <w:p w14:paraId="065ACA31" w14:textId="77777777" w:rsidR="00D851CD" w:rsidRPr="00C85476" w:rsidRDefault="00D851CD" w:rsidP="00C57AB6">
      <w:pPr>
        <w:spacing w:after="240"/>
        <w:ind w:left="567" w:right="567"/>
        <w:rPr>
          <w:i/>
          <w:sz w:val="20"/>
        </w:rPr>
      </w:pPr>
      <w:r w:rsidRPr="00C85476">
        <w:rPr>
          <w:i/>
          <w:sz w:val="20"/>
        </w:rPr>
        <w:t>Benefits are potentially substantial, including cost savings for industry and government, increased incentive to establish or expand a national scale of operations and improved environmental outcomes.</w:t>
      </w:r>
    </w:p>
    <w:p w14:paraId="640B6D93" w14:textId="77777777" w:rsidR="00D310D1" w:rsidRPr="00C85476" w:rsidRDefault="00D310D1" w:rsidP="00D310D1">
      <w:r w:rsidRPr="00C85476">
        <w:t xml:space="preserve">As some final context, a recent Hyder Consulting study undertaken for the Department found that an estimated ‘98% of hazardous waste in Australia is generated, transported and disposed or treated within a single state or territory’ </w:t>
      </w:r>
      <w:sdt>
        <w:sdtPr>
          <w:id w:val="-89090644"/>
          <w:citation/>
        </w:sdtPr>
        <w:sdtEndPr/>
        <w:sdtContent>
          <w:r w:rsidR="007B2B2A" w:rsidRPr="00C85476">
            <w:fldChar w:fldCharType="begin"/>
          </w:r>
          <w:r w:rsidRPr="00C85476">
            <w:instrText xml:space="preserve">CITATION Hyd15 \p 1 \l 3081 </w:instrText>
          </w:r>
          <w:r w:rsidR="007B2B2A" w:rsidRPr="00C85476">
            <w:fldChar w:fldCharType="separate"/>
          </w:r>
          <w:r w:rsidR="001F6F42">
            <w:rPr>
              <w:noProof/>
            </w:rPr>
            <w:t>(Hyder Consulting, 2015, p. 1)</w:t>
          </w:r>
          <w:r w:rsidR="007B2B2A" w:rsidRPr="00C85476">
            <w:fldChar w:fldCharType="end"/>
          </w:r>
        </w:sdtContent>
      </w:sdt>
      <w:r w:rsidRPr="00C85476">
        <w:t>.</w:t>
      </w:r>
    </w:p>
    <w:p w14:paraId="25778DF3" w14:textId="77777777" w:rsidR="005D7C22" w:rsidRPr="00C85476" w:rsidRDefault="005D7C22" w:rsidP="00551F05">
      <w:pPr>
        <w:pStyle w:val="Heading4"/>
      </w:pPr>
      <w:r w:rsidRPr="00C85476">
        <w:t>Reform option regulatory status</w:t>
      </w:r>
    </w:p>
    <w:p w14:paraId="768D6C2E" w14:textId="77777777" w:rsidR="00D851CD" w:rsidRPr="00C85476" w:rsidRDefault="00C122A1" w:rsidP="00D851CD">
      <w:r w:rsidRPr="00C85476">
        <w:t>This is a quasi-regulatory reform option.</w:t>
      </w:r>
    </w:p>
    <w:p w14:paraId="2A7C16CD" w14:textId="77777777" w:rsidR="005D7C22" w:rsidRPr="00C85476" w:rsidRDefault="005D7C22" w:rsidP="00551F05">
      <w:pPr>
        <w:pStyle w:val="Heading4"/>
      </w:pPr>
      <w:r w:rsidRPr="00C85476">
        <w:t>Reform option purpose</w:t>
      </w:r>
    </w:p>
    <w:p w14:paraId="75837423" w14:textId="77777777" w:rsidR="00D851CD" w:rsidRPr="00C85476" w:rsidRDefault="00C122A1" w:rsidP="00D851CD">
      <w:r w:rsidRPr="00C85476">
        <w:t>Correct an information gap.</w:t>
      </w:r>
    </w:p>
    <w:p w14:paraId="4F0B4F5C" w14:textId="77777777" w:rsidR="005D7C22" w:rsidRPr="00C85476" w:rsidRDefault="005D7C22" w:rsidP="00551F05">
      <w:pPr>
        <w:pStyle w:val="Heading4"/>
      </w:pPr>
      <w:r w:rsidRPr="00C85476">
        <w:t>Stakeholder feedback</w:t>
      </w:r>
    </w:p>
    <w:p w14:paraId="7FF064F1" w14:textId="07F4FA3F" w:rsidR="007F1AC8" w:rsidRDefault="0053259B" w:rsidP="003912D4">
      <w:r>
        <w:t>Twelve</w:t>
      </w:r>
      <w:r w:rsidR="007F1AC8">
        <w:t xml:space="preserve"> </w:t>
      </w:r>
      <w:r w:rsidR="007F1AC8" w:rsidRPr="007F1AC8">
        <w:t xml:space="preserve">respondents indicated support for this reform option while </w:t>
      </w:r>
      <w:r w:rsidR="007F1AC8">
        <w:t>five indicated opposition.</w:t>
      </w:r>
    </w:p>
    <w:p w14:paraId="445D80AA" w14:textId="77777777" w:rsidR="003912D4" w:rsidRPr="00C85476" w:rsidRDefault="00FB022E" w:rsidP="003912D4">
      <w:r w:rsidRPr="00C85476">
        <w:t>Comments</w:t>
      </w:r>
      <w:r w:rsidR="003E16FD" w:rsidRPr="00C85476">
        <w:t xml:space="preserve"> in support</w:t>
      </w:r>
      <w:r w:rsidRPr="00C85476">
        <w:t xml:space="preserve"> of this reform option</w:t>
      </w:r>
      <w:r w:rsidR="003E16FD" w:rsidRPr="00C85476">
        <w:t xml:space="preserve"> included:</w:t>
      </w:r>
    </w:p>
    <w:p w14:paraId="521DD133" w14:textId="77777777" w:rsidR="00F84AD5" w:rsidRPr="00C85476" w:rsidRDefault="00F84AD5" w:rsidP="003E16FD">
      <w:pPr>
        <w:pStyle w:val="BulletPoints"/>
      </w:pPr>
      <w:r w:rsidRPr="00C85476">
        <w:t>I support reform options in relation to gathering better data and tracking of hazardous waste</w:t>
      </w:r>
      <w:r w:rsidR="003E16FD" w:rsidRPr="00C85476">
        <w:t xml:space="preserve"> (University of Technology Sydney)</w:t>
      </w:r>
      <w:r w:rsidRPr="00C85476">
        <w:t>.</w:t>
      </w:r>
    </w:p>
    <w:p w14:paraId="5CEF6A64" w14:textId="77777777" w:rsidR="00F84AD5" w:rsidRPr="00C85476" w:rsidRDefault="003E16FD" w:rsidP="003E16FD">
      <w:pPr>
        <w:pStyle w:val="BulletPoints"/>
      </w:pPr>
      <w:r w:rsidRPr="00C85476">
        <w:t xml:space="preserve">For </w:t>
      </w:r>
      <w:r w:rsidR="0008388E">
        <w:t xml:space="preserve">about </w:t>
      </w:r>
      <w:r w:rsidRPr="00C85476">
        <w:t>15 years</w:t>
      </w:r>
      <w:r w:rsidR="00F84AD5" w:rsidRPr="00C85476">
        <w:t xml:space="preserve"> I’ve monitored the discrepancies between state-based waste classification with a</w:t>
      </w:r>
      <w:r w:rsidRPr="00C85476">
        <w:t xml:space="preserve"> </w:t>
      </w:r>
      <w:r w:rsidR="00F84AD5" w:rsidRPr="00C85476">
        <w:t>mixture of surprise, anger and resignation at the way simple aspects such as waste codes can be</w:t>
      </w:r>
      <w:r w:rsidRPr="00C85476">
        <w:t xml:space="preserve"> </w:t>
      </w:r>
      <w:r w:rsidR="00F84AD5" w:rsidRPr="00C85476">
        <w:t>made confusing. As an objective, I whole-heartedly agree that all States should agree to use the</w:t>
      </w:r>
      <w:r w:rsidRPr="00C85476">
        <w:t xml:space="preserve"> </w:t>
      </w:r>
      <w:r w:rsidR="00F84AD5" w:rsidRPr="00C85476">
        <w:t>same codes, UN numbers etc</w:t>
      </w:r>
      <w:r w:rsidR="00B969DB" w:rsidRPr="00C85476">
        <w:t>.</w:t>
      </w:r>
      <w:r w:rsidR="00F84AD5" w:rsidRPr="00C85476">
        <w:t xml:space="preserve"> for waste tracking, and have consistent methodologies for</w:t>
      </w:r>
      <w:r w:rsidRPr="00C85476">
        <w:t xml:space="preserve"> </w:t>
      </w:r>
      <w:r w:rsidR="00F84AD5" w:rsidRPr="00C85476">
        <w:t>classification of wastes by contamination</w:t>
      </w:r>
      <w:r w:rsidRPr="00C85476">
        <w:t xml:space="preserve"> (</w:t>
      </w:r>
      <w:r w:rsidR="00D56453">
        <w:t>Confidential response</w:t>
      </w:r>
      <w:r w:rsidRPr="00C85476">
        <w:t>)</w:t>
      </w:r>
      <w:r w:rsidR="00F84AD5" w:rsidRPr="00C85476">
        <w:t>.</w:t>
      </w:r>
    </w:p>
    <w:p w14:paraId="67D16880" w14:textId="77777777" w:rsidR="00F84AD5" w:rsidRDefault="00F84AD5" w:rsidP="00FB022E">
      <w:pPr>
        <w:pStyle w:val="BulletPoints"/>
      </w:pPr>
      <w:r w:rsidRPr="00C85476">
        <w:t>This option is supported. Getting classification agreement will be very ti</w:t>
      </w:r>
      <w:r w:rsidR="00FB022E" w:rsidRPr="00C85476">
        <w:t>me-consuming but is necessary. [We] n</w:t>
      </w:r>
      <w:r w:rsidRPr="00C85476">
        <w:t>eed a common set of principles to improve administrative efficiency and consistency between jurisdictions and avoid less favourable environmental outcomes</w:t>
      </w:r>
      <w:r w:rsidR="00FB022E" w:rsidRPr="00C85476">
        <w:t xml:space="preserve"> due to interstate HW transfers (</w:t>
      </w:r>
      <w:r w:rsidR="00D56453">
        <w:t>Confidential response</w:t>
      </w:r>
      <w:r w:rsidR="00FB022E" w:rsidRPr="00C85476">
        <w:t>).</w:t>
      </w:r>
    </w:p>
    <w:p w14:paraId="5C310306" w14:textId="667416D0" w:rsidR="0053259B" w:rsidRPr="00C85476" w:rsidRDefault="0053259B" w:rsidP="0053259B">
      <w:pPr>
        <w:pStyle w:val="BulletPoints"/>
      </w:pPr>
      <w:r>
        <w:t>[Our organisation]</w:t>
      </w:r>
      <w:r w:rsidRPr="0053259B">
        <w:t xml:space="preserve"> would be happy to participate in a project to improve national uniformity around waste tracking and data collection that is consistent with a risk-based approach to regulation and data reporting requirements that are consistent with minimising red tape (e.g. no double reporting, no requirement for data in more detail than is required)</w:t>
      </w:r>
      <w:r>
        <w:t xml:space="preserve"> (Confidential response)</w:t>
      </w:r>
      <w:r w:rsidRPr="0053259B">
        <w:t>.</w:t>
      </w:r>
    </w:p>
    <w:p w14:paraId="67A2DF19" w14:textId="77777777" w:rsidR="00F84AD5" w:rsidRPr="00C85476" w:rsidRDefault="00F84AD5" w:rsidP="00FB022E">
      <w:pPr>
        <w:pStyle w:val="BulletPoints"/>
      </w:pPr>
      <w:r w:rsidRPr="00C85476">
        <w:t>This would improve the quality of data and ease the regulatory burden for ind</w:t>
      </w:r>
      <w:r w:rsidR="00FB022E" w:rsidRPr="00C85476">
        <w:t>ustry. At present lead acid bat</w:t>
      </w:r>
      <w:r w:rsidRPr="00C85476">
        <w:t>t</w:t>
      </w:r>
      <w:r w:rsidR="00FB022E" w:rsidRPr="00C85476">
        <w:t>e</w:t>
      </w:r>
      <w:r w:rsidRPr="00C85476">
        <w:t>ries, for example, are classified several different wastes in different jurisdictions. Classifications under the NEPM for the Movement of Controlled wastes are also ambiguous (</w:t>
      </w:r>
      <w:r w:rsidR="00FB022E" w:rsidRPr="00C85476">
        <w:t>ABRI</w:t>
      </w:r>
      <w:r w:rsidRPr="00C85476">
        <w:t>)</w:t>
      </w:r>
      <w:r w:rsidR="00FB022E" w:rsidRPr="00C85476">
        <w:t>.</w:t>
      </w:r>
    </w:p>
    <w:p w14:paraId="6E55B1CC" w14:textId="74D92266" w:rsidR="00F84AD5" w:rsidRPr="00C85476" w:rsidRDefault="0053259B" w:rsidP="00FB022E">
      <w:pPr>
        <w:pStyle w:val="BulletPoints"/>
      </w:pPr>
      <w:r>
        <w:lastRenderedPageBreak/>
        <w:t>[Our organisation]</w:t>
      </w:r>
      <w:r w:rsidR="00F84AD5" w:rsidRPr="00C85476">
        <w:t xml:space="preserve"> supports the development of an agreed nationally consistent arrangement for hazardous waste data collection and reporting system, based on consistent definitions and</w:t>
      </w:r>
      <w:r w:rsidR="00FB022E" w:rsidRPr="00C85476">
        <w:t xml:space="preserve"> classifications. </w:t>
      </w:r>
      <w:r w:rsidR="00F84AD5" w:rsidRPr="00C85476">
        <w:t>The definitions and the distinction between waste and product should be tightened as some rogue hazardous waste generators claim their waste as a ‘product’ to avoid getting an export permit t</w:t>
      </w:r>
      <w:r w:rsidR="00FB022E" w:rsidRPr="00C85476">
        <w:t>o export their waste overseas (</w:t>
      </w:r>
      <w:r w:rsidR="00D4107A">
        <w:t>Confidential response</w:t>
      </w:r>
      <w:r w:rsidR="00FB022E" w:rsidRPr="00C85476">
        <w:t>).</w:t>
      </w:r>
    </w:p>
    <w:p w14:paraId="6892D8A4" w14:textId="77777777" w:rsidR="00FB022E" w:rsidRPr="00C85476" w:rsidRDefault="00F84AD5" w:rsidP="00F84AD5">
      <w:pPr>
        <w:pStyle w:val="BulletPoints"/>
      </w:pPr>
      <w:r w:rsidRPr="00C85476">
        <w:t>Strongly support. For example, mercury use and management needs to be assessed across the board in Australia to ensure our classification systems are harmonised with the Minamata Convention on Mercury</w:t>
      </w:r>
      <w:r w:rsidR="00FB022E" w:rsidRPr="00C85476">
        <w:t xml:space="preserve"> (</w:t>
      </w:r>
      <w:r w:rsidR="00D05D93">
        <w:t>Confidential response</w:t>
      </w:r>
      <w:r w:rsidR="00FB022E" w:rsidRPr="00C85476">
        <w:t>)</w:t>
      </w:r>
      <w:r w:rsidRPr="00C85476">
        <w:t>.</w:t>
      </w:r>
    </w:p>
    <w:p w14:paraId="648DFD64" w14:textId="77777777" w:rsidR="00F84AD5" w:rsidRPr="00C85476" w:rsidRDefault="00F84AD5" w:rsidP="00FB022E">
      <w:pPr>
        <w:pStyle w:val="BulletPoints"/>
        <w:spacing w:after="240"/>
      </w:pPr>
      <w:r w:rsidRPr="00C85476">
        <w:t>State government tracking requirements are expensive in relation to small collections of bat</w:t>
      </w:r>
      <w:r w:rsidR="00FB022E" w:rsidRPr="00C85476">
        <w:t>teries from numerous locations (Dodd &amp; Dodd Group).</w:t>
      </w:r>
    </w:p>
    <w:p w14:paraId="257709E6" w14:textId="77777777" w:rsidR="007F1AC8" w:rsidRPr="00C85476" w:rsidRDefault="007F1AC8" w:rsidP="000E743E">
      <w:pPr>
        <w:keepNext/>
        <w:keepLines/>
      </w:pPr>
      <w:r w:rsidRPr="007F1AC8">
        <w:t>Opposition ranged from general concerns related to increase reporting burdens, through to stronger direct opposition.</w:t>
      </w:r>
      <w:r w:rsidR="005C36B7">
        <w:t xml:space="preserve"> </w:t>
      </w:r>
      <w:r>
        <w:t xml:space="preserve">These comments </w:t>
      </w:r>
      <w:r w:rsidR="00724DDC">
        <w:t>are</w:t>
      </w:r>
      <w:r w:rsidR="0008388E">
        <w:t xml:space="preserve"> summarised as follows</w:t>
      </w:r>
      <w:r>
        <w:t>:</w:t>
      </w:r>
    </w:p>
    <w:p w14:paraId="62C38F93" w14:textId="77777777" w:rsidR="00B969DB" w:rsidRPr="00C85476" w:rsidRDefault="00B969DB" w:rsidP="00B969DB">
      <w:pPr>
        <w:pStyle w:val="BulletPoints"/>
      </w:pPr>
      <w:r w:rsidRPr="00C85476">
        <w:t xml:space="preserve">Getting the states to agree will be difficult. Would potentially be a NEPM change. 90% of it is already consistent. Would be long [exercise] </w:t>
      </w:r>
      <w:r w:rsidR="00FB022E" w:rsidRPr="00C85476">
        <w:t>–</w:t>
      </w:r>
      <w:r w:rsidRPr="00C85476">
        <w:t xml:space="preserve"> NEPMs took years, packaging took ~5 years. There is always a risk that there is additional costs imposed on state and local government by Commonwealth reforms (QLD DEHP).</w:t>
      </w:r>
    </w:p>
    <w:p w14:paraId="0367DE23" w14:textId="77777777" w:rsidR="003E16FD" w:rsidRPr="00C85476" w:rsidRDefault="00B969DB" w:rsidP="00B969DB">
      <w:pPr>
        <w:pStyle w:val="BulletPoints"/>
      </w:pPr>
      <w:r w:rsidRPr="00C85476">
        <w:t xml:space="preserve">[Strongly opposed] </w:t>
      </w:r>
      <w:r w:rsidR="003E16FD" w:rsidRPr="00C85476">
        <w:t xml:space="preserve">if it is to be a separate system </w:t>
      </w:r>
      <w:r w:rsidRPr="00C85476">
        <w:t>[that]</w:t>
      </w:r>
      <w:r w:rsidR="003E16FD" w:rsidRPr="00C85476">
        <w:t xml:space="preserve"> creates more reporting when the data is already available via the Prescribed and Controlled Waste tracking that happens in each of the states. It would be more appropriate for state agencies to work together to have compatible system or feed into a national system and adjust classifications in these systems</w:t>
      </w:r>
      <w:r w:rsidRPr="00C85476">
        <w:t xml:space="preserve"> (Australian Vinyls Corporation)</w:t>
      </w:r>
      <w:r w:rsidR="003E16FD" w:rsidRPr="00C85476">
        <w:t>.</w:t>
      </w:r>
    </w:p>
    <w:p w14:paraId="42C18F20" w14:textId="77777777" w:rsidR="00B969DB" w:rsidRPr="00C85476" w:rsidRDefault="00B969DB" w:rsidP="00705AAE">
      <w:pPr>
        <w:pStyle w:val="BulletPoints"/>
        <w:ind w:left="1134" w:hanging="567"/>
      </w:pPr>
      <w:r w:rsidRPr="00C85476">
        <w:t>There is a risk that this will make the current WA system redundant. Would be happy for there to be an overlay - but not for it to replace the current system.</w:t>
      </w:r>
      <w:r w:rsidR="0008388E" w:rsidRPr="0008388E">
        <w:t xml:space="preserve"> </w:t>
      </w:r>
      <w:r w:rsidR="0008388E" w:rsidRPr="00C85476">
        <w:t>Definitions is a fraught areas due to different definitions used in differing jurisdictions. WA amended its controlled wastes regulations last year to improve terminology within WA</w:t>
      </w:r>
      <w:r w:rsidR="0008388E">
        <w:t>.</w:t>
      </w:r>
      <w:r w:rsidR="0008388E" w:rsidRPr="0008388E">
        <w:t xml:space="preserve"> </w:t>
      </w:r>
      <w:r w:rsidR="0008388E" w:rsidRPr="00C85476">
        <w:t>We have spent close to $1m on the current system. So [great concern that] changing the system may lose a lot of those benefits (WA DER)</w:t>
      </w:r>
      <w:r w:rsidR="0008388E">
        <w:t>.</w:t>
      </w:r>
    </w:p>
    <w:p w14:paraId="169C9120" w14:textId="77777777" w:rsidR="00FB022E" w:rsidRPr="00C85476" w:rsidRDefault="00FB022E" w:rsidP="00FB022E">
      <w:pPr>
        <w:pStyle w:val="BulletPoints"/>
        <w:ind w:left="1134" w:hanging="567"/>
      </w:pPr>
      <w:r w:rsidRPr="00C85476">
        <w:t>Southern Oil Refining Pty Ltd comment: Waste facilities are subject to a large amount of reporting at the state and federal level. While this reporting often covers the same information, the differing detail requires separate working in each case. An additional reporting burden should not be imposed upon waste facilities (Southern Oil Refining).</w:t>
      </w:r>
    </w:p>
    <w:p w14:paraId="0F782B94" w14:textId="77777777" w:rsidR="003E16FD" w:rsidRPr="00C85476" w:rsidRDefault="00FB022E" w:rsidP="00FB022E">
      <w:pPr>
        <w:pStyle w:val="BulletPoints"/>
        <w:spacing w:after="240"/>
        <w:ind w:left="1134" w:hanging="567"/>
      </w:pPr>
      <w:r w:rsidRPr="00C85476">
        <w:t xml:space="preserve">[This reform option] </w:t>
      </w:r>
      <w:r w:rsidR="003E16FD" w:rsidRPr="00C85476">
        <w:t xml:space="preserve">may be reaching for the unreachable goal. Without having worked in a federal capacity, I can only assume that bringing all the states together and obtaining consensus agreement on a unified approach to waste classification would be akin to </w:t>
      </w:r>
      <w:r w:rsidRPr="00C85476">
        <w:t>solving the conflict in the M</w:t>
      </w:r>
      <w:r w:rsidR="003E16FD" w:rsidRPr="00C85476">
        <w:t>idd</w:t>
      </w:r>
      <w:r w:rsidRPr="00C85476">
        <w:t>le E</w:t>
      </w:r>
      <w:r w:rsidR="003E16FD" w:rsidRPr="00C85476">
        <w:t>ast.</w:t>
      </w:r>
      <w:r w:rsidRPr="00C85476">
        <w:t>’ (</w:t>
      </w:r>
      <w:r w:rsidR="00D56453">
        <w:t>Confidential response</w:t>
      </w:r>
      <w:r w:rsidRPr="00C85476">
        <w:t>).</w:t>
      </w:r>
    </w:p>
    <w:p w14:paraId="102C9407" w14:textId="77777777" w:rsidR="006C40C9" w:rsidRPr="00C85476" w:rsidRDefault="006C40C9" w:rsidP="00551F05">
      <w:pPr>
        <w:pStyle w:val="Heading4"/>
      </w:pPr>
      <w:r w:rsidRPr="00C85476">
        <w:t>Barriers and implementation timeframe</w:t>
      </w:r>
    </w:p>
    <w:p w14:paraId="19377A0E" w14:textId="77777777" w:rsidR="00D310D1" w:rsidRPr="00C85476" w:rsidRDefault="006C40C9" w:rsidP="00293B77">
      <w:r w:rsidRPr="00C85476">
        <w:t>The mos</w:t>
      </w:r>
      <w:r w:rsidR="00293B77" w:rsidRPr="00C85476">
        <w:t>t significant potential barrier</w:t>
      </w:r>
      <w:r w:rsidRPr="00C85476">
        <w:t xml:space="preserve"> </w:t>
      </w:r>
      <w:r w:rsidR="0008388E">
        <w:t xml:space="preserve">is </w:t>
      </w:r>
      <w:r w:rsidR="00293B77" w:rsidRPr="00C85476">
        <w:t>the challenge</w:t>
      </w:r>
      <w:r w:rsidR="00D310D1" w:rsidRPr="00C85476">
        <w:t xml:space="preserve">s of determining and articulating the potential benefits of this reform option (to all stakeholders), while working within the needs, capabilities and existing </w:t>
      </w:r>
      <w:r w:rsidR="003603DD" w:rsidRPr="00C85476">
        <w:t xml:space="preserve">classifications and </w:t>
      </w:r>
      <w:r w:rsidR="00D310D1" w:rsidRPr="00C85476">
        <w:t>tracking systems of the states and territories.</w:t>
      </w:r>
    </w:p>
    <w:p w14:paraId="005236B1" w14:textId="77777777" w:rsidR="006C40C9" w:rsidRPr="00C85476" w:rsidRDefault="00293B77" w:rsidP="00FE741D">
      <w:pPr>
        <w:keepLines/>
      </w:pPr>
      <w:r w:rsidRPr="00C85476">
        <w:lastRenderedPageBreak/>
        <w:t>The recent Hyder Consulting study undertaken for the Departmen</w:t>
      </w:r>
      <w:r w:rsidR="00D310D1" w:rsidRPr="00C85476">
        <w:t xml:space="preserve">t on the </w:t>
      </w:r>
      <w:r w:rsidR="00D310D1" w:rsidRPr="00C85476">
        <w:rPr>
          <w:i/>
        </w:rPr>
        <w:t>F</w:t>
      </w:r>
      <w:r w:rsidRPr="00C85476">
        <w:rPr>
          <w:i/>
        </w:rPr>
        <w:t>easibility of national system for tracking controlled wastes</w:t>
      </w:r>
      <w:r w:rsidRPr="00C85476">
        <w:t xml:space="preserve"> found that there were 'mixed government views on the balance in hazardous waste tracking between its core regulatory role and the provision of data to inform policy', and that in 'general there was greater acceptance of a national role around tracking interstate movements than there was for intrastate movements' </w:t>
      </w:r>
      <w:sdt>
        <w:sdtPr>
          <w:id w:val="-2013980223"/>
          <w:citation/>
        </w:sdtPr>
        <w:sdtEndPr/>
        <w:sdtContent>
          <w:r w:rsidR="007B2B2A" w:rsidRPr="00C85476">
            <w:fldChar w:fldCharType="begin"/>
          </w:r>
          <w:r w:rsidRPr="00C85476">
            <w:instrText xml:space="preserve">CITATION Hyd15 \p 1 \l 3081 </w:instrText>
          </w:r>
          <w:r w:rsidR="007B2B2A" w:rsidRPr="00C85476">
            <w:fldChar w:fldCharType="separate"/>
          </w:r>
          <w:r w:rsidR="001F6F42">
            <w:rPr>
              <w:noProof/>
            </w:rPr>
            <w:t>(Hyder Consulting, 2015, p. 1)</w:t>
          </w:r>
          <w:r w:rsidR="007B2B2A" w:rsidRPr="00C85476">
            <w:fldChar w:fldCharType="end"/>
          </w:r>
        </w:sdtContent>
      </w:sdt>
      <w:r w:rsidRPr="00C85476">
        <w:t>. This is consistent with the stakeholder feedback provided for this report.</w:t>
      </w:r>
    </w:p>
    <w:p w14:paraId="6D08E257" w14:textId="7F7E422E" w:rsidR="006C40C9" w:rsidRPr="00C85476" w:rsidRDefault="00D310D1" w:rsidP="00B85B25">
      <w:r w:rsidRPr="00C85476">
        <w:t xml:space="preserve">Depending on the nature of this reform option, QLD DEHP proposes an implementation timeframe of </w:t>
      </w:r>
      <w:r w:rsidR="00B85B25" w:rsidRPr="00C85476">
        <w:t>5 years. WA DER was not specific, but indicated that a long lead-in period would be required.</w:t>
      </w:r>
      <w:r w:rsidR="006874DF" w:rsidRPr="00C85476">
        <w:t xml:space="preserve"> </w:t>
      </w:r>
      <w:r w:rsidR="008E2A60">
        <w:t>Another stakeholder confidentially</w:t>
      </w:r>
      <w:r w:rsidR="006874DF" w:rsidRPr="00C85476">
        <w:t xml:space="preserve"> estimated the implementation timeframe for harmonisation ref</w:t>
      </w:r>
      <w:r w:rsidR="008E2A60">
        <w:t>orm options will be 5–</w:t>
      </w:r>
      <w:r w:rsidR="006874DF" w:rsidRPr="00C85476">
        <w:t>10 years.</w:t>
      </w:r>
    </w:p>
    <w:p w14:paraId="08E00CBC" w14:textId="77777777" w:rsidR="005D7C22" w:rsidRPr="00C85476" w:rsidRDefault="005D7C22" w:rsidP="00551F05">
      <w:pPr>
        <w:pStyle w:val="Heading4"/>
      </w:pPr>
      <w:r w:rsidRPr="00C85476">
        <w:t>Recommendation</w:t>
      </w:r>
    </w:p>
    <w:p w14:paraId="1655442B" w14:textId="77777777" w:rsidR="00A878EE" w:rsidRDefault="00A878EE" w:rsidP="003912D4">
      <w:r>
        <w:t>This is a quasi</w:t>
      </w:r>
      <w:r w:rsidRPr="00A878EE">
        <w:t>-regulatory reform</w:t>
      </w:r>
      <w:r>
        <w:t xml:space="preserve"> option</w:t>
      </w:r>
      <w:r w:rsidRPr="00A878EE">
        <w:t xml:space="preserve">, and for this reason is it not recommended for assessment in the cost-benefit analysis. </w:t>
      </w:r>
      <w:r w:rsidRPr="00C85476">
        <w:t xml:space="preserve">It is recommended that </w:t>
      </w:r>
      <w:r>
        <w:t xml:space="preserve">it be </w:t>
      </w:r>
      <w:r w:rsidRPr="00C85476">
        <w:t>pursued as a non-regulatory reform</w:t>
      </w:r>
      <w:r w:rsidR="007F1AC8">
        <w:t>.</w:t>
      </w:r>
    </w:p>
    <w:p w14:paraId="6024DE1E" w14:textId="77777777" w:rsidR="00E358EA" w:rsidRPr="00C85476" w:rsidRDefault="00451197" w:rsidP="00B8329E">
      <w:pPr>
        <w:pStyle w:val="Heading2"/>
      </w:pPr>
      <w:bookmarkStart w:id="72" w:name="_Toc426022048"/>
      <w:r>
        <w:t xml:space="preserve">Option </w:t>
      </w:r>
      <w:r w:rsidR="00D851CD" w:rsidRPr="00C85476">
        <w:t xml:space="preserve">k) </w:t>
      </w:r>
      <w:r w:rsidR="00E358EA" w:rsidRPr="00C85476">
        <w:t>Powers to establish and maintain hazardous waste facilities</w:t>
      </w:r>
      <w:bookmarkEnd w:id="72"/>
    </w:p>
    <w:p w14:paraId="0169FD18" w14:textId="77777777" w:rsidR="004D6713" w:rsidRDefault="005D7C22" w:rsidP="00551F05">
      <w:pPr>
        <w:pStyle w:val="Heading4"/>
      </w:pPr>
      <w:r w:rsidRPr="00C85476">
        <w:t>Reform option description</w:t>
      </w:r>
    </w:p>
    <w:p w14:paraId="5A1F2D2D" w14:textId="77777777" w:rsidR="004D6713" w:rsidRPr="00705AAE" w:rsidRDefault="004D6713" w:rsidP="00705AAE">
      <w:pPr>
        <w:rPr>
          <w:i/>
        </w:rPr>
      </w:pPr>
      <w:r w:rsidRPr="00705AAE">
        <w:rPr>
          <w:i/>
        </w:rPr>
        <w:t>Powers consistent with those in radioactive waste legislation for the establishment and maintenance of hazardous waste processing or treatment facilities. The selection criteria for the preferred processing technologies should have due consideration of the waste hierarchy.</w:t>
      </w:r>
    </w:p>
    <w:p w14:paraId="7914FEAC" w14:textId="77777777" w:rsidR="005D7C22" w:rsidRPr="00C85476" w:rsidRDefault="004D6713" w:rsidP="00551F05">
      <w:pPr>
        <w:pStyle w:val="Heading4"/>
      </w:pPr>
      <w:r>
        <w:t>C</w:t>
      </w:r>
      <w:r w:rsidR="005D7C22" w:rsidRPr="00C85476">
        <w:t>ontext</w:t>
      </w:r>
    </w:p>
    <w:p w14:paraId="357B044C" w14:textId="77777777" w:rsidR="003912D4" w:rsidRPr="00C85476" w:rsidRDefault="00C22044" w:rsidP="003912D4">
      <w:r w:rsidRPr="00C85476">
        <w:t>The rationale for updating the Act is summarised in</w:t>
      </w:r>
      <w:r w:rsidR="003912D4" w:rsidRPr="00C85476">
        <w:t xml:space="preserve"> recent Blue Environment </w:t>
      </w:r>
      <w:sdt>
        <w:sdtPr>
          <w:id w:val="1115255602"/>
          <w:citation/>
        </w:sdtPr>
        <w:sdtEndPr/>
        <w:sdtContent>
          <w:r w:rsidR="007B2B2A" w:rsidRPr="00C85476">
            <w:fldChar w:fldCharType="begin"/>
          </w:r>
          <w:r w:rsidR="003912D4" w:rsidRPr="00C85476">
            <w:instrText xml:space="preserve">CITATION Ble15 \p 74 \n  \l 3081 </w:instrText>
          </w:r>
          <w:r w:rsidR="007B2B2A" w:rsidRPr="00C85476">
            <w:fldChar w:fldCharType="separate"/>
          </w:r>
          <w:r w:rsidR="001F6F42">
            <w:rPr>
              <w:noProof/>
            </w:rPr>
            <w:t>(2015b, p. 74)</w:t>
          </w:r>
          <w:r w:rsidR="007B2B2A" w:rsidRPr="00C85476">
            <w:fldChar w:fldCharType="end"/>
          </w:r>
        </w:sdtContent>
      </w:sdt>
      <w:r w:rsidR="003912D4" w:rsidRPr="00C85476">
        <w:t xml:space="preserve"> study </w:t>
      </w:r>
      <w:r w:rsidRPr="00C85476">
        <w:t xml:space="preserve">that was </w:t>
      </w:r>
      <w:r w:rsidR="003912D4" w:rsidRPr="00C85476">
        <w:t>undertaken for the Department</w:t>
      </w:r>
      <w:r w:rsidRPr="00C85476">
        <w:t>, finding</w:t>
      </w:r>
      <w:r w:rsidR="003912D4" w:rsidRPr="00C85476">
        <w:t xml:space="preserve"> that:</w:t>
      </w:r>
    </w:p>
    <w:p w14:paraId="4B609C2B" w14:textId="77777777" w:rsidR="003912D4" w:rsidRPr="00C85476" w:rsidRDefault="003912D4" w:rsidP="00506616">
      <w:pPr>
        <w:spacing w:after="240"/>
        <w:ind w:left="567" w:right="567"/>
        <w:rPr>
          <w:i/>
          <w:sz w:val="20"/>
        </w:rPr>
      </w:pPr>
      <w:r w:rsidRPr="00C85476">
        <w:rPr>
          <w:i/>
          <w:sz w:val="20"/>
        </w:rPr>
        <w:t>Hazardous waste infrastructure is often capital intensive and as a result relies on a regulatory framework that supports recovery/treatment more than non-hazardous waste infrastructure. In addition, hazardous waste is less consistently generated than non-hazardous wastes such as household waste so investments carry a higher risk and are less secure.</w:t>
      </w:r>
    </w:p>
    <w:p w14:paraId="5453FF2D" w14:textId="77777777" w:rsidR="00F156AE" w:rsidRDefault="00F156AE" w:rsidP="00506616">
      <w:r>
        <w:t xml:space="preserve">This is particularly the case for </w:t>
      </w:r>
      <w:r w:rsidR="00F20C78">
        <w:t xml:space="preserve">relatively </w:t>
      </w:r>
      <w:r>
        <w:t>low volume and high hazard wastes</w:t>
      </w:r>
      <w:r w:rsidR="00F20C78">
        <w:t>,</w:t>
      </w:r>
      <w:r>
        <w:t xml:space="preserve"> such as persistent organic pollutants (POPs)</w:t>
      </w:r>
      <w:r w:rsidR="00F20C78">
        <w:t>, for which current processing infrastructure capacity is probably already far too low, and</w:t>
      </w:r>
      <w:r>
        <w:t xml:space="preserve"> </w:t>
      </w:r>
      <w:r w:rsidRPr="008637D6">
        <w:t xml:space="preserve">the </w:t>
      </w:r>
      <w:r w:rsidR="00F20C78">
        <w:t xml:space="preserve">future </w:t>
      </w:r>
      <w:r w:rsidRPr="008637D6">
        <w:t xml:space="preserve">capacity </w:t>
      </w:r>
      <w:r w:rsidR="00F20C78">
        <w:t xml:space="preserve">requirement is even higher. The Blue Environment, et al. </w:t>
      </w:r>
      <w:sdt>
        <w:sdtPr>
          <w:id w:val="1412273686"/>
          <w:citation/>
        </w:sdtPr>
        <w:sdtEndPr/>
        <w:sdtContent>
          <w:r w:rsidR="007B2B2A">
            <w:fldChar w:fldCharType="begin"/>
          </w:r>
          <w:r w:rsidR="00F20C78">
            <w:instrText xml:space="preserve">CITATION Ble15 \p xxiv \n  \l 3081 </w:instrText>
          </w:r>
          <w:r w:rsidR="007B2B2A">
            <w:fldChar w:fldCharType="separate"/>
          </w:r>
          <w:r w:rsidR="001F6F42">
            <w:rPr>
              <w:noProof/>
            </w:rPr>
            <w:t>(2015b, p. xxiv)</w:t>
          </w:r>
          <w:r w:rsidR="007B2B2A">
            <w:fldChar w:fldCharType="end"/>
          </w:r>
        </w:sdtContent>
      </w:sdt>
      <w:r w:rsidR="00F20C78">
        <w:t xml:space="preserve"> report found that the ‘r</w:t>
      </w:r>
      <w:r w:rsidR="00F20C78" w:rsidRPr="00F20C78">
        <w:t>atification of the new Stockholm POPs could massively increase the demand on capacity that already appears to be inadequate for the estimated c</w:t>
      </w:r>
      <w:r w:rsidR="008B2E6D">
        <w:t>urrent generation of POP wastes</w:t>
      </w:r>
      <w:r w:rsidR="00F20C78">
        <w:t>’</w:t>
      </w:r>
      <w:r w:rsidR="008B2E6D">
        <w:t>. In addition, the</w:t>
      </w:r>
      <w:r w:rsidR="00F20C78">
        <w:t xml:space="preserve"> size of this future demand is </w:t>
      </w:r>
      <w:r w:rsidR="008B2E6D">
        <w:t xml:space="preserve">highly </w:t>
      </w:r>
      <w:r w:rsidR="00F20C78">
        <w:t xml:space="preserve">uncertain, </w:t>
      </w:r>
      <w:r w:rsidR="008B2E6D">
        <w:t>further undermining commercial interest</w:t>
      </w:r>
      <w:r w:rsidR="00F20C78">
        <w:t xml:space="preserve"> </w:t>
      </w:r>
      <w:r w:rsidR="008B2E6D">
        <w:t>in timely and appropriately scaled</w:t>
      </w:r>
      <w:r w:rsidR="00F20C78">
        <w:t xml:space="preserve"> investment in new infrastructure</w:t>
      </w:r>
      <w:r w:rsidR="008B2E6D">
        <w:t xml:space="preserve"> for these types of hazardous wastes</w:t>
      </w:r>
      <w:r w:rsidR="00F20C78">
        <w:t>.</w:t>
      </w:r>
    </w:p>
    <w:p w14:paraId="35714E38" w14:textId="77777777" w:rsidR="00506616" w:rsidRPr="00C85476" w:rsidRDefault="00506616" w:rsidP="00506616">
      <w:r w:rsidRPr="00C85476">
        <w:t xml:space="preserve">Based on the historical and likely future gaps in hazardous waste recovery/treatment infrastructure, the economic challenges in this area, and the high environmental health cost of </w:t>
      </w:r>
      <w:r w:rsidR="00DE45C6" w:rsidRPr="00C85476">
        <w:t>inappropriate management</w:t>
      </w:r>
      <w:r w:rsidRPr="00C85476">
        <w:t>, there is a prima facie case for government intervention in this area.</w:t>
      </w:r>
    </w:p>
    <w:p w14:paraId="56D29142" w14:textId="77777777" w:rsidR="005D7C22" w:rsidRPr="00C85476" w:rsidRDefault="005D7C22" w:rsidP="00551F05">
      <w:pPr>
        <w:pStyle w:val="Heading4"/>
      </w:pPr>
      <w:r w:rsidRPr="00C85476">
        <w:lastRenderedPageBreak/>
        <w:t>Reform option regulatory status</w:t>
      </w:r>
    </w:p>
    <w:p w14:paraId="671B85CA" w14:textId="77777777" w:rsidR="00C122A1" w:rsidRPr="00C85476" w:rsidRDefault="00C122A1" w:rsidP="00C122A1">
      <w:r w:rsidRPr="00C85476">
        <w:t>This is a legislated reform option.</w:t>
      </w:r>
    </w:p>
    <w:p w14:paraId="25E8770B" w14:textId="77777777" w:rsidR="005D7C22" w:rsidRPr="00C85476" w:rsidRDefault="005D7C22" w:rsidP="00551F05">
      <w:pPr>
        <w:pStyle w:val="Heading4"/>
      </w:pPr>
      <w:r w:rsidRPr="00C85476">
        <w:t>Reform option purpose</w:t>
      </w:r>
    </w:p>
    <w:p w14:paraId="622BA09C" w14:textId="77777777" w:rsidR="00C122A1" w:rsidRPr="00C85476" w:rsidRDefault="00C122A1" w:rsidP="00C122A1">
      <w:r w:rsidRPr="00C85476">
        <w:t xml:space="preserve">Address the </w:t>
      </w:r>
      <w:r w:rsidR="00EC0A4E">
        <w:t xml:space="preserve">Australian </w:t>
      </w:r>
      <w:r w:rsidRPr="00C85476">
        <w:t>market inability to deliver a public good.</w:t>
      </w:r>
    </w:p>
    <w:p w14:paraId="3EBD62AE" w14:textId="77777777" w:rsidR="005D7C22" w:rsidRPr="00C85476" w:rsidRDefault="005D7C22" w:rsidP="00551F05">
      <w:pPr>
        <w:pStyle w:val="Heading4"/>
      </w:pPr>
      <w:r w:rsidRPr="00C85476">
        <w:t>Stakeholder feedback</w:t>
      </w:r>
    </w:p>
    <w:p w14:paraId="027F772B" w14:textId="5EA61D0C" w:rsidR="003912D4" w:rsidRPr="00C85476" w:rsidRDefault="0008388E" w:rsidP="003912D4">
      <w:r>
        <w:t>Seven</w:t>
      </w:r>
      <w:r w:rsidRPr="0008388E">
        <w:t xml:space="preserve"> respondents indicate</w:t>
      </w:r>
      <w:r>
        <w:t>d support for this reform option,</w:t>
      </w:r>
      <w:r w:rsidRPr="0008388E">
        <w:t xml:space="preserve"> </w:t>
      </w:r>
      <w:r w:rsidR="006B7AD3">
        <w:t>five</w:t>
      </w:r>
      <w:r>
        <w:t xml:space="preserve"> indicated opposition, and </w:t>
      </w:r>
      <w:r w:rsidR="0057417D">
        <w:t>two were</w:t>
      </w:r>
      <w:r>
        <w:t xml:space="preserve"> neutral</w:t>
      </w:r>
      <w:r w:rsidR="003912D4" w:rsidRPr="00C85476">
        <w:t>.</w:t>
      </w:r>
    </w:p>
    <w:p w14:paraId="6F0B6ACF" w14:textId="77777777" w:rsidR="00506616" w:rsidRPr="00C85476" w:rsidRDefault="00506616" w:rsidP="000E743E">
      <w:pPr>
        <w:spacing w:after="120"/>
      </w:pPr>
      <w:r w:rsidRPr="00C85476">
        <w:t>Comments in support of this reform option included:</w:t>
      </w:r>
    </w:p>
    <w:p w14:paraId="240D7E44" w14:textId="77777777" w:rsidR="00F84AD5" w:rsidRPr="00C85476" w:rsidRDefault="00DE45C6" w:rsidP="002959B7">
      <w:pPr>
        <w:pStyle w:val="BulletPoints"/>
      </w:pPr>
      <w:r w:rsidRPr="00C85476">
        <w:t>We</w:t>
      </w:r>
      <w:r w:rsidR="00F84AD5" w:rsidRPr="00C85476">
        <w:t xml:space="preserve"> should explore opportunities for Australian innovation, a</w:t>
      </w:r>
      <w:r w:rsidRPr="00C85476">
        <w:t>rising from waste reprocessing rather than exporting (U</w:t>
      </w:r>
      <w:r w:rsidR="003B456C">
        <w:t xml:space="preserve">niversity of </w:t>
      </w:r>
      <w:r w:rsidRPr="00C85476">
        <w:t>T</w:t>
      </w:r>
      <w:r w:rsidR="003B456C">
        <w:t xml:space="preserve">echnology </w:t>
      </w:r>
      <w:r w:rsidRPr="00C85476">
        <w:t>S</w:t>
      </w:r>
      <w:r w:rsidR="003B456C">
        <w:t>ydney</w:t>
      </w:r>
      <w:r w:rsidRPr="00C85476">
        <w:t>).</w:t>
      </w:r>
    </w:p>
    <w:p w14:paraId="34B1B2DF" w14:textId="77777777" w:rsidR="002959B7" w:rsidRPr="00C85476" w:rsidRDefault="002959B7" w:rsidP="006B0750">
      <w:pPr>
        <w:pStyle w:val="BulletPoints"/>
      </w:pPr>
      <w:r w:rsidRPr="00C85476">
        <w:t>Australia needs to develop domestic hazardous waste treatment facilities for POPs waste based on non-incineration technology. There are a range of commercially availa</w:t>
      </w:r>
      <w:r w:rsidR="006B0750" w:rsidRPr="00C85476">
        <w:t>ble non-combustion technologies…</w:t>
      </w:r>
      <w:r w:rsidRPr="00C85476">
        <w:t>The emphasis should be on avoidance, and treatment costs should be at a level that doesn't encou</w:t>
      </w:r>
      <w:r w:rsidR="006B0750" w:rsidRPr="00C85476">
        <w:t>rage hazardous waste generation</w:t>
      </w:r>
      <w:r w:rsidRPr="00C85476">
        <w:t xml:space="preserve"> (</w:t>
      </w:r>
      <w:r w:rsidR="00D05D93">
        <w:t>Confidential response</w:t>
      </w:r>
      <w:r w:rsidRPr="00C85476">
        <w:t>).</w:t>
      </w:r>
    </w:p>
    <w:p w14:paraId="2027E962" w14:textId="77777777" w:rsidR="002959B7" w:rsidRPr="00C85476" w:rsidRDefault="002959B7" w:rsidP="002959B7">
      <w:pPr>
        <w:pStyle w:val="BulletPoints"/>
      </w:pPr>
      <w:r w:rsidRPr="00C85476">
        <w:t>Not sure that investment in such facilities would be feasible given the geographic spread of waste generation and relatively small volumes (Dodd &amp; Dodd Group).</w:t>
      </w:r>
    </w:p>
    <w:p w14:paraId="36311C4F" w14:textId="77777777" w:rsidR="006B0750" w:rsidRPr="00C85476" w:rsidRDefault="006B0750" w:rsidP="006B0750">
      <w:pPr>
        <w:pStyle w:val="BulletPoints"/>
        <w:spacing w:after="240"/>
        <w:ind w:left="1208" w:hanging="357"/>
      </w:pPr>
      <w:r w:rsidRPr="00C85476">
        <w:t>We strongly support powers establishing a selection criterion that has focus on the waste hierarchy when selecting preferred processing technologies (Southern Oil Refining Pty Ltd).</w:t>
      </w:r>
    </w:p>
    <w:p w14:paraId="1517D606" w14:textId="77777777" w:rsidR="00DE45C6" w:rsidRPr="00C85476" w:rsidRDefault="00DE45C6" w:rsidP="00DE45C6">
      <w:r w:rsidRPr="00C85476">
        <w:t>Comments expressing concern or opposition to the reform option included:</w:t>
      </w:r>
    </w:p>
    <w:p w14:paraId="4E7A570E" w14:textId="77777777" w:rsidR="002959B7" w:rsidRDefault="002959B7" w:rsidP="006B0750">
      <w:pPr>
        <w:pStyle w:val="BulletPoints"/>
      </w:pPr>
      <w:r w:rsidRPr="00C85476">
        <w:t>The waste hierarchy is much too simplistic to appropriately inform th</w:t>
      </w:r>
      <w:r w:rsidR="006B0750" w:rsidRPr="00C85476">
        <w:t>e management of hazardous waste. Designing appropriate product stewardship scheme will require HSE risk analysis over the cradle to grave product chain, life cycle assessment, and financial CBA. (</w:t>
      </w:r>
      <w:r w:rsidR="00D56453">
        <w:t>Confidential response</w:t>
      </w:r>
      <w:r w:rsidR="006B0750" w:rsidRPr="00C85476">
        <w:t>).</w:t>
      </w:r>
    </w:p>
    <w:p w14:paraId="25B5423B" w14:textId="17F052E6" w:rsidR="006B7AD3" w:rsidRPr="00C85476" w:rsidRDefault="006B7AD3" w:rsidP="006B7AD3">
      <w:pPr>
        <w:pStyle w:val="BulletPoints"/>
      </w:pPr>
      <w:r w:rsidRPr="006B7AD3">
        <w:t>Given the continuing absence of a national repository for radioactive waste and the failure of attempts late last century to establish a high temperature hazardous waste incinerator in Australia, a strong case would need to be put as to why any new proposed powers would ha</w:t>
      </w:r>
      <w:r>
        <w:t xml:space="preserve">ve a better chance of success. </w:t>
      </w:r>
      <w:r w:rsidRPr="006B7AD3">
        <w:t>In any event, any proposal to establish new regulatory powers would need to establish a clear need for such powers and be subject to a rigorous cost-benefit analysis</w:t>
      </w:r>
      <w:r>
        <w:t xml:space="preserve"> (Confidential response)</w:t>
      </w:r>
      <w:r w:rsidRPr="006B7AD3">
        <w:t>.</w:t>
      </w:r>
    </w:p>
    <w:p w14:paraId="466A9ABD" w14:textId="67736679" w:rsidR="006B0750" w:rsidRPr="00C85476" w:rsidRDefault="006B0750" w:rsidP="006B0750">
      <w:pPr>
        <w:pStyle w:val="BulletPoints"/>
      </w:pPr>
      <w:r w:rsidRPr="00C85476">
        <w:t>Veolia supports reforms that create confidence in Industry to invest in hazardous waste processing or treatment facilities. Veolia's experience is that a market driven approac</w:t>
      </w:r>
      <w:r w:rsidR="00B443EF">
        <w:t>h is more effective (Veolia).</w:t>
      </w:r>
    </w:p>
    <w:p w14:paraId="02BF18A9" w14:textId="77777777" w:rsidR="00DE45C6" w:rsidRPr="00C85476" w:rsidRDefault="00DE45C6" w:rsidP="00B443EF">
      <w:pPr>
        <w:pStyle w:val="BulletPoints"/>
        <w:keepLines/>
        <w:spacing w:after="240"/>
        <w:ind w:left="1208" w:hanging="357"/>
      </w:pPr>
      <w:r w:rsidRPr="00C85476">
        <w:lastRenderedPageBreak/>
        <w:t>The intent behind this proposed measure is unclear, as Radiation legislation and Hazardous Waste legislation are very different in that State-based Radiation legislations do not have the ability to allow/license radioactive waste treatment facilities, which (to my understanding) was agreed to be a federal function. For hazardous waste treatment however, every state has its own legislated power to licence hazardous waste treatment facilities, and the introduction of federal law with a similar intent to the states may cause a constitutional issue of who has the power/d</w:t>
      </w:r>
      <w:r w:rsidR="006B0750" w:rsidRPr="00C85476">
        <w:t>uty to control these activities (</w:t>
      </w:r>
      <w:r w:rsidR="00D56453">
        <w:t>Confidential response</w:t>
      </w:r>
      <w:r w:rsidR="006B0750" w:rsidRPr="00C85476">
        <w:t>).</w:t>
      </w:r>
    </w:p>
    <w:p w14:paraId="7821B042" w14:textId="23EBD5A7" w:rsidR="002959B7" w:rsidRPr="00C85476" w:rsidRDefault="00137353" w:rsidP="002959B7">
      <w:r>
        <w:t>One stakeholder was</w:t>
      </w:r>
      <w:r w:rsidR="002959B7" w:rsidRPr="00C85476">
        <w:t xml:space="preserve"> not directly</w:t>
      </w:r>
      <w:r w:rsidR="00DE4B58" w:rsidRPr="00C85476">
        <w:t xml:space="preserve"> </w:t>
      </w:r>
      <w:r w:rsidR="00EA05BD" w:rsidRPr="00C85476">
        <w:t>in support or opposition to this reform option</w:t>
      </w:r>
      <w:r w:rsidR="0067597E">
        <w:t>, but</w:t>
      </w:r>
      <w:r>
        <w:t xml:space="preserve"> </w:t>
      </w:r>
      <w:r w:rsidR="002959B7" w:rsidRPr="00C85476">
        <w:t>observed that:</w:t>
      </w:r>
    </w:p>
    <w:p w14:paraId="3F73BBE8" w14:textId="47E9C147" w:rsidR="002959B7" w:rsidRPr="00C85476" w:rsidRDefault="002959B7" w:rsidP="002E01BB">
      <w:pPr>
        <w:pStyle w:val="BulletPoints"/>
        <w:spacing w:after="240"/>
        <w:ind w:left="1208" w:hanging="357"/>
      </w:pPr>
      <w:r w:rsidRPr="00C85476">
        <w:t xml:space="preserve">It is worth investigating…[however] must be assessed with significant consultation with impacted stakeholders. A national level hazardous waste infrastructure strategy would be useful as the relatively small quantities of specific hazardous wastes at a state level can be too low to attract industry interest in new facilities. National scale facilities may improve facility </w:t>
      </w:r>
      <w:r w:rsidR="002E01BB" w:rsidRPr="00C85476">
        <w:t>viability and business interest…</w:t>
      </w:r>
      <w:r w:rsidRPr="00C85476">
        <w:t xml:space="preserve"> Chemical toxicity should be a significant criteria in setting priorities</w:t>
      </w:r>
      <w:r w:rsidR="0067597E">
        <w:t xml:space="preserve"> (Confidential response)</w:t>
      </w:r>
      <w:r w:rsidRPr="00C85476">
        <w:t>.</w:t>
      </w:r>
    </w:p>
    <w:p w14:paraId="55FC7B49" w14:textId="643C4952" w:rsidR="002959B7" w:rsidRPr="00C85476" w:rsidRDefault="00567661" w:rsidP="002959B7">
      <w:r>
        <w:t>This</w:t>
      </w:r>
      <w:r w:rsidR="00137353">
        <w:t xml:space="preserve"> stakeholder</w:t>
      </w:r>
      <w:r w:rsidR="002959B7" w:rsidRPr="00C85476">
        <w:t xml:space="preserve"> also posed the following questions:</w:t>
      </w:r>
    </w:p>
    <w:p w14:paraId="52128EB6" w14:textId="77777777" w:rsidR="002959B7" w:rsidRPr="00C85476" w:rsidRDefault="002959B7" w:rsidP="002E01BB">
      <w:pPr>
        <w:pStyle w:val="BulletPoints"/>
      </w:pPr>
      <w:r w:rsidRPr="00C85476">
        <w:t>Would the sites be on Commonwealth property or become Commonwealth property?</w:t>
      </w:r>
    </w:p>
    <w:p w14:paraId="2CF9CB3D" w14:textId="77777777" w:rsidR="002959B7" w:rsidRPr="00C85476" w:rsidRDefault="002959B7" w:rsidP="002E01BB">
      <w:pPr>
        <w:pStyle w:val="BulletPoints"/>
        <w:spacing w:after="240"/>
        <w:ind w:left="1208" w:hanging="357"/>
      </w:pPr>
      <w:r w:rsidRPr="00C85476">
        <w:t>How does the Commonwealth identify if new facilities have been built providing for new local reprocessing capacity?</w:t>
      </w:r>
    </w:p>
    <w:p w14:paraId="05F6A4F3" w14:textId="77777777" w:rsidR="006C40C9" w:rsidRPr="00C85476" w:rsidRDefault="006C40C9" w:rsidP="00551F05">
      <w:pPr>
        <w:pStyle w:val="Heading4"/>
      </w:pPr>
      <w:r w:rsidRPr="00C85476">
        <w:t>Barriers and implementation timeframe</w:t>
      </w:r>
    </w:p>
    <w:p w14:paraId="6222C42F" w14:textId="77777777" w:rsidR="00BB232A" w:rsidRPr="00C85476" w:rsidRDefault="002E01BB" w:rsidP="00BB232A">
      <w:r w:rsidRPr="00C85476">
        <w:t>The most significant</w:t>
      </w:r>
      <w:r w:rsidR="00BB232A" w:rsidRPr="00C85476">
        <w:t xml:space="preserve"> barriers</w:t>
      </w:r>
      <w:r w:rsidRPr="00C85476">
        <w:t xml:space="preserve"> or issues</w:t>
      </w:r>
      <w:r w:rsidR="00BB232A" w:rsidRPr="00C85476">
        <w:t xml:space="preserve"> raised to the adoption of this </w:t>
      </w:r>
      <w:r w:rsidRPr="00C85476">
        <w:t xml:space="preserve">reform </w:t>
      </w:r>
      <w:r w:rsidR="00BB232A" w:rsidRPr="00C85476">
        <w:t xml:space="preserve">option </w:t>
      </w:r>
      <w:r w:rsidRPr="00C85476">
        <w:t>relate to concerns relating to the Commonwealth interfering with market-led solutions, and that chemical environmental and health hazard should a key assessment criteria</w:t>
      </w:r>
      <w:r w:rsidR="00BB232A" w:rsidRPr="00C85476">
        <w:t>.</w:t>
      </w:r>
    </w:p>
    <w:p w14:paraId="6ACD2AF8" w14:textId="77777777" w:rsidR="00BB232A" w:rsidRPr="00C85476" w:rsidRDefault="002E01BB" w:rsidP="002E01BB">
      <w:r w:rsidRPr="00C85476">
        <w:t>None of the</w:t>
      </w:r>
      <w:r w:rsidR="00BB232A" w:rsidRPr="00C85476">
        <w:t xml:space="preserve"> stakeholders proposed </w:t>
      </w:r>
      <w:r w:rsidRPr="00C85476">
        <w:t>an implementation timeframe for this</w:t>
      </w:r>
      <w:r w:rsidR="003603DD" w:rsidRPr="00C85476">
        <w:t xml:space="preserve"> reform option.</w:t>
      </w:r>
    </w:p>
    <w:p w14:paraId="5BF65B83" w14:textId="77777777" w:rsidR="005D7C22" w:rsidRPr="00C85476" w:rsidRDefault="005D7C22" w:rsidP="00551F05">
      <w:pPr>
        <w:pStyle w:val="Heading4"/>
      </w:pPr>
      <w:r w:rsidRPr="00C85476">
        <w:t>Recommendation</w:t>
      </w:r>
    </w:p>
    <w:p w14:paraId="15218E54" w14:textId="77777777" w:rsidR="003912D4" w:rsidRPr="00C85476" w:rsidRDefault="003912D4" w:rsidP="002E01BB">
      <w:r w:rsidRPr="00C85476">
        <w:t xml:space="preserve">It is recommended that </w:t>
      </w:r>
      <w:r w:rsidR="007F1AC8">
        <w:t>this reform option be assessed</w:t>
      </w:r>
      <w:r w:rsidRPr="00C85476">
        <w:t xml:space="preserve"> in the cost-benefit analysis.</w:t>
      </w:r>
    </w:p>
    <w:p w14:paraId="435DE8E8" w14:textId="77777777" w:rsidR="00E358EA" w:rsidRPr="00C85476" w:rsidRDefault="00451197" w:rsidP="00B443EF">
      <w:pPr>
        <w:pStyle w:val="Heading2"/>
        <w:keepLines/>
      </w:pPr>
      <w:bookmarkStart w:id="73" w:name="_Toc426022049"/>
      <w:r>
        <w:lastRenderedPageBreak/>
        <w:t xml:space="preserve">Option </w:t>
      </w:r>
      <w:r w:rsidR="00F84AD5" w:rsidRPr="00C85476">
        <w:t xml:space="preserve">l) </w:t>
      </w:r>
      <w:r w:rsidR="00E358EA" w:rsidRPr="00C85476">
        <w:t>Nationally consistent system for tracking hazardous waste movements</w:t>
      </w:r>
      <w:bookmarkEnd w:id="73"/>
    </w:p>
    <w:p w14:paraId="04BCF58F" w14:textId="77777777" w:rsidR="004D6713" w:rsidRDefault="005D7C22" w:rsidP="00B443EF">
      <w:pPr>
        <w:pStyle w:val="Heading4"/>
        <w:keepLines/>
      </w:pPr>
      <w:r w:rsidRPr="00C85476">
        <w:t>Reform option description</w:t>
      </w:r>
    </w:p>
    <w:p w14:paraId="60252A4A" w14:textId="77777777" w:rsidR="004D6713" w:rsidRPr="00705AAE" w:rsidRDefault="004D6713" w:rsidP="00B443EF">
      <w:pPr>
        <w:keepNext/>
        <w:keepLines/>
        <w:rPr>
          <w:i/>
        </w:rPr>
      </w:pPr>
      <w:r w:rsidRPr="00705AAE">
        <w:rPr>
          <w:i/>
        </w:rPr>
        <w:t>National consistency of tracking systems for movements of controlled (hazardous) wastes, covering inter and intra-state movements.</w:t>
      </w:r>
    </w:p>
    <w:p w14:paraId="0CD453B2" w14:textId="77777777" w:rsidR="005D7C22" w:rsidRPr="00C85476" w:rsidRDefault="004D6713" w:rsidP="00551F05">
      <w:pPr>
        <w:pStyle w:val="Heading4"/>
      </w:pPr>
      <w:r>
        <w:t>C</w:t>
      </w:r>
      <w:r w:rsidR="005D7C22" w:rsidRPr="00C85476">
        <w:t>ontext</w:t>
      </w:r>
    </w:p>
    <w:p w14:paraId="489B7BFA" w14:textId="77777777" w:rsidR="00F84AD5" w:rsidRPr="00C85476" w:rsidRDefault="00CE0EE9" w:rsidP="00B443EF">
      <w:pPr>
        <w:keepLines/>
      </w:pPr>
      <w:r w:rsidRPr="00C85476">
        <w:t>In relation to this reform option the</w:t>
      </w:r>
      <w:r w:rsidR="00F84AD5" w:rsidRPr="00C85476">
        <w:t xml:space="preserve"> key national initiative is the National Environment Protection (Movement of Controlled Waste between </w:t>
      </w:r>
      <w:r w:rsidRPr="00C85476">
        <w:t>States and Territories) Measure</w:t>
      </w:r>
      <w:r w:rsidR="00F07C8C" w:rsidRPr="00C85476">
        <w:t xml:space="preserve"> (the NEPM)</w:t>
      </w:r>
      <w:r w:rsidRPr="00C85476">
        <w:t>, which c</w:t>
      </w:r>
      <w:r w:rsidR="00F84AD5" w:rsidRPr="00C85476">
        <w:t>ommenc</w:t>
      </w:r>
      <w:r w:rsidRPr="00C85476">
        <w:t xml:space="preserve">ed in 1998. The NEPM </w:t>
      </w:r>
      <w:r w:rsidR="00F84AD5" w:rsidRPr="00C85476">
        <w:t>manages the interstate movement of controlled wastes</w:t>
      </w:r>
      <w:r w:rsidR="00F07C8C" w:rsidRPr="00C85476">
        <w:t>, and</w:t>
      </w:r>
      <w:r w:rsidRPr="00C85476">
        <w:t xml:space="preserve"> established</w:t>
      </w:r>
      <w:r w:rsidR="00F84AD5" w:rsidRPr="00C85476">
        <w:t xml:space="preserve"> 75 ca</w:t>
      </w:r>
      <w:r w:rsidR="00F07C8C" w:rsidRPr="00C85476">
        <w:t xml:space="preserve">tegories of hazardous waste. </w:t>
      </w:r>
      <w:r w:rsidR="008B2E6D" w:rsidRPr="008B2E6D">
        <w:t>A separate agreement between the states requires them to report waste tonnages moved across borders against 15 broad categories (not the 75 in the NEPM itself).</w:t>
      </w:r>
    </w:p>
    <w:p w14:paraId="0FEFF506" w14:textId="77777777" w:rsidR="00F84AD5" w:rsidRPr="00C85476" w:rsidRDefault="00F07C8C" w:rsidP="00F84AD5">
      <w:r w:rsidRPr="00C85476">
        <w:t>Reproduced here are two</w:t>
      </w:r>
      <w:r w:rsidR="00F84AD5" w:rsidRPr="00C85476">
        <w:t xml:space="preserve"> of the key findings in the recently completed Hyder Consulting </w:t>
      </w:r>
      <w:sdt>
        <w:sdtPr>
          <w:id w:val="-1785417310"/>
          <w:citation/>
        </w:sdtPr>
        <w:sdtEndPr/>
        <w:sdtContent>
          <w:r w:rsidR="007B2B2A" w:rsidRPr="00C85476">
            <w:fldChar w:fldCharType="begin"/>
          </w:r>
          <w:r w:rsidR="00F84AD5" w:rsidRPr="00C85476">
            <w:instrText xml:space="preserve">CITATION Hyd15 \p 1&amp;#8211;2 \n  \l 3081 </w:instrText>
          </w:r>
          <w:r w:rsidR="007B2B2A" w:rsidRPr="00C85476">
            <w:fldChar w:fldCharType="separate"/>
          </w:r>
          <w:r w:rsidR="001F6F42">
            <w:rPr>
              <w:noProof/>
            </w:rPr>
            <w:t>(2015, p. 1–2)</w:t>
          </w:r>
          <w:r w:rsidR="007B2B2A" w:rsidRPr="00C85476">
            <w:fldChar w:fldCharType="end"/>
          </w:r>
        </w:sdtContent>
      </w:sdt>
      <w:r w:rsidR="00F84AD5" w:rsidRPr="00C85476">
        <w:t xml:space="preserve"> study undertaken for the Department</w:t>
      </w:r>
      <w:r w:rsidRPr="00C85476">
        <w:t xml:space="preserve"> that are relevant to th</w:t>
      </w:r>
      <w:r w:rsidR="00517B40" w:rsidRPr="00C85476">
        <w:t>e context and purpose of this</w:t>
      </w:r>
      <w:r w:rsidRPr="00C85476">
        <w:t xml:space="preserve"> reform option</w:t>
      </w:r>
      <w:r w:rsidR="00F84AD5" w:rsidRPr="00C85476">
        <w:t>:</w:t>
      </w:r>
    </w:p>
    <w:p w14:paraId="03979A6F" w14:textId="77777777" w:rsidR="00F84AD5" w:rsidRPr="00C85476" w:rsidRDefault="00F84AD5" w:rsidP="00F07C8C">
      <w:pPr>
        <w:keepLines/>
        <w:spacing w:after="120"/>
        <w:ind w:left="567" w:right="567"/>
        <w:rPr>
          <w:i/>
          <w:sz w:val="20"/>
        </w:rPr>
      </w:pPr>
      <w:r w:rsidRPr="00C85476">
        <w:rPr>
          <w:b/>
          <w:i/>
          <w:sz w:val="20"/>
        </w:rPr>
        <w:t>Mixed government views on the balance in hazardous waste tracking between its core regulatory role and the provision of data to inform policy</w:t>
      </w:r>
      <w:r w:rsidRPr="00C85476">
        <w:rPr>
          <w:i/>
          <w:sz w:val="20"/>
        </w:rPr>
        <w:t xml:space="preserve">. Regulators’ perspectives on the appropriate role(s) of the tracking regime were highly influential in determining the level of acceptance about the need for a national dataset and around willingness to change existing regimes. In general there was greater acceptance of a national role around tracking interstate movements than there was for intrastate movements, which remain the concern of a single regulator. Other key issues were </w:t>
      </w:r>
      <w:r w:rsidR="00517B40" w:rsidRPr="00C85476">
        <w:rPr>
          <w:i/>
          <w:sz w:val="20"/>
        </w:rPr>
        <w:t>green tape</w:t>
      </w:r>
      <w:r w:rsidRPr="00C85476">
        <w:rPr>
          <w:i/>
          <w:sz w:val="20"/>
        </w:rPr>
        <w:t xml:space="preserve"> reduction, competing funding priorities and the potential win/loss of landfill levy revenue.</w:t>
      </w:r>
    </w:p>
    <w:p w14:paraId="6A0C5117" w14:textId="77777777" w:rsidR="00F84AD5" w:rsidRPr="00C85476" w:rsidRDefault="00F84AD5" w:rsidP="00F07C8C">
      <w:pPr>
        <w:keepLines/>
        <w:spacing w:after="240"/>
        <w:ind w:left="567" w:right="567"/>
        <w:rPr>
          <w:i/>
          <w:sz w:val="20"/>
        </w:rPr>
      </w:pPr>
      <w:r w:rsidRPr="00C85476">
        <w:rPr>
          <w:b/>
          <w:i/>
          <w:sz w:val="20"/>
        </w:rPr>
        <w:t>Strong waste industry support for a consistent national tracking system</w:t>
      </w:r>
      <w:r w:rsidRPr="00C85476">
        <w:rPr>
          <w:i/>
          <w:sz w:val="20"/>
        </w:rPr>
        <w:t xml:space="preserve"> that goes beyond data to include waste codes, approvals timelines and other operational rules. The unanimous industry support for reform speaks of a general frustration with the current plethora of systems and a clear sense of the benefits of consistency. These include reduced regulatory burden, optimised in-house management and billing systems, reduced waste contractor confusion and levelling the competitive playing field by closing loopholes in tracking schemes.</w:t>
      </w:r>
    </w:p>
    <w:p w14:paraId="758FC51B" w14:textId="77777777" w:rsidR="005D7C22" w:rsidRPr="00C85476" w:rsidRDefault="005D7C22" w:rsidP="00551F05">
      <w:pPr>
        <w:pStyle w:val="Heading4"/>
      </w:pPr>
      <w:r w:rsidRPr="00C85476">
        <w:t>Reform option regulatory status</w:t>
      </w:r>
    </w:p>
    <w:p w14:paraId="27899046" w14:textId="77777777" w:rsidR="00415D4B" w:rsidRPr="00C85476" w:rsidRDefault="00A92254" w:rsidP="00415D4B">
      <w:r>
        <w:t>This is either a legislated</w:t>
      </w:r>
      <w:r w:rsidR="005570A9">
        <w:t xml:space="preserve"> or quasi-regulatory reform option.</w:t>
      </w:r>
    </w:p>
    <w:p w14:paraId="6370A3D2" w14:textId="77777777" w:rsidR="005D7C22" w:rsidRPr="00C85476" w:rsidRDefault="005D7C22" w:rsidP="00551F05">
      <w:pPr>
        <w:pStyle w:val="Heading4"/>
      </w:pPr>
      <w:r w:rsidRPr="00C85476">
        <w:t>Reform option purpose</w:t>
      </w:r>
    </w:p>
    <w:p w14:paraId="734999AF" w14:textId="77777777" w:rsidR="00415D4B" w:rsidRPr="00C85476" w:rsidRDefault="00415D4B" w:rsidP="00415D4B">
      <w:r w:rsidRPr="00C85476">
        <w:t>Correct an information gap.</w:t>
      </w:r>
    </w:p>
    <w:p w14:paraId="6999CC14" w14:textId="77777777" w:rsidR="005D7C22" w:rsidRPr="00C85476" w:rsidRDefault="005D7C22" w:rsidP="00551F05">
      <w:pPr>
        <w:pStyle w:val="Heading4"/>
      </w:pPr>
      <w:r w:rsidRPr="00C85476">
        <w:t>Stakeholder feedback</w:t>
      </w:r>
    </w:p>
    <w:p w14:paraId="4C36FEB2" w14:textId="2D29CB17" w:rsidR="007740DD" w:rsidRDefault="007300B0" w:rsidP="00DE45C6">
      <w:r>
        <w:t>Eleven</w:t>
      </w:r>
      <w:r w:rsidR="007740DD" w:rsidRPr="007740DD">
        <w:t xml:space="preserve"> respondents indicated </w:t>
      </w:r>
      <w:r>
        <w:t xml:space="preserve">a degree of </w:t>
      </w:r>
      <w:r w:rsidR="007740DD">
        <w:t>suppor</w:t>
      </w:r>
      <w:r w:rsidR="0057417D">
        <w:t xml:space="preserve">t </w:t>
      </w:r>
      <w:r>
        <w:t>for this reform option and four</w:t>
      </w:r>
      <w:r w:rsidR="007740DD">
        <w:t xml:space="preserve"> indicated opposition</w:t>
      </w:r>
      <w:r w:rsidR="0057417D">
        <w:t xml:space="preserve"> or concerns</w:t>
      </w:r>
      <w:r w:rsidR="007740DD">
        <w:t>.</w:t>
      </w:r>
    </w:p>
    <w:p w14:paraId="74D5CDEC" w14:textId="77777777" w:rsidR="00DE45C6" w:rsidRPr="00C85476" w:rsidRDefault="00DE45C6" w:rsidP="00B443EF">
      <w:pPr>
        <w:keepNext/>
      </w:pPr>
      <w:r w:rsidRPr="00C85476">
        <w:lastRenderedPageBreak/>
        <w:t>Comments in support of this reform option included:</w:t>
      </w:r>
    </w:p>
    <w:p w14:paraId="4949E014" w14:textId="77777777" w:rsidR="00F84AD5" w:rsidRPr="00C85476" w:rsidRDefault="00450B47" w:rsidP="00BF501E">
      <w:pPr>
        <w:pStyle w:val="BulletPoints"/>
      </w:pPr>
      <w:r w:rsidRPr="00C85476">
        <w:t xml:space="preserve">We </w:t>
      </w:r>
      <w:r w:rsidR="00BF501E" w:rsidRPr="00C85476">
        <w:t xml:space="preserve">support </w:t>
      </w:r>
      <w:r w:rsidR="00F84AD5" w:rsidRPr="00C85476">
        <w:t xml:space="preserve">this reform – but using existing controlled/prescribed waste system - state agencies to work together to have compatible system or feed into a </w:t>
      </w:r>
      <w:r w:rsidRPr="00C85476">
        <w:t>national system (Australian Vi</w:t>
      </w:r>
      <w:r w:rsidR="00844426">
        <w:t>nyls Corporation Pty Ltd</w:t>
      </w:r>
      <w:r w:rsidRPr="00C85476">
        <w:t>).</w:t>
      </w:r>
    </w:p>
    <w:p w14:paraId="32263728" w14:textId="77777777" w:rsidR="00F84AD5" w:rsidRDefault="00F84AD5" w:rsidP="00BF501E">
      <w:pPr>
        <w:pStyle w:val="BulletPoints"/>
      </w:pPr>
      <w:r w:rsidRPr="00C85476">
        <w:t>Increase monitoring of supply chain for the recycling and disposal of hazardous waste both in Australia and when exported o</w:t>
      </w:r>
      <w:r w:rsidR="00BF501E" w:rsidRPr="00C85476">
        <w:t>verseas to ensure HSE outcomes (</w:t>
      </w:r>
      <w:r w:rsidR="00D56453">
        <w:t>Confidential response</w:t>
      </w:r>
      <w:r w:rsidR="00BF501E" w:rsidRPr="00C85476">
        <w:t>).</w:t>
      </w:r>
    </w:p>
    <w:p w14:paraId="2D72D198" w14:textId="642A86C6" w:rsidR="00074ED1" w:rsidRPr="00C85476" w:rsidRDefault="00074ED1" w:rsidP="00074ED1">
      <w:pPr>
        <w:pStyle w:val="BulletPoints"/>
      </w:pPr>
      <w:r w:rsidRPr="00C85476">
        <w:t>[We] stro</w:t>
      </w:r>
      <w:r>
        <w:t>ngly support a harmonisation &amp; t</w:t>
      </w:r>
      <w:r w:rsidRPr="00C85476">
        <w:t xml:space="preserve">racking system - as waste is exported from </w:t>
      </w:r>
      <w:r>
        <w:t>[our jurisdiction]</w:t>
      </w:r>
      <w:r w:rsidRPr="00C85476">
        <w:t xml:space="preserve"> we give out a lot of certificates and return of the </w:t>
      </w:r>
      <w:r>
        <w:t xml:space="preserve">[documentation </w:t>
      </w:r>
      <w:r w:rsidRPr="00C85476">
        <w:t xml:space="preserve">from </w:t>
      </w:r>
      <w:r>
        <w:t xml:space="preserve">the </w:t>
      </w:r>
      <w:r w:rsidRPr="00C85476">
        <w:t>p</w:t>
      </w:r>
      <w:r>
        <w:t>lace of disposal]</w:t>
      </w:r>
      <w:r w:rsidRPr="00C85476">
        <w:t xml:space="preserve"> is around 20% (</w:t>
      </w:r>
      <w:r>
        <w:t>Confidential response</w:t>
      </w:r>
      <w:r w:rsidRPr="00C85476">
        <w:t>).</w:t>
      </w:r>
    </w:p>
    <w:p w14:paraId="7F1ED5D7" w14:textId="77777777" w:rsidR="00F84AD5" w:rsidRPr="00C85476" w:rsidRDefault="00F84AD5" w:rsidP="00BF501E">
      <w:pPr>
        <w:pStyle w:val="BulletPoints"/>
      </w:pPr>
      <w:r w:rsidRPr="00C85476">
        <w:t xml:space="preserve">This option is strongly supported. There is currently no oversight when </w:t>
      </w:r>
      <w:r w:rsidR="00BF501E" w:rsidRPr="00C85476">
        <w:t>hazardous waste</w:t>
      </w:r>
      <w:r w:rsidRPr="00C85476">
        <w:t xml:space="preserve"> goes interstate. It would be of great value to have an overarching system to track these movements, as the lack of information on waste destinations is a concern. </w:t>
      </w:r>
      <w:r w:rsidR="00BF501E" w:rsidRPr="00C85476">
        <w:t>Possibly a model for this system could be the manner in which vehicle registrations are managed between States and Commonwealth (</w:t>
      </w:r>
      <w:r w:rsidR="00844426">
        <w:t>C</w:t>
      </w:r>
      <w:r w:rsidR="00EE5AC6">
        <w:t>onfidential response</w:t>
      </w:r>
      <w:r w:rsidR="00BF501E" w:rsidRPr="00C85476">
        <w:t>).</w:t>
      </w:r>
    </w:p>
    <w:p w14:paraId="5CFE90EA" w14:textId="77777777" w:rsidR="00F84AD5" w:rsidRPr="00C85476" w:rsidRDefault="00F84AD5" w:rsidP="00BF501E">
      <w:pPr>
        <w:pStyle w:val="BulletPoints"/>
      </w:pPr>
      <w:r w:rsidRPr="00C85476">
        <w:t>Tracking systems for batteries vary between jurisdictions and add to compliance costs. We need a simpler and harmonised system (</w:t>
      </w:r>
      <w:r w:rsidR="00BF501E" w:rsidRPr="00C85476">
        <w:t>ABRI).</w:t>
      </w:r>
    </w:p>
    <w:p w14:paraId="2D0A4BEF" w14:textId="77777777" w:rsidR="00450B47" w:rsidRPr="00C85476" w:rsidRDefault="00450B47" w:rsidP="00BF501E">
      <w:pPr>
        <w:pStyle w:val="BulletPoints"/>
        <w:spacing w:after="240"/>
        <w:ind w:left="1208" w:hanging="357"/>
      </w:pPr>
      <w:r w:rsidRPr="00C85476">
        <w:t>While I appreciate the intent of this is similar to j) above, and in fact a pre-requisite for the proper implementation of j), I would also say that this is very needed, but a near-impossible feat to achieve (</w:t>
      </w:r>
      <w:r w:rsidR="00D56453">
        <w:t>Confidential response</w:t>
      </w:r>
      <w:r w:rsidRPr="00C85476">
        <w:t>).</w:t>
      </w:r>
    </w:p>
    <w:p w14:paraId="7F0FCB04" w14:textId="4A17D566" w:rsidR="00DE45C6" w:rsidRPr="00C85476" w:rsidRDefault="007300B0" w:rsidP="00DE45C6">
      <w:r>
        <w:t>C</w:t>
      </w:r>
      <w:r w:rsidR="00EE5AC6">
        <w:t>oncern</w:t>
      </w:r>
      <w:r>
        <w:t>s raised</w:t>
      </w:r>
      <w:r w:rsidR="00EE5AC6">
        <w:t xml:space="preserve"> with</w:t>
      </w:r>
      <w:r w:rsidR="00DE45C6" w:rsidRPr="00C85476">
        <w:t xml:space="preserve"> th</w:t>
      </w:r>
      <w:r w:rsidR="007740DD">
        <w:t xml:space="preserve">is </w:t>
      </w:r>
      <w:r w:rsidR="00DE45C6" w:rsidRPr="00C85476">
        <w:t xml:space="preserve">reform </w:t>
      </w:r>
      <w:r w:rsidR="007740DD">
        <w:t xml:space="preserve">option </w:t>
      </w:r>
      <w:r>
        <w:t>included</w:t>
      </w:r>
      <w:r w:rsidR="007740DD">
        <w:t>:</w:t>
      </w:r>
    </w:p>
    <w:p w14:paraId="1BEC4554" w14:textId="77777777" w:rsidR="00450B47" w:rsidRDefault="00BF501E" w:rsidP="007300B0">
      <w:pPr>
        <w:pStyle w:val="BulletPoints"/>
        <w:ind w:left="1208" w:hanging="357"/>
      </w:pPr>
      <w:r w:rsidRPr="00C85476">
        <w:t>[The implementation of this reform option] n</w:t>
      </w:r>
      <w:r w:rsidR="00450B47" w:rsidRPr="00C85476">
        <w:t xml:space="preserve">eeds to have scope for </w:t>
      </w:r>
      <w:r w:rsidRPr="00C85476">
        <w:t>flexibility and allow evolution. It also needs to be noted that data comes from industry, and the data gaps and errors come from industry. There is limited resourcing to review and identify data provided by industry (WA DER).</w:t>
      </w:r>
    </w:p>
    <w:p w14:paraId="0F6276EF" w14:textId="5AB4EE33" w:rsidR="007300B0" w:rsidRDefault="007300B0" w:rsidP="007300B0">
      <w:pPr>
        <w:pStyle w:val="BulletPoints"/>
        <w:spacing w:after="240"/>
        <w:ind w:left="1208" w:hanging="357"/>
      </w:pPr>
      <w:r w:rsidRPr="007300B0">
        <w:t xml:space="preserve">A full waste tracking system delivers data to meet </w:t>
      </w:r>
      <w:r>
        <w:t>[the requirements]</w:t>
      </w:r>
      <w:r w:rsidRPr="007300B0">
        <w:t xml:space="preserve"> but is a relatively onerous type of regulation even with the t</w:t>
      </w:r>
      <w:r w:rsidR="006B7AD3">
        <w:t>ypes of streamlining provided</w:t>
      </w:r>
      <w:r w:rsidRPr="007300B0">
        <w:t xml:space="preserve"> </w:t>
      </w:r>
      <w:r>
        <w:t>[</w:t>
      </w:r>
      <w:r w:rsidR="006B7AD3">
        <w:t xml:space="preserve">by </w:t>
      </w:r>
      <w:r>
        <w:t>our jurisdiction</w:t>
      </w:r>
      <w:r w:rsidR="006B7AD3">
        <w:t>’</w:t>
      </w:r>
      <w:r>
        <w:t xml:space="preserve">s] tracking system. </w:t>
      </w:r>
      <w:r w:rsidRPr="007300B0">
        <w:t>Full waste tracking should only be required for waste streams where this level of regulatory intervention is justified, such as where there is a financial incentive for illegal dumping and the ramifications of a dumped load for human health and/o</w:t>
      </w:r>
      <w:r>
        <w:t xml:space="preserve">r the environment are serious. </w:t>
      </w:r>
      <w:r w:rsidRPr="007300B0">
        <w:t>Alternatives to full waste tracking, for both regulatory and data gathering purposes, should be considered where full waste tracking is not justified</w:t>
      </w:r>
      <w:r>
        <w:t xml:space="preserve"> (Confidential response)</w:t>
      </w:r>
      <w:r w:rsidRPr="007300B0">
        <w:t>.</w:t>
      </w:r>
    </w:p>
    <w:p w14:paraId="522C5825" w14:textId="77777777" w:rsidR="0057417D" w:rsidRPr="00C85476" w:rsidRDefault="0057417D" w:rsidP="0057417D">
      <w:pPr>
        <w:spacing w:after="120"/>
      </w:pPr>
      <w:r>
        <w:t>CRC CARE was</w:t>
      </w:r>
      <w:r w:rsidRPr="00C85476">
        <w:t xml:space="preserve"> not directly in support or opposition to this reform option, but observed that:</w:t>
      </w:r>
    </w:p>
    <w:p w14:paraId="0A3E58DD" w14:textId="77777777" w:rsidR="0057417D" w:rsidRPr="00C85476" w:rsidRDefault="0057417D" w:rsidP="0057417D">
      <w:pPr>
        <w:pStyle w:val="BulletPoints"/>
        <w:spacing w:after="240"/>
        <w:ind w:left="1208" w:hanging="357"/>
      </w:pPr>
      <w:r w:rsidRPr="0057417D">
        <w:t xml:space="preserve">There is already in place the National Environment Protection (Movement of Controlled Waste Between </w:t>
      </w:r>
      <w:r>
        <w:t>States and Territories) Measure (CRC CARE).</w:t>
      </w:r>
    </w:p>
    <w:p w14:paraId="14E3CC76" w14:textId="77777777" w:rsidR="006C40C9" w:rsidRPr="00C85476" w:rsidRDefault="006C40C9" w:rsidP="00551F05">
      <w:pPr>
        <w:pStyle w:val="Heading4"/>
      </w:pPr>
      <w:r w:rsidRPr="00C85476">
        <w:t>Barriers and implementation timeframe</w:t>
      </w:r>
    </w:p>
    <w:p w14:paraId="02278ADC" w14:textId="77777777" w:rsidR="003603DD" w:rsidRPr="00C85476" w:rsidRDefault="0057417D" w:rsidP="003603DD">
      <w:r>
        <w:t>This reform option</w:t>
      </w:r>
      <w:r w:rsidR="007740DD">
        <w:t xml:space="preserve"> has a </w:t>
      </w:r>
      <w:r w:rsidR="003603DD" w:rsidRPr="00C85476">
        <w:t xml:space="preserve">similar set of challenges </w:t>
      </w:r>
      <w:r>
        <w:t xml:space="preserve">to Option j) </w:t>
      </w:r>
      <w:r w:rsidR="003603DD" w:rsidRPr="00C85476">
        <w:t>in determining and articulating the potential benefits of this reform option (to all stakeholders), while working within the needs, capabilities and existing classifications and tracking systems of the states and territories.</w:t>
      </w:r>
    </w:p>
    <w:p w14:paraId="4206D20B" w14:textId="39AFBA60" w:rsidR="00BB232A" w:rsidRPr="00C85476" w:rsidRDefault="008E2A60" w:rsidP="00F84AD5">
      <w:r>
        <w:lastRenderedPageBreak/>
        <w:t>One stakeholder</w:t>
      </w:r>
      <w:r w:rsidR="006874DF" w:rsidRPr="00C85476">
        <w:t xml:space="preserve"> estimated the implementation timeframe for harmoni</w:t>
      </w:r>
      <w:r>
        <w:t>sation reform options will be 5–</w:t>
      </w:r>
      <w:r w:rsidR="006874DF" w:rsidRPr="00C85476">
        <w:t>10 years</w:t>
      </w:r>
      <w:r>
        <w:t>, with one other stakeholder providing</w:t>
      </w:r>
      <w:r w:rsidR="006874DF" w:rsidRPr="00C85476">
        <w:t xml:space="preserve"> an estimated implementation timeframe of at least 5 years</w:t>
      </w:r>
      <w:r w:rsidR="00D931E4">
        <w:t>.</w:t>
      </w:r>
    </w:p>
    <w:p w14:paraId="1AB4CBB7" w14:textId="77777777" w:rsidR="005D7C22" w:rsidRPr="00C85476" w:rsidRDefault="005D7C22" w:rsidP="00551F05">
      <w:pPr>
        <w:pStyle w:val="Heading4"/>
      </w:pPr>
      <w:r w:rsidRPr="00C85476">
        <w:t>Recommendation</w:t>
      </w:r>
    </w:p>
    <w:p w14:paraId="24F7DC30" w14:textId="77777777" w:rsidR="00920C92" w:rsidRPr="00C85476" w:rsidRDefault="00365AD0" w:rsidP="00920C92">
      <w:r w:rsidRPr="00C85476">
        <w:t xml:space="preserve">It is recommended that </w:t>
      </w:r>
      <w:r>
        <w:t>this reform option be assessed in the cost-benefit analysis.</w:t>
      </w:r>
    </w:p>
    <w:p w14:paraId="53C6D376" w14:textId="77777777" w:rsidR="00E358EA" w:rsidRPr="00C85476" w:rsidRDefault="00451197" w:rsidP="00B8329E">
      <w:pPr>
        <w:pStyle w:val="Heading2"/>
      </w:pPr>
      <w:bookmarkStart w:id="74" w:name="_Ref423090759"/>
      <w:bookmarkStart w:id="75" w:name="_Toc426022050"/>
      <w:r>
        <w:t xml:space="preserve">Option </w:t>
      </w:r>
      <w:r w:rsidR="00F84AD5" w:rsidRPr="00C85476">
        <w:t xml:space="preserve">m) </w:t>
      </w:r>
      <w:r w:rsidR="00E358EA" w:rsidRPr="00C85476">
        <w:t>Harmonisation of regulatory arrangements</w:t>
      </w:r>
      <w:bookmarkEnd w:id="74"/>
      <w:bookmarkEnd w:id="75"/>
    </w:p>
    <w:p w14:paraId="0DAB2E49" w14:textId="77777777" w:rsidR="004D6713" w:rsidRDefault="005D7C22" w:rsidP="00551F05">
      <w:pPr>
        <w:pStyle w:val="Heading4"/>
      </w:pPr>
      <w:r w:rsidRPr="00C85476">
        <w:t>Reform option description</w:t>
      </w:r>
    </w:p>
    <w:p w14:paraId="7B1B66E1" w14:textId="77777777" w:rsidR="004D6713" w:rsidRPr="00705AAE" w:rsidRDefault="004D6713" w:rsidP="00705AAE">
      <w:pPr>
        <w:rPr>
          <w:i/>
        </w:rPr>
      </w:pPr>
      <w:r w:rsidRPr="00705AAE">
        <w:rPr>
          <w:i/>
        </w:rPr>
        <w:t>Harmonisation of regulatory arrangements pertaining to hazardous wastes or specific hazardous wastes (e.g. asbestos), such as between transport and environmental regulation.</w:t>
      </w:r>
    </w:p>
    <w:p w14:paraId="6546C710" w14:textId="77777777" w:rsidR="005D7C22" w:rsidRPr="00C85476" w:rsidRDefault="004D6713" w:rsidP="00551F05">
      <w:pPr>
        <w:pStyle w:val="Heading4"/>
      </w:pPr>
      <w:r>
        <w:t>C</w:t>
      </w:r>
      <w:r w:rsidR="005D7C22" w:rsidRPr="00C85476">
        <w:t>ontext</w:t>
      </w:r>
    </w:p>
    <w:p w14:paraId="674F9E6E" w14:textId="77777777" w:rsidR="00585436" w:rsidRPr="00C85476" w:rsidRDefault="00585436" w:rsidP="001B5CBC">
      <w:r w:rsidRPr="00585436">
        <w:t xml:space="preserve">The objective of harmonisation is to achieve national consistency in administrative or regulatory arrangements, and so avoid unnecessarily complex, inefficient and uneven collections of Commonwealth, State and Territory laws, which </w:t>
      </w:r>
      <w:r>
        <w:t xml:space="preserve">then </w:t>
      </w:r>
      <w:r w:rsidRPr="00585436">
        <w:t xml:space="preserve">lead to </w:t>
      </w:r>
      <w:r>
        <w:t>increased red tape and</w:t>
      </w:r>
      <w:r w:rsidRPr="00585436">
        <w:t xml:space="preserve"> costs for businesses operating across multiple jurisdictions.</w:t>
      </w:r>
    </w:p>
    <w:p w14:paraId="747DD832" w14:textId="49A9CA77" w:rsidR="009E599D" w:rsidRPr="00C85476" w:rsidRDefault="009E599D" w:rsidP="009E599D">
      <w:r w:rsidRPr="00C85476">
        <w:t xml:space="preserve">A method for implementing this reform option that has been previously considered by the Department is as follows </w:t>
      </w:r>
      <w:sdt>
        <w:sdtPr>
          <w:id w:val="-1885470582"/>
          <w:citation/>
        </w:sdtPr>
        <w:sdtEndPr/>
        <w:sdtContent>
          <w:r w:rsidR="007B2B2A" w:rsidRPr="00C85476">
            <w:fldChar w:fldCharType="begin"/>
          </w:r>
          <w:r w:rsidR="00575421">
            <w:instrText xml:space="preserve">CITATION Dep13 \p 50&amp;#8211;51 \l 3081 </w:instrText>
          </w:r>
          <w:r w:rsidR="007B2B2A" w:rsidRPr="00C85476">
            <w:fldChar w:fldCharType="separate"/>
          </w:r>
          <w:r w:rsidR="001F6F42">
            <w:rPr>
              <w:noProof/>
            </w:rPr>
            <w:t>(DoE, 2012, p. 50–51)</w:t>
          </w:r>
          <w:r w:rsidR="007B2B2A" w:rsidRPr="00C85476">
            <w:fldChar w:fldCharType="end"/>
          </w:r>
        </w:sdtContent>
      </w:sdt>
      <w:r w:rsidRPr="00C85476">
        <w:t>:</w:t>
      </w:r>
    </w:p>
    <w:p w14:paraId="1ADBE822" w14:textId="77777777" w:rsidR="009E599D" w:rsidRPr="00C85476" w:rsidRDefault="009E599D" w:rsidP="009E599D">
      <w:pPr>
        <w:spacing w:after="240"/>
        <w:ind w:left="567" w:right="567"/>
        <w:rPr>
          <w:i/>
          <w:sz w:val="20"/>
        </w:rPr>
      </w:pPr>
      <w:r w:rsidRPr="00C85476">
        <w:rPr>
          <w:i/>
          <w:sz w:val="20"/>
        </w:rPr>
        <w:t>One possibility would be to insert a power in the Act to publish model regulations and other model instruments, such as codes of practice. This approach has been adopted in other areas of regulation where there are benefits from a harmonised approach. For example, the Model Act on the Transport of Dangerous Goods by Road or Rail 2007, which is made under the National Transport Commission Act 2003 and maintained by the National Transport Commission, has ensured a very high degree of uniformity in state and territory regulatory requirements.</w:t>
      </w:r>
    </w:p>
    <w:p w14:paraId="01651E79" w14:textId="77777777" w:rsidR="00F84AD5" w:rsidRPr="00C85476" w:rsidRDefault="009E599D" w:rsidP="00F84AD5">
      <w:r w:rsidRPr="00C85476">
        <w:t>To provide additional context, a</w:t>
      </w:r>
      <w:r w:rsidR="00F84AD5" w:rsidRPr="00C85476">
        <w:t xml:space="preserve"> recent GHD study </w:t>
      </w:r>
      <w:sdt>
        <w:sdtPr>
          <w:id w:val="900334724"/>
          <w:citation/>
        </w:sdtPr>
        <w:sdtEndPr/>
        <w:sdtContent>
          <w:r w:rsidR="007B2B2A" w:rsidRPr="00C85476">
            <w:fldChar w:fldCharType="begin"/>
          </w:r>
          <w:r w:rsidR="00F84AD5" w:rsidRPr="00C85476">
            <w:instrText xml:space="preserve">CITATION GHD15 \p ii \n  \l 3081 </w:instrText>
          </w:r>
          <w:r w:rsidR="007B2B2A" w:rsidRPr="00C85476">
            <w:fldChar w:fldCharType="separate"/>
          </w:r>
          <w:r w:rsidR="001F6F42">
            <w:rPr>
              <w:noProof/>
            </w:rPr>
            <w:t>(2015, p. ii)</w:t>
          </w:r>
          <w:r w:rsidR="007B2B2A" w:rsidRPr="00C85476">
            <w:fldChar w:fldCharType="end"/>
          </w:r>
        </w:sdtContent>
      </w:sdt>
      <w:r w:rsidR="00F84AD5" w:rsidRPr="00C85476">
        <w:t xml:space="preserve"> undertaken for the Department found that:</w:t>
      </w:r>
    </w:p>
    <w:p w14:paraId="1F4EAB53" w14:textId="77777777" w:rsidR="00F84AD5" w:rsidRPr="00C85476" w:rsidRDefault="00F84AD5" w:rsidP="00607FD3">
      <w:pPr>
        <w:spacing w:after="240"/>
        <w:ind w:left="567" w:right="567"/>
        <w:rPr>
          <w:i/>
          <w:sz w:val="20"/>
        </w:rPr>
      </w:pPr>
      <w:r w:rsidRPr="00C85476">
        <w:rPr>
          <w:i/>
          <w:sz w:val="20"/>
        </w:rPr>
        <w:t>In contrast to transport of dangerous goods regulation, the hazardous waste national consistency effort is relatively institution-poor.</w:t>
      </w:r>
      <w:r w:rsidR="00D15B48" w:rsidRPr="00C85476">
        <w:rPr>
          <w:i/>
          <w:sz w:val="20"/>
        </w:rPr>
        <w:t xml:space="preserve"> </w:t>
      </w:r>
      <w:r w:rsidRPr="00C85476">
        <w:rPr>
          <w:i/>
          <w:sz w:val="20"/>
        </w:rPr>
        <w:t>While the Department of the Environment represents Australia on Convention committees, there is no international impetus to unify waste codes (and no strategic objective against which this would be an appropriate action).</w:t>
      </w:r>
      <w:r w:rsidR="00D15B48" w:rsidRPr="00C85476">
        <w:rPr>
          <w:i/>
          <w:sz w:val="20"/>
        </w:rPr>
        <w:t xml:space="preserve"> </w:t>
      </w:r>
      <w:r w:rsidRPr="00C85476">
        <w:rPr>
          <w:i/>
          <w:sz w:val="20"/>
        </w:rPr>
        <w:t>Domestically, the NEPM Implementation Working Group involves all jurisdictions through a State/Territory chair for consultation and information exchange, without aiming to bring jurisdictions into alignment.</w:t>
      </w:r>
    </w:p>
    <w:p w14:paraId="280F5ECE" w14:textId="5843887F" w:rsidR="00F84AD5" w:rsidRPr="00C85476" w:rsidRDefault="00607FD3" w:rsidP="008E2A60">
      <w:pPr>
        <w:keepNext/>
        <w:keepLines/>
      </w:pPr>
      <w:r w:rsidRPr="00C85476">
        <w:t xml:space="preserve">GHD also mapped out the process for harmonising environmental regulatory </w:t>
      </w:r>
      <w:r w:rsidR="009E599D" w:rsidRPr="00C85476">
        <w:t>arrangement</w:t>
      </w:r>
      <w:r w:rsidR="007740DD">
        <w:t>s</w:t>
      </w:r>
      <w:sdt>
        <w:sdtPr>
          <w:id w:val="-1027100878"/>
          <w:citation/>
        </w:sdtPr>
        <w:sdtEndPr/>
        <w:sdtContent>
          <w:r w:rsidR="007B2B2A" w:rsidRPr="00C85476">
            <w:fldChar w:fldCharType="begin"/>
          </w:r>
          <w:r w:rsidRPr="00C85476">
            <w:instrText xml:space="preserve">CITATION GHD15 \p viii \l 3081 </w:instrText>
          </w:r>
          <w:r w:rsidR="007B2B2A" w:rsidRPr="00C85476">
            <w:fldChar w:fldCharType="separate"/>
          </w:r>
          <w:r w:rsidR="001F6F42">
            <w:rPr>
              <w:noProof/>
            </w:rPr>
            <w:t xml:space="preserve"> (GHD, 2015, p. viii)</w:t>
          </w:r>
          <w:r w:rsidR="007B2B2A" w:rsidRPr="00C85476">
            <w:fldChar w:fldCharType="end"/>
          </w:r>
        </w:sdtContent>
      </w:sdt>
      <w:r w:rsidR="009E599D" w:rsidRPr="00C85476">
        <w:t xml:space="preserve">, this is provided below, with the related reform options </w:t>
      </w:r>
      <w:r w:rsidR="00AA39FF" w:rsidRPr="00C85476">
        <w:t xml:space="preserve">for this consultation </w:t>
      </w:r>
      <w:r w:rsidR="009E599D" w:rsidRPr="00C85476">
        <w:t>in brackets:</w:t>
      </w:r>
    </w:p>
    <w:p w14:paraId="70B4C708" w14:textId="77777777" w:rsidR="00F84AD5" w:rsidRPr="00C85476" w:rsidRDefault="00F84AD5" w:rsidP="00607FD3">
      <w:pPr>
        <w:pStyle w:val="NumberPoints"/>
        <w:numPr>
          <w:ilvl w:val="0"/>
          <w:numId w:val="22"/>
        </w:numPr>
        <w:ind w:left="1134" w:hanging="567"/>
      </w:pPr>
      <w:r w:rsidRPr="00C85476">
        <w:t>Establish a nationally consistent set of hazardous waste codes and definitions</w:t>
      </w:r>
      <w:r w:rsidR="009E599D" w:rsidRPr="00C85476">
        <w:t xml:space="preserve"> </w:t>
      </w:r>
      <w:r w:rsidR="00A506B1" w:rsidRPr="00C85476">
        <w:rPr>
          <w:b/>
        </w:rPr>
        <w:t>(o</w:t>
      </w:r>
      <w:r w:rsidR="009E599D" w:rsidRPr="00C85476">
        <w:rPr>
          <w:b/>
        </w:rPr>
        <w:t xml:space="preserve">ption </w:t>
      </w:r>
      <w:r w:rsidR="00A506B1" w:rsidRPr="00C85476">
        <w:rPr>
          <w:b/>
        </w:rPr>
        <w:t>j)</w:t>
      </w:r>
      <w:r w:rsidR="00A506B1" w:rsidRPr="00C85476">
        <w:t>.</w:t>
      </w:r>
    </w:p>
    <w:p w14:paraId="62447D52" w14:textId="77777777" w:rsidR="00F84AD5" w:rsidRPr="00C85476" w:rsidRDefault="00F84AD5" w:rsidP="00607FD3">
      <w:pPr>
        <w:pStyle w:val="NumberPoints"/>
        <w:ind w:left="1134" w:hanging="567"/>
      </w:pPr>
      <w:r w:rsidRPr="00C85476">
        <w:t>Establish additional and consistent codes for used products containing multiple wastes, notably batteries and e-waste</w:t>
      </w:r>
      <w:r w:rsidR="00A506B1" w:rsidRPr="00C85476">
        <w:t xml:space="preserve"> </w:t>
      </w:r>
      <w:r w:rsidR="00A506B1" w:rsidRPr="00C85476">
        <w:rPr>
          <w:b/>
        </w:rPr>
        <w:t>(option j)</w:t>
      </w:r>
      <w:r w:rsidR="00A506B1" w:rsidRPr="00C85476">
        <w:t>.</w:t>
      </w:r>
    </w:p>
    <w:p w14:paraId="78889B50" w14:textId="77777777" w:rsidR="00F84AD5" w:rsidRPr="00C85476" w:rsidRDefault="00F84AD5" w:rsidP="00607FD3">
      <w:pPr>
        <w:pStyle w:val="NumberPoints"/>
        <w:ind w:left="1134" w:hanging="567"/>
      </w:pPr>
      <w:r w:rsidRPr="00C85476">
        <w:lastRenderedPageBreak/>
        <w:t>Establish a national on-line waste tracking system, unifying and removing duplication between existing intra-jurisdictional, inter-jurisdictional and import/export systems</w:t>
      </w:r>
      <w:r w:rsidR="00A506B1" w:rsidRPr="00C85476">
        <w:t xml:space="preserve"> </w:t>
      </w:r>
      <w:r w:rsidR="00A506B1" w:rsidRPr="00C85476">
        <w:rPr>
          <w:b/>
        </w:rPr>
        <w:t xml:space="preserve">(option </w:t>
      </w:r>
      <w:r w:rsidR="0022347D" w:rsidRPr="00C85476">
        <w:rPr>
          <w:b/>
        </w:rPr>
        <w:t>l</w:t>
      </w:r>
      <w:r w:rsidR="00A506B1" w:rsidRPr="00C85476">
        <w:rPr>
          <w:b/>
        </w:rPr>
        <w:t>)</w:t>
      </w:r>
      <w:r w:rsidR="00A506B1" w:rsidRPr="00C85476">
        <w:t>.</w:t>
      </w:r>
    </w:p>
    <w:p w14:paraId="2BBB34D0" w14:textId="77777777" w:rsidR="00F84AD5" w:rsidRPr="00C85476" w:rsidRDefault="00F84AD5" w:rsidP="00607FD3">
      <w:pPr>
        <w:pStyle w:val="NumberPoints"/>
        <w:ind w:left="1134" w:hanging="567"/>
      </w:pPr>
      <w:r w:rsidRPr="00C85476">
        <w:t>Put in place consistent hazardous waste storage thresholds</w:t>
      </w:r>
      <w:r w:rsidR="00A506B1" w:rsidRPr="00C85476">
        <w:t xml:space="preserve"> </w:t>
      </w:r>
      <w:r w:rsidR="00A506B1" w:rsidRPr="00C85476">
        <w:rPr>
          <w:b/>
        </w:rPr>
        <w:t xml:space="preserve">(option </w:t>
      </w:r>
      <w:r w:rsidR="0022347D" w:rsidRPr="00C85476">
        <w:rPr>
          <w:b/>
        </w:rPr>
        <w:t>m</w:t>
      </w:r>
      <w:r w:rsidR="00A506B1" w:rsidRPr="00C85476">
        <w:rPr>
          <w:b/>
        </w:rPr>
        <w:t>)</w:t>
      </w:r>
      <w:r w:rsidR="00A506B1" w:rsidRPr="00C85476">
        <w:t>.</w:t>
      </w:r>
    </w:p>
    <w:p w14:paraId="47E5E701" w14:textId="77777777" w:rsidR="00F84AD5" w:rsidRPr="00C85476" w:rsidRDefault="00F84AD5" w:rsidP="00607FD3">
      <w:pPr>
        <w:pStyle w:val="NumberPoints"/>
        <w:ind w:left="1134" w:hanging="567"/>
      </w:pPr>
      <w:r w:rsidRPr="00C85476">
        <w:t>Harmonise approaches to hazardous waste categorisation for disposal and treatment, including levy arrangements</w:t>
      </w:r>
      <w:r w:rsidR="00A506B1" w:rsidRPr="00C85476">
        <w:t xml:space="preserve"> </w:t>
      </w:r>
      <w:r w:rsidR="00A506B1" w:rsidRPr="00C85476">
        <w:rPr>
          <w:b/>
        </w:rPr>
        <w:t>(option</w:t>
      </w:r>
      <w:r w:rsidR="0022347D" w:rsidRPr="00C85476">
        <w:rPr>
          <w:b/>
        </w:rPr>
        <w:t>s</w:t>
      </w:r>
      <w:r w:rsidR="00A506B1" w:rsidRPr="00C85476">
        <w:rPr>
          <w:b/>
        </w:rPr>
        <w:t xml:space="preserve"> </w:t>
      </w:r>
      <w:r w:rsidR="0022347D" w:rsidRPr="00C85476">
        <w:rPr>
          <w:b/>
        </w:rPr>
        <w:t>m and o</w:t>
      </w:r>
      <w:r w:rsidR="00A506B1" w:rsidRPr="00C85476">
        <w:rPr>
          <w:b/>
        </w:rPr>
        <w:t>)</w:t>
      </w:r>
      <w:r w:rsidR="00A506B1" w:rsidRPr="00C85476">
        <w:t>.</w:t>
      </w:r>
    </w:p>
    <w:p w14:paraId="59DBEA3A" w14:textId="77777777" w:rsidR="00F84AD5" w:rsidRPr="00C85476" w:rsidRDefault="00F84AD5" w:rsidP="00607FD3">
      <w:pPr>
        <w:pStyle w:val="NumberPoints"/>
        <w:spacing w:after="240"/>
        <w:ind w:left="1134" w:hanging="567"/>
      </w:pPr>
      <w:r w:rsidRPr="00C85476">
        <w:t>Improve and harm</w:t>
      </w:r>
      <w:r w:rsidR="00A506B1" w:rsidRPr="00C85476">
        <w:t xml:space="preserve">onise approaches to enforcement </w:t>
      </w:r>
      <w:r w:rsidR="00A506B1" w:rsidRPr="00C85476">
        <w:rPr>
          <w:b/>
        </w:rPr>
        <w:t>(option</w:t>
      </w:r>
      <w:r w:rsidR="0022347D" w:rsidRPr="00C85476">
        <w:rPr>
          <w:b/>
        </w:rPr>
        <w:t>s</w:t>
      </w:r>
      <w:r w:rsidR="00A506B1" w:rsidRPr="00C85476">
        <w:rPr>
          <w:b/>
        </w:rPr>
        <w:t xml:space="preserve"> </w:t>
      </w:r>
      <w:r w:rsidR="0022347D" w:rsidRPr="00C85476">
        <w:rPr>
          <w:b/>
        </w:rPr>
        <w:t>c and m</w:t>
      </w:r>
      <w:r w:rsidR="00A506B1" w:rsidRPr="00C85476">
        <w:rPr>
          <w:b/>
        </w:rPr>
        <w:t>)</w:t>
      </w:r>
      <w:r w:rsidR="00A506B1" w:rsidRPr="00C85476">
        <w:t>.</w:t>
      </w:r>
    </w:p>
    <w:p w14:paraId="64B59D3E" w14:textId="77777777" w:rsidR="00F84AD5" w:rsidRPr="00C85476" w:rsidRDefault="009E599D" w:rsidP="00F84AD5">
      <w:r w:rsidRPr="00C85476">
        <w:t xml:space="preserve">Within jurisdictions, harmonisation between transport and environmental regulation is already occurring to some degree, with GHD observing that </w:t>
      </w:r>
      <w:sdt>
        <w:sdtPr>
          <w:id w:val="-264225218"/>
          <w:citation/>
        </w:sdtPr>
        <w:sdtEndPr/>
        <w:sdtContent>
          <w:r w:rsidR="007B2B2A" w:rsidRPr="00C85476">
            <w:fldChar w:fldCharType="begin"/>
          </w:r>
          <w:r w:rsidRPr="00C85476">
            <w:instrText xml:space="preserve">CITATION GHD15 \p 31 \l 3081 </w:instrText>
          </w:r>
          <w:r w:rsidR="007B2B2A" w:rsidRPr="00C85476">
            <w:fldChar w:fldCharType="separate"/>
          </w:r>
          <w:r w:rsidR="001F6F42">
            <w:rPr>
              <w:noProof/>
            </w:rPr>
            <w:t>(GHD, 2015, p. 31)</w:t>
          </w:r>
          <w:r w:rsidR="007B2B2A" w:rsidRPr="00C85476">
            <w:fldChar w:fldCharType="end"/>
          </w:r>
        </w:sdtContent>
      </w:sdt>
      <w:r w:rsidRPr="00C85476">
        <w:t>:</w:t>
      </w:r>
    </w:p>
    <w:p w14:paraId="265E3C20" w14:textId="77777777" w:rsidR="00F84AD5" w:rsidRPr="00C85476" w:rsidRDefault="00F84AD5" w:rsidP="009E599D">
      <w:pPr>
        <w:spacing w:after="240"/>
        <w:ind w:left="567" w:right="567"/>
        <w:rPr>
          <w:i/>
          <w:sz w:val="20"/>
        </w:rPr>
      </w:pPr>
      <w:r w:rsidRPr="00C85476">
        <w:rPr>
          <w:i/>
          <w:sz w:val="20"/>
        </w:rPr>
        <w:t>There appears to be no sound rationale for retaining licences for vehicles moving hazardous waste in circumstances where the vehicle already has a dangerous goods licence.</w:t>
      </w:r>
      <w:r w:rsidR="00D15B48" w:rsidRPr="00C85476">
        <w:rPr>
          <w:i/>
          <w:sz w:val="20"/>
        </w:rPr>
        <w:t xml:space="preserve"> </w:t>
      </w:r>
      <w:r w:rsidRPr="00C85476">
        <w:rPr>
          <w:i/>
          <w:sz w:val="20"/>
        </w:rPr>
        <w:t>New South Wales has plans to issue a single licence to cover both dangerous goods and hazardous waste transport.</w:t>
      </w:r>
      <w:r w:rsidR="00D15B48" w:rsidRPr="00C85476">
        <w:rPr>
          <w:i/>
          <w:sz w:val="20"/>
        </w:rPr>
        <w:t xml:space="preserve"> </w:t>
      </w:r>
      <w:r w:rsidRPr="00C85476">
        <w:rPr>
          <w:i/>
          <w:sz w:val="20"/>
        </w:rPr>
        <w:t>While New South Wales arrangements, where the same organisation has administrative responsibility for both hazardous waste and dangerous goods (tanker) transport, are unique, other jurisdictions could choose to follow these plans.</w:t>
      </w:r>
    </w:p>
    <w:p w14:paraId="083560FC" w14:textId="77777777" w:rsidR="005D7C22" w:rsidRPr="00C85476" w:rsidRDefault="005D7C22" w:rsidP="00551F05">
      <w:pPr>
        <w:pStyle w:val="Heading4"/>
      </w:pPr>
      <w:r w:rsidRPr="00C85476">
        <w:t>Reform option regulatory status</w:t>
      </w:r>
    </w:p>
    <w:p w14:paraId="02D6505C" w14:textId="77777777" w:rsidR="00F84AD5" w:rsidRPr="00C85476" w:rsidRDefault="00424F8A" w:rsidP="00F84AD5">
      <w:r w:rsidRPr="00C85476">
        <w:t>This is either a</w:t>
      </w:r>
      <w:r w:rsidR="00415D4B" w:rsidRPr="00C85476">
        <w:t xml:space="preserve"> </w:t>
      </w:r>
      <w:r w:rsidR="00A92254">
        <w:t>legislated</w:t>
      </w:r>
      <w:r w:rsidR="009E599D" w:rsidRPr="00C85476">
        <w:t xml:space="preserve"> or </w:t>
      </w:r>
      <w:r w:rsidR="00415D4B" w:rsidRPr="00C85476">
        <w:t>quasi-regulatory reform option.</w:t>
      </w:r>
    </w:p>
    <w:p w14:paraId="72D57E5C" w14:textId="77777777" w:rsidR="005D7C22" w:rsidRPr="00C85476" w:rsidRDefault="005D7C22" w:rsidP="00551F05">
      <w:pPr>
        <w:pStyle w:val="Heading4"/>
      </w:pPr>
      <w:r w:rsidRPr="00C85476">
        <w:t>Reform option purpose</w:t>
      </w:r>
    </w:p>
    <w:p w14:paraId="035D7E52" w14:textId="77777777" w:rsidR="00F84AD5" w:rsidRPr="00C85476" w:rsidRDefault="00415D4B" w:rsidP="00F84AD5">
      <w:r w:rsidRPr="00C85476">
        <w:t>Harmonisation with other policy areas and creating a seamless national economy.</w:t>
      </w:r>
    </w:p>
    <w:p w14:paraId="34C3D3C0" w14:textId="77777777" w:rsidR="005D7C22" w:rsidRPr="00C85476" w:rsidRDefault="005D7C22" w:rsidP="00551F05">
      <w:pPr>
        <w:pStyle w:val="Heading4"/>
      </w:pPr>
      <w:r w:rsidRPr="00C85476">
        <w:t>Stakeholder feedback</w:t>
      </w:r>
    </w:p>
    <w:p w14:paraId="579F3CEC" w14:textId="7685C35B" w:rsidR="00DE45C6" w:rsidRPr="00C85476" w:rsidRDefault="006B7AD3" w:rsidP="00DE45C6">
      <w:r>
        <w:t>Nine</w:t>
      </w:r>
      <w:r w:rsidR="007740DD">
        <w:t xml:space="preserve"> </w:t>
      </w:r>
      <w:r w:rsidR="007740DD" w:rsidRPr="007740DD">
        <w:t xml:space="preserve">respondents indicated </w:t>
      </w:r>
      <w:r w:rsidR="007740DD">
        <w:t xml:space="preserve">support for this reform option and two indicated opposition. </w:t>
      </w:r>
    </w:p>
    <w:p w14:paraId="12F11137" w14:textId="77777777" w:rsidR="00DE45C6" w:rsidRPr="00C85476" w:rsidRDefault="00DE45C6" w:rsidP="00DE45C6">
      <w:r w:rsidRPr="00C85476">
        <w:t>Comments in support of this reform option included:</w:t>
      </w:r>
    </w:p>
    <w:p w14:paraId="452E1889" w14:textId="77777777" w:rsidR="00F84AD5" w:rsidRPr="00C85476" w:rsidRDefault="001969B2" w:rsidP="001969B2">
      <w:pPr>
        <w:pStyle w:val="BulletPoints"/>
      </w:pPr>
      <w:r w:rsidRPr="00C85476">
        <w:t>A</w:t>
      </w:r>
      <w:r w:rsidR="00F84AD5" w:rsidRPr="00C85476">
        <w:t xml:space="preserve"> well-needed reform, but to my mind a monumental task of trying to obtain agreement</w:t>
      </w:r>
      <w:r w:rsidRPr="00C85476">
        <w:t xml:space="preserve"> </w:t>
      </w:r>
      <w:r w:rsidR="00F84AD5" w:rsidRPr="00C85476">
        <w:t>between all states to us</w:t>
      </w:r>
      <w:r w:rsidRPr="00C85476">
        <w:t>e the same regulatory framework (</w:t>
      </w:r>
      <w:r w:rsidR="00D56453">
        <w:t>Confidential response</w:t>
      </w:r>
      <w:r w:rsidRPr="00C85476">
        <w:t>).</w:t>
      </w:r>
    </w:p>
    <w:p w14:paraId="14702A65" w14:textId="77777777" w:rsidR="00F84AD5" w:rsidRPr="00C85476" w:rsidRDefault="00F84AD5" w:rsidP="001969B2">
      <w:pPr>
        <w:pStyle w:val="BulletPoints"/>
      </w:pPr>
      <w:r w:rsidRPr="00C85476">
        <w:t xml:space="preserve">Should be supported - particularly </w:t>
      </w:r>
      <w:r w:rsidR="001969B2" w:rsidRPr="00C85476">
        <w:t>with respect to asbestos (WA DER).</w:t>
      </w:r>
    </w:p>
    <w:p w14:paraId="2E172A60" w14:textId="77777777" w:rsidR="00F84AD5" w:rsidRDefault="00F84AD5" w:rsidP="001969B2">
      <w:pPr>
        <w:pStyle w:val="BulletPoints"/>
      </w:pPr>
      <w:r w:rsidRPr="00C85476">
        <w:t>This option is str</w:t>
      </w:r>
      <w:r w:rsidR="001969B2" w:rsidRPr="00C85476">
        <w:t>ongly supported. In particular…</w:t>
      </w:r>
      <w:r w:rsidRPr="00C85476">
        <w:t xml:space="preserve">it would be good to see consistency on the </w:t>
      </w:r>
      <w:r w:rsidR="001969B2" w:rsidRPr="00C85476">
        <w:t>hazardous wastes</w:t>
      </w:r>
      <w:r w:rsidRPr="00C85476">
        <w:t xml:space="preserve"> that can be disposed to landfill nationally.</w:t>
      </w:r>
      <w:r w:rsidR="001969B2" w:rsidRPr="00C85476">
        <w:t xml:space="preserve"> </w:t>
      </w:r>
      <w:r w:rsidRPr="00C85476">
        <w:t>Achieving national consistency woul</w:t>
      </w:r>
      <w:r w:rsidR="001969B2" w:rsidRPr="00C85476">
        <w:t xml:space="preserve">d be a very difficult task. There </w:t>
      </w:r>
      <w:r w:rsidRPr="00C85476">
        <w:t>needs to be caution on harmonisation activities to ensure that they don't lead to 'lowes</w:t>
      </w:r>
      <w:r w:rsidR="001969B2" w:rsidRPr="00C85476">
        <w:t xml:space="preserve">t common denominator' outcomes. </w:t>
      </w:r>
      <w:r w:rsidRPr="00C85476">
        <w:t>A potential model for how this can be applied is the Heavy Vehicle National Law approach between the Commo</w:t>
      </w:r>
      <w:r w:rsidR="001969B2" w:rsidRPr="00C85476">
        <w:t>nwealth and states/territories (</w:t>
      </w:r>
      <w:r w:rsidR="00D56453">
        <w:t>Confidential response</w:t>
      </w:r>
      <w:r w:rsidR="001969B2" w:rsidRPr="00C85476">
        <w:t>).</w:t>
      </w:r>
    </w:p>
    <w:p w14:paraId="04A47851" w14:textId="60FBFF25" w:rsidR="006B7AD3" w:rsidRPr="00C85476" w:rsidRDefault="006B7AD3" w:rsidP="006B7AD3">
      <w:pPr>
        <w:pStyle w:val="BulletPoints"/>
      </w:pPr>
      <w:r>
        <w:t>[Our organisation]</w:t>
      </w:r>
      <w:r w:rsidRPr="006B7AD3">
        <w:t xml:space="preserve"> is currently developing a proposal to harmonise hazardous waste and danger</w:t>
      </w:r>
      <w:r>
        <w:t>ous goods transport licensing. [We]</w:t>
      </w:r>
      <w:r w:rsidRPr="006B7AD3">
        <w:t xml:space="preserve"> would support investigating opportunities to harmonise legislation to produc</w:t>
      </w:r>
      <w:r>
        <w:t>e greater regulatory efficiency (Confidential response].</w:t>
      </w:r>
    </w:p>
    <w:p w14:paraId="49C17BDE" w14:textId="77777777" w:rsidR="00F84AD5" w:rsidRPr="00C85476" w:rsidRDefault="00F84AD5" w:rsidP="001969B2">
      <w:pPr>
        <w:pStyle w:val="BulletPoints"/>
      </w:pPr>
      <w:r w:rsidRPr="00C85476">
        <w:t>I don’t think that environmental regulation (for the treatment) is an issue but think that t</w:t>
      </w:r>
      <w:r w:rsidR="001969B2" w:rsidRPr="00C85476">
        <w:t>ransport is an issue (distance) (Dodd &amp; Dodd Group).</w:t>
      </w:r>
    </w:p>
    <w:p w14:paraId="1EB9C912" w14:textId="77777777" w:rsidR="001969B2" w:rsidRPr="00C85476" w:rsidRDefault="001969B2" w:rsidP="004E23D1">
      <w:pPr>
        <w:pStyle w:val="BulletPoints"/>
        <w:spacing w:after="240"/>
        <w:ind w:left="1208" w:hanging="357"/>
      </w:pPr>
      <w:r w:rsidRPr="00C85476">
        <w:lastRenderedPageBreak/>
        <w:t>Strongly support. S</w:t>
      </w:r>
      <w:r w:rsidR="00F84AD5" w:rsidRPr="00C85476">
        <w:t>implification and harmonisation will reduce both compliance and enforcement costs</w:t>
      </w:r>
      <w:r w:rsidRPr="00C85476">
        <w:t xml:space="preserve"> (Enirgi Metal Group Pty Ltd).</w:t>
      </w:r>
    </w:p>
    <w:p w14:paraId="7974C577" w14:textId="77777777" w:rsidR="00AE4520" w:rsidRPr="00C85476" w:rsidRDefault="007740DD" w:rsidP="00AE4520">
      <w:r w:rsidRPr="00C85476">
        <w:t>With this reform option there was a strong theme of scepticism that the reform was feasible.</w:t>
      </w:r>
      <w:r>
        <w:t xml:space="preserve"> </w:t>
      </w:r>
      <w:r w:rsidR="00AE4520" w:rsidRPr="00C85476">
        <w:t>Comments expressing concern or opposition to the reform option included:</w:t>
      </w:r>
    </w:p>
    <w:p w14:paraId="0FC86B15" w14:textId="77777777" w:rsidR="00AE4520" w:rsidRPr="00C85476" w:rsidRDefault="00AE4520" w:rsidP="004E23D1">
      <w:pPr>
        <w:pStyle w:val="BulletPoints"/>
      </w:pPr>
      <w:r w:rsidRPr="00C85476">
        <w:t xml:space="preserve">Previous attempts to harmonise waste regulatory arrangement and waste data reporting in Australia have been slow, consumed a large amount of </w:t>
      </w:r>
      <w:r w:rsidR="00267277">
        <w:t>[our organisation’s]</w:t>
      </w:r>
      <w:r w:rsidRPr="00C85476">
        <w:t xml:space="preserve"> staff resources, and have</w:t>
      </w:r>
      <w:r w:rsidR="004E23D1" w:rsidRPr="00C85476">
        <w:t xml:space="preserve"> in some cases achieved little.</w:t>
      </w:r>
    </w:p>
    <w:p w14:paraId="16C0BA0E" w14:textId="77777777" w:rsidR="004E23D1" w:rsidRPr="00C85476" w:rsidRDefault="004E23D1" w:rsidP="004E23D1">
      <w:pPr>
        <w:pStyle w:val="BulletPoints"/>
        <w:numPr>
          <w:ilvl w:val="0"/>
          <w:numId w:val="0"/>
        </w:numPr>
        <w:ind w:left="1211"/>
      </w:pPr>
      <w:r w:rsidRPr="00C85476">
        <w:t>States and Territories may be better placed to maintain responsibility for hazardous waste management within their borders. Certainly, they are better positioned and resourced to carry out the monitoring and enforcement activities required for an effective regulatory framework. Furthermore, State/Territory led approach provides greater opportunity for innovation and competitive Federalism (</w:t>
      </w:r>
      <w:r w:rsidR="00D56453">
        <w:t>Confidential response</w:t>
      </w:r>
      <w:r w:rsidRPr="00C85476">
        <w:t>).</w:t>
      </w:r>
    </w:p>
    <w:p w14:paraId="7AAE721D" w14:textId="77777777" w:rsidR="00AE4520" w:rsidRPr="00C85476" w:rsidRDefault="004E23D1" w:rsidP="004E23D1">
      <w:pPr>
        <w:pStyle w:val="BulletPoints"/>
        <w:spacing w:after="240"/>
        <w:ind w:left="1208" w:hanging="357"/>
      </w:pPr>
      <w:r w:rsidRPr="00C85476">
        <w:t>There is always a risk that there are additional costs imposed on state and local government by Commonwealth reforms (QLD DEHP)</w:t>
      </w:r>
      <w:r w:rsidR="00AE4520" w:rsidRPr="00C85476">
        <w:t>.</w:t>
      </w:r>
    </w:p>
    <w:p w14:paraId="115CCA3C" w14:textId="77777777" w:rsidR="006C40C9" w:rsidRPr="00C85476" w:rsidRDefault="006C40C9" w:rsidP="00551F05">
      <w:pPr>
        <w:pStyle w:val="Heading4"/>
      </w:pPr>
      <w:r w:rsidRPr="00C85476">
        <w:t>Barriers and implementation timeframe</w:t>
      </w:r>
    </w:p>
    <w:p w14:paraId="2FC7117A" w14:textId="77777777" w:rsidR="006C40C9" w:rsidRPr="00C85476" w:rsidRDefault="007740DD" w:rsidP="00FB055C">
      <w:r>
        <w:t>It is</w:t>
      </w:r>
      <w:r w:rsidR="00B42414" w:rsidRPr="00C85476">
        <w:t xml:space="preserve"> difficult</w:t>
      </w:r>
      <w:r w:rsidR="00FB055C" w:rsidRPr="00C85476">
        <w:t xml:space="preserve"> </w:t>
      </w:r>
      <w:r>
        <w:t>to</w:t>
      </w:r>
      <w:r w:rsidR="00FB055C" w:rsidRPr="00C85476">
        <w:t xml:space="preserve"> achiev</w:t>
      </w:r>
      <w:r>
        <w:t xml:space="preserve">e </w:t>
      </w:r>
      <w:r w:rsidR="00FB055C" w:rsidRPr="00C85476">
        <w:t>regulatory harmonisation</w:t>
      </w:r>
      <w:r>
        <w:t>. Harmonisation</w:t>
      </w:r>
      <w:r w:rsidR="005C36B7">
        <w:t xml:space="preserve"> </w:t>
      </w:r>
      <w:r>
        <w:t>may r</w:t>
      </w:r>
      <w:r w:rsidR="00FB055C" w:rsidRPr="00C85476">
        <w:t>estrict</w:t>
      </w:r>
      <w:r>
        <w:t xml:space="preserve"> r</w:t>
      </w:r>
      <w:r w:rsidR="00FB055C" w:rsidRPr="00C85476">
        <w:t>egulatory innovatio</w:t>
      </w:r>
      <w:r>
        <w:t>n.</w:t>
      </w:r>
    </w:p>
    <w:p w14:paraId="02F63936" w14:textId="53910599" w:rsidR="00FB055C" w:rsidRPr="00C85476" w:rsidRDefault="008E2A60" w:rsidP="00FB055C">
      <w:r>
        <w:t>One stakeholder confidentially</w:t>
      </w:r>
      <w:r w:rsidR="006874DF" w:rsidRPr="00C85476">
        <w:t xml:space="preserve"> estimated the implementation timeframe for harmoni</w:t>
      </w:r>
      <w:r w:rsidR="00451197">
        <w:t>sation reform options will be 5–</w:t>
      </w:r>
      <w:r w:rsidR="006874DF" w:rsidRPr="00C85476">
        <w:t>10 years.</w:t>
      </w:r>
    </w:p>
    <w:p w14:paraId="3AFD6F76" w14:textId="77777777" w:rsidR="005D7C22" w:rsidRPr="00C85476" w:rsidRDefault="005D7C22" w:rsidP="00551F05">
      <w:pPr>
        <w:pStyle w:val="Heading4"/>
      </w:pPr>
      <w:r w:rsidRPr="00C85476">
        <w:t>Recommendation</w:t>
      </w:r>
    </w:p>
    <w:p w14:paraId="27A9C71B" w14:textId="77777777" w:rsidR="00365AD0" w:rsidRPr="00C85476" w:rsidRDefault="00365AD0" w:rsidP="00365AD0">
      <w:r w:rsidRPr="00C85476">
        <w:t xml:space="preserve">It is recommended that </w:t>
      </w:r>
      <w:r>
        <w:t>this reform option be assessed</w:t>
      </w:r>
      <w:r w:rsidRPr="00C85476">
        <w:t xml:space="preserve"> in the cost-benefit analysis.</w:t>
      </w:r>
    </w:p>
    <w:p w14:paraId="37481AFF" w14:textId="77777777" w:rsidR="00E358EA" w:rsidRPr="00C85476" w:rsidRDefault="00451197" w:rsidP="00B8329E">
      <w:pPr>
        <w:pStyle w:val="Heading2"/>
      </w:pPr>
      <w:bookmarkStart w:id="76" w:name="_Toc426022051"/>
      <w:r>
        <w:t xml:space="preserve">Option </w:t>
      </w:r>
      <w:r w:rsidR="00F84AD5" w:rsidRPr="00C85476">
        <w:t xml:space="preserve">n) </w:t>
      </w:r>
      <w:r w:rsidR="00E358EA" w:rsidRPr="00C85476">
        <w:t>Developing guidelines on specific hazardous waste issues</w:t>
      </w:r>
      <w:bookmarkEnd w:id="76"/>
    </w:p>
    <w:p w14:paraId="6440675A" w14:textId="77777777" w:rsidR="007643FC" w:rsidRDefault="005D7C22" w:rsidP="00551F05">
      <w:pPr>
        <w:pStyle w:val="Heading4"/>
      </w:pPr>
      <w:r w:rsidRPr="00C85476">
        <w:t>Reform option description</w:t>
      </w:r>
    </w:p>
    <w:p w14:paraId="15C9C2D0" w14:textId="77777777" w:rsidR="007643FC" w:rsidRPr="00705AAE" w:rsidRDefault="007643FC" w:rsidP="00705AAE">
      <w:pPr>
        <w:rPr>
          <w:i/>
        </w:rPr>
      </w:pPr>
      <w:r w:rsidRPr="00705AAE">
        <w:rPr>
          <w:i/>
        </w:rPr>
        <w:t>The development of a series of Federal policy guidelines and standards on specific hazardous waste management issues in Australia, with clear linkages to the international policy environment. Examples of the types of issues the guidelines could address include: management of end-of-life rechargeable batteries; management of wastes containing brominated flame retardants; or management of mercury containing wastes.</w:t>
      </w:r>
    </w:p>
    <w:p w14:paraId="7843543D" w14:textId="77777777" w:rsidR="005D7C22" w:rsidRPr="00C85476" w:rsidRDefault="007643FC" w:rsidP="00551F05">
      <w:pPr>
        <w:pStyle w:val="Heading4"/>
      </w:pPr>
      <w:r>
        <w:t>C</w:t>
      </w:r>
      <w:r w:rsidR="005D7C22" w:rsidRPr="00C85476">
        <w:t>ontext</w:t>
      </w:r>
    </w:p>
    <w:p w14:paraId="4A03AE95" w14:textId="77777777" w:rsidR="00181782" w:rsidRPr="00C85476" w:rsidRDefault="00181782" w:rsidP="00181782">
      <w:pPr>
        <w:keepLines/>
      </w:pPr>
      <w:r w:rsidRPr="00C85476">
        <w:t>Supporting this</w:t>
      </w:r>
      <w:r w:rsidR="007643FC">
        <w:t xml:space="preserve"> reform option</w:t>
      </w:r>
      <w:r w:rsidRPr="00C85476">
        <w:t xml:space="preserve">, the Blue Environment et al. </w:t>
      </w:r>
      <w:sdt>
        <w:sdtPr>
          <w:id w:val="-1083063176"/>
          <w:citation/>
        </w:sdtPr>
        <w:sdtEndPr/>
        <w:sdtContent>
          <w:r w:rsidR="007B2B2A" w:rsidRPr="00C85476">
            <w:fldChar w:fldCharType="begin"/>
          </w:r>
          <w:r w:rsidRPr="00C85476">
            <w:instrText xml:space="preserve">CITATION Blu15 \p 72&amp;#8211;76 \n  \l 3081 </w:instrText>
          </w:r>
          <w:r w:rsidR="007B2B2A" w:rsidRPr="00C85476">
            <w:fldChar w:fldCharType="separate"/>
          </w:r>
          <w:r w:rsidR="001F6F42">
            <w:rPr>
              <w:noProof/>
            </w:rPr>
            <w:t>(2015a, p. 72–76)</w:t>
          </w:r>
          <w:r w:rsidR="007B2B2A" w:rsidRPr="00C85476">
            <w:fldChar w:fldCharType="end"/>
          </w:r>
        </w:sdtContent>
      </w:sdt>
      <w:r w:rsidRPr="00C85476">
        <w:t xml:space="preserve"> report identifies a number of specific hazardous waste issues </w:t>
      </w:r>
      <w:r w:rsidR="003C254D" w:rsidRPr="00C85476">
        <w:t xml:space="preserve">where regulation is possibly not the appropriate </w:t>
      </w:r>
      <w:r w:rsidR="00A46762" w:rsidRPr="00C85476">
        <w:t xml:space="preserve">or only </w:t>
      </w:r>
      <w:r w:rsidR="003C254D" w:rsidRPr="00C85476">
        <w:t>mechanism</w:t>
      </w:r>
      <w:r w:rsidR="00A46762" w:rsidRPr="00C85476">
        <w:t xml:space="preserve"> to improve management</w:t>
      </w:r>
      <w:r w:rsidR="003C254D" w:rsidRPr="00C85476">
        <w:t>. Th</w:t>
      </w:r>
      <w:r w:rsidR="00A46762" w:rsidRPr="00C85476">
        <w:t>ese</w:t>
      </w:r>
      <w:r w:rsidR="003C254D" w:rsidRPr="00C85476">
        <w:t xml:space="preserve"> issues include: addressing </w:t>
      </w:r>
      <w:r w:rsidRPr="00C85476">
        <w:t>emerging hazardous waste issues, such coal seam gas waste and persistent organic pollutants (POPs)</w:t>
      </w:r>
      <w:r w:rsidR="003C254D" w:rsidRPr="00C85476">
        <w:t>;</w:t>
      </w:r>
      <w:r w:rsidRPr="00C85476">
        <w:t xml:space="preserve"> </w:t>
      </w:r>
      <w:r w:rsidR="003C254D" w:rsidRPr="00C85476">
        <w:t xml:space="preserve">inconsistencies and inadequacies in </w:t>
      </w:r>
      <w:r w:rsidRPr="00C85476">
        <w:t xml:space="preserve">jurisdictional fate categories </w:t>
      </w:r>
      <w:r w:rsidR="003C254D" w:rsidRPr="00C85476">
        <w:t xml:space="preserve">for hazardous waste tracking; and the </w:t>
      </w:r>
      <w:r w:rsidR="00A46762" w:rsidRPr="00C85476">
        <w:t>finding</w:t>
      </w:r>
      <w:r w:rsidR="003C254D" w:rsidRPr="00C85476">
        <w:t xml:space="preserve"> that</w:t>
      </w:r>
      <w:r w:rsidRPr="00C85476">
        <w:t xml:space="preserve"> volumes of problem wastes are ‘hidden’ outside of </w:t>
      </w:r>
      <w:r w:rsidR="00A46762" w:rsidRPr="00C85476">
        <w:t xml:space="preserve">jurisdictional </w:t>
      </w:r>
      <w:r w:rsidRPr="00C85476">
        <w:t>tracking systems</w:t>
      </w:r>
      <w:r w:rsidR="003C254D" w:rsidRPr="00C85476">
        <w:t>.</w:t>
      </w:r>
    </w:p>
    <w:p w14:paraId="0A4D5EE0" w14:textId="77777777" w:rsidR="005D7C22" w:rsidRPr="00C85476" w:rsidRDefault="005D7C22" w:rsidP="00551F05">
      <w:pPr>
        <w:pStyle w:val="Heading4"/>
      </w:pPr>
      <w:r w:rsidRPr="00C85476">
        <w:lastRenderedPageBreak/>
        <w:t>Reform option regulatory status</w:t>
      </w:r>
    </w:p>
    <w:p w14:paraId="553D7B8F" w14:textId="77777777" w:rsidR="00F84AD5" w:rsidRPr="00C85476" w:rsidRDefault="00415D4B" w:rsidP="00F84AD5">
      <w:r w:rsidRPr="00C85476">
        <w:t>This is a non-regulatory reform option.</w:t>
      </w:r>
    </w:p>
    <w:p w14:paraId="32BA0207" w14:textId="77777777" w:rsidR="005D7C22" w:rsidRPr="00C85476" w:rsidRDefault="005D7C22" w:rsidP="00551F05">
      <w:pPr>
        <w:pStyle w:val="Heading4"/>
      </w:pPr>
      <w:r w:rsidRPr="00C85476">
        <w:t>Reform option purpose</w:t>
      </w:r>
    </w:p>
    <w:p w14:paraId="24ECA1A8" w14:textId="77777777" w:rsidR="00F84AD5" w:rsidRPr="00C85476" w:rsidRDefault="00A46762" w:rsidP="00F84AD5">
      <w:r w:rsidRPr="00C85476">
        <w:t>Promote the environmentally sound management of hazardous wastes.</w:t>
      </w:r>
    </w:p>
    <w:p w14:paraId="25027F14" w14:textId="77777777" w:rsidR="005D7C22" w:rsidRDefault="005D7C22" w:rsidP="00551F05">
      <w:pPr>
        <w:pStyle w:val="Heading4"/>
      </w:pPr>
      <w:r w:rsidRPr="00C85476">
        <w:t>Stakeholder feedback</w:t>
      </w:r>
    </w:p>
    <w:p w14:paraId="6BD1DBF5" w14:textId="57881609" w:rsidR="007740DD" w:rsidRPr="00C85476" w:rsidRDefault="007740DD" w:rsidP="007740DD">
      <w:r>
        <w:t xml:space="preserve">Seven </w:t>
      </w:r>
      <w:r w:rsidRPr="007740DD">
        <w:t xml:space="preserve">respondents indicated </w:t>
      </w:r>
      <w:r>
        <w:t>suppor</w:t>
      </w:r>
      <w:r w:rsidR="006B7AD3">
        <w:t>t for this reform option,</w:t>
      </w:r>
      <w:r w:rsidR="00D83859">
        <w:t xml:space="preserve"> one</w:t>
      </w:r>
      <w:r>
        <w:t xml:space="preserve"> indicated opposition</w:t>
      </w:r>
      <w:r w:rsidR="006B7AD3">
        <w:t>, and two responses were neutral.</w:t>
      </w:r>
    </w:p>
    <w:p w14:paraId="6CF040F5" w14:textId="77777777" w:rsidR="00DE45C6" w:rsidRPr="00C85476" w:rsidRDefault="00DE45C6" w:rsidP="00DE45C6">
      <w:r w:rsidRPr="00C85476">
        <w:t>Comments in support of this reform option included:</w:t>
      </w:r>
    </w:p>
    <w:p w14:paraId="57F8FA0D" w14:textId="77777777" w:rsidR="00F84AD5" w:rsidRPr="00C85476" w:rsidRDefault="008F494F" w:rsidP="008F494F">
      <w:pPr>
        <w:pStyle w:val="BulletPoints"/>
      </w:pPr>
      <w:r w:rsidRPr="00C85476">
        <w:t xml:space="preserve">I </w:t>
      </w:r>
      <w:r w:rsidR="00267277">
        <w:t>would suggest more guidance on ‘</w:t>
      </w:r>
      <w:r w:rsidRPr="00C85476">
        <w:t>what is hazardo</w:t>
      </w:r>
      <w:r w:rsidR="00267277">
        <w:t>us waste vs non-hazardous waste’</w:t>
      </w:r>
      <w:r w:rsidRPr="00C85476">
        <w:t xml:space="preserve">. </w:t>
      </w:r>
      <w:r w:rsidR="006E493E" w:rsidRPr="00C85476">
        <w:t xml:space="preserve">I feel that the more guidance </w:t>
      </w:r>
      <w:r w:rsidR="00F84AD5" w:rsidRPr="00C85476">
        <w:t xml:space="preserve">and standards that are formalised and made public, the better. </w:t>
      </w:r>
      <w:r w:rsidRPr="00C85476">
        <w:t>(</w:t>
      </w:r>
      <w:r w:rsidR="00D56453">
        <w:t>Confidential response</w:t>
      </w:r>
      <w:r w:rsidRPr="00C85476">
        <w:t>).</w:t>
      </w:r>
    </w:p>
    <w:p w14:paraId="059DB917" w14:textId="77777777" w:rsidR="00F84AD5" w:rsidRPr="00C85476" w:rsidRDefault="00F84AD5" w:rsidP="008F494F">
      <w:pPr>
        <w:pStyle w:val="BulletPoints"/>
      </w:pPr>
      <w:r w:rsidRPr="00C85476">
        <w:t>Support this reform but there should be consultation on specific requirements for waste management where there may be significant changes in ope</w:t>
      </w:r>
      <w:r w:rsidR="008F494F" w:rsidRPr="00C85476">
        <w:t>rations or costs to businesses (Australian Vinyls Corporation).</w:t>
      </w:r>
    </w:p>
    <w:p w14:paraId="0ED25E35" w14:textId="77777777" w:rsidR="00F84AD5" w:rsidRPr="00C85476" w:rsidRDefault="00F84AD5" w:rsidP="00F84AD5">
      <w:pPr>
        <w:pStyle w:val="BulletPoints"/>
      </w:pPr>
      <w:r w:rsidRPr="00C85476">
        <w:t xml:space="preserve">The biggest risk with the controlled waste NEPM is that there are no </w:t>
      </w:r>
      <w:r w:rsidR="008F494F" w:rsidRPr="00C85476">
        <w:t xml:space="preserve">[concentration] thresholds </w:t>
      </w:r>
      <w:r w:rsidRPr="00C85476">
        <w:t>as to triggers it being a hazardous</w:t>
      </w:r>
      <w:r w:rsidR="008F494F" w:rsidRPr="00C85476">
        <w:t>/controlled waste</w:t>
      </w:r>
      <w:r w:rsidRPr="00C85476">
        <w:t>.</w:t>
      </w:r>
      <w:r w:rsidR="008F494F" w:rsidRPr="00C85476">
        <w:t xml:space="preserve"> [We are] l</w:t>
      </w:r>
      <w:r w:rsidRPr="00C85476">
        <w:t>imited by government r</w:t>
      </w:r>
      <w:r w:rsidR="008F494F" w:rsidRPr="00C85476">
        <w:t>esourcing to develop thresholds (WA DER).</w:t>
      </w:r>
    </w:p>
    <w:p w14:paraId="3774C93B" w14:textId="77777777" w:rsidR="00F84AD5" w:rsidRPr="00C85476" w:rsidRDefault="00F84AD5" w:rsidP="008F494F">
      <w:pPr>
        <w:pStyle w:val="BulletPoints"/>
      </w:pPr>
      <w:r w:rsidRPr="00C85476">
        <w:t>This would greatly assist complia</w:t>
      </w:r>
      <w:r w:rsidR="008F494F" w:rsidRPr="00C85476">
        <w:t xml:space="preserve">nce. ABRI's various guidelines </w:t>
      </w:r>
      <w:r w:rsidRPr="00C85476">
        <w:t xml:space="preserve">have been downloaded in large numbers </w:t>
      </w:r>
      <w:r w:rsidR="008F494F" w:rsidRPr="00C85476">
        <w:t>[however] t</w:t>
      </w:r>
      <w:r w:rsidRPr="00C85476">
        <w:t>here are clear gaps, e.g. safe management of used energy storage batteries and the classification (or exclusion) of used alkaline batteries under various hazardous waste and dangerous goods policy frameworks</w:t>
      </w:r>
      <w:r w:rsidR="008F494F" w:rsidRPr="00C85476">
        <w:t xml:space="preserve"> (ABRI).</w:t>
      </w:r>
    </w:p>
    <w:p w14:paraId="1658BC32" w14:textId="77777777" w:rsidR="00F84AD5" w:rsidRPr="00C85476" w:rsidRDefault="008F494F" w:rsidP="00DF41B3">
      <w:pPr>
        <w:pStyle w:val="BulletPoints"/>
        <w:ind w:left="1208" w:hanging="357"/>
      </w:pPr>
      <w:r w:rsidRPr="00C85476">
        <w:t>[This] w</w:t>
      </w:r>
      <w:r w:rsidR="00F84AD5" w:rsidRPr="00C85476">
        <w:t>ill assist in developing clear pathways for end use of some waste streams and should (if developed properly) remove ambiguities that are exploited by some operators</w:t>
      </w:r>
      <w:r w:rsidRPr="00C85476">
        <w:t xml:space="preserve"> (WMAA Queensland Branch).</w:t>
      </w:r>
    </w:p>
    <w:p w14:paraId="653882E2" w14:textId="77777777" w:rsidR="00457F91" w:rsidRPr="00C85476" w:rsidRDefault="00457F91" w:rsidP="00DF41B3">
      <w:pPr>
        <w:pStyle w:val="BulletPoints"/>
        <w:spacing w:after="240"/>
        <w:ind w:left="1208" w:hanging="357"/>
      </w:pPr>
      <w:r w:rsidRPr="00C85476">
        <w:t>Veolia support</w:t>
      </w:r>
      <w:r w:rsidR="00DF41B3" w:rsidRPr="00C85476">
        <w:t>s</w:t>
      </w:r>
      <w:r w:rsidRPr="00C85476">
        <w:t xml:space="preserve"> guidelines and standards that achieve practical outcomes which also allow for innovation</w:t>
      </w:r>
      <w:r w:rsidR="00DF41B3" w:rsidRPr="00C85476">
        <w:t xml:space="preserve"> (Veolia).</w:t>
      </w:r>
    </w:p>
    <w:p w14:paraId="1C8E3AFD" w14:textId="196BC224" w:rsidR="0057417D" w:rsidRPr="00C85476" w:rsidRDefault="006B7AD3" w:rsidP="0057417D">
      <w:pPr>
        <w:spacing w:after="120" w:line="240" w:lineRule="auto"/>
      </w:pPr>
      <w:r>
        <w:t>Two stakeholders were neutral</w:t>
      </w:r>
      <w:r w:rsidR="0057417D" w:rsidRPr="00C85476">
        <w:t xml:space="preserve"> </w:t>
      </w:r>
      <w:r>
        <w:t>with respect to</w:t>
      </w:r>
      <w:r w:rsidR="0057417D" w:rsidRPr="00C85476">
        <w:t xml:space="preserve"> this reform option, </w:t>
      </w:r>
      <w:r w:rsidR="00CD610D">
        <w:t>and</w:t>
      </w:r>
      <w:r w:rsidR="0057417D" w:rsidRPr="00C85476">
        <w:t xml:space="preserve"> observed that:</w:t>
      </w:r>
    </w:p>
    <w:p w14:paraId="1779BE00" w14:textId="77777777" w:rsidR="0057417D" w:rsidRDefault="0057417D" w:rsidP="006B7AD3">
      <w:pPr>
        <w:pStyle w:val="BulletPoints"/>
        <w:ind w:left="1208" w:hanging="357"/>
      </w:pPr>
      <w:r w:rsidRPr="0057417D">
        <w:t>It would presumably be beyond Commonwealth power to establish standards. Guidance developed in conjunction with the States (e</w:t>
      </w:r>
      <w:r>
        <w:t>.</w:t>
      </w:r>
      <w:r w:rsidRPr="0057417D">
        <w:t>g</w:t>
      </w:r>
      <w:r>
        <w:t>.</w:t>
      </w:r>
      <w:r w:rsidRPr="0057417D">
        <w:t xml:space="preserve"> through the NEPC) would be useful</w:t>
      </w:r>
      <w:r>
        <w:t xml:space="preserve"> (CRC CARE)</w:t>
      </w:r>
      <w:r w:rsidRPr="0057417D">
        <w:t>.</w:t>
      </w:r>
    </w:p>
    <w:p w14:paraId="5E0C4724" w14:textId="71671A5B" w:rsidR="006B7AD3" w:rsidRPr="00C85476" w:rsidRDefault="006B7AD3" w:rsidP="006B7AD3">
      <w:pPr>
        <w:pStyle w:val="BulletPoints"/>
        <w:spacing w:after="240"/>
        <w:ind w:left="1208" w:hanging="357"/>
      </w:pPr>
      <w:r w:rsidRPr="006B7AD3">
        <w:t>The hazardous waste types most suited to such guidelines and standards are those covered by international agreements such as the Stoc</w:t>
      </w:r>
      <w:r>
        <w:t>kholm and Minamata Conventions.</w:t>
      </w:r>
      <w:r w:rsidRPr="006B7AD3">
        <w:t xml:space="preserve"> For national guidelines and standards to be effective for these and other hazardous wastes, the guidelines and standards would need to be developed in consultation wi</w:t>
      </w:r>
      <w:r>
        <w:t xml:space="preserve">th the States and Territories. </w:t>
      </w:r>
      <w:r w:rsidRPr="006B7AD3">
        <w:t xml:space="preserve">The aim of these consultations would be either to ensure consistency with existing state and territory requirements or, where changes to a state or territory’s requirements were proposed to achieve national consistency, to obtain the agreement of </w:t>
      </w:r>
      <w:r>
        <w:t>the affected state or territory (Confidential response).</w:t>
      </w:r>
    </w:p>
    <w:p w14:paraId="347AC16B" w14:textId="77777777" w:rsidR="006C40C9" w:rsidRPr="00C85476" w:rsidRDefault="006C40C9" w:rsidP="00551F05">
      <w:pPr>
        <w:pStyle w:val="Heading4"/>
      </w:pPr>
      <w:r w:rsidRPr="00C85476">
        <w:lastRenderedPageBreak/>
        <w:t>Barriers and implementation timeframe</w:t>
      </w:r>
    </w:p>
    <w:p w14:paraId="645B0148" w14:textId="55C44281" w:rsidR="006C40C9" w:rsidRPr="00C85476" w:rsidRDefault="00DF41B3" w:rsidP="00903067">
      <w:r w:rsidRPr="00C85476">
        <w:t>There do not appear to be any significant barriers to the implem</w:t>
      </w:r>
      <w:r w:rsidR="002D6396">
        <w:t>entation of this reform option.</w:t>
      </w:r>
    </w:p>
    <w:p w14:paraId="124D1814" w14:textId="77777777" w:rsidR="00903067" w:rsidRPr="00C85476" w:rsidRDefault="00903067" w:rsidP="00903067">
      <w:r w:rsidRPr="00C85476">
        <w:t>None of the stakeholders proposed an implementation timeframe for this reform option.</w:t>
      </w:r>
    </w:p>
    <w:p w14:paraId="32A1607A" w14:textId="77777777" w:rsidR="005D7C22" w:rsidRPr="00C85476" w:rsidRDefault="005D7C22" w:rsidP="00551F05">
      <w:pPr>
        <w:pStyle w:val="Heading4"/>
      </w:pPr>
      <w:r w:rsidRPr="00C85476">
        <w:t>Recommendation</w:t>
      </w:r>
    </w:p>
    <w:p w14:paraId="73FEFE69" w14:textId="77777777" w:rsidR="00C06122" w:rsidRPr="00C85476" w:rsidRDefault="00C06122" w:rsidP="00C06122">
      <w:r w:rsidRPr="00C85476">
        <w:t xml:space="preserve">This is a non-regulatory reform, and for this reason is it </w:t>
      </w:r>
      <w:r>
        <w:t xml:space="preserve">not </w:t>
      </w:r>
      <w:r w:rsidRPr="00C85476">
        <w:t xml:space="preserve">recommended </w:t>
      </w:r>
      <w:r>
        <w:t xml:space="preserve">for </w:t>
      </w:r>
      <w:r w:rsidRPr="00C85476">
        <w:t>assess</w:t>
      </w:r>
      <w:r>
        <w:t xml:space="preserve">ment in the cost-benefit analysis. It should be pursued further </w:t>
      </w:r>
      <w:r w:rsidRPr="00D951BD">
        <w:t>out</w:t>
      </w:r>
      <w:r>
        <w:t>side of a regulatory framework.</w:t>
      </w:r>
    </w:p>
    <w:p w14:paraId="1872F709" w14:textId="77777777" w:rsidR="00E358EA" w:rsidRPr="00C85476" w:rsidRDefault="00451197" w:rsidP="00B8329E">
      <w:pPr>
        <w:pStyle w:val="Heading2"/>
      </w:pPr>
      <w:bookmarkStart w:id="77" w:name="_Ref423097021"/>
      <w:bookmarkStart w:id="78" w:name="_Toc426022052"/>
      <w:r>
        <w:t xml:space="preserve">Option </w:t>
      </w:r>
      <w:r w:rsidR="00F84AD5" w:rsidRPr="00C85476">
        <w:t xml:space="preserve">o) </w:t>
      </w:r>
      <w:r w:rsidR="00E358EA" w:rsidRPr="00C85476">
        <w:t>Nationally consistent system of hazardous waste levies</w:t>
      </w:r>
      <w:bookmarkEnd w:id="77"/>
      <w:bookmarkEnd w:id="78"/>
    </w:p>
    <w:p w14:paraId="0D7BD589" w14:textId="77777777" w:rsidR="007643FC" w:rsidRDefault="005D7C22" w:rsidP="00551F05">
      <w:pPr>
        <w:pStyle w:val="Heading4"/>
      </w:pPr>
      <w:r w:rsidRPr="00C85476">
        <w:t>Reform option description</w:t>
      </w:r>
    </w:p>
    <w:p w14:paraId="62BBA443" w14:textId="77777777" w:rsidR="007643FC" w:rsidRPr="00705AAE" w:rsidRDefault="007643FC" w:rsidP="00705AAE">
      <w:pPr>
        <w:rPr>
          <w:i/>
        </w:rPr>
      </w:pPr>
      <w:r w:rsidRPr="00705AAE">
        <w:rPr>
          <w:i/>
        </w:rPr>
        <w:t>A nationally-consistent system of hazardous waste levies (including a Commonwealth import/export levy or charge for international movements), to reduce economic incentives to transport wastes long distances to fates of possibly higher risk to health and the environment, consistent with the proximity principle under the Basel Convention</w:t>
      </w:r>
      <w:r>
        <w:rPr>
          <w:i/>
        </w:rPr>
        <w:t>.</w:t>
      </w:r>
    </w:p>
    <w:p w14:paraId="539980B8" w14:textId="77777777" w:rsidR="005D7C22" w:rsidRPr="00C85476" w:rsidRDefault="007643FC" w:rsidP="00551F05">
      <w:pPr>
        <w:pStyle w:val="Heading4"/>
      </w:pPr>
      <w:r>
        <w:t>C</w:t>
      </w:r>
      <w:r w:rsidR="005D7C22" w:rsidRPr="00C85476">
        <w:t>ontext</w:t>
      </w:r>
    </w:p>
    <w:p w14:paraId="42EBFFA4" w14:textId="77777777" w:rsidR="0027668F" w:rsidRPr="00C85476" w:rsidRDefault="0027668F" w:rsidP="00F84AD5">
      <w:r w:rsidRPr="00C85476">
        <w:t xml:space="preserve">The underlying driver behind this reform option is to </w:t>
      </w:r>
      <w:r w:rsidR="00F45405" w:rsidRPr="00C85476">
        <w:t xml:space="preserve">reduce the incentive for </w:t>
      </w:r>
      <w:r w:rsidRPr="00C85476">
        <w:t xml:space="preserve">longer distance hazardous waste movements, </w:t>
      </w:r>
      <w:r w:rsidR="00F45405" w:rsidRPr="00C85476">
        <w:t>noting that differentials in gate fees also contribute to these movements</w:t>
      </w:r>
      <w:r w:rsidRPr="00C85476">
        <w:t xml:space="preserve">. This </w:t>
      </w:r>
      <w:r w:rsidR="00F45405" w:rsidRPr="00C85476">
        <w:t xml:space="preserve">reduces the health and safety risks associated with more kilometres of hazardous waste movements on the road, reduces the environmental impact of waste transport, and is also consistent with the Commonwealth’s commitment to the </w:t>
      </w:r>
      <w:r w:rsidRPr="00C85476">
        <w:t>proximity princi</w:t>
      </w:r>
      <w:r w:rsidR="00F45405" w:rsidRPr="00C85476">
        <w:t>ple under the Convention</w:t>
      </w:r>
      <w:r w:rsidRPr="00C85476">
        <w:t>.</w:t>
      </w:r>
    </w:p>
    <w:p w14:paraId="72BB0686" w14:textId="77777777" w:rsidR="00F84AD5" w:rsidRPr="00C85476" w:rsidRDefault="00C81506" w:rsidP="0027668F">
      <w:r w:rsidRPr="00C85476">
        <w:t>Fees and charges are a particularly challenging area to harmonise across jurisdictions</w:t>
      </w:r>
      <w:r w:rsidR="0027668F" w:rsidRPr="00C85476">
        <w:t xml:space="preserve">, with the GHD </w:t>
      </w:r>
      <w:sdt>
        <w:sdtPr>
          <w:id w:val="-812176466"/>
          <w:citation/>
        </w:sdtPr>
        <w:sdtEndPr/>
        <w:sdtContent>
          <w:r w:rsidR="007B2B2A" w:rsidRPr="00C85476">
            <w:fldChar w:fldCharType="begin"/>
          </w:r>
          <w:r w:rsidR="0027668F" w:rsidRPr="00C85476">
            <w:instrText xml:space="preserve">CITATION GHD15 \p 12 \n  \l 3081 </w:instrText>
          </w:r>
          <w:r w:rsidR="007B2B2A" w:rsidRPr="00C85476">
            <w:fldChar w:fldCharType="separate"/>
          </w:r>
          <w:r w:rsidR="001F6F42">
            <w:rPr>
              <w:noProof/>
            </w:rPr>
            <w:t>(2015, p. 12)</w:t>
          </w:r>
          <w:r w:rsidR="007B2B2A" w:rsidRPr="00C85476">
            <w:fldChar w:fldCharType="end"/>
          </w:r>
        </w:sdtContent>
      </w:sdt>
      <w:r w:rsidR="0027668F" w:rsidRPr="00C85476">
        <w:t xml:space="preserve"> report observing that ‘b</w:t>
      </w:r>
      <w:r w:rsidR="00F84AD5" w:rsidRPr="00C85476">
        <w:t>oth hazardous waste storage thresholds and the fees that they trigger differ markedly across jurisdictions.</w:t>
      </w:r>
      <w:r w:rsidR="0027668F" w:rsidRPr="00C85476">
        <w:t>’</w:t>
      </w:r>
    </w:p>
    <w:p w14:paraId="0BF63B9E" w14:textId="77777777" w:rsidR="0027668F" w:rsidRPr="00C85476" w:rsidRDefault="0027668F" w:rsidP="0027668F">
      <w:r w:rsidRPr="00C85476">
        <w:t xml:space="preserve">To provide context on the current variability and impact of hazardous waste landfill levies, a recent Blue Environment </w:t>
      </w:r>
      <w:sdt>
        <w:sdtPr>
          <w:id w:val="-2048675261"/>
          <w:citation/>
        </w:sdtPr>
        <w:sdtEndPr/>
        <w:sdtContent>
          <w:r w:rsidR="007B2B2A" w:rsidRPr="00C85476">
            <w:fldChar w:fldCharType="begin"/>
          </w:r>
          <w:r w:rsidRPr="00C85476">
            <w:instrText xml:space="preserve">CITATION Ble15 \p 73 \n  \l 3081 </w:instrText>
          </w:r>
          <w:r w:rsidR="007B2B2A" w:rsidRPr="00C85476">
            <w:fldChar w:fldCharType="separate"/>
          </w:r>
          <w:r w:rsidR="001F6F42">
            <w:rPr>
              <w:noProof/>
            </w:rPr>
            <w:t>(2015b, p. 73)</w:t>
          </w:r>
          <w:r w:rsidR="007B2B2A" w:rsidRPr="00C85476">
            <w:fldChar w:fldCharType="end"/>
          </w:r>
        </w:sdtContent>
      </w:sdt>
      <w:r w:rsidRPr="00C85476">
        <w:t xml:space="preserve"> study undertaken for the Department observed that:</w:t>
      </w:r>
    </w:p>
    <w:p w14:paraId="0059D679" w14:textId="77777777" w:rsidR="0027668F" w:rsidRPr="00C85476" w:rsidRDefault="0027668F" w:rsidP="0027668F">
      <w:pPr>
        <w:spacing w:after="240"/>
        <w:ind w:left="567" w:right="567"/>
        <w:rPr>
          <w:i/>
          <w:sz w:val="20"/>
        </w:rPr>
      </w:pPr>
      <w:r w:rsidRPr="00C85476">
        <w:rPr>
          <w:i/>
          <w:sz w:val="20"/>
        </w:rPr>
        <w:t>There are large differences in the cost of landfill disposal of hazardous waste in Australia. In Victoria the landfill levy for Category B hazardous waste is $250/tonne and in Queensland the landfill levy is $0/tonne. Industry commented that transport costs could be as low as $80/tonne from Vic to Qld. If transport costs are indeed this low, landfills in Qld (charging the same gate fee as Vic landfills) could potentially offer tipping at $170/tonne less that tipping costs in Victoria. Several industry stakeholders commented on this as a serious policy/governance issue for hazardous waste management in Australia.</w:t>
      </w:r>
    </w:p>
    <w:p w14:paraId="11858AAB" w14:textId="77777777" w:rsidR="00F84AD5" w:rsidRPr="00C85476" w:rsidRDefault="0027668F" w:rsidP="0027668F">
      <w:r w:rsidRPr="00C85476">
        <w:t>It is also worth noting that</w:t>
      </w:r>
      <w:r w:rsidR="00585436">
        <w:t xml:space="preserve"> five</w:t>
      </w:r>
      <w:r w:rsidR="00F84AD5" w:rsidRPr="00C85476">
        <w:t xml:space="preserve"> jurisdictions (</w:t>
      </w:r>
      <w:r w:rsidR="00585436">
        <w:t xml:space="preserve">ACT, </w:t>
      </w:r>
      <w:r w:rsidRPr="00C85476">
        <w:t xml:space="preserve">NSW, </w:t>
      </w:r>
      <w:r w:rsidR="00585436">
        <w:t xml:space="preserve">SA, </w:t>
      </w:r>
      <w:r w:rsidRPr="00C85476">
        <w:t>VIC and WA</w:t>
      </w:r>
      <w:r w:rsidR="00F84AD5" w:rsidRPr="00C85476">
        <w:t>) have waste levies in place</w:t>
      </w:r>
      <w:r w:rsidR="00585436">
        <w:t xml:space="preserve"> to encourage recycling and three</w:t>
      </w:r>
      <w:r w:rsidR="00F84AD5" w:rsidRPr="00C85476">
        <w:t xml:space="preserve"> jurisdictions do not.</w:t>
      </w:r>
    </w:p>
    <w:p w14:paraId="4B258A21" w14:textId="77777777" w:rsidR="00F84AD5" w:rsidRPr="00C85476" w:rsidRDefault="0027668F" w:rsidP="00F84AD5">
      <w:r w:rsidRPr="00C85476">
        <w:t xml:space="preserve">Notwithstanding these challenges the </w:t>
      </w:r>
      <w:r w:rsidR="00F84AD5" w:rsidRPr="00C85476">
        <w:t xml:space="preserve">GHD </w:t>
      </w:r>
      <w:r w:rsidRPr="00C85476">
        <w:t>report argues that there ‘</w:t>
      </w:r>
      <w:r w:rsidR="00F84AD5" w:rsidRPr="00C85476">
        <w:t>is an opportunity to harmonise approaches to waste categorisation and levy arrangements for disposal with rega</w:t>
      </w:r>
      <w:r w:rsidRPr="00C85476">
        <w:t xml:space="preserve">rd to landfilling and treatment’ </w:t>
      </w:r>
      <w:sdt>
        <w:sdtPr>
          <w:id w:val="264197942"/>
          <w:citation/>
        </w:sdtPr>
        <w:sdtEndPr/>
        <w:sdtContent>
          <w:r w:rsidR="007B2B2A" w:rsidRPr="00C85476">
            <w:fldChar w:fldCharType="begin"/>
          </w:r>
          <w:r w:rsidRPr="00C85476">
            <w:instrText xml:space="preserve">CITATION GHD15 \p 34 \l 3081 </w:instrText>
          </w:r>
          <w:r w:rsidR="007B2B2A" w:rsidRPr="00C85476">
            <w:fldChar w:fldCharType="separate"/>
          </w:r>
          <w:r w:rsidR="001F6F42">
            <w:rPr>
              <w:noProof/>
            </w:rPr>
            <w:t>(GHD, 2015, p. 34)</w:t>
          </w:r>
          <w:r w:rsidR="007B2B2A" w:rsidRPr="00C85476">
            <w:fldChar w:fldCharType="end"/>
          </w:r>
        </w:sdtContent>
      </w:sdt>
      <w:r w:rsidRPr="00C85476">
        <w:t>, and discusses a high level approach to approaching this matter.</w:t>
      </w:r>
    </w:p>
    <w:p w14:paraId="7A30EB2F" w14:textId="77777777" w:rsidR="005D7C22" w:rsidRPr="00C85476" w:rsidRDefault="005D7C22" w:rsidP="00551F05">
      <w:pPr>
        <w:pStyle w:val="Heading4"/>
      </w:pPr>
      <w:r w:rsidRPr="00C85476">
        <w:lastRenderedPageBreak/>
        <w:t>Reform option regulatory status</w:t>
      </w:r>
    </w:p>
    <w:p w14:paraId="41BB5C44" w14:textId="77777777" w:rsidR="00F84AD5" w:rsidRPr="00C85476" w:rsidRDefault="00415D4B" w:rsidP="00F84AD5">
      <w:r w:rsidRPr="00C85476">
        <w:t>This is a quasi-regulatory reform option.</w:t>
      </w:r>
    </w:p>
    <w:p w14:paraId="4BCF6FA6" w14:textId="77777777" w:rsidR="005D7C22" w:rsidRPr="00C85476" w:rsidRDefault="005D7C22" w:rsidP="00551F05">
      <w:pPr>
        <w:pStyle w:val="Heading4"/>
      </w:pPr>
      <w:r w:rsidRPr="00C85476">
        <w:t>Reform option purpose</w:t>
      </w:r>
    </w:p>
    <w:p w14:paraId="6FFB1010" w14:textId="77777777" w:rsidR="00F84AD5" w:rsidRPr="00C85476" w:rsidRDefault="00415D4B" w:rsidP="00F84AD5">
      <w:r w:rsidRPr="00C85476">
        <w:t>Harmonisation with other policy areas and creating a seamless national economy.</w:t>
      </w:r>
    </w:p>
    <w:p w14:paraId="0DA43113" w14:textId="77777777" w:rsidR="005D7C22" w:rsidRPr="00C85476" w:rsidRDefault="005D7C22" w:rsidP="00551F05">
      <w:pPr>
        <w:pStyle w:val="Heading4"/>
      </w:pPr>
      <w:r w:rsidRPr="00C85476">
        <w:t>Stakeholder feedback</w:t>
      </w:r>
    </w:p>
    <w:p w14:paraId="6EFB51BC" w14:textId="795ACC19" w:rsidR="00B43216" w:rsidRPr="00C85476" w:rsidRDefault="0057417D" w:rsidP="00B43216">
      <w:r>
        <w:t>Ten</w:t>
      </w:r>
      <w:r w:rsidR="00B43216">
        <w:t xml:space="preserve"> </w:t>
      </w:r>
      <w:r w:rsidR="00B43216" w:rsidRPr="007740DD">
        <w:t xml:space="preserve">respondents indicated </w:t>
      </w:r>
      <w:r w:rsidR="00B43216">
        <w:t>support for this reform option, t</w:t>
      </w:r>
      <w:r w:rsidR="00D83859">
        <w:t>wo indicated opposition, and two were</w:t>
      </w:r>
      <w:r w:rsidR="00B43216">
        <w:t xml:space="preserve"> neutral.</w:t>
      </w:r>
    </w:p>
    <w:p w14:paraId="3A7B7D1A" w14:textId="77777777" w:rsidR="00DE45C6" w:rsidRPr="00C85476" w:rsidRDefault="00DE45C6" w:rsidP="00DE45C6">
      <w:r w:rsidRPr="00C85476">
        <w:t>Comments in support of this reform option included:</w:t>
      </w:r>
    </w:p>
    <w:p w14:paraId="2E7B2630" w14:textId="77777777" w:rsidR="006428BB" w:rsidRPr="00C85476" w:rsidRDefault="00F84AD5" w:rsidP="006428BB">
      <w:pPr>
        <w:pStyle w:val="BulletPoints"/>
      </w:pPr>
      <w:r w:rsidRPr="00C85476">
        <w:t>It is</w:t>
      </w:r>
      <w:r w:rsidR="006428BB" w:rsidRPr="00C85476">
        <w:t xml:space="preserve"> </w:t>
      </w:r>
      <w:r w:rsidRPr="00C85476">
        <w:t>understood that in 2014, approximately 50,000</w:t>
      </w:r>
      <w:r w:rsidR="006428BB" w:rsidRPr="00C85476">
        <w:t xml:space="preserve"> </w:t>
      </w:r>
      <w:r w:rsidRPr="00C85476">
        <w:t>t</w:t>
      </w:r>
      <w:r w:rsidR="006428BB" w:rsidRPr="00C85476">
        <w:t>onnes</w:t>
      </w:r>
      <w:r w:rsidRPr="00C85476">
        <w:t xml:space="preserve"> of waste was exported from Victoria to Queensland</w:t>
      </w:r>
      <w:r w:rsidR="006428BB" w:rsidRPr="00C85476">
        <w:t>…</w:t>
      </w:r>
      <w:r w:rsidRPr="00C85476">
        <w:t>In my personal opinion, the only way to address this</w:t>
      </w:r>
      <w:r w:rsidR="006428BB" w:rsidRPr="00C85476">
        <w:t xml:space="preserve"> issue is even out the levies. W</w:t>
      </w:r>
      <w:r w:rsidRPr="00C85476">
        <w:t>here I have no</w:t>
      </w:r>
      <w:r w:rsidR="006428BB" w:rsidRPr="00C85476">
        <w:t xml:space="preserve"> </w:t>
      </w:r>
      <w:r w:rsidRPr="00C85476">
        <w:t>doubt that Queensland is in need of a levy, while I also believe that Victoria’s are excessive and could</w:t>
      </w:r>
      <w:r w:rsidR="006428BB" w:rsidRPr="00C85476">
        <w:t xml:space="preserve"> </w:t>
      </w:r>
      <w:r w:rsidRPr="00C85476">
        <w:t xml:space="preserve">be reduced </w:t>
      </w:r>
      <w:r w:rsidR="006428BB" w:rsidRPr="00C85476">
        <w:t>(</w:t>
      </w:r>
      <w:r w:rsidR="00D56453">
        <w:t>Confidential response</w:t>
      </w:r>
      <w:r w:rsidR="006428BB" w:rsidRPr="00C85476">
        <w:t>).</w:t>
      </w:r>
    </w:p>
    <w:p w14:paraId="4574CDD0" w14:textId="77777777" w:rsidR="00F84AD5" w:rsidRPr="00C85476" w:rsidRDefault="00F84AD5" w:rsidP="006428BB">
      <w:pPr>
        <w:pStyle w:val="BulletPoints"/>
      </w:pPr>
      <w:r w:rsidRPr="00C85476">
        <w:t>Support this reform, but there needs to be adequate and appropriately cos</w:t>
      </w:r>
      <w:r w:rsidR="006428BB" w:rsidRPr="00C85476">
        <w:t>ted disposal available locally (Australian Vinyls Corporation).</w:t>
      </w:r>
    </w:p>
    <w:p w14:paraId="2D087E41" w14:textId="77777777" w:rsidR="00F84AD5" w:rsidRPr="00C85476" w:rsidRDefault="006428BB" w:rsidP="006428BB">
      <w:pPr>
        <w:pStyle w:val="BulletPoints"/>
      </w:pPr>
      <w:r w:rsidRPr="00C85476">
        <w:t>[This is] d</w:t>
      </w:r>
      <w:r w:rsidR="00F84AD5" w:rsidRPr="00C85476">
        <w:t>irectly in line with the Basel objectives of minimisation of transboundary management.</w:t>
      </w:r>
      <w:r w:rsidR="00D15B48" w:rsidRPr="00C85476">
        <w:t xml:space="preserve"> </w:t>
      </w:r>
      <w:r w:rsidR="00F84AD5" w:rsidRPr="00C85476">
        <w:t>Encourages development of nati</w:t>
      </w:r>
      <w:r w:rsidRPr="00C85476">
        <w:t>onal facilities where effective (</w:t>
      </w:r>
      <w:r w:rsidR="00D56453">
        <w:t>Confidential response</w:t>
      </w:r>
      <w:r w:rsidRPr="00C85476">
        <w:t>).</w:t>
      </w:r>
    </w:p>
    <w:p w14:paraId="39E04759" w14:textId="77777777" w:rsidR="00F84AD5" w:rsidRPr="00C85476" w:rsidRDefault="00F84AD5" w:rsidP="006428BB">
      <w:pPr>
        <w:pStyle w:val="BulletPoints"/>
      </w:pPr>
      <w:r w:rsidRPr="00C85476">
        <w:t>Part of the levy revenue should be reinvested in the domestic hazardous waste resource recovery industry to encourage hazardous waste to be processed domestically and comply with strict soc</w:t>
      </w:r>
      <w:r w:rsidR="006428BB" w:rsidRPr="00C85476">
        <w:t>ial and environmental standards (</w:t>
      </w:r>
      <w:r w:rsidR="00D4107A">
        <w:t>Confidential response</w:t>
      </w:r>
      <w:r w:rsidR="006428BB" w:rsidRPr="00C85476">
        <w:t>).</w:t>
      </w:r>
    </w:p>
    <w:p w14:paraId="6C1E02F6" w14:textId="77777777" w:rsidR="00F84AD5" w:rsidRPr="00C85476" w:rsidRDefault="006428BB" w:rsidP="006428BB">
      <w:pPr>
        <w:pStyle w:val="BulletPoints"/>
      </w:pPr>
      <w:r w:rsidRPr="00C85476">
        <w:t>[This] s</w:t>
      </w:r>
      <w:r w:rsidR="00F84AD5" w:rsidRPr="00C85476">
        <w:t xml:space="preserve">hould greatly assist in discouraging export of material and the development of technologies and infrastructure within Australia to deal with some hazardous </w:t>
      </w:r>
      <w:r w:rsidRPr="00C85476">
        <w:t>wastes (WMAA Queensland Branch).</w:t>
      </w:r>
    </w:p>
    <w:p w14:paraId="56648B35" w14:textId="77777777" w:rsidR="008622D7" w:rsidRPr="00C85476" w:rsidRDefault="008622D7" w:rsidP="008622D7">
      <w:pPr>
        <w:pStyle w:val="BulletPoints"/>
      </w:pPr>
      <w:r w:rsidRPr="00C85476">
        <w:t xml:space="preserve">Qualified support. Whilst we support the charging of levies in relation to the export of </w:t>
      </w:r>
      <w:r w:rsidR="00B43216">
        <w:t>used lead acid batteries (</w:t>
      </w:r>
      <w:r w:rsidRPr="00C85476">
        <w:t>ULAB</w:t>
      </w:r>
      <w:r w:rsidR="00B43216">
        <w:t>)</w:t>
      </w:r>
      <w:r w:rsidRPr="00C85476">
        <w:t>, we do not support a levy being charged on inter and intra-state movements of ULAB (Enirgi Metal Group Pty Ltd).</w:t>
      </w:r>
    </w:p>
    <w:p w14:paraId="6A3D4333" w14:textId="77777777" w:rsidR="00F84AD5" w:rsidRPr="00C85476" w:rsidRDefault="00F84AD5" w:rsidP="00537344">
      <w:pPr>
        <w:pStyle w:val="BulletPoints"/>
      </w:pPr>
      <w:r w:rsidRPr="00C85476">
        <w:t>It is critical that any proposed framework supports higher order treatment and recycling options within Australia which sit higher in the waste hierarchy than alternative options both domestically and internationally which have a lower benefit to h</w:t>
      </w:r>
      <w:r w:rsidR="00537344" w:rsidRPr="00C85476">
        <w:t>uman health and the environment (</w:t>
      </w:r>
      <w:r w:rsidR="00D05D93">
        <w:t>Confidential response</w:t>
      </w:r>
      <w:r w:rsidR="00537344" w:rsidRPr="00C85476">
        <w:t>).</w:t>
      </w:r>
    </w:p>
    <w:p w14:paraId="4B47D84A" w14:textId="77777777" w:rsidR="00F84AD5" w:rsidRPr="00C85476" w:rsidRDefault="00F84AD5" w:rsidP="00537344">
      <w:pPr>
        <w:pStyle w:val="BulletPoints"/>
        <w:spacing w:after="240"/>
        <w:ind w:left="1208" w:hanging="357"/>
      </w:pPr>
      <w:r w:rsidRPr="00C85476">
        <w:t xml:space="preserve">We strongly support the proximity principle under the Basel Convention and the implementation of </w:t>
      </w:r>
      <w:r w:rsidR="00537344" w:rsidRPr="00C85476">
        <w:t xml:space="preserve">[a] </w:t>
      </w:r>
      <w:r w:rsidRPr="00C85476">
        <w:t xml:space="preserve">hazardous waste framework that is </w:t>
      </w:r>
      <w:r w:rsidR="00537344" w:rsidRPr="00C85476">
        <w:t>consistent with this principle (Southern Oil Refining Pty Ltd).</w:t>
      </w:r>
    </w:p>
    <w:p w14:paraId="1E4163C7" w14:textId="77777777" w:rsidR="00DE45C6" w:rsidRPr="00C85476" w:rsidRDefault="00DE45C6" w:rsidP="00CD610D">
      <w:pPr>
        <w:keepNext/>
        <w:keepLines/>
      </w:pPr>
      <w:r w:rsidRPr="00C85476">
        <w:lastRenderedPageBreak/>
        <w:t>Comments expressing concern or opposition to th</w:t>
      </w:r>
      <w:r w:rsidR="00B43216">
        <w:t>is</w:t>
      </w:r>
      <w:r w:rsidRPr="00C85476">
        <w:t xml:space="preserve"> reform option included:</w:t>
      </w:r>
    </w:p>
    <w:p w14:paraId="4D9D9B6A" w14:textId="77777777" w:rsidR="006428BB" w:rsidRPr="00C85476" w:rsidRDefault="00AC7AF9" w:rsidP="00CD610D">
      <w:pPr>
        <w:pStyle w:val="BulletPoints"/>
        <w:keepNext/>
        <w:keepLines/>
        <w:ind w:left="1208" w:hanging="357"/>
      </w:pPr>
      <w:r>
        <w:t>[We do]</w:t>
      </w:r>
      <w:r w:rsidR="006428BB" w:rsidRPr="00C85476">
        <w:t xml:space="preserve"> not agree that landfill levies are the most appropriate mechanisms to establish price signals to discourage the generation of hazardous waste. Rather mandatory or co-regulatory mechanisms under the P</w:t>
      </w:r>
      <w:r w:rsidR="008622D7" w:rsidRPr="00C85476">
        <w:t>roduct Stewardship Act 2011</w:t>
      </w:r>
      <w:r>
        <w:t xml:space="preserve"> </w:t>
      </w:r>
      <w:r w:rsidR="006428BB" w:rsidRPr="00C85476">
        <w:t>should be used to ensure the costs of recovering, recycling and/or disposing of hazardous waste is borne by the manufacturers, importers, or retailers of products that create hazardous wastes</w:t>
      </w:r>
      <w:r w:rsidR="008622D7" w:rsidRPr="00C85476">
        <w:t xml:space="preserve"> (</w:t>
      </w:r>
      <w:r w:rsidR="00D56453">
        <w:t>Confidential response</w:t>
      </w:r>
      <w:r w:rsidR="008622D7" w:rsidRPr="00C85476">
        <w:t>).</w:t>
      </w:r>
      <w:r>
        <w:t xml:space="preserve"> [</w:t>
      </w:r>
      <w:r>
        <w:rPr>
          <w:i/>
        </w:rPr>
        <w:t>N</w:t>
      </w:r>
      <w:r w:rsidRPr="00AC7AF9">
        <w:rPr>
          <w:i/>
        </w:rPr>
        <w:t>ote that many hazardous wastes may not be 'products' under the Product Stewardship Act</w:t>
      </w:r>
      <w:r>
        <w:t>].</w:t>
      </w:r>
    </w:p>
    <w:p w14:paraId="32600E58" w14:textId="77777777" w:rsidR="006428BB" w:rsidRPr="00C85476" w:rsidRDefault="008622D7" w:rsidP="008622D7">
      <w:pPr>
        <w:pStyle w:val="BulletPoints"/>
        <w:spacing w:after="240"/>
        <w:ind w:left="1208" w:hanging="357"/>
      </w:pPr>
      <w:r w:rsidRPr="00C85476">
        <w:t>D</w:t>
      </w:r>
      <w:r w:rsidR="006428BB" w:rsidRPr="00C85476">
        <w:t>on't think the C</w:t>
      </w:r>
      <w:r w:rsidRPr="00C85476">
        <w:t>ommonwealth</w:t>
      </w:r>
      <w:r w:rsidR="006428BB" w:rsidRPr="00C85476">
        <w:t xml:space="preserve"> should be telling states about the levies they should </w:t>
      </w:r>
      <w:r w:rsidRPr="00C85476">
        <w:t>be applying in their own state…</w:t>
      </w:r>
      <w:r w:rsidR="006428BB" w:rsidRPr="00C85476">
        <w:t>There is always a risk that there is additional costs imposed on state and local government by commonwealth reforms</w:t>
      </w:r>
      <w:r w:rsidRPr="00C85476">
        <w:t xml:space="preserve"> (QLD DEHP).</w:t>
      </w:r>
    </w:p>
    <w:p w14:paraId="2A1321D5" w14:textId="1A38E8E5" w:rsidR="006428BB" w:rsidRPr="00C85476" w:rsidRDefault="00D83859" w:rsidP="006428BB">
      <w:r>
        <w:t xml:space="preserve">Two </w:t>
      </w:r>
      <w:r w:rsidR="00D56453">
        <w:t>respon</w:t>
      </w:r>
      <w:r w:rsidR="00C20398">
        <w:t>dent</w:t>
      </w:r>
      <w:r>
        <w:t>s</w:t>
      </w:r>
      <w:r w:rsidR="006428BB" w:rsidRPr="00C85476">
        <w:t xml:space="preserve"> </w:t>
      </w:r>
      <w:r>
        <w:t>provided the following observations</w:t>
      </w:r>
      <w:r w:rsidR="006428BB" w:rsidRPr="00C85476">
        <w:t>:</w:t>
      </w:r>
    </w:p>
    <w:p w14:paraId="3B05B661" w14:textId="39DD9451" w:rsidR="006428BB" w:rsidRDefault="006428BB" w:rsidP="00D83859">
      <w:pPr>
        <w:pStyle w:val="BulletPoints"/>
        <w:ind w:left="1208" w:hanging="357"/>
      </w:pPr>
      <w:r w:rsidRPr="00C85476">
        <w:t>This option is worth investigating further but won’t work unless option m) is addressed first. When it comes to levies, the gaps is so great between states (e.g. VIC and QLD) that it is difficult to see it as a viable option. It is important to note that levies are unlikely to be the major cost for hazardous waste landfill disposal. If there is only one landfill accepting a material type then monopolistic pricing can occur</w:t>
      </w:r>
      <w:r w:rsidR="00D83859">
        <w:t xml:space="preserve"> (Confidential response)</w:t>
      </w:r>
      <w:r w:rsidR="00C20398">
        <w:t>.</w:t>
      </w:r>
    </w:p>
    <w:p w14:paraId="3B760654" w14:textId="144B670C" w:rsidR="00D83859" w:rsidRPr="00C85476" w:rsidRDefault="00D83859" w:rsidP="00D83859">
      <w:pPr>
        <w:pStyle w:val="BulletPoints"/>
      </w:pPr>
      <w:r>
        <w:t>[Our jurisdiction] has</w:t>
      </w:r>
      <w:r w:rsidRPr="00D83859">
        <w:t xml:space="preserve"> introduced the proximity principle</w:t>
      </w:r>
      <w:r>
        <w:t>…</w:t>
      </w:r>
      <w:r w:rsidRPr="00D83859">
        <w:t>to encourage local dispos</w:t>
      </w:r>
      <w:r>
        <w:t xml:space="preserve">al of waste where practicable. </w:t>
      </w:r>
      <w:r w:rsidRPr="00D83859">
        <w:t xml:space="preserve">For many hazardous waste streams, however, there are relatively few treatment options available in Australia so distance restrictions </w:t>
      </w:r>
      <w:r>
        <w:t>may have limited applicability.</w:t>
      </w:r>
      <w:r w:rsidRPr="00D83859">
        <w:t xml:space="preserve"> In line with the Basel Convention, </w:t>
      </w:r>
      <w:r>
        <w:t>[our organisation]</w:t>
      </w:r>
      <w:r w:rsidRPr="00D83859">
        <w:t xml:space="preserve"> supports local treatment of hazardous waste in Australia where practicable and cautions against granting permits for export based on price where local treatment capacity exists</w:t>
      </w:r>
      <w:r>
        <w:t xml:space="preserve"> (Confidential response)</w:t>
      </w:r>
      <w:r w:rsidRPr="00D83859">
        <w:t>.</w:t>
      </w:r>
    </w:p>
    <w:p w14:paraId="65328472" w14:textId="77777777" w:rsidR="006C40C9" w:rsidRPr="00C85476" w:rsidRDefault="006C40C9" w:rsidP="00551F05">
      <w:pPr>
        <w:pStyle w:val="Heading4"/>
      </w:pPr>
      <w:r w:rsidRPr="00C85476">
        <w:t>Barriers and implementation timeframe</w:t>
      </w:r>
    </w:p>
    <w:p w14:paraId="5E10081E" w14:textId="77777777" w:rsidR="00B42414" w:rsidRPr="00C85476" w:rsidRDefault="00B42414" w:rsidP="00B42414">
      <w:r w:rsidRPr="00C85476">
        <w:t>The most significant potential barrier is the challenge of addressing the concerns and gaining sufficient support from the jurisdictions.</w:t>
      </w:r>
    </w:p>
    <w:p w14:paraId="5595603F" w14:textId="77777777" w:rsidR="008E2A60" w:rsidRPr="00C85476" w:rsidRDefault="008E2A60" w:rsidP="008E2A60">
      <w:r>
        <w:t>One stakeholder confidentially</w:t>
      </w:r>
      <w:r w:rsidRPr="00C85476">
        <w:t xml:space="preserve"> estimated the implementation timeframe for harmoni</w:t>
      </w:r>
      <w:r>
        <w:t>sation reform options will be 5–</w:t>
      </w:r>
      <w:r w:rsidRPr="00C85476">
        <w:t>10 years.</w:t>
      </w:r>
    </w:p>
    <w:p w14:paraId="2CE77A1E" w14:textId="77777777" w:rsidR="005D7C22" w:rsidRPr="00C85476" w:rsidRDefault="005D7C22" w:rsidP="00551F05">
      <w:pPr>
        <w:pStyle w:val="Heading4"/>
      </w:pPr>
      <w:r w:rsidRPr="00C85476">
        <w:t>Recommendation</w:t>
      </w:r>
    </w:p>
    <w:p w14:paraId="474497A1" w14:textId="77777777" w:rsidR="00714EF7" w:rsidRDefault="00714EF7" w:rsidP="00714EF7">
      <w:r>
        <w:t>This is a quasi</w:t>
      </w:r>
      <w:r w:rsidRPr="00A878EE">
        <w:t>-regulatory reform</w:t>
      </w:r>
      <w:r>
        <w:t xml:space="preserve"> option</w:t>
      </w:r>
      <w:r w:rsidRPr="00A878EE">
        <w:t xml:space="preserve">, and for this reason is it not recommended for assessment in the cost-benefit analysis. </w:t>
      </w:r>
      <w:r w:rsidRPr="00C85476">
        <w:t xml:space="preserve">It is recommended that </w:t>
      </w:r>
      <w:r>
        <w:t xml:space="preserve">it be </w:t>
      </w:r>
      <w:r w:rsidRPr="00C85476">
        <w:t>pursued as a non-regulatory reform</w:t>
      </w:r>
      <w:r>
        <w:t>.</w:t>
      </w:r>
    </w:p>
    <w:p w14:paraId="2D79E750" w14:textId="77777777" w:rsidR="00E358EA" w:rsidRPr="00C85476" w:rsidRDefault="00451197" w:rsidP="00B8329E">
      <w:pPr>
        <w:pStyle w:val="Heading2"/>
      </w:pPr>
      <w:bookmarkStart w:id="79" w:name="_Toc426022053"/>
      <w:r>
        <w:lastRenderedPageBreak/>
        <w:t xml:space="preserve">Option </w:t>
      </w:r>
      <w:r w:rsidR="00F84AD5" w:rsidRPr="00C85476">
        <w:t xml:space="preserve">p) </w:t>
      </w:r>
      <w:r w:rsidR="00E358EA" w:rsidRPr="00C85476">
        <w:t>Nationally consistent approach to landfill bans or conditional disposal</w:t>
      </w:r>
      <w:bookmarkEnd w:id="79"/>
    </w:p>
    <w:p w14:paraId="38ABAA26" w14:textId="77777777" w:rsidR="007643FC" w:rsidRDefault="005D7C22" w:rsidP="00551F05">
      <w:pPr>
        <w:pStyle w:val="Heading4"/>
      </w:pPr>
      <w:r w:rsidRPr="00C85476">
        <w:t>Reform option description</w:t>
      </w:r>
    </w:p>
    <w:p w14:paraId="2CAB5596" w14:textId="77777777" w:rsidR="007643FC" w:rsidRPr="00705AAE" w:rsidRDefault="007643FC" w:rsidP="00CD610D">
      <w:pPr>
        <w:keepNext/>
        <w:keepLines/>
        <w:rPr>
          <w:i/>
        </w:rPr>
      </w:pPr>
      <w:r w:rsidRPr="00705AAE">
        <w:rPr>
          <w:i/>
        </w:rPr>
        <w:t>A nationally-consistent approach to landfill bans or conditional disposal restrictions for metropolitan areas, to support product stewardship. For example, in relation to e waste or tyres.</w:t>
      </w:r>
    </w:p>
    <w:p w14:paraId="43FF36E8" w14:textId="77777777" w:rsidR="005D7C22" w:rsidRPr="00C85476" w:rsidRDefault="005D7C22" w:rsidP="00551F05">
      <w:pPr>
        <w:pStyle w:val="Heading4"/>
      </w:pPr>
      <w:r w:rsidRPr="00C85476">
        <w:t>Reform option regulatory status</w:t>
      </w:r>
    </w:p>
    <w:p w14:paraId="30EA2CD6" w14:textId="77777777" w:rsidR="00F84AD5" w:rsidRPr="00C85476" w:rsidRDefault="00415D4B" w:rsidP="00F84AD5">
      <w:r w:rsidRPr="00C85476">
        <w:t>This is a quasi-regulatory reform option.</w:t>
      </w:r>
    </w:p>
    <w:p w14:paraId="22C6DD51" w14:textId="77777777" w:rsidR="005D7C22" w:rsidRPr="00C85476" w:rsidRDefault="005D7C22" w:rsidP="00551F05">
      <w:pPr>
        <w:pStyle w:val="Heading4"/>
      </w:pPr>
      <w:r w:rsidRPr="00C85476">
        <w:t>Reform option purpose</w:t>
      </w:r>
    </w:p>
    <w:p w14:paraId="42254285" w14:textId="77777777" w:rsidR="00F84AD5" w:rsidRPr="00C85476" w:rsidRDefault="00415D4B" w:rsidP="00F84AD5">
      <w:r w:rsidRPr="00C85476">
        <w:t>Harmonisation with other policy areas and creating a seamless national economy.</w:t>
      </w:r>
    </w:p>
    <w:p w14:paraId="2A75B6D8" w14:textId="77777777" w:rsidR="005D7C22" w:rsidRPr="00C85476" w:rsidRDefault="005D7C22" w:rsidP="00551F05">
      <w:pPr>
        <w:pStyle w:val="Heading4"/>
      </w:pPr>
      <w:r w:rsidRPr="00C85476">
        <w:t>Stakeholder feedback</w:t>
      </w:r>
    </w:p>
    <w:p w14:paraId="00F43DBC" w14:textId="22E2D3F4" w:rsidR="00B43216" w:rsidRDefault="00B43216" w:rsidP="00DE45C6">
      <w:r>
        <w:t xml:space="preserve">Ten </w:t>
      </w:r>
      <w:r w:rsidRPr="00B43216">
        <w:t>respondents indicated sup</w:t>
      </w:r>
      <w:r>
        <w:t>p</w:t>
      </w:r>
      <w:r w:rsidR="00D56453">
        <w:t>ort for this reform option, five</w:t>
      </w:r>
      <w:r w:rsidR="00167D78">
        <w:t xml:space="preserve"> indicated opposition, and two were</w:t>
      </w:r>
      <w:r w:rsidRPr="00B43216">
        <w:t xml:space="preserve"> neutral.</w:t>
      </w:r>
    </w:p>
    <w:p w14:paraId="34F110CA" w14:textId="77777777" w:rsidR="00DE45C6" w:rsidRPr="00C85476" w:rsidRDefault="00DE45C6" w:rsidP="00DE45C6">
      <w:r w:rsidRPr="00C85476">
        <w:t>Comments in support of this reform option included:</w:t>
      </w:r>
    </w:p>
    <w:p w14:paraId="1F1DF7C4" w14:textId="77777777" w:rsidR="00F84AD5" w:rsidRPr="00C85476" w:rsidRDefault="00F84AD5" w:rsidP="00E203C8">
      <w:pPr>
        <w:pStyle w:val="BulletPoints"/>
      </w:pPr>
      <w:r w:rsidRPr="00C85476">
        <w:t>Support this reform but there needs to be appropriate cost effective al</w:t>
      </w:r>
      <w:r w:rsidR="00E203C8" w:rsidRPr="00C85476">
        <w:t>ternatives for re-use/recycling (Australian Vinyls Corporation).</w:t>
      </w:r>
    </w:p>
    <w:p w14:paraId="5BB6EC23" w14:textId="77777777" w:rsidR="00F84AD5" w:rsidRPr="00C85476" w:rsidRDefault="00E203C8" w:rsidP="00F84AD5">
      <w:pPr>
        <w:pStyle w:val="BulletPoints"/>
      </w:pPr>
      <w:r w:rsidRPr="00C85476">
        <w:t>Landfill bans on e</w:t>
      </w:r>
      <w:r w:rsidR="00F84AD5" w:rsidRPr="00C85476">
        <w:t xml:space="preserve">-waste and tyres are appropriate and were enacted by </w:t>
      </w:r>
      <w:r w:rsidR="0038545B">
        <w:t>our jurisdiction</w:t>
      </w:r>
      <w:r w:rsidR="00F84AD5" w:rsidRPr="00C85476">
        <w:t xml:space="preserve"> before product stewardship schemes were introduced by the Commonwealth for the </w:t>
      </w:r>
      <w:r w:rsidRPr="00C85476">
        <w:t>aforementioned product classes</w:t>
      </w:r>
      <w:r w:rsidR="005812C7" w:rsidRPr="00C85476">
        <w:t>…</w:t>
      </w:r>
      <w:r w:rsidR="00F84AD5" w:rsidRPr="00C85476">
        <w:t>However, such bans can result in increased illegal dumping. What is required is stronger product stewardship schemes</w:t>
      </w:r>
      <w:r w:rsidR="005812C7" w:rsidRPr="00C85476">
        <w:t>…</w:t>
      </w:r>
      <w:r w:rsidR="0038545B">
        <w:t>Our jurisdiction</w:t>
      </w:r>
      <w:r w:rsidR="00F84AD5" w:rsidRPr="00C85476">
        <w:t xml:space="preserve"> views stronger product stewardship schemes as more relevant than </w:t>
      </w:r>
      <w:r w:rsidR="00724DDC" w:rsidRPr="00C85476">
        <w:t>federally</w:t>
      </w:r>
      <w:r w:rsidR="00F84AD5" w:rsidRPr="00C85476">
        <w:t xml:space="preserve"> imposed landfill bans.</w:t>
      </w:r>
      <w:r w:rsidR="00D15B48" w:rsidRPr="00C85476">
        <w:t xml:space="preserve"> </w:t>
      </w:r>
      <w:r w:rsidR="00F84AD5" w:rsidRPr="00C85476">
        <w:t xml:space="preserve">Once, strong product stewardship schemes are established, landfill bans along with targeted education campaigns can be a </w:t>
      </w:r>
      <w:r w:rsidR="005812C7" w:rsidRPr="00C85476">
        <w:t>useful complementary mechanism (</w:t>
      </w:r>
      <w:r w:rsidR="00D56453">
        <w:t>Confidential response</w:t>
      </w:r>
      <w:r w:rsidR="005812C7" w:rsidRPr="00C85476">
        <w:t>).</w:t>
      </w:r>
    </w:p>
    <w:p w14:paraId="138DD951" w14:textId="77777777" w:rsidR="005812C7" w:rsidRPr="00C85476" w:rsidRDefault="005812C7" w:rsidP="005812C7">
      <w:pPr>
        <w:pStyle w:val="BulletPoints"/>
      </w:pPr>
      <w:r w:rsidRPr="00C85476">
        <w:t xml:space="preserve">Need to also support thresholds [for conditional disposal]. </w:t>
      </w:r>
      <w:r w:rsidR="00F84AD5" w:rsidRPr="00C85476">
        <w:t>Class 1-5 landfills is the only place wh</w:t>
      </w:r>
      <w:r w:rsidRPr="00C85476">
        <w:t>ere WA specifies concentrations (WA DER).</w:t>
      </w:r>
    </w:p>
    <w:p w14:paraId="43D6A515" w14:textId="77777777" w:rsidR="00F84AD5" w:rsidRPr="00C85476" w:rsidRDefault="00F84AD5" w:rsidP="005812C7">
      <w:pPr>
        <w:pStyle w:val="BulletPoints"/>
      </w:pPr>
      <w:r w:rsidRPr="00C85476">
        <w:t>National consistency is always prefer</w:t>
      </w:r>
      <w:r w:rsidR="005812C7" w:rsidRPr="00C85476">
        <w:t>r</w:t>
      </w:r>
      <w:r w:rsidRPr="00C85476">
        <w:t>ed. Landfill bans are a useful policy tool to support product stewardship, particularly for toxic wastes that must be removed from landfill. We would need to consult further with members but we are likely to support bans on disposal of used lead acid , nickel cadmium and mercury-containing batteries to landfill with appropriate phase-in periods</w:t>
      </w:r>
      <w:r w:rsidR="005812C7" w:rsidRPr="00C85476">
        <w:t xml:space="preserve"> (ABRI)</w:t>
      </w:r>
      <w:r w:rsidRPr="00C85476">
        <w:t>.</w:t>
      </w:r>
      <w:r w:rsidR="005812C7" w:rsidRPr="00C85476">
        <w:t xml:space="preserve"> </w:t>
      </w:r>
    </w:p>
    <w:p w14:paraId="1C87FA5C" w14:textId="77777777" w:rsidR="005812C7" w:rsidRPr="00C85476" w:rsidRDefault="0038545B" w:rsidP="005812C7">
      <w:pPr>
        <w:pStyle w:val="BulletPoints"/>
      </w:pPr>
      <w:r>
        <w:t>We support</w:t>
      </w:r>
      <w:r w:rsidR="00F84AD5" w:rsidRPr="00C85476">
        <w:t xml:space="preserve"> a nationally consistent approach to landfill bans or conditional disposal restrictions for metropolitan areas to support product stewardship</w:t>
      </w:r>
      <w:r w:rsidR="005812C7" w:rsidRPr="00C85476">
        <w:t xml:space="preserve"> (</w:t>
      </w:r>
      <w:r w:rsidR="00D4107A">
        <w:t>Confidential response</w:t>
      </w:r>
      <w:r w:rsidR="005812C7" w:rsidRPr="00C85476">
        <w:t>)</w:t>
      </w:r>
      <w:r w:rsidR="00F84AD5" w:rsidRPr="00C85476">
        <w:t>.</w:t>
      </w:r>
    </w:p>
    <w:p w14:paraId="279C6C32" w14:textId="77777777" w:rsidR="005812C7" w:rsidRPr="00C85476" w:rsidRDefault="00F84AD5" w:rsidP="005812C7">
      <w:pPr>
        <w:pStyle w:val="BulletPoints"/>
      </w:pPr>
      <w:r w:rsidRPr="00C85476">
        <w:t>The current haphazard system of some local government banning certain materials ultimately ends up resulting in pe</w:t>
      </w:r>
      <w:r w:rsidR="005812C7" w:rsidRPr="00C85476">
        <w:t>rverse outcomes (WMAA Queensland Branch).</w:t>
      </w:r>
    </w:p>
    <w:p w14:paraId="36EF8CA9" w14:textId="77777777" w:rsidR="00F84AD5" w:rsidRPr="00C85476" w:rsidRDefault="00F84AD5" w:rsidP="005812C7">
      <w:pPr>
        <w:pStyle w:val="BulletPoints"/>
      </w:pPr>
      <w:r w:rsidRPr="00C85476">
        <w:t>Product stewardship is the only way that the majority of used dry cell batteries will be recovered for recycling.</w:t>
      </w:r>
      <w:r w:rsidR="00D15B48" w:rsidRPr="00C85476">
        <w:t xml:space="preserve"> </w:t>
      </w:r>
      <w:r w:rsidRPr="00C85476">
        <w:t>Currently less than 3% recovered</w:t>
      </w:r>
      <w:r w:rsidR="005812C7" w:rsidRPr="00C85476">
        <w:t xml:space="preserve"> (Dodd &amp; Dodd Group).</w:t>
      </w:r>
    </w:p>
    <w:p w14:paraId="1EF408B6" w14:textId="77777777" w:rsidR="00F84AD5" w:rsidRPr="00C85476" w:rsidRDefault="00F84AD5" w:rsidP="005812C7">
      <w:pPr>
        <w:pStyle w:val="BulletPoints"/>
      </w:pPr>
      <w:r w:rsidRPr="00C85476">
        <w:lastRenderedPageBreak/>
        <w:t>We strongly support the implementation of nationally consistent approach to disposal restrictions on hazardous wastes such as waste oil to support existing product stewardship arrangements</w:t>
      </w:r>
      <w:r w:rsidR="005812C7" w:rsidRPr="00C85476">
        <w:t xml:space="preserve"> (</w:t>
      </w:r>
      <w:r w:rsidR="00D05D93">
        <w:t>Confidential response</w:t>
      </w:r>
      <w:r w:rsidR="005812C7" w:rsidRPr="00C85476">
        <w:t>)</w:t>
      </w:r>
      <w:r w:rsidRPr="00C85476">
        <w:t>.</w:t>
      </w:r>
    </w:p>
    <w:p w14:paraId="12FEF561" w14:textId="77777777" w:rsidR="00F84AD5" w:rsidRPr="00C85476" w:rsidRDefault="00F84AD5" w:rsidP="005812C7">
      <w:pPr>
        <w:pStyle w:val="BulletPoints"/>
      </w:pPr>
      <w:r w:rsidRPr="00C85476">
        <w:t>We strongly support the establishment of an approach to disposal restrictions on hazardous wastes such as waste oil to support existing product stewardship arrangements that is nationally consistent</w:t>
      </w:r>
      <w:r w:rsidR="005812C7" w:rsidRPr="00C85476">
        <w:t xml:space="preserve"> (Southern Oil Refining Pty Ltd)</w:t>
      </w:r>
      <w:r w:rsidRPr="00C85476">
        <w:t>.</w:t>
      </w:r>
    </w:p>
    <w:p w14:paraId="5A1833BF" w14:textId="77777777" w:rsidR="00F84AD5" w:rsidRPr="00C85476" w:rsidRDefault="007F4C6C" w:rsidP="007F4C6C">
      <w:pPr>
        <w:pStyle w:val="BulletPoints"/>
        <w:spacing w:after="240"/>
        <w:ind w:left="1208" w:hanging="357"/>
      </w:pPr>
      <w:r w:rsidRPr="00C85476">
        <w:t xml:space="preserve">Veolia </w:t>
      </w:r>
      <w:r w:rsidR="00F84AD5" w:rsidRPr="00C85476">
        <w:t>supports a national consistent approach to the management of hazardous waste where geographical location does not influence the standards that are applied to the management of hazardous waste</w:t>
      </w:r>
      <w:r w:rsidRPr="00C85476">
        <w:t xml:space="preserve"> (Veolia).</w:t>
      </w:r>
    </w:p>
    <w:p w14:paraId="6D86185A" w14:textId="77777777" w:rsidR="00DE45C6" w:rsidRPr="00C85476" w:rsidRDefault="00DE45C6" w:rsidP="00DE45C6">
      <w:r w:rsidRPr="00C85476">
        <w:t>Comments expressing concern or opposition to the reform option included:</w:t>
      </w:r>
    </w:p>
    <w:p w14:paraId="4C611919" w14:textId="77777777" w:rsidR="00E203C8" w:rsidRPr="00C85476" w:rsidRDefault="007F4C6C" w:rsidP="007F4C6C">
      <w:pPr>
        <w:pStyle w:val="BulletPoints"/>
      </w:pPr>
      <w:r w:rsidRPr="00C85476">
        <w:t>Obtaining</w:t>
      </w:r>
      <w:r w:rsidR="00E203C8" w:rsidRPr="00C85476">
        <w:t xml:space="preserve"> consensus across the states will always be difficult, but by not having consensus also, it allows different states to try different models in this area, to see what works. Product stewardship schemes are still a fledgling enterprise internationally, and having variations in approach is not necessarily bad as it is a way of determining (albeit through trial-and error), what the best approach may be in the long-term. My suggestion would be to not strive for consistency today, but strive for information sharing and knowledge capture today, to i</w:t>
      </w:r>
      <w:r w:rsidRPr="00C85476">
        <w:t>nform the decisions of tomorrow (</w:t>
      </w:r>
      <w:r w:rsidR="00D56453">
        <w:t>Confidential response</w:t>
      </w:r>
      <w:r w:rsidRPr="00C85476">
        <w:t>).</w:t>
      </w:r>
    </w:p>
    <w:p w14:paraId="440CBD35" w14:textId="77777777" w:rsidR="007F4C6C" w:rsidRPr="00C85476" w:rsidRDefault="005812C7" w:rsidP="007F4C6C">
      <w:pPr>
        <w:pStyle w:val="BulletPoints"/>
      </w:pPr>
      <w:r w:rsidRPr="00C85476">
        <w:t>Bans may work in some states but not other</w:t>
      </w:r>
      <w:r w:rsidR="007F4C6C" w:rsidRPr="00C85476">
        <w:t>s. There is always a risk that there is additional costs imposed on state and local government by Commonwealth reforms</w:t>
      </w:r>
      <w:r w:rsidRPr="00C85476">
        <w:t xml:space="preserve"> (QLD DEHP)</w:t>
      </w:r>
      <w:r w:rsidR="007F4C6C" w:rsidRPr="00C85476">
        <w:t>.</w:t>
      </w:r>
    </w:p>
    <w:p w14:paraId="37C36E06" w14:textId="77777777" w:rsidR="005812C7" w:rsidRPr="00C85476" w:rsidRDefault="007F4C6C" w:rsidP="007F4C6C">
      <w:pPr>
        <w:pStyle w:val="BulletPoints"/>
        <w:spacing w:after="240"/>
        <w:ind w:left="1208" w:hanging="357"/>
      </w:pPr>
      <w:r w:rsidRPr="00C85476">
        <w:t>(We) s</w:t>
      </w:r>
      <w:r w:rsidR="005812C7" w:rsidRPr="00C85476">
        <w:t>trongly oppose banning items from landfill</w:t>
      </w:r>
      <w:r w:rsidRPr="00C85476">
        <w:t>, [this] could go bad if there aren't other disposal options – end up with stockpiles</w:t>
      </w:r>
      <w:r w:rsidR="005812C7" w:rsidRPr="00C85476">
        <w:t xml:space="preserve"> </w:t>
      </w:r>
      <w:r w:rsidRPr="00C85476">
        <w:t>(</w:t>
      </w:r>
      <w:r w:rsidR="0038545B">
        <w:t>Confidential response</w:t>
      </w:r>
      <w:r w:rsidRPr="00C85476">
        <w:t>).</w:t>
      </w:r>
    </w:p>
    <w:p w14:paraId="60F083EB" w14:textId="0601C2E3" w:rsidR="00CD610D" w:rsidRPr="00C85476" w:rsidRDefault="00CD610D" w:rsidP="00CD610D">
      <w:pPr>
        <w:spacing w:after="120" w:line="240" w:lineRule="auto"/>
      </w:pPr>
      <w:r>
        <w:t>Two stakeholders were neutral</w:t>
      </w:r>
      <w:r w:rsidRPr="00C85476">
        <w:t xml:space="preserve"> </w:t>
      </w:r>
      <w:r>
        <w:t>with respect to</w:t>
      </w:r>
      <w:r w:rsidRPr="00C85476">
        <w:t xml:space="preserve"> this reform option, </w:t>
      </w:r>
      <w:r>
        <w:t>and</w:t>
      </w:r>
      <w:r w:rsidRPr="00C85476">
        <w:t xml:space="preserve"> observed that:</w:t>
      </w:r>
    </w:p>
    <w:p w14:paraId="1CA0EA94" w14:textId="77777777" w:rsidR="005812C7" w:rsidRDefault="005812C7" w:rsidP="00167D78">
      <w:pPr>
        <w:pStyle w:val="BulletPoints"/>
        <w:ind w:left="1208" w:hanging="357"/>
      </w:pPr>
      <w:r w:rsidRPr="00C85476">
        <w:t>This option is worth investigating further but won’t work unles</w:t>
      </w:r>
      <w:r w:rsidR="007F4C6C" w:rsidRPr="00C85476">
        <w:t xml:space="preserve">s Option m) is addressed first. </w:t>
      </w:r>
      <w:r w:rsidRPr="00C85476">
        <w:t xml:space="preserve">While the general approach of using landfill bans is fine, the option as stated would be problematic as it would need all states to be aligned, otherwise there would be movement across borders. Even more </w:t>
      </w:r>
      <w:r w:rsidR="007F4C6C" w:rsidRPr="00C85476">
        <w:t>problematic would be avoiding hazardous waste</w:t>
      </w:r>
      <w:r w:rsidRPr="00C85476">
        <w:t xml:space="preserve"> movements from metro to non-metro areas. For example, up until a few years back, used tyres were being transported in significant quantities into Victoria from NSW and SA</w:t>
      </w:r>
      <w:r w:rsidR="007F4C6C" w:rsidRPr="00C85476">
        <w:t xml:space="preserve"> (</w:t>
      </w:r>
      <w:r w:rsidR="00D56453">
        <w:t>Confidential response</w:t>
      </w:r>
      <w:r w:rsidR="007F4C6C" w:rsidRPr="00C85476">
        <w:t>)</w:t>
      </w:r>
      <w:r w:rsidRPr="00C85476">
        <w:t>.</w:t>
      </w:r>
    </w:p>
    <w:p w14:paraId="72E9FDFF" w14:textId="1E1591E4" w:rsidR="00167D78" w:rsidRPr="00C85476" w:rsidRDefault="00167D78" w:rsidP="00167D78">
      <w:pPr>
        <w:pStyle w:val="BulletPoints"/>
        <w:spacing w:after="240"/>
        <w:ind w:left="1208" w:hanging="357"/>
      </w:pPr>
      <w:r>
        <w:t>[Our organisation]</w:t>
      </w:r>
      <w:r w:rsidRPr="00167D78">
        <w:t xml:space="preserve"> already has an extensive program to encourage alternatives to landfill disposal for waste, in </w:t>
      </w:r>
      <w:r>
        <w:t>line with the waste hierarchy…</w:t>
      </w:r>
      <w:r w:rsidRPr="00167D78">
        <w:t>Existing state and territory controls and programs would need to be taken into consideration when investigating any national landf</w:t>
      </w:r>
      <w:r>
        <w:t>ill ban or disposal restriction (Confidential response).</w:t>
      </w:r>
    </w:p>
    <w:p w14:paraId="6453DFA5" w14:textId="77777777" w:rsidR="006C40C9" w:rsidRPr="00C85476" w:rsidRDefault="006C40C9" w:rsidP="00551F05">
      <w:pPr>
        <w:pStyle w:val="Heading4"/>
      </w:pPr>
      <w:r w:rsidRPr="00C85476">
        <w:t>Barriers and implementation timeframe</w:t>
      </w:r>
    </w:p>
    <w:p w14:paraId="00B79968" w14:textId="77777777" w:rsidR="007F4C6C" w:rsidRPr="00C85476" w:rsidRDefault="007F4C6C" w:rsidP="007F4C6C">
      <w:r w:rsidRPr="00C85476">
        <w:t>The most significant potential barrier is the challenge of addressing the concerns and gaining sufficient support from the jurisdictions.</w:t>
      </w:r>
    </w:p>
    <w:p w14:paraId="1E84E3CE" w14:textId="77777777" w:rsidR="006C40C9" w:rsidRPr="00C85476" w:rsidRDefault="006874DF" w:rsidP="00CD610D">
      <w:pPr>
        <w:keepLines/>
      </w:pPr>
      <w:r w:rsidRPr="00C85476">
        <w:lastRenderedPageBreak/>
        <w:t>Three</w:t>
      </w:r>
      <w:r w:rsidR="007F4C6C" w:rsidRPr="00C85476">
        <w:t xml:space="preserve"> stakeholder</w:t>
      </w:r>
      <w:r w:rsidR="006C40C9" w:rsidRPr="00C85476">
        <w:t xml:space="preserve"> proposed phase in periods for the reform option. </w:t>
      </w:r>
      <w:r w:rsidR="0038545B">
        <w:t>One government stakeholder</w:t>
      </w:r>
      <w:r w:rsidR="007F4C6C" w:rsidRPr="00C85476">
        <w:t xml:space="preserve"> proposed </w:t>
      </w:r>
      <w:r w:rsidR="006C40C9" w:rsidRPr="00C85476">
        <w:t xml:space="preserve">advanced warning of </w:t>
      </w:r>
      <w:r w:rsidR="007F4C6C" w:rsidRPr="00C85476">
        <w:t xml:space="preserve">2–3 years ‘to develop appropriate product stewardship mechanism for each product identified’, and an implementation timeframe of 3–6 years. WMAA Queensland Branch </w:t>
      </w:r>
      <w:r w:rsidR="006C40C9" w:rsidRPr="00C85476">
        <w:t>proposed advanced warning of 12</w:t>
      </w:r>
      <w:r w:rsidR="0058341F" w:rsidRPr="00C85476">
        <w:t>–24 months.</w:t>
      </w:r>
      <w:r w:rsidRPr="00C85476">
        <w:t xml:space="preserve"> </w:t>
      </w:r>
      <w:r w:rsidR="00F16C0B">
        <w:t>Another stakeholder</w:t>
      </w:r>
      <w:r w:rsidRPr="00C85476">
        <w:t xml:space="preserve"> estimated the implementation timeframe for harmonisation reform options will be 5-10 years.</w:t>
      </w:r>
    </w:p>
    <w:p w14:paraId="6B241214" w14:textId="77777777" w:rsidR="005D7C22" w:rsidRPr="00C85476" w:rsidRDefault="005D7C22" w:rsidP="00551F05">
      <w:pPr>
        <w:pStyle w:val="Heading4"/>
      </w:pPr>
      <w:r w:rsidRPr="00C85476">
        <w:t>Recommendation</w:t>
      </w:r>
    </w:p>
    <w:p w14:paraId="61D6701A" w14:textId="77777777" w:rsidR="00714EF7" w:rsidRDefault="00714EF7" w:rsidP="00714EF7">
      <w:r>
        <w:t>This is a quasi</w:t>
      </w:r>
      <w:r w:rsidRPr="00A878EE">
        <w:t>-regulatory reform</w:t>
      </w:r>
      <w:r>
        <w:t xml:space="preserve"> option</w:t>
      </w:r>
      <w:r w:rsidRPr="00A878EE">
        <w:t xml:space="preserve">, and for this reason is it not recommended for assessment in the cost-benefit analysis. </w:t>
      </w:r>
      <w:r w:rsidRPr="00C85476">
        <w:t xml:space="preserve">It is recommended that </w:t>
      </w:r>
      <w:r>
        <w:t xml:space="preserve">it be </w:t>
      </w:r>
      <w:r w:rsidRPr="00C85476">
        <w:t>pursued as a non-regulatory reform</w:t>
      </w:r>
      <w:r>
        <w:t>.</w:t>
      </w:r>
    </w:p>
    <w:p w14:paraId="7A978E27" w14:textId="77777777" w:rsidR="00B930D8" w:rsidRPr="00C85476" w:rsidRDefault="00B930D8" w:rsidP="00B930D8"/>
    <w:p w14:paraId="23355FE9" w14:textId="77777777" w:rsidR="005E5C79" w:rsidRPr="00C85476" w:rsidRDefault="005E5C79">
      <w:pPr>
        <w:spacing w:after="0" w:line="240" w:lineRule="auto"/>
        <w:sectPr w:rsidR="005E5C79" w:rsidRPr="00C85476" w:rsidSect="00651659">
          <w:headerReference w:type="even" r:id="rId25"/>
          <w:headerReference w:type="default" r:id="rId26"/>
          <w:headerReference w:type="first" r:id="rId27"/>
          <w:pgSz w:w="11907" w:h="16840" w:code="9"/>
          <w:pgMar w:top="1701" w:right="1418" w:bottom="1418" w:left="1418" w:header="567" w:footer="284" w:gutter="0"/>
          <w:pgNumType w:start="1"/>
          <w:cols w:space="708"/>
          <w:docGrid w:linePitch="360"/>
        </w:sectPr>
      </w:pPr>
    </w:p>
    <w:p w14:paraId="51AD3D4B" w14:textId="77777777" w:rsidR="00B930D8" w:rsidRPr="00C85476" w:rsidRDefault="00B930D8" w:rsidP="00B930D8">
      <w:pPr>
        <w:pStyle w:val="Heading1"/>
        <w:rPr>
          <w:lang w:val="en-AU"/>
        </w:rPr>
      </w:pPr>
      <w:bookmarkStart w:id="80" w:name="_Ref423294596"/>
      <w:bookmarkStart w:id="81" w:name="_Toc426022054"/>
      <w:r w:rsidRPr="00C85476">
        <w:rPr>
          <w:lang w:val="en-AU"/>
        </w:rPr>
        <w:lastRenderedPageBreak/>
        <w:t xml:space="preserve">EVALUATION OF </w:t>
      </w:r>
      <w:r w:rsidR="00415D4B" w:rsidRPr="00C85476">
        <w:rPr>
          <w:lang w:val="en-AU"/>
        </w:rPr>
        <w:t>OPTIONS</w:t>
      </w:r>
      <w:bookmarkEnd w:id="80"/>
      <w:bookmarkEnd w:id="81"/>
    </w:p>
    <w:p w14:paraId="7E15434E" w14:textId="3E7A60A4" w:rsidR="008E477E" w:rsidRPr="00C85476" w:rsidRDefault="008E477E" w:rsidP="008E477E">
      <w:r w:rsidRPr="00C85476">
        <w:t xml:space="preserve">Provided in </w:t>
      </w:r>
      <w:r w:rsidR="00175ECB">
        <w:fldChar w:fldCharType="begin"/>
      </w:r>
      <w:r w:rsidR="00175ECB">
        <w:instrText xml:space="preserve"> REF _Ref423292762 \h  \* MERGEFORMAT </w:instrText>
      </w:r>
      <w:r w:rsidR="00175ECB">
        <w:fldChar w:fldCharType="separate"/>
      </w:r>
      <w:r w:rsidR="00C40366" w:rsidRPr="00C40366">
        <w:t>Table 5</w:t>
      </w:r>
      <w:r w:rsidR="00175ECB">
        <w:fldChar w:fldCharType="end"/>
      </w:r>
      <w:r w:rsidRPr="00C85476">
        <w:t xml:space="preserve"> is a summary of the consultation outcomes documented in Section </w:t>
      </w:r>
      <w:r w:rsidR="007B2B2A" w:rsidRPr="00C85476">
        <w:fldChar w:fldCharType="begin"/>
      </w:r>
      <w:r w:rsidRPr="00C85476">
        <w:instrText xml:space="preserve"> REF _Ref423292850 \r \h </w:instrText>
      </w:r>
      <w:r w:rsidR="007B2B2A" w:rsidRPr="00C85476">
        <w:fldChar w:fldCharType="separate"/>
      </w:r>
      <w:r w:rsidR="00C40366">
        <w:t>4</w:t>
      </w:r>
      <w:r w:rsidR="007B2B2A" w:rsidRPr="00C85476">
        <w:fldChar w:fldCharType="end"/>
      </w:r>
      <w:r w:rsidRPr="00C85476">
        <w:t xml:space="preserve">. The consultation outcomes are qualitatively assessed against the assessment criteria framework introduced in Section </w:t>
      </w:r>
      <w:r w:rsidR="007B2B2A" w:rsidRPr="00C85476">
        <w:fldChar w:fldCharType="begin"/>
      </w:r>
      <w:r w:rsidRPr="00C85476">
        <w:instrText xml:space="preserve"> REF _Ref423292924 \r \h </w:instrText>
      </w:r>
      <w:r w:rsidR="007B2B2A" w:rsidRPr="00C85476">
        <w:fldChar w:fldCharType="separate"/>
      </w:r>
      <w:r w:rsidR="00C40366">
        <w:t>3.2</w:t>
      </w:r>
      <w:r w:rsidR="007B2B2A" w:rsidRPr="00C85476">
        <w:fldChar w:fldCharType="end"/>
      </w:r>
      <w:r w:rsidRPr="00C85476">
        <w:t xml:space="preserve"> of this report.</w:t>
      </w:r>
    </w:p>
    <w:p w14:paraId="10C3F81B" w14:textId="77777777" w:rsidR="00DE4B58" w:rsidRPr="00C85476" w:rsidRDefault="00DE4B58" w:rsidP="00DE4B58">
      <w:pPr>
        <w:keepNext/>
        <w:keepLines/>
        <w:spacing w:after="120" w:line="240" w:lineRule="auto"/>
        <w:rPr>
          <w:b/>
        </w:rPr>
      </w:pPr>
      <w:bookmarkStart w:id="82" w:name="_Ref423292762"/>
      <w:r w:rsidRPr="00C85476">
        <w:rPr>
          <w:b/>
        </w:rPr>
        <w:t xml:space="preserve">Table </w:t>
      </w:r>
      <w:r w:rsidR="007B2B2A" w:rsidRPr="00C85476">
        <w:rPr>
          <w:b/>
        </w:rPr>
        <w:fldChar w:fldCharType="begin"/>
      </w:r>
      <w:r w:rsidRPr="00C85476">
        <w:rPr>
          <w:b/>
        </w:rPr>
        <w:instrText xml:space="preserve"> SEQ Table \* ARABIC </w:instrText>
      </w:r>
      <w:r w:rsidR="007B2B2A" w:rsidRPr="00C85476">
        <w:rPr>
          <w:b/>
        </w:rPr>
        <w:fldChar w:fldCharType="separate"/>
      </w:r>
      <w:r w:rsidR="00C40366">
        <w:rPr>
          <w:b/>
          <w:noProof/>
        </w:rPr>
        <w:t>5</w:t>
      </w:r>
      <w:r w:rsidR="007B2B2A" w:rsidRPr="00C85476">
        <w:rPr>
          <w:b/>
        </w:rPr>
        <w:fldChar w:fldCharType="end"/>
      </w:r>
      <w:bookmarkEnd w:id="82"/>
      <w:r w:rsidRPr="00C85476">
        <w:rPr>
          <w:b/>
        </w:rPr>
        <w:t xml:space="preserve"> – Summary evaluation of the reform options</w:t>
      </w:r>
    </w:p>
    <w:tbl>
      <w:tblPr>
        <w:tblW w:w="21556" w:type="dxa"/>
        <w:jc w:val="center"/>
        <w:tblBorders>
          <w:top w:val="single" w:sz="8" w:space="0" w:color="00AD68"/>
          <w:bottom w:val="single" w:sz="8" w:space="0" w:color="00AD68"/>
          <w:insideH w:val="single" w:sz="8" w:space="0" w:color="00AD68"/>
        </w:tblBorders>
        <w:tblLayout w:type="fixed"/>
        <w:tblLook w:val="04A0" w:firstRow="1" w:lastRow="0" w:firstColumn="1" w:lastColumn="0" w:noHBand="0" w:noVBand="1"/>
      </w:tblPr>
      <w:tblGrid>
        <w:gridCol w:w="2410"/>
        <w:gridCol w:w="1559"/>
        <w:gridCol w:w="2420"/>
        <w:gridCol w:w="3392"/>
        <w:gridCol w:w="1650"/>
        <w:gridCol w:w="1650"/>
        <w:gridCol w:w="1650"/>
        <w:gridCol w:w="1650"/>
        <w:gridCol w:w="1650"/>
        <w:gridCol w:w="3525"/>
      </w:tblGrid>
      <w:tr w:rsidR="00B31BF4" w:rsidRPr="00D10334" w14:paraId="0385FE8E" w14:textId="77777777" w:rsidTr="00B31BF4">
        <w:trPr>
          <w:trHeight w:val="324"/>
          <w:tblHeader/>
          <w:jc w:val="center"/>
        </w:trPr>
        <w:tc>
          <w:tcPr>
            <w:tcW w:w="9781" w:type="dxa"/>
            <w:gridSpan w:val="4"/>
            <w:shd w:val="clear" w:color="auto" w:fill="D9D9D9" w:themeFill="background1" w:themeFillShade="D9"/>
            <w:vAlign w:val="center"/>
            <w:hideMark/>
          </w:tcPr>
          <w:p w14:paraId="4911E585" w14:textId="77777777" w:rsidR="00B31BF4" w:rsidRPr="00F97560" w:rsidRDefault="00B31BF4" w:rsidP="000647FA">
            <w:pPr>
              <w:pStyle w:val="TableHeading"/>
              <w:rPr>
                <w:sz w:val="22"/>
              </w:rPr>
            </w:pPr>
            <w:r w:rsidRPr="00F97560">
              <w:rPr>
                <w:sz w:val="22"/>
              </w:rPr>
              <w:t>Reform option description</w:t>
            </w:r>
          </w:p>
        </w:tc>
        <w:tc>
          <w:tcPr>
            <w:tcW w:w="8250" w:type="dxa"/>
            <w:gridSpan w:val="5"/>
            <w:shd w:val="clear" w:color="auto" w:fill="BFBFBF" w:themeFill="background1" w:themeFillShade="BF"/>
            <w:noWrap/>
            <w:vAlign w:val="center"/>
            <w:hideMark/>
          </w:tcPr>
          <w:p w14:paraId="4E9F049E" w14:textId="77777777" w:rsidR="00B31BF4" w:rsidRPr="00F97560" w:rsidRDefault="00B31BF4" w:rsidP="00B31BF4">
            <w:pPr>
              <w:pStyle w:val="TableHeading"/>
              <w:rPr>
                <w:sz w:val="22"/>
              </w:rPr>
            </w:pPr>
            <w:r w:rsidRPr="00F97560">
              <w:rPr>
                <w:sz w:val="22"/>
              </w:rPr>
              <w:t>Reform option assessment criteria</w:t>
            </w:r>
          </w:p>
        </w:tc>
        <w:tc>
          <w:tcPr>
            <w:tcW w:w="3525" w:type="dxa"/>
            <w:vMerge w:val="restart"/>
            <w:shd w:val="clear" w:color="auto" w:fill="D9D9D9" w:themeFill="background1" w:themeFillShade="D9"/>
            <w:noWrap/>
            <w:vAlign w:val="center"/>
            <w:hideMark/>
          </w:tcPr>
          <w:p w14:paraId="4581116B" w14:textId="77777777" w:rsidR="00B31BF4" w:rsidRPr="00F97560" w:rsidRDefault="00B31BF4" w:rsidP="000647FA">
            <w:pPr>
              <w:pStyle w:val="TableHeading"/>
              <w:rPr>
                <w:sz w:val="22"/>
              </w:rPr>
            </w:pPr>
            <w:r w:rsidRPr="00F97560">
              <w:rPr>
                <w:sz w:val="22"/>
              </w:rPr>
              <w:t>Recommendation for inclusion in</w:t>
            </w:r>
            <w:r w:rsidRPr="00F97560">
              <w:rPr>
                <w:sz w:val="22"/>
              </w:rPr>
              <w:br/>
              <w:t>Cost Benefit Analysis</w:t>
            </w:r>
          </w:p>
        </w:tc>
      </w:tr>
      <w:tr w:rsidR="000647FA" w:rsidRPr="00D10334" w14:paraId="72661CDE" w14:textId="77777777" w:rsidTr="00B31BF4">
        <w:trPr>
          <w:trHeight w:val="828"/>
          <w:tblHeader/>
          <w:jc w:val="center"/>
        </w:trPr>
        <w:tc>
          <w:tcPr>
            <w:tcW w:w="2410" w:type="dxa"/>
            <w:shd w:val="clear" w:color="auto" w:fill="D9D9D9" w:themeFill="background1" w:themeFillShade="D9"/>
            <w:vAlign w:val="center"/>
            <w:hideMark/>
          </w:tcPr>
          <w:p w14:paraId="46834868" w14:textId="77777777" w:rsidR="000647FA" w:rsidRPr="000647FA" w:rsidRDefault="000647FA" w:rsidP="000647FA">
            <w:pPr>
              <w:pStyle w:val="TableHeading"/>
              <w:rPr>
                <w:sz w:val="18"/>
              </w:rPr>
            </w:pPr>
            <w:r w:rsidRPr="000647FA">
              <w:rPr>
                <w:sz w:val="18"/>
              </w:rPr>
              <w:t>Short-form reform option title</w:t>
            </w:r>
          </w:p>
        </w:tc>
        <w:tc>
          <w:tcPr>
            <w:tcW w:w="1559" w:type="dxa"/>
            <w:shd w:val="clear" w:color="auto" w:fill="D9D9D9" w:themeFill="background1" w:themeFillShade="D9"/>
            <w:vAlign w:val="center"/>
            <w:hideMark/>
          </w:tcPr>
          <w:p w14:paraId="357D87D0" w14:textId="77777777" w:rsidR="000647FA" w:rsidRPr="000647FA" w:rsidRDefault="000647FA" w:rsidP="000647FA">
            <w:pPr>
              <w:pStyle w:val="TableHeading"/>
              <w:rPr>
                <w:sz w:val="18"/>
              </w:rPr>
            </w:pPr>
            <w:r w:rsidRPr="000647FA">
              <w:rPr>
                <w:sz w:val="18"/>
              </w:rPr>
              <w:t>Reform option regulatory status</w:t>
            </w:r>
          </w:p>
        </w:tc>
        <w:tc>
          <w:tcPr>
            <w:tcW w:w="2420" w:type="dxa"/>
            <w:shd w:val="clear" w:color="auto" w:fill="D9D9D9" w:themeFill="background1" w:themeFillShade="D9"/>
            <w:vAlign w:val="center"/>
            <w:hideMark/>
          </w:tcPr>
          <w:p w14:paraId="2BCFFBB9" w14:textId="77777777" w:rsidR="000647FA" w:rsidRPr="000647FA" w:rsidRDefault="000647FA" w:rsidP="000647FA">
            <w:pPr>
              <w:pStyle w:val="TableHeading"/>
              <w:rPr>
                <w:sz w:val="18"/>
              </w:rPr>
            </w:pPr>
            <w:r w:rsidRPr="000647FA">
              <w:rPr>
                <w:sz w:val="18"/>
              </w:rPr>
              <w:t>Reform option purpose</w:t>
            </w:r>
          </w:p>
        </w:tc>
        <w:tc>
          <w:tcPr>
            <w:tcW w:w="3392" w:type="dxa"/>
            <w:shd w:val="clear" w:color="auto" w:fill="D9D9D9" w:themeFill="background1" w:themeFillShade="D9"/>
            <w:vAlign w:val="center"/>
          </w:tcPr>
          <w:p w14:paraId="64F8B4C8" w14:textId="77777777" w:rsidR="000647FA" w:rsidRPr="000647FA" w:rsidRDefault="000647FA" w:rsidP="000647FA">
            <w:pPr>
              <w:pStyle w:val="TableHeading"/>
              <w:rPr>
                <w:sz w:val="18"/>
              </w:rPr>
            </w:pPr>
            <w:r w:rsidRPr="000647FA">
              <w:rPr>
                <w:sz w:val="18"/>
              </w:rPr>
              <w:t>Primary international obligation relating to the reform option</w:t>
            </w:r>
          </w:p>
        </w:tc>
        <w:tc>
          <w:tcPr>
            <w:tcW w:w="1650" w:type="dxa"/>
            <w:shd w:val="clear" w:color="auto" w:fill="BFBFBF" w:themeFill="background1" w:themeFillShade="BF"/>
            <w:vAlign w:val="center"/>
            <w:hideMark/>
          </w:tcPr>
          <w:p w14:paraId="343C4EEC" w14:textId="77777777" w:rsidR="000647FA" w:rsidRPr="000647FA" w:rsidRDefault="000647FA" w:rsidP="00B31BF4">
            <w:pPr>
              <w:pStyle w:val="TableHeading"/>
              <w:rPr>
                <w:sz w:val="18"/>
              </w:rPr>
            </w:pPr>
            <w:r w:rsidRPr="000647FA">
              <w:rPr>
                <w:sz w:val="18"/>
              </w:rPr>
              <w:t>Does the option have broad stakeholder support?</w:t>
            </w:r>
          </w:p>
        </w:tc>
        <w:tc>
          <w:tcPr>
            <w:tcW w:w="1650" w:type="dxa"/>
            <w:shd w:val="clear" w:color="auto" w:fill="BFBFBF" w:themeFill="background1" w:themeFillShade="BF"/>
            <w:vAlign w:val="center"/>
            <w:hideMark/>
          </w:tcPr>
          <w:p w14:paraId="08AC8DA7" w14:textId="77777777" w:rsidR="000647FA" w:rsidRPr="000647FA" w:rsidRDefault="000647FA" w:rsidP="00B31BF4">
            <w:pPr>
              <w:pStyle w:val="TableHeading"/>
              <w:rPr>
                <w:sz w:val="18"/>
              </w:rPr>
            </w:pPr>
            <w:r w:rsidRPr="000647FA">
              <w:rPr>
                <w:sz w:val="18"/>
              </w:rPr>
              <w:t>Are there signif. barriers that would prevent adoption?</w:t>
            </w:r>
          </w:p>
        </w:tc>
        <w:tc>
          <w:tcPr>
            <w:tcW w:w="1650" w:type="dxa"/>
            <w:shd w:val="clear" w:color="auto" w:fill="BFBFBF" w:themeFill="background1" w:themeFillShade="BF"/>
            <w:vAlign w:val="center"/>
            <w:hideMark/>
          </w:tcPr>
          <w:p w14:paraId="5EC2F1F1" w14:textId="77777777" w:rsidR="000647FA" w:rsidRPr="000647FA" w:rsidRDefault="000647FA" w:rsidP="00B31BF4">
            <w:pPr>
              <w:pStyle w:val="TableHeading"/>
              <w:rPr>
                <w:sz w:val="18"/>
              </w:rPr>
            </w:pPr>
            <w:r w:rsidRPr="000647FA">
              <w:rPr>
                <w:sz w:val="18"/>
              </w:rPr>
              <w:t>Potential for overall economic benefits</w:t>
            </w:r>
          </w:p>
        </w:tc>
        <w:tc>
          <w:tcPr>
            <w:tcW w:w="1650" w:type="dxa"/>
            <w:shd w:val="clear" w:color="auto" w:fill="BFBFBF" w:themeFill="background1" w:themeFillShade="BF"/>
            <w:vAlign w:val="center"/>
            <w:hideMark/>
          </w:tcPr>
          <w:p w14:paraId="77C8A62E" w14:textId="77777777" w:rsidR="000647FA" w:rsidRPr="000647FA" w:rsidRDefault="000647FA" w:rsidP="00B31BF4">
            <w:pPr>
              <w:pStyle w:val="TableHeading"/>
              <w:rPr>
                <w:sz w:val="18"/>
              </w:rPr>
            </w:pPr>
            <w:r w:rsidRPr="000647FA">
              <w:rPr>
                <w:sz w:val="18"/>
              </w:rPr>
              <w:t>Likely regulatory (financial) impact on industry</w:t>
            </w:r>
          </w:p>
        </w:tc>
        <w:tc>
          <w:tcPr>
            <w:tcW w:w="1650" w:type="dxa"/>
            <w:shd w:val="clear" w:color="auto" w:fill="BFBFBF" w:themeFill="background1" w:themeFillShade="BF"/>
            <w:vAlign w:val="center"/>
            <w:hideMark/>
          </w:tcPr>
          <w:p w14:paraId="679C27AC" w14:textId="77777777" w:rsidR="000647FA" w:rsidRPr="000647FA" w:rsidRDefault="000647FA" w:rsidP="00B31BF4">
            <w:pPr>
              <w:pStyle w:val="TableHeading"/>
              <w:rPr>
                <w:sz w:val="18"/>
              </w:rPr>
            </w:pPr>
            <w:r w:rsidRPr="000647FA">
              <w:rPr>
                <w:sz w:val="18"/>
              </w:rPr>
              <w:t>Implementation timeframe</w:t>
            </w:r>
          </w:p>
        </w:tc>
        <w:tc>
          <w:tcPr>
            <w:tcW w:w="3525" w:type="dxa"/>
            <w:vMerge/>
            <w:shd w:val="clear" w:color="auto" w:fill="D9D9D9" w:themeFill="background1" w:themeFillShade="D9"/>
            <w:vAlign w:val="center"/>
            <w:hideMark/>
          </w:tcPr>
          <w:p w14:paraId="6CAAE027" w14:textId="77777777" w:rsidR="000647FA" w:rsidRPr="000649A5" w:rsidRDefault="000647FA" w:rsidP="000647FA">
            <w:pPr>
              <w:pStyle w:val="TableHeading"/>
              <w:rPr>
                <w:sz w:val="24"/>
              </w:rPr>
            </w:pPr>
          </w:p>
        </w:tc>
      </w:tr>
      <w:tr w:rsidR="000647FA" w:rsidRPr="00C85476" w14:paraId="65F0C07B" w14:textId="77777777" w:rsidTr="00B31BF4">
        <w:trPr>
          <w:trHeight w:val="801"/>
          <w:jc w:val="center"/>
        </w:trPr>
        <w:tc>
          <w:tcPr>
            <w:tcW w:w="2410" w:type="dxa"/>
            <w:shd w:val="clear" w:color="auto" w:fill="auto"/>
            <w:vAlign w:val="center"/>
            <w:hideMark/>
          </w:tcPr>
          <w:p w14:paraId="526E75A5" w14:textId="77777777" w:rsidR="000647FA" w:rsidRPr="00C85476" w:rsidRDefault="000647FA" w:rsidP="000647FA">
            <w:pPr>
              <w:pStyle w:val="TableText"/>
              <w:rPr>
                <w:sz w:val="18"/>
              </w:rPr>
            </w:pPr>
            <w:r w:rsidRPr="00C85476">
              <w:rPr>
                <w:sz w:val="18"/>
              </w:rPr>
              <w:t>a) Power to require provision of information</w:t>
            </w:r>
          </w:p>
        </w:tc>
        <w:tc>
          <w:tcPr>
            <w:tcW w:w="1559" w:type="dxa"/>
            <w:shd w:val="clear" w:color="auto" w:fill="auto"/>
            <w:vAlign w:val="center"/>
            <w:hideMark/>
          </w:tcPr>
          <w:p w14:paraId="72A424AA" w14:textId="77777777" w:rsidR="000647FA" w:rsidRPr="00C85476" w:rsidRDefault="000647FA" w:rsidP="000647FA">
            <w:pPr>
              <w:pStyle w:val="TableText"/>
              <w:rPr>
                <w:sz w:val="18"/>
              </w:rPr>
            </w:pPr>
            <w:r>
              <w:rPr>
                <w:sz w:val="18"/>
              </w:rPr>
              <w:t>L</w:t>
            </w:r>
            <w:r w:rsidRPr="00C85476">
              <w:rPr>
                <w:sz w:val="18"/>
              </w:rPr>
              <w:t>egislated</w:t>
            </w:r>
            <w:r>
              <w:rPr>
                <w:sz w:val="18"/>
              </w:rPr>
              <w:t>.</w:t>
            </w:r>
          </w:p>
        </w:tc>
        <w:tc>
          <w:tcPr>
            <w:tcW w:w="2420" w:type="dxa"/>
            <w:shd w:val="clear" w:color="auto" w:fill="auto"/>
            <w:vAlign w:val="center"/>
            <w:hideMark/>
          </w:tcPr>
          <w:p w14:paraId="1E1F72EA" w14:textId="77777777" w:rsidR="000647FA" w:rsidRPr="00C85476" w:rsidRDefault="000647FA" w:rsidP="000647FA">
            <w:pPr>
              <w:pStyle w:val="TableText"/>
              <w:rPr>
                <w:sz w:val="18"/>
              </w:rPr>
            </w:pPr>
            <w:r w:rsidRPr="00C85476">
              <w:rPr>
                <w:sz w:val="18"/>
              </w:rPr>
              <w:t>Correct an information gap or asymmetry.</w:t>
            </w:r>
          </w:p>
        </w:tc>
        <w:tc>
          <w:tcPr>
            <w:tcW w:w="3392" w:type="dxa"/>
            <w:vAlign w:val="center"/>
          </w:tcPr>
          <w:p w14:paraId="378836E0" w14:textId="77777777" w:rsidR="000647FA" w:rsidRPr="000647FA" w:rsidRDefault="000647FA" w:rsidP="000647FA">
            <w:pPr>
              <w:pStyle w:val="TableText"/>
              <w:rPr>
                <w:sz w:val="18"/>
              </w:rPr>
            </w:pPr>
            <w:r w:rsidRPr="000647FA">
              <w:rPr>
                <w:rFonts w:ascii="Calibri" w:hAnsi="Calibri"/>
                <w:color w:val="000000"/>
                <w:sz w:val="18"/>
                <w:szCs w:val="20"/>
              </w:rPr>
              <w:t>Annual reporting on hazardous waste.</w:t>
            </w:r>
          </w:p>
        </w:tc>
        <w:tc>
          <w:tcPr>
            <w:tcW w:w="1650" w:type="dxa"/>
            <w:shd w:val="clear" w:color="auto" w:fill="auto"/>
            <w:vAlign w:val="center"/>
            <w:hideMark/>
          </w:tcPr>
          <w:p w14:paraId="7FAE0E3B" w14:textId="77777777" w:rsidR="000647FA" w:rsidRPr="00C85476" w:rsidRDefault="000647FA" w:rsidP="00B31BF4">
            <w:pPr>
              <w:pStyle w:val="TableText"/>
              <w:jc w:val="center"/>
              <w:rPr>
                <w:sz w:val="18"/>
              </w:rPr>
            </w:pPr>
            <w:r w:rsidRPr="00C85476">
              <w:rPr>
                <w:sz w:val="18"/>
              </w:rPr>
              <w:t>Yes</w:t>
            </w:r>
          </w:p>
        </w:tc>
        <w:tc>
          <w:tcPr>
            <w:tcW w:w="1650" w:type="dxa"/>
            <w:shd w:val="clear" w:color="auto" w:fill="auto"/>
            <w:noWrap/>
            <w:vAlign w:val="center"/>
            <w:hideMark/>
          </w:tcPr>
          <w:p w14:paraId="5364EBFD"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61BE1ACE"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55173F21" w14:textId="77777777" w:rsidR="000647FA" w:rsidRPr="00C85476" w:rsidRDefault="000647FA" w:rsidP="00B31BF4">
            <w:pPr>
              <w:pStyle w:val="TableText"/>
              <w:jc w:val="center"/>
              <w:rPr>
                <w:sz w:val="18"/>
              </w:rPr>
            </w:pPr>
            <w:r w:rsidRPr="00C85476">
              <w:rPr>
                <w:sz w:val="18"/>
              </w:rPr>
              <w:t>Moderate cost</w:t>
            </w:r>
          </w:p>
        </w:tc>
        <w:tc>
          <w:tcPr>
            <w:tcW w:w="1650" w:type="dxa"/>
            <w:shd w:val="clear" w:color="auto" w:fill="auto"/>
            <w:noWrap/>
            <w:vAlign w:val="center"/>
            <w:hideMark/>
          </w:tcPr>
          <w:p w14:paraId="77DDBD36" w14:textId="77777777" w:rsidR="000647FA" w:rsidRPr="00C85476" w:rsidRDefault="000647FA" w:rsidP="00B31BF4">
            <w:pPr>
              <w:pStyle w:val="TableText"/>
              <w:jc w:val="center"/>
              <w:rPr>
                <w:sz w:val="18"/>
              </w:rPr>
            </w:pPr>
            <w:r w:rsidRPr="00C85476">
              <w:rPr>
                <w:sz w:val="18"/>
              </w:rPr>
              <w:t>1 year</w:t>
            </w:r>
          </w:p>
        </w:tc>
        <w:tc>
          <w:tcPr>
            <w:tcW w:w="3525" w:type="dxa"/>
            <w:shd w:val="clear" w:color="auto" w:fill="92D050"/>
            <w:vAlign w:val="center"/>
            <w:hideMark/>
          </w:tcPr>
          <w:p w14:paraId="10B0B3DC" w14:textId="77777777" w:rsidR="000647FA" w:rsidRPr="00C85476" w:rsidRDefault="000647FA" w:rsidP="000647FA">
            <w:pPr>
              <w:pStyle w:val="TableText"/>
              <w:rPr>
                <w:sz w:val="18"/>
              </w:rPr>
            </w:pPr>
            <w:r>
              <w:rPr>
                <w:sz w:val="18"/>
              </w:rPr>
              <w:t>Assess.</w:t>
            </w:r>
          </w:p>
        </w:tc>
      </w:tr>
      <w:tr w:rsidR="00C56595" w:rsidRPr="00C85476" w14:paraId="355D87B1" w14:textId="77777777" w:rsidTr="00B31BF4">
        <w:trPr>
          <w:trHeight w:val="801"/>
          <w:jc w:val="center"/>
        </w:trPr>
        <w:tc>
          <w:tcPr>
            <w:tcW w:w="2410" w:type="dxa"/>
            <w:shd w:val="clear" w:color="auto" w:fill="auto"/>
            <w:vAlign w:val="center"/>
            <w:hideMark/>
          </w:tcPr>
          <w:p w14:paraId="60152C69" w14:textId="77777777" w:rsidR="00C56595" w:rsidRPr="00C85476" w:rsidRDefault="00C56595" w:rsidP="00C56595">
            <w:pPr>
              <w:pStyle w:val="TableText"/>
              <w:rPr>
                <w:sz w:val="18"/>
              </w:rPr>
            </w:pPr>
            <w:r>
              <w:rPr>
                <w:sz w:val="18"/>
              </w:rPr>
              <w:t>b) Recognise bans imposed by other countries</w:t>
            </w:r>
          </w:p>
        </w:tc>
        <w:tc>
          <w:tcPr>
            <w:tcW w:w="1559" w:type="dxa"/>
            <w:shd w:val="clear" w:color="auto" w:fill="auto"/>
            <w:vAlign w:val="center"/>
            <w:hideMark/>
          </w:tcPr>
          <w:p w14:paraId="2755B068" w14:textId="77777777" w:rsidR="00C56595" w:rsidRPr="00C85476" w:rsidRDefault="00C56595" w:rsidP="00C56595">
            <w:pPr>
              <w:pStyle w:val="TableText"/>
              <w:rPr>
                <w:sz w:val="18"/>
              </w:rPr>
            </w:pPr>
            <w:r>
              <w:rPr>
                <w:sz w:val="18"/>
              </w:rPr>
              <w:t>Legislated</w:t>
            </w:r>
            <w:r w:rsidRPr="0092461C">
              <w:rPr>
                <w:sz w:val="18"/>
              </w:rPr>
              <w:t xml:space="preserve"> or quasi-regulatory</w:t>
            </w:r>
            <w:r>
              <w:rPr>
                <w:sz w:val="18"/>
              </w:rPr>
              <w:t>.</w:t>
            </w:r>
          </w:p>
        </w:tc>
        <w:tc>
          <w:tcPr>
            <w:tcW w:w="2420" w:type="dxa"/>
            <w:shd w:val="clear" w:color="auto" w:fill="auto"/>
            <w:vAlign w:val="center"/>
            <w:hideMark/>
          </w:tcPr>
          <w:p w14:paraId="1D5D4DB7" w14:textId="77777777" w:rsidR="00C56595" w:rsidRPr="00C85476" w:rsidRDefault="00C56595" w:rsidP="00C56595">
            <w:pPr>
              <w:pStyle w:val="TableText"/>
              <w:rPr>
                <w:sz w:val="18"/>
              </w:rPr>
            </w:pPr>
            <w:r w:rsidRPr="00C85476">
              <w:rPr>
                <w:sz w:val="18"/>
              </w:rPr>
              <w:t>Promote the environmentally sound management of hazardous wastes.</w:t>
            </w:r>
          </w:p>
        </w:tc>
        <w:tc>
          <w:tcPr>
            <w:tcW w:w="3392" w:type="dxa"/>
            <w:vAlign w:val="center"/>
          </w:tcPr>
          <w:p w14:paraId="1F7B2758" w14:textId="77777777" w:rsidR="00C56595" w:rsidRPr="000647FA" w:rsidRDefault="00C56595" w:rsidP="00C56595">
            <w:pPr>
              <w:pStyle w:val="TableText"/>
              <w:rPr>
                <w:sz w:val="18"/>
              </w:rPr>
            </w:pPr>
            <w:r w:rsidRPr="000647FA">
              <w:rPr>
                <w:rFonts w:ascii="Calibri" w:hAnsi="Calibri"/>
                <w:color w:val="000000"/>
                <w:sz w:val="18"/>
                <w:szCs w:val="20"/>
              </w:rPr>
              <w:t>A regulatory system applying to cases where transboundary (i.e. international) movements are permissible.</w:t>
            </w:r>
          </w:p>
        </w:tc>
        <w:tc>
          <w:tcPr>
            <w:tcW w:w="1650" w:type="dxa"/>
            <w:shd w:val="clear" w:color="auto" w:fill="auto"/>
            <w:vAlign w:val="center"/>
            <w:hideMark/>
          </w:tcPr>
          <w:p w14:paraId="52A127D8" w14:textId="77777777" w:rsidR="00C56595" w:rsidRPr="00C85476" w:rsidRDefault="00C56595" w:rsidP="00C56595">
            <w:pPr>
              <w:pStyle w:val="TableText"/>
              <w:jc w:val="center"/>
              <w:rPr>
                <w:sz w:val="18"/>
              </w:rPr>
            </w:pPr>
            <w:r w:rsidRPr="00C85476">
              <w:rPr>
                <w:sz w:val="18"/>
              </w:rPr>
              <w:t>Yes</w:t>
            </w:r>
          </w:p>
        </w:tc>
        <w:tc>
          <w:tcPr>
            <w:tcW w:w="1650" w:type="dxa"/>
            <w:shd w:val="clear" w:color="auto" w:fill="auto"/>
            <w:noWrap/>
            <w:vAlign w:val="center"/>
            <w:hideMark/>
          </w:tcPr>
          <w:p w14:paraId="0B82713F" w14:textId="77777777" w:rsidR="00C56595" w:rsidRPr="00C85476" w:rsidRDefault="00C56595" w:rsidP="00C56595">
            <w:pPr>
              <w:pStyle w:val="TableText"/>
              <w:jc w:val="center"/>
              <w:rPr>
                <w:sz w:val="18"/>
              </w:rPr>
            </w:pPr>
            <w:r w:rsidRPr="00C85476">
              <w:rPr>
                <w:sz w:val="18"/>
              </w:rPr>
              <w:t>Perhaps</w:t>
            </w:r>
          </w:p>
        </w:tc>
        <w:tc>
          <w:tcPr>
            <w:tcW w:w="1650" w:type="dxa"/>
            <w:shd w:val="clear" w:color="auto" w:fill="auto"/>
            <w:noWrap/>
            <w:vAlign w:val="center"/>
            <w:hideMark/>
          </w:tcPr>
          <w:p w14:paraId="263F4751" w14:textId="77777777" w:rsidR="00C56595" w:rsidRPr="00C85476" w:rsidRDefault="00C56595" w:rsidP="00C56595">
            <w:pPr>
              <w:pStyle w:val="TableText"/>
              <w:jc w:val="center"/>
              <w:rPr>
                <w:sz w:val="18"/>
              </w:rPr>
            </w:pPr>
            <w:r w:rsidRPr="00C85476">
              <w:rPr>
                <w:sz w:val="18"/>
              </w:rPr>
              <w:t>Unknown</w:t>
            </w:r>
          </w:p>
        </w:tc>
        <w:tc>
          <w:tcPr>
            <w:tcW w:w="1650" w:type="dxa"/>
            <w:shd w:val="clear" w:color="auto" w:fill="auto"/>
            <w:noWrap/>
            <w:vAlign w:val="center"/>
            <w:hideMark/>
          </w:tcPr>
          <w:p w14:paraId="649FC890" w14:textId="77777777" w:rsidR="00C56595" w:rsidRPr="00C85476" w:rsidRDefault="00C56595" w:rsidP="00C56595">
            <w:pPr>
              <w:pStyle w:val="TableText"/>
              <w:jc w:val="center"/>
              <w:rPr>
                <w:sz w:val="18"/>
              </w:rPr>
            </w:pPr>
            <w:r w:rsidRPr="00C85476">
              <w:rPr>
                <w:sz w:val="18"/>
              </w:rPr>
              <w:t>Significant cost</w:t>
            </w:r>
          </w:p>
        </w:tc>
        <w:tc>
          <w:tcPr>
            <w:tcW w:w="1650" w:type="dxa"/>
            <w:shd w:val="clear" w:color="auto" w:fill="auto"/>
            <w:noWrap/>
            <w:vAlign w:val="center"/>
            <w:hideMark/>
          </w:tcPr>
          <w:p w14:paraId="60DE29DB" w14:textId="77777777" w:rsidR="00C56595" w:rsidRPr="00C85476" w:rsidRDefault="00C56595" w:rsidP="00C56595">
            <w:pPr>
              <w:pStyle w:val="TableText"/>
              <w:jc w:val="center"/>
              <w:rPr>
                <w:sz w:val="18"/>
              </w:rPr>
            </w:pPr>
            <w:r w:rsidRPr="00C85476">
              <w:rPr>
                <w:sz w:val="18"/>
              </w:rPr>
              <w:t>1 year</w:t>
            </w:r>
          </w:p>
        </w:tc>
        <w:tc>
          <w:tcPr>
            <w:tcW w:w="3525" w:type="dxa"/>
            <w:shd w:val="clear" w:color="auto" w:fill="FFFF00"/>
            <w:vAlign w:val="center"/>
            <w:hideMark/>
          </w:tcPr>
          <w:p w14:paraId="45F8A5D4" w14:textId="77777777" w:rsidR="00C56595" w:rsidRDefault="00C56595" w:rsidP="00C56595">
            <w:pPr>
              <w:pStyle w:val="TableText"/>
              <w:rPr>
                <w:sz w:val="18"/>
              </w:rPr>
            </w:pPr>
            <w:r>
              <w:rPr>
                <w:sz w:val="18"/>
              </w:rPr>
              <w:t>Do not assess.</w:t>
            </w:r>
          </w:p>
          <w:p w14:paraId="6EFE85BD" w14:textId="461F408E" w:rsidR="00C56595" w:rsidRPr="00C85476" w:rsidRDefault="00C56595" w:rsidP="00C56595">
            <w:pPr>
              <w:pStyle w:val="TableText"/>
              <w:rPr>
                <w:sz w:val="18"/>
              </w:rPr>
            </w:pPr>
            <w:r>
              <w:rPr>
                <w:sz w:val="18"/>
              </w:rPr>
              <w:t xml:space="preserve">Consider </w:t>
            </w:r>
            <w:r w:rsidRPr="00C85476">
              <w:rPr>
                <w:sz w:val="18"/>
              </w:rPr>
              <w:t>ou</w:t>
            </w:r>
            <w:r>
              <w:rPr>
                <w:sz w:val="18"/>
              </w:rPr>
              <w:t xml:space="preserve">tside of </w:t>
            </w:r>
            <w:r w:rsidR="000B10D7">
              <w:rPr>
                <w:sz w:val="18"/>
              </w:rPr>
              <w:t xml:space="preserve">a regulatory framework as </w:t>
            </w:r>
            <w:r>
              <w:rPr>
                <w:sz w:val="18"/>
              </w:rPr>
              <w:t>a quasi</w:t>
            </w:r>
            <w:r w:rsidRPr="00C85476">
              <w:rPr>
                <w:sz w:val="18"/>
              </w:rPr>
              <w:t>-regulatory reform</w:t>
            </w:r>
            <w:r>
              <w:rPr>
                <w:sz w:val="18"/>
              </w:rPr>
              <w:t>.</w:t>
            </w:r>
          </w:p>
        </w:tc>
      </w:tr>
      <w:tr w:rsidR="000647FA" w:rsidRPr="00C85476" w14:paraId="596EAFED" w14:textId="77777777" w:rsidTr="00B31BF4">
        <w:trPr>
          <w:trHeight w:val="801"/>
          <w:jc w:val="center"/>
        </w:trPr>
        <w:tc>
          <w:tcPr>
            <w:tcW w:w="2410" w:type="dxa"/>
            <w:shd w:val="clear" w:color="auto" w:fill="auto"/>
            <w:vAlign w:val="center"/>
            <w:hideMark/>
          </w:tcPr>
          <w:p w14:paraId="602B57A8" w14:textId="77777777" w:rsidR="000647FA" w:rsidRPr="00C85476" w:rsidRDefault="000647FA" w:rsidP="000647FA">
            <w:pPr>
              <w:pStyle w:val="TableText"/>
              <w:rPr>
                <w:sz w:val="18"/>
              </w:rPr>
            </w:pPr>
            <w:r w:rsidRPr="00C85476">
              <w:rPr>
                <w:sz w:val="18"/>
              </w:rPr>
              <w:t>c) Updating compliance and enforcement provisions</w:t>
            </w:r>
          </w:p>
        </w:tc>
        <w:tc>
          <w:tcPr>
            <w:tcW w:w="1559" w:type="dxa"/>
            <w:shd w:val="clear" w:color="auto" w:fill="auto"/>
            <w:vAlign w:val="center"/>
            <w:hideMark/>
          </w:tcPr>
          <w:p w14:paraId="79CEB75F" w14:textId="77777777" w:rsidR="000647FA" w:rsidRPr="00C85476" w:rsidRDefault="000647FA" w:rsidP="000647FA">
            <w:pPr>
              <w:pStyle w:val="TableText"/>
              <w:rPr>
                <w:sz w:val="18"/>
              </w:rPr>
            </w:pPr>
            <w:r>
              <w:rPr>
                <w:sz w:val="18"/>
              </w:rPr>
              <w:t>L</w:t>
            </w:r>
            <w:r w:rsidRPr="00C85476">
              <w:rPr>
                <w:sz w:val="18"/>
              </w:rPr>
              <w:t>egislated</w:t>
            </w:r>
            <w:r>
              <w:rPr>
                <w:sz w:val="18"/>
              </w:rPr>
              <w:t>.</w:t>
            </w:r>
          </w:p>
        </w:tc>
        <w:tc>
          <w:tcPr>
            <w:tcW w:w="2420" w:type="dxa"/>
            <w:shd w:val="clear" w:color="auto" w:fill="auto"/>
            <w:vAlign w:val="center"/>
            <w:hideMark/>
          </w:tcPr>
          <w:p w14:paraId="0A5DB492" w14:textId="77777777" w:rsidR="000647FA" w:rsidRPr="00C85476" w:rsidRDefault="000647FA" w:rsidP="000647FA">
            <w:pPr>
              <w:pStyle w:val="TableText"/>
              <w:rPr>
                <w:sz w:val="18"/>
              </w:rPr>
            </w:pPr>
            <w:r w:rsidRPr="00C85476">
              <w:rPr>
                <w:sz w:val="18"/>
              </w:rPr>
              <w:t>Improve Australian hazardous waste regulation and/or reduced red tape.</w:t>
            </w:r>
          </w:p>
        </w:tc>
        <w:tc>
          <w:tcPr>
            <w:tcW w:w="3392" w:type="dxa"/>
            <w:vAlign w:val="center"/>
          </w:tcPr>
          <w:p w14:paraId="47E4FEA9" w14:textId="77777777" w:rsidR="000647FA" w:rsidRPr="00791F27" w:rsidRDefault="000647FA" w:rsidP="000647FA">
            <w:pPr>
              <w:pStyle w:val="TableText"/>
              <w:rPr>
                <w:rFonts w:ascii="Calibri" w:hAnsi="Calibri"/>
                <w:color w:val="000000"/>
                <w:sz w:val="18"/>
                <w:szCs w:val="20"/>
              </w:rPr>
            </w:pPr>
            <w:r w:rsidRPr="000647FA">
              <w:rPr>
                <w:rFonts w:ascii="Calibri" w:hAnsi="Calibri"/>
                <w:color w:val="000000"/>
                <w:sz w:val="18"/>
                <w:szCs w:val="20"/>
              </w:rPr>
              <w:t>Promotion of environmentally sound management of hazardous wastes, wherever the place of disposal.</w:t>
            </w:r>
          </w:p>
        </w:tc>
        <w:tc>
          <w:tcPr>
            <w:tcW w:w="1650" w:type="dxa"/>
            <w:shd w:val="clear" w:color="auto" w:fill="auto"/>
            <w:vAlign w:val="center"/>
            <w:hideMark/>
          </w:tcPr>
          <w:p w14:paraId="370A6705" w14:textId="77777777" w:rsidR="000647FA" w:rsidRPr="00C85476" w:rsidRDefault="000647FA" w:rsidP="00B31BF4">
            <w:pPr>
              <w:pStyle w:val="TableText"/>
              <w:jc w:val="center"/>
              <w:rPr>
                <w:sz w:val="18"/>
              </w:rPr>
            </w:pPr>
            <w:r w:rsidRPr="00C85476">
              <w:rPr>
                <w:sz w:val="18"/>
              </w:rPr>
              <w:t>Yes</w:t>
            </w:r>
          </w:p>
        </w:tc>
        <w:tc>
          <w:tcPr>
            <w:tcW w:w="1650" w:type="dxa"/>
            <w:shd w:val="clear" w:color="auto" w:fill="auto"/>
            <w:noWrap/>
            <w:vAlign w:val="center"/>
            <w:hideMark/>
          </w:tcPr>
          <w:p w14:paraId="251F0B8D"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330AE6CE"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44454AB9" w14:textId="77777777" w:rsidR="000647FA" w:rsidRPr="00C85476" w:rsidRDefault="000647FA" w:rsidP="00B31BF4">
            <w:pPr>
              <w:pStyle w:val="TableText"/>
              <w:jc w:val="center"/>
              <w:rPr>
                <w:sz w:val="18"/>
              </w:rPr>
            </w:pPr>
            <w:r w:rsidRPr="00C85476">
              <w:rPr>
                <w:sz w:val="18"/>
              </w:rPr>
              <w:t>Moderate cost</w:t>
            </w:r>
          </w:p>
        </w:tc>
        <w:tc>
          <w:tcPr>
            <w:tcW w:w="1650" w:type="dxa"/>
            <w:shd w:val="clear" w:color="auto" w:fill="auto"/>
            <w:noWrap/>
            <w:vAlign w:val="center"/>
            <w:hideMark/>
          </w:tcPr>
          <w:p w14:paraId="3150658A" w14:textId="77777777" w:rsidR="000647FA" w:rsidRPr="00C85476" w:rsidRDefault="000647FA" w:rsidP="00B31BF4">
            <w:pPr>
              <w:pStyle w:val="TableText"/>
              <w:jc w:val="center"/>
              <w:rPr>
                <w:sz w:val="18"/>
              </w:rPr>
            </w:pPr>
            <w:r w:rsidRPr="00C85476">
              <w:rPr>
                <w:sz w:val="18"/>
              </w:rPr>
              <w:t>1 year</w:t>
            </w:r>
          </w:p>
        </w:tc>
        <w:tc>
          <w:tcPr>
            <w:tcW w:w="3525" w:type="dxa"/>
            <w:shd w:val="clear" w:color="auto" w:fill="92D050"/>
            <w:vAlign w:val="center"/>
            <w:hideMark/>
          </w:tcPr>
          <w:p w14:paraId="745419CC" w14:textId="77777777" w:rsidR="000647FA" w:rsidRPr="00C85476" w:rsidRDefault="000647FA" w:rsidP="000647FA">
            <w:pPr>
              <w:pStyle w:val="TableText"/>
              <w:rPr>
                <w:sz w:val="18"/>
              </w:rPr>
            </w:pPr>
            <w:r>
              <w:rPr>
                <w:sz w:val="18"/>
              </w:rPr>
              <w:t>Assess.</w:t>
            </w:r>
          </w:p>
        </w:tc>
      </w:tr>
      <w:tr w:rsidR="000647FA" w:rsidRPr="00C85476" w14:paraId="7400CB47" w14:textId="77777777" w:rsidTr="00B31BF4">
        <w:trPr>
          <w:trHeight w:val="801"/>
          <w:jc w:val="center"/>
        </w:trPr>
        <w:tc>
          <w:tcPr>
            <w:tcW w:w="2410" w:type="dxa"/>
            <w:shd w:val="clear" w:color="auto" w:fill="auto"/>
            <w:vAlign w:val="center"/>
            <w:hideMark/>
          </w:tcPr>
          <w:p w14:paraId="06600B04" w14:textId="77777777" w:rsidR="000647FA" w:rsidRPr="00C85476" w:rsidRDefault="000647FA" w:rsidP="000647FA">
            <w:pPr>
              <w:pStyle w:val="TableText"/>
              <w:rPr>
                <w:sz w:val="18"/>
              </w:rPr>
            </w:pPr>
            <w:r w:rsidRPr="00C85476">
              <w:rPr>
                <w:sz w:val="18"/>
              </w:rPr>
              <w:t>d) Taking economic efficiency into account</w:t>
            </w:r>
          </w:p>
        </w:tc>
        <w:tc>
          <w:tcPr>
            <w:tcW w:w="1559" w:type="dxa"/>
            <w:shd w:val="clear" w:color="auto" w:fill="auto"/>
            <w:vAlign w:val="center"/>
            <w:hideMark/>
          </w:tcPr>
          <w:p w14:paraId="2D934BDB" w14:textId="77777777" w:rsidR="000647FA" w:rsidRPr="00C85476" w:rsidRDefault="000647FA" w:rsidP="000647FA">
            <w:pPr>
              <w:pStyle w:val="TableText"/>
              <w:rPr>
                <w:sz w:val="18"/>
              </w:rPr>
            </w:pPr>
            <w:r>
              <w:rPr>
                <w:sz w:val="18"/>
              </w:rPr>
              <w:t>L</w:t>
            </w:r>
            <w:r w:rsidRPr="00C85476">
              <w:rPr>
                <w:sz w:val="18"/>
              </w:rPr>
              <w:t>egislated</w:t>
            </w:r>
            <w:r>
              <w:rPr>
                <w:sz w:val="18"/>
              </w:rPr>
              <w:t>.</w:t>
            </w:r>
          </w:p>
        </w:tc>
        <w:tc>
          <w:tcPr>
            <w:tcW w:w="2420" w:type="dxa"/>
            <w:shd w:val="clear" w:color="auto" w:fill="auto"/>
            <w:vAlign w:val="center"/>
            <w:hideMark/>
          </w:tcPr>
          <w:p w14:paraId="06D1DB44" w14:textId="77777777" w:rsidR="000647FA" w:rsidRPr="00C85476" w:rsidRDefault="000647FA" w:rsidP="000647FA">
            <w:pPr>
              <w:pStyle w:val="TableText"/>
              <w:rPr>
                <w:sz w:val="18"/>
              </w:rPr>
            </w:pPr>
            <w:r w:rsidRPr="00C85476">
              <w:rPr>
                <w:sz w:val="18"/>
              </w:rPr>
              <w:t>Address a competition failure by supporting a competitive market or managing a continuing monopoly situation.</w:t>
            </w:r>
          </w:p>
        </w:tc>
        <w:tc>
          <w:tcPr>
            <w:tcW w:w="3392" w:type="dxa"/>
            <w:vAlign w:val="center"/>
          </w:tcPr>
          <w:p w14:paraId="3BD576DA" w14:textId="77777777" w:rsidR="000647FA" w:rsidRPr="00791F27" w:rsidRDefault="000647FA" w:rsidP="000647FA">
            <w:pPr>
              <w:pStyle w:val="TableText"/>
              <w:rPr>
                <w:rFonts w:ascii="Calibri" w:hAnsi="Calibri"/>
                <w:color w:val="000000"/>
                <w:sz w:val="18"/>
                <w:szCs w:val="20"/>
              </w:rPr>
            </w:pPr>
            <w:r w:rsidRPr="000647FA">
              <w:rPr>
                <w:rFonts w:ascii="Calibri" w:hAnsi="Calibri"/>
                <w:color w:val="000000"/>
                <w:sz w:val="18"/>
                <w:szCs w:val="20"/>
              </w:rPr>
              <w:t>Restriction of transboundary movements of hazardous wastes, except where it is perceived to be in accordance with the principles of environmentally sound management.</w:t>
            </w:r>
          </w:p>
        </w:tc>
        <w:tc>
          <w:tcPr>
            <w:tcW w:w="1650" w:type="dxa"/>
            <w:shd w:val="clear" w:color="auto" w:fill="auto"/>
            <w:vAlign w:val="center"/>
            <w:hideMark/>
          </w:tcPr>
          <w:p w14:paraId="073D570D"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574136A2"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7BD9C56E" w14:textId="77777777" w:rsidR="000647FA" w:rsidRPr="00C85476" w:rsidRDefault="000647FA" w:rsidP="00B31BF4">
            <w:pPr>
              <w:pStyle w:val="TableText"/>
              <w:jc w:val="center"/>
              <w:rPr>
                <w:sz w:val="18"/>
              </w:rPr>
            </w:pPr>
            <w:r w:rsidRPr="00C85476">
              <w:rPr>
                <w:sz w:val="18"/>
              </w:rPr>
              <w:t>Significant benefit</w:t>
            </w:r>
          </w:p>
        </w:tc>
        <w:tc>
          <w:tcPr>
            <w:tcW w:w="1650" w:type="dxa"/>
            <w:shd w:val="clear" w:color="auto" w:fill="auto"/>
            <w:noWrap/>
            <w:vAlign w:val="center"/>
            <w:hideMark/>
          </w:tcPr>
          <w:p w14:paraId="6C781255"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55642D01" w14:textId="77777777" w:rsidR="000647FA" w:rsidRPr="00C85476" w:rsidRDefault="000647FA" w:rsidP="00B31BF4">
            <w:pPr>
              <w:pStyle w:val="TableText"/>
              <w:jc w:val="center"/>
              <w:rPr>
                <w:sz w:val="18"/>
              </w:rPr>
            </w:pPr>
            <w:r w:rsidRPr="00C85476">
              <w:rPr>
                <w:sz w:val="18"/>
              </w:rPr>
              <w:t>3 years</w:t>
            </w:r>
          </w:p>
        </w:tc>
        <w:tc>
          <w:tcPr>
            <w:tcW w:w="3525" w:type="dxa"/>
            <w:shd w:val="clear" w:color="auto" w:fill="92D050"/>
            <w:vAlign w:val="center"/>
            <w:hideMark/>
          </w:tcPr>
          <w:p w14:paraId="7F1F6F61" w14:textId="77777777" w:rsidR="000647FA" w:rsidRPr="00C85476" w:rsidRDefault="000647FA" w:rsidP="000647FA">
            <w:pPr>
              <w:pStyle w:val="TableText"/>
              <w:rPr>
                <w:sz w:val="18"/>
              </w:rPr>
            </w:pPr>
            <w:r>
              <w:rPr>
                <w:sz w:val="18"/>
              </w:rPr>
              <w:t>Assess.</w:t>
            </w:r>
          </w:p>
        </w:tc>
      </w:tr>
      <w:tr w:rsidR="000647FA" w:rsidRPr="00C85476" w14:paraId="72D18383" w14:textId="77777777" w:rsidTr="00B31BF4">
        <w:trPr>
          <w:trHeight w:val="801"/>
          <w:jc w:val="center"/>
        </w:trPr>
        <w:tc>
          <w:tcPr>
            <w:tcW w:w="2410" w:type="dxa"/>
            <w:shd w:val="clear" w:color="auto" w:fill="auto"/>
            <w:vAlign w:val="center"/>
            <w:hideMark/>
          </w:tcPr>
          <w:p w14:paraId="5D836A7D" w14:textId="77777777" w:rsidR="000647FA" w:rsidRPr="00C85476" w:rsidRDefault="000647FA" w:rsidP="000647FA">
            <w:pPr>
              <w:pStyle w:val="TableText"/>
              <w:rPr>
                <w:sz w:val="18"/>
              </w:rPr>
            </w:pPr>
            <w:r w:rsidRPr="00C85476">
              <w:rPr>
                <w:sz w:val="18"/>
              </w:rPr>
              <w:t>e) Updating cost recovery arrangements</w:t>
            </w:r>
          </w:p>
        </w:tc>
        <w:tc>
          <w:tcPr>
            <w:tcW w:w="1559" w:type="dxa"/>
            <w:shd w:val="clear" w:color="auto" w:fill="auto"/>
            <w:vAlign w:val="center"/>
            <w:hideMark/>
          </w:tcPr>
          <w:p w14:paraId="15991574" w14:textId="77777777" w:rsidR="000647FA" w:rsidRPr="00C85476" w:rsidRDefault="000647FA" w:rsidP="000647FA">
            <w:pPr>
              <w:pStyle w:val="TableText"/>
              <w:rPr>
                <w:sz w:val="18"/>
              </w:rPr>
            </w:pPr>
            <w:r>
              <w:rPr>
                <w:sz w:val="18"/>
              </w:rPr>
              <w:t>L</w:t>
            </w:r>
            <w:r w:rsidRPr="00C85476">
              <w:rPr>
                <w:sz w:val="18"/>
              </w:rPr>
              <w:t>egislated</w:t>
            </w:r>
            <w:r>
              <w:rPr>
                <w:sz w:val="18"/>
              </w:rPr>
              <w:t>.</w:t>
            </w:r>
          </w:p>
        </w:tc>
        <w:tc>
          <w:tcPr>
            <w:tcW w:w="2420" w:type="dxa"/>
            <w:shd w:val="clear" w:color="auto" w:fill="auto"/>
            <w:vAlign w:val="center"/>
            <w:hideMark/>
          </w:tcPr>
          <w:p w14:paraId="2CD8C707" w14:textId="77777777" w:rsidR="000647FA" w:rsidRPr="00C85476" w:rsidRDefault="000647FA" w:rsidP="000647FA">
            <w:pPr>
              <w:pStyle w:val="TableText"/>
              <w:rPr>
                <w:sz w:val="18"/>
              </w:rPr>
            </w:pPr>
            <w:r w:rsidRPr="00C85476">
              <w:rPr>
                <w:sz w:val="18"/>
              </w:rPr>
              <w:t>Improve Australian hazardous waste regulation and/or reduced red tape.</w:t>
            </w:r>
          </w:p>
        </w:tc>
        <w:tc>
          <w:tcPr>
            <w:tcW w:w="3392" w:type="dxa"/>
            <w:vAlign w:val="center"/>
          </w:tcPr>
          <w:p w14:paraId="135820C0" w14:textId="03AA74C2" w:rsidR="000647FA" w:rsidRPr="00791F27" w:rsidRDefault="00791F27" w:rsidP="00791F27">
            <w:pPr>
              <w:pStyle w:val="TableText"/>
              <w:rPr>
                <w:rFonts w:ascii="Calibri" w:hAnsi="Calibri"/>
                <w:color w:val="000000"/>
                <w:sz w:val="18"/>
                <w:szCs w:val="20"/>
              </w:rPr>
            </w:pPr>
            <w:r w:rsidRPr="00791F27">
              <w:rPr>
                <w:rFonts w:ascii="Calibri" w:hAnsi="Calibri"/>
                <w:color w:val="000000"/>
                <w:sz w:val="18"/>
                <w:szCs w:val="20"/>
              </w:rPr>
              <w:t>Reduction of hazardous waste generation.</w:t>
            </w:r>
          </w:p>
        </w:tc>
        <w:tc>
          <w:tcPr>
            <w:tcW w:w="1650" w:type="dxa"/>
            <w:shd w:val="clear" w:color="auto" w:fill="auto"/>
            <w:vAlign w:val="center"/>
            <w:hideMark/>
          </w:tcPr>
          <w:p w14:paraId="36ED2AFC" w14:textId="77777777" w:rsidR="000647FA" w:rsidRPr="00C85476" w:rsidRDefault="000647FA" w:rsidP="00B31BF4">
            <w:pPr>
              <w:pStyle w:val="TableText"/>
              <w:jc w:val="center"/>
              <w:rPr>
                <w:sz w:val="18"/>
              </w:rPr>
            </w:pPr>
            <w:r w:rsidRPr="00C85476">
              <w:rPr>
                <w:sz w:val="18"/>
              </w:rPr>
              <w:t>Yes</w:t>
            </w:r>
          </w:p>
        </w:tc>
        <w:tc>
          <w:tcPr>
            <w:tcW w:w="1650" w:type="dxa"/>
            <w:shd w:val="clear" w:color="auto" w:fill="auto"/>
            <w:noWrap/>
            <w:vAlign w:val="center"/>
            <w:hideMark/>
          </w:tcPr>
          <w:p w14:paraId="4396D918"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0D133581"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34F849CA"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34339F81" w14:textId="77777777" w:rsidR="000647FA" w:rsidRPr="00C85476" w:rsidRDefault="000647FA" w:rsidP="00B31BF4">
            <w:pPr>
              <w:pStyle w:val="TableText"/>
              <w:jc w:val="center"/>
              <w:rPr>
                <w:sz w:val="18"/>
              </w:rPr>
            </w:pPr>
            <w:r w:rsidRPr="00C85476">
              <w:rPr>
                <w:sz w:val="18"/>
              </w:rPr>
              <w:t>2 years</w:t>
            </w:r>
          </w:p>
        </w:tc>
        <w:tc>
          <w:tcPr>
            <w:tcW w:w="3525" w:type="dxa"/>
            <w:shd w:val="clear" w:color="auto" w:fill="92D050"/>
            <w:vAlign w:val="center"/>
            <w:hideMark/>
          </w:tcPr>
          <w:p w14:paraId="3B7AD887" w14:textId="77777777" w:rsidR="000647FA" w:rsidRPr="00C85476" w:rsidRDefault="000647FA" w:rsidP="000647FA">
            <w:pPr>
              <w:pStyle w:val="TableText"/>
              <w:rPr>
                <w:sz w:val="18"/>
              </w:rPr>
            </w:pPr>
            <w:r>
              <w:rPr>
                <w:sz w:val="18"/>
              </w:rPr>
              <w:t>Assess.</w:t>
            </w:r>
          </w:p>
        </w:tc>
      </w:tr>
      <w:tr w:rsidR="00751351" w:rsidRPr="00C85476" w14:paraId="3B2E79E5" w14:textId="77777777" w:rsidTr="00751351">
        <w:trPr>
          <w:trHeight w:val="801"/>
          <w:jc w:val="center"/>
        </w:trPr>
        <w:tc>
          <w:tcPr>
            <w:tcW w:w="2410" w:type="dxa"/>
            <w:shd w:val="clear" w:color="auto" w:fill="auto"/>
            <w:vAlign w:val="center"/>
            <w:hideMark/>
          </w:tcPr>
          <w:p w14:paraId="6AAF3BF0" w14:textId="77777777" w:rsidR="00751351" w:rsidRPr="00C85476" w:rsidRDefault="00751351" w:rsidP="00751351">
            <w:pPr>
              <w:pStyle w:val="TableText"/>
              <w:rPr>
                <w:sz w:val="18"/>
              </w:rPr>
            </w:pPr>
            <w:r w:rsidRPr="00C85476">
              <w:rPr>
                <w:sz w:val="18"/>
              </w:rPr>
              <w:t>f) Increased transparency on the operations of the Act</w:t>
            </w:r>
          </w:p>
        </w:tc>
        <w:tc>
          <w:tcPr>
            <w:tcW w:w="1559" w:type="dxa"/>
            <w:shd w:val="clear" w:color="auto" w:fill="auto"/>
            <w:vAlign w:val="center"/>
            <w:hideMark/>
          </w:tcPr>
          <w:p w14:paraId="5F9B500F" w14:textId="77777777" w:rsidR="00751351" w:rsidRPr="00C85476" w:rsidRDefault="00751351" w:rsidP="00751351">
            <w:pPr>
              <w:pStyle w:val="TableText"/>
              <w:rPr>
                <w:sz w:val="18"/>
              </w:rPr>
            </w:pPr>
            <w:r>
              <w:rPr>
                <w:sz w:val="18"/>
              </w:rPr>
              <w:t>Q</w:t>
            </w:r>
            <w:r w:rsidRPr="00C85476">
              <w:rPr>
                <w:sz w:val="18"/>
              </w:rPr>
              <w:t>uasi-regulatory.</w:t>
            </w:r>
          </w:p>
        </w:tc>
        <w:tc>
          <w:tcPr>
            <w:tcW w:w="2420" w:type="dxa"/>
            <w:shd w:val="clear" w:color="auto" w:fill="auto"/>
            <w:vAlign w:val="center"/>
            <w:hideMark/>
          </w:tcPr>
          <w:p w14:paraId="645B428A" w14:textId="77777777" w:rsidR="00751351" w:rsidRPr="00C85476" w:rsidRDefault="00751351" w:rsidP="00751351">
            <w:pPr>
              <w:pStyle w:val="TableText"/>
              <w:rPr>
                <w:sz w:val="18"/>
              </w:rPr>
            </w:pPr>
            <w:r w:rsidRPr="00C85476">
              <w:rPr>
                <w:sz w:val="18"/>
              </w:rPr>
              <w:t>Improve Australian hazardous waste regulation and/or reduced red tape.</w:t>
            </w:r>
          </w:p>
        </w:tc>
        <w:tc>
          <w:tcPr>
            <w:tcW w:w="3392" w:type="dxa"/>
            <w:vAlign w:val="center"/>
          </w:tcPr>
          <w:p w14:paraId="1C1481F9" w14:textId="77777777" w:rsidR="00751351" w:rsidRPr="000647FA" w:rsidRDefault="00751351" w:rsidP="00751351">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1650" w:type="dxa"/>
            <w:shd w:val="clear" w:color="auto" w:fill="auto"/>
            <w:vAlign w:val="center"/>
            <w:hideMark/>
          </w:tcPr>
          <w:p w14:paraId="59CAFF21" w14:textId="77777777" w:rsidR="00751351" w:rsidRPr="00C85476" w:rsidRDefault="00751351" w:rsidP="00751351">
            <w:pPr>
              <w:pStyle w:val="TableText"/>
              <w:jc w:val="center"/>
              <w:rPr>
                <w:sz w:val="18"/>
              </w:rPr>
            </w:pPr>
            <w:r w:rsidRPr="00C85476">
              <w:rPr>
                <w:sz w:val="18"/>
              </w:rPr>
              <w:t>Yes</w:t>
            </w:r>
          </w:p>
        </w:tc>
        <w:tc>
          <w:tcPr>
            <w:tcW w:w="1650" w:type="dxa"/>
            <w:shd w:val="clear" w:color="auto" w:fill="auto"/>
            <w:noWrap/>
            <w:vAlign w:val="center"/>
            <w:hideMark/>
          </w:tcPr>
          <w:p w14:paraId="5BAA6E60" w14:textId="77777777" w:rsidR="00751351" w:rsidRPr="00C85476" w:rsidRDefault="00751351" w:rsidP="00751351">
            <w:pPr>
              <w:pStyle w:val="TableText"/>
              <w:jc w:val="center"/>
              <w:rPr>
                <w:sz w:val="18"/>
              </w:rPr>
            </w:pPr>
            <w:r w:rsidRPr="00C85476">
              <w:rPr>
                <w:sz w:val="18"/>
              </w:rPr>
              <w:t>No</w:t>
            </w:r>
          </w:p>
        </w:tc>
        <w:tc>
          <w:tcPr>
            <w:tcW w:w="1650" w:type="dxa"/>
            <w:shd w:val="clear" w:color="auto" w:fill="auto"/>
            <w:noWrap/>
            <w:vAlign w:val="center"/>
            <w:hideMark/>
          </w:tcPr>
          <w:p w14:paraId="34594D77" w14:textId="77777777" w:rsidR="00751351" w:rsidRPr="00C85476" w:rsidRDefault="00751351" w:rsidP="00751351">
            <w:pPr>
              <w:pStyle w:val="TableText"/>
              <w:jc w:val="center"/>
              <w:rPr>
                <w:sz w:val="18"/>
              </w:rPr>
            </w:pPr>
            <w:r w:rsidRPr="00C85476">
              <w:rPr>
                <w:sz w:val="18"/>
              </w:rPr>
              <w:t>Moderate benefit</w:t>
            </w:r>
          </w:p>
        </w:tc>
        <w:tc>
          <w:tcPr>
            <w:tcW w:w="1650" w:type="dxa"/>
            <w:shd w:val="clear" w:color="auto" w:fill="auto"/>
            <w:noWrap/>
            <w:vAlign w:val="center"/>
          </w:tcPr>
          <w:p w14:paraId="60FD99FB" w14:textId="77777777" w:rsidR="00751351" w:rsidRPr="00C85476" w:rsidRDefault="00751351" w:rsidP="00751351">
            <w:pPr>
              <w:pStyle w:val="TableText"/>
              <w:jc w:val="center"/>
              <w:rPr>
                <w:sz w:val="18"/>
              </w:rPr>
            </w:pPr>
            <w:r>
              <w:rPr>
                <w:sz w:val="18"/>
              </w:rPr>
              <w:t>Neutral</w:t>
            </w:r>
          </w:p>
        </w:tc>
        <w:tc>
          <w:tcPr>
            <w:tcW w:w="1650" w:type="dxa"/>
            <w:shd w:val="clear" w:color="auto" w:fill="auto"/>
            <w:noWrap/>
            <w:vAlign w:val="center"/>
            <w:hideMark/>
          </w:tcPr>
          <w:p w14:paraId="7C092485" w14:textId="77777777" w:rsidR="00751351" w:rsidRPr="00C85476" w:rsidRDefault="00751351" w:rsidP="00751351">
            <w:pPr>
              <w:pStyle w:val="TableText"/>
              <w:jc w:val="center"/>
              <w:rPr>
                <w:sz w:val="18"/>
              </w:rPr>
            </w:pPr>
            <w:r w:rsidRPr="00C85476">
              <w:rPr>
                <w:sz w:val="18"/>
              </w:rPr>
              <w:t>1 year</w:t>
            </w:r>
          </w:p>
        </w:tc>
        <w:tc>
          <w:tcPr>
            <w:tcW w:w="3525" w:type="dxa"/>
            <w:shd w:val="clear" w:color="auto" w:fill="FFFF00"/>
            <w:vAlign w:val="center"/>
            <w:hideMark/>
          </w:tcPr>
          <w:p w14:paraId="05CB0991" w14:textId="77777777" w:rsidR="00751351" w:rsidRDefault="00751351" w:rsidP="00751351">
            <w:pPr>
              <w:pStyle w:val="TableText"/>
              <w:rPr>
                <w:sz w:val="18"/>
              </w:rPr>
            </w:pPr>
            <w:r>
              <w:rPr>
                <w:sz w:val="18"/>
              </w:rPr>
              <w:t>Do not assess.</w:t>
            </w:r>
          </w:p>
          <w:p w14:paraId="593AADE8" w14:textId="77777777" w:rsidR="00751351" w:rsidRPr="00C85476" w:rsidRDefault="00751351" w:rsidP="00751351">
            <w:pPr>
              <w:pStyle w:val="TableText"/>
              <w:rPr>
                <w:sz w:val="18"/>
              </w:rPr>
            </w:pPr>
            <w:r>
              <w:rPr>
                <w:sz w:val="18"/>
              </w:rPr>
              <w:t xml:space="preserve">Consider </w:t>
            </w:r>
            <w:r w:rsidRPr="00C85476">
              <w:rPr>
                <w:sz w:val="18"/>
              </w:rPr>
              <w:t>ou</w:t>
            </w:r>
            <w:r>
              <w:rPr>
                <w:sz w:val="18"/>
              </w:rPr>
              <w:t>tside of a regulatory framework as it is a quasi</w:t>
            </w:r>
            <w:r w:rsidRPr="00C85476">
              <w:rPr>
                <w:sz w:val="18"/>
              </w:rPr>
              <w:t>-regulatory reform</w:t>
            </w:r>
            <w:r>
              <w:rPr>
                <w:sz w:val="18"/>
              </w:rPr>
              <w:t>.</w:t>
            </w:r>
          </w:p>
        </w:tc>
      </w:tr>
      <w:tr w:rsidR="000647FA" w:rsidRPr="00C85476" w14:paraId="463D5C6A" w14:textId="77777777" w:rsidTr="00B31BF4">
        <w:trPr>
          <w:trHeight w:val="801"/>
          <w:jc w:val="center"/>
        </w:trPr>
        <w:tc>
          <w:tcPr>
            <w:tcW w:w="2410" w:type="dxa"/>
            <w:shd w:val="clear" w:color="auto" w:fill="auto"/>
            <w:vAlign w:val="center"/>
            <w:hideMark/>
          </w:tcPr>
          <w:p w14:paraId="01070D27" w14:textId="77777777" w:rsidR="000647FA" w:rsidRPr="00C85476" w:rsidRDefault="000647FA" w:rsidP="000647FA">
            <w:pPr>
              <w:pStyle w:val="TableText"/>
              <w:rPr>
                <w:sz w:val="18"/>
              </w:rPr>
            </w:pPr>
            <w:r w:rsidRPr="00C85476">
              <w:rPr>
                <w:sz w:val="18"/>
              </w:rPr>
              <w:t>g) Information on hazardous waste infrastructure</w:t>
            </w:r>
          </w:p>
        </w:tc>
        <w:tc>
          <w:tcPr>
            <w:tcW w:w="1559" w:type="dxa"/>
            <w:shd w:val="clear" w:color="auto" w:fill="auto"/>
            <w:vAlign w:val="center"/>
            <w:hideMark/>
          </w:tcPr>
          <w:p w14:paraId="0690452C" w14:textId="77777777" w:rsidR="000647FA" w:rsidRPr="00C85476" w:rsidRDefault="000647FA" w:rsidP="000647FA">
            <w:pPr>
              <w:pStyle w:val="TableText"/>
              <w:rPr>
                <w:sz w:val="18"/>
              </w:rPr>
            </w:pPr>
            <w:r>
              <w:rPr>
                <w:sz w:val="18"/>
              </w:rPr>
              <w:t>Legislated</w:t>
            </w:r>
            <w:r w:rsidRPr="0092461C">
              <w:rPr>
                <w:sz w:val="18"/>
              </w:rPr>
              <w:t xml:space="preserve"> or quasi-regulatory</w:t>
            </w:r>
            <w:r>
              <w:rPr>
                <w:sz w:val="18"/>
              </w:rPr>
              <w:t>.</w:t>
            </w:r>
          </w:p>
        </w:tc>
        <w:tc>
          <w:tcPr>
            <w:tcW w:w="2420" w:type="dxa"/>
            <w:shd w:val="clear" w:color="auto" w:fill="auto"/>
            <w:vAlign w:val="center"/>
            <w:hideMark/>
          </w:tcPr>
          <w:p w14:paraId="67BA5EB5" w14:textId="77777777" w:rsidR="000647FA" w:rsidRPr="00C85476" w:rsidRDefault="000647FA" w:rsidP="000647FA">
            <w:pPr>
              <w:pStyle w:val="TableText"/>
              <w:rPr>
                <w:sz w:val="18"/>
              </w:rPr>
            </w:pPr>
            <w:r w:rsidRPr="00C85476">
              <w:rPr>
                <w:sz w:val="18"/>
              </w:rPr>
              <w:t>Correct an information gap or asymmetry.</w:t>
            </w:r>
          </w:p>
        </w:tc>
        <w:tc>
          <w:tcPr>
            <w:tcW w:w="3392" w:type="dxa"/>
            <w:vAlign w:val="center"/>
          </w:tcPr>
          <w:p w14:paraId="73D03427" w14:textId="77777777" w:rsidR="000647FA" w:rsidRPr="000647FA" w:rsidRDefault="000647FA" w:rsidP="000647FA">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1650" w:type="dxa"/>
            <w:shd w:val="clear" w:color="auto" w:fill="auto"/>
            <w:vAlign w:val="center"/>
            <w:hideMark/>
          </w:tcPr>
          <w:p w14:paraId="156DBA6D" w14:textId="77777777" w:rsidR="000647FA" w:rsidRPr="00C85476" w:rsidRDefault="000647FA" w:rsidP="00B31BF4">
            <w:pPr>
              <w:pStyle w:val="TableText"/>
              <w:jc w:val="center"/>
              <w:rPr>
                <w:sz w:val="18"/>
              </w:rPr>
            </w:pPr>
            <w:r w:rsidRPr="00C85476">
              <w:rPr>
                <w:sz w:val="18"/>
              </w:rPr>
              <w:t>Yes</w:t>
            </w:r>
          </w:p>
        </w:tc>
        <w:tc>
          <w:tcPr>
            <w:tcW w:w="1650" w:type="dxa"/>
            <w:shd w:val="clear" w:color="auto" w:fill="auto"/>
            <w:noWrap/>
            <w:vAlign w:val="center"/>
            <w:hideMark/>
          </w:tcPr>
          <w:p w14:paraId="2D959D9F"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5FCCB52D"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tcPr>
          <w:p w14:paraId="4B4F6613" w14:textId="77777777" w:rsidR="000647FA" w:rsidRPr="00C85476" w:rsidRDefault="000647FA" w:rsidP="00B31BF4">
            <w:pPr>
              <w:pStyle w:val="TableText"/>
              <w:jc w:val="center"/>
              <w:rPr>
                <w:sz w:val="18"/>
              </w:rPr>
            </w:pPr>
            <w:r>
              <w:rPr>
                <w:sz w:val="18"/>
              </w:rPr>
              <w:t>Neutral</w:t>
            </w:r>
          </w:p>
        </w:tc>
        <w:tc>
          <w:tcPr>
            <w:tcW w:w="1650" w:type="dxa"/>
            <w:shd w:val="clear" w:color="auto" w:fill="auto"/>
            <w:noWrap/>
            <w:vAlign w:val="center"/>
            <w:hideMark/>
          </w:tcPr>
          <w:p w14:paraId="400BC1DE" w14:textId="77777777" w:rsidR="000647FA" w:rsidRPr="00C85476" w:rsidRDefault="000647FA" w:rsidP="00B31BF4">
            <w:pPr>
              <w:pStyle w:val="TableText"/>
              <w:jc w:val="center"/>
              <w:rPr>
                <w:sz w:val="18"/>
              </w:rPr>
            </w:pPr>
            <w:r w:rsidRPr="00C85476">
              <w:rPr>
                <w:sz w:val="18"/>
              </w:rPr>
              <w:t>1 year</w:t>
            </w:r>
          </w:p>
        </w:tc>
        <w:tc>
          <w:tcPr>
            <w:tcW w:w="3525" w:type="dxa"/>
            <w:shd w:val="clear" w:color="auto" w:fill="92D050"/>
            <w:vAlign w:val="center"/>
            <w:hideMark/>
          </w:tcPr>
          <w:p w14:paraId="1E1928C2" w14:textId="77777777" w:rsidR="000647FA" w:rsidRPr="00806CAC" w:rsidRDefault="000647FA" w:rsidP="000647FA">
            <w:pPr>
              <w:pStyle w:val="TableText"/>
              <w:rPr>
                <w:sz w:val="18"/>
              </w:rPr>
            </w:pPr>
            <w:r w:rsidRPr="00806CAC">
              <w:rPr>
                <w:sz w:val="18"/>
              </w:rPr>
              <w:t>Assess.</w:t>
            </w:r>
          </w:p>
        </w:tc>
      </w:tr>
      <w:tr w:rsidR="000647FA" w:rsidRPr="00C85476" w14:paraId="4595CFA5" w14:textId="77777777" w:rsidTr="00B31BF4">
        <w:trPr>
          <w:trHeight w:val="801"/>
          <w:jc w:val="center"/>
        </w:trPr>
        <w:tc>
          <w:tcPr>
            <w:tcW w:w="2410" w:type="dxa"/>
            <w:shd w:val="clear" w:color="auto" w:fill="auto"/>
            <w:vAlign w:val="center"/>
            <w:hideMark/>
          </w:tcPr>
          <w:p w14:paraId="3B0F225A" w14:textId="77777777" w:rsidR="000647FA" w:rsidRPr="00C85476" w:rsidRDefault="000647FA" w:rsidP="000647FA">
            <w:pPr>
              <w:pStyle w:val="TableText"/>
              <w:rPr>
                <w:sz w:val="18"/>
              </w:rPr>
            </w:pPr>
            <w:r w:rsidRPr="00C85476">
              <w:rPr>
                <w:sz w:val="18"/>
              </w:rPr>
              <w:t>h) Information on hazardous waste generation and management</w:t>
            </w:r>
          </w:p>
        </w:tc>
        <w:tc>
          <w:tcPr>
            <w:tcW w:w="1559" w:type="dxa"/>
            <w:shd w:val="clear" w:color="auto" w:fill="auto"/>
            <w:vAlign w:val="center"/>
            <w:hideMark/>
          </w:tcPr>
          <w:p w14:paraId="4EA5BA59" w14:textId="77777777" w:rsidR="000647FA" w:rsidRPr="00C85476" w:rsidRDefault="00414FB0" w:rsidP="000647FA">
            <w:pPr>
              <w:pStyle w:val="TableText"/>
              <w:rPr>
                <w:sz w:val="18"/>
              </w:rPr>
            </w:pPr>
            <w:r w:rsidRPr="00414FB0">
              <w:rPr>
                <w:sz w:val="18"/>
              </w:rPr>
              <w:t>Legislated, quasi-regulatory or non-regulatory.</w:t>
            </w:r>
          </w:p>
        </w:tc>
        <w:tc>
          <w:tcPr>
            <w:tcW w:w="2420" w:type="dxa"/>
            <w:shd w:val="clear" w:color="auto" w:fill="auto"/>
            <w:vAlign w:val="center"/>
            <w:hideMark/>
          </w:tcPr>
          <w:p w14:paraId="46EAD880" w14:textId="77777777" w:rsidR="000647FA" w:rsidRPr="00C85476" w:rsidRDefault="000647FA" w:rsidP="000647FA">
            <w:pPr>
              <w:pStyle w:val="TableText"/>
              <w:rPr>
                <w:sz w:val="18"/>
              </w:rPr>
            </w:pPr>
            <w:r w:rsidRPr="00C85476">
              <w:rPr>
                <w:sz w:val="18"/>
              </w:rPr>
              <w:t>Correct an information gap or asymmetry.</w:t>
            </w:r>
          </w:p>
        </w:tc>
        <w:tc>
          <w:tcPr>
            <w:tcW w:w="3392" w:type="dxa"/>
            <w:vAlign w:val="center"/>
          </w:tcPr>
          <w:p w14:paraId="3A807D1E" w14:textId="77777777" w:rsidR="000647FA" w:rsidRPr="000647FA" w:rsidRDefault="000647FA" w:rsidP="000647FA">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1650" w:type="dxa"/>
            <w:shd w:val="clear" w:color="auto" w:fill="auto"/>
            <w:vAlign w:val="center"/>
            <w:hideMark/>
          </w:tcPr>
          <w:p w14:paraId="6E4CC0D6" w14:textId="77777777" w:rsidR="000647FA" w:rsidRPr="00C85476" w:rsidRDefault="000647FA" w:rsidP="00B31BF4">
            <w:pPr>
              <w:pStyle w:val="TableText"/>
              <w:jc w:val="center"/>
              <w:rPr>
                <w:sz w:val="18"/>
              </w:rPr>
            </w:pPr>
            <w:r w:rsidRPr="00C85476">
              <w:rPr>
                <w:sz w:val="18"/>
              </w:rPr>
              <w:t>Perhaps</w:t>
            </w:r>
          </w:p>
        </w:tc>
        <w:tc>
          <w:tcPr>
            <w:tcW w:w="1650" w:type="dxa"/>
            <w:shd w:val="clear" w:color="auto" w:fill="auto"/>
            <w:noWrap/>
            <w:vAlign w:val="center"/>
            <w:hideMark/>
          </w:tcPr>
          <w:p w14:paraId="118EC2E3"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2CD73CBB"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tcPr>
          <w:p w14:paraId="5841A999" w14:textId="77777777" w:rsidR="000647FA" w:rsidRPr="00C85476" w:rsidRDefault="000647FA" w:rsidP="00B31BF4">
            <w:pPr>
              <w:pStyle w:val="TableText"/>
              <w:jc w:val="center"/>
              <w:rPr>
                <w:sz w:val="18"/>
              </w:rPr>
            </w:pPr>
            <w:r>
              <w:rPr>
                <w:sz w:val="18"/>
              </w:rPr>
              <w:t>Neutral</w:t>
            </w:r>
          </w:p>
        </w:tc>
        <w:tc>
          <w:tcPr>
            <w:tcW w:w="1650" w:type="dxa"/>
            <w:shd w:val="clear" w:color="auto" w:fill="auto"/>
            <w:noWrap/>
            <w:vAlign w:val="center"/>
            <w:hideMark/>
          </w:tcPr>
          <w:p w14:paraId="6A14405A" w14:textId="77777777" w:rsidR="000647FA" w:rsidRPr="00C85476" w:rsidRDefault="000647FA" w:rsidP="00B31BF4">
            <w:pPr>
              <w:pStyle w:val="TableText"/>
              <w:jc w:val="center"/>
              <w:rPr>
                <w:sz w:val="18"/>
              </w:rPr>
            </w:pPr>
            <w:r w:rsidRPr="00C85476">
              <w:rPr>
                <w:sz w:val="18"/>
              </w:rPr>
              <w:t>1 year</w:t>
            </w:r>
          </w:p>
        </w:tc>
        <w:tc>
          <w:tcPr>
            <w:tcW w:w="3525" w:type="dxa"/>
            <w:shd w:val="clear" w:color="auto" w:fill="FFFF00"/>
            <w:vAlign w:val="center"/>
            <w:hideMark/>
          </w:tcPr>
          <w:p w14:paraId="25F59A82" w14:textId="77777777" w:rsidR="000647FA" w:rsidRDefault="000647FA" w:rsidP="000647FA">
            <w:pPr>
              <w:pStyle w:val="TableText"/>
              <w:rPr>
                <w:sz w:val="18"/>
              </w:rPr>
            </w:pPr>
            <w:r>
              <w:rPr>
                <w:sz w:val="18"/>
              </w:rPr>
              <w:t>Do not assess.</w:t>
            </w:r>
          </w:p>
          <w:p w14:paraId="5A353096" w14:textId="77777777" w:rsidR="000647FA" w:rsidRPr="00C85476" w:rsidRDefault="000647FA" w:rsidP="000647FA">
            <w:pPr>
              <w:pStyle w:val="TableText"/>
              <w:rPr>
                <w:sz w:val="18"/>
              </w:rPr>
            </w:pPr>
            <w:r>
              <w:rPr>
                <w:sz w:val="18"/>
              </w:rPr>
              <w:t xml:space="preserve">Consider </w:t>
            </w:r>
            <w:r w:rsidRPr="00C85476">
              <w:rPr>
                <w:sz w:val="18"/>
              </w:rPr>
              <w:t>ou</w:t>
            </w:r>
            <w:r>
              <w:rPr>
                <w:sz w:val="18"/>
              </w:rPr>
              <w:t xml:space="preserve">tside of a regulatory framework as it is a </w:t>
            </w:r>
            <w:r w:rsidRPr="00C85476">
              <w:rPr>
                <w:sz w:val="18"/>
              </w:rPr>
              <w:t>non-regulatory reform</w:t>
            </w:r>
            <w:r>
              <w:rPr>
                <w:sz w:val="18"/>
              </w:rPr>
              <w:t>.</w:t>
            </w:r>
          </w:p>
        </w:tc>
      </w:tr>
      <w:tr w:rsidR="000647FA" w:rsidRPr="00C85476" w14:paraId="69E9EC73" w14:textId="77777777" w:rsidTr="00B31BF4">
        <w:trPr>
          <w:trHeight w:val="801"/>
          <w:jc w:val="center"/>
        </w:trPr>
        <w:tc>
          <w:tcPr>
            <w:tcW w:w="2410" w:type="dxa"/>
            <w:shd w:val="clear" w:color="auto" w:fill="auto"/>
            <w:vAlign w:val="center"/>
            <w:hideMark/>
          </w:tcPr>
          <w:p w14:paraId="1F4BCF06" w14:textId="77777777" w:rsidR="000647FA" w:rsidRPr="00C85476" w:rsidRDefault="000647FA" w:rsidP="000647FA">
            <w:pPr>
              <w:pStyle w:val="TableText"/>
              <w:rPr>
                <w:sz w:val="18"/>
              </w:rPr>
            </w:pPr>
            <w:r w:rsidRPr="00C85476">
              <w:rPr>
                <w:sz w:val="18"/>
              </w:rPr>
              <w:t>i) Power to establish agreements targeting particular wastes</w:t>
            </w:r>
          </w:p>
        </w:tc>
        <w:tc>
          <w:tcPr>
            <w:tcW w:w="1559" w:type="dxa"/>
            <w:shd w:val="clear" w:color="auto" w:fill="auto"/>
            <w:vAlign w:val="center"/>
            <w:hideMark/>
          </w:tcPr>
          <w:p w14:paraId="3A51EA1A" w14:textId="77777777" w:rsidR="000647FA" w:rsidRPr="00C85476" w:rsidRDefault="000647FA" w:rsidP="000647FA">
            <w:pPr>
              <w:pStyle w:val="TableText"/>
              <w:rPr>
                <w:sz w:val="18"/>
              </w:rPr>
            </w:pPr>
            <w:r>
              <w:rPr>
                <w:sz w:val="18"/>
              </w:rPr>
              <w:t>C</w:t>
            </w:r>
            <w:r w:rsidRPr="00C85476">
              <w:rPr>
                <w:sz w:val="18"/>
              </w:rPr>
              <w:t>o-regulatory</w:t>
            </w:r>
            <w:r>
              <w:rPr>
                <w:sz w:val="18"/>
              </w:rPr>
              <w:t>.</w:t>
            </w:r>
          </w:p>
        </w:tc>
        <w:tc>
          <w:tcPr>
            <w:tcW w:w="2420" w:type="dxa"/>
            <w:shd w:val="clear" w:color="auto" w:fill="auto"/>
            <w:vAlign w:val="center"/>
            <w:hideMark/>
          </w:tcPr>
          <w:p w14:paraId="738EC7E0" w14:textId="77777777" w:rsidR="000647FA" w:rsidRPr="00C85476" w:rsidRDefault="000647FA" w:rsidP="000647FA">
            <w:pPr>
              <w:pStyle w:val="TableText"/>
              <w:rPr>
                <w:sz w:val="18"/>
              </w:rPr>
            </w:pPr>
            <w:r w:rsidRPr="00C85476">
              <w:rPr>
                <w:sz w:val="18"/>
              </w:rPr>
              <w:t>Address the market inability to deliver a public good.</w:t>
            </w:r>
          </w:p>
        </w:tc>
        <w:tc>
          <w:tcPr>
            <w:tcW w:w="3392" w:type="dxa"/>
            <w:vAlign w:val="center"/>
          </w:tcPr>
          <w:p w14:paraId="4796D3D0" w14:textId="77777777" w:rsidR="000647FA" w:rsidRPr="000647FA" w:rsidRDefault="000647FA" w:rsidP="000647FA">
            <w:pPr>
              <w:pStyle w:val="TableText"/>
              <w:rPr>
                <w:sz w:val="18"/>
              </w:rPr>
            </w:pPr>
            <w:r w:rsidRPr="000647FA">
              <w:rPr>
                <w:rFonts w:ascii="Calibri" w:hAnsi="Calibri"/>
                <w:color w:val="000000"/>
                <w:sz w:val="18"/>
                <w:szCs w:val="20"/>
              </w:rPr>
              <w:t>Promotion of environmentally sound management of hazardous wastes, wherever the place of disposal.</w:t>
            </w:r>
          </w:p>
        </w:tc>
        <w:tc>
          <w:tcPr>
            <w:tcW w:w="1650" w:type="dxa"/>
            <w:shd w:val="clear" w:color="auto" w:fill="auto"/>
            <w:vAlign w:val="center"/>
            <w:hideMark/>
          </w:tcPr>
          <w:p w14:paraId="00489AB9" w14:textId="77777777" w:rsidR="000647FA" w:rsidRPr="00C85476" w:rsidRDefault="000647FA" w:rsidP="00B31BF4">
            <w:pPr>
              <w:pStyle w:val="TableText"/>
              <w:jc w:val="center"/>
              <w:rPr>
                <w:sz w:val="18"/>
              </w:rPr>
            </w:pPr>
            <w:r w:rsidRPr="00C85476">
              <w:rPr>
                <w:sz w:val="18"/>
              </w:rPr>
              <w:t>Yes</w:t>
            </w:r>
          </w:p>
        </w:tc>
        <w:tc>
          <w:tcPr>
            <w:tcW w:w="1650" w:type="dxa"/>
            <w:shd w:val="clear" w:color="auto" w:fill="auto"/>
            <w:noWrap/>
            <w:vAlign w:val="center"/>
            <w:hideMark/>
          </w:tcPr>
          <w:p w14:paraId="7C645B9B"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311B568D" w14:textId="77777777" w:rsidR="000647FA" w:rsidRPr="00C85476" w:rsidRDefault="000647FA" w:rsidP="00B31BF4">
            <w:pPr>
              <w:pStyle w:val="TableText"/>
              <w:jc w:val="center"/>
              <w:rPr>
                <w:sz w:val="18"/>
              </w:rPr>
            </w:pPr>
            <w:r w:rsidRPr="00C85476">
              <w:rPr>
                <w:sz w:val="18"/>
              </w:rPr>
              <w:t>Moderate benefit</w:t>
            </w:r>
          </w:p>
        </w:tc>
        <w:tc>
          <w:tcPr>
            <w:tcW w:w="1650" w:type="dxa"/>
            <w:shd w:val="clear" w:color="auto" w:fill="auto"/>
            <w:noWrap/>
            <w:vAlign w:val="center"/>
            <w:hideMark/>
          </w:tcPr>
          <w:p w14:paraId="00D43039" w14:textId="77777777" w:rsidR="000647FA" w:rsidRPr="00C85476" w:rsidRDefault="000647FA" w:rsidP="00B31BF4">
            <w:pPr>
              <w:pStyle w:val="TableText"/>
              <w:jc w:val="center"/>
              <w:rPr>
                <w:sz w:val="18"/>
              </w:rPr>
            </w:pPr>
            <w:r w:rsidRPr="00C85476">
              <w:rPr>
                <w:sz w:val="18"/>
              </w:rPr>
              <w:t>Moderate cost</w:t>
            </w:r>
          </w:p>
        </w:tc>
        <w:tc>
          <w:tcPr>
            <w:tcW w:w="1650" w:type="dxa"/>
            <w:shd w:val="clear" w:color="auto" w:fill="auto"/>
            <w:noWrap/>
            <w:vAlign w:val="center"/>
            <w:hideMark/>
          </w:tcPr>
          <w:p w14:paraId="674ABBBE" w14:textId="77777777" w:rsidR="000647FA" w:rsidRPr="00C85476" w:rsidRDefault="000647FA" w:rsidP="00B31BF4">
            <w:pPr>
              <w:pStyle w:val="TableText"/>
              <w:jc w:val="center"/>
              <w:rPr>
                <w:sz w:val="18"/>
              </w:rPr>
            </w:pPr>
            <w:r w:rsidRPr="00C85476">
              <w:rPr>
                <w:sz w:val="18"/>
              </w:rPr>
              <w:t>3 years</w:t>
            </w:r>
          </w:p>
        </w:tc>
        <w:tc>
          <w:tcPr>
            <w:tcW w:w="3525" w:type="dxa"/>
            <w:shd w:val="clear" w:color="auto" w:fill="92D050"/>
            <w:vAlign w:val="center"/>
            <w:hideMark/>
          </w:tcPr>
          <w:p w14:paraId="39115B57" w14:textId="77777777" w:rsidR="000647FA" w:rsidRPr="00C85476" w:rsidRDefault="000647FA" w:rsidP="000647FA">
            <w:pPr>
              <w:pStyle w:val="TableText"/>
              <w:rPr>
                <w:sz w:val="18"/>
              </w:rPr>
            </w:pPr>
            <w:r>
              <w:rPr>
                <w:sz w:val="18"/>
              </w:rPr>
              <w:t>Assess.</w:t>
            </w:r>
          </w:p>
        </w:tc>
      </w:tr>
      <w:tr w:rsidR="000647FA" w:rsidRPr="00C85476" w14:paraId="65EB55BF" w14:textId="77777777" w:rsidTr="00B31BF4">
        <w:trPr>
          <w:trHeight w:val="801"/>
          <w:jc w:val="center"/>
        </w:trPr>
        <w:tc>
          <w:tcPr>
            <w:tcW w:w="2410" w:type="dxa"/>
            <w:shd w:val="clear" w:color="auto" w:fill="auto"/>
            <w:vAlign w:val="center"/>
            <w:hideMark/>
          </w:tcPr>
          <w:p w14:paraId="4E20DB6E" w14:textId="77777777" w:rsidR="000647FA" w:rsidRPr="00C85476" w:rsidRDefault="000647FA" w:rsidP="000647FA">
            <w:pPr>
              <w:pStyle w:val="TableText"/>
              <w:rPr>
                <w:sz w:val="18"/>
              </w:rPr>
            </w:pPr>
            <w:r w:rsidRPr="00C85476">
              <w:rPr>
                <w:sz w:val="18"/>
              </w:rPr>
              <w:t>j) Nationally consistent arrangement on hazardous waste data collection and reporting</w:t>
            </w:r>
          </w:p>
        </w:tc>
        <w:tc>
          <w:tcPr>
            <w:tcW w:w="1559" w:type="dxa"/>
            <w:shd w:val="clear" w:color="auto" w:fill="auto"/>
            <w:vAlign w:val="center"/>
            <w:hideMark/>
          </w:tcPr>
          <w:p w14:paraId="5D8EFB21" w14:textId="77777777" w:rsidR="000647FA" w:rsidRPr="00C85476" w:rsidRDefault="000647FA" w:rsidP="000647FA">
            <w:pPr>
              <w:pStyle w:val="TableText"/>
              <w:rPr>
                <w:sz w:val="18"/>
              </w:rPr>
            </w:pPr>
            <w:r>
              <w:rPr>
                <w:sz w:val="18"/>
              </w:rPr>
              <w:t>Q</w:t>
            </w:r>
            <w:r w:rsidRPr="00C85476">
              <w:rPr>
                <w:sz w:val="18"/>
              </w:rPr>
              <w:t>uasi-regulatory</w:t>
            </w:r>
            <w:r>
              <w:rPr>
                <w:sz w:val="18"/>
              </w:rPr>
              <w:t>.</w:t>
            </w:r>
          </w:p>
        </w:tc>
        <w:tc>
          <w:tcPr>
            <w:tcW w:w="2420" w:type="dxa"/>
            <w:shd w:val="clear" w:color="auto" w:fill="auto"/>
            <w:vAlign w:val="center"/>
            <w:hideMark/>
          </w:tcPr>
          <w:p w14:paraId="5144F79B" w14:textId="77777777" w:rsidR="000647FA" w:rsidRPr="00C85476" w:rsidRDefault="000647FA" w:rsidP="000647FA">
            <w:pPr>
              <w:pStyle w:val="TableText"/>
              <w:rPr>
                <w:sz w:val="18"/>
              </w:rPr>
            </w:pPr>
            <w:r w:rsidRPr="00C85476">
              <w:rPr>
                <w:sz w:val="18"/>
              </w:rPr>
              <w:t>Correct an information gap or asymmetry.</w:t>
            </w:r>
          </w:p>
        </w:tc>
        <w:tc>
          <w:tcPr>
            <w:tcW w:w="3392" w:type="dxa"/>
            <w:vAlign w:val="center"/>
          </w:tcPr>
          <w:p w14:paraId="5DDBCE3F" w14:textId="77777777" w:rsidR="000647FA" w:rsidRPr="000647FA" w:rsidRDefault="000647FA" w:rsidP="000647FA">
            <w:pPr>
              <w:pStyle w:val="TableText"/>
              <w:rPr>
                <w:sz w:val="18"/>
              </w:rPr>
            </w:pPr>
            <w:r w:rsidRPr="000647FA">
              <w:rPr>
                <w:rFonts w:ascii="Calibri" w:hAnsi="Calibri"/>
                <w:color w:val="000000"/>
                <w:sz w:val="18"/>
                <w:szCs w:val="20"/>
              </w:rPr>
              <w:t>Annual reporting on hazardous waste.</w:t>
            </w:r>
          </w:p>
        </w:tc>
        <w:tc>
          <w:tcPr>
            <w:tcW w:w="1650" w:type="dxa"/>
            <w:shd w:val="clear" w:color="auto" w:fill="auto"/>
            <w:vAlign w:val="center"/>
            <w:hideMark/>
          </w:tcPr>
          <w:p w14:paraId="54843807"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6F664905"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420C34E9" w14:textId="77777777" w:rsidR="000647FA" w:rsidRPr="00C85476" w:rsidRDefault="000647FA" w:rsidP="00B31BF4">
            <w:pPr>
              <w:pStyle w:val="TableText"/>
              <w:jc w:val="center"/>
              <w:rPr>
                <w:sz w:val="18"/>
              </w:rPr>
            </w:pPr>
            <w:r w:rsidRPr="00C85476">
              <w:rPr>
                <w:sz w:val="18"/>
              </w:rPr>
              <w:t>Significant benefit</w:t>
            </w:r>
          </w:p>
        </w:tc>
        <w:tc>
          <w:tcPr>
            <w:tcW w:w="1650" w:type="dxa"/>
            <w:shd w:val="clear" w:color="auto" w:fill="auto"/>
            <w:noWrap/>
            <w:vAlign w:val="center"/>
            <w:hideMark/>
          </w:tcPr>
          <w:p w14:paraId="69569E4B" w14:textId="77777777" w:rsidR="000647FA" w:rsidRPr="00C85476" w:rsidRDefault="000647FA" w:rsidP="00B31BF4">
            <w:pPr>
              <w:pStyle w:val="TableText"/>
              <w:jc w:val="center"/>
              <w:rPr>
                <w:sz w:val="18"/>
              </w:rPr>
            </w:pPr>
            <w:r w:rsidRPr="00C85476">
              <w:rPr>
                <w:sz w:val="18"/>
              </w:rPr>
              <w:t>Moderate cost</w:t>
            </w:r>
          </w:p>
        </w:tc>
        <w:tc>
          <w:tcPr>
            <w:tcW w:w="1650" w:type="dxa"/>
            <w:shd w:val="clear" w:color="auto" w:fill="auto"/>
            <w:noWrap/>
            <w:vAlign w:val="center"/>
            <w:hideMark/>
          </w:tcPr>
          <w:p w14:paraId="3B03804F" w14:textId="77777777" w:rsidR="000647FA" w:rsidRPr="00C85476" w:rsidRDefault="000647FA" w:rsidP="00B31BF4">
            <w:pPr>
              <w:pStyle w:val="TableText"/>
              <w:jc w:val="center"/>
              <w:rPr>
                <w:sz w:val="18"/>
              </w:rPr>
            </w:pPr>
            <w:r w:rsidRPr="00C85476">
              <w:rPr>
                <w:sz w:val="18"/>
              </w:rPr>
              <w:t>3 years</w:t>
            </w:r>
          </w:p>
        </w:tc>
        <w:tc>
          <w:tcPr>
            <w:tcW w:w="3525" w:type="dxa"/>
            <w:shd w:val="clear" w:color="auto" w:fill="FFFF00"/>
            <w:vAlign w:val="center"/>
            <w:hideMark/>
          </w:tcPr>
          <w:p w14:paraId="105E211B" w14:textId="77777777" w:rsidR="000647FA" w:rsidRDefault="000647FA" w:rsidP="000647FA">
            <w:pPr>
              <w:pStyle w:val="TableText"/>
              <w:rPr>
                <w:sz w:val="18"/>
              </w:rPr>
            </w:pPr>
            <w:r>
              <w:rPr>
                <w:sz w:val="18"/>
              </w:rPr>
              <w:t>Do not assess.</w:t>
            </w:r>
          </w:p>
          <w:p w14:paraId="0628CA73" w14:textId="77777777" w:rsidR="000647FA" w:rsidRPr="00C85476" w:rsidRDefault="000647FA" w:rsidP="000647FA">
            <w:pPr>
              <w:pStyle w:val="TableText"/>
              <w:rPr>
                <w:sz w:val="18"/>
              </w:rPr>
            </w:pPr>
            <w:r>
              <w:rPr>
                <w:sz w:val="18"/>
              </w:rPr>
              <w:t xml:space="preserve">Consider </w:t>
            </w:r>
            <w:r w:rsidRPr="00C85476">
              <w:rPr>
                <w:sz w:val="18"/>
              </w:rPr>
              <w:t>ou</w:t>
            </w:r>
            <w:r>
              <w:rPr>
                <w:sz w:val="18"/>
              </w:rPr>
              <w:t xml:space="preserve">tside of a regulatory framework as it is a </w:t>
            </w:r>
            <w:r w:rsidR="00714EF7">
              <w:rPr>
                <w:sz w:val="18"/>
              </w:rPr>
              <w:t>quasi</w:t>
            </w:r>
            <w:r w:rsidRPr="00C85476">
              <w:rPr>
                <w:sz w:val="18"/>
              </w:rPr>
              <w:t>-regulatory reform</w:t>
            </w:r>
            <w:r>
              <w:rPr>
                <w:sz w:val="18"/>
              </w:rPr>
              <w:t>.</w:t>
            </w:r>
          </w:p>
        </w:tc>
      </w:tr>
      <w:tr w:rsidR="000647FA" w:rsidRPr="00C85476" w14:paraId="690C66D8" w14:textId="77777777" w:rsidTr="00B31BF4">
        <w:trPr>
          <w:trHeight w:val="801"/>
          <w:jc w:val="center"/>
        </w:trPr>
        <w:tc>
          <w:tcPr>
            <w:tcW w:w="2410" w:type="dxa"/>
            <w:shd w:val="clear" w:color="auto" w:fill="auto"/>
            <w:vAlign w:val="center"/>
            <w:hideMark/>
          </w:tcPr>
          <w:p w14:paraId="10457487" w14:textId="77777777" w:rsidR="000647FA" w:rsidRPr="00C85476" w:rsidRDefault="000647FA" w:rsidP="000647FA">
            <w:pPr>
              <w:pStyle w:val="TableText"/>
              <w:rPr>
                <w:sz w:val="18"/>
              </w:rPr>
            </w:pPr>
            <w:r w:rsidRPr="00C85476">
              <w:rPr>
                <w:sz w:val="18"/>
              </w:rPr>
              <w:t>k) Powers to establish and maintain hazardous waste facilities</w:t>
            </w:r>
          </w:p>
        </w:tc>
        <w:tc>
          <w:tcPr>
            <w:tcW w:w="1559" w:type="dxa"/>
            <w:shd w:val="clear" w:color="auto" w:fill="auto"/>
            <w:vAlign w:val="center"/>
            <w:hideMark/>
          </w:tcPr>
          <w:p w14:paraId="53942759" w14:textId="77777777" w:rsidR="000647FA" w:rsidRPr="00C85476" w:rsidRDefault="000647FA" w:rsidP="000647FA">
            <w:pPr>
              <w:pStyle w:val="TableText"/>
              <w:rPr>
                <w:sz w:val="18"/>
              </w:rPr>
            </w:pPr>
            <w:r>
              <w:rPr>
                <w:sz w:val="18"/>
              </w:rPr>
              <w:t>L</w:t>
            </w:r>
            <w:r w:rsidRPr="00C85476">
              <w:rPr>
                <w:sz w:val="18"/>
              </w:rPr>
              <w:t>egislated</w:t>
            </w:r>
            <w:r>
              <w:rPr>
                <w:sz w:val="18"/>
              </w:rPr>
              <w:t>.</w:t>
            </w:r>
          </w:p>
        </w:tc>
        <w:tc>
          <w:tcPr>
            <w:tcW w:w="2420" w:type="dxa"/>
            <w:shd w:val="clear" w:color="auto" w:fill="auto"/>
            <w:vAlign w:val="center"/>
            <w:hideMark/>
          </w:tcPr>
          <w:p w14:paraId="75B66608" w14:textId="77777777" w:rsidR="000647FA" w:rsidRPr="00C85476" w:rsidRDefault="000647FA" w:rsidP="000647FA">
            <w:pPr>
              <w:pStyle w:val="TableText"/>
              <w:rPr>
                <w:sz w:val="18"/>
              </w:rPr>
            </w:pPr>
            <w:r w:rsidRPr="00C85476">
              <w:rPr>
                <w:sz w:val="18"/>
              </w:rPr>
              <w:t>Address the market inability to deliver a public good.</w:t>
            </w:r>
          </w:p>
        </w:tc>
        <w:tc>
          <w:tcPr>
            <w:tcW w:w="3392" w:type="dxa"/>
            <w:vAlign w:val="center"/>
          </w:tcPr>
          <w:p w14:paraId="717545E7" w14:textId="77777777" w:rsidR="000647FA" w:rsidRPr="000647FA" w:rsidRDefault="000647FA" w:rsidP="000647FA">
            <w:pPr>
              <w:pStyle w:val="TableText"/>
              <w:rPr>
                <w:sz w:val="18"/>
              </w:rPr>
            </w:pPr>
            <w:r w:rsidRPr="000647FA">
              <w:rPr>
                <w:rFonts w:ascii="Calibri" w:hAnsi="Calibri"/>
                <w:color w:val="000000"/>
                <w:sz w:val="18"/>
                <w:szCs w:val="20"/>
              </w:rPr>
              <w:t>Restriction of transboundary movements of hazardous wastes, except where it is perceived to be in accordance with the principles of environmentally sound management.</w:t>
            </w:r>
          </w:p>
        </w:tc>
        <w:tc>
          <w:tcPr>
            <w:tcW w:w="1650" w:type="dxa"/>
            <w:shd w:val="clear" w:color="auto" w:fill="auto"/>
            <w:vAlign w:val="center"/>
            <w:hideMark/>
          </w:tcPr>
          <w:p w14:paraId="3B0798A4"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2D77B0CF" w14:textId="77777777" w:rsidR="000647FA" w:rsidRPr="00C85476" w:rsidRDefault="000647FA" w:rsidP="00B31BF4">
            <w:pPr>
              <w:pStyle w:val="TableText"/>
              <w:jc w:val="center"/>
              <w:rPr>
                <w:sz w:val="18"/>
              </w:rPr>
            </w:pPr>
            <w:r w:rsidRPr="00C85476">
              <w:rPr>
                <w:sz w:val="18"/>
              </w:rPr>
              <w:t>No</w:t>
            </w:r>
          </w:p>
        </w:tc>
        <w:tc>
          <w:tcPr>
            <w:tcW w:w="1650" w:type="dxa"/>
            <w:shd w:val="clear" w:color="auto" w:fill="auto"/>
            <w:noWrap/>
            <w:vAlign w:val="center"/>
            <w:hideMark/>
          </w:tcPr>
          <w:p w14:paraId="63C6B7E2" w14:textId="77777777" w:rsidR="000647FA" w:rsidRPr="00C85476" w:rsidRDefault="000647FA" w:rsidP="00B31BF4">
            <w:pPr>
              <w:pStyle w:val="TableText"/>
              <w:jc w:val="center"/>
              <w:rPr>
                <w:sz w:val="18"/>
              </w:rPr>
            </w:pPr>
            <w:r w:rsidRPr="00C85476">
              <w:rPr>
                <w:sz w:val="18"/>
              </w:rPr>
              <w:t>Unknown</w:t>
            </w:r>
          </w:p>
        </w:tc>
        <w:tc>
          <w:tcPr>
            <w:tcW w:w="1650" w:type="dxa"/>
            <w:shd w:val="clear" w:color="auto" w:fill="auto"/>
            <w:noWrap/>
            <w:vAlign w:val="center"/>
            <w:hideMark/>
          </w:tcPr>
          <w:p w14:paraId="59894C44" w14:textId="77777777" w:rsidR="000647FA" w:rsidRPr="00C85476" w:rsidRDefault="000647FA" w:rsidP="00B31BF4">
            <w:pPr>
              <w:pStyle w:val="TableText"/>
              <w:jc w:val="center"/>
              <w:rPr>
                <w:sz w:val="18"/>
              </w:rPr>
            </w:pPr>
            <w:r>
              <w:rPr>
                <w:sz w:val="18"/>
              </w:rPr>
              <w:t>Neutral</w:t>
            </w:r>
          </w:p>
        </w:tc>
        <w:tc>
          <w:tcPr>
            <w:tcW w:w="1650" w:type="dxa"/>
            <w:shd w:val="clear" w:color="auto" w:fill="auto"/>
            <w:noWrap/>
            <w:vAlign w:val="center"/>
            <w:hideMark/>
          </w:tcPr>
          <w:p w14:paraId="033FAD84" w14:textId="77777777" w:rsidR="000647FA" w:rsidRPr="00C85476" w:rsidRDefault="000647FA" w:rsidP="00B31BF4">
            <w:pPr>
              <w:pStyle w:val="TableText"/>
              <w:jc w:val="center"/>
              <w:rPr>
                <w:sz w:val="18"/>
              </w:rPr>
            </w:pPr>
            <w:r w:rsidRPr="00C85476">
              <w:rPr>
                <w:sz w:val="18"/>
              </w:rPr>
              <w:t>3 years</w:t>
            </w:r>
          </w:p>
        </w:tc>
        <w:tc>
          <w:tcPr>
            <w:tcW w:w="3525" w:type="dxa"/>
            <w:shd w:val="clear" w:color="auto" w:fill="92D050"/>
            <w:vAlign w:val="center"/>
            <w:hideMark/>
          </w:tcPr>
          <w:p w14:paraId="3CF04824" w14:textId="77777777" w:rsidR="000647FA" w:rsidRPr="00C85476" w:rsidRDefault="000647FA" w:rsidP="000647FA">
            <w:pPr>
              <w:pStyle w:val="TableText"/>
              <w:rPr>
                <w:sz w:val="18"/>
              </w:rPr>
            </w:pPr>
            <w:r>
              <w:rPr>
                <w:sz w:val="18"/>
              </w:rPr>
              <w:t>Assess.</w:t>
            </w:r>
          </w:p>
        </w:tc>
      </w:tr>
      <w:tr w:rsidR="00B31BF4" w:rsidRPr="00C85476" w14:paraId="38867842" w14:textId="77777777" w:rsidTr="00B31BF4">
        <w:trPr>
          <w:trHeight w:val="801"/>
          <w:jc w:val="center"/>
        </w:trPr>
        <w:tc>
          <w:tcPr>
            <w:tcW w:w="2410" w:type="dxa"/>
            <w:shd w:val="clear" w:color="auto" w:fill="auto"/>
            <w:vAlign w:val="center"/>
          </w:tcPr>
          <w:p w14:paraId="1BD24E2E" w14:textId="77777777" w:rsidR="00B31BF4" w:rsidRPr="00C85476" w:rsidRDefault="00B31BF4" w:rsidP="00B31BF4">
            <w:pPr>
              <w:pStyle w:val="TableText"/>
              <w:rPr>
                <w:sz w:val="18"/>
              </w:rPr>
            </w:pPr>
            <w:r w:rsidRPr="00C85476">
              <w:rPr>
                <w:sz w:val="18"/>
              </w:rPr>
              <w:t>l) Nationally consistent system for tracking hazardous waste movements</w:t>
            </w:r>
          </w:p>
        </w:tc>
        <w:tc>
          <w:tcPr>
            <w:tcW w:w="1559" w:type="dxa"/>
            <w:shd w:val="clear" w:color="auto" w:fill="auto"/>
            <w:vAlign w:val="center"/>
          </w:tcPr>
          <w:p w14:paraId="6E0DE8CA" w14:textId="77777777" w:rsidR="00B31BF4" w:rsidRDefault="00B31BF4" w:rsidP="00B31BF4">
            <w:pPr>
              <w:pStyle w:val="TableText"/>
              <w:rPr>
                <w:sz w:val="18"/>
              </w:rPr>
            </w:pPr>
            <w:r>
              <w:rPr>
                <w:sz w:val="18"/>
              </w:rPr>
              <w:t>Legislated</w:t>
            </w:r>
            <w:r w:rsidRPr="0092461C">
              <w:rPr>
                <w:sz w:val="18"/>
              </w:rPr>
              <w:t xml:space="preserve"> or quasi-regulatory</w:t>
            </w:r>
            <w:r>
              <w:rPr>
                <w:sz w:val="18"/>
              </w:rPr>
              <w:t>.</w:t>
            </w:r>
          </w:p>
        </w:tc>
        <w:tc>
          <w:tcPr>
            <w:tcW w:w="2420" w:type="dxa"/>
            <w:shd w:val="clear" w:color="auto" w:fill="auto"/>
            <w:vAlign w:val="center"/>
          </w:tcPr>
          <w:p w14:paraId="26A8826C" w14:textId="77777777" w:rsidR="00B31BF4" w:rsidRPr="00C85476" w:rsidRDefault="00B31BF4" w:rsidP="00B31BF4">
            <w:pPr>
              <w:pStyle w:val="TableText"/>
              <w:rPr>
                <w:sz w:val="18"/>
              </w:rPr>
            </w:pPr>
            <w:r w:rsidRPr="00C85476">
              <w:rPr>
                <w:sz w:val="18"/>
              </w:rPr>
              <w:t>Correct an information gap or asymmetry.</w:t>
            </w:r>
          </w:p>
        </w:tc>
        <w:tc>
          <w:tcPr>
            <w:tcW w:w="3392" w:type="dxa"/>
            <w:vAlign w:val="center"/>
          </w:tcPr>
          <w:p w14:paraId="29A03896" w14:textId="77777777" w:rsidR="00B31BF4" w:rsidRPr="000647FA" w:rsidRDefault="00B31BF4" w:rsidP="00B31BF4">
            <w:pPr>
              <w:pStyle w:val="TableText"/>
              <w:rPr>
                <w:rFonts w:ascii="Calibri" w:hAnsi="Calibri"/>
                <w:color w:val="000000"/>
                <w:sz w:val="18"/>
                <w:szCs w:val="20"/>
              </w:rPr>
            </w:pPr>
            <w:r w:rsidRPr="000647FA">
              <w:rPr>
                <w:rFonts w:ascii="Calibri" w:hAnsi="Calibri"/>
                <w:color w:val="000000"/>
                <w:sz w:val="18"/>
                <w:szCs w:val="20"/>
              </w:rPr>
              <w:t>Annual reporting on hazardous waste.</w:t>
            </w:r>
          </w:p>
        </w:tc>
        <w:tc>
          <w:tcPr>
            <w:tcW w:w="1650" w:type="dxa"/>
            <w:shd w:val="clear" w:color="auto" w:fill="auto"/>
            <w:vAlign w:val="center"/>
          </w:tcPr>
          <w:p w14:paraId="02A793AF" w14:textId="77777777" w:rsidR="00B31BF4" w:rsidRPr="00C85476" w:rsidRDefault="00B31BF4" w:rsidP="00B31BF4">
            <w:pPr>
              <w:pStyle w:val="TableText"/>
              <w:jc w:val="center"/>
              <w:rPr>
                <w:sz w:val="18"/>
              </w:rPr>
            </w:pPr>
            <w:r w:rsidRPr="00C85476">
              <w:rPr>
                <w:sz w:val="18"/>
              </w:rPr>
              <w:t>Yes</w:t>
            </w:r>
          </w:p>
        </w:tc>
        <w:tc>
          <w:tcPr>
            <w:tcW w:w="1650" w:type="dxa"/>
            <w:shd w:val="clear" w:color="auto" w:fill="auto"/>
            <w:noWrap/>
            <w:vAlign w:val="center"/>
          </w:tcPr>
          <w:p w14:paraId="71D95519" w14:textId="77777777" w:rsidR="00B31BF4" w:rsidRPr="00C85476" w:rsidRDefault="00B31BF4" w:rsidP="00B31BF4">
            <w:pPr>
              <w:pStyle w:val="TableText"/>
              <w:jc w:val="center"/>
              <w:rPr>
                <w:sz w:val="18"/>
              </w:rPr>
            </w:pPr>
            <w:r w:rsidRPr="00C85476">
              <w:rPr>
                <w:sz w:val="18"/>
              </w:rPr>
              <w:t>Perhaps</w:t>
            </w:r>
          </w:p>
        </w:tc>
        <w:tc>
          <w:tcPr>
            <w:tcW w:w="1650" w:type="dxa"/>
            <w:shd w:val="clear" w:color="auto" w:fill="auto"/>
            <w:noWrap/>
            <w:vAlign w:val="center"/>
          </w:tcPr>
          <w:p w14:paraId="39A28696" w14:textId="77777777" w:rsidR="00B31BF4" w:rsidRPr="00C85476" w:rsidRDefault="00B31BF4" w:rsidP="00B31BF4">
            <w:pPr>
              <w:pStyle w:val="TableText"/>
              <w:jc w:val="center"/>
              <w:rPr>
                <w:sz w:val="18"/>
              </w:rPr>
            </w:pPr>
            <w:r w:rsidRPr="00C85476">
              <w:rPr>
                <w:sz w:val="18"/>
              </w:rPr>
              <w:t>Significant benefit</w:t>
            </w:r>
          </w:p>
        </w:tc>
        <w:tc>
          <w:tcPr>
            <w:tcW w:w="1650" w:type="dxa"/>
            <w:shd w:val="clear" w:color="auto" w:fill="auto"/>
            <w:noWrap/>
            <w:vAlign w:val="center"/>
          </w:tcPr>
          <w:p w14:paraId="2B1205A1" w14:textId="77777777" w:rsidR="00B31BF4" w:rsidRDefault="00B31BF4" w:rsidP="00B31BF4">
            <w:pPr>
              <w:pStyle w:val="TableText"/>
              <w:jc w:val="center"/>
              <w:rPr>
                <w:sz w:val="18"/>
              </w:rPr>
            </w:pPr>
            <w:r w:rsidRPr="00C85476">
              <w:rPr>
                <w:sz w:val="18"/>
              </w:rPr>
              <w:t>Significant benefit</w:t>
            </w:r>
          </w:p>
        </w:tc>
        <w:tc>
          <w:tcPr>
            <w:tcW w:w="1650" w:type="dxa"/>
            <w:shd w:val="clear" w:color="auto" w:fill="auto"/>
            <w:noWrap/>
            <w:vAlign w:val="center"/>
          </w:tcPr>
          <w:p w14:paraId="6D6EC2DC" w14:textId="77777777" w:rsidR="00B31BF4" w:rsidRPr="00C85476" w:rsidRDefault="00B31BF4" w:rsidP="00B31BF4">
            <w:pPr>
              <w:pStyle w:val="TableText"/>
              <w:jc w:val="center"/>
              <w:rPr>
                <w:sz w:val="18"/>
              </w:rPr>
            </w:pPr>
            <w:r w:rsidRPr="00C85476">
              <w:rPr>
                <w:sz w:val="18"/>
              </w:rPr>
              <w:t>5–7 years</w:t>
            </w:r>
          </w:p>
        </w:tc>
        <w:tc>
          <w:tcPr>
            <w:tcW w:w="3525" w:type="dxa"/>
            <w:shd w:val="clear" w:color="auto" w:fill="92D050"/>
            <w:vAlign w:val="center"/>
          </w:tcPr>
          <w:p w14:paraId="4D3655CD" w14:textId="77777777" w:rsidR="00B31BF4" w:rsidRDefault="00B31BF4" w:rsidP="00B31BF4">
            <w:pPr>
              <w:pStyle w:val="TableText"/>
              <w:rPr>
                <w:sz w:val="18"/>
              </w:rPr>
            </w:pPr>
            <w:r>
              <w:rPr>
                <w:sz w:val="18"/>
              </w:rPr>
              <w:t>Assess.</w:t>
            </w:r>
          </w:p>
        </w:tc>
      </w:tr>
    </w:tbl>
    <w:p w14:paraId="19C04D34" w14:textId="6CAA2C7B" w:rsidR="00A902C8" w:rsidRPr="00C85476" w:rsidRDefault="00A902C8" w:rsidP="00A902C8">
      <w:pPr>
        <w:keepNext/>
        <w:keepLines/>
        <w:spacing w:after="120" w:line="240" w:lineRule="auto"/>
        <w:rPr>
          <w:b/>
        </w:rPr>
      </w:pPr>
      <w:r w:rsidRPr="00C85476">
        <w:rPr>
          <w:b/>
        </w:rPr>
        <w:lastRenderedPageBreak/>
        <w:t xml:space="preserve">Table </w:t>
      </w:r>
      <w:r w:rsidR="00813833">
        <w:rPr>
          <w:b/>
          <w:noProof/>
        </w:rPr>
        <w:t>5</w:t>
      </w:r>
      <w:r w:rsidRPr="00C85476">
        <w:rPr>
          <w:b/>
        </w:rPr>
        <w:t xml:space="preserve"> – Summary evaluation of the reform options</w:t>
      </w:r>
      <w:r>
        <w:rPr>
          <w:b/>
        </w:rPr>
        <w:t xml:space="preserve"> (continued)</w:t>
      </w:r>
    </w:p>
    <w:tbl>
      <w:tblPr>
        <w:tblW w:w="21556" w:type="dxa"/>
        <w:jc w:val="center"/>
        <w:tblBorders>
          <w:top w:val="single" w:sz="8" w:space="0" w:color="00AD68"/>
          <w:bottom w:val="single" w:sz="8" w:space="0" w:color="00AD68"/>
          <w:insideH w:val="single" w:sz="8" w:space="0" w:color="00AD68"/>
        </w:tblBorders>
        <w:tblLayout w:type="fixed"/>
        <w:tblLook w:val="04A0" w:firstRow="1" w:lastRow="0" w:firstColumn="1" w:lastColumn="0" w:noHBand="0" w:noVBand="1"/>
      </w:tblPr>
      <w:tblGrid>
        <w:gridCol w:w="2410"/>
        <w:gridCol w:w="1559"/>
        <w:gridCol w:w="2420"/>
        <w:gridCol w:w="3392"/>
        <w:gridCol w:w="1650"/>
        <w:gridCol w:w="1650"/>
        <w:gridCol w:w="1650"/>
        <w:gridCol w:w="1650"/>
        <w:gridCol w:w="1650"/>
        <w:gridCol w:w="3525"/>
      </w:tblGrid>
      <w:tr w:rsidR="005A09FC" w:rsidRPr="00D10334" w14:paraId="4940C165" w14:textId="77777777" w:rsidTr="00E059F1">
        <w:trPr>
          <w:trHeight w:val="324"/>
          <w:tblHeader/>
          <w:jc w:val="center"/>
        </w:trPr>
        <w:tc>
          <w:tcPr>
            <w:tcW w:w="9781" w:type="dxa"/>
            <w:gridSpan w:val="4"/>
            <w:shd w:val="clear" w:color="auto" w:fill="D9D9D9" w:themeFill="background1" w:themeFillShade="D9"/>
            <w:vAlign w:val="center"/>
            <w:hideMark/>
          </w:tcPr>
          <w:p w14:paraId="015E7379" w14:textId="77777777" w:rsidR="005A09FC" w:rsidRPr="00F97560" w:rsidRDefault="005A09FC" w:rsidP="00E059F1">
            <w:pPr>
              <w:pStyle w:val="TableHeading"/>
              <w:rPr>
                <w:sz w:val="22"/>
              </w:rPr>
            </w:pPr>
            <w:r w:rsidRPr="00F97560">
              <w:rPr>
                <w:sz w:val="22"/>
              </w:rPr>
              <w:t>Reform option description</w:t>
            </w:r>
          </w:p>
        </w:tc>
        <w:tc>
          <w:tcPr>
            <w:tcW w:w="8250" w:type="dxa"/>
            <w:gridSpan w:val="5"/>
            <w:shd w:val="clear" w:color="auto" w:fill="BFBFBF" w:themeFill="background1" w:themeFillShade="BF"/>
            <w:noWrap/>
            <w:vAlign w:val="center"/>
            <w:hideMark/>
          </w:tcPr>
          <w:p w14:paraId="1F80A98C" w14:textId="77777777" w:rsidR="005A09FC" w:rsidRPr="00F97560" w:rsidRDefault="005A09FC" w:rsidP="00E059F1">
            <w:pPr>
              <w:pStyle w:val="TableHeading"/>
              <w:rPr>
                <w:sz w:val="22"/>
              </w:rPr>
            </w:pPr>
            <w:r w:rsidRPr="00F97560">
              <w:rPr>
                <w:sz w:val="22"/>
              </w:rPr>
              <w:t>Reform option assessment criteria</w:t>
            </w:r>
          </w:p>
        </w:tc>
        <w:tc>
          <w:tcPr>
            <w:tcW w:w="3525" w:type="dxa"/>
            <w:vMerge w:val="restart"/>
            <w:shd w:val="clear" w:color="auto" w:fill="D9D9D9" w:themeFill="background1" w:themeFillShade="D9"/>
            <w:noWrap/>
            <w:vAlign w:val="center"/>
            <w:hideMark/>
          </w:tcPr>
          <w:p w14:paraId="25F5295E" w14:textId="77777777" w:rsidR="005A09FC" w:rsidRPr="00F97560" w:rsidRDefault="005A09FC" w:rsidP="00E059F1">
            <w:pPr>
              <w:pStyle w:val="TableHeading"/>
              <w:rPr>
                <w:sz w:val="22"/>
              </w:rPr>
            </w:pPr>
            <w:r w:rsidRPr="00F97560">
              <w:rPr>
                <w:sz w:val="22"/>
              </w:rPr>
              <w:t>Recommendation for inclusion in</w:t>
            </w:r>
            <w:r w:rsidRPr="00F97560">
              <w:rPr>
                <w:sz w:val="22"/>
              </w:rPr>
              <w:br/>
              <w:t>Cost Benefit Analysis</w:t>
            </w:r>
          </w:p>
        </w:tc>
      </w:tr>
      <w:tr w:rsidR="005A09FC" w:rsidRPr="00D10334" w14:paraId="3EEC35B0" w14:textId="77777777" w:rsidTr="00E059F1">
        <w:trPr>
          <w:trHeight w:val="828"/>
          <w:tblHeader/>
          <w:jc w:val="center"/>
        </w:trPr>
        <w:tc>
          <w:tcPr>
            <w:tcW w:w="2410" w:type="dxa"/>
            <w:shd w:val="clear" w:color="auto" w:fill="D9D9D9" w:themeFill="background1" w:themeFillShade="D9"/>
            <w:vAlign w:val="center"/>
            <w:hideMark/>
          </w:tcPr>
          <w:p w14:paraId="54481166" w14:textId="77777777" w:rsidR="005A09FC" w:rsidRPr="000647FA" w:rsidRDefault="005A09FC" w:rsidP="00E059F1">
            <w:pPr>
              <w:pStyle w:val="TableHeading"/>
              <w:rPr>
                <w:sz w:val="18"/>
              </w:rPr>
            </w:pPr>
            <w:r w:rsidRPr="000647FA">
              <w:rPr>
                <w:sz w:val="18"/>
              </w:rPr>
              <w:t>Short-form reform option title</w:t>
            </w:r>
          </w:p>
        </w:tc>
        <w:tc>
          <w:tcPr>
            <w:tcW w:w="1559" w:type="dxa"/>
            <w:shd w:val="clear" w:color="auto" w:fill="D9D9D9" w:themeFill="background1" w:themeFillShade="D9"/>
            <w:vAlign w:val="center"/>
            <w:hideMark/>
          </w:tcPr>
          <w:p w14:paraId="6BD06625" w14:textId="77777777" w:rsidR="005A09FC" w:rsidRPr="000647FA" w:rsidRDefault="005A09FC" w:rsidP="00E059F1">
            <w:pPr>
              <w:pStyle w:val="TableHeading"/>
              <w:rPr>
                <w:sz w:val="18"/>
              </w:rPr>
            </w:pPr>
            <w:r w:rsidRPr="000647FA">
              <w:rPr>
                <w:sz w:val="18"/>
              </w:rPr>
              <w:t>Reform option regulatory status</w:t>
            </w:r>
          </w:p>
        </w:tc>
        <w:tc>
          <w:tcPr>
            <w:tcW w:w="2420" w:type="dxa"/>
            <w:shd w:val="clear" w:color="auto" w:fill="D9D9D9" w:themeFill="background1" w:themeFillShade="D9"/>
            <w:vAlign w:val="center"/>
            <w:hideMark/>
          </w:tcPr>
          <w:p w14:paraId="34EB8F74" w14:textId="77777777" w:rsidR="005A09FC" w:rsidRPr="000647FA" w:rsidRDefault="005A09FC" w:rsidP="00E059F1">
            <w:pPr>
              <w:pStyle w:val="TableHeading"/>
              <w:rPr>
                <w:sz w:val="18"/>
              </w:rPr>
            </w:pPr>
            <w:r w:rsidRPr="000647FA">
              <w:rPr>
                <w:sz w:val="18"/>
              </w:rPr>
              <w:t>Reform option purpose</w:t>
            </w:r>
          </w:p>
        </w:tc>
        <w:tc>
          <w:tcPr>
            <w:tcW w:w="3392" w:type="dxa"/>
            <w:shd w:val="clear" w:color="auto" w:fill="D9D9D9" w:themeFill="background1" w:themeFillShade="D9"/>
            <w:vAlign w:val="center"/>
          </w:tcPr>
          <w:p w14:paraId="4BEB3247" w14:textId="77777777" w:rsidR="005A09FC" w:rsidRPr="000647FA" w:rsidRDefault="005A09FC" w:rsidP="00E059F1">
            <w:pPr>
              <w:pStyle w:val="TableHeading"/>
              <w:rPr>
                <w:sz w:val="18"/>
              </w:rPr>
            </w:pPr>
            <w:r w:rsidRPr="000647FA">
              <w:rPr>
                <w:sz w:val="18"/>
              </w:rPr>
              <w:t>Primary international obligation relating to the reform option</w:t>
            </w:r>
          </w:p>
        </w:tc>
        <w:tc>
          <w:tcPr>
            <w:tcW w:w="1650" w:type="dxa"/>
            <w:shd w:val="clear" w:color="auto" w:fill="BFBFBF" w:themeFill="background1" w:themeFillShade="BF"/>
            <w:vAlign w:val="center"/>
            <w:hideMark/>
          </w:tcPr>
          <w:p w14:paraId="18F49F2B" w14:textId="77777777" w:rsidR="005A09FC" w:rsidRPr="000647FA" w:rsidRDefault="005A09FC" w:rsidP="00E059F1">
            <w:pPr>
              <w:pStyle w:val="TableHeading"/>
              <w:rPr>
                <w:sz w:val="18"/>
              </w:rPr>
            </w:pPr>
            <w:r w:rsidRPr="000647FA">
              <w:rPr>
                <w:sz w:val="18"/>
              </w:rPr>
              <w:t>Does the option have broad stakeholder support?</w:t>
            </w:r>
          </w:p>
        </w:tc>
        <w:tc>
          <w:tcPr>
            <w:tcW w:w="1650" w:type="dxa"/>
            <w:shd w:val="clear" w:color="auto" w:fill="BFBFBF" w:themeFill="background1" w:themeFillShade="BF"/>
            <w:vAlign w:val="center"/>
            <w:hideMark/>
          </w:tcPr>
          <w:p w14:paraId="7B8AF222" w14:textId="77777777" w:rsidR="005A09FC" w:rsidRPr="000647FA" w:rsidRDefault="005A09FC" w:rsidP="00E059F1">
            <w:pPr>
              <w:pStyle w:val="TableHeading"/>
              <w:rPr>
                <w:sz w:val="18"/>
              </w:rPr>
            </w:pPr>
            <w:r w:rsidRPr="000647FA">
              <w:rPr>
                <w:sz w:val="18"/>
              </w:rPr>
              <w:t>Are there signif. barriers that would prevent adoption?</w:t>
            </w:r>
          </w:p>
        </w:tc>
        <w:tc>
          <w:tcPr>
            <w:tcW w:w="1650" w:type="dxa"/>
            <w:shd w:val="clear" w:color="auto" w:fill="BFBFBF" w:themeFill="background1" w:themeFillShade="BF"/>
            <w:vAlign w:val="center"/>
            <w:hideMark/>
          </w:tcPr>
          <w:p w14:paraId="1C78076D" w14:textId="77777777" w:rsidR="005A09FC" w:rsidRPr="000647FA" w:rsidRDefault="005A09FC" w:rsidP="00E059F1">
            <w:pPr>
              <w:pStyle w:val="TableHeading"/>
              <w:rPr>
                <w:sz w:val="18"/>
              </w:rPr>
            </w:pPr>
            <w:r w:rsidRPr="000647FA">
              <w:rPr>
                <w:sz w:val="18"/>
              </w:rPr>
              <w:t>Potential for overall economic benefits</w:t>
            </w:r>
          </w:p>
        </w:tc>
        <w:tc>
          <w:tcPr>
            <w:tcW w:w="1650" w:type="dxa"/>
            <w:shd w:val="clear" w:color="auto" w:fill="BFBFBF" w:themeFill="background1" w:themeFillShade="BF"/>
            <w:vAlign w:val="center"/>
            <w:hideMark/>
          </w:tcPr>
          <w:p w14:paraId="43C1AADA" w14:textId="77777777" w:rsidR="005A09FC" w:rsidRPr="000647FA" w:rsidRDefault="005A09FC" w:rsidP="00E059F1">
            <w:pPr>
              <w:pStyle w:val="TableHeading"/>
              <w:rPr>
                <w:sz w:val="18"/>
              </w:rPr>
            </w:pPr>
            <w:r w:rsidRPr="000647FA">
              <w:rPr>
                <w:sz w:val="18"/>
              </w:rPr>
              <w:t>Likely regulatory (financial) impact on industry</w:t>
            </w:r>
          </w:p>
        </w:tc>
        <w:tc>
          <w:tcPr>
            <w:tcW w:w="1650" w:type="dxa"/>
            <w:shd w:val="clear" w:color="auto" w:fill="BFBFBF" w:themeFill="background1" w:themeFillShade="BF"/>
            <w:vAlign w:val="center"/>
            <w:hideMark/>
          </w:tcPr>
          <w:p w14:paraId="77C44742" w14:textId="77777777" w:rsidR="005A09FC" w:rsidRPr="000647FA" w:rsidRDefault="005A09FC" w:rsidP="00E059F1">
            <w:pPr>
              <w:pStyle w:val="TableHeading"/>
              <w:rPr>
                <w:sz w:val="18"/>
              </w:rPr>
            </w:pPr>
            <w:r w:rsidRPr="000647FA">
              <w:rPr>
                <w:sz w:val="18"/>
              </w:rPr>
              <w:t>Implementation timeframe</w:t>
            </w:r>
          </w:p>
        </w:tc>
        <w:tc>
          <w:tcPr>
            <w:tcW w:w="3525" w:type="dxa"/>
            <w:vMerge/>
            <w:shd w:val="clear" w:color="auto" w:fill="D9D9D9" w:themeFill="background1" w:themeFillShade="D9"/>
            <w:vAlign w:val="center"/>
            <w:hideMark/>
          </w:tcPr>
          <w:p w14:paraId="3FEE958E" w14:textId="77777777" w:rsidR="005A09FC" w:rsidRPr="000649A5" w:rsidRDefault="005A09FC" w:rsidP="00E059F1">
            <w:pPr>
              <w:pStyle w:val="TableHeading"/>
              <w:rPr>
                <w:sz w:val="24"/>
              </w:rPr>
            </w:pPr>
          </w:p>
        </w:tc>
      </w:tr>
      <w:tr w:rsidR="005A09FC" w:rsidRPr="00C85476" w14:paraId="4F0F342B" w14:textId="77777777" w:rsidTr="00E059F1">
        <w:trPr>
          <w:trHeight w:val="801"/>
          <w:jc w:val="center"/>
        </w:trPr>
        <w:tc>
          <w:tcPr>
            <w:tcW w:w="2410" w:type="dxa"/>
            <w:shd w:val="clear" w:color="auto" w:fill="auto"/>
            <w:vAlign w:val="center"/>
          </w:tcPr>
          <w:p w14:paraId="06D47742" w14:textId="77777777" w:rsidR="005A09FC" w:rsidRDefault="005A09FC" w:rsidP="00E059F1">
            <w:pPr>
              <w:pStyle w:val="TableText"/>
              <w:rPr>
                <w:sz w:val="18"/>
              </w:rPr>
            </w:pPr>
            <w:r w:rsidRPr="00B31BF4">
              <w:rPr>
                <w:sz w:val="18"/>
              </w:rPr>
              <w:t>m) Harmonisation of regulatory arrangements</w:t>
            </w:r>
          </w:p>
        </w:tc>
        <w:tc>
          <w:tcPr>
            <w:tcW w:w="1559" w:type="dxa"/>
            <w:shd w:val="clear" w:color="auto" w:fill="auto"/>
            <w:vAlign w:val="center"/>
          </w:tcPr>
          <w:p w14:paraId="1FEFDC0C" w14:textId="77777777" w:rsidR="005A09FC" w:rsidRDefault="005A09FC" w:rsidP="00E059F1">
            <w:pPr>
              <w:pStyle w:val="TableText"/>
              <w:rPr>
                <w:sz w:val="18"/>
              </w:rPr>
            </w:pPr>
            <w:r w:rsidRPr="00B31BF4">
              <w:rPr>
                <w:sz w:val="18"/>
              </w:rPr>
              <w:t>Legislated or quasi-regulatory.</w:t>
            </w:r>
          </w:p>
        </w:tc>
        <w:tc>
          <w:tcPr>
            <w:tcW w:w="2420" w:type="dxa"/>
            <w:shd w:val="clear" w:color="auto" w:fill="auto"/>
            <w:vAlign w:val="center"/>
          </w:tcPr>
          <w:p w14:paraId="4FD96D42" w14:textId="77777777" w:rsidR="005A09FC" w:rsidRPr="00C85476" w:rsidRDefault="005A09FC" w:rsidP="00E059F1">
            <w:pPr>
              <w:pStyle w:val="TableText"/>
              <w:rPr>
                <w:sz w:val="18"/>
              </w:rPr>
            </w:pPr>
            <w:r w:rsidRPr="00B31BF4">
              <w:rPr>
                <w:sz w:val="18"/>
              </w:rPr>
              <w:t>Harmonisation with other policy areas and creating a seamless national economy.</w:t>
            </w:r>
          </w:p>
        </w:tc>
        <w:tc>
          <w:tcPr>
            <w:tcW w:w="3392" w:type="dxa"/>
            <w:vAlign w:val="center"/>
          </w:tcPr>
          <w:p w14:paraId="63415FF4" w14:textId="2DC36189" w:rsidR="005A09FC" w:rsidRPr="00B31BF4" w:rsidRDefault="00791F27" w:rsidP="00E059F1">
            <w:pPr>
              <w:pStyle w:val="TableText"/>
              <w:rPr>
                <w:sz w:val="18"/>
              </w:rPr>
            </w:pPr>
            <w:r w:rsidRPr="00791F27">
              <w:rPr>
                <w:sz w:val="18"/>
              </w:rPr>
              <w:t>Promotion of environmentally sound management of hazardous wastes, wherever the place of disposal.</w:t>
            </w:r>
          </w:p>
        </w:tc>
        <w:tc>
          <w:tcPr>
            <w:tcW w:w="1650" w:type="dxa"/>
            <w:shd w:val="clear" w:color="auto" w:fill="auto"/>
            <w:vAlign w:val="center"/>
          </w:tcPr>
          <w:p w14:paraId="5E0B11D1"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69B77AA1"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3EE86E6C" w14:textId="77777777" w:rsidR="005A09FC" w:rsidRPr="00C85476" w:rsidRDefault="005A09FC" w:rsidP="00E059F1">
            <w:pPr>
              <w:pStyle w:val="TableText"/>
              <w:jc w:val="center"/>
              <w:rPr>
                <w:sz w:val="18"/>
              </w:rPr>
            </w:pPr>
            <w:r w:rsidRPr="00B31BF4">
              <w:rPr>
                <w:sz w:val="18"/>
              </w:rPr>
              <w:t>Significant benefit</w:t>
            </w:r>
          </w:p>
        </w:tc>
        <w:tc>
          <w:tcPr>
            <w:tcW w:w="1650" w:type="dxa"/>
            <w:shd w:val="clear" w:color="auto" w:fill="auto"/>
            <w:noWrap/>
            <w:vAlign w:val="center"/>
          </w:tcPr>
          <w:p w14:paraId="75E0E957" w14:textId="77777777" w:rsidR="005A09FC" w:rsidRDefault="005A09FC" w:rsidP="00E059F1">
            <w:pPr>
              <w:pStyle w:val="TableText"/>
              <w:jc w:val="center"/>
              <w:rPr>
                <w:sz w:val="18"/>
              </w:rPr>
            </w:pPr>
            <w:r w:rsidRPr="00B31BF4">
              <w:rPr>
                <w:sz w:val="18"/>
              </w:rPr>
              <w:t>Significant benefit</w:t>
            </w:r>
          </w:p>
        </w:tc>
        <w:tc>
          <w:tcPr>
            <w:tcW w:w="1650" w:type="dxa"/>
            <w:shd w:val="clear" w:color="auto" w:fill="auto"/>
            <w:noWrap/>
            <w:vAlign w:val="center"/>
          </w:tcPr>
          <w:p w14:paraId="5064B314" w14:textId="77777777" w:rsidR="005A09FC" w:rsidRPr="00C85476" w:rsidRDefault="005A09FC" w:rsidP="00E059F1">
            <w:pPr>
              <w:pStyle w:val="TableText"/>
              <w:jc w:val="center"/>
              <w:rPr>
                <w:sz w:val="18"/>
              </w:rPr>
            </w:pPr>
            <w:r w:rsidRPr="00B31BF4">
              <w:rPr>
                <w:sz w:val="18"/>
              </w:rPr>
              <w:t>5-7 years</w:t>
            </w:r>
          </w:p>
        </w:tc>
        <w:tc>
          <w:tcPr>
            <w:tcW w:w="3525" w:type="dxa"/>
            <w:shd w:val="clear" w:color="auto" w:fill="92D050"/>
            <w:vAlign w:val="center"/>
          </w:tcPr>
          <w:p w14:paraId="4236E580" w14:textId="77777777" w:rsidR="005A09FC" w:rsidRDefault="005A09FC" w:rsidP="00E059F1">
            <w:pPr>
              <w:pStyle w:val="TableText"/>
              <w:rPr>
                <w:sz w:val="18"/>
              </w:rPr>
            </w:pPr>
            <w:r w:rsidRPr="00B31BF4">
              <w:rPr>
                <w:sz w:val="18"/>
              </w:rPr>
              <w:t>Assess</w:t>
            </w:r>
          </w:p>
        </w:tc>
      </w:tr>
      <w:tr w:rsidR="005A09FC" w:rsidRPr="00C85476" w14:paraId="1140AE7E" w14:textId="77777777" w:rsidTr="00E059F1">
        <w:trPr>
          <w:trHeight w:val="801"/>
          <w:jc w:val="center"/>
        </w:trPr>
        <w:tc>
          <w:tcPr>
            <w:tcW w:w="2410" w:type="dxa"/>
            <w:shd w:val="clear" w:color="auto" w:fill="auto"/>
            <w:vAlign w:val="center"/>
          </w:tcPr>
          <w:p w14:paraId="15513934" w14:textId="77777777" w:rsidR="005A09FC" w:rsidRDefault="005A09FC" w:rsidP="00E059F1">
            <w:pPr>
              <w:pStyle w:val="TableText"/>
              <w:rPr>
                <w:sz w:val="18"/>
              </w:rPr>
            </w:pPr>
            <w:r w:rsidRPr="00B31BF4">
              <w:rPr>
                <w:sz w:val="18"/>
              </w:rPr>
              <w:t>n) Developing guidelines on specific hazardous waste issues</w:t>
            </w:r>
          </w:p>
        </w:tc>
        <w:tc>
          <w:tcPr>
            <w:tcW w:w="1559" w:type="dxa"/>
            <w:shd w:val="clear" w:color="auto" w:fill="auto"/>
            <w:vAlign w:val="center"/>
          </w:tcPr>
          <w:p w14:paraId="680C42B9" w14:textId="77777777" w:rsidR="005A09FC" w:rsidRDefault="005A09FC" w:rsidP="00E059F1">
            <w:pPr>
              <w:pStyle w:val="TableText"/>
              <w:rPr>
                <w:sz w:val="18"/>
              </w:rPr>
            </w:pPr>
            <w:r w:rsidRPr="00B31BF4">
              <w:rPr>
                <w:sz w:val="18"/>
              </w:rPr>
              <w:t>Non-regulatory.</w:t>
            </w:r>
          </w:p>
        </w:tc>
        <w:tc>
          <w:tcPr>
            <w:tcW w:w="2420" w:type="dxa"/>
            <w:shd w:val="clear" w:color="auto" w:fill="auto"/>
            <w:vAlign w:val="center"/>
          </w:tcPr>
          <w:p w14:paraId="3968B44F" w14:textId="77777777" w:rsidR="005A09FC" w:rsidRPr="00C85476" w:rsidRDefault="005A09FC" w:rsidP="00E059F1">
            <w:pPr>
              <w:pStyle w:val="TableText"/>
              <w:rPr>
                <w:sz w:val="18"/>
              </w:rPr>
            </w:pPr>
            <w:r w:rsidRPr="00B31BF4">
              <w:rPr>
                <w:sz w:val="18"/>
              </w:rPr>
              <w:t>Promote the environmentally sound management of hazardous wastes.</w:t>
            </w:r>
          </w:p>
        </w:tc>
        <w:tc>
          <w:tcPr>
            <w:tcW w:w="3392" w:type="dxa"/>
            <w:vAlign w:val="center"/>
          </w:tcPr>
          <w:p w14:paraId="00DA1345" w14:textId="77777777" w:rsidR="005A09FC" w:rsidRPr="00B31BF4" w:rsidRDefault="005A09FC" w:rsidP="00E059F1">
            <w:pPr>
              <w:pStyle w:val="TableText"/>
              <w:rPr>
                <w:sz w:val="18"/>
              </w:rPr>
            </w:pPr>
            <w:r w:rsidRPr="00B31BF4">
              <w:rPr>
                <w:sz w:val="18"/>
              </w:rPr>
              <w:t>Promotion of environmentally sound management of hazardous wastes, wherever the place of disposal.</w:t>
            </w:r>
          </w:p>
        </w:tc>
        <w:tc>
          <w:tcPr>
            <w:tcW w:w="1650" w:type="dxa"/>
            <w:shd w:val="clear" w:color="auto" w:fill="auto"/>
            <w:vAlign w:val="center"/>
          </w:tcPr>
          <w:p w14:paraId="4921E601"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34818716" w14:textId="77777777" w:rsidR="005A09FC" w:rsidRPr="00C85476" w:rsidRDefault="005A09FC" w:rsidP="00E059F1">
            <w:pPr>
              <w:pStyle w:val="TableText"/>
              <w:jc w:val="center"/>
              <w:rPr>
                <w:sz w:val="18"/>
              </w:rPr>
            </w:pPr>
            <w:r w:rsidRPr="00B31BF4">
              <w:rPr>
                <w:sz w:val="18"/>
              </w:rPr>
              <w:t>No</w:t>
            </w:r>
          </w:p>
        </w:tc>
        <w:tc>
          <w:tcPr>
            <w:tcW w:w="1650" w:type="dxa"/>
            <w:shd w:val="clear" w:color="auto" w:fill="auto"/>
            <w:noWrap/>
            <w:vAlign w:val="center"/>
          </w:tcPr>
          <w:p w14:paraId="68282A4F" w14:textId="77777777" w:rsidR="005A09FC" w:rsidRPr="00C85476" w:rsidRDefault="005A09FC" w:rsidP="00E059F1">
            <w:pPr>
              <w:pStyle w:val="TableText"/>
              <w:jc w:val="center"/>
              <w:rPr>
                <w:sz w:val="18"/>
              </w:rPr>
            </w:pPr>
            <w:r w:rsidRPr="00B31BF4">
              <w:rPr>
                <w:sz w:val="18"/>
              </w:rPr>
              <w:t>Moderate benefit</w:t>
            </w:r>
          </w:p>
        </w:tc>
        <w:tc>
          <w:tcPr>
            <w:tcW w:w="1650" w:type="dxa"/>
            <w:shd w:val="clear" w:color="auto" w:fill="auto"/>
            <w:noWrap/>
            <w:vAlign w:val="center"/>
          </w:tcPr>
          <w:p w14:paraId="67EC184D" w14:textId="77777777" w:rsidR="005A09FC" w:rsidRDefault="005A09FC" w:rsidP="00E059F1">
            <w:pPr>
              <w:pStyle w:val="TableText"/>
              <w:jc w:val="center"/>
              <w:rPr>
                <w:sz w:val="18"/>
              </w:rPr>
            </w:pPr>
            <w:r w:rsidRPr="00B31BF4">
              <w:rPr>
                <w:sz w:val="18"/>
              </w:rPr>
              <w:t>Neutral</w:t>
            </w:r>
          </w:p>
        </w:tc>
        <w:tc>
          <w:tcPr>
            <w:tcW w:w="1650" w:type="dxa"/>
            <w:shd w:val="clear" w:color="auto" w:fill="auto"/>
            <w:noWrap/>
            <w:vAlign w:val="center"/>
          </w:tcPr>
          <w:p w14:paraId="676D289F" w14:textId="77777777" w:rsidR="005A09FC" w:rsidRPr="00C85476" w:rsidRDefault="005A09FC" w:rsidP="00E059F1">
            <w:pPr>
              <w:pStyle w:val="TableText"/>
              <w:jc w:val="center"/>
              <w:rPr>
                <w:sz w:val="18"/>
              </w:rPr>
            </w:pPr>
            <w:r w:rsidRPr="00B31BF4">
              <w:rPr>
                <w:sz w:val="18"/>
              </w:rPr>
              <w:t>2 years</w:t>
            </w:r>
          </w:p>
        </w:tc>
        <w:tc>
          <w:tcPr>
            <w:tcW w:w="3525" w:type="dxa"/>
            <w:shd w:val="clear" w:color="auto" w:fill="FFFF00"/>
            <w:vAlign w:val="center"/>
          </w:tcPr>
          <w:p w14:paraId="61BC561E" w14:textId="77777777" w:rsidR="005A09FC" w:rsidRDefault="005A09FC" w:rsidP="00E059F1">
            <w:pPr>
              <w:pStyle w:val="TableText"/>
              <w:rPr>
                <w:sz w:val="18"/>
              </w:rPr>
            </w:pPr>
            <w:r w:rsidRPr="00B31BF4">
              <w:rPr>
                <w:sz w:val="18"/>
              </w:rPr>
              <w:t>Do not assess. Consider outside of a regulatory framework as a non-regulatory reform.</w:t>
            </w:r>
          </w:p>
        </w:tc>
      </w:tr>
      <w:tr w:rsidR="005A09FC" w:rsidRPr="00C85476" w14:paraId="0C1590D7" w14:textId="77777777" w:rsidTr="00E059F1">
        <w:trPr>
          <w:trHeight w:val="801"/>
          <w:jc w:val="center"/>
        </w:trPr>
        <w:tc>
          <w:tcPr>
            <w:tcW w:w="2410" w:type="dxa"/>
            <w:shd w:val="clear" w:color="auto" w:fill="auto"/>
            <w:vAlign w:val="center"/>
          </w:tcPr>
          <w:p w14:paraId="7972D955" w14:textId="77777777" w:rsidR="005A09FC" w:rsidRDefault="005A09FC" w:rsidP="00E059F1">
            <w:pPr>
              <w:pStyle w:val="TableText"/>
              <w:rPr>
                <w:sz w:val="18"/>
              </w:rPr>
            </w:pPr>
            <w:r w:rsidRPr="00B31BF4">
              <w:rPr>
                <w:sz w:val="18"/>
              </w:rPr>
              <w:t>o) Nationally consistent system of hazardous waste levies</w:t>
            </w:r>
          </w:p>
        </w:tc>
        <w:tc>
          <w:tcPr>
            <w:tcW w:w="1559" w:type="dxa"/>
            <w:shd w:val="clear" w:color="auto" w:fill="auto"/>
            <w:vAlign w:val="center"/>
          </w:tcPr>
          <w:p w14:paraId="46088F9C" w14:textId="77777777" w:rsidR="005A09FC" w:rsidRDefault="005A09FC" w:rsidP="00E059F1">
            <w:pPr>
              <w:pStyle w:val="TableText"/>
              <w:rPr>
                <w:sz w:val="18"/>
              </w:rPr>
            </w:pPr>
            <w:r w:rsidRPr="00B31BF4">
              <w:rPr>
                <w:sz w:val="18"/>
              </w:rPr>
              <w:t>Quasi-regulatory.</w:t>
            </w:r>
          </w:p>
        </w:tc>
        <w:tc>
          <w:tcPr>
            <w:tcW w:w="2420" w:type="dxa"/>
            <w:shd w:val="clear" w:color="auto" w:fill="auto"/>
            <w:vAlign w:val="center"/>
          </w:tcPr>
          <w:p w14:paraId="517A25B8" w14:textId="77777777" w:rsidR="005A09FC" w:rsidRPr="00C85476" w:rsidRDefault="005A09FC" w:rsidP="00E059F1">
            <w:pPr>
              <w:pStyle w:val="TableText"/>
              <w:rPr>
                <w:sz w:val="18"/>
              </w:rPr>
            </w:pPr>
            <w:r w:rsidRPr="00B31BF4">
              <w:rPr>
                <w:sz w:val="18"/>
              </w:rPr>
              <w:t>Harmonisation with other policy areas and creating a seamless national economy.</w:t>
            </w:r>
          </w:p>
        </w:tc>
        <w:tc>
          <w:tcPr>
            <w:tcW w:w="3392" w:type="dxa"/>
            <w:vAlign w:val="center"/>
          </w:tcPr>
          <w:p w14:paraId="5605D9B6" w14:textId="52E3D804" w:rsidR="005A09FC" w:rsidRPr="00791F27" w:rsidRDefault="00791F27" w:rsidP="00791F27">
            <w:pPr>
              <w:pStyle w:val="TableText"/>
              <w:rPr>
                <w:sz w:val="18"/>
              </w:rPr>
            </w:pPr>
            <w:r w:rsidRPr="00791F27">
              <w:rPr>
                <w:sz w:val="18"/>
              </w:rPr>
              <w:t>Reduction of hazardous waste generation.</w:t>
            </w:r>
          </w:p>
        </w:tc>
        <w:tc>
          <w:tcPr>
            <w:tcW w:w="1650" w:type="dxa"/>
            <w:shd w:val="clear" w:color="auto" w:fill="auto"/>
            <w:vAlign w:val="center"/>
          </w:tcPr>
          <w:p w14:paraId="397DFB1A"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3116E212"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55EBAD45" w14:textId="77777777" w:rsidR="005A09FC" w:rsidRPr="00C85476" w:rsidRDefault="005A09FC" w:rsidP="00E059F1">
            <w:pPr>
              <w:pStyle w:val="TableText"/>
              <w:jc w:val="center"/>
              <w:rPr>
                <w:sz w:val="18"/>
              </w:rPr>
            </w:pPr>
            <w:r w:rsidRPr="00B31BF4">
              <w:rPr>
                <w:sz w:val="18"/>
              </w:rPr>
              <w:t>Significant benefit</w:t>
            </w:r>
          </w:p>
        </w:tc>
        <w:tc>
          <w:tcPr>
            <w:tcW w:w="1650" w:type="dxa"/>
            <w:shd w:val="clear" w:color="auto" w:fill="auto"/>
            <w:noWrap/>
            <w:vAlign w:val="center"/>
          </w:tcPr>
          <w:p w14:paraId="4D631D03" w14:textId="77777777" w:rsidR="005A09FC" w:rsidRDefault="005A09FC" w:rsidP="00E059F1">
            <w:pPr>
              <w:pStyle w:val="TableText"/>
              <w:jc w:val="center"/>
              <w:rPr>
                <w:sz w:val="18"/>
              </w:rPr>
            </w:pPr>
            <w:r w:rsidRPr="00B31BF4">
              <w:rPr>
                <w:sz w:val="18"/>
              </w:rPr>
              <w:t>Significant benefit</w:t>
            </w:r>
          </w:p>
        </w:tc>
        <w:tc>
          <w:tcPr>
            <w:tcW w:w="1650" w:type="dxa"/>
            <w:shd w:val="clear" w:color="auto" w:fill="auto"/>
            <w:noWrap/>
            <w:vAlign w:val="center"/>
          </w:tcPr>
          <w:p w14:paraId="6E5CD9F9" w14:textId="77777777" w:rsidR="005A09FC" w:rsidRPr="00C85476" w:rsidRDefault="005A09FC" w:rsidP="00E059F1">
            <w:pPr>
              <w:pStyle w:val="TableText"/>
              <w:jc w:val="center"/>
              <w:rPr>
                <w:sz w:val="18"/>
              </w:rPr>
            </w:pPr>
            <w:r w:rsidRPr="00B31BF4">
              <w:rPr>
                <w:sz w:val="18"/>
              </w:rPr>
              <w:t>5-7 years</w:t>
            </w:r>
          </w:p>
        </w:tc>
        <w:tc>
          <w:tcPr>
            <w:tcW w:w="3525" w:type="dxa"/>
            <w:shd w:val="clear" w:color="auto" w:fill="FFFF00"/>
            <w:vAlign w:val="center"/>
          </w:tcPr>
          <w:p w14:paraId="7B231625" w14:textId="77777777" w:rsidR="005A09FC" w:rsidRDefault="005A09FC" w:rsidP="00E059F1">
            <w:pPr>
              <w:pStyle w:val="TableText"/>
              <w:rPr>
                <w:sz w:val="18"/>
              </w:rPr>
            </w:pPr>
            <w:r w:rsidRPr="00B31BF4">
              <w:rPr>
                <w:sz w:val="18"/>
              </w:rPr>
              <w:t>Do not assess. Consider outside of</w:t>
            </w:r>
            <w:r>
              <w:rPr>
                <w:sz w:val="18"/>
              </w:rPr>
              <w:t xml:space="preserve"> a regulatory framework as a quasi</w:t>
            </w:r>
            <w:r w:rsidRPr="00B31BF4">
              <w:rPr>
                <w:sz w:val="18"/>
              </w:rPr>
              <w:t>-regulatory reform.</w:t>
            </w:r>
          </w:p>
        </w:tc>
      </w:tr>
      <w:tr w:rsidR="005A09FC" w:rsidRPr="00C85476" w14:paraId="3DEBE2D4" w14:textId="77777777" w:rsidTr="00E059F1">
        <w:trPr>
          <w:trHeight w:val="801"/>
          <w:jc w:val="center"/>
        </w:trPr>
        <w:tc>
          <w:tcPr>
            <w:tcW w:w="2410" w:type="dxa"/>
            <w:shd w:val="clear" w:color="auto" w:fill="auto"/>
            <w:vAlign w:val="center"/>
          </w:tcPr>
          <w:p w14:paraId="32624446" w14:textId="77777777" w:rsidR="005A09FC" w:rsidRPr="00C85476" w:rsidRDefault="005A09FC" w:rsidP="00E059F1">
            <w:pPr>
              <w:pStyle w:val="TableText"/>
              <w:rPr>
                <w:sz w:val="18"/>
              </w:rPr>
            </w:pPr>
            <w:r w:rsidRPr="00B31BF4">
              <w:rPr>
                <w:sz w:val="18"/>
              </w:rPr>
              <w:t>p) Nationally consistent approach to landfill bans or conditional disposal</w:t>
            </w:r>
          </w:p>
        </w:tc>
        <w:tc>
          <w:tcPr>
            <w:tcW w:w="1559" w:type="dxa"/>
            <w:shd w:val="clear" w:color="auto" w:fill="auto"/>
            <w:vAlign w:val="center"/>
          </w:tcPr>
          <w:p w14:paraId="7EE205CC" w14:textId="77777777" w:rsidR="005A09FC" w:rsidRPr="00C85476" w:rsidRDefault="005A09FC" w:rsidP="00E059F1">
            <w:pPr>
              <w:pStyle w:val="TableText"/>
              <w:rPr>
                <w:sz w:val="18"/>
              </w:rPr>
            </w:pPr>
            <w:r w:rsidRPr="00B31BF4">
              <w:rPr>
                <w:sz w:val="18"/>
              </w:rPr>
              <w:t>Quasi-regulatory.</w:t>
            </w:r>
          </w:p>
        </w:tc>
        <w:tc>
          <w:tcPr>
            <w:tcW w:w="2420" w:type="dxa"/>
            <w:shd w:val="clear" w:color="auto" w:fill="auto"/>
            <w:vAlign w:val="center"/>
          </w:tcPr>
          <w:p w14:paraId="4005512E" w14:textId="77777777" w:rsidR="005A09FC" w:rsidRPr="00C85476" w:rsidRDefault="005A09FC" w:rsidP="00E059F1">
            <w:pPr>
              <w:pStyle w:val="TableText"/>
              <w:rPr>
                <w:sz w:val="18"/>
              </w:rPr>
            </w:pPr>
            <w:r w:rsidRPr="00B31BF4">
              <w:rPr>
                <w:sz w:val="18"/>
              </w:rPr>
              <w:t>Harmonisation with other policy areas and creating a seamless national economy.</w:t>
            </w:r>
          </w:p>
        </w:tc>
        <w:tc>
          <w:tcPr>
            <w:tcW w:w="3392" w:type="dxa"/>
            <w:vAlign w:val="center"/>
          </w:tcPr>
          <w:p w14:paraId="2708251C" w14:textId="77777777" w:rsidR="005A09FC" w:rsidRPr="000647FA" w:rsidRDefault="005A09FC" w:rsidP="00E059F1">
            <w:pPr>
              <w:pStyle w:val="TableText"/>
              <w:rPr>
                <w:sz w:val="18"/>
              </w:rPr>
            </w:pPr>
            <w:r w:rsidRPr="00B31BF4">
              <w:rPr>
                <w:sz w:val="18"/>
              </w:rPr>
              <w:t>Promotion of environmentally sound management of hazardous wastes, wherever the place of disposal.</w:t>
            </w:r>
          </w:p>
        </w:tc>
        <w:tc>
          <w:tcPr>
            <w:tcW w:w="1650" w:type="dxa"/>
            <w:shd w:val="clear" w:color="auto" w:fill="auto"/>
            <w:vAlign w:val="center"/>
          </w:tcPr>
          <w:p w14:paraId="7E845D03" w14:textId="77777777" w:rsidR="005A09FC" w:rsidRPr="00C85476" w:rsidRDefault="005A09FC" w:rsidP="00E059F1">
            <w:pPr>
              <w:pStyle w:val="TableText"/>
              <w:jc w:val="center"/>
              <w:rPr>
                <w:sz w:val="18"/>
              </w:rPr>
            </w:pPr>
            <w:r w:rsidRPr="00B31BF4">
              <w:rPr>
                <w:sz w:val="18"/>
              </w:rPr>
              <w:t>No</w:t>
            </w:r>
          </w:p>
        </w:tc>
        <w:tc>
          <w:tcPr>
            <w:tcW w:w="1650" w:type="dxa"/>
            <w:shd w:val="clear" w:color="auto" w:fill="auto"/>
            <w:noWrap/>
            <w:vAlign w:val="center"/>
          </w:tcPr>
          <w:p w14:paraId="36F144FC" w14:textId="77777777" w:rsidR="005A09FC" w:rsidRPr="00C85476" w:rsidRDefault="005A09FC" w:rsidP="00E059F1">
            <w:pPr>
              <w:pStyle w:val="TableText"/>
              <w:jc w:val="center"/>
              <w:rPr>
                <w:sz w:val="18"/>
              </w:rPr>
            </w:pPr>
            <w:r w:rsidRPr="00B31BF4">
              <w:rPr>
                <w:sz w:val="18"/>
              </w:rPr>
              <w:t>Yes</w:t>
            </w:r>
          </w:p>
        </w:tc>
        <w:tc>
          <w:tcPr>
            <w:tcW w:w="1650" w:type="dxa"/>
            <w:shd w:val="clear" w:color="auto" w:fill="auto"/>
            <w:noWrap/>
            <w:vAlign w:val="center"/>
          </w:tcPr>
          <w:p w14:paraId="60F04BFD" w14:textId="77777777" w:rsidR="005A09FC" w:rsidRPr="00C85476" w:rsidRDefault="005A09FC" w:rsidP="00E059F1">
            <w:pPr>
              <w:pStyle w:val="TableText"/>
              <w:jc w:val="center"/>
              <w:rPr>
                <w:sz w:val="18"/>
              </w:rPr>
            </w:pPr>
            <w:r w:rsidRPr="00B31BF4">
              <w:rPr>
                <w:sz w:val="18"/>
              </w:rPr>
              <w:t>Moderate benefit</w:t>
            </w:r>
          </w:p>
        </w:tc>
        <w:tc>
          <w:tcPr>
            <w:tcW w:w="1650" w:type="dxa"/>
            <w:shd w:val="clear" w:color="auto" w:fill="auto"/>
            <w:noWrap/>
            <w:vAlign w:val="center"/>
          </w:tcPr>
          <w:p w14:paraId="7DA01DF2" w14:textId="77777777" w:rsidR="005A09FC" w:rsidRPr="00C85476" w:rsidRDefault="005A09FC" w:rsidP="00E059F1">
            <w:pPr>
              <w:pStyle w:val="TableText"/>
              <w:jc w:val="center"/>
              <w:rPr>
                <w:sz w:val="18"/>
              </w:rPr>
            </w:pPr>
            <w:r w:rsidRPr="00B31BF4">
              <w:rPr>
                <w:sz w:val="18"/>
              </w:rPr>
              <w:t>Significant cost</w:t>
            </w:r>
          </w:p>
        </w:tc>
        <w:tc>
          <w:tcPr>
            <w:tcW w:w="1650" w:type="dxa"/>
            <w:shd w:val="clear" w:color="auto" w:fill="auto"/>
            <w:noWrap/>
            <w:vAlign w:val="center"/>
          </w:tcPr>
          <w:p w14:paraId="02A9C27B" w14:textId="77777777" w:rsidR="005A09FC" w:rsidRPr="00C85476" w:rsidRDefault="005A09FC" w:rsidP="00E059F1">
            <w:pPr>
              <w:pStyle w:val="TableText"/>
              <w:jc w:val="center"/>
              <w:rPr>
                <w:sz w:val="18"/>
              </w:rPr>
            </w:pPr>
            <w:r w:rsidRPr="00B31BF4">
              <w:rPr>
                <w:sz w:val="18"/>
              </w:rPr>
              <w:t>5 years</w:t>
            </w:r>
          </w:p>
        </w:tc>
        <w:tc>
          <w:tcPr>
            <w:tcW w:w="3525" w:type="dxa"/>
            <w:shd w:val="clear" w:color="auto" w:fill="FFFF00"/>
            <w:vAlign w:val="center"/>
          </w:tcPr>
          <w:p w14:paraId="45969C02" w14:textId="77777777" w:rsidR="005A09FC" w:rsidRPr="00C85476" w:rsidRDefault="005A09FC" w:rsidP="00E059F1">
            <w:pPr>
              <w:pStyle w:val="TableText"/>
              <w:rPr>
                <w:sz w:val="18"/>
              </w:rPr>
            </w:pPr>
            <w:r w:rsidRPr="00B31BF4">
              <w:rPr>
                <w:sz w:val="18"/>
              </w:rPr>
              <w:t>Do not assess. Consider outside of</w:t>
            </w:r>
            <w:r>
              <w:rPr>
                <w:sz w:val="18"/>
              </w:rPr>
              <w:t xml:space="preserve"> a regulatory framework as a quasi</w:t>
            </w:r>
            <w:r w:rsidRPr="00B31BF4">
              <w:rPr>
                <w:sz w:val="18"/>
              </w:rPr>
              <w:t>-regulatory reform.</w:t>
            </w:r>
          </w:p>
        </w:tc>
      </w:tr>
    </w:tbl>
    <w:p w14:paraId="1D69B14A" w14:textId="77777777" w:rsidR="0040044D" w:rsidRPr="00C85476" w:rsidRDefault="0040044D" w:rsidP="00B930D8"/>
    <w:p w14:paraId="7AC3284A" w14:textId="77777777" w:rsidR="00B930D8" w:rsidRPr="00C85476" w:rsidRDefault="00B930D8">
      <w:pPr>
        <w:spacing w:after="0" w:line="240" w:lineRule="auto"/>
      </w:pPr>
    </w:p>
    <w:p w14:paraId="2BED98DE" w14:textId="77777777" w:rsidR="005E5C79" w:rsidRPr="00C85476" w:rsidRDefault="005E5C79">
      <w:pPr>
        <w:spacing w:after="0" w:line="240" w:lineRule="auto"/>
        <w:sectPr w:rsidR="005E5C79" w:rsidRPr="00C85476" w:rsidSect="00C85476">
          <w:headerReference w:type="default" r:id="rId28"/>
          <w:footerReference w:type="default" r:id="rId29"/>
          <w:pgSz w:w="23814" w:h="16839" w:orient="landscape" w:code="8"/>
          <w:pgMar w:top="1418" w:right="1701" w:bottom="1418" w:left="1418" w:header="567" w:footer="284" w:gutter="0"/>
          <w:cols w:space="708"/>
          <w:docGrid w:linePitch="360"/>
        </w:sectPr>
      </w:pPr>
    </w:p>
    <w:p w14:paraId="550E4B66" w14:textId="77777777" w:rsidR="00B930D8" w:rsidRPr="00C85476" w:rsidRDefault="00B930D8" w:rsidP="005E5C79">
      <w:pPr>
        <w:pStyle w:val="Heading1"/>
        <w:rPr>
          <w:lang w:val="en-AU"/>
        </w:rPr>
      </w:pPr>
      <w:bookmarkStart w:id="83" w:name="_Toc426022055"/>
      <w:r w:rsidRPr="00C85476">
        <w:rPr>
          <w:lang w:val="en-AU"/>
        </w:rPr>
        <w:lastRenderedPageBreak/>
        <w:t>RECOMMENDATIONS</w:t>
      </w:r>
      <w:bookmarkEnd w:id="83"/>
    </w:p>
    <w:p w14:paraId="206F5E39" w14:textId="77777777" w:rsidR="00F877C7" w:rsidRDefault="005A09FC" w:rsidP="00F877C7">
      <w:r>
        <w:t>In summary, it</w:t>
      </w:r>
      <w:r w:rsidR="00F877C7" w:rsidRPr="00C85476">
        <w:t xml:space="preserve"> is recommended that</w:t>
      </w:r>
      <w:r w:rsidR="00F877C7">
        <w:t>:</w:t>
      </w:r>
    </w:p>
    <w:p w14:paraId="6B7E8633" w14:textId="77777777" w:rsidR="00F877C7" w:rsidRPr="00C85476" w:rsidRDefault="00F877C7" w:rsidP="00F877C7">
      <w:pPr>
        <w:pStyle w:val="BulletPoints"/>
      </w:pPr>
      <w:r>
        <w:t>Reform O</w:t>
      </w:r>
      <w:r w:rsidRPr="00C85476">
        <w:t>ptions a), c), d), e</w:t>
      </w:r>
      <w:r w:rsidR="00A92254">
        <w:t>)</w:t>
      </w:r>
      <w:r w:rsidRPr="00C85476">
        <w:t xml:space="preserve">, </w:t>
      </w:r>
      <w:r w:rsidR="00A92254">
        <w:t>g), i),</w:t>
      </w:r>
      <w:r w:rsidRPr="00C85476">
        <w:t xml:space="preserve"> k)</w:t>
      </w:r>
      <w:r w:rsidR="00A92254">
        <w:t>, l) and m)</w:t>
      </w:r>
      <w:r w:rsidRPr="00C85476">
        <w:t xml:space="preserve"> are assessed through cost-benefit analysis.</w:t>
      </w:r>
    </w:p>
    <w:p w14:paraId="6FEF3608" w14:textId="77777777" w:rsidR="00F877C7" w:rsidRPr="00C85476" w:rsidRDefault="00F877C7" w:rsidP="00F877C7">
      <w:pPr>
        <w:pStyle w:val="BulletPoints"/>
      </w:pPr>
      <w:r>
        <w:t xml:space="preserve">Reform </w:t>
      </w:r>
      <w:r w:rsidRPr="00C85476">
        <w:t xml:space="preserve">Options </w:t>
      </w:r>
      <w:r w:rsidR="00A92254">
        <w:t>b), f),</w:t>
      </w:r>
      <w:r>
        <w:t xml:space="preserve"> h), </w:t>
      </w:r>
      <w:r w:rsidR="00836070">
        <w:t>j),</w:t>
      </w:r>
      <w:r w:rsidRPr="00C85476">
        <w:t xml:space="preserve"> n)</w:t>
      </w:r>
      <w:r w:rsidR="00836070">
        <w:t>, o) and p)</w:t>
      </w:r>
      <w:r w:rsidRPr="00C85476">
        <w:t xml:space="preserve"> are not assessed through cost-benefit analysis, but </w:t>
      </w:r>
      <w:r w:rsidRPr="005D1661">
        <w:t xml:space="preserve">as these are </w:t>
      </w:r>
      <w:r w:rsidR="00836070">
        <w:t xml:space="preserve">quasi regulatory or </w:t>
      </w:r>
      <w:r w:rsidR="005A09FC">
        <w:t>non-regulatory options</w:t>
      </w:r>
      <w:r w:rsidRPr="005D1661">
        <w:t xml:space="preserve"> </w:t>
      </w:r>
      <w:r w:rsidRPr="00C85476">
        <w:t>are pursued outside of a regulatory framework.</w:t>
      </w:r>
    </w:p>
    <w:p w14:paraId="46F8B323" w14:textId="77777777" w:rsidR="00790468" w:rsidRPr="00C85476" w:rsidRDefault="00790468" w:rsidP="00B930D8"/>
    <w:p w14:paraId="4DFD24A6" w14:textId="77777777" w:rsidR="00790468" w:rsidRPr="00C85476" w:rsidRDefault="00790468">
      <w:pPr>
        <w:spacing w:after="0" w:line="240" w:lineRule="auto"/>
      </w:pPr>
      <w:r w:rsidRPr="00C85476">
        <w:br w:type="page"/>
      </w:r>
    </w:p>
    <w:p w14:paraId="0373D378" w14:textId="77777777" w:rsidR="001517E9" w:rsidRPr="00C85476" w:rsidRDefault="001517E9" w:rsidP="001517E9">
      <w:pPr>
        <w:pStyle w:val="Heading1"/>
        <w:rPr>
          <w:lang w:val="en-AU"/>
        </w:rPr>
      </w:pPr>
      <w:bookmarkStart w:id="84" w:name="_Toc426022056"/>
      <w:bookmarkEnd w:id="5"/>
      <w:bookmarkEnd w:id="6"/>
      <w:bookmarkEnd w:id="7"/>
      <w:bookmarkEnd w:id="8"/>
      <w:bookmarkEnd w:id="9"/>
      <w:r w:rsidRPr="00C85476">
        <w:rPr>
          <w:lang w:val="en-AU"/>
        </w:rPr>
        <w:lastRenderedPageBreak/>
        <w:t>REFERENCES</w:t>
      </w:r>
      <w:bookmarkEnd w:id="84"/>
    </w:p>
    <w:p w14:paraId="2B20CBDF" w14:textId="42868690" w:rsidR="00575421" w:rsidRDefault="00575421" w:rsidP="00575421">
      <w:pPr>
        <w:pStyle w:val="Bibliography"/>
        <w:rPr>
          <w:noProof/>
          <w:sz w:val="24"/>
          <w:szCs w:val="24"/>
        </w:rPr>
      </w:pPr>
      <w:r>
        <w:rPr>
          <w:noProof/>
        </w:rPr>
        <w:t xml:space="preserve">Basel Convention, 1992. </w:t>
      </w:r>
      <w:r>
        <w:rPr>
          <w:i/>
          <w:iCs/>
          <w:noProof/>
        </w:rPr>
        <w:t xml:space="preserve">Basel Convention on the Control of Transboundary Movements of Hazardous Wastes, </w:t>
      </w:r>
      <w:r>
        <w:rPr>
          <w:noProof/>
        </w:rPr>
        <w:t>Switzerland: Secretariat of the Basel Convention.</w:t>
      </w:r>
    </w:p>
    <w:p w14:paraId="2439F0D2" w14:textId="77777777" w:rsidR="00575421" w:rsidRDefault="00575421" w:rsidP="00575421">
      <w:pPr>
        <w:pStyle w:val="Bibliography"/>
        <w:rPr>
          <w:noProof/>
        </w:rPr>
      </w:pPr>
      <w:r>
        <w:rPr>
          <w:noProof/>
        </w:rPr>
        <w:t xml:space="preserve">Blue Environment, et al., 2014. </w:t>
      </w:r>
      <w:r>
        <w:rPr>
          <w:i/>
          <w:iCs/>
          <w:noProof/>
        </w:rPr>
        <w:t xml:space="preserve">Improving Australia's reporting on hazardous waste under the Basel Convention, </w:t>
      </w:r>
      <w:r>
        <w:rPr>
          <w:noProof/>
        </w:rPr>
        <w:t>Melbourne: Report prepared by Blue Environment, Environ and Randell Environmental Consulting on behalf of the Department of Sustainability, Environment, Water, Population and Communities.</w:t>
      </w:r>
    </w:p>
    <w:p w14:paraId="5DD88037" w14:textId="77777777" w:rsidR="00575421" w:rsidRDefault="00575421" w:rsidP="00575421">
      <w:pPr>
        <w:pStyle w:val="Bibliography"/>
        <w:rPr>
          <w:noProof/>
        </w:rPr>
      </w:pPr>
      <w:r>
        <w:rPr>
          <w:noProof/>
        </w:rPr>
        <w:t xml:space="preserve">Blue Environment, et al., 2015a. </w:t>
      </w:r>
      <w:r>
        <w:rPr>
          <w:i/>
          <w:iCs/>
          <w:noProof/>
        </w:rPr>
        <w:t xml:space="preserve">Hazardous waste in Australia, </w:t>
      </w:r>
      <w:r>
        <w:rPr>
          <w:noProof/>
        </w:rPr>
        <w:t>Melbourne: Report prepared by Blue Environment, Ascend Waste and Environment and Randell Environmental Consulting on behalf of the Department of the Environment.</w:t>
      </w:r>
    </w:p>
    <w:p w14:paraId="55BBB0F5" w14:textId="77777777" w:rsidR="00575421" w:rsidRDefault="00575421" w:rsidP="00575421">
      <w:pPr>
        <w:pStyle w:val="Bibliography"/>
        <w:rPr>
          <w:noProof/>
        </w:rPr>
      </w:pPr>
      <w:r>
        <w:rPr>
          <w:noProof/>
        </w:rPr>
        <w:t xml:space="preserve">Blue Environment, et al., 2015b. </w:t>
      </w:r>
      <w:r>
        <w:rPr>
          <w:i/>
          <w:iCs/>
          <w:noProof/>
        </w:rPr>
        <w:t xml:space="preserve">Hazardous waste infrastructure needs and capacity assessment, </w:t>
      </w:r>
      <w:r>
        <w:rPr>
          <w:noProof/>
        </w:rPr>
        <w:t>Melbourne: Report prepared by Blue Environment, Ascend Waste and Environment and Randell Environmental Consulting on behalf of the Department of the Environment.</w:t>
      </w:r>
    </w:p>
    <w:p w14:paraId="1C80899D" w14:textId="77777777" w:rsidR="00575421" w:rsidRDefault="00575421" w:rsidP="00575421">
      <w:pPr>
        <w:pStyle w:val="Bibliography"/>
        <w:rPr>
          <w:noProof/>
        </w:rPr>
      </w:pPr>
      <w:r>
        <w:rPr>
          <w:noProof/>
        </w:rPr>
        <w:t xml:space="preserve">Department of Industry, 2014. </w:t>
      </w:r>
      <w:r>
        <w:rPr>
          <w:i/>
          <w:iCs/>
          <w:noProof/>
        </w:rPr>
        <w:t xml:space="preserve">Industry Officer’s Guide to Regulation Reform, </w:t>
      </w:r>
      <w:r>
        <w:rPr>
          <w:noProof/>
        </w:rPr>
        <w:t>Canberra: Department of Industry.</w:t>
      </w:r>
    </w:p>
    <w:p w14:paraId="0A2C0103" w14:textId="5F47B850" w:rsidR="00575421" w:rsidRDefault="00575421" w:rsidP="00575421">
      <w:pPr>
        <w:pStyle w:val="Bibliography"/>
        <w:rPr>
          <w:noProof/>
        </w:rPr>
      </w:pPr>
      <w:r>
        <w:rPr>
          <w:noProof/>
        </w:rPr>
        <w:t xml:space="preserve">DoE, 2012. </w:t>
      </w:r>
      <w:r>
        <w:rPr>
          <w:i/>
          <w:iCs/>
          <w:noProof/>
        </w:rPr>
        <w:t xml:space="preserve">Review of the Hazardous Waste (Regulation of Exports and Imports) Act 1989 and Regulations - Consultation Paper, </w:t>
      </w:r>
      <w:r>
        <w:rPr>
          <w:noProof/>
        </w:rPr>
        <w:t>Canberra: Department of the Environment.</w:t>
      </w:r>
    </w:p>
    <w:p w14:paraId="552F93AD" w14:textId="77777777" w:rsidR="00575421" w:rsidRDefault="00575421" w:rsidP="00575421">
      <w:pPr>
        <w:pStyle w:val="Bibliography"/>
        <w:rPr>
          <w:noProof/>
        </w:rPr>
      </w:pPr>
      <w:r>
        <w:rPr>
          <w:noProof/>
        </w:rPr>
        <w:t xml:space="preserve">DoE, 2015. </w:t>
      </w:r>
      <w:r>
        <w:rPr>
          <w:i/>
          <w:iCs/>
          <w:noProof/>
        </w:rPr>
        <w:t xml:space="preserve">Cost Recovery Implementation Statement – Hazardous Waste Permits 2015–16, </w:t>
      </w:r>
      <w:r>
        <w:rPr>
          <w:noProof/>
        </w:rPr>
        <w:t>Canberra: Department of the Environment.</w:t>
      </w:r>
    </w:p>
    <w:p w14:paraId="1D41278C" w14:textId="77777777" w:rsidR="00575421" w:rsidRDefault="00575421" w:rsidP="00575421">
      <w:pPr>
        <w:pStyle w:val="Bibliography"/>
        <w:rPr>
          <w:noProof/>
        </w:rPr>
      </w:pPr>
      <w:r>
        <w:rPr>
          <w:noProof/>
        </w:rPr>
        <w:t xml:space="preserve">DPMC, 2014. </w:t>
      </w:r>
      <w:r>
        <w:rPr>
          <w:i/>
          <w:iCs/>
          <w:noProof/>
        </w:rPr>
        <w:t xml:space="preserve">The Australian Government Guide to Regulation, </w:t>
      </w:r>
      <w:r>
        <w:rPr>
          <w:noProof/>
        </w:rPr>
        <w:t>Canberra: Department of the Prime Minister and Cabinet.</w:t>
      </w:r>
    </w:p>
    <w:p w14:paraId="6796D536" w14:textId="77777777" w:rsidR="00575421" w:rsidRDefault="00575421" w:rsidP="00575421">
      <w:pPr>
        <w:pStyle w:val="Bibliography"/>
        <w:rPr>
          <w:noProof/>
        </w:rPr>
      </w:pPr>
      <w:r>
        <w:rPr>
          <w:noProof/>
        </w:rPr>
        <w:t xml:space="preserve">DSEWPaC, 2011. </w:t>
      </w:r>
      <w:r>
        <w:rPr>
          <w:i/>
          <w:iCs/>
          <w:noProof/>
        </w:rPr>
        <w:t xml:space="preserve">Hazardous Waste Permits - Cost Recovery Impact Statement, </w:t>
      </w:r>
      <w:r>
        <w:rPr>
          <w:noProof/>
        </w:rPr>
        <w:t>Canberra: Department of Sustainability, Environment, Water, Population and Communities.</w:t>
      </w:r>
    </w:p>
    <w:p w14:paraId="207E7107" w14:textId="77777777" w:rsidR="00575421" w:rsidRDefault="00575421" w:rsidP="00575421">
      <w:pPr>
        <w:pStyle w:val="Bibliography"/>
        <w:rPr>
          <w:noProof/>
        </w:rPr>
      </w:pPr>
      <w:r>
        <w:rPr>
          <w:noProof/>
        </w:rPr>
        <w:t xml:space="preserve">EPHC, 2009. </w:t>
      </w:r>
      <w:r>
        <w:rPr>
          <w:i/>
          <w:iCs/>
          <w:noProof/>
        </w:rPr>
        <w:t xml:space="preserve">National Waste Policy: Less Waste, More Resources, </w:t>
      </w:r>
      <w:r>
        <w:rPr>
          <w:noProof/>
        </w:rPr>
        <w:t>Adelaide: Environment Protection and Heritage Council.</w:t>
      </w:r>
    </w:p>
    <w:p w14:paraId="2DC2EF6A" w14:textId="77777777" w:rsidR="00575421" w:rsidRDefault="00575421" w:rsidP="00575421">
      <w:pPr>
        <w:pStyle w:val="Bibliography"/>
        <w:rPr>
          <w:noProof/>
        </w:rPr>
      </w:pPr>
      <w:r>
        <w:rPr>
          <w:noProof/>
        </w:rPr>
        <w:t xml:space="preserve">GHD, 2013. </w:t>
      </w:r>
      <w:r>
        <w:rPr>
          <w:i/>
          <w:iCs/>
          <w:noProof/>
        </w:rPr>
        <w:t xml:space="preserve">Cost-benefit analysis of possible changes to export provisions favouring domestic hazardous waste treatmen, </w:t>
      </w:r>
      <w:r>
        <w:rPr>
          <w:noProof/>
        </w:rPr>
        <w:t>Sydney: Report prepared by GHD on behalf of the Department of Sustainability, Environment, Water, Population and Communities.</w:t>
      </w:r>
    </w:p>
    <w:p w14:paraId="2A676F21" w14:textId="77777777" w:rsidR="00575421" w:rsidRDefault="00575421" w:rsidP="00575421">
      <w:pPr>
        <w:pStyle w:val="Bibliography"/>
        <w:rPr>
          <w:noProof/>
        </w:rPr>
      </w:pPr>
      <w:r>
        <w:rPr>
          <w:noProof/>
        </w:rPr>
        <w:t xml:space="preserve">GHD, 2015. </w:t>
      </w:r>
      <w:r>
        <w:rPr>
          <w:i/>
          <w:iCs/>
          <w:noProof/>
        </w:rPr>
        <w:t xml:space="preserve">Transport and environment regulation of hazardous waste – opportunities (draft report), </w:t>
      </w:r>
      <w:r>
        <w:rPr>
          <w:noProof/>
        </w:rPr>
        <w:t>Sydney: Report prepared by GHD on behalf of the Department of the Environment.</w:t>
      </w:r>
    </w:p>
    <w:p w14:paraId="5D1F129D" w14:textId="77777777" w:rsidR="00575421" w:rsidRDefault="00575421" w:rsidP="00575421">
      <w:pPr>
        <w:pStyle w:val="Bibliography"/>
        <w:rPr>
          <w:noProof/>
        </w:rPr>
      </w:pPr>
      <w:r>
        <w:rPr>
          <w:noProof/>
        </w:rPr>
        <w:t xml:space="preserve">Hyder Consulting, 2015. </w:t>
      </w:r>
      <w:r>
        <w:rPr>
          <w:i/>
          <w:iCs/>
          <w:noProof/>
        </w:rPr>
        <w:t xml:space="preserve">Feasibility of a nationally consistent system for tracking the movements of controlled wastes – Feasibility Analysis, </w:t>
      </w:r>
      <w:r>
        <w:rPr>
          <w:noProof/>
        </w:rPr>
        <w:t>Sydney: Report prepared by Hyder Consulting on behalf of the Department of the Environment.</w:t>
      </w:r>
    </w:p>
    <w:p w14:paraId="0C19F1C5" w14:textId="77777777" w:rsidR="00575421" w:rsidRDefault="00575421" w:rsidP="00575421">
      <w:pPr>
        <w:pStyle w:val="Bibliography"/>
        <w:rPr>
          <w:noProof/>
        </w:rPr>
      </w:pPr>
      <w:r>
        <w:rPr>
          <w:noProof/>
        </w:rPr>
        <w:t xml:space="preserve">Marsden Jacob, et al., 2014. </w:t>
      </w:r>
      <w:r>
        <w:rPr>
          <w:i/>
          <w:iCs/>
          <w:noProof/>
        </w:rPr>
        <w:t xml:space="preserve">Estimate of the cost of hazardous waste in Australia, </w:t>
      </w:r>
      <w:r>
        <w:rPr>
          <w:noProof/>
        </w:rPr>
        <w:t>Melbourne: Report prepared by Marsden Jacob Associates (Marsden Jacob), Sustainable Resource Use (SRU) and Nolan Consulting on behalf of the Department of the Environment.</w:t>
      </w:r>
    </w:p>
    <w:p w14:paraId="5A5CD926" w14:textId="77777777" w:rsidR="00575421" w:rsidRDefault="00575421" w:rsidP="00575421">
      <w:pPr>
        <w:pStyle w:val="Bibliography"/>
        <w:rPr>
          <w:noProof/>
        </w:rPr>
      </w:pPr>
      <w:r>
        <w:rPr>
          <w:noProof/>
        </w:rPr>
        <w:lastRenderedPageBreak/>
        <w:t xml:space="preserve">SKM, 2012. </w:t>
      </w:r>
      <w:r>
        <w:rPr>
          <w:i/>
          <w:iCs/>
          <w:noProof/>
        </w:rPr>
        <w:t xml:space="preserve">Review of Australia’s international waste-related reporting obligations, </w:t>
      </w:r>
      <w:r>
        <w:rPr>
          <w:noProof/>
        </w:rPr>
        <w:t>South Brisbane: Report prepared by Sinclair Knight Merz on behalf of the Department of Sustainability, Environment, Water, Population and Communities.</w:t>
      </w:r>
    </w:p>
    <w:p w14:paraId="370364B1" w14:textId="77777777" w:rsidR="00575421" w:rsidRDefault="00575421" w:rsidP="00575421">
      <w:pPr>
        <w:pStyle w:val="Bibliography"/>
        <w:rPr>
          <w:noProof/>
        </w:rPr>
      </w:pPr>
      <w:r>
        <w:rPr>
          <w:noProof/>
        </w:rPr>
        <w:t xml:space="preserve">SRU and MJA, 2015. </w:t>
      </w:r>
      <w:r>
        <w:rPr>
          <w:i/>
          <w:iCs/>
          <w:noProof/>
        </w:rPr>
        <w:t xml:space="preserve">Hazardous waste reform options analysis – Consultation paper and questionnaire, </w:t>
      </w:r>
      <w:r>
        <w:rPr>
          <w:noProof/>
        </w:rPr>
        <w:t>Melbourne: Report prepared by Sustainable Resource Use and Marsden Jacob Associates on behalf of the Department of the Environment.</w:t>
      </w:r>
    </w:p>
    <w:p w14:paraId="308C0612" w14:textId="77777777" w:rsidR="001517E9" w:rsidRPr="00C85476" w:rsidRDefault="001517E9" w:rsidP="001517E9"/>
    <w:bookmarkEnd w:id="10"/>
    <w:bookmarkEnd w:id="11"/>
    <w:bookmarkEnd w:id="12"/>
    <w:p w14:paraId="06D1A21B" w14:textId="77777777" w:rsidR="001517E9" w:rsidRPr="00C85476" w:rsidRDefault="001517E9" w:rsidP="001517E9">
      <w:r w:rsidRPr="00C85476">
        <w:br w:type="page"/>
      </w:r>
    </w:p>
    <w:p w14:paraId="334496D0" w14:textId="77777777" w:rsidR="00B930D8" w:rsidRPr="00C85476" w:rsidRDefault="00B930D8" w:rsidP="00B930D8"/>
    <w:p w14:paraId="695A7B75" w14:textId="77777777" w:rsidR="00B930D8" w:rsidRPr="00C85476" w:rsidRDefault="00B930D8" w:rsidP="00B930D8"/>
    <w:p w14:paraId="4F3F25CC" w14:textId="77777777" w:rsidR="00B930D8" w:rsidRPr="00C85476" w:rsidRDefault="00B930D8" w:rsidP="00B930D8"/>
    <w:p w14:paraId="4499EB56" w14:textId="77777777" w:rsidR="00B930D8" w:rsidRPr="00C85476" w:rsidRDefault="00B930D8" w:rsidP="00B930D8"/>
    <w:p w14:paraId="5FE60F1E" w14:textId="77777777" w:rsidR="00B930D8" w:rsidRPr="00C85476" w:rsidRDefault="00B930D8" w:rsidP="00B930D8"/>
    <w:p w14:paraId="17DED9AD" w14:textId="77777777" w:rsidR="00B930D8" w:rsidRPr="00C85476" w:rsidRDefault="006B1299" w:rsidP="00B930D8">
      <w:pPr>
        <w:pStyle w:val="Heading1"/>
        <w:numPr>
          <w:ilvl w:val="0"/>
          <w:numId w:val="0"/>
        </w:numPr>
        <w:ind w:left="1134"/>
        <w:rPr>
          <w:lang w:val="en-AU"/>
        </w:rPr>
      </w:pPr>
      <w:bookmarkStart w:id="85" w:name="_Toc426022057"/>
      <w:r w:rsidRPr="00C85476">
        <w:rPr>
          <w:lang w:val="en-AU"/>
        </w:rPr>
        <w:t>ATTACHMENT A –S</w:t>
      </w:r>
      <w:r w:rsidR="00C85476" w:rsidRPr="00C85476">
        <w:rPr>
          <w:lang w:val="en-AU"/>
        </w:rPr>
        <w:t>takeholder</w:t>
      </w:r>
      <w:r w:rsidRPr="00C85476">
        <w:rPr>
          <w:lang w:val="en-AU"/>
        </w:rPr>
        <w:t xml:space="preserve"> list</w:t>
      </w:r>
      <w:bookmarkEnd w:id="85"/>
    </w:p>
    <w:p w14:paraId="5B518B47" w14:textId="77777777" w:rsidR="006F090B" w:rsidRPr="00C85476" w:rsidRDefault="00B930D8" w:rsidP="00B930D8">
      <w:pPr>
        <w:spacing w:after="0" w:line="240" w:lineRule="auto"/>
      </w:pPr>
      <w:r w:rsidRPr="00C85476">
        <w:t xml:space="preserve"> </w:t>
      </w:r>
      <w:r w:rsidR="006F090B" w:rsidRPr="00C85476">
        <w:br w:type="page"/>
      </w:r>
    </w:p>
    <w:p w14:paraId="6258FCEE" w14:textId="77777777" w:rsidR="006B1299" w:rsidRPr="00C85476" w:rsidRDefault="006B1299" w:rsidP="006B1299">
      <w:bookmarkStart w:id="86" w:name="_Ref417230723"/>
      <w:r w:rsidRPr="00C85476">
        <w:lastRenderedPageBreak/>
        <w:t>Provided in Table A-1 is a summary of the stakeholders who responded</w:t>
      </w:r>
      <w:r w:rsidR="000D74D9" w:rsidRPr="00C85476">
        <w:t xml:space="preserve"> with comments on the reform options.</w:t>
      </w:r>
    </w:p>
    <w:p w14:paraId="0AEC2402" w14:textId="77777777" w:rsidR="00B930D8" w:rsidRPr="00C85476" w:rsidRDefault="00B930D8" w:rsidP="00792F11">
      <w:pPr>
        <w:keepNext/>
        <w:keepLines/>
        <w:spacing w:after="120" w:line="240" w:lineRule="auto"/>
        <w:rPr>
          <w:b/>
        </w:rPr>
      </w:pPr>
      <w:r w:rsidRPr="00C85476">
        <w:rPr>
          <w:b/>
        </w:rPr>
        <w:t xml:space="preserve">Table </w:t>
      </w:r>
      <w:r w:rsidR="006B1299" w:rsidRPr="00C85476">
        <w:rPr>
          <w:b/>
        </w:rPr>
        <w:t>A-1</w:t>
      </w:r>
      <w:r w:rsidRPr="00C85476">
        <w:rPr>
          <w:b/>
        </w:rPr>
        <w:t xml:space="preserve"> – </w:t>
      </w:r>
      <w:r w:rsidR="006B1299" w:rsidRPr="00C85476">
        <w:rPr>
          <w:b/>
        </w:rPr>
        <w:t>S</w:t>
      </w:r>
      <w:r w:rsidRPr="00C85476">
        <w:rPr>
          <w:b/>
        </w:rPr>
        <w:t xml:space="preserve">takeholder </w:t>
      </w:r>
      <w:r w:rsidR="006B1299" w:rsidRPr="00C85476">
        <w:rPr>
          <w:b/>
        </w:rPr>
        <w:t xml:space="preserve">consultation </w:t>
      </w:r>
      <w:r w:rsidRPr="00C85476">
        <w:rPr>
          <w:b/>
        </w:rPr>
        <w:t>list</w:t>
      </w:r>
    </w:p>
    <w:tbl>
      <w:tblPr>
        <w:tblW w:w="9044" w:type="dxa"/>
        <w:tblInd w:w="28" w:type="dxa"/>
        <w:tblLayout w:type="fixed"/>
        <w:tblLook w:val="04A0" w:firstRow="1" w:lastRow="0" w:firstColumn="1" w:lastColumn="0" w:noHBand="0" w:noVBand="1"/>
      </w:tblPr>
      <w:tblGrid>
        <w:gridCol w:w="3091"/>
        <w:gridCol w:w="5953"/>
      </w:tblGrid>
      <w:tr w:rsidR="006B1299" w:rsidRPr="00C85476" w14:paraId="68631A6E" w14:textId="77777777" w:rsidTr="006B1299">
        <w:tc>
          <w:tcPr>
            <w:tcW w:w="3091" w:type="dxa"/>
            <w:tcBorders>
              <w:top w:val="single" w:sz="4" w:space="0" w:color="00B082"/>
              <w:bottom w:val="single" w:sz="4" w:space="0" w:color="00B082"/>
            </w:tcBorders>
            <w:shd w:val="clear" w:color="auto" w:fill="D9D9D9" w:themeFill="background1" w:themeFillShade="D9"/>
            <w:tcMar>
              <w:left w:w="28" w:type="dxa"/>
              <w:right w:w="28" w:type="dxa"/>
            </w:tcMar>
          </w:tcPr>
          <w:p w14:paraId="202E29A2" w14:textId="77777777" w:rsidR="006B1299" w:rsidRPr="00C85476" w:rsidRDefault="006B1299" w:rsidP="00B930D8">
            <w:pPr>
              <w:pStyle w:val="TableHeading"/>
            </w:pPr>
            <w:r w:rsidRPr="00C85476">
              <w:t>Stakeholder group</w:t>
            </w:r>
          </w:p>
        </w:tc>
        <w:tc>
          <w:tcPr>
            <w:tcW w:w="5953" w:type="dxa"/>
            <w:tcBorders>
              <w:top w:val="single" w:sz="4" w:space="0" w:color="00B082"/>
              <w:bottom w:val="single" w:sz="4" w:space="0" w:color="00B082"/>
            </w:tcBorders>
            <w:shd w:val="clear" w:color="auto" w:fill="D9D9D9" w:themeFill="background1" w:themeFillShade="D9"/>
          </w:tcPr>
          <w:p w14:paraId="25FFFB94" w14:textId="77777777" w:rsidR="006B1299" w:rsidRPr="00C85476" w:rsidRDefault="006B1299" w:rsidP="00B930D8">
            <w:pPr>
              <w:pStyle w:val="TableHeading"/>
            </w:pPr>
            <w:r w:rsidRPr="00C85476">
              <w:t>Stakeholders</w:t>
            </w:r>
          </w:p>
        </w:tc>
      </w:tr>
      <w:tr w:rsidR="00F16C0B" w:rsidRPr="00C85476" w14:paraId="50719863" w14:textId="77777777" w:rsidTr="00E059F1">
        <w:tc>
          <w:tcPr>
            <w:tcW w:w="3091" w:type="dxa"/>
            <w:tcBorders>
              <w:top w:val="single" w:sz="4" w:space="0" w:color="00B082"/>
            </w:tcBorders>
            <w:tcMar>
              <w:left w:w="28" w:type="dxa"/>
              <w:right w:w="28" w:type="dxa"/>
            </w:tcMar>
          </w:tcPr>
          <w:p w14:paraId="3CF9DA9C" w14:textId="77777777" w:rsidR="00F16C0B" w:rsidRPr="00C85476" w:rsidRDefault="00F16C0B" w:rsidP="00F16C0B">
            <w:pPr>
              <w:pStyle w:val="TableText"/>
            </w:pPr>
            <w:r w:rsidRPr="00C85476">
              <w:t>Academia and other</w:t>
            </w:r>
          </w:p>
        </w:tc>
        <w:tc>
          <w:tcPr>
            <w:tcW w:w="5953" w:type="dxa"/>
            <w:tcBorders>
              <w:top w:val="single" w:sz="4" w:space="0" w:color="00B082"/>
            </w:tcBorders>
            <w:vAlign w:val="center"/>
          </w:tcPr>
          <w:p w14:paraId="584454AF" w14:textId="77777777" w:rsidR="00F16C0B" w:rsidRPr="00C85476" w:rsidRDefault="00F16C0B" w:rsidP="00F16C0B">
            <w:pPr>
              <w:pStyle w:val="TableText"/>
            </w:pPr>
            <w:r>
              <w:rPr>
                <w:rFonts w:ascii="Calibri" w:hAnsi="Calibri"/>
                <w:color w:val="000000"/>
                <w:szCs w:val="20"/>
              </w:rPr>
              <w:t>CRC CARE</w:t>
            </w:r>
          </w:p>
        </w:tc>
      </w:tr>
      <w:tr w:rsidR="00AF53FA" w:rsidRPr="00C85476" w14:paraId="67D3C984" w14:textId="77777777" w:rsidTr="00E059F1">
        <w:tc>
          <w:tcPr>
            <w:tcW w:w="3091" w:type="dxa"/>
            <w:tcMar>
              <w:left w:w="28" w:type="dxa"/>
              <w:right w:w="28" w:type="dxa"/>
            </w:tcMar>
          </w:tcPr>
          <w:p w14:paraId="0E6A4D0F" w14:textId="77777777" w:rsidR="00AF53FA" w:rsidRPr="00C85476" w:rsidRDefault="00AF53FA" w:rsidP="00AF53FA">
            <w:pPr>
              <w:pStyle w:val="TableText"/>
            </w:pPr>
          </w:p>
        </w:tc>
        <w:tc>
          <w:tcPr>
            <w:tcW w:w="5953" w:type="dxa"/>
            <w:vAlign w:val="center"/>
          </w:tcPr>
          <w:p w14:paraId="1F1AF272" w14:textId="7BE22FB0" w:rsidR="00AF53FA" w:rsidRDefault="00AF53FA" w:rsidP="00AF53FA">
            <w:pPr>
              <w:pStyle w:val="TableText"/>
              <w:rPr>
                <w:rFonts w:ascii="Calibri" w:hAnsi="Calibri"/>
                <w:color w:val="000000"/>
                <w:szCs w:val="20"/>
              </w:rPr>
            </w:pPr>
            <w:r>
              <w:rPr>
                <w:rFonts w:ascii="Calibri" w:hAnsi="Calibri"/>
                <w:color w:val="000000"/>
                <w:szCs w:val="20"/>
              </w:rPr>
              <w:t>University of Technology, Sydney – Institute of Sustainable Futures</w:t>
            </w:r>
          </w:p>
        </w:tc>
      </w:tr>
      <w:tr w:rsidR="00AF53FA" w:rsidRPr="00C85476" w14:paraId="22571D7F" w14:textId="77777777" w:rsidTr="00E059F1">
        <w:tc>
          <w:tcPr>
            <w:tcW w:w="3091" w:type="dxa"/>
            <w:tcBorders>
              <w:bottom w:val="single" w:sz="4" w:space="0" w:color="00AD68"/>
            </w:tcBorders>
            <w:tcMar>
              <w:left w:w="28" w:type="dxa"/>
              <w:right w:w="28" w:type="dxa"/>
            </w:tcMar>
          </w:tcPr>
          <w:p w14:paraId="6967821B" w14:textId="77777777" w:rsidR="00AF53FA" w:rsidRPr="00C85476" w:rsidRDefault="00AF53FA" w:rsidP="00AF53FA">
            <w:pPr>
              <w:pStyle w:val="TableText"/>
            </w:pPr>
          </w:p>
        </w:tc>
        <w:tc>
          <w:tcPr>
            <w:tcW w:w="5953" w:type="dxa"/>
            <w:tcBorders>
              <w:bottom w:val="single" w:sz="4" w:space="0" w:color="00AD68"/>
            </w:tcBorders>
            <w:vAlign w:val="center"/>
          </w:tcPr>
          <w:p w14:paraId="42F73FCB" w14:textId="7DD0B5BE" w:rsidR="00AF53FA" w:rsidRPr="00004872" w:rsidRDefault="00AF53FA" w:rsidP="00AF53FA">
            <w:pPr>
              <w:pStyle w:val="TableText"/>
              <w:rPr>
                <w:i/>
              </w:rPr>
            </w:pPr>
            <w:r w:rsidRPr="00004872">
              <w:rPr>
                <w:i/>
              </w:rPr>
              <w:t>Confidential response 1</w:t>
            </w:r>
          </w:p>
        </w:tc>
      </w:tr>
      <w:tr w:rsidR="00AF53FA" w:rsidRPr="00C85476" w14:paraId="2D19D886" w14:textId="77777777" w:rsidTr="000D74D9">
        <w:tc>
          <w:tcPr>
            <w:tcW w:w="3091" w:type="dxa"/>
            <w:tcBorders>
              <w:top w:val="single" w:sz="4" w:space="0" w:color="00AD68"/>
              <w:bottom w:val="single" w:sz="4" w:space="0" w:color="00AD68"/>
            </w:tcBorders>
            <w:tcMar>
              <w:left w:w="28" w:type="dxa"/>
              <w:right w:w="28" w:type="dxa"/>
            </w:tcMar>
          </w:tcPr>
          <w:p w14:paraId="0313674F" w14:textId="395E9D98" w:rsidR="00AF53FA" w:rsidRPr="00C85476" w:rsidRDefault="00AF53FA" w:rsidP="00AF53FA">
            <w:pPr>
              <w:pStyle w:val="TableText"/>
            </w:pPr>
            <w:r w:rsidRPr="00C85476">
              <w:t>Generators</w:t>
            </w:r>
          </w:p>
        </w:tc>
        <w:tc>
          <w:tcPr>
            <w:tcW w:w="5953" w:type="dxa"/>
            <w:tcBorders>
              <w:top w:val="single" w:sz="4" w:space="0" w:color="00AD68"/>
              <w:bottom w:val="single" w:sz="4" w:space="0" w:color="00AD68"/>
            </w:tcBorders>
          </w:tcPr>
          <w:p w14:paraId="1A6EF0D5" w14:textId="77777777" w:rsidR="00AF53FA" w:rsidRPr="00C85476" w:rsidRDefault="00AF53FA" w:rsidP="00AF53FA">
            <w:pPr>
              <w:pStyle w:val="TableText"/>
            </w:pPr>
            <w:r w:rsidRPr="00C85476">
              <w:t>Australian Vinyls Corporation Pty Ltd</w:t>
            </w:r>
          </w:p>
        </w:tc>
      </w:tr>
      <w:tr w:rsidR="00004872" w:rsidRPr="00C85476" w14:paraId="0BAFC479" w14:textId="77777777" w:rsidTr="00E059F1">
        <w:tc>
          <w:tcPr>
            <w:tcW w:w="3091" w:type="dxa"/>
            <w:tcBorders>
              <w:top w:val="single" w:sz="4" w:space="0" w:color="00AD68"/>
            </w:tcBorders>
            <w:tcMar>
              <w:left w:w="28" w:type="dxa"/>
              <w:right w:w="28" w:type="dxa"/>
            </w:tcMar>
          </w:tcPr>
          <w:p w14:paraId="53945F8D" w14:textId="77777777" w:rsidR="00004872" w:rsidRPr="00C85476" w:rsidRDefault="00004872" w:rsidP="00004872">
            <w:pPr>
              <w:pStyle w:val="TableText"/>
            </w:pPr>
            <w:r w:rsidRPr="00C85476">
              <w:t>Government</w:t>
            </w:r>
          </w:p>
        </w:tc>
        <w:tc>
          <w:tcPr>
            <w:tcW w:w="5953" w:type="dxa"/>
            <w:tcBorders>
              <w:top w:val="single" w:sz="4" w:space="0" w:color="00AD68"/>
            </w:tcBorders>
            <w:vAlign w:val="center"/>
          </w:tcPr>
          <w:p w14:paraId="7E227A03" w14:textId="2CE5FC88" w:rsidR="00004872" w:rsidRPr="00C85476" w:rsidRDefault="00004872" w:rsidP="00004872">
            <w:pPr>
              <w:pStyle w:val="TableText"/>
            </w:pPr>
            <w:r>
              <w:rPr>
                <w:rFonts w:ascii="Calibri" w:hAnsi="Calibri"/>
                <w:color w:val="000000"/>
                <w:szCs w:val="20"/>
              </w:rPr>
              <w:t>Department of Infrastructure and Regional Development</w:t>
            </w:r>
          </w:p>
        </w:tc>
      </w:tr>
      <w:tr w:rsidR="00004872" w:rsidRPr="00C85476" w14:paraId="5F483BFC" w14:textId="77777777" w:rsidTr="00E059F1">
        <w:tc>
          <w:tcPr>
            <w:tcW w:w="3091" w:type="dxa"/>
            <w:tcMar>
              <w:left w:w="28" w:type="dxa"/>
              <w:right w:w="28" w:type="dxa"/>
            </w:tcMar>
          </w:tcPr>
          <w:p w14:paraId="71110156" w14:textId="77777777" w:rsidR="00004872" w:rsidRPr="00C85476" w:rsidRDefault="00004872" w:rsidP="00004872">
            <w:pPr>
              <w:pStyle w:val="TableText"/>
            </w:pPr>
          </w:p>
        </w:tc>
        <w:tc>
          <w:tcPr>
            <w:tcW w:w="5953" w:type="dxa"/>
            <w:vAlign w:val="center"/>
          </w:tcPr>
          <w:p w14:paraId="346D46F7" w14:textId="29557E71" w:rsidR="00004872" w:rsidRPr="00C85476" w:rsidRDefault="00004872" w:rsidP="00004872">
            <w:pPr>
              <w:pStyle w:val="TableText"/>
            </w:pPr>
            <w:r>
              <w:rPr>
                <w:rFonts w:ascii="Calibri" w:hAnsi="Calibri"/>
                <w:color w:val="000000"/>
                <w:szCs w:val="20"/>
              </w:rPr>
              <w:t>Department of Environment and Heritage Protection (QLD DEHP)</w:t>
            </w:r>
          </w:p>
        </w:tc>
      </w:tr>
      <w:tr w:rsidR="00004872" w:rsidRPr="00C85476" w14:paraId="20F59B5A" w14:textId="77777777" w:rsidTr="00E059F1">
        <w:tc>
          <w:tcPr>
            <w:tcW w:w="3091" w:type="dxa"/>
            <w:tcMar>
              <w:left w:w="28" w:type="dxa"/>
              <w:right w:w="28" w:type="dxa"/>
            </w:tcMar>
          </w:tcPr>
          <w:p w14:paraId="71320C9C" w14:textId="77777777" w:rsidR="00004872" w:rsidRPr="00C85476" w:rsidRDefault="00004872" w:rsidP="00004872">
            <w:pPr>
              <w:pStyle w:val="TableText"/>
            </w:pPr>
          </w:p>
        </w:tc>
        <w:tc>
          <w:tcPr>
            <w:tcW w:w="5953" w:type="dxa"/>
            <w:vAlign w:val="center"/>
          </w:tcPr>
          <w:p w14:paraId="281AA340" w14:textId="61BF66C2" w:rsidR="00004872" w:rsidRPr="00C85476" w:rsidRDefault="00004872" w:rsidP="00004872">
            <w:pPr>
              <w:pStyle w:val="TableText"/>
            </w:pPr>
            <w:r>
              <w:rPr>
                <w:rFonts w:ascii="Calibri" w:hAnsi="Calibri"/>
                <w:color w:val="000000"/>
                <w:szCs w:val="20"/>
              </w:rPr>
              <w:t>Department of Environment Regulation (WA DER)</w:t>
            </w:r>
          </w:p>
        </w:tc>
      </w:tr>
      <w:tr w:rsidR="00004872" w:rsidRPr="00C85476" w14:paraId="54933994" w14:textId="77777777" w:rsidTr="00E059F1">
        <w:tc>
          <w:tcPr>
            <w:tcW w:w="3091" w:type="dxa"/>
            <w:tcMar>
              <w:left w:w="28" w:type="dxa"/>
              <w:right w:w="28" w:type="dxa"/>
            </w:tcMar>
          </w:tcPr>
          <w:p w14:paraId="0955A204" w14:textId="77777777" w:rsidR="00004872" w:rsidRPr="00C85476" w:rsidRDefault="00004872" w:rsidP="00004872">
            <w:pPr>
              <w:pStyle w:val="TableText"/>
            </w:pPr>
          </w:p>
        </w:tc>
        <w:tc>
          <w:tcPr>
            <w:tcW w:w="5953" w:type="dxa"/>
            <w:vAlign w:val="center"/>
          </w:tcPr>
          <w:p w14:paraId="35353085" w14:textId="6AEA4730" w:rsidR="00004872" w:rsidRPr="00C85476" w:rsidRDefault="00004872" w:rsidP="00004872">
            <w:pPr>
              <w:pStyle w:val="TableText"/>
            </w:pPr>
            <w:r>
              <w:rPr>
                <w:rFonts w:ascii="Calibri" w:hAnsi="Calibri"/>
                <w:color w:val="000000"/>
                <w:szCs w:val="20"/>
              </w:rPr>
              <w:t>Environment Protection Authority South Australia</w:t>
            </w:r>
          </w:p>
        </w:tc>
      </w:tr>
      <w:tr w:rsidR="00004872" w:rsidRPr="00C85476" w14:paraId="688E883B" w14:textId="77777777" w:rsidTr="00E059F1">
        <w:tc>
          <w:tcPr>
            <w:tcW w:w="3091" w:type="dxa"/>
            <w:tcMar>
              <w:left w:w="28" w:type="dxa"/>
              <w:right w:w="28" w:type="dxa"/>
            </w:tcMar>
          </w:tcPr>
          <w:p w14:paraId="2F14C5BF" w14:textId="77777777" w:rsidR="00004872" w:rsidRPr="00C85476" w:rsidRDefault="00004872" w:rsidP="00004872">
            <w:pPr>
              <w:pStyle w:val="TableText"/>
            </w:pPr>
          </w:p>
        </w:tc>
        <w:tc>
          <w:tcPr>
            <w:tcW w:w="5953" w:type="dxa"/>
            <w:vAlign w:val="center"/>
          </w:tcPr>
          <w:p w14:paraId="4AF30834" w14:textId="38B9DB4C" w:rsidR="00004872" w:rsidRPr="00004872" w:rsidRDefault="00004872" w:rsidP="00004872">
            <w:pPr>
              <w:pStyle w:val="TableText"/>
              <w:rPr>
                <w:i/>
              </w:rPr>
            </w:pPr>
            <w:r w:rsidRPr="00004872">
              <w:rPr>
                <w:i/>
              </w:rPr>
              <w:t>Confidential response 2</w:t>
            </w:r>
          </w:p>
        </w:tc>
      </w:tr>
      <w:tr w:rsidR="00004872" w:rsidRPr="00C85476" w14:paraId="3B264716" w14:textId="77777777" w:rsidTr="00E059F1">
        <w:tc>
          <w:tcPr>
            <w:tcW w:w="3091" w:type="dxa"/>
            <w:tcMar>
              <w:left w:w="28" w:type="dxa"/>
              <w:right w:w="28" w:type="dxa"/>
            </w:tcMar>
          </w:tcPr>
          <w:p w14:paraId="3F0D3B5E" w14:textId="77777777" w:rsidR="00004872" w:rsidRPr="00C85476" w:rsidRDefault="00004872" w:rsidP="00004872">
            <w:pPr>
              <w:pStyle w:val="TableText"/>
            </w:pPr>
          </w:p>
        </w:tc>
        <w:tc>
          <w:tcPr>
            <w:tcW w:w="5953" w:type="dxa"/>
            <w:vAlign w:val="center"/>
          </w:tcPr>
          <w:p w14:paraId="79AB4941" w14:textId="769009F9" w:rsidR="00004872" w:rsidRPr="00004872" w:rsidRDefault="00004872" w:rsidP="00004872">
            <w:pPr>
              <w:pStyle w:val="TableText"/>
              <w:rPr>
                <w:i/>
              </w:rPr>
            </w:pPr>
            <w:r w:rsidRPr="00004872">
              <w:rPr>
                <w:i/>
              </w:rPr>
              <w:t>Confidential response 3</w:t>
            </w:r>
          </w:p>
        </w:tc>
      </w:tr>
      <w:tr w:rsidR="00004872" w:rsidRPr="00C85476" w14:paraId="7C60AD3D" w14:textId="77777777" w:rsidTr="00E059F1">
        <w:tc>
          <w:tcPr>
            <w:tcW w:w="3091" w:type="dxa"/>
            <w:tcMar>
              <w:left w:w="28" w:type="dxa"/>
              <w:right w:w="28" w:type="dxa"/>
            </w:tcMar>
          </w:tcPr>
          <w:p w14:paraId="4681F63A" w14:textId="77777777" w:rsidR="00004872" w:rsidRPr="00C85476" w:rsidRDefault="00004872" w:rsidP="00004872">
            <w:pPr>
              <w:pStyle w:val="TableText"/>
            </w:pPr>
          </w:p>
        </w:tc>
        <w:tc>
          <w:tcPr>
            <w:tcW w:w="5953" w:type="dxa"/>
            <w:vAlign w:val="center"/>
          </w:tcPr>
          <w:p w14:paraId="02CFE3BE" w14:textId="173A7B0A" w:rsidR="00004872" w:rsidRPr="00004872" w:rsidRDefault="00004872" w:rsidP="00004872">
            <w:pPr>
              <w:pStyle w:val="TableText"/>
              <w:rPr>
                <w:i/>
              </w:rPr>
            </w:pPr>
            <w:r w:rsidRPr="00004872">
              <w:rPr>
                <w:i/>
              </w:rPr>
              <w:t>Confidential response 4</w:t>
            </w:r>
          </w:p>
        </w:tc>
      </w:tr>
      <w:tr w:rsidR="00004872" w:rsidRPr="00C85476" w14:paraId="36827FA1" w14:textId="77777777" w:rsidTr="00E059F1">
        <w:tc>
          <w:tcPr>
            <w:tcW w:w="3091" w:type="dxa"/>
            <w:tcMar>
              <w:left w:w="28" w:type="dxa"/>
              <w:right w:w="28" w:type="dxa"/>
            </w:tcMar>
          </w:tcPr>
          <w:p w14:paraId="23E2E65D" w14:textId="77777777" w:rsidR="00004872" w:rsidRPr="00C85476" w:rsidRDefault="00004872" w:rsidP="00004872">
            <w:pPr>
              <w:pStyle w:val="TableText"/>
            </w:pPr>
          </w:p>
        </w:tc>
        <w:tc>
          <w:tcPr>
            <w:tcW w:w="5953" w:type="dxa"/>
            <w:vAlign w:val="center"/>
          </w:tcPr>
          <w:p w14:paraId="52AC493D" w14:textId="3D3C930A" w:rsidR="00004872" w:rsidRPr="00004872" w:rsidRDefault="00004872" w:rsidP="00004872">
            <w:pPr>
              <w:pStyle w:val="TableText"/>
              <w:rPr>
                <w:i/>
              </w:rPr>
            </w:pPr>
            <w:r w:rsidRPr="00004872">
              <w:rPr>
                <w:i/>
              </w:rPr>
              <w:t>Confidential response 5</w:t>
            </w:r>
          </w:p>
        </w:tc>
      </w:tr>
      <w:tr w:rsidR="00004872" w:rsidRPr="00C85476" w14:paraId="41A7B17A" w14:textId="77777777" w:rsidTr="00E059F1">
        <w:tc>
          <w:tcPr>
            <w:tcW w:w="3091" w:type="dxa"/>
            <w:tcMar>
              <w:left w:w="28" w:type="dxa"/>
              <w:right w:w="28" w:type="dxa"/>
            </w:tcMar>
          </w:tcPr>
          <w:p w14:paraId="47670E7E" w14:textId="77777777" w:rsidR="00004872" w:rsidRPr="00C85476" w:rsidRDefault="00004872" w:rsidP="00004872">
            <w:pPr>
              <w:pStyle w:val="TableText"/>
            </w:pPr>
          </w:p>
        </w:tc>
        <w:tc>
          <w:tcPr>
            <w:tcW w:w="5953" w:type="dxa"/>
            <w:vAlign w:val="center"/>
          </w:tcPr>
          <w:p w14:paraId="57A3CACB" w14:textId="075D3944" w:rsidR="00004872" w:rsidRPr="00004872" w:rsidRDefault="00004872" w:rsidP="00004872">
            <w:pPr>
              <w:pStyle w:val="TableText"/>
              <w:rPr>
                <w:i/>
              </w:rPr>
            </w:pPr>
            <w:r w:rsidRPr="00004872">
              <w:rPr>
                <w:i/>
              </w:rPr>
              <w:t>Confidential response 6</w:t>
            </w:r>
          </w:p>
        </w:tc>
      </w:tr>
      <w:tr w:rsidR="00004872" w:rsidRPr="00C85476" w14:paraId="6FBAB969" w14:textId="77777777" w:rsidTr="00E059F1">
        <w:tc>
          <w:tcPr>
            <w:tcW w:w="3091" w:type="dxa"/>
            <w:tcMar>
              <w:left w:w="28" w:type="dxa"/>
              <w:right w:w="28" w:type="dxa"/>
            </w:tcMar>
          </w:tcPr>
          <w:p w14:paraId="0488BDB6" w14:textId="77777777" w:rsidR="00004872" w:rsidRPr="00C85476" w:rsidRDefault="00004872" w:rsidP="00004872">
            <w:pPr>
              <w:pStyle w:val="TableText"/>
            </w:pPr>
          </w:p>
        </w:tc>
        <w:tc>
          <w:tcPr>
            <w:tcW w:w="5953" w:type="dxa"/>
            <w:vAlign w:val="center"/>
          </w:tcPr>
          <w:p w14:paraId="0CE2B15B" w14:textId="0C3E5842" w:rsidR="00004872" w:rsidRPr="00004872" w:rsidRDefault="00004872" w:rsidP="00004872">
            <w:pPr>
              <w:pStyle w:val="TableText"/>
              <w:rPr>
                <w:i/>
              </w:rPr>
            </w:pPr>
            <w:r w:rsidRPr="00004872">
              <w:rPr>
                <w:i/>
              </w:rPr>
              <w:t>Confidential response 7</w:t>
            </w:r>
          </w:p>
        </w:tc>
      </w:tr>
      <w:tr w:rsidR="00004872" w:rsidRPr="00C85476" w14:paraId="755C0C4B" w14:textId="77777777" w:rsidTr="00E059F1">
        <w:tc>
          <w:tcPr>
            <w:tcW w:w="3091" w:type="dxa"/>
            <w:tcBorders>
              <w:bottom w:val="single" w:sz="4" w:space="0" w:color="00AD68"/>
            </w:tcBorders>
            <w:tcMar>
              <w:left w:w="28" w:type="dxa"/>
              <w:right w:w="28" w:type="dxa"/>
            </w:tcMar>
          </w:tcPr>
          <w:p w14:paraId="59506617" w14:textId="77777777" w:rsidR="00004872" w:rsidRPr="00C85476" w:rsidRDefault="00004872" w:rsidP="00004872">
            <w:pPr>
              <w:pStyle w:val="TableText"/>
            </w:pPr>
          </w:p>
        </w:tc>
        <w:tc>
          <w:tcPr>
            <w:tcW w:w="5953" w:type="dxa"/>
            <w:tcBorders>
              <w:bottom w:val="single" w:sz="4" w:space="0" w:color="00AD68"/>
            </w:tcBorders>
            <w:vAlign w:val="center"/>
          </w:tcPr>
          <w:p w14:paraId="7C697936" w14:textId="53A48BAB" w:rsidR="00004872" w:rsidRPr="00004872" w:rsidRDefault="00004872" w:rsidP="00004872">
            <w:pPr>
              <w:pStyle w:val="TableText"/>
              <w:rPr>
                <w:i/>
              </w:rPr>
            </w:pPr>
            <w:r w:rsidRPr="00004872">
              <w:rPr>
                <w:i/>
              </w:rPr>
              <w:t>Confidential response 8</w:t>
            </w:r>
          </w:p>
        </w:tc>
      </w:tr>
      <w:tr w:rsidR="00004872" w:rsidRPr="00C85476" w14:paraId="5D003A27" w14:textId="77777777" w:rsidTr="000D74D9">
        <w:tc>
          <w:tcPr>
            <w:tcW w:w="3091" w:type="dxa"/>
            <w:tcBorders>
              <w:top w:val="single" w:sz="4" w:space="0" w:color="00AD68"/>
            </w:tcBorders>
            <w:tcMar>
              <w:left w:w="28" w:type="dxa"/>
              <w:right w:w="28" w:type="dxa"/>
            </w:tcMar>
          </w:tcPr>
          <w:p w14:paraId="675086DD" w14:textId="77777777" w:rsidR="00004872" w:rsidRPr="00C85476" w:rsidRDefault="00004872" w:rsidP="00004872">
            <w:pPr>
              <w:pStyle w:val="TableText"/>
            </w:pPr>
            <w:r w:rsidRPr="00C85476">
              <w:t>Industry groups</w:t>
            </w:r>
          </w:p>
        </w:tc>
        <w:tc>
          <w:tcPr>
            <w:tcW w:w="5953" w:type="dxa"/>
            <w:tcBorders>
              <w:top w:val="single" w:sz="4" w:space="0" w:color="00AD68"/>
            </w:tcBorders>
          </w:tcPr>
          <w:p w14:paraId="1752C29A" w14:textId="77777777" w:rsidR="00004872" w:rsidRPr="00C85476" w:rsidRDefault="00004872" w:rsidP="00004872">
            <w:pPr>
              <w:pStyle w:val="TableText"/>
            </w:pPr>
            <w:r w:rsidRPr="00C85476">
              <w:t>Australasian Institute of Surface Finishing (AISF)</w:t>
            </w:r>
          </w:p>
        </w:tc>
      </w:tr>
      <w:tr w:rsidR="00004872" w:rsidRPr="00C85476" w14:paraId="16647F0B" w14:textId="77777777" w:rsidTr="00A2649E">
        <w:tc>
          <w:tcPr>
            <w:tcW w:w="3091" w:type="dxa"/>
            <w:tcMar>
              <w:left w:w="28" w:type="dxa"/>
              <w:right w:w="28" w:type="dxa"/>
            </w:tcMar>
          </w:tcPr>
          <w:p w14:paraId="6CC3CA73" w14:textId="77777777" w:rsidR="00004872" w:rsidRPr="00C85476" w:rsidRDefault="00004872" w:rsidP="00004872">
            <w:pPr>
              <w:pStyle w:val="TableText"/>
            </w:pPr>
          </w:p>
        </w:tc>
        <w:tc>
          <w:tcPr>
            <w:tcW w:w="5953" w:type="dxa"/>
          </w:tcPr>
          <w:p w14:paraId="2E3A8747" w14:textId="77777777" w:rsidR="00004872" w:rsidRPr="00C85476" w:rsidRDefault="00004872" w:rsidP="00004872">
            <w:pPr>
              <w:pStyle w:val="TableText"/>
            </w:pPr>
            <w:r w:rsidRPr="00C85476">
              <w:t>Australian Battery Recycling Initiative (ABRI)</w:t>
            </w:r>
          </w:p>
        </w:tc>
      </w:tr>
      <w:tr w:rsidR="00004872" w:rsidRPr="00C85476" w14:paraId="60405CCF" w14:textId="77777777" w:rsidTr="00A2649E">
        <w:tc>
          <w:tcPr>
            <w:tcW w:w="3091" w:type="dxa"/>
            <w:tcMar>
              <w:left w:w="28" w:type="dxa"/>
              <w:right w:w="28" w:type="dxa"/>
            </w:tcMar>
          </w:tcPr>
          <w:p w14:paraId="286A9114" w14:textId="77777777" w:rsidR="00004872" w:rsidRPr="00C85476" w:rsidRDefault="00004872" w:rsidP="00004872">
            <w:pPr>
              <w:pStyle w:val="TableText"/>
            </w:pPr>
          </w:p>
        </w:tc>
        <w:tc>
          <w:tcPr>
            <w:tcW w:w="5953" w:type="dxa"/>
          </w:tcPr>
          <w:p w14:paraId="1B4C7C11" w14:textId="77777777" w:rsidR="00004872" w:rsidRPr="00C85476" w:rsidRDefault="00004872" w:rsidP="00004872">
            <w:pPr>
              <w:pStyle w:val="TableText"/>
            </w:pPr>
            <w:r w:rsidRPr="00F16C0B">
              <w:t>Australian Council of Recycling (ACOR)</w:t>
            </w:r>
          </w:p>
        </w:tc>
      </w:tr>
      <w:tr w:rsidR="00004872" w:rsidRPr="00C85476" w14:paraId="1471EC4C" w14:textId="77777777" w:rsidTr="000D74D9">
        <w:tc>
          <w:tcPr>
            <w:tcW w:w="3091" w:type="dxa"/>
            <w:tcBorders>
              <w:bottom w:val="single" w:sz="4" w:space="0" w:color="00AD68"/>
            </w:tcBorders>
            <w:tcMar>
              <w:left w:w="28" w:type="dxa"/>
              <w:right w:w="28" w:type="dxa"/>
            </w:tcMar>
          </w:tcPr>
          <w:p w14:paraId="203559BA" w14:textId="77777777" w:rsidR="00004872" w:rsidRPr="00C85476" w:rsidRDefault="00004872" w:rsidP="00004872">
            <w:pPr>
              <w:pStyle w:val="TableText"/>
            </w:pPr>
          </w:p>
        </w:tc>
        <w:tc>
          <w:tcPr>
            <w:tcW w:w="5953" w:type="dxa"/>
            <w:tcBorders>
              <w:bottom w:val="single" w:sz="4" w:space="0" w:color="00AD68"/>
            </w:tcBorders>
          </w:tcPr>
          <w:p w14:paraId="39BFF6F5" w14:textId="77777777" w:rsidR="00004872" w:rsidRPr="00C85476" w:rsidRDefault="00004872" w:rsidP="00004872">
            <w:pPr>
              <w:pStyle w:val="TableText"/>
            </w:pPr>
            <w:r w:rsidRPr="00C85476">
              <w:t>WMAA Queensland Branch</w:t>
            </w:r>
          </w:p>
        </w:tc>
      </w:tr>
      <w:tr w:rsidR="00004872" w:rsidRPr="00C85476" w14:paraId="4AE4FF00" w14:textId="77777777" w:rsidTr="00387027">
        <w:tc>
          <w:tcPr>
            <w:tcW w:w="3091" w:type="dxa"/>
            <w:tcBorders>
              <w:top w:val="single" w:sz="4" w:space="0" w:color="00AD68"/>
              <w:bottom w:val="single" w:sz="4" w:space="0" w:color="00AD68"/>
            </w:tcBorders>
            <w:tcMar>
              <w:left w:w="28" w:type="dxa"/>
              <w:right w:w="28" w:type="dxa"/>
            </w:tcMar>
          </w:tcPr>
          <w:p w14:paraId="7182EA89" w14:textId="77777777" w:rsidR="00004872" w:rsidRPr="00C85476" w:rsidRDefault="00004872" w:rsidP="00004872">
            <w:pPr>
              <w:pStyle w:val="TableText"/>
            </w:pPr>
            <w:r w:rsidRPr="00C85476">
              <w:t>NGOs</w:t>
            </w:r>
          </w:p>
        </w:tc>
        <w:tc>
          <w:tcPr>
            <w:tcW w:w="5953" w:type="dxa"/>
            <w:tcBorders>
              <w:top w:val="single" w:sz="4" w:space="0" w:color="00AD68"/>
              <w:bottom w:val="single" w:sz="4" w:space="0" w:color="00AD68"/>
            </w:tcBorders>
            <w:vAlign w:val="center"/>
          </w:tcPr>
          <w:p w14:paraId="466C7C2F" w14:textId="1DDF3845" w:rsidR="00004872" w:rsidRPr="00004872" w:rsidRDefault="00004872" w:rsidP="00004872">
            <w:pPr>
              <w:pStyle w:val="TableText"/>
              <w:rPr>
                <w:i/>
              </w:rPr>
            </w:pPr>
            <w:r w:rsidRPr="00004872">
              <w:rPr>
                <w:i/>
              </w:rPr>
              <w:t>Confidential response 9</w:t>
            </w:r>
          </w:p>
        </w:tc>
      </w:tr>
      <w:tr w:rsidR="00004872" w:rsidRPr="00C85476" w14:paraId="1DC5A64B" w14:textId="77777777" w:rsidTr="00E059F1">
        <w:tc>
          <w:tcPr>
            <w:tcW w:w="3091" w:type="dxa"/>
            <w:tcBorders>
              <w:top w:val="single" w:sz="4" w:space="0" w:color="00AD68"/>
            </w:tcBorders>
            <w:tcMar>
              <w:left w:w="28" w:type="dxa"/>
              <w:right w:w="28" w:type="dxa"/>
            </w:tcMar>
          </w:tcPr>
          <w:p w14:paraId="4E177A5E" w14:textId="77777777" w:rsidR="00004872" w:rsidRPr="00C85476" w:rsidRDefault="00004872" w:rsidP="00004872">
            <w:pPr>
              <w:pStyle w:val="TableText"/>
            </w:pPr>
            <w:r w:rsidRPr="00C85476">
              <w:t>Transporters/treaters</w:t>
            </w:r>
          </w:p>
        </w:tc>
        <w:tc>
          <w:tcPr>
            <w:tcW w:w="5953" w:type="dxa"/>
            <w:tcBorders>
              <w:top w:val="single" w:sz="4" w:space="0" w:color="00AD68"/>
            </w:tcBorders>
            <w:vAlign w:val="center"/>
          </w:tcPr>
          <w:p w14:paraId="75BE3A0B" w14:textId="77777777" w:rsidR="00004872" w:rsidRPr="00C85476" w:rsidRDefault="00004872" w:rsidP="00004872">
            <w:pPr>
              <w:pStyle w:val="TableText"/>
            </w:pPr>
            <w:r>
              <w:rPr>
                <w:rFonts w:ascii="Calibri" w:hAnsi="Calibri"/>
                <w:color w:val="000000"/>
                <w:szCs w:val="20"/>
              </w:rPr>
              <w:t>Dodd &amp; Dodd Group Pty Ltd</w:t>
            </w:r>
          </w:p>
        </w:tc>
      </w:tr>
      <w:tr w:rsidR="00004872" w:rsidRPr="00C85476" w14:paraId="04BBCC24" w14:textId="77777777" w:rsidTr="00E059F1">
        <w:tc>
          <w:tcPr>
            <w:tcW w:w="3091" w:type="dxa"/>
            <w:tcMar>
              <w:left w:w="28" w:type="dxa"/>
              <w:right w:w="28" w:type="dxa"/>
            </w:tcMar>
          </w:tcPr>
          <w:p w14:paraId="42894D1C" w14:textId="77777777" w:rsidR="00004872" w:rsidRPr="00C85476" w:rsidRDefault="00004872" w:rsidP="00004872">
            <w:pPr>
              <w:pStyle w:val="TableText"/>
            </w:pPr>
          </w:p>
        </w:tc>
        <w:tc>
          <w:tcPr>
            <w:tcW w:w="5953" w:type="dxa"/>
            <w:vAlign w:val="center"/>
          </w:tcPr>
          <w:p w14:paraId="285FF80D" w14:textId="77777777" w:rsidR="00004872" w:rsidRPr="00C85476" w:rsidRDefault="00004872" w:rsidP="00004872">
            <w:pPr>
              <w:pStyle w:val="TableText"/>
            </w:pPr>
            <w:r>
              <w:rPr>
                <w:rFonts w:ascii="Calibri" w:hAnsi="Calibri"/>
                <w:color w:val="000000"/>
                <w:szCs w:val="20"/>
              </w:rPr>
              <w:t>Enirgi Metal Group</w:t>
            </w:r>
          </w:p>
        </w:tc>
      </w:tr>
      <w:tr w:rsidR="00004872" w:rsidRPr="00C85476" w14:paraId="27EB1050" w14:textId="77777777" w:rsidTr="00E059F1">
        <w:tc>
          <w:tcPr>
            <w:tcW w:w="3091" w:type="dxa"/>
            <w:tcMar>
              <w:left w:w="28" w:type="dxa"/>
              <w:right w:w="28" w:type="dxa"/>
            </w:tcMar>
          </w:tcPr>
          <w:p w14:paraId="33932425" w14:textId="77777777" w:rsidR="00004872" w:rsidRPr="00C85476" w:rsidRDefault="00004872" w:rsidP="00004872">
            <w:pPr>
              <w:pStyle w:val="TableText"/>
            </w:pPr>
          </w:p>
        </w:tc>
        <w:tc>
          <w:tcPr>
            <w:tcW w:w="5953" w:type="dxa"/>
            <w:vAlign w:val="center"/>
          </w:tcPr>
          <w:p w14:paraId="2EDE7995" w14:textId="6898487F" w:rsidR="00004872" w:rsidRPr="00C85476" w:rsidRDefault="00004872" w:rsidP="00004872">
            <w:pPr>
              <w:pStyle w:val="TableText"/>
            </w:pPr>
            <w:r>
              <w:rPr>
                <w:rFonts w:ascii="Calibri" w:hAnsi="Calibri"/>
                <w:color w:val="000000"/>
                <w:szCs w:val="20"/>
              </w:rPr>
              <w:t>Sims E Recycling Pty Ltd</w:t>
            </w:r>
          </w:p>
        </w:tc>
      </w:tr>
      <w:tr w:rsidR="00004872" w:rsidRPr="00C85476" w14:paraId="0E44A7F5" w14:textId="77777777" w:rsidTr="00E059F1">
        <w:tc>
          <w:tcPr>
            <w:tcW w:w="3091" w:type="dxa"/>
            <w:tcMar>
              <w:left w:w="28" w:type="dxa"/>
              <w:right w:w="28" w:type="dxa"/>
            </w:tcMar>
          </w:tcPr>
          <w:p w14:paraId="7FDD95F7" w14:textId="77777777" w:rsidR="00004872" w:rsidRPr="00C85476" w:rsidRDefault="00004872" w:rsidP="00004872">
            <w:pPr>
              <w:pStyle w:val="TableText"/>
            </w:pPr>
          </w:p>
        </w:tc>
        <w:tc>
          <w:tcPr>
            <w:tcW w:w="5953" w:type="dxa"/>
            <w:vAlign w:val="center"/>
          </w:tcPr>
          <w:p w14:paraId="72CF1AD1" w14:textId="230341DE" w:rsidR="00004872" w:rsidRPr="00C85476" w:rsidRDefault="00004872" w:rsidP="00004872">
            <w:pPr>
              <w:pStyle w:val="TableText"/>
            </w:pPr>
            <w:r>
              <w:rPr>
                <w:rFonts w:ascii="Calibri" w:hAnsi="Calibri"/>
                <w:color w:val="000000"/>
                <w:szCs w:val="20"/>
              </w:rPr>
              <w:t>Southern Oil Refining Pty Ltd</w:t>
            </w:r>
          </w:p>
        </w:tc>
      </w:tr>
      <w:tr w:rsidR="00004872" w:rsidRPr="00C85476" w14:paraId="2022760C" w14:textId="77777777" w:rsidTr="00E059F1">
        <w:tc>
          <w:tcPr>
            <w:tcW w:w="3091" w:type="dxa"/>
            <w:tcMar>
              <w:left w:w="28" w:type="dxa"/>
              <w:right w:w="28" w:type="dxa"/>
            </w:tcMar>
          </w:tcPr>
          <w:p w14:paraId="7AEC285C" w14:textId="77777777" w:rsidR="00004872" w:rsidRPr="00C85476" w:rsidRDefault="00004872" w:rsidP="00004872">
            <w:pPr>
              <w:pStyle w:val="TableText"/>
            </w:pPr>
          </w:p>
        </w:tc>
        <w:tc>
          <w:tcPr>
            <w:tcW w:w="5953" w:type="dxa"/>
            <w:vAlign w:val="center"/>
          </w:tcPr>
          <w:p w14:paraId="50D540C4" w14:textId="4C7BD680" w:rsidR="00004872" w:rsidRPr="00C85476" w:rsidRDefault="00004872" w:rsidP="00004872">
            <w:pPr>
              <w:pStyle w:val="TableText"/>
            </w:pPr>
            <w:r>
              <w:rPr>
                <w:rFonts w:ascii="Calibri" w:hAnsi="Calibri"/>
                <w:color w:val="000000"/>
                <w:szCs w:val="20"/>
              </w:rPr>
              <w:t>Veolia Environmental Services</w:t>
            </w:r>
          </w:p>
        </w:tc>
      </w:tr>
      <w:tr w:rsidR="00004872" w:rsidRPr="00C85476" w14:paraId="298EA8B5" w14:textId="77777777" w:rsidTr="00E059F1">
        <w:tc>
          <w:tcPr>
            <w:tcW w:w="3091" w:type="dxa"/>
            <w:tcBorders>
              <w:bottom w:val="single" w:sz="4" w:space="0" w:color="00B082"/>
            </w:tcBorders>
            <w:tcMar>
              <w:left w:w="28" w:type="dxa"/>
              <w:right w:w="28" w:type="dxa"/>
            </w:tcMar>
          </w:tcPr>
          <w:p w14:paraId="651771D7" w14:textId="77777777" w:rsidR="00004872" w:rsidRPr="00C85476" w:rsidRDefault="00004872" w:rsidP="00004872">
            <w:pPr>
              <w:pStyle w:val="TableText"/>
            </w:pPr>
          </w:p>
        </w:tc>
        <w:tc>
          <w:tcPr>
            <w:tcW w:w="5953" w:type="dxa"/>
            <w:tcBorders>
              <w:bottom w:val="single" w:sz="4" w:space="0" w:color="00B082"/>
            </w:tcBorders>
            <w:vAlign w:val="center"/>
          </w:tcPr>
          <w:p w14:paraId="4F7729E2" w14:textId="44349C9C" w:rsidR="00004872" w:rsidRPr="00004872" w:rsidRDefault="00004872" w:rsidP="00004872">
            <w:pPr>
              <w:pStyle w:val="TableText"/>
              <w:rPr>
                <w:i/>
              </w:rPr>
            </w:pPr>
            <w:r w:rsidRPr="00004872">
              <w:rPr>
                <w:i/>
              </w:rPr>
              <w:t>Confidential response 10</w:t>
            </w:r>
          </w:p>
        </w:tc>
      </w:tr>
      <w:bookmarkEnd w:id="86"/>
    </w:tbl>
    <w:p w14:paraId="2EA9A3EF" w14:textId="77777777" w:rsidR="006F090B" w:rsidRPr="00C85476" w:rsidRDefault="006F090B" w:rsidP="006F090B"/>
    <w:sectPr w:rsidR="006F090B" w:rsidRPr="00C85476" w:rsidSect="00B8329E">
      <w:headerReference w:type="default" r:id="rId30"/>
      <w:footerReference w:type="default" r:id="rId31"/>
      <w:pgSz w:w="11907" w:h="16840" w:code="9"/>
      <w:pgMar w:top="1701"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28596" w14:textId="77777777" w:rsidR="00365806" w:rsidRDefault="00365806" w:rsidP="002034D6">
      <w:r>
        <w:separator/>
      </w:r>
    </w:p>
  </w:endnote>
  <w:endnote w:type="continuationSeparator" w:id="0">
    <w:p w14:paraId="46B1BCB5" w14:textId="77777777" w:rsidR="00365806" w:rsidRDefault="00365806" w:rsidP="002034D6">
      <w:r>
        <w:continuationSeparator/>
      </w:r>
    </w:p>
  </w:endnote>
  <w:endnote w:type="continuationNotice" w:id="1">
    <w:p w14:paraId="62CFC2B8" w14:textId="77777777" w:rsidR="00365806" w:rsidRDefault="00365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BA4D568-9E55-425C-AF4E-AA2D5AC7DB01}"/>
    <w:embedBold r:id="rId2" w:fontKey="{07857117-022D-4BC6-B85C-54AD39B24EBE}"/>
    <w:embedItalic r:id="rId3" w:fontKey="{3EA629F2-2B71-4401-A616-1A74B2C59B2A}"/>
    <w:embedBoldItalic r:id="rId4" w:fontKey="{B00E7E93-887A-4CE1-8691-D1C725ABF6ED}"/>
  </w:font>
  <w:font w:name="Century Gothic">
    <w:panose1 w:val="020B0502020202020204"/>
    <w:charset w:val="00"/>
    <w:family w:val="swiss"/>
    <w:pitch w:val="variable"/>
    <w:sig w:usb0="00000287" w:usb1="00000000" w:usb2="00000000" w:usb3="00000000" w:csb0="0000009F" w:csb1="00000000"/>
  </w:font>
  <w:font w:name="Gotham Medium">
    <w:altName w:val="Arial"/>
    <w:panose1 w:val="00000500000000000000"/>
    <w:charset w:val="00"/>
    <w:family w:val="auto"/>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otham Book">
    <w:altName w:val="Times New Roman"/>
    <w:panose1 w:val="00000500000000000000"/>
    <w:charset w:val="00"/>
    <w:family w:val="auto"/>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Bold">
    <w:altName w:val="Times New Roman"/>
    <w:panose1 w:val="00000500000000000000"/>
    <w:charset w:val="00"/>
    <w:family w:val="auto"/>
    <w:notTrueType/>
    <w:pitch w:val="variable"/>
    <w:sig w:usb0="A10000FF" w:usb1="4000005B" w:usb2="00000000" w:usb3="00000000" w:csb0="0000009B" w:csb1="00000000"/>
  </w:font>
  <w:font w:name="Gotham Light">
    <w:altName w:val="Arial"/>
    <w:panose1 w:val="00000000000000000000"/>
    <w:charset w:val="00"/>
    <w:family w:val="auto"/>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AD68"/>
      </w:tblBorders>
      <w:tblCellMar>
        <w:left w:w="0" w:type="dxa"/>
        <w:right w:w="0" w:type="dxa"/>
      </w:tblCellMar>
      <w:tblLook w:val="01E0" w:firstRow="1" w:lastRow="1" w:firstColumn="1" w:lastColumn="1" w:noHBand="0" w:noVBand="0"/>
    </w:tblPr>
    <w:tblGrid>
      <w:gridCol w:w="7870"/>
      <w:gridCol w:w="1201"/>
    </w:tblGrid>
    <w:tr w:rsidR="00365806" w:rsidRPr="00B0315B" w14:paraId="33FF7EE7" w14:textId="77777777" w:rsidTr="00BE6FCE">
      <w:trPr>
        <w:trHeight w:val="132"/>
      </w:trPr>
      <w:tc>
        <w:tcPr>
          <w:tcW w:w="4338" w:type="pct"/>
        </w:tcPr>
        <w:p w14:paraId="55C28F6B" w14:textId="77777777" w:rsidR="00365806" w:rsidRPr="00B0315B" w:rsidRDefault="00C40366" w:rsidP="00C74F72">
          <w:pPr>
            <w:spacing w:before="60" w:after="60" w:line="240" w:lineRule="auto"/>
            <w:rPr>
              <w:sz w:val="18"/>
              <w:szCs w:val="18"/>
            </w:rPr>
          </w:pPr>
          <w:r>
            <w:fldChar w:fldCharType="begin"/>
          </w:r>
          <w:r>
            <w:instrText xml:space="preserve"> DOCPROPERTY  ProjectName  \* MERGEFORMAT </w:instrText>
          </w:r>
          <w:r>
            <w:fldChar w:fldCharType="separate"/>
          </w:r>
          <w:r w:rsidRPr="00C40366">
            <w:rPr>
              <w:sz w:val="18"/>
              <w:szCs w:val="18"/>
            </w:rPr>
            <w:t>Hazardous waste reform proposals analysis</w:t>
          </w:r>
          <w:r>
            <w:rPr>
              <w:sz w:val="18"/>
              <w:szCs w:val="18"/>
            </w:rPr>
            <w:fldChar w:fldCharType="end"/>
          </w:r>
          <w:r w:rsidR="00365806" w:rsidRPr="00B0315B">
            <w:rPr>
              <w:sz w:val="18"/>
              <w:szCs w:val="18"/>
            </w:rPr>
            <w:t xml:space="preserve"> – </w:t>
          </w:r>
          <w:r>
            <w:fldChar w:fldCharType="begin"/>
          </w:r>
          <w:r>
            <w:instrText xml:space="preserve"> DOCPROPERTY  ReportTitle  \* MERGEFORMAT </w:instrText>
          </w:r>
          <w:r>
            <w:fldChar w:fldCharType="separate"/>
          </w:r>
          <w:r w:rsidRPr="00C40366">
            <w:rPr>
              <w:sz w:val="18"/>
              <w:szCs w:val="18"/>
            </w:rPr>
            <w:t>Project report (final)</w:t>
          </w:r>
          <w:r>
            <w:rPr>
              <w:sz w:val="18"/>
              <w:szCs w:val="18"/>
            </w:rPr>
            <w:fldChar w:fldCharType="end"/>
          </w:r>
        </w:p>
        <w:p w14:paraId="2404DB1B" w14:textId="77777777" w:rsidR="00365806" w:rsidRPr="00B0315B" w:rsidRDefault="00365806" w:rsidP="001E6130">
          <w:pPr>
            <w:spacing w:before="60" w:after="60" w:line="240" w:lineRule="auto"/>
            <w:rPr>
              <w:sz w:val="18"/>
              <w:szCs w:val="18"/>
            </w:rPr>
          </w:pPr>
          <w:r w:rsidRPr="00B0315B">
            <w:rPr>
              <w:sz w:val="18"/>
              <w:szCs w:val="18"/>
            </w:rPr>
            <w:t>Sustainable Resource Use and Marsden Jacob Associates</w:t>
          </w:r>
        </w:p>
      </w:tc>
      <w:tc>
        <w:tcPr>
          <w:tcW w:w="662" w:type="pct"/>
        </w:tcPr>
        <w:p w14:paraId="69566F7A" w14:textId="77777777" w:rsidR="00365806" w:rsidRPr="00B0315B" w:rsidRDefault="00365806" w:rsidP="00EE4615">
          <w:pPr>
            <w:spacing w:before="60" w:after="60" w:line="240" w:lineRule="auto"/>
            <w:jc w:val="right"/>
            <w:rPr>
              <w:sz w:val="18"/>
              <w:szCs w:val="18"/>
            </w:rPr>
          </w:pPr>
          <w:r w:rsidRPr="00B0315B">
            <w:rPr>
              <w:sz w:val="18"/>
              <w:szCs w:val="18"/>
            </w:rPr>
            <w:t xml:space="preserve">Page </w:t>
          </w:r>
          <w:r w:rsidRPr="00B0315B">
            <w:rPr>
              <w:sz w:val="18"/>
              <w:szCs w:val="18"/>
            </w:rPr>
            <w:fldChar w:fldCharType="begin"/>
          </w:r>
          <w:r w:rsidRPr="00B0315B">
            <w:rPr>
              <w:sz w:val="18"/>
              <w:szCs w:val="18"/>
            </w:rPr>
            <w:instrText xml:space="preserve"> PAGE   \* MERGEFORMAT </w:instrText>
          </w:r>
          <w:r w:rsidRPr="00B0315B">
            <w:rPr>
              <w:sz w:val="18"/>
              <w:szCs w:val="18"/>
            </w:rPr>
            <w:fldChar w:fldCharType="separate"/>
          </w:r>
          <w:r w:rsidR="00C40366">
            <w:rPr>
              <w:noProof/>
              <w:sz w:val="18"/>
              <w:szCs w:val="18"/>
            </w:rPr>
            <w:t>19</w:t>
          </w:r>
          <w:r w:rsidRPr="00B0315B">
            <w:rPr>
              <w:noProof/>
              <w:sz w:val="18"/>
              <w:szCs w:val="18"/>
            </w:rPr>
            <w:fldChar w:fldCharType="end"/>
          </w:r>
        </w:p>
      </w:tc>
    </w:tr>
  </w:tbl>
  <w:p w14:paraId="6BB426C0" w14:textId="77777777" w:rsidR="00365806" w:rsidRPr="00840779" w:rsidRDefault="00365806" w:rsidP="00EE4615">
    <w:pPr>
      <w:spacing w:after="0" w:line="240" w:lineRule="auto"/>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AD68"/>
      </w:tblBorders>
      <w:tblCellMar>
        <w:left w:w="0" w:type="dxa"/>
        <w:right w:w="0" w:type="dxa"/>
      </w:tblCellMar>
      <w:tblLook w:val="01E0" w:firstRow="1" w:lastRow="1" w:firstColumn="1" w:lastColumn="1" w:noHBand="0" w:noVBand="0"/>
    </w:tblPr>
    <w:tblGrid>
      <w:gridCol w:w="7870"/>
      <w:gridCol w:w="1201"/>
    </w:tblGrid>
    <w:tr w:rsidR="00365806" w:rsidRPr="00B0315B" w14:paraId="0D02D735" w14:textId="77777777" w:rsidTr="00BE6FCE">
      <w:trPr>
        <w:trHeight w:val="132"/>
      </w:trPr>
      <w:tc>
        <w:tcPr>
          <w:tcW w:w="4338" w:type="pct"/>
        </w:tcPr>
        <w:p w14:paraId="57FACB8F" w14:textId="77777777" w:rsidR="00365806" w:rsidRPr="00B0315B" w:rsidRDefault="00C40366" w:rsidP="00EE4615">
          <w:pPr>
            <w:spacing w:before="60" w:after="60" w:line="240" w:lineRule="auto"/>
            <w:rPr>
              <w:sz w:val="18"/>
              <w:szCs w:val="18"/>
            </w:rPr>
          </w:pPr>
          <w:r>
            <w:fldChar w:fldCharType="begin"/>
          </w:r>
          <w:r>
            <w:instrText xml:space="preserve"> DOCPROPERTY  ProjectName  \* MERGEFORMAT </w:instrText>
          </w:r>
          <w:r>
            <w:fldChar w:fldCharType="separate"/>
          </w:r>
          <w:r w:rsidRPr="00C40366">
            <w:rPr>
              <w:sz w:val="18"/>
              <w:szCs w:val="18"/>
            </w:rPr>
            <w:t>Hazardous waste reform proposals analysis</w:t>
          </w:r>
          <w:r>
            <w:rPr>
              <w:sz w:val="18"/>
              <w:szCs w:val="18"/>
            </w:rPr>
            <w:fldChar w:fldCharType="end"/>
          </w:r>
          <w:r w:rsidR="00365806" w:rsidRPr="00B0315B">
            <w:rPr>
              <w:sz w:val="18"/>
              <w:szCs w:val="18"/>
            </w:rPr>
            <w:t xml:space="preserve"> – </w:t>
          </w:r>
          <w:r>
            <w:fldChar w:fldCharType="begin"/>
          </w:r>
          <w:r>
            <w:instrText xml:space="preserve"> DOCPROPERTY  ReportTitle  \* MERGEFORMAT </w:instrText>
          </w:r>
          <w:r>
            <w:fldChar w:fldCharType="separate"/>
          </w:r>
          <w:r w:rsidRPr="00C40366">
            <w:rPr>
              <w:sz w:val="18"/>
              <w:szCs w:val="18"/>
            </w:rPr>
            <w:t>Project report (final)</w:t>
          </w:r>
          <w:r>
            <w:rPr>
              <w:sz w:val="18"/>
              <w:szCs w:val="18"/>
            </w:rPr>
            <w:fldChar w:fldCharType="end"/>
          </w:r>
        </w:p>
        <w:p w14:paraId="4B60176C" w14:textId="77777777" w:rsidR="00365806" w:rsidRPr="00B0315B" w:rsidRDefault="00365806" w:rsidP="00A97DC0">
          <w:pPr>
            <w:spacing w:before="60" w:after="60" w:line="240" w:lineRule="auto"/>
            <w:rPr>
              <w:sz w:val="18"/>
              <w:szCs w:val="18"/>
            </w:rPr>
          </w:pPr>
          <w:r w:rsidRPr="00B0315B">
            <w:rPr>
              <w:sz w:val="18"/>
              <w:szCs w:val="18"/>
            </w:rPr>
            <w:t>Sustainable Resource Use and Marsden Jacob Associates</w:t>
          </w:r>
        </w:p>
      </w:tc>
      <w:tc>
        <w:tcPr>
          <w:tcW w:w="662" w:type="pct"/>
        </w:tcPr>
        <w:p w14:paraId="406F6858" w14:textId="77777777" w:rsidR="00365806" w:rsidRPr="00B0315B" w:rsidRDefault="00365806" w:rsidP="00EE4615">
          <w:pPr>
            <w:spacing w:before="60" w:after="60" w:line="240" w:lineRule="auto"/>
            <w:jc w:val="right"/>
            <w:rPr>
              <w:sz w:val="18"/>
              <w:szCs w:val="18"/>
            </w:rPr>
          </w:pPr>
          <w:r w:rsidRPr="00B0315B">
            <w:rPr>
              <w:sz w:val="18"/>
              <w:szCs w:val="18"/>
            </w:rPr>
            <w:t xml:space="preserve">Page </w:t>
          </w:r>
          <w:r w:rsidRPr="00B0315B">
            <w:rPr>
              <w:sz w:val="18"/>
              <w:szCs w:val="18"/>
            </w:rPr>
            <w:fldChar w:fldCharType="begin"/>
          </w:r>
          <w:r w:rsidRPr="00B0315B">
            <w:rPr>
              <w:sz w:val="18"/>
              <w:szCs w:val="18"/>
            </w:rPr>
            <w:instrText xml:space="preserve"> PAGE   \* MERGEFORMAT </w:instrText>
          </w:r>
          <w:r w:rsidRPr="00B0315B">
            <w:rPr>
              <w:sz w:val="18"/>
              <w:szCs w:val="18"/>
            </w:rPr>
            <w:fldChar w:fldCharType="separate"/>
          </w:r>
          <w:r w:rsidR="00C40366">
            <w:rPr>
              <w:noProof/>
              <w:sz w:val="18"/>
              <w:szCs w:val="18"/>
            </w:rPr>
            <w:t>ii</w:t>
          </w:r>
          <w:r w:rsidRPr="00B0315B">
            <w:rPr>
              <w:noProof/>
              <w:sz w:val="18"/>
              <w:szCs w:val="18"/>
            </w:rPr>
            <w:fldChar w:fldCharType="end"/>
          </w:r>
        </w:p>
      </w:tc>
    </w:tr>
  </w:tbl>
  <w:p w14:paraId="4106BA8F" w14:textId="77777777" w:rsidR="00365806" w:rsidRPr="00840779" w:rsidRDefault="00365806" w:rsidP="00EE4615">
    <w:pPr>
      <w:spacing w:after="0" w:line="240" w:lineRule="auto"/>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AD68"/>
      </w:tblBorders>
      <w:tblCellMar>
        <w:left w:w="0" w:type="dxa"/>
        <w:right w:w="0" w:type="dxa"/>
      </w:tblCellMar>
      <w:tblLook w:val="01E0" w:firstRow="1" w:lastRow="1" w:firstColumn="1" w:lastColumn="1" w:noHBand="0" w:noVBand="0"/>
    </w:tblPr>
    <w:tblGrid>
      <w:gridCol w:w="17955"/>
      <w:gridCol w:w="2740"/>
    </w:tblGrid>
    <w:tr w:rsidR="00365806" w:rsidRPr="00B0315B" w14:paraId="6F42E6AF" w14:textId="77777777" w:rsidTr="00BE6FCE">
      <w:trPr>
        <w:trHeight w:val="132"/>
      </w:trPr>
      <w:tc>
        <w:tcPr>
          <w:tcW w:w="4338" w:type="pct"/>
        </w:tcPr>
        <w:p w14:paraId="5C336122" w14:textId="77777777" w:rsidR="00365806" w:rsidRPr="00B0315B" w:rsidRDefault="00C40366" w:rsidP="00C74F72">
          <w:pPr>
            <w:spacing w:before="60" w:after="60" w:line="240" w:lineRule="auto"/>
            <w:rPr>
              <w:sz w:val="18"/>
              <w:szCs w:val="18"/>
            </w:rPr>
          </w:pPr>
          <w:r>
            <w:fldChar w:fldCharType="begin"/>
          </w:r>
          <w:r>
            <w:instrText xml:space="preserve"> DOCPROPERTY  ProjectName  \* MERGEFORMAT </w:instrText>
          </w:r>
          <w:r>
            <w:fldChar w:fldCharType="separate"/>
          </w:r>
          <w:r w:rsidRPr="00C40366">
            <w:rPr>
              <w:sz w:val="18"/>
              <w:szCs w:val="18"/>
            </w:rPr>
            <w:t>Hazardous waste reform proposals analysis</w:t>
          </w:r>
          <w:r>
            <w:rPr>
              <w:sz w:val="18"/>
              <w:szCs w:val="18"/>
            </w:rPr>
            <w:fldChar w:fldCharType="end"/>
          </w:r>
          <w:r w:rsidR="00365806" w:rsidRPr="00B0315B">
            <w:rPr>
              <w:sz w:val="18"/>
              <w:szCs w:val="18"/>
            </w:rPr>
            <w:t xml:space="preserve"> – </w:t>
          </w:r>
          <w:r>
            <w:fldChar w:fldCharType="begin"/>
          </w:r>
          <w:r>
            <w:instrText xml:space="preserve"> DOCPROPERTY  ReportTitle  \* MERGEFORMAT </w:instrText>
          </w:r>
          <w:r>
            <w:fldChar w:fldCharType="separate"/>
          </w:r>
          <w:r w:rsidRPr="00C40366">
            <w:rPr>
              <w:sz w:val="18"/>
              <w:szCs w:val="18"/>
            </w:rPr>
            <w:t>Project report (final)</w:t>
          </w:r>
          <w:r>
            <w:rPr>
              <w:sz w:val="18"/>
              <w:szCs w:val="18"/>
            </w:rPr>
            <w:fldChar w:fldCharType="end"/>
          </w:r>
        </w:p>
        <w:p w14:paraId="3A2246F2" w14:textId="77777777" w:rsidR="00365806" w:rsidRPr="00B0315B" w:rsidRDefault="00365806" w:rsidP="001E6130">
          <w:pPr>
            <w:spacing w:before="60" w:after="60" w:line="240" w:lineRule="auto"/>
            <w:rPr>
              <w:sz w:val="18"/>
              <w:szCs w:val="18"/>
            </w:rPr>
          </w:pPr>
          <w:r w:rsidRPr="00B0315B">
            <w:rPr>
              <w:sz w:val="18"/>
              <w:szCs w:val="18"/>
            </w:rPr>
            <w:t>Sustainable Resource Use and Marsden Jacob Associates</w:t>
          </w:r>
        </w:p>
      </w:tc>
      <w:tc>
        <w:tcPr>
          <w:tcW w:w="662" w:type="pct"/>
        </w:tcPr>
        <w:p w14:paraId="5008737A" w14:textId="77777777" w:rsidR="00365806" w:rsidRPr="00B0315B" w:rsidRDefault="00365806" w:rsidP="00EE4615">
          <w:pPr>
            <w:spacing w:before="60" w:after="60" w:line="240" w:lineRule="auto"/>
            <w:jc w:val="right"/>
            <w:rPr>
              <w:sz w:val="18"/>
              <w:szCs w:val="18"/>
            </w:rPr>
          </w:pPr>
          <w:r w:rsidRPr="00B0315B">
            <w:rPr>
              <w:sz w:val="18"/>
              <w:szCs w:val="18"/>
            </w:rPr>
            <w:t xml:space="preserve">Page </w:t>
          </w:r>
          <w:r w:rsidRPr="00B0315B">
            <w:rPr>
              <w:sz w:val="18"/>
              <w:szCs w:val="18"/>
            </w:rPr>
            <w:fldChar w:fldCharType="begin"/>
          </w:r>
          <w:r w:rsidRPr="00B0315B">
            <w:rPr>
              <w:sz w:val="18"/>
              <w:szCs w:val="18"/>
            </w:rPr>
            <w:instrText xml:space="preserve"> PAGE   \* MERGEFORMAT </w:instrText>
          </w:r>
          <w:r w:rsidRPr="00B0315B">
            <w:rPr>
              <w:sz w:val="18"/>
              <w:szCs w:val="18"/>
            </w:rPr>
            <w:fldChar w:fldCharType="separate"/>
          </w:r>
          <w:r w:rsidR="00C40366">
            <w:rPr>
              <w:noProof/>
              <w:sz w:val="18"/>
              <w:szCs w:val="18"/>
            </w:rPr>
            <w:t>60</w:t>
          </w:r>
          <w:r w:rsidRPr="00B0315B">
            <w:rPr>
              <w:noProof/>
              <w:sz w:val="18"/>
              <w:szCs w:val="18"/>
            </w:rPr>
            <w:fldChar w:fldCharType="end"/>
          </w:r>
        </w:p>
      </w:tc>
    </w:tr>
  </w:tbl>
  <w:p w14:paraId="7498BFD5" w14:textId="77777777" w:rsidR="00365806" w:rsidRPr="00840779" w:rsidRDefault="00365806" w:rsidP="00EE4615">
    <w:pPr>
      <w:spacing w:after="0" w:line="240" w:lineRule="auto"/>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AD68"/>
      </w:tblBorders>
      <w:tblCellMar>
        <w:left w:w="0" w:type="dxa"/>
        <w:right w:w="0" w:type="dxa"/>
      </w:tblCellMar>
      <w:tblLook w:val="01E0" w:firstRow="1" w:lastRow="1" w:firstColumn="1" w:lastColumn="1" w:noHBand="0" w:noVBand="0"/>
    </w:tblPr>
    <w:tblGrid>
      <w:gridCol w:w="7870"/>
      <w:gridCol w:w="1201"/>
    </w:tblGrid>
    <w:tr w:rsidR="00365806" w:rsidRPr="00B0315B" w14:paraId="019C6E69" w14:textId="77777777" w:rsidTr="00BE6FCE">
      <w:trPr>
        <w:trHeight w:val="132"/>
      </w:trPr>
      <w:tc>
        <w:tcPr>
          <w:tcW w:w="4338" w:type="pct"/>
        </w:tcPr>
        <w:p w14:paraId="00CA0626" w14:textId="77777777" w:rsidR="00365806" w:rsidRPr="00B0315B" w:rsidRDefault="00C40366" w:rsidP="00C74F72">
          <w:pPr>
            <w:spacing w:before="60" w:after="60" w:line="240" w:lineRule="auto"/>
            <w:rPr>
              <w:sz w:val="18"/>
              <w:szCs w:val="18"/>
            </w:rPr>
          </w:pPr>
          <w:r>
            <w:fldChar w:fldCharType="begin"/>
          </w:r>
          <w:r>
            <w:instrText xml:space="preserve"> DOCPROPERTY  ProjectName  \* MERGEFORMAT </w:instrText>
          </w:r>
          <w:r>
            <w:fldChar w:fldCharType="separate"/>
          </w:r>
          <w:r w:rsidRPr="00C40366">
            <w:rPr>
              <w:sz w:val="18"/>
              <w:szCs w:val="18"/>
            </w:rPr>
            <w:t>Hazardous waste reform proposals analysis</w:t>
          </w:r>
          <w:r>
            <w:rPr>
              <w:sz w:val="18"/>
              <w:szCs w:val="18"/>
            </w:rPr>
            <w:fldChar w:fldCharType="end"/>
          </w:r>
          <w:r w:rsidR="00365806" w:rsidRPr="00B0315B">
            <w:rPr>
              <w:sz w:val="18"/>
              <w:szCs w:val="18"/>
            </w:rPr>
            <w:t xml:space="preserve"> – </w:t>
          </w:r>
          <w:r>
            <w:fldChar w:fldCharType="begin"/>
          </w:r>
          <w:r>
            <w:instrText xml:space="preserve"> DOCPROPERTY  ReportTitle  \* MERGEFORMAT </w:instrText>
          </w:r>
          <w:r>
            <w:fldChar w:fldCharType="separate"/>
          </w:r>
          <w:r w:rsidRPr="00C40366">
            <w:rPr>
              <w:sz w:val="18"/>
              <w:szCs w:val="18"/>
            </w:rPr>
            <w:t>Project report (final)</w:t>
          </w:r>
          <w:r>
            <w:rPr>
              <w:sz w:val="18"/>
              <w:szCs w:val="18"/>
            </w:rPr>
            <w:fldChar w:fldCharType="end"/>
          </w:r>
        </w:p>
        <w:p w14:paraId="615A7FB9" w14:textId="77777777" w:rsidR="00365806" w:rsidRPr="00B0315B" w:rsidRDefault="00365806" w:rsidP="001E6130">
          <w:pPr>
            <w:spacing w:before="60" w:after="60" w:line="240" w:lineRule="auto"/>
            <w:rPr>
              <w:sz w:val="18"/>
              <w:szCs w:val="18"/>
            </w:rPr>
          </w:pPr>
          <w:r w:rsidRPr="00B0315B">
            <w:rPr>
              <w:sz w:val="18"/>
              <w:szCs w:val="18"/>
            </w:rPr>
            <w:t>Sustainable Resource Use and Marsden Jacob Associates</w:t>
          </w:r>
        </w:p>
      </w:tc>
      <w:tc>
        <w:tcPr>
          <w:tcW w:w="662" w:type="pct"/>
        </w:tcPr>
        <w:p w14:paraId="67E2C495" w14:textId="77777777" w:rsidR="00365806" w:rsidRPr="00B0315B" w:rsidRDefault="00365806" w:rsidP="00EE4615">
          <w:pPr>
            <w:spacing w:before="60" w:after="60" w:line="240" w:lineRule="auto"/>
            <w:jc w:val="right"/>
            <w:rPr>
              <w:sz w:val="18"/>
              <w:szCs w:val="18"/>
            </w:rPr>
          </w:pPr>
          <w:r w:rsidRPr="00B0315B">
            <w:rPr>
              <w:sz w:val="18"/>
              <w:szCs w:val="18"/>
            </w:rPr>
            <w:t xml:space="preserve">Page </w:t>
          </w:r>
          <w:r w:rsidRPr="00B0315B">
            <w:rPr>
              <w:sz w:val="18"/>
              <w:szCs w:val="18"/>
            </w:rPr>
            <w:fldChar w:fldCharType="begin"/>
          </w:r>
          <w:r w:rsidRPr="00B0315B">
            <w:rPr>
              <w:sz w:val="18"/>
              <w:szCs w:val="18"/>
            </w:rPr>
            <w:instrText xml:space="preserve"> PAGE   \* MERGEFORMAT </w:instrText>
          </w:r>
          <w:r w:rsidRPr="00B0315B">
            <w:rPr>
              <w:sz w:val="18"/>
              <w:szCs w:val="18"/>
            </w:rPr>
            <w:fldChar w:fldCharType="separate"/>
          </w:r>
          <w:r w:rsidR="00C40366">
            <w:rPr>
              <w:noProof/>
              <w:sz w:val="18"/>
              <w:szCs w:val="18"/>
            </w:rPr>
            <w:t>66</w:t>
          </w:r>
          <w:r w:rsidRPr="00B0315B">
            <w:rPr>
              <w:noProof/>
              <w:sz w:val="18"/>
              <w:szCs w:val="18"/>
            </w:rPr>
            <w:fldChar w:fldCharType="end"/>
          </w:r>
        </w:p>
      </w:tc>
    </w:tr>
  </w:tbl>
  <w:p w14:paraId="6944634C" w14:textId="77777777" w:rsidR="00365806" w:rsidRPr="00840779" w:rsidRDefault="00365806" w:rsidP="00EE4615">
    <w:pPr>
      <w:spacing w:after="0" w:line="240" w:lineRule="auto"/>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66A64" w14:textId="77777777" w:rsidR="00365806" w:rsidRDefault="00365806" w:rsidP="002034D6">
      <w:r>
        <w:separator/>
      </w:r>
    </w:p>
  </w:footnote>
  <w:footnote w:type="continuationSeparator" w:id="0">
    <w:p w14:paraId="66282BC6" w14:textId="77777777" w:rsidR="00365806" w:rsidRDefault="00365806" w:rsidP="002034D6">
      <w:r>
        <w:continuationSeparator/>
      </w:r>
    </w:p>
  </w:footnote>
  <w:footnote w:type="continuationNotice" w:id="1">
    <w:p w14:paraId="3C3324C6" w14:textId="77777777" w:rsidR="00365806" w:rsidRDefault="00365806">
      <w:pPr>
        <w:spacing w:after="0" w:line="240" w:lineRule="auto"/>
      </w:pPr>
    </w:p>
  </w:footnote>
  <w:footnote w:id="2">
    <w:p w14:paraId="46ADDB91" w14:textId="77777777" w:rsidR="00365806" w:rsidRDefault="00365806" w:rsidP="00720321">
      <w:pPr>
        <w:pStyle w:val="FootnoteText"/>
      </w:pPr>
      <w:r>
        <w:rPr>
          <w:rStyle w:val="FootnoteReference"/>
        </w:rPr>
        <w:footnoteRef/>
      </w:r>
      <w:r>
        <w:t xml:space="preserve"> The proximity principle states that treatment and disposal of hazardous waste take place at the closest possible location to its source in order to minimise the risks involved in its transport.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492E1" w14:textId="77777777" w:rsidR="00365806" w:rsidRDefault="003658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6CF13" w14:textId="77777777" w:rsidR="00365806" w:rsidRPr="00376347" w:rsidRDefault="00365806" w:rsidP="002034D6">
    <w:r w:rsidRPr="00E71DE1">
      <w:rPr>
        <w:noProof/>
      </w:rPr>
      <w:drawing>
        <wp:anchor distT="0" distB="0" distL="114300" distR="114300" simplePos="0" relativeHeight="251659264" behindDoc="1" locked="1" layoutInCell="1" allowOverlap="0" wp14:anchorId="1A06DB12" wp14:editId="140EF40B">
          <wp:simplePos x="0" y="0"/>
          <wp:positionH relativeFrom="page">
            <wp:posOffset>6429375</wp:posOffset>
          </wp:positionH>
          <wp:positionV relativeFrom="page">
            <wp:posOffset>314960</wp:posOffset>
          </wp:positionV>
          <wp:extent cx="523875" cy="497205"/>
          <wp:effectExtent l="0" t="0" r="9525" b="0"/>
          <wp:wrapNone/>
          <wp:docPr id="14" name="Picture 14"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E47D7" w14:textId="77777777" w:rsidR="00365806" w:rsidRDefault="00365806" w:rsidP="002034D6">
    <w:r w:rsidRPr="00E71DE1">
      <w:rPr>
        <w:noProof/>
      </w:rPr>
      <w:drawing>
        <wp:anchor distT="0" distB="0" distL="114300" distR="114300" simplePos="0" relativeHeight="251655168" behindDoc="1" locked="1" layoutInCell="1" allowOverlap="0" wp14:anchorId="1CB50DCF" wp14:editId="68DF806F">
          <wp:simplePos x="0" y="0"/>
          <wp:positionH relativeFrom="page">
            <wp:posOffset>6276975</wp:posOffset>
          </wp:positionH>
          <wp:positionV relativeFrom="page">
            <wp:posOffset>400050</wp:posOffset>
          </wp:positionV>
          <wp:extent cx="523875" cy="497205"/>
          <wp:effectExtent l="0" t="0" r="9525" b="0"/>
          <wp:wrapNone/>
          <wp:docPr id="15" name="Picture 1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9B3E" w14:textId="77777777" w:rsidR="00365806" w:rsidRDefault="0036580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06E9" w14:textId="77777777" w:rsidR="00365806" w:rsidRPr="00376347" w:rsidRDefault="00365806" w:rsidP="002034D6">
    <w:r w:rsidRPr="00E71DE1">
      <w:rPr>
        <w:noProof/>
      </w:rPr>
      <w:drawing>
        <wp:anchor distT="0" distB="0" distL="114300" distR="114300" simplePos="0" relativeHeight="251657216" behindDoc="1" locked="1" layoutInCell="1" allowOverlap="0" wp14:anchorId="614F120A" wp14:editId="3174032B">
          <wp:simplePos x="0" y="0"/>
          <wp:positionH relativeFrom="page">
            <wp:posOffset>6429375</wp:posOffset>
          </wp:positionH>
          <wp:positionV relativeFrom="page">
            <wp:posOffset>314960</wp:posOffset>
          </wp:positionV>
          <wp:extent cx="523875" cy="497205"/>
          <wp:effectExtent l="0" t="0" r="9525" b="0"/>
          <wp:wrapNone/>
          <wp:docPr id="2" name="Picture 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2E6D9" w14:textId="77777777" w:rsidR="00365806" w:rsidRDefault="0036580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FFD31" w14:textId="77777777" w:rsidR="00365806" w:rsidRPr="00376347" w:rsidRDefault="00365806" w:rsidP="005E5C79">
    <w:pPr>
      <w:tabs>
        <w:tab w:val="left" w:pos="9180"/>
      </w:tabs>
    </w:pPr>
    <w:r w:rsidRPr="00E71DE1">
      <w:rPr>
        <w:noProof/>
      </w:rPr>
      <w:drawing>
        <wp:anchor distT="0" distB="0" distL="114300" distR="114300" simplePos="0" relativeHeight="251661312" behindDoc="1" locked="1" layoutInCell="1" allowOverlap="0" wp14:anchorId="4AAA53EC" wp14:editId="036273A2">
          <wp:simplePos x="0" y="0"/>
          <wp:positionH relativeFrom="page">
            <wp:posOffset>14142085</wp:posOffset>
          </wp:positionH>
          <wp:positionV relativeFrom="page">
            <wp:posOffset>314960</wp:posOffset>
          </wp:positionV>
          <wp:extent cx="523875" cy="497205"/>
          <wp:effectExtent l="0" t="0" r="9525" b="0"/>
          <wp:wrapNone/>
          <wp:docPr id="3" name="Picture 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5AA7" w14:textId="77777777" w:rsidR="00365806" w:rsidRPr="00376347" w:rsidRDefault="00365806" w:rsidP="005E5C79">
    <w:pPr>
      <w:tabs>
        <w:tab w:val="right" w:pos="9071"/>
      </w:tabs>
    </w:pPr>
    <w:r w:rsidRPr="00E71DE1">
      <w:rPr>
        <w:noProof/>
      </w:rPr>
      <w:drawing>
        <wp:anchor distT="0" distB="0" distL="114300" distR="114300" simplePos="0" relativeHeight="251681792" behindDoc="1" locked="1" layoutInCell="1" allowOverlap="0" wp14:anchorId="4E01E208" wp14:editId="394928C5">
          <wp:simplePos x="0" y="0"/>
          <wp:positionH relativeFrom="page">
            <wp:posOffset>6429375</wp:posOffset>
          </wp:positionH>
          <wp:positionV relativeFrom="page">
            <wp:posOffset>314960</wp:posOffset>
          </wp:positionV>
          <wp:extent cx="523875" cy="497205"/>
          <wp:effectExtent l="0" t="0" r="9525" b="0"/>
          <wp:wrapNone/>
          <wp:docPr id="5" name="Picture 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42AE2"/>
    <w:multiLevelType w:val="hybridMultilevel"/>
    <w:tmpl w:val="D35024A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A47A5"/>
    <w:multiLevelType w:val="hybridMultilevel"/>
    <w:tmpl w:val="F61420B0"/>
    <w:lvl w:ilvl="0" w:tplc="3D043CCE">
      <w:numFmt w:val="bullet"/>
      <w:lvlText w:val="-"/>
      <w:lvlJc w:val="left"/>
      <w:pPr>
        <w:ind w:left="720" w:hanging="360"/>
      </w:pPr>
      <w:rPr>
        <w:rFonts w:ascii="Calibri" w:eastAsia="Calibri" w:hAnsi="Calibri"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0DAA697C"/>
    <w:multiLevelType w:val="hybridMultilevel"/>
    <w:tmpl w:val="F760B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110AB"/>
    <w:multiLevelType w:val="hybridMultilevel"/>
    <w:tmpl w:val="799858EA"/>
    <w:lvl w:ilvl="0" w:tplc="3D9A9F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 w15:restartNumberingAfterBreak="0">
    <w:nsid w:val="178629FD"/>
    <w:multiLevelType w:val="hybridMultilevel"/>
    <w:tmpl w:val="F19E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A7AAF"/>
    <w:multiLevelType w:val="hybridMultilevel"/>
    <w:tmpl w:val="DE86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A66AE"/>
    <w:multiLevelType w:val="hybridMultilevel"/>
    <w:tmpl w:val="F3F6DD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12B3335"/>
    <w:multiLevelType w:val="hybridMultilevel"/>
    <w:tmpl w:val="84681F5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D01EB0"/>
    <w:multiLevelType w:val="hybridMultilevel"/>
    <w:tmpl w:val="E7648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44BA5"/>
    <w:multiLevelType w:val="hybridMultilevel"/>
    <w:tmpl w:val="EF0420BA"/>
    <w:lvl w:ilvl="0" w:tplc="E3F6FC20">
      <w:start w:val="1"/>
      <w:numFmt w:val="upp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ED3099"/>
    <w:multiLevelType w:val="singleLevel"/>
    <w:tmpl w:val="ACCA3522"/>
    <w:lvl w:ilvl="0">
      <w:start w:val="1"/>
      <w:numFmt w:val="decimal"/>
      <w:pStyle w:val="NumberPoints"/>
      <w:lvlText w:val="%1."/>
      <w:lvlJc w:val="left"/>
      <w:pPr>
        <w:ind w:left="360" w:hanging="360"/>
      </w:pPr>
      <w:rPr>
        <w:rFonts w:hint="default"/>
        <w:b w:val="0"/>
        <w:i w:val="0"/>
        <w:sz w:val="22"/>
      </w:rPr>
    </w:lvl>
  </w:abstractNum>
  <w:abstractNum w:abstractNumId="11" w15:restartNumberingAfterBreak="0">
    <w:nsid w:val="2E8A107A"/>
    <w:multiLevelType w:val="hybridMultilevel"/>
    <w:tmpl w:val="98B86AF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41076E8"/>
    <w:multiLevelType w:val="hybridMultilevel"/>
    <w:tmpl w:val="E1F2B6E6"/>
    <w:lvl w:ilvl="0" w:tplc="30D6E312">
      <w:start w:val="1"/>
      <w:numFmt w:val="decimal"/>
      <w:lvlText w:val="%1"/>
      <w:lvlJc w:val="left"/>
      <w:pPr>
        <w:ind w:left="720" w:hanging="360"/>
      </w:pPr>
      <w:rPr>
        <w:rFonts w:ascii="Century Gothic" w:hAnsi="Century Gothic" w:hint="default"/>
        <w:b w:val="0"/>
        <w:i w:val="0"/>
        <w:strike w:val="0"/>
        <w:dstrike w:val="0"/>
        <w:color w:val="auto"/>
        <w:sz w:val="20"/>
        <w:szCs w:val="19"/>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C140D5"/>
    <w:multiLevelType w:val="hybridMultilevel"/>
    <w:tmpl w:val="E3C8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7255FF"/>
    <w:multiLevelType w:val="hybridMultilevel"/>
    <w:tmpl w:val="D242A8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7A656A"/>
    <w:multiLevelType w:val="hybridMultilevel"/>
    <w:tmpl w:val="D1982E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6B4D3A"/>
    <w:multiLevelType w:val="multilevel"/>
    <w:tmpl w:val="3846684A"/>
    <w:lvl w:ilvl="0">
      <w:start w:val="1"/>
      <w:numFmt w:val="bullet"/>
      <w:pStyle w:val="BulletPoints"/>
      <w:lvlText w:val=""/>
      <w:lvlJc w:val="left"/>
      <w:pPr>
        <w:ind w:left="1211" w:hanging="36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9CE0635"/>
    <w:multiLevelType w:val="hybridMultilevel"/>
    <w:tmpl w:val="3D2042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701D23"/>
    <w:multiLevelType w:val="hybridMultilevel"/>
    <w:tmpl w:val="E6804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CC06E3A"/>
    <w:multiLevelType w:val="hybridMultilevel"/>
    <w:tmpl w:val="0FD81B2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E8C6E1A"/>
    <w:multiLevelType w:val="multilevel"/>
    <w:tmpl w:val="E0E69A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16"/>
  </w:num>
  <w:num w:numId="2">
    <w:abstractNumId w:val="20"/>
    <w:lvlOverride w:ilvl="0">
      <w:lvl w:ilvl="0">
        <w:start w:val="1"/>
        <w:numFmt w:val="decimal"/>
        <w:pStyle w:val="Heading1"/>
        <w:lvlText w:val="%1"/>
        <w:lvlJc w:val="left"/>
        <w:pPr>
          <w:ind w:left="360" w:hanging="360"/>
        </w:pPr>
        <w:rPr>
          <w:rFonts w:hint="default"/>
        </w:rPr>
      </w:lvl>
    </w:lvlOverride>
  </w:num>
  <w:num w:numId="3">
    <w:abstractNumId w:val="2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4">
    <w:abstractNumId w:val="10"/>
  </w:num>
  <w:num w:numId="5">
    <w:abstractNumId w:val="9"/>
  </w:num>
  <w:num w:numId="6">
    <w:abstractNumId w:val="3"/>
  </w:num>
  <w:num w:numId="7">
    <w:abstractNumId w:val="17"/>
  </w:num>
  <w:num w:numId="8">
    <w:abstractNumId w:val="10"/>
    <w:lvlOverride w:ilvl="0">
      <w:startOverride w:val="1"/>
    </w:lvlOverride>
  </w:num>
  <w:num w:numId="9">
    <w:abstractNumId w:val="18"/>
  </w:num>
  <w:num w:numId="10">
    <w:abstractNumId w:val="5"/>
  </w:num>
  <w:num w:numId="11">
    <w:abstractNumId w:val="2"/>
  </w:num>
  <w:num w:numId="12">
    <w:abstractNumId w:val="4"/>
  </w:num>
  <w:num w:numId="13">
    <w:abstractNumId w:val="7"/>
  </w:num>
  <w:num w:numId="14">
    <w:abstractNumId w:val="0"/>
  </w:num>
  <w:num w:numId="15">
    <w:abstractNumId w:val="14"/>
  </w:num>
  <w:num w:numId="16">
    <w:abstractNumId w:val="10"/>
    <w:lvlOverride w:ilvl="0">
      <w:startOverride w:val="1"/>
    </w:lvlOverride>
  </w:num>
  <w:num w:numId="17">
    <w:abstractNumId w:val="19"/>
  </w:num>
  <w:num w:numId="18">
    <w:abstractNumId w:val="10"/>
  </w:num>
  <w:num w:numId="19">
    <w:abstractNumId w:val="11"/>
  </w:num>
  <w:num w:numId="20">
    <w:abstractNumId w:val="16"/>
  </w:num>
  <w:num w:numId="21">
    <w:abstractNumId w:val="6"/>
  </w:num>
  <w:num w:numId="22">
    <w:abstractNumId w:val="10"/>
    <w:lvlOverride w:ilvl="0">
      <w:startOverride w:val="1"/>
    </w:lvlOverride>
  </w:num>
  <w:num w:numId="23">
    <w:abstractNumId w:val="20"/>
    <w:lvlOverride w:ilvl="0">
      <w:lvl w:ilvl="0">
        <w:start w:val="1"/>
        <w:numFmt w:val="decimal"/>
        <w:pStyle w:val="Heading1"/>
        <w:lvlText w:val="%1"/>
        <w:lvlJc w:val="left"/>
        <w:pPr>
          <w:ind w:left="360" w:hanging="360"/>
        </w:pPr>
        <w:rPr>
          <w:rFonts w:hint="default"/>
        </w:rPr>
      </w:lvl>
    </w:lvlOverride>
  </w:num>
  <w:num w:numId="24">
    <w:abstractNumId w:val="12"/>
  </w:num>
  <w:num w:numId="25">
    <w:abstractNumId w:val="10"/>
  </w:num>
  <w:num w:numId="26">
    <w:abstractNumId w:val="16"/>
  </w:num>
  <w:num w:numId="27">
    <w:abstractNumId w:val="16"/>
  </w:num>
  <w:num w:numId="28">
    <w:abstractNumId w:val="10"/>
  </w:num>
  <w:num w:numId="29">
    <w:abstractNumId w:val="20"/>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0">
    <w:abstractNumId w:val="15"/>
  </w:num>
  <w:num w:numId="31">
    <w:abstractNumId w:val="8"/>
  </w:num>
  <w:num w:numId="32">
    <w:abstractNumId w:val="13"/>
  </w:num>
  <w:num w:numId="33">
    <w:abstractNumId w:val="16"/>
  </w:num>
  <w:num w:numId="34">
    <w:abstractNumId w:val="16"/>
  </w:num>
  <w:num w:numId="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2"/>
  </w:compat>
  <w:rsids>
    <w:rsidRoot w:val="009F5A49"/>
    <w:rsid w:val="0000120C"/>
    <w:rsid w:val="0000284B"/>
    <w:rsid w:val="00003E33"/>
    <w:rsid w:val="00004872"/>
    <w:rsid w:val="00005040"/>
    <w:rsid w:val="000059F4"/>
    <w:rsid w:val="00007A65"/>
    <w:rsid w:val="00007B3C"/>
    <w:rsid w:val="00007CF2"/>
    <w:rsid w:val="00014599"/>
    <w:rsid w:val="0002098D"/>
    <w:rsid w:val="00022A65"/>
    <w:rsid w:val="00022B58"/>
    <w:rsid w:val="000233C8"/>
    <w:rsid w:val="00023EFE"/>
    <w:rsid w:val="0002401F"/>
    <w:rsid w:val="00024BEC"/>
    <w:rsid w:val="00024F5B"/>
    <w:rsid w:val="00027DBD"/>
    <w:rsid w:val="00030CE7"/>
    <w:rsid w:val="000312A8"/>
    <w:rsid w:val="00031A53"/>
    <w:rsid w:val="00032DC8"/>
    <w:rsid w:val="0003384C"/>
    <w:rsid w:val="00033D87"/>
    <w:rsid w:val="0003693A"/>
    <w:rsid w:val="0003796F"/>
    <w:rsid w:val="00040226"/>
    <w:rsid w:val="00041413"/>
    <w:rsid w:val="00042209"/>
    <w:rsid w:val="00044EBE"/>
    <w:rsid w:val="00044F1F"/>
    <w:rsid w:val="00045AF6"/>
    <w:rsid w:val="00045DBF"/>
    <w:rsid w:val="000470EF"/>
    <w:rsid w:val="00047B40"/>
    <w:rsid w:val="000502B5"/>
    <w:rsid w:val="00051003"/>
    <w:rsid w:val="000526E7"/>
    <w:rsid w:val="00052B0B"/>
    <w:rsid w:val="00056FCD"/>
    <w:rsid w:val="00060C5B"/>
    <w:rsid w:val="00061617"/>
    <w:rsid w:val="00063951"/>
    <w:rsid w:val="00063A0E"/>
    <w:rsid w:val="00063D8D"/>
    <w:rsid w:val="000647FA"/>
    <w:rsid w:val="000649A5"/>
    <w:rsid w:val="00064B6E"/>
    <w:rsid w:val="00064D4B"/>
    <w:rsid w:val="00066E87"/>
    <w:rsid w:val="000708E1"/>
    <w:rsid w:val="00070B45"/>
    <w:rsid w:val="00070C21"/>
    <w:rsid w:val="00072104"/>
    <w:rsid w:val="00072169"/>
    <w:rsid w:val="00072192"/>
    <w:rsid w:val="00072EFC"/>
    <w:rsid w:val="00073074"/>
    <w:rsid w:val="000733E4"/>
    <w:rsid w:val="00073CB0"/>
    <w:rsid w:val="000742E8"/>
    <w:rsid w:val="00074BAF"/>
    <w:rsid w:val="00074ED1"/>
    <w:rsid w:val="000750DB"/>
    <w:rsid w:val="00076139"/>
    <w:rsid w:val="00076392"/>
    <w:rsid w:val="000769BE"/>
    <w:rsid w:val="00076CAC"/>
    <w:rsid w:val="0007786C"/>
    <w:rsid w:val="00077AAF"/>
    <w:rsid w:val="00080211"/>
    <w:rsid w:val="000816FC"/>
    <w:rsid w:val="00082C81"/>
    <w:rsid w:val="0008388E"/>
    <w:rsid w:val="0008448A"/>
    <w:rsid w:val="000848F5"/>
    <w:rsid w:val="000907ED"/>
    <w:rsid w:val="00090E51"/>
    <w:rsid w:val="00091C3A"/>
    <w:rsid w:val="000932F0"/>
    <w:rsid w:val="000933DD"/>
    <w:rsid w:val="000940DB"/>
    <w:rsid w:val="000947DE"/>
    <w:rsid w:val="000948D3"/>
    <w:rsid w:val="000953B5"/>
    <w:rsid w:val="000A08B7"/>
    <w:rsid w:val="000A0965"/>
    <w:rsid w:val="000A0E92"/>
    <w:rsid w:val="000A1179"/>
    <w:rsid w:val="000A155F"/>
    <w:rsid w:val="000A286A"/>
    <w:rsid w:val="000A4E1F"/>
    <w:rsid w:val="000A52F9"/>
    <w:rsid w:val="000A69CB"/>
    <w:rsid w:val="000B0DA8"/>
    <w:rsid w:val="000B10D7"/>
    <w:rsid w:val="000B33A7"/>
    <w:rsid w:val="000B3935"/>
    <w:rsid w:val="000B42CA"/>
    <w:rsid w:val="000B69E7"/>
    <w:rsid w:val="000B76C5"/>
    <w:rsid w:val="000C031E"/>
    <w:rsid w:val="000C2598"/>
    <w:rsid w:val="000C2FD9"/>
    <w:rsid w:val="000C33E4"/>
    <w:rsid w:val="000C3670"/>
    <w:rsid w:val="000C37CF"/>
    <w:rsid w:val="000C3C60"/>
    <w:rsid w:val="000C549E"/>
    <w:rsid w:val="000C6962"/>
    <w:rsid w:val="000C6FB9"/>
    <w:rsid w:val="000C7F1D"/>
    <w:rsid w:val="000D03C6"/>
    <w:rsid w:val="000D05CA"/>
    <w:rsid w:val="000D0F67"/>
    <w:rsid w:val="000D1140"/>
    <w:rsid w:val="000D1233"/>
    <w:rsid w:val="000D29E7"/>
    <w:rsid w:val="000D3047"/>
    <w:rsid w:val="000D364F"/>
    <w:rsid w:val="000D3CCA"/>
    <w:rsid w:val="000D3D5A"/>
    <w:rsid w:val="000D3DBE"/>
    <w:rsid w:val="000D3F91"/>
    <w:rsid w:val="000D41C6"/>
    <w:rsid w:val="000D4ED3"/>
    <w:rsid w:val="000D5249"/>
    <w:rsid w:val="000D635D"/>
    <w:rsid w:val="000D69D6"/>
    <w:rsid w:val="000D74D9"/>
    <w:rsid w:val="000E0F43"/>
    <w:rsid w:val="000E1325"/>
    <w:rsid w:val="000E2DC5"/>
    <w:rsid w:val="000E33F2"/>
    <w:rsid w:val="000E3C3A"/>
    <w:rsid w:val="000E507E"/>
    <w:rsid w:val="000E743E"/>
    <w:rsid w:val="000E766B"/>
    <w:rsid w:val="000E7AF3"/>
    <w:rsid w:val="000F0377"/>
    <w:rsid w:val="000F22DB"/>
    <w:rsid w:val="000F2F9F"/>
    <w:rsid w:val="000F3332"/>
    <w:rsid w:val="000F3C65"/>
    <w:rsid w:val="000F3CF2"/>
    <w:rsid w:val="000F4575"/>
    <w:rsid w:val="000F724D"/>
    <w:rsid w:val="00101456"/>
    <w:rsid w:val="00101DE1"/>
    <w:rsid w:val="00101E3B"/>
    <w:rsid w:val="00101EE7"/>
    <w:rsid w:val="00103C09"/>
    <w:rsid w:val="00104000"/>
    <w:rsid w:val="0010583A"/>
    <w:rsid w:val="00106640"/>
    <w:rsid w:val="00111912"/>
    <w:rsid w:val="00111C1E"/>
    <w:rsid w:val="00112067"/>
    <w:rsid w:val="001121A4"/>
    <w:rsid w:val="001121BA"/>
    <w:rsid w:val="001125A5"/>
    <w:rsid w:val="00113B89"/>
    <w:rsid w:val="00113BBE"/>
    <w:rsid w:val="001179FF"/>
    <w:rsid w:val="00120622"/>
    <w:rsid w:val="001207DD"/>
    <w:rsid w:val="001240A6"/>
    <w:rsid w:val="001245ED"/>
    <w:rsid w:val="00124A55"/>
    <w:rsid w:val="00125BE0"/>
    <w:rsid w:val="00130853"/>
    <w:rsid w:val="00131B39"/>
    <w:rsid w:val="00132959"/>
    <w:rsid w:val="001329DC"/>
    <w:rsid w:val="001329F0"/>
    <w:rsid w:val="00132B56"/>
    <w:rsid w:val="0013327B"/>
    <w:rsid w:val="00133699"/>
    <w:rsid w:val="001365A6"/>
    <w:rsid w:val="001369EC"/>
    <w:rsid w:val="00136C9F"/>
    <w:rsid w:val="00136D5D"/>
    <w:rsid w:val="00137353"/>
    <w:rsid w:val="00140FFD"/>
    <w:rsid w:val="00141456"/>
    <w:rsid w:val="001419CE"/>
    <w:rsid w:val="00142AD3"/>
    <w:rsid w:val="00142EC2"/>
    <w:rsid w:val="00143763"/>
    <w:rsid w:val="00143BFB"/>
    <w:rsid w:val="0014520F"/>
    <w:rsid w:val="001464AF"/>
    <w:rsid w:val="00147155"/>
    <w:rsid w:val="00147F85"/>
    <w:rsid w:val="0015069C"/>
    <w:rsid w:val="001517E9"/>
    <w:rsid w:val="00151DF5"/>
    <w:rsid w:val="00152B4A"/>
    <w:rsid w:val="00152D2D"/>
    <w:rsid w:val="001575EB"/>
    <w:rsid w:val="001603D9"/>
    <w:rsid w:val="001609CC"/>
    <w:rsid w:val="00161D64"/>
    <w:rsid w:val="0016456C"/>
    <w:rsid w:val="00165DB0"/>
    <w:rsid w:val="001674AD"/>
    <w:rsid w:val="00167D78"/>
    <w:rsid w:val="00172622"/>
    <w:rsid w:val="0017372C"/>
    <w:rsid w:val="0017511C"/>
    <w:rsid w:val="00175ECB"/>
    <w:rsid w:val="001760BB"/>
    <w:rsid w:val="00176484"/>
    <w:rsid w:val="001766CF"/>
    <w:rsid w:val="001800C2"/>
    <w:rsid w:val="00181782"/>
    <w:rsid w:val="001836F3"/>
    <w:rsid w:val="00185224"/>
    <w:rsid w:val="001853F4"/>
    <w:rsid w:val="00186479"/>
    <w:rsid w:val="001902E9"/>
    <w:rsid w:val="00191693"/>
    <w:rsid w:val="00192AC0"/>
    <w:rsid w:val="00194AD6"/>
    <w:rsid w:val="00195001"/>
    <w:rsid w:val="00196412"/>
    <w:rsid w:val="001969B2"/>
    <w:rsid w:val="00196CC3"/>
    <w:rsid w:val="001A069D"/>
    <w:rsid w:val="001A0EAD"/>
    <w:rsid w:val="001A3477"/>
    <w:rsid w:val="001A3878"/>
    <w:rsid w:val="001A5808"/>
    <w:rsid w:val="001A6522"/>
    <w:rsid w:val="001A6F6D"/>
    <w:rsid w:val="001B25F1"/>
    <w:rsid w:val="001B287C"/>
    <w:rsid w:val="001B2E9D"/>
    <w:rsid w:val="001B3073"/>
    <w:rsid w:val="001B34A3"/>
    <w:rsid w:val="001B5CBC"/>
    <w:rsid w:val="001C031D"/>
    <w:rsid w:val="001C038C"/>
    <w:rsid w:val="001C06B2"/>
    <w:rsid w:val="001C0E89"/>
    <w:rsid w:val="001C2779"/>
    <w:rsid w:val="001C2E4E"/>
    <w:rsid w:val="001C32D4"/>
    <w:rsid w:val="001C499B"/>
    <w:rsid w:val="001D01D3"/>
    <w:rsid w:val="001D1AC0"/>
    <w:rsid w:val="001D332C"/>
    <w:rsid w:val="001D3616"/>
    <w:rsid w:val="001D36A4"/>
    <w:rsid w:val="001D544F"/>
    <w:rsid w:val="001D5A61"/>
    <w:rsid w:val="001D5DBB"/>
    <w:rsid w:val="001D688A"/>
    <w:rsid w:val="001D7676"/>
    <w:rsid w:val="001E1E89"/>
    <w:rsid w:val="001E3381"/>
    <w:rsid w:val="001E3962"/>
    <w:rsid w:val="001E6130"/>
    <w:rsid w:val="001E7E8F"/>
    <w:rsid w:val="001F07D0"/>
    <w:rsid w:val="001F3C53"/>
    <w:rsid w:val="001F6F42"/>
    <w:rsid w:val="001F7772"/>
    <w:rsid w:val="002034D6"/>
    <w:rsid w:val="00205CA0"/>
    <w:rsid w:val="002060AD"/>
    <w:rsid w:val="002100E8"/>
    <w:rsid w:val="00210847"/>
    <w:rsid w:val="00210B99"/>
    <w:rsid w:val="0021194F"/>
    <w:rsid w:val="002132EF"/>
    <w:rsid w:val="00214190"/>
    <w:rsid w:val="002145A4"/>
    <w:rsid w:val="00214662"/>
    <w:rsid w:val="002150F1"/>
    <w:rsid w:val="0021650C"/>
    <w:rsid w:val="00216609"/>
    <w:rsid w:val="002201B3"/>
    <w:rsid w:val="00220339"/>
    <w:rsid w:val="00220718"/>
    <w:rsid w:val="00220988"/>
    <w:rsid w:val="00220D08"/>
    <w:rsid w:val="00222AD3"/>
    <w:rsid w:val="00222BB8"/>
    <w:rsid w:val="00223253"/>
    <w:rsid w:val="0022347D"/>
    <w:rsid w:val="00224481"/>
    <w:rsid w:val="00225D96"/>
    <w:rsid w:val="00225E5E"/>
    <w:rsid w:val="00226001"/>
    <w:rsid w:val="0022613E"/>
    <w:rsid w:val="002261DC"/>
    <w:rsid w:val="00226CA4"/>
    <w:rsid w:val="0023431C"/>
    <w:rsid w:val="00235C70"/>
    <w:rsid w:val="00236AC7"/>
    <w:rsid w:val="002378BA"/>
    <w:rsid w:val="00237C3C"/>
    <w:rsid w:val="002411ED"/>
    <w:rsid w:val="00241547"/>
    <w:rsid w:val="00241E36"/>
    <w:rsid w:val="00242E88"/>
    <w:rsid w:val="002433BF"/>
    <w:rsid w:val="0024495E"/>
    <w:rsid w:val="002476F2"/>
    <w:rsid w:val="0025059A"/>
    <w:rsid w:val="0025087C"/>
    <w:rsid w:val="00251739"/>
    <w:rsid w:val="002544EE"/>
    <w:rsid w:val="00254E95"/>
    <w:rsid w:val="00256B64"/>
    <w:rsid w:val="00257EE3"/>
    <w:rsid w:val="00261256"/>
    <w:rsid w:val="0026279D"/>
    <w:rsid w:val="00262C43"/>
    <w:rsid w:val="00263B6F"/>
    <w:rsid w:val="00265CFF"/>
    <w:rsid w:val="0026603F"/>
    <w:rsid w:val="00266679"/>
    <w:rsid w:val="00267277"/>
    <w:rsid w:val="00267975"/>
    <w:rsid w:val="00267F1B"/>
    <w:rsid w:val="00270C0E"/>
    <w:rsid w:val="00272F20"/>
    <w:rsid w:val="002740D8"/>
    <w:rsid w:val="00274D51"/>
    <w:rsid w:val="0027668F"/>
    <w:rsid w:val="002766D5"/>
    <w:rsid w:val="002767CB"/>
    <w:rsid w:val="00276C60"/>
    <w:rsid w:val="00277E0A"/>
    <w:rsid w:val="00281193"/>
    <w:rsid w:val="002825F2"/>
    <w:rsid w:val="00283712"/>
    <w:rsid w:val="00290B5C"/>
    <w:rsid w:val="00291320"/>
    <w:rsid w:val="00291BDA"/>
    <w:rsid w:val="0029278B"/>
    <w:rsid w:val="002928C2"/>
    <w:rsid w:val="00293988"/>
    <w:rsid w:val="00293B77"/>
    <w:rsid w:val="00294E4D"/>
    <w:rsid w:val="002959B7"/>
    <w:rsid w:val="00295DCD"/>
    <w:rsid w:val="00296B06"/>
    <w:rsid w:val="00296F1F"/>
    <w:rsid w:val="0029797B"/>
    <w:rsid w:val="002A0478"/>
    <w:rsid w:val="002A14DA"/>
    <w:rsid w:val="002A1897"/>
    <w:rsid w:val="002A1DBB"/>
    <w:rsid w:val="002A2C2A"/>
    <w:rsid w:val="002A5209"/>
    <w:rsid w:val="002A58A1"/>
    <w:rsid w:val="002A6084"/>
    <w:rsid w:val="002A65DF"/>
    <w:rsid w:val="002A6C62"/>
    <w:rsid w:val="002A6D73"/>
    <w:rsid w:val="002A7F70"/>
    <w:rsid w:val="002B122D"/>
    <w:rsid w:val="002B1ABF"/>
    <w:rsid w:val="002B2158"/>
    <w:rsid w:val="002B3192"/>
    <w:rsid w:val="002B3ACB"/>
    <w:rsid w:val="002B4241"/>
    <w:rsid w:val="002B51F3"/>
    <w:rsid w:val="002B6BBB"/>
    <w:rsid w:val="002B6DB7"/>
    <w:rsid w:val="002C160B"/>
    <w:rsid w:val="002C1E14"/>
    <w:rsid w:val="002C26D2"/>
    <w:rsid w:val="002C2953"/>
    <w:rsid w:val="002C601D"/>
    <w:rsid w:val="002C6A18"/>
    <w:rsid w:val="002C6CA0"/>
    <w:rsid w:val="002D02F2"/>
    <w:rsid w:val="002D1B19"/>
    <w:rsid w:val="002D2E22"/>
    <w:rsid w:val="002D3191"/>
    <w:rsid w:val="002D414B"/>
    <w:rsid w:val="002D4FC9"/>
    <w:rsid w:val="002D532E"/>
    <w:rsid w:val="002D534C"/>
    <w:rsid w:val="002D6396"/>
    <w:rsid w:val="002D7156"/>
    <w:rsid w:val="002D77FD"/>
    <w:rsid w:val="002E01BB"/>
    <w:rsid w:val="002E1DA0"/>
    <w:rsid w:val="002E2AA9"/>
    <w:rsid w:val="002E342D"/>
    <w:rsid w:val="002E5CB4"/>
    <w:rsid w:val="002E60FA"/>
    <w:rsid w:val="002E7825"/>
    <w:rsid w:val="002E7EEA"/>
    <w:rsid w:val="002F01B8"/>
    <w:rsid w:val="002F06F7"/>
    <w:rsid w:val="002F07C6"/>
    <w:rsid w:val="002F0DA7"/>
    <w:rsid w:val="002F2BE6"/>
    <w:rsid w:val="002F4032"/>
    <w:rsid w:val="002F58E4"/>
    <w:rsid w:val="002F64D3"/>
    <w:rsid w:val="002F6B7D"/>
    <w:rsid w:val="002F793A"/>
    <w:rsid w:val="002F7B28"/>
    <w:rsid w:val="0030161E"/>
    <w:rsid w:val="00301802"/>
    <w:rsid w:val="00304BDB"/>
    <w:rsid w:val="00305B9E"/>
    <w:rsid w:val="003063B8"/>
    <w:rsid w:val="00306B44"/>
    <w:rsid w:val="00310B76"/>
    <w:rsid w:val="0031127F"/>
    <w:rsid w:val="0031191B"/>
    <w:rsid w:val="003127CC"/>
    <w:rsid w:val="00312EAE"/>
    <w:rsid w:val="003136A3"/>
    <w:rsid w:val="00313E5F"/>
    <w:rsid w:val="00313F08"/>
    <w:rsid w:val="00315329"/>
    <w:rsid w:val="0031778B"/>
    <w:rsid w:val="00317A4A"/>
    <w:rsid w:val="0032082C"/>
    <w:rsid w:val="00323028"/>
    <w:rsid w:val="00323AFA"/>
    <w:rsid w:val="00324897"/>
    <w:rsid w:val="00324C8C"/>
    <w:rsid w:val="00324D2E"/>
    <w:rsid w:val="0033058A"/>
    <w:rsid w:val="00330D1D"/>
    <w:rsid w:val="00332129"/>
    <w:rsid w:val="0033432F"/>
    <w:rsid w:val="00334CD5"/>
    <w:rsid w:val="00335863"/>
    <w:rsid w:val="00337388"/>
    <w:rsid w:val="00337581"/>
    <w:rsid w:val="00337606"/>
    <w:rsid w:val="00341DAA"/>
    <w:rsid w:val="003427F2"/>
    <w:rsid w:val="00345167"/>
    <w:rsid w:val="00346BF6"/>
    <w:rsid w:val="0034757A"/>
    <w:rsid w:val="00350B84"/>
    <w:rsid w:val="003525BE"/>
    <w:rsid w:val="0035470A"/>
    <w:rsid w:val="00354CA2"/>
    <w:rsid w:val="003551CA"/>
    <w:rsid w:val="00356A4C"/>
    <w:rsid w:val="003574F3"/>
    <w:rsid w:val="00357552"/>
    <w:rsid w:val="003603DD"/>
    <w:rsid w:val="0036063A"/>
    <w:rsid w:val="00362453"/>
    <w:rsid w:val="00363A15"/>
    <w:rsid w:val="00363D37"/>
    <w:rsid w:val="00364C07"/>
    <w:rsid w:val="003656AD"/>
    <w:rsid w:val="00365806"/>
    <w:rsid w:val="00365A2C"/>
    <w:rsid w:val="00365AD0"/>
    <w:rsid w:val="00366107"/>
    <w:rsid w:val="00366672"/>
    <w:rsid w:val="003667B6"/>
    <w:rsid w:val="0036689C"/>
    <w:rsid w:val="00370E03"/>
    <w:rsid w:val="00371821"/>
    <w:rsid w:val="0037193F"/>
    <w:rsid w:val="00371A01"/>
    <w:rsid w:val="00371ED8"/>
    <w:rsid w:val="003758F1"/>
    <w:rsid w:val="003762E9"/>
    <w:rsid w:val="00376347"/>
    <w:rsid w:val="00377AF0"/>
    <w:rsid w:val="00377E44"/>
    <w:rsid w:val="00380036"/>
    <w:rsid w:val="00381016"/>
    <w:rsid w:val="00381850"/>
    <w:rsid w:val="0038302F"/>
    <w:rsid w:val="00384D79"/>
    <w:rsid w:val="0038545B"/>
    <w:rsid w:val="00385D2E"/>
    <w:rsid w:val="003867C4"/>
    <w:rsid w:val="00386B64"/>
    <w:rsid w:val="00387027"/>
    <w:rsid w:val="003872F5"/>
    <w:rsid w:val="003907F7"/>
    <w:rsid w:val="003912D4"/>
    <w:rsid w:val="00393651"/>
    <w:rsid w:val="00393AAB"/>
    <w:rsid w:val="00395A80"/>
    <w:rsid w:val="003966C5"/>
    <w:rsid w:val="00397409"/>
    <w:rsid w:val="00397BCD"/>
    <w:rsid w:val="00397F3D"/>
    <w:rsid w:val="003A0428"/>
    <w:rsid w:val="003A09A2"/>
    <w:rsid w:val="003A234B"/>
    <w:rsid w:val="003A2B9C"/>
    <w:rsid w:val="003A30EB"/>
    <w:rsid w:val="003A3A66"/>
    <w:rsid w:val="003A4024"/>
    <w:rsid w:val="003A479A"/>
    <w:rsid w:val="003A4B06"/>
    <w:rsid w:val="003A4BB2"/>
    <w:rsid w:val="003A4D6D"/>
    <w:rsid w:val="003A5B9F"/>
    <w:rsid w:val="003A642E"/>
    <w:rsid w:val="003A6757"/>
    <w:rsid w:val="003A6EE0"/>
    <w:rsid w:val="003A7B05"/>
    <w:rsid w:val="003B3CF0"/>
    <w:rsid w:val="003B456C"/>
    <w:rsid w:val="003B4D95"/>
    <w:rsid w:val="003B57F2"/>
    <w:rsid w:val="003B601C"/>
    <w:rsid w:val="003C254D"/>
    <w:rsid w:val="003C48CB"/>
    <w:rsid w:val="003C6291"/>
    <w:rsid w:val="003C75F0"/>
    <w:rsid w:val="003C7600"/>
    <w:rsid w:val="003D0CD5"/>
    <w:rsid w:val="003D20A4"/>
    <w:rsid w:val="003D2406"/>
    <w:rsid w:val="003D4FA4"/>
    <w:rsid w:val="003D573B"/>
    <w:rsid w:val="003D5922"/>
    <w:rsid w:val="003D5B0D"/>
    <w:rsid w:val="003D60C7"/>
    <w:rsid w:val="003D7436"/>
    <w:rsid w:val="003E0657"/>
    <w:rsid w:val="003E1649"/>
    <w:rsid w:val="003E16FD"/>
    <w:rsid w:val="003E32C4"/>
    <w:rsid w:val="003E38F9"/>
    <w:rsid w:val="003F000B"/>
    <w:rsid w:val="003F0F82"/>
    <w:rsid w:val="003F1439"/>
    <w:rsid w:val="003F1B37"/>
    <w:rsid w:val="003F2205"/>
    <w:rsid w:val="003F2DC9"/>
    <w:rsid w:val="003F347E"/>
    <w:rsid w:val="003F39FA"/>
    <w:rsid w:val="003F41B1"/>
    <w:rsid w:val="003F4BC2"/>
    <w:rsid w:val="003F58E0"/>
    <w:rsid w:val="003F629F"/>
    <w:rsid w:val="003F7F1A"/>
    <w:rsid w:val="0040044D"/>
    <w:rsid w:val="004015E0"/>
    <w:rsid w:val="00402972"/>
    <w:rsid w:val="00403D38"/>
    <w:rsid w:val="00404751"/>
    <w:rsid w:val="00405838"/>
    <w:rsid w:val="004060F0"/>
    <w:rsid w:val="00406C76"/>
    <w:rsid w:val="00406D45"/>
    <w:rsid w:val="00406E04"/>
    <w:rsid w:val="00407C62"/>
    <w:rsid w:val="00410339"/>
    <w:rsid w:val="00410514"/>
    <w:rsid w:val="00410DB8"/>
    <w:rsid w:val="00411188"/>
    <w:rsid w:val="00411B00"/>
    <w:rsid w:val="004124E4"/>
    <w:rsid w:val="00412990"/>
    <w:rsid w:val="004129DB"/>
    <w:rsid w:val="00413364"/>
    <w:rsid w:val="004136B2"/>
    <w:rsid w:val="00413F41"/>
    <w:rsid w:val="00414FB0"/>
    <w:rsid w:val="00415D4B"/>
    <w:rsid w:val="004171A0"/>
    <w:rsid w:val="00420364"/>
    <w:rsid w:val="00420851"/>
    <w:rsid w:val="0042117B"/>
    <w:rsid w:val="00421C8B"/>
    <w:rsid w:val="00423C93"/>
    <w:rsid w:val="00423E57"/>
    <w:rsid w:val="00424D14"/>
    <w:rsid w:val="00424F8A"/>
    <w:rsid w:val="0042580D"/>
    <w:rsid w:val="00426ACA"/>
    <w:rsid w:val="00426FB9"/>
    <w:rsid w:val="00427839"/>
    <w:rsid w:val="00427A7C"/>
    <w:rsid w:val="00427EE8"/>
    <w:rsid w:val="004302A5"/>
    <w:rsid w:val="00431937"/>
    <w:rsid w:val="00433145"/>
    <w:rsid w:val="00435C0E"/>
    <w:rsid w:val="00436BC5"/>
    <w:rsid w:val="00441303"/>
    <w:rsid w:val="00441712"/>
    <w:rsid w:val="00441FE1"/>
    <w:rsid w:val="004421A3"/>
    <w:rsid w:val="0044337E"/>
    <w:rsid w:val="00444557"/>
    <w:rsid w:val="004474A0"/>
    <w:rsid w:val="00447BC6"/>
    <w:rsid w:val="00447FFE"/>
    <w:rsid w:val="00450ADA"/>
    <w:rsid w:val="00450B47"/>
    <w:rsid w:val="00451197"/>
    <w:rsid w:val="00453731"/>
    <w:rsid w:val="00453C5C"/>
    <w:rsid w:val="004549B4"/>
    <w:rsid w:val="00456AAA"/>
    <w:rsid w:val="00457CE5"/>
    <w:rsid w:val="00457F91"/>
    <w:rsid w:val="00460542"/>
    <w:rsid w:val="0046133C"/>
    <w:rsid w:val="00462107"/>
    <w:rsid w:val="00464F78"/>
    <w:rsid w:val="004653EF"/>
    <w:rsid w:val="004667C7"/>
    <w:rsid w:val="00466D3D"/>
    <w:rsid w:val="004719A2"/>
    <w:rsid w:val="004729DE"/>
    <w:rsid w:val="00475E7F"/>
    <w:rsid w:val="00476C52"/>
    <w:rsid w:val="004770BC"/>
    <w:rsid w:val="004776ED"/>
    <w:rsid w:val="0048014B"/>
    <w:rsid w:val="0048049D"/>
    <w:rsid w:val="00480669"/>
    <w:rsid w:val="00480D06"/>
    <w:rsid w:val="0048152C"/>
    <w:rsid w:val="00482713"/>
    <w:rsid w:val="0048273B"/>
    <w:rsid w:val="00482BA8"/>
    <w:rsid w:val="00483258"/>
    <w:rsid w:val="004834A2"/>
    <w:rsid w:val="00483F60"/>
    <w:rsid w:val="004875E7"/>
    <w:rsid w:val="004878D1"/>
    <w:rsid w:val="00490BED"/>
    <w:rsid w:val="00491482"/>
    <w:rsid w:val="00492828"/>
    <w:rsid w:val="004940E2"/>
    <w:rsid w:val="004952CC"/>
    <w:rsid w:val="00497284"/>
    <w:rsid w:val="00497326"/>
    <w:rsid w:val="00497B5E"/>
    <w:rsid w:val="004A0668"/>
    <w:rsid w:val="004A3917"/>
    <w:rsid w:val="004A4C89"/>
    <w:rsid w:val="004B24A5"/>
    <w:rsid w:val="004B47A7"/>
    <w:rsid w:val="004B5090"/>
    <w:rsid w:val="004B621B"/>
    <w:rsid w:val="004B771E"/>
    <w:rsid w:val="004C0906"/>
    <w:rsid w:val="004C11B3"/>
    <w:rsid w:val="004C2792"/>
    <w:rsid w:val="004C2A52"/>
    <w:rsid w:val="004C33C2"/>
    <w:rsid w:val="004C39E4"/>
    <w:rsid w:val="004C3DB3"/>
    <w:rsid w:val="004C3F07"/>
    <w:rsid w:val="004C4ECF"/>
    <w:rsid w:val="004C5205"/>
    <w:rsid w:val="004C67B6"/>
    <w:rsid w:val="004C7F96"/>
    <w:rsid w:val="004D0116"/>
    <w:rsid w:val="004D07D1"/>
    <w:rsid w:val="004D0B15"/>
    <w:rsid w:val="004D1D8A"/>
    <w:rsid w:val="004D1E4F"/>
    <w:rsid w:val="004D445F"/>
    <w:rsid w:val="004D62D7"/>
    <w:rsid w:val="004D6713"/>
    <w:rsid w:val="004D7360"/>
    <w:rsid w:val="004D7AFF"/>
    <w:rsid w:val="004D7B21"/>
    <w:rsid w:val="004D7E45"/>
    <w:rsid w:val="004E0415"/>
    <w:rsid w:val="004E081A"/>
    <w:rsid w:val="004E23D1"/>
    <w:rsid w:val="004E3EFE"/>
    <w:rsid w:val="004E4AA7"/>
    <w:rsid w:val="004E50E2"/>
    <w:rsid w:val="004E6993"/>
    <w:rsid w:val="004E77B0"/>
    <w:rsid w:val="004F0FD8"/>
    <w:rsid w:val="004F12EF"/>
    <w:rsid w:val="004F3027"/>
    <w:rsid w:val="004F3C91"/>
    <w:rsid w:val="004F3E75"/>
    <w:rsid w:val="004F4558"/>
    <w:rsid w:val="004F49A7"/>
    <w:rsid w:val="004F5DD9"/>
    <w:rsid w:val="0050114D"/>
    <w:rsid w:val="005013EB"/>
    <w:rsid w:val="00501C8E"/>
    <w:rsid w:val="00501D1C"/>
    <w:rsid w:val="00502376"/>
    <w:rsid w:val="00502C2A"/>
    <w:rsid w:val="00502F7D"/>
    <w:rsid w:val="00503C69"/>
    <w:rsid w:val="00505CAC"/>
    <w:rsid w:val="00506616"/>
    <w:rsid w:val="00506B14"/>
    <w:rsid w:val="00511DA3"/>
    <w:rsid w:val="00512A25"/>
    <w:rsid w:val="00512EB0"/>
    <w:rsid w:val="00513162"/>
    <w:rsid w:val="0051407C"/>
    <w:rsid w:val="0051537C"/>
    <w:rsid w:val="00515D30"/>
    <w:rsid w:val="00515DE9"/>
    <w:rsid w:val="005179C6"/>
    <w:rsid w:val="00517B40"/>
    <w:rsid w:val="0052013F"/>
    <w:rsid w:val="005210A3"/>
    <w:rsid w:val="005219FD"/>
    <w:rsid w:val="00522DDF"/>
    <w:rsid w:val="00524183"/>
    <w:rsid w:val="00525CE3"/>
    <w:rsid w:val="005266BE"/>
    <w:rsid w:val="00530AD6"/>
    <w:rsid w:val="00531370"/>
    <w:rsid w:val="005322E4"/>
    <w:rsid w:val="0053259B"/>
    <w:rsid w:val="005328D9"/>
    <w:rsid w:val="00532D3F"/>
    <w:rsid w:val="00532EE4"/>
    <w:rsid w:val="00533686"/>
    <w:rsid w:val="00533F1E"/>
    <w:rsid w:val="00533F85"/>
    <w:rsid w:val="00534989"/>
    <w:rsid w:val="00534C37"/>
    <w:rsid w:val="005350D9"/>
    <w:rsid w:val="0053633F"/>
    <w:rsid w:val="00537344"/>
    <w:rsid w:val="00540971"/>
    <w:rsid w:val="005416D0"/>
    <w:rsid w:val="005417D7"/>
    <w:rsid w:val="00541926"/>
    <w:rsid w:val="00541AD3"/>
    <w:rsid w:val="00542A55"/>
    <w:rsid w:val="00542FFB"/>
    <w:rsid w:val="00544504"/>
    <w:rsid w:val="00547016"/>
    <w:rsid w:val="0054717F"/>
    <w:rsid w:val="00547968"/>
    <w:rsid w:val="0055111F"/>
    <w:rsid w:val="005511EB"/>
    <w:rsid w:val="00551F05"/>
    <w:rsid w:val="00551FF8"/>
    <w:rsid w:val="0055268B"/>
    <w:rsid w:val="00554C23"/>
    <w:rsid w:val="00555196"/>
    <w:rsid w:val="005556CA"/>
    <w:rsid w:val="005564AB"/>
    <w:rsid w:val="00556F66"/>
    <w:rsid w:val="005570A9"/>
    <w:rsid w:val="005578EF"/>
    <w:rsid w:val="005601B4"/>
    <w:rsid w:val="00562AE5"/>
    <w:rsid w:val="005633AA"/>
    <w:rsid w:val="005634A0"/>
    <w:rsid w:val="0056546D"/>
    <w:rsid w:val="00566942"/>
    <w:rsid w:val="00566C3E"/>
    <w:rsid w:val="00567370"/>
    <w:rsid w:val="00567661"/>
    <w:rsid w:val="00567A82"/>
    <w:rsid w:val="005709CA"/>
    <w:rsid w:val="005720D3"/>
    <w:rsid w:val="00573F8C"/>
    <w:rsid w:val="0057417D"/>
    <w:rsid w:val="00575421"/>
    <w:rsid w:val="005760D4"/>
    <w:rsid w:val="005763B1"/>
    <w:rsid w:val="00576B4A"/>
    <w:rsid w:val="0058053F"/>
    <w:rsid w:val="00580BF8"/>
    <w:rsid w:val="00580FB6"/>
    <w:rsid w:val="005812C7"/>
    <w:rsid w:val="00582601"/>
    <w:rsid w:val="00582E8A"/>
    <w:rsid w:val="00583089"/>
    <w:rsid w:val="0058341F"/>
    <w:rsid w:val="00583907"/>
    <w:rsid w:val="00585082"/>
    <w:rsid w:val="005850CF"/>
    <w:rsid w:val="00585436"/>
    <w:rsid w:val="00586AA2"/>
    <w:rsid w:val="005905C8"/>
    <w:rsid w:val="005916AC"/>
    <w:rsid w:val="00591AE9"/>
    <w:rsid w:val="00591C17"/>
    <w:rsid w:val="00591C39"/>
    <w:rsid w:val="00592365"/>
    <w:rsid w:val="0059293E"/>
    <w:rsid w:val="005929EC"/>
    <w:rsid w:val="005950E4"/>
    <w:rsid w:val="00595438"/>
    <w:rsid w:val="00596548"/>
    <w:rsid w:val="00596659"/>
    <w:rsid w:val="005A0048"/>
    <w:rsid w:val="005A09FC"/>
    <w:rsid w:val="005A1237"/>
    <w:rsid w:val="005A1F1A"/>
    <w:rsid w:val="005A2811"/>
    <w:rsid w:val="005A2D9A"/>
    <w:rsid w:val="005A447C"/>
    <w:rsid w:val="005A5B39"/>
    <w:rsid w:val="005A5C0B"/>
    <w:rsid w:val="005A664D"/>
    <w:rsid w:val="005A74BA"/>
    <w:rsid w:val="005B0604"/>
    <w:rsid w:val="005B25E4"/>
    <w:rsid w:val="005B28F1"/>
    <w:rsid w:val="005C36B7"/>
    <w:rsid w:val="005C38FB"/>
    <w:rsid w:val="005C3BB2"/>
    <w:rsid w:val="005C4A99"/>
    <w:rsid w:val="005C519B"/>
    <w:rsid w:val="005C6877"/>
    <w:rsid w:val="005C6AED"/>
    <w:rsid w:val="005C7FE8"/>
    <w:rsid w:val="005D1661"/>
    <w:rsid w:val="005D19FD"/>
    <w:rsid w:val="005D26EC"/>
    <w:rsid w:val="005D2A09"/>
    <w:rsid w:val="005D3468"/>
    <w:rsid w:val="005D3623"/>
    <w:rsid w:val="005D410E"/>
    <w:rsid w:val="005D4465"/>
    <w:rsid w:val="005D6CCE"/>
    <w:rsid w:val="005D7639"/>
    <w:rsid w:val="005D77DE"/>
    <w:rsid w:val="005D7C22"/>
    <w:rsid w:val="005E0915"/>
    <w:rsid w:val="005E21D3"/>
    <w:rsid w:val="005E29A7"/>
    <w:rsid w:val="005E2B0B"/>
    <w:rsid w:val="005E300F"/>
    <w:rsid w:val="005E399A"/>
    <w:rsid w:val="005E3D42"/>
    <w:rsid w:val="005E4198"/>
    <w:rsid w:val="005E4869"/>
    <w:rsid w:val="005E486D"/>
    <w:rsid w:val="005E54C7"/>
    <w:rsid w:val="005E5945"/>
    <w:rsid w:val="005E5C79"/>
    <w:rsid w:val="005E5E1C"/>
    <w:rsid w:val="005E6017"/>
    <w:rsid w:val="005E6681"/>
    <w:rsid w:val="005E73BE"/>
    <w:rsid w:val="005F17D9"/>
    <w:rsid w:val="005F3ADB"/>
    <w:rsid w:val="005F50E6"/>
    <w:rsid w:val="005F6E45"/>
    <w:rsid w:val="005F7476"/>
    <w:rsid w:val="006006E0"/>
    <w:rsid w:val="006016CF"/>
    <w:rsid w:val="0060175D"/>
    <w:rsid w:val="00601B57"/>
    <w:rsid w:val="00602439"/>
    <w:rsid w:val="00603DE6"/>
    <w:rsid w:val="00604C8F"/>
    <w:rsid w:val="00607FD3"/>
    <w:rsid w:val="00610A79"/>
    <w:rsid w:val="00610C63"/>
    <w:rsid w:val="00613CCD"/>
    <w:rsid w:val="006141EA"/>
    <w:rsid w:val="00614E7F"/>
    <w:rsid w:val="00616E1D"/>
    <w:rsid w:val="00621E40"/>
    <w:rsid w:val="0062256F"/>
    <w:rsid w:val="006229BC"/>
    <w:rsid w:val="00623FE8"/>
    <w:rsid w:val="00626CE8"/>
    <w:rsid w:val="00626F0D"/>
    <w:rsid w:val="0063085D"/>
    <w:rsid w:val="00631040"/>
    <w:rsid w:val="00631B12"/>
    <w:rsid w:val="00633E3D"/>
    <w:rsid w:val="00633F1D"/>
    <w:rsid w:val="00634376"/>
    <w:rsid w:val="0063450D"/>
    <w:rsid w:val="006345CA"/>
    <w:rsid w:val="00634E0D"/>
    <w:rsid w:val="006354AC"/>
    <w:rsid w:val="006361E6"/>
    <w:rsid w:val="00637222"/>
    <w:rsid w:val="006418B2"/>
    <w:rsid w:val="00641EC5"/>
    <w:rsid w:val="006428BB"/>
    <w:rsid w:val="00642FA8"/>
    <w:rsid w:val="0064333D"/>
    <w:rsid w:val="00643A2C"/>
    <w:rsid w:val="00644065"/>
    <w:rsid w:val="00645293"/>
    <w:rsid w:val="00646863"/>
    <w:rsid w:val="00647C8A"/>
    <w:rsid w:val="006501FF"/>
    <w:rsid w:val="0065103E"/>
    <w:rsid w:val="00651659"/>
    <w:rsid w:val="00651C07"/>
    <w:rsid w:val="00651E7B"/>
    <w:rsid w:val="006525A9"/>
    <w:rsid w:val="00653043"/>
    <w:rsid w:val="006532FE"/>
    <w:rsid w:val="00653E83"/>
    <w:rsid w:val="00656501"/>
    <w:rsid w:val="00657D1B"/>
    <w:rsid w:val="0066026E"/>
    <w:rsid w:val="006609A5"/>
    <w:rsid w:val="00660FB6"/>
    <w:rsid w:val="00663A0C"/>
    <w:rsid w:val="006644B7"/>
    <w:rsid w:val="006647AF"/>
    <w:rsid w:val="00665925"/>
    <w:rsid w:val="0067161E"/>
    <w:rsid w:val="00671E57"/>
    <w:rsid w:val="006739B6"/>
    <w:rsid w:val="00675175"/>
    <w:rsid w:val="0067597E"/>
    <w:rsid w:val="006769CE"/>
    <w:rsid w:val="00676CB9"/>
    <w:rsid w:val="00677CC0"/>
    <w:rsid w:val="00681D8E"/>
    <w:rsid w:val="006823D2"/>
    <w:rsid w:val="006834E7"/>
    <w:rsid w:val="00684606"/>
    <w:rsid w:val="0068503B"/>
    <w:rsid w:val="00685AE4"/>
    <w:rsid w:val="0068679A"/>
    <w:rsid w:val="00686D2C"/>
    <w:rsid w:val="00686E00"/>
    <w:rsid w:val="006874DF"/>
    <w:rsid w:val="00687D6D"/>
    <w:rsid w:val="006903C0"/>
    <w:rsid w:val="00691A0D"/>
    <w:rsid w:val="006925A7"/>
    <w:rsid w:val="00692DF5"/>
    <w:rsid w:val="006939D7"/>
    <w:rsid w:val="006947D8"/>
    <w:rsid w:val="00695136"/>
    <w:rsid w:val="006965B6"/>
    <w:rsid w:val="00697463"/>
    <w:rsid w:val="006A04BF"/>
    <w:rsid w:val="006A0563"/>
    <w:rsid w:val="006A0684"/>
    <w:rsid w:val="006A0C27"/>
    <w:rsid w:val="006A221F"/>
    <w:rsid w:val="006A27CE"/>
    <w:rsid w:val="006A59D0"/>
    <w:rsid w:val="006A64C7"/>
    <w:rsid w:val="006A692D"/>
    <w:rsid w:val="006B0750"/>
    <w:rsid w:val="006B1181"/>
    <w:rsid w:val="006B1299"/>
    <w:rsid w:val="006B135C"/>
    <w:rsid w:val="006B1424"/>
    <w:rsid w:val="006B171A"/>
    <w:rsid w:val="006B3145"/>
    <w:rsid w:val="006B3C72"/>
    <w:rsid w:val="006B536A"/>
    <w:rsid w:val="006B5A78"/>
    <w:rsid w:val="006B6ABB"/>
    <w:rsid w:val="006B764B"/>
    <w:rsid w:val="006B7AD3"/>
    <w:rsid w:val="006B7CBC"/>
    <w:rsid w:val="006C0A27"/>
    <w:rsid w:val="006C240F"/>
    <w:rsid w:val="006C40C9"/>
    <w:rsid w:val="006C6554"/>
    <w:rsid w:val="006C6B7E"/>
    <w:rsid w:val="006C774B"/>
    <w:rsid w:val="006D0004"/>
    <w:rsid w:val="006D12B6"/>
    <w:rsid w:val="006D1562"/>
    <w:rsid w:val="006D1AEA"/>
    <w:rsid w:val="006D35B1"/>
    <w:rsid w:val="006D4945"/>
    <w:rsid w:val="006D5311"/>
    <w:rsid w:val="006D53D1"/>
    <w:rsid w:val="006D5736"/>
    <w:rsid w:val="006D66E7"/>
    <w:rsid w:val="006D722D"/>
    <w:rsid w:val="006E027F"/>
    <w:rsid w:val="006E05E4"/>
    <w:rsid w:val="006E1850"/>
    <w:rsid w:val="006E1888"/>
    <w:rsid w:val="006E2FEB"/>
    <w:rsid w:val="006E30B1"/>
    <w:rsid w:val="006E3F33"/>
    <w:rsid w:val="006E4064"/>
    <w:rsid w:val="006E493E"/>
    <w:rsid w:val="006E540C"/>
    <w:rsid w:val="006E591B"/>
    <w:rsid w:val="006E5C30"/>
    <w:rsid w:val="006E682D"/>
    <w:rsid w:val="006E6A62"/>
    <w:rsid w:val="006E6E00"/>
    <w:rsid w:val="006E754C"/>
    <w:rsid w:val="006E776C"/>
    <w:rsid w:val="006F0617"/>
    <w:rsid w:val="006F090B"/>
    <w:rsid w:val="006F25B3"/>
    <w:rsid w:val="006F26E7"/>
    <w:rsid w:val="006F2B4A"/>
    <w:rsid w:val="006F33D2"/>
    <w:rsid w:val="006F493B"/>
    <w:rsid w:val="006F60C0"/>
    <w:rsid w:val="006F6E77"/>
    <w:rsid w:val="006F7D65"/>
    <w:rsid w:val="007019FE"/>
    <w:rsid w:val="00701BCF"/>
    <w:rsid w:val="00701F8B"/>
    <w:rsid w:val="00702036"/>
    <w:rsid w:val="0070252B"/>
    <w:rsid w:val="0070259F"/>
    <w:rsid w:val="007029B7"/>
    <w:rsid w:val="00702CD1"/>
    <w:rsid w:val="00702DC4"/>
    <w:rsid w:val="007038C0"/>
    <w:rsid w:val="00703D0C"/>
    <w:rsid w:val="007043A4"/>
    <w:rsid w:val="00704B21"/>
    <w:rsid w:val="00704D8F"/>
    <w:rsid w:val="0070539F"/>
    <w:rsid w:val="0070544D"/>
    <w:rsid w:val="00705AAE"/>
    <w:rsid w:val="007075F7"/>
    <w:rsid w:val="00712932"/>
    <w:rsid w:val="00712E32"/>
    <w:rsid w:val="00713D97"/>
    <w:rsid w:val="00714EF7"/>
    <w:rsid w:val="00714F27"/>
    <w:rsid w:val="0071699D"/>
    <w:rsid w:val="00716C54"/>
    <w:rsid w:val="00717F08"/>
    <w:rsid w:val="00720321"/>
    <w:rsid w:val="0072216B"/>
    <w:rsid w:val="007230EA"/>
    <w:rsid w:val="00724DDC"/>
    <w:rsid w:val="00726C3C"/>
    <w:rsid w:val="00727666"/>
    <w:rsid w:val="00727C8C"/>
    <w:rsid w:val="007300B0"/>
    <w:rsid w:val="00731D2B"/>
    <w:rsid w:val="0073251D"/>
    <w:rsid w:val="007328FB"/>
    <w:rsid w:val="00732B8A"/>
    <w:rsid w:val="0073395C"/>
    <w:rsid w:val="0073425A"/>
    <w:rsid w:val="0073560E"/>
    <w:rsid w:val="00735B70"/>
    <w:rsid w:val="00735FE0"/>
    <w:rsid w:val="00740409"/>
    <w:rsid w:val="007409BF"/>
    <w:rsid w:val="00741712"/>
    <w:rsid w:val="007419C6"/>
    <w:rsid w:val="007427C6"/>
    <w:rsid w:val="007436BB"/>
    <w:rsid w:val="00744048"/>
    <w:rsid w:val="0074569C"/>
    <w:rsid w:val="00746841"/>
    <w:rsid w:val="007469C2"/>
    <w:rsid w:val="0074718F"/>
    <w:rsid w:val="00750BBE"/>
    <w:rsid w:val="00751351"/>
    <w:rsid w:val="0075139A"/>
    <w:rsid w:val="00752047"/>
    <w:rsid w:val="007522F5"/>
    <w:rsid w:val="00753514"/>
    <w:rsid w:val="00754F60"/>
    <w:rsid w:val="00755148"/>
    <w:rsid w:val="00756923"/>
    <w:rsid w:val="00756935"/>
    <w:rsid w:val="00756EDB"/>
    <w:rsid w:val="0075735B"/>
    <w:rsid w:val="0075787A"/>
    <w:rsid w:val="00757AB3"/>
    <w:rsid w:val="007603CD"/>
    <w:rsid w:val="00763637"/>
    <w:rsid w:val="00764263"/>
    <w:rsid w:val="007643FC"/>
    <w:rsid w:val="0076588B"/>
    <w:rsid w:val="007667F7"/>
    <w:rsid w:val="00771CB3"/>
    <w:rsid w:val="00772BC2"/>
    <w:rsid w:val="007740DD"/>
    <w:rsid w:val="007754AA"/>
    <w:rsid w:val="00775E5E"/>
    <w:rsid w:val="0077730F"/>
    <w:rsid w:val="00777F22"/>
    <w:rsid w:val="007804BD"/>
    <w:rsid w:val="0078135C"/>
    <w:rsid w:val="007814A9"/>
    <w:rsid w:val="0078213A"/>
    <w:rsid w:val="00782518"/>
    <w:rsid w:val="007825BC"/>
    <w:rsid w:val="00783D7E"/>
    <w:rsid w:val="00785142"/>
    <w:rsid w:val="00785DF7"/>
    <w:rsid w:val="0078650E"/>
    <w:rsid w:val="00786667"/>
    <w:rsid w:val="00786C71"/>
    <w:rsid w:val="007901A2"/>
    <w:rsid w:val="00790468"/>
    <w:rsid w:val="00791F27"/>
    <w:rsid w:val="0079244C"/>
    <w:rsid w:val="00792F11"/>
    <w:rsid w:val="00793215"/>
    <w:rsid w:val="00793687"/>
    <w:rsid w:val="00796C8D"/>
    <w:rsid w:val="007A012A"/>
    <w:rsid w:val="007A05A1"/>
    <w:rsid w:val="007A0677"/>
    <w:rsid w:val="007A11A5"/>
    <w:rsid w:val="007A21D7"/>
    <w:rsid w:val="007A3956"/>
    <w:rsid w:val="007A4665"/>
    <w:rsid w:val="007A68DE"/>
    <w:rsid w:val="007A77E2"/>
    <w:rsid w:val="007B0247"/>
    <w:rsid w:val="007B089C"/>
    <w:rsid w:val="007B25F1"/>
    <w:rsid w:val="007B2843"/>
    <w:rsid w:val="007B2B2A"/>
    <w:rsid w:val="007B483E"/>
    <w:rsid w:val="007B5477"/>
    <w:rsid w:val="007B5530"/>
    <w:rsid w:val="007B6B6B"/>
    <w:rsid w:val="007B6B82"/>
    <w:rsid w:val="007C066B"/>
    <w:rsid w:val="007C0EBE"/>
    <w:rsid w:val="007C0FCB"/>
    <w:rsid w:val="007C3085"/>
    <w:rsid w:val="007C4565"/>
    <w:rsid w:val="007C4920"/>
    <w:rsid w:val="007C5B3E"/>
    <w:rsid w:val="007C6B01"/>
    <w:rsid w:val="007D0BBC"/>
    <w:rsid w:val="007D145D"/>
    <w:rsid w:val="007D18C8"/>
    <w:rsid w:val="007D3261"/>
    <w:rsid w:val="007D48D9"/>
    <w:rsid w:val="007D7BF0"/>
    <w:rsid w:val="007E06EC"/>
    <w:rsid w:val="007E1127"/>
    <w:rsid w:val="007E19D0"/>
    <w:rsid w:val="007E25D1"/>
    <w:rsid w:val="007E3830"/>
    <w:rsid w:val="007E3D19"/>
    <w:rsid w:val="007E72F3"/>
    <w:rsid w:val="007F1AC8"/>
    <w:rsid w:val="007F2AD3"/>
    <w:rsid w:val="007F3C0D"/>
    <w:rsid w:val="007F3DA3"/>
    <w:rsid w:val="007F439C"/>
    <w:rsid w:val="007F4C6C"/>
    <w:rsid w:val="007F5200"/>
    <w:rsid w:val="00802C69"/>
    <w:rsid w:val="00803205"/>
    <w:rsid w:val="0080470B"/>
    <w:rsid w:val="00804B26"/>
    <w:rsid w:val="00804F73"/>
    <w:rsid w:val="008061A6"/>
    <w:rsid w:val="0080645A"/>
    <w:rsid w:val="008067DE"/>
    <w:rsid w:val="00806CAC"/>
    <w:rsid w:val="00807946"/>
    <w:rsid w:val="0081020A"/>
    <w:rsid w:val="00812D9E"/>
    <w:rsid w:val="00813833"/>
    <w:rsid w:val="00813921"/>
    <w:rsid w:val="00814811"/>
    <w:rsid w:val="00816277"/>
    <w:rsid w:val="00817058"/>
    <w:rsid w:val="008208D5"/>
    <w:rsid w:val="0082160C"/>
    <w:rsid w:val="00821776"/>
    <w:rsid w:val="00821BB1"/>
    <w:rsid w:val="00823F44"/>
    <w:rsid w:val="0082400E"/>
    <w:rsid w:val="00824618"/>
    <w:rsid w:val="008252AE"/>
    <w:rsid w:val="008259B7"/>
    <w:rsid w:val="0082646C"/>
    <w:rsid w:val="008317CB"/>
    <w:rsid w:val="00832007"/>
    <w:rsid w:val="008334D3"/>
    <w:rsid w:val="00833EDC"/>
    <w:rsid w:val="00835354"/>
    <w:rsid w:val="00835700"/>
    <w:rsid w:val="00836070"/>
    <w:rsid w:val="008375AA"/>
    <w:rsid w:val="0083764B"/>
    <w:rsid w:val="008405AD"/>
    <w:rsid w:val="00840779"/>
    <w:rsid w:val="008426C1"/>
    <w:rsid w:val="00842BF5"/>
    <w:rsid w:val="00842C85"/>
    <w:rsid w:val="00843D29"/>
    <w:rsid w:val="00844097"/>
    <w:rsid w:val="00844426"/>
    <w:rsid w:val="00844F7A"/>
    <w:rsid w:val="00845A4B"/>
    <w:rsid w:val="00845C7A"/>
    <w:rsid w:val="00847C65"/>
    <w:rsid w:val="0085018D"/>
    <w:rsid w:val="00850583"/>
    <w:rsid w:val="0085081A"/>
    <w:rsid w:val="00850DE2"/>
    <w:rsid w:val="00852774"/>
    <w:rsid w:val="008528A5"/>
    <w:rsid w:val="0085339F"/>
    <w:rsid w:val="00853DCF"/>
    <w:rsid w:val="00854081"/>
    <w:rsid w:val="0085541F"/>
    <w:rsid w:val="00856D31"/>
    <w:rsid w:val="00857021"/>
    <w:rsid w:val="008573A4"/>
    <w:rsid w:val="00860AF2"/>
    <w:rsid w:val="00861004"/>
    <w:rsid w:val="00861DC6"/>
    <w:rsid w:val="008622D7"/>
    <w:rsid w:val="00863D4F"/>
    <w:rsid w:val="00865165"/>
    <w:rsid w:val="00865892"/>
    <w:rsid w:val="00865C9E"/>
    <w:rsid w:val="00865E42"/>
    <w:rsid w:val="008661EE"/>
    <w:rsid w:val="00866464"/>
    <w:rsid w:val="0086691D"/>
    <w:rsid w:val="008679A4"/>
    <w:rsid w:val="008700E8"/>
    <w:rsid w:val="008707CD"/>
    <w:rsid w:val="0087225C"/>
    <w:rsid w:val="00873892"/>
    <w:rsid w:val="00873989"/>
    <w:rsid w:val="00874426"/>
    <w:rsid w:val="00874C94"/>
    <w:rsid w:val="00875050"/>
    <w:rsid w:val="008757EE"/>
    <w:rsid w:val="00880CEE"/>
    <w:rsid w:val="00881334"/>
    <w:rsid w:val="0088140C"/>
    <w:rsid w:val="00881FC6"/>
    <w:rsid w:val="00883EF7"/>
    <w:rsid w:val="00883F1F"/>
    <w:rsid w:val="00884647"/>
    <w:rsid w:val="00885716"/>
    <w:rsid w:val="00885C1C"/>
    <w:rsid w:val="008860B9"/>
    <w:rsid w:val="008868C4"/>
    <w:rsid w:val="00886B70"/>
    <w:rsid w:val="00886C2A"/>
    <w:rsid w:val="0088775E"/>
    <w:rsid w:val="008919FB"/>
    <w:rsid w:val="00892092"/>
    <w:rsid w:val="0089270A"/>
    <w:rsid w:val="008938E8"/>
    <w:rsid w:val="00893B81"/>
    <w:rsid w:val="008964F3"/>
    <w:rsid w:val="00897C9C"/>
    <w:rsid w:val="008A00EC"/>
    <w:rsid w:val="008A0F3A"/>
    <w:rsid w:val="008A1177"/>
    <w:rsid w:val="008A15FD"/>
    <w:rsid w:val="008A2CEE"/>
    <w:rsid w:val="008A3EDF"/>
    <w:rsid w:val="008A40D4"/>
    <w:rsid w:val="008A52FA"/>
    <w:rsid w:val="008A56F8"/>
    <w:rsid w:val="008A730C"/>
    <w:rsid w:val="008B1442"/>
    <w:rsid w:val="008B274B"/>
    <w:rsid w:val="008B2E6D"/>
    <w:rsid w:val="008B3B73"/>
    <w:rsid w:val="008B57D0"/>
    <w:rsid w:val="008B6ACC"/>
    <w:rsid w:val="008B7CE1"/>
    <w:rsid w:val="008C032E"/>
    <w:rsid w:val="008C0766"/>
    <w:rsid w:val="008C0824"/>
    <w:rsid w:val="008C0FAE"/>
    <w:rsid w:val="008C0FBD"/>
    <w:rsid w:val="008C2040"/>
    <w:rsid w:val="008C3518"/>
    <w:rsid w:val="008C4D8D"/>
    <w:rsid w:val="008C5C48"/>
    <w:rsid w:val="008C6019"/>
    <w:rsid w:val="008D04A5"/>
    <w:rsid w:val="008D2E5E"/>
    <w:rsid w:val="008D3DDE"/>
    <w:rsid w:val="008D4371"/>
    <w:rsid w:val="008D4FA4"/>
    <w:rsid w:val="008D77F0"/>
    <w:rsid w:val="008D7A6B"/>
    <w:rsid w:val="008D7D71"/>
    <w:rsid w:val="008E02BB"/>
    <w:rsid w:val="008E1974"/>
    <w:rsid w:val="008E1C7E"/>
    <w:rsid w:val="008E2A60"/>
    <w:rsid w:val="008E477E"/>
    <w:rsid w:val="008E4FAF"/>
    <w:rsid w:val="008E70C8"/>
    <w:rsid w:val="008E7813"/>
    <w:rsid w:val="008E7C0C"/>
    <w:rsid w:val="008F154B"/>
    <w:rsid w:val="008F15E5"/>
    <w:rsid w:val="008F1E1C"/>
    <w:rsid w:val="008F20CE"/>
    <w:rsid w:val="008F27E5"/>
    <w:rsid w:val="008F33D2"/>
    <w:rsid w:val="008F3FBC"/>
    <w:rsid w:val="008F494F"/>
    <w:rsid w:val="008F5493"/>
    <w:rsid w:val="008F5FDF"/>
    <w:rsid w:val="008F6BA3"/>
    <w:rsid w:val="008F7A07"/>
    <w:rsid w:val="008F7B96"/>
    <w:rsid w:val="00900704"/>
    <w:rsid w:val="00902142"/>
    <w:rsid w:val="00902486"/>
    <w:rsid w:val="009029AE"/>
    <w:rsid w:val="00903067"/>
    <w:rsid w:val="00903069"/>
    <w:rsid w:val="00903D0C"/>
    <w:rsid w:val="009045D1"/>
    <w:rsid w:val="00904B05"/>
    <w:rsid w:val="009054C7"/>
    <w:rsid w:val="00905D6A"/>
    <w:rsid w:val="00905ECD"/>
    <w:rsid w:val="00906440"/>
    <w:rsid w:val="00910B62"/>
    <w:rsid w:val="00910FE0"/>
    <w:rsid w:val="00911FAF"/>
    <w:rsid w:val="009124A5"/>
    <w:rsid w:val="00912B3C"/>
    <w:rsid w:val="009130AB"/>
    <w:rsid w:val="00913603"/>
    <w:rsid w:val="00913915"/>
    <w:rsid w:val="00913E5E"/>
    <w:rsid w:val="00914306"/>
    <w:rsid w:val="00915946"/>
    <w:rsid w:val="009160AF"/>
    <w:rsid w:val="009168DB"/>
    <w:rsid w:val="00917598"/>
    <w:rsid w:val="00917AF7"/>
    <w:rsid w:val="00920C92"/>
    <w:rsid w:val="00920D0B"/>
    <w:rsid w:val="00921650"/>
    <w:rsid w:val="00923A5B"/>
    <w:rsid w:val="0092461C"/>
    <w:rsid w:val="00926F13"/>
    <w:rsid w:val="00927E47"/>
    <w:rsid w:val="00930781"/>
    <w:rsid w:val="00933BA7"/>
    <w:rsid w:val="00933FDA"/>
    <w:rsid w:val="00934D51"/>
    <w:rsid w:val="0093553C"/>
    <w:rsid w:val="00936E78"/>
    <w:rsid w:val="009371E5"/>
    <w:rsid w:val="0094114D"/>
    <w:rsid w:val="00941451"/>
    <w:rsid w:val="00941696"/>
    <w:rsid w:val="00943498"/>
    <w:rsid w:val="00944C51"/>
    <w:rsid w:val="0094540F"/>
    <w:rsid w:val="00947238"/>
    <w:rsid w:val="00947A1C"/>
    <w:rsid w:val="00955674"/>
    <w:rsid w:val="009560C6"/>
    <w:rsid w:val="009569E7"/>
    <w:rsid w:val="00956EC1"/>
    <w:rsid w:val="00957712"/>
    <w:rsid w:val="009612BE"/>
    <w:rsid w:val="00961AFD"/>
    <w:rsid w:val="00963167"/>
    <w:rsid w:val="0096515A"/>
    <w:rsid w:val="0096592C"/>
    <w:rsid w:val="009661A7"/>
    <w:rsid w:val="009664A9"/>
    <w:rsid w:val="00966C27"/>
    <w:rsid w:val="009676A1"/>
    <w:rsid w:val="00967AD5"/>
    <w:rsid w:val="009711A5"/>
    <w:rsid w:val="00971596"/>
    <w:rsid w:val="00972BE7"/>
    <w:rsid w:val="00976623"/>
    <w:rsid w:val="00976F73"/>
    <w:rsid w:val="009773F4"/>
    <w:rsid w:val="00980644"/>
    <w:rsid w:val="00983C7B"/>
    <w:rsid w:val="009866F0"/>
    <w:rsid w:val="0098742A"/>
    <w:rsid w:val="00987DAE"/>
    <w:rsid w:val="009905C4"/>
    <w:rsid w:val="00990B5D"/>
    <w:rsid w:val="00991077"/>
    <w:rsid w:val="00991A57"/>
    <w:rsid w:val="00994249"/>
    <w:rsid w:val="00994423"/>
    <w:rsid w:val="009A0DFB"/>
    <w:rsid w:val="009A0E65"/>
    <w:rsid w:val="009A1499"/>
    <w:rsid w:val="009A32AC"/>
    <w:rsid w:val="009A3E5C"/>
    <w:rsid w:val="009A5595"/>
    <w:rsid w:val="009A6A1C"/>
    <w:rsid w:val="009A6FC3"/>
    <w:rsid w:val="009A759D"/>
    <w:rsid w:val="009B05E2"/>
    <w:rsid w:val="009B072E"/>
    <w:rsid w:val="009B15A0"/>
    <w:rsid w:val="009B1C48"/>
    <w:rsid w:val="009B228F"/>
    <w:rsid w:val="009B27BD"/>
    <w:rsid w:val="009B411A"/>
    <w:rsid w:val="009B6BBB"/>
    <w:rsid w:val="009B70D7"/>
    <w:rsid w:val="009C23B0"/>
    <w:rsid w:val="009C27E3"/>
    <w:rsid w:val="009C49F0"/>
    <w:rsid w:val="009C4B10"/>
    <w:rsid w:val="009C500B"/>
    <w:rsid w:val="009C62F1"/>
    <w:rsid w:val="009C7539"/>
    <w:rsid w:val="009D01EA"/>
    <w:rsid w:val="009D13E7"/>
    <w:rsid w:val="009D177D"/>
    <w:rsid w:val="009D182B"/>
    <w:rsid w:val="009D2085"/>
    <w:rsid w:val="009D451F"/>
    <w:rsid w:val="009D47DF"/>
    <w:rsid w:val="009D4F9D"/>
    <w:rsid w:val="009D5763"/>
    <w:rsid w:val="009D6239"/>
    <w:rsid w:val="009D6781"/>
    <w:rsid w:val="009D714B"/>
    <w:rsid w:val="009E0236"/>
    <w:rsid w:val="009E18A0"/>
    <w:rsid w:val="009E3EC2"/>
    <w:rsid w:val="009E3EF3"/>
    <w:rsid w:val="009E599D"/>
    <w:rsid w:val="009F0013"/>
    <w:rsid w:val="009F1DAF"/>
    <w:rsid w:val="009F1EFD"/>
    <w:rsid w:val="009F296A"/>
    <w:rsid w:val="009F2DBB"/>
    <w:rsid w:val="009F38A0"/>
    <w:rsid w:val="009F4CCD"/>
    <w:rsid w:val="009F5574"/>
    <w:rsid w:val="009F5A49"/>
    <w:rsid w:val="009F63EB"/>
    <w:rsid w:val="009F647C"/>
    <w:rsid w:val="009F734A"/>
    <w:rsid w:val="009F7367"/>
    <w:rsid w:val="009F738C"/>
    <w:rsid w:val="00A00319"/>
    <w:rsid w:val="00A005C5"/>
    <w:rsid w:val="00A00CDE"/>
    <w:rsid w:val="00A015BF"/>
    <w:rsid w:val="00A021C1"/>
    <w:rsid w:val="00A023DC"/>
    <w:rsid w:val="00A03886"/>
    <w:rsid w:val="00A03C4C"/>
    <w:rsid w:val="00A03C9E"/>
    <w:rsid w:val="00A03E55"/>
    <w:rsid w:val="00A06171"/>
    <w:rsid w:val="00A076C4"/>
    <w:rsid w:val="00A07D10"/>
    <w:rsid w:val="00A10081"/>
    <w:rsid w:val="00A10CD2"/>
    <w:rsid w:val="00A11FA5"/>
    <w:rsid w:val="00A139A4"/>
    <w:rsid w:val="00A13D85"/>
    <w:rsid w:val="00A141BC"/>
    <w:rsid w:val="00A168DE"/>
    <w:rsid w:val="00A172FE"/>
    <w:rsid w:val="00A175E0"/>
    <w:rsid w:val="00A177F0"/>
    <w:rsid w:val="00A2110C"/>
    <w:rsid w:val="00A22C85"/>
    <w:rsid w:val="00A23DED"/>
    <w:rsid w:val="00A25EC0"/>
    <w:rsid w:val="00A2649E"/>
    <w:rsid w:val="00A27369"/>
    <w:rsid w:val="00A3064A"/>
    <w:rsid w:val="00A30B5C"/>
    <w:rsid w:val="00A33D66"/>
    <w:rsid w:val="00A34CA2"/>
    <w:rsid w:val="00A35025"/>
    <w:rsid w:val="00A35F6D"/>
    <w:rsid w:val="00A3624C"/>
    <w:rsid w:val="00A36DC6"/>
    <w:rsid w:val="00A37C4F"/>
    <w:rsid w:val="00A401B9"/>
    <w:rsid w:val="00A4033D"/>
    <w:rsid w:val="00A4201C"/>
    <w:rsid w:val="00A42E0D"/>
    <w:rsid w:val="00A431CC"/>
    <w:rsid w:val="00A432A9"/>
    <w:rsid w:val="00A440AB"/>
    <w:rsid w:val="00A446AE"/>
    <w:rsid w:val="00A45D82"/>
    <w:rsid w:val="00A460DB"/>
    <w:rsid w:val="00A46152"/>
    <w:rsid w:val="00A4622F"/>
    <w:rsid w:val="00A46632"/>
    <w:rsid w:val="00A46762"/>
    <w:rsid w:val="00A506B1"/>
    <w:rsid w:val="00A507D9"/>
    <w:rsid w:val="00A509C8"/>
    <w:rsid w:val="00A50A55"/>
    <w:rsid w:val="00A52CBA"/>
    <w:rsid w:val="00A538C6"/>
    <w:rsid w:val="00A54841"/>
    <w:rsid w:val="00A57712"/>
    <w:rsid w:val="00A57C48"/>
    <w:rsid w:val="00A602B7"/>
    <w:rsid w:val="00A60E34"/>
    <w:rsid w:val="00A622AB"/>
    <w:rsid w:val="00A6258C"/>
    <w:rsid w:val="00A63140"/>
    <w:rsid w:val="00A640B2"/>
    <w:rsid w:val="00A64560"/>
    <w:rsid w:val="00A6568D"/>
    <w:rsid w:val="00A65916"/>
    <w:rsid w:val="00A659A4"/>
    <w:rsid w:val="00A67BC9"/>
    <w:rsid w:val="00A70BD1"/>
    <w:rsid w:val="00A7111A"/>
    <w:rsid w:val="00A729E9"/>
    <w:rsid w:val="00A72EE8"/>
    <w:rsid w:val="00A73671"/>
    <w:rsid w:val="00A73E83"/>
    <w:rsid w:val="00A74F2B"/>
    <w:rsid w:val="00A75516"/>
    <w:rsid w:val="00A75879"/>
    <w:rsid w:val="00A75D03"/>
    <w:rsid w:val="00A76FA8"/>
    <w:rsid w:val="00A775F7"/>
    <w:rsid w:val="00A81126"/>
    <w:rsid w:val="00A8144E"/>
    <w:rsid w:val="00A816C0"/>
    <w:rsid w:val="00A81E09"/>
    <w:rsid w:val="00A828CF"/>
    <w:rsid w:val="00A8314A"/>
    <w:rsid w:val="00A832D7"/>
    <w:rsid w:val="00A85FD9"/>
    <w:rsid w:val="00A872BE"/>
    <w:rsid w:val="00A878EE"/>
    <w:rsid w:val="00A902C8"/>
    <w:rsid w:val="00A90BEB"/>
    <w:rsid w:val="00A91B12"/>
    <w:rsid w:val="00A92254"/>
    <w:rsid w:val="00A94442"/>
    <w:rsid w:val="00A958A6"/>
    <w:rsid w:val="00A96DE4"/>
    <w:rsid w:val="00A97341"/>
    <w:rsid w:val="00A97574"/>
    <w:rsid w:val="00A9778F"/>
    <w:rsid w:val="00A97DC0"/>
    <w:rsid w:val="00AA1377"/>
    <w:rsid w:val="00AA39FF"/>
    <w:rsid w:val="00AA501F"/>
    <w:rsid w:val="00AA5198"/>
    <w:rsid w:val="00AA5BFE"/>
    <w:rsid w:val="00AA6456"/>
    <w:rsid w:val="00AA7F0E"/>
    <w:rsid w:val="00AB09FC"/>
    <w:rsid w:val="00AB0E21"/>
    <w:rsid w:val="00AB2254"/>
    <w:rsid w:val="00AB31D2"/>
    <w:rsid w:val="00AB413E"/>
    <w:rsid w:val="00AB41A2"/>
    <w:rsid w:val="00AB6B3B"/>
    <w:rsid w:val="00AB7F51"/>
    <w:rsid w:val="00AC411F"/>
    <w:rsid w:val="00AC4295"/>
    <w:rsid w:val="00AC43C3"/>
    <w:rsid w:val="00AC549B"/>
    <w:rsid w:val="00AC57ED"/>
    <w:rsid w:val="00AC6A57"/>
    <w:rsid w:val="00AC7066"/>
    <w:rsid w:val="00AC7AF9"/>
    <w:rsid w:val="00AD13D5"/>
    <w:rsid w:val="00AD1701"/>
    <w:rsid w:val="00AD25F2"/>
    <w:rsid w:val="00AD2831"/>
    <w:rsid w:val="00AD2B8E"/>
    <w:rsid w:val="00AD4B30"/>
    <w:rsid w:val="00AD4FE7"/>
    <w:rsid w:val="00AD5DB5"/>
    <w:rsid w:val="00AD6CBD"/>
    <w:rsid w:val="00AD6F8D"/>
    <w:rsid w:val="00AE1310"/>
    <w:rsid w:val="00AE231C"/>
    <w:rsid w:val="00AE2954"/>
    <w:rsid w:val="00AE4520"/>
    <w:rsid w:val="00AE7EB0"/>
    <w:rsid w:val="00AF0197"/>
    <w:rsid w:val="00AF14BD"/>
    <w:rsid w:val="00AF24C1"/>
    <w:rsid w:val="00AF3ADB"/>
    <w:rsid w:val="00AF4110"/>
    <w:rsid w:val="00AF4CEE"/>
    <w:rsid w:val="00AF53FA"/>
    <w:rsid w:val="00AF5A6B"/>
    <w:rsid w:val="00AF7C55"/>
    <w:rsid w:val="00B0068B"/>
    <w:rsid w:val="00B00814"/>
    <w:rsid w:val="00B01292"/>
    <w:rsid w:val="00B0315B"/>
    <w:rsid w:val="00B03C3E"/>
    <w:rsid w:val="00B04A62"/>
    <w:rsid w:val="00B054BA"/>
    <w:rsid w:val="00B064E6"/>
    <w:rsid w:val="00B06DD1"/>
    <w:rsid w:val="00B07922"/>
    <w:rsid w:val="00B07CE7"/>
    <w:rsid w:val="00B07E77"/>
    <w:rsid w:val="00B10F2C"/>
    <w:rsid w:val="00B136D6"/>
    <w:rsid w:val="00B15094"/>
    <w:rsid w:val="00B17EB3"/>
    <w:rsid w:val="00B21DAC"/>
    <w:rsid w:val="00B22037"/>
    <w:rsid w:val="00B22153"/>
    <w:rsid w:val="00B221F6"/>
    <w:rsid w:val="00B22C66"/>
    <w:rsid w:val="00B22CFE"/>
    <w:rsid w:val="00B23126"/>
    <w:rsid w:val="00B23F4F"/>
    <w:rsid w:val="00B24EAA"/>
    <w:rsid w:val="00B272C4"/>
    <w:rsid w:val="00B276D9"/>
    <w:rsid w:val="00B27744"/>
    <w:rsid w:val="00B305F3"/>
    <w:rsid w:val="00B30CFA"/>
    <w:rsid w:val="00B31076"/>
    <w:rsid w:val="00B3135C"/>
    <w:rsid w:val="00B31BF4"/>
    <w:rsid w:val="00B31D8A"/>
    <w:rsid w:val="00B321A9"/>
    <w:rsid w:val="00B32AEE"/>
    <w:rsid w:val="00B33960"/>
    <w:rsid w:val="00B345C8"/>
    <w:rsid w:val="00B34E87"/>
    <w:rsid w:val="00B3634F"/>
    <w:rsid w:val="00B36D71"/>
    <w:rsid w:val="00B37F0B"/>
    <w:rsid w:val="00B409D8"/>
    <w:rsid w:val="00B40FF3"/>
    <w:rsid w:val="00B41380"/>
    <w:rsid w:val="00B417F1"/>
    <w:rsid w:val="00B42414"/>
    <w:rsid w:val="00B426EF"/>
    <w:rsid w:val="00B43216"/>
    <w:rsid w:val="00B443EF"/>
    <w:rsid w:val="00B452D8"/>
    <w:rsid w:val="00B46314"/>
    <w:rsid w:val="00B464A3"/>
    <w:rsid w:val="00B46B2E"/>
    <w:rsid w:val="00B46C67"/>
    <w:rsid w:val="00B50A7C"/>
    <w:rsid w:val="00B50F62"/>
    <w:rsid w:val="00B51B7C"/>
    <w:rsid w:val="00B52CC7"/>
    <w:rsid w:val="00B53B34"/>
    <w:rsid w:val="00B5403D"/>
    <w:rsid w:val="00B562C1"/>
    <w:rsid w:val="00B57AB5"/>
    <w:rsid w:val="00B61270"/>
    <w:rsid w:val="00B61DD6"/>
    <w:rsid w:val="00B62344"/>
    <w:rsid w:val="00B63177"/>
    <w:rsid w:val="00B636F1"/>
    <w:rsid w:val="00B653BB"/>
    <w:rsid w:val="00B655FA"/>
    <w:rsid w:val="00B65DE5"/>
    <w:rsid w:val="00B66F6C"/>
    <w:rsid w:val="00B6768E"/>
    <w:rsid w:val="00B714B3"/>
    <w:rsid w:val="00B72AC3"/>
    <w:rsid w:val="00B7576D"/>
    <w:rsid w:val="00B75B6B"/>
    <w:rsid w:val="00B77620"/>
    <w:rsid w:val="00B7797E"/>
    <w:rsid w:val="00B77FE9"/>
    <w:rsid w:val="00B80523"/>
    <w:rsid w:val="00B80ADA"/>
    <w:rsid w:val="00B80B9E"/>
    <w:rsid w:val="00B80BE7"/>
    <w:rsid w:val="00B80D60"/>
    <w:rsid w:val="00B81525"/>
    <w:rsid w:val="00B816C4"/>
    <w:rsid w:val="00B81721"/>
    <w:rsid w:val="00B825C4"/>
    <w:rsid w:val="00B8287F"/>
    <w:rsid w:val="00B8329E"/>
    <w:rsid w:val="00B83519"/>
    <w:rsid w:val="00B84270"/>
    <w:rsid w:val="00B8446A"/>
    <w:rsid w:val="00B84952"/>
    <w:rsid w:val="00B8496C"/>
    <w:rsid w:val="00B84F51"/>
    <w:rsid w:val="00B84FEA"/>
    <w:rsid w:val="00B85955"/>
    <w:rsid w:val="00B85B25"/>
    <w:rsid w:val="00B8697F"/>
    <w:rsid w:val="00B9153A"/>
    <w:rsid w:val="00B92077"/>
    <w:rsid w:val="00B9244B"/>
    <w:rsid w:val="00B930D8"/>
    <w:rsid w:val="00B943AB"/>
    <w:rsid w:val="00B96497"/>
    <w:rsid w:val="00B969DB"/>
    <w:rsid w:val="00B96DC2"/>
    <w:rsid w:val="00B97B50"/>
    <w:rsid w:val="00BA05AA"/>
    <w:rsid w:val="00BA09DF"/>
    <w:rsid w:val="00BA2021"/>
    <w:rsid w:val="00BA2106"/>
    <w:rsid w:val="00BA2E80"/>
    <w:rsid w:val="00BA4453"/>
    <w:rsid w:val="00BA6A79"/>
    <w:rsid w:val="00BB0553"/>
    <w:rsid w:val="00BB0F16"/>
    <w:rsid w:val="00BB232A"/>
    <w:rsid w:val="00BB2C12"/>
    <w:rsid w:val="00BB6DE9"/>
    <w:rsid w:val="00BB70D9"/>
    <w:rsid w:val="00BB7592"/>
    <w:rsid w:val="00BB7911"/>
    <w:rsid w:val="00BC02D2"/>
    <w:rsid w:val="00BC0ECB"/>
    <w:rsid w:val="00BC20DE"/>
    <w:rsid w:val="00BC4E23"/>
    <w:rsid w:val="00BC50D6"/>
    <w:rsid w:val="00BD0138"/>
    <w:rsid w:val="00BD03C2"/>
    <w:rsid w:val="00BD0A6B"/>
    <w:rsid w:val="00BD1581"/>
    <w:rsid w:val="00BD1942"/>
    <w:rsid w:val="00BD2651"/>
    <w:rsid w:val="00BD41C6"/>
    <w:rsid w:val="00BD43A5"/>
    <w:rsid w:val="00BD46DD"/>
    <w:rsid w:val="00BD539A"/>
    <w:rsid w:val="00BD5470"/>
    <w:rsid w:val="00BD68BC"/>
    <w:rsid w:val="00BD7010"/>
    <w:rsid w:val="00BD7EAD"/>
    <w:rsid w:val="00BE08B6"/>
    <w:rsid w:val="00BE1181"/>
    <w:rsid w:val="00BE211D"/>
    <w:rsid w:val="00BE29DF"/>
    <w:rsid w:val="00BE37F6"/>
    <w:rsid w:val="00BE5359"/>
    <w:rsid w:val="00BE57EE"/>
    <w:rsid w:val="00BE6E77"/>
    <w:rsid w:val="00BE6EFB"/>
    <w:rsid w:val="00BE6FCE"/>
    <w:rsid w:val="00BE72BE"/>
    <w:rsid w:val="00BE7D97"/>
    <w:rsid w:val="00BF07E5"/>
    <w:rsid w:val="00BF0AD4"/>
    <w:rsid w:val="00BF0D4D"/>
    <w:rsid w:val="00BF14ED"/>
    <w:rsid w:val="00BF150B"/>
    <w:rsid w:val="00BF210B"/>
    <w:rsid w:val="00BF2C64"/>
    <w:rsid w:val="00BF2DF6"/>
    <w:rsid w:val="00BF2E67"/>
    <w:rsid w:val="00BF501E"/>
    <w:rsid w:val="00BF5695"/>
    <w:rsid w:val="00BF5EED"/>
    <w:rsid w:val="00BF68CD"/>
    <w:rsid w:val="00BF6DFB"/>
    <w:rsid w:val="00BF7376"/>
    <w:rsid w:val="00BF79AC"/>
    <w:rsid w:val="00BF7B22"/>
    <w:rsid w:val="00C016F5"/>
    <w:rsid w:val="00C01990"/>
    <w:rsid w:val="00C01BA4"/>
    <w:rsid w:val="00C0352D"/>
    <w:rsid w:val="00C0413A"/>
    <w:rsid w:val="00C04151"/>
    <w:rsid w:val="00C04D4D"/>
    <w:rsid w:val="00C06122"/>
    <w:rsid w:val="00C0628A"/>
    <w:rsid w:val="00C07F60"/>
    <w:rsid w:val="00C120EF"/>
    <w:rsid w:val="00C122A1"/>
    <w:rsid w:val="00C133B1"/>
    <w:rsid w:val="00C143B9"/>
    <w:rsid w:val="00C1442A"/>
    <w:rsid w:val="00C147B6"/>
    <w:rsid w:val="00C14E90"/>
    <w:rsid w:val="00C15219"/>
    <w:rsid w:val="00C15B15"/>
    <w:rsid w:val="00C16DB7"/>
    <w:rsid w:val="00C17B49"/>
    <w:rsid w:val="00C20398"/>
    <w:rsid w:val="00C203EB"/>
    <w:rsid w:val="00C21115"/>
    <w:rsid w:val="00C21362"/>
    <w:rsid w:val="00C21A61"/>
    <w:rsid w:val="00C22044"/>
    <w:rsid w:val="00C27F95"/>
    <w:rsid w:val="00C300F2"/>
    <w:rsid w:val="00C302C8"/>
    <w:rsid w:val="00C31184"/>
    <w:rsid w:val="00C33BB9"/>
    <w:rsid w:val="00C34879"/>
    <w:rsid w:val="00C35111"/>
    <w:rsid w:val="00C35316"/>
    <w:rsid w:val="00C35C4A"/>
    <w:rsid w:val="00C35F3C"/>
    <w:rsid w:val="00C36389"/>
    <w:rsid w:val="00C36520"/>
    <w:rsid w:val="00C37050"/>
    <w:rsid w:val="00C3740E"/>
    <w:rsid w:val="00C37AE1"/>
    <w:rsid w:val="00C40366"/>
    <w:rsid w:val="00C40ACC"/>
    <w:rsid w:val="00C418C1"/>
    <w:rsid w:val="00C41C34"/>
    <w:rsid w:val="00C43315"/>
    <w:rsid w:val="00C44367"/>
    <w:rsid w:val="00C44C5B"/>
    <w:rsid w:val="00C45E75"/>
    <w:rsid w:val="00C45F46"/>
    <w:rsid w:val="00C46A4D"/>
    <w:rsid w:val="00C47CEA"/>
    <w:rsid w:val="00C5055C"/>
    <w:rsid w:val="00C50627"/>
    <w:rsid w:val="00C50635"/>
    <w:rsid w:val="00C5184A"/>
    <w:rsid w:val="00C51C0D"/>
    <w:rsid w:val="00C51D46"/>
    <w:rsid w:val="00C53536"/>
    <w:rsid w:val="00C53567"/>
    <w:rsid w:val="00C54A96"/>
    <w:rsid w:val="00C56306"/>
    <w:rsid w:val="00C56595"/>
    <w:rsid w:val="00C56B3B"/>
    <w:rsid w:val="00C575D0"/>
    <w:rsid w:val="00C5768D"/>
    <w:rsid w:val="00C577CC"/>
    <w:rsid w:val="00C57AB6"/>
    <w:rsid w:val="00C60BC1"/>
    <w:rsid w:val="00C611EA"/>
    <w:rsid w:val="00C61A7B"/>
    <w:rsid w:val="00C62692"/>
    <w:rsid w:val="00C62A94"/>
    <w:rsid w:val="00C63F8D"/>
    <w:rsid w:val="00C648D1"/>
    <w:rsid w:val="00C663BD"/>
    <w:rsid w:val="00C676E6"/>
    <w:rsid w:val="00C678E5"/>
    <w:rsid w:val="00C67C1B"/>
    <w:rsid w:val="00C702E2"/>
    <w:rsid w:val="00C714C9"/>
    <w:rsid w:val="00C7222C"/>
    <w:rsid w:val="00C73966"/>
    <w:rsid w:val="00C74057"/>
    <w:rsid w:val="00C743A4"/>
    <w:rsid w:val="00C745DF"/>
    <w:rsid w:val="00C749C6"/>
    <w:rsid w:val="00C74F72"/>
    <w:rsid w:val="00C765D7"/>
    <w:rsid w:val="00C80580"/>
    <w:rsid w:val="00C81506"/>
    <w:rsid w:val="00C81F6A"/>
    <w:rsid w:val="00C8249C"/>
    <w:rsid w:val="00C82832"/>
    <w:rsid w:val="00C82EEF"/>
    <w:rsid w:val="00C83E4B"/>
    <w:rsid w:val="00C8466E"/>
    <w:rsid w:val="00C84E43"/>
    <w:rsid w:val="00C85476"/>
    <w:rsid w:val="00C85F91"/>
    <w:rsid w:val="00C874C6"/>
    <w:rsid w:val="00C91191"/>
    <w:rsid w:val="00C92C66"/>
    <w:rsid w:val="00C93A8E"/>
    <w:rsid w:val="00C941CC"/>
    <w:rsid w:val="00C97778"/>
    <w:rsid w:val="00C97B41"/>
    <w:rsid w:val="00CA0F26"/>
    <w:rsid w:val="00CA0FAC"/>
    <w:rsid w:val="00CA13BB"/>
    <w:rsid w:val="00CA4335"/>
    <w:rsid w:val="00CA4B1F"/>
    <w:rsid w:val="00CA5C09"/>
    <w:rsid w:val="00CA6909"/>
    <w:rsid w:val="00CA730C"/>
    <w:rsid w:val="00CB0F54"/>
    <w:rsid w:val="00CB184B"/>
    <w:rsid w:val="00CB1C6D"/>
    <w:rsid w:val="00CB226A"/>
    <w:rsid w:val="00CB309D"/>
    <w:rsid w:val="00CB3120"/>
    <w:rsid w:val="00CB332B"/>
    <w:rsid w:val="00CB3F38"/>
    <w:rsid w:val="00CB651E"/>
    <w:rsid w:val="00CB66C0"/>
    <w:rsid w:val="00CB6BA5"/>
    <w:rsid w:val="00CB6C8E"/>
    <w:rsid w:val="00CB76EA"/>
    <w:rsid w:val="00CB794D"/>
    <w:rsid w:val="00CC2B6E"/>
    <w:rsid w:val="00CC2BAE"/>
    <w:rsid w:val="00CC3C12"/>
    <w:rsid w:val="00CC7B9B"/>
    <w:rsid w:val="00CC7E7C"/>
    <w:rsid w:val="00CD1B3A"/>
    <w:rsid w:val="00CD2847"/>
    <w:rsid w:val="00CD44E5"/>
    <w:rsid w:val="00CD4AA5"/>
    <w:rsid w:val="00CD4DA3"/>
    <w:rsid w:val="00CD4DA5"/>
    <w:rsid w:val="00CD610D"/>
    <w:rsid w:val="00CD67E2"/>
    <w:rsid w:val="00CD68D0"/>
    <w:rsid w:val="00CD6B8C"/>
    <w:rsid w:val="00CD70FF"/>
    <w:rsid w:val="00CE0EE9"/>
    <w:rsid w:val="00CE2DDD"/>
    <w:rsid w:val="00CE329C"/>
    <w:rsid w:val="00CE3C4F"/>
    <w:rsid w:val="00CE5811"/>
    <w:rsid w:val="00CE72C2"/>
    <w:rsid w:val="00CE7951"/>
    <w:rsid w:val="00CE7BAB"/>
    <w:rsid w:val="00CF0A82"/>
    <w:rsid w:val="00CF11F0"/>
    <w:rsid w:val="00CF2672"/>
    <w:rsid w:val="00CF27FB"/>
    <w:rsid w:val="00CF5474"/>
    <w:rsid w:val="00CF5AC4"/>
    <w:rsid w:val="00CF69F2"/>
    <w:rsid w:val="00D00698"/>
    <w:rsid w:val="00D00A71"/>
    <w:rsid w:val="00D00FAF"/>
    <w:rsid w:val="00D02CE0"/>
    <w:rsid w:val="00D02E67"/>
    <w:rsid w:val="00D04CA2"/>
    <w:rsid w:val="00D05A6A"/>
    <w:rsid w:val="00D05C23"/>
    <w:rsid w:val="00D05D93"/>
    <w:rsid w:val="00D05DB7"/>
    <w:rsid w:val="00D06EBC"/>
    <w:rsid w:val="00D07BE5"/>
    <w:rsid w:val="00D10334"/>
    <w:rsid w:val="00D10A56"/>
    <w:rsid w:val="00D10CC7"/>
    <w:rsid w:val="00D126E9"/>
    <w:rsid w:val="00D14159"/>
    <w:rsid w:val="00D14791"/>
    <w:rsid w:val="00D15B48"/>
    <w:rsid w:val="00D16206"/>
    <w:rsid w:val="00D16951"/>
    <w:rsid w:val="00D17608"/>
    <w:rsid w:val="00D17D95"/>
    <w:rsid w:val="00D206DD"/>
    <w:rsid w:val="00D2111C"/>
    <w:rsid w:val="00D21C67"/>
    <w:rsid w:val="00D2332A"/>
    <w:rsid w:val="00D23C8F"/>
    <w:rsid w:val="00D27789"/>
    <w:rsid w:val="00D310D1"/>
    <w:rsid w:val="00D33685"/>
    <w:rsid w:val="00D3543E"/>
    <w:rsid w:val="00D40659"/>
    <w:rsid w:val="00D40B30"/>
    <w:rsid w:val="00D4107A"/>
    <w:rsid w:val="00D41323"/>
    <w:rsid w:val="00D41326"/>
    <w:rsid w:val="00D423E5"/>
    <w:rsid w:val="00D427BF"/>
    <w:rsid w:val="00D443D7"/>
    <w:rsid w:val="00D44B75"/>
    <w:rsid w:val="00D475CD"/>
    <w:rsid w:val="00D51765"/>
    <w:rsid w:val="00D52FA1"/>
    <w:rsid w:val="00D5302F"/>
    <w:rsid w:val="00D533BA"/>
    <w:rsid w:val="00D5459F"/>
    <w:rsid w:val="00D54F2F"/>
    <w:rsid w:val="00D55CCC"/>
    <w:rsid w:val="00D56227"/>
    <w:rsid w:val="00D56453"/>
    <w:rsid w:val="00D57560"/>
    <w:rsid w:val="00D604A0"/>
    <w:rsid w:val="00D6414B"/>
    <w:rsid w:val="00D649D7"/>
    <w:rsid w:val="00D66911"/>
    <w:rsid w:val="00D70BFE"/>
    <w:rsid w:val="00D70FF4"/>
    <w:rsid w:val="00D7290D"/>
    <w:rsid w:val="00D72C29"/>
    <w:rsid w:val="00D72C81"/>
    <w:rsid w:val="00D7565A"/>
    <w:rsid w:val="00D7568D"/>
    <w:rsid w:val="00D760E1"/>
    <w:rsid w:val="00D76981"/>
    <w:rsid w:val="00D76EB3"/>
    <w:rsid w:val="00D80D73"/>
    <w:rsid w:val="00D81C92"/>
    <w:rsid w:val="00D8305F"/>
    <w:rsid w:val="00D83260"/>
    <w:rsid w:val="00D83859"/>
    <w:rsid w:val="00D847FB"/>
    <w:rsid w:val="00D851CD"/>
    <w:rsid w:val="00D854EC"/>
    <w:rsid w:val="00D90792"/>
    <w:rsid w:val="00D90816"/>
    <w:rsid w:val="00D90CDA"/>
    <w:rsid w:val="00D931E4"/>
    <w:rsid w:val="00D93A82"/>
    <w:rsid w:val="00D93A83"/>
    <w:rsid w:val="00D93A91"/>
    <w:rsid w:val="00D94C8B"/>
    <w:rsid w:val="00D94DFE"/>
    <w:rsid w:val="00D94E61"/>
    <w:rsid w:val="00D951BD"/>
    <w:rsid w:val="00D97CC3"/>
    <w:rsid w:val="00DA10F4"/>
    <w:rsid w:val="00DA1370"/>
    <w:rsid w:val="00DA1C43"/>
    <w:rsid w:val="00DA20A0"/>
    <w:rsid w:val="00DA2529"/>
    <w:rsid w:val="00DA2E8A"/>
    <w:rsid w:val="00DA39BA"/>
    <w:rsid w:val="00DA3BE2"/>
    <w:rsid w:val="00DA3D43"/>
    <w:rsid w:val="00DA51C1"/>
    <w:rsid w:val="00DA660C"/>
    <w:rsid w:val="00DB0C61"/>
    <w:rsid w:val="00DB0EAB"/>
    <w:rsid w:val="00DB1FA8"/>
    <w:rsid w:val="00DB52B1"/>
    <w:rsid w:val="00DB5846"/>
    <w:rsid w:val="00DB6A10"/>
    <w:rsid w:val="00DC1237"/>
    <w:rsid w:val="00DC2712"/>
    <w:rsid w:val="00DC3DB3"/>
    <w:rsid w:val="00DC609C"/>
    <w:rsid w:val="00DC655F"/>
    <w:rsid w:val="00DD0548"/>
    <w:rsid w:val="00DD0CD8"/>
    <w:rsid w:val="00DD2075"/>
    <w:rsid w:val="00DD2BE2"/>
    <w:rsid w:val="00DD39BD"/>
    <w:rsid w:val="00DD3E09"/>
    <w:rsid w:val="00DD44F8"/>
    <w:rsid w:val="00DD4DB1"/>
    <w:rsid w:val="00DD6EA8"/>
    <w:rsid w:val="00DE0D7A"/>
    <w:rsid w:val="00DE1D29"/>
    <w:rsid w:val="00DE1F38"/>
    <w:rsid w:val="00DE1F45"/>
    <w:rsid w:val="00DE3632"/>
    <w:rsid w:val="00DE45A4"/>
    <w:rsid w:val="00DE45C6"/>
    <w:rsid w:val="00DE4964"/>
    <w:rsid w:val="00DE4B58"/>
    <w:rsid w:val="00DE644B"/>
    <w:rsid w:val="00DE6A22"/>
    <w:rsid w:val="00DE7974"/>
    <w:rsid w:val="00DF1232"/>
    <w:rsid w:val="00DF1672"/>
    <w:rsid w:val="00DF18B7"/>
    <w:rsid w:val="00DF210D"/>
    <w:rsid w:val="00DF3B2D"/>
    <w:rsid w:val="00DF3E80"/>
    <w:rsid w:val="00DF41B3"/>
    <w:rsid w:val="00DF432C"/>
    <w:rsid w:val="00DF55C1"/>
    <w:rsid w:val="00DF6829"/>
    <w:rsid w:val="00DF70DC"/>
    <w:rsid w:val="00E01515"/>
    <w:rsid w:val="00E01823"/>
    <w:rsid w:val="00E02262"/>
    <w:rsid w:val="00E0337C"/>
    <w:rsid w:val="00E046EA"/>
    <w:rsid w:val="00E04A12"/>
    <w:rsid w:val="00E04DFB"/>
    <w:rsid w:val="00E05475"/>
    <w:rsid w:val="00E059F1"/>
    <w:rsid w:val="00E07743"/>
    <w:rsid w:val="00E07F43"/>
    <w:rsid w:val="00E10080"/>
    <w:rsid w:val="00E10D92"/>
    <w:rsid w:val="00E11428"/>
    <w:rsid w:val="00E11968"/>
    <w:rsid w:val="00E11F60"/>
    <w:rsid w:val="00E14422"/>
    <w:rsid w:val="00E14549"/>
    <w:rsid w:val="00E14DE0"/>
    <w:rsid w:val="00E163BB"/>
    <w:rsid w:val="00E17045"/>
    <w:rsid w:val="00E170D4"/>
    <w:rsid w:val="00E1719F"/>
    <w:rsid w:val="00E17B88"/>
    <w:rsid w:val="00E203C8"/>
    <w:rsid w:val="00E21437"/>
    <w:rsid w:val="00E23640"/>
    <w:rsid w:val="00E26589"/>
    <w:rsid w:val="00E26F5C"/>
    <w:rsid w:val="00E27BDC"/>
    <w:rsid w:val="00E30CC6"/>
    <w:rsid w:val="00E32BD3"/>
    <w:rsid w:val="00E335CA"/>
    <w:rsid w:val="00E338CD"/>
    <w:rsid w:val="00E34E0F"/>
    <w:rsid w:val="00E358EA"/>
    <w:rsid w:val="00E36021"/>
    <w:rsid w:val="00E375C2"/>
    <w:rsid w:val="00E37AF5"/>
    <w:rsid w:val="00E41C76"/>
    <w:rsid w:val="00E421E9"/>
    <w:rsid w:val="00E45903"/>
    <w:rsid w:val="00E45E1E"/>
    <w:rsid w:val="00E46A08"/>
    <w:rsid w:val="00E515A8"/>
    <w:rsid w:val="00E522C1"/>
    <w:rsid w:val="00E53923"/>
    <w:rsid w:val="00E5413E"/>
    <w:rsid w:val="00E542DE"/>
    <w:rsid w:val="00E549AF"/>
    <w:rsid w:val="00E55B7B"/>
    <w:rsid w:val="00E55C62"/>
    <w:rsid w:val="00E566FF"/>
    <w:rsid w:val="00E5697D"/>
    <w:rsid w:val="00E570BD"/>
    <w:rsid w:val="00E576FD"/>
    <w:rsid w:val="00E57BDC"/>
    <w:rsid w:val="00E63212"/>
    <w:rsid w:val="00E63E19"/>
    <w:rsid w:val="00E63F0B"/>
    <w:rsid w:val="00E6418E"/>
    <w:rsid w:val="00E65CFD"/>
    <w:rsid w:val="00E65ED0"/>
    <w:rsid w:val="00E66574"/>
    <w:rsid w:val="00E66D9B"/>
    <w:rsid w:val="00E67080"/>
    <w:rsid w:val="00E67E96"/>
    <w:rsid w:val="00E70379"/>
    <w:rsid w:val="00E71242"/>
    <w:rsid w:val="00E71A67"/>
    <w:rsid w:val="00E71B85"/>
    <w:rsid w:val="00E720AB"/>
    <w:rsid w:val="00E721DC"/>
    <w:rsid w:val="00E72484"/>
    <w:rsid w:val="00E72834"/>
    <w:rsid w:val="00E72E19"/>
    <w:rsid w:val="00E74E5A"/>
    <w:rsid w:val="00E80E3E"/>
    <w:rsid w:val="00E81AB1"/>
    <w:rsid w:val="00E820A9"/>
    <w:rsid w:val="00E825F8"/>
    <w:rsid w:val="00E82ECD"/>
    <w:rsid w:val="00E83E4B"/>
    <w:rsid w:val="00E846D4"/>
    <w:rsid w:val="00E84782"/>
    <w:rsid w:val="00E85280"/>
    <w:rsid w:val="00E872AD"/>
    <w:rsid w:val="00E90047"/>
    <w:rsid w:val="00E90FD5"/>
    <w:rsid w:val="00E93636"/>
    <w:rsid w:val="00E940D6"/>
    <w:rsid w:val="00E94FA0"/>
    <w:rsid w:val="00E9549E"/>
    <w:rsid w:val="00E95786"/>
    <w:rsid w:val="00EA05BD"/>
    <w:rsid w:val="00EA09ED"/>
    <w:rsid w:val="00EA0F52"/>
    <w:rsid w:val="00EA12A9"/>
    <w:rsid w:val="00EA1304"/>
    <w:rsid w:val="00EA1443"/>
    <w:rsid w:val="00EA1A63"/>
    <w:rsid w:val="00EA2733"/>
    <w:rsid w:val="00EA3E60"/>
    <w:rsid w:val="00EA4684"/>
    <w:rsid w:val="00EA685A"/>
    <w:rsid w:val="00EB0BB9"/>
    <w:rsid w:val="00EB132D"/>
    <w:rsid w:val="00EB3382"/>
    <w:rsid w:val="00EB38CA"/>
    <w:rsid w:val="00EB3A7B"/>
    <w:rsid w:val="00EB3E49"/>
    <w:rsid w:val="00EB3EF5"/>
    <w:rsid w:val="00EB467E"/>
    <w:rsid w:val="00EB4CF7"/>
    <w:rsid w:val="00EB5383"/>
    <w:rsid w:val="00EC05CA"/>
    <w:rsid w:val="00EC0A4E"/>
    <w:rsid w:val="00EC0F2E"/>
    <w:rsid w:val="00EC0F5C"/>
    <w:rsid w:val="00EC2820"/>
    <w:rsid w:val="00EC371E"/>
    <w:rsid w:val="00EC731B"/>
    <w:rsid w:val="00EC7412"/>
    <w:rsid w:val="00EC7B24"/>
    <w:rsid w:val="00ED1AB2"/>
    <w:rsid w:val="00ED32D5"/>
    <w:rsid w:val="00ED51E8"/>
    <w:rsid w:val="00ED58FD"/>
    <w:rsid w:val="00ED697F"/>
    <w:rsid w:val="00ED70C5"/>
    <w:rsid w:val="00EE0ABB"/>
    <w:rsid w:val="00EE17C8"/>
    <w:rsid w:val="00EE182F"/>
    <w:rsid w:val="00EE1AA4"/>
    <w:rsid w:val="00EE23CF"/>
    <w:rsid w:val="00EE3EF5"/>
    <w:rsid w:val="00EE4615"/>
    <w:rsid w:val="00EE542B"/>
    <w:rsid w:val="00EE5AC6"/>
    <w:rsid w:val="00EE7D87"/>
    <w:rsid w:val="00EF1997"/>
    <w:rsid w:val="00EF2366"/>
    <w:rsid w:val="00EF24F5"/>
    <w:rsid w:val="00EF68B9"/>
    <w:rsid w:val="00EF7EE2"/>
    <w:rsid w:val="00F00531"/>
    <w:rsid w:val="00F01A0B"/>
    <w:rsid w:val="00F01A7E"/>
    <w:rsid w:val="00F01B45"/>
    <w:rsid w:val="00F01E82"/>
    <w:rsid w:val="00F029BA"/>
    <w:rsid w:val="00F03EE5"/>
    <w:rsid w:val="00F04052"/>
    <w:rsid w:val="00F04357"/>
    <w:rsid w:val="00F04473"/>
    <w:rsid w:val="00F07550"/>
    <w:rsid w:val="00F07C8C"/>
    <w:rsid w:val="00F10D58"/>
    <w:rsid w:val="00F111D9"/>
    <w:rsid w:val="00F11236"/>
    <w:rsid w:val="00F11308"/>
    <w:rsid w:val="00F1220F"/>
    <w:rsid w:val="00F13E9E"/>
    <w:rsid w:val="00F1439B"/>
    <w:rsid w:val="00F14583"/>
    <w:rsid w:val="00F1472F"/>
    <w:rsid w:val="00F1568C"/>
    <w:rsid w:val="00F156AE"/>
    <w:rsid w:val="00F16012"/>
    <w:rsid w:val="00F1624F"/>
    <w:rsid w:val="00F16C0B"/>
    <w:rsid w:val="00F20C78"/>
    <w:rsid w:val="00F22711"/>
    <w:rsid w:val="00F233E6"/>
    <w:rsid w:val="00F24B08"/>
    <w:rsid w:val="00F25369"/>
    <w:rsid w:val="00F258EF"/>
    <w:rsid w:val="00F259D7"/>
    <w:rsid w:val="00F26E75"/>
    <w:rsid w:val="00F275B3"/>
    <w:rsid w:val="00F3227F"/>
    <w:rsid w:val="00F322A6"/>
    <w:rsid w:val="00F3254B"/>
    <w:rsid w:val="00F32E17"/>
    <w:rsid w:val="00F335B5"/>
    <w:rsid w:val="00F34494"/>
    <w:rsid w:val="00F3463A"/>
    <w:rsid w:val="00F34F2C"/>
    <w:rsid w:val="00F36758"/>
    <w:rsid w:val="00F374B8"/>
    <w:rsid w:val="00F37C95"/>
    <w:rsid w:val="00F40DF0"/>
    <w:rsid w:val="00F42FE7"/>
    <w:rsid w:val="00F4370F"/>
    <w:rsid w:val="00F45405"/>
    <w:rsid w:val="00F46E20"/>
    <w:rsid w:val="00F50AFB"/>
    <w:rsid w:val="00F549A5"/>
    <w:rsid w:val="00F556C1"/>
    <w:rsid w:val="00F56073"/>
    <w:rsid w:val="00F61628"/>
    <w:rsid w:val="00F616FF"/>
    <w:rsid w:val="00F62157"/>
    <w:rsid w:val="00F63B19"/>
    <w:rsid w:val="00F65A91"/>
    <w:rsid w:val="00F679D8"/>
    <w:rsid w:val="00F7050A"/>
    <w:rsid w:val="00F72F15"/>
    <w:rsid w:val="00F74C9C"/>
    <w:rsid w:val="00F763DE"/>
    <w:rsid w:val="00F777BB"/>
    <w:rsid w:val="00F813A9"/>
    <w:rsid w:val="00F819B5"/>
    <w:rsid w:val="00F8314C"/>
    <w:rsid w:val="00F84294"/>
    <w:rsid w:val="00F84AD5"/>
    <w:rsid w:val="00F84F31"/>
    <w:rsid w:val="00F86B6B"/>
    <w:rsid w:val="00F86F73"/>
    <w:rsid w:val="00F876F9"/>
    <w:rsid w:val="00F877C7"/>
    <w:rsid w:val="00F87B0A"/>
    <w:rsid w:val="00F87B15"/>
    <w:rsid w:val="00F901C2"/>
    <w:rsid w:val="00F9093C"/>
    <w:rsid w:val="00F91449"/>
    <w:rsid w:val="00F930D3"/>
    <w:rsid w:val="00F94816"/>
    <w:rsid w:val="00F96939"/>
    <w:rsid w:val="00F97179"/>
    <w:rsid w:val="00F97560"/>
    <w:rsid w:val="00FA1D88"/>
    <w:rsid w:val="00FA1E9F"/>
    <w:rsid w:val="00FA25AB"/>
    <w:rsid w:val="00FA2A3D"/>
    <w:rsid w:val="00FA2B5F"/>
    <w:rsid w:val="00FA2C5B"/>
    <w:rsid w:val="00FA3FEC"/>
    <w:rsid w:val="00FA5988"/>
    <w:rsid w:val="00FA6D80"/>
    <w:rsid w:val="00FB022E"/>
    <w:rsid w:val="00FB055C"/>
    <w:rsid w:val="00FB0C17"/>
    <w:rsid w:val="00FB1362"/>
    <w:rsid w:val="00FB1AEC"/>
    <w:rsid w:val="00FB2119"/>
    <w:rsid w:val="00FB2609"/>
    <w:rsid w:val="00FB285C"/>
    <w:rsid w:val="00FB2D06"/>
    <w:rsid w:val="00FB31E8"/>
    <w:rsid w:val="00FB3E19"/>
    <w:rsid w:val="00FB41A2"/>
    <w:rsid w:val="00FB5CC1"/>
    <w:rsid w:val="00FB68A1"/>
    <w:rsid w:val="00FC128B"/>
    <w:rsid w:val="00FC1C86"/>
    <w:rsid w:val="00FC3232"/>
    <w:rsid w:val="00FC3D95"/>
    <w:rsid w:val="00FC41BD"/>
    <w:rsid w:val="00FC5338"/>
    <w:rsid w:val="00FC5877"/>
    <w:rsid w:val="00FC5956"/>
    <w:rsid w:val="00FC719E"/>
    <w:rsid w:val="00FC7A29"/>
    <w:rsid w:val="00FD0648"/>
    <w:rsid w:val="00FD06F2"/>
    <w:rsid w:val="00FD0969"/>
    <w:rsid w:val="00FD4925"/>
    <w:rsid w:val="00FD56F7"/>
    <w:rsid w:val="00FD5CC0"/>
    <w:rsid w:val="00FD5DC5"/>
    <w:rsid w:val="00FD74A8"/>
    <w:rsid w:val="00FE026D"/>
    <w:rsid w:val="00FE0565"/>
    <w:rsid w:val="00FE140A"/>
    <w:rsid w:val="00FE1DF5"/>
    <w:rsid w:val="00FE3D6A"/>
    <w:rsid w:val="00FE5719"/>
    <w:rsid w:val="00FE72A1"/>
    <w:rsid w:val="00FE741D"/>
    <w:rsid w:val="00FE7645"/>
    <w:rsid w:val="00FF00EB"/>
    <w:rsid w:val="00FF0120"/>
    <w:rsid w:val="00FF05FF"/>
    <w:rsid w:val="00FF1908"/>
    <w:rsid w:val="00FF207D"/>
    <w:rsid w:val="00FF20EE"/>
    <w:rsid w:val="00FF2171"/>
    <w:rsid w:val="00FF310E"/>
    <w:rsid w:val="00FF4455"/>
    <w:rsid w:val="00FF6BF5"/>
    <w:rsid w:val="00FF7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6FF1F82"/>
  <w15:docId w15:val="{B936E431-6961-4DD0-94E2-CC4FEBFCD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2" w:qFormat="1"/>
    <w:lsdException w:name="heading 3" w:locked="1" w:uiPriority="3" w:qFormat="1"/>
    <w:lsdException w:name="heading 4" w:locked="1" w:uiPriority="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1"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CC7"/>
    <w:pPr>
      <w:spacing w:after="180" w:line="280" w:lineRule="atLeast"/>
    </w:pPr>
    <w:rPr>
      <w:rFonts w:ascii="Calibri" w:hAnsi="Calibri"/>
      <w:sz w:val="22"/>
      <w:szCs w:val="22"/>
    </w:rPr>
  </w:style>
  <w:style w:type="paragraph" w:styleId="Heading1">
    <w:name w:val="heading 1"/>
    <w:next w:val="Normal"/>
    <w:link w:val="Heading1Char"/>
    <w:uiPriority w:val="1"/>
    <w:qFormat/>
    <w:rsid w:val="00D10CC7"/>
    <w:pPr>
      <w:keepNext/>
      <w:numPr>
        <w:numId w:val="3"/>
      </w:numPr>
      <w:spacing w:after="240"/>
      <w:ind w:left="1134" w:hanging="1134"/>
      <w:outlineLvl w:val="0"/>
    </w:pPr>
    <w:rPr>
      <w:rFonts w:ascii="Gotham Medium" w:hAnsi="Gotham Medium" w:cs="Arial"/>
      <w:caps/>
      <w:color w:val="00AD68"/>
      <w:kern w:val="28"/>
      <w:sz w:val="36"/>
      <w:szCs w:val="22"/>
      <w:lang w:val="en-US"/>
    </w:rPr>
  </w:style>
  <w:style w:type="paragraph" w:styleId="Heading2">
    <w:name w:val="heading 2"/>
    <w:basedOn w:val="Heading1"/>
    <w:next w:val="Normal"/>
    <w:link w:val="Heading2Char"/>
    <w:uiPriority w:val="2"/>
    <w:qFormat/>
    <w:rsid w:val="00551F05"/>
    <w:pPr>
      <w:numPr>
        <w:ilvl w:val="1"/>
      </w:numPr>
      <w:spacing w:before="360"/>
      <w:ind w:left="1134" w:hanging="1134"/>
      <w:outlineLvl w:val="1"/>
    </w:pPr>
    <w:rPr>
      <w:caps w:val="0"/>
      <w:sz w:val="32"/>
      <w:lang w:val="en-AU"/>
    </w:rPr>
  </w:style>
  <w:style w:type="paragraph" w:styleId="Heading3">
    <w:name w:val="heading 3"/>
    <w:basedOn w:val="Heading2"/>
    <w:next w:val="Normal"/>
    <w:link w:val="Heading3Char"/>
    <w:uiPriority w:val="3"/>
    <w:qFormat/>
    <w:rsid w:val="000E33F2"/>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D10CC7"/>
    <w:pPr>
      <w:numPr>
        <w:ilvl w:val="0"/>
        <w:numId w:val="0"/>
      </w:numPr>
      <w:spacing w:after="120"/>
      <w:outlineLvl w:val="3"/>
    </w:pPr>
    <w:rPr>
      <w:sz w:val="24"/>
    </w:rPr>
  </w:style>
  <w:style w:type="paragraph" w:styleId="Heading5">
    <w:name w:val="heading 5"/>
    <w:basedOn w:val="Heading4"/>
    <w:next w:val="Normal"/>
    <w:link w:val="Heading5Char"/>
    <w:uiPriority w:val="99"/>
    <w:rsid w:val="00D10CC7"/>
    <w:pPr>
      <w:outlineLvl w:val="4"/>
    </w:pPr>
  </w:style>
  <w:style w:type="paragraph" w:styleId="Heading6">
    <w:name w:val="heading 6"/>
    <w:basedOn w:val="Normal"/>
    <w:next w:val="Normal"/>
    <w:link w:val="Heading6Char"/>
    <w:uiPriority w:val="99"/>
    <w:rsid w:val="00D10CC7"/>
    <w:pPr>
      <w:spacing w:before="240" w:after="60"/>
      <w:outlineLvl w:val="5"/>
    </w:pPr>
    <w:rPr>
      <w:b/>
      <w:bCs/>
    </w:rPr>
  </w:style>
  <w:style w:type="paragraph" w:styleId="Heading7">
    <w:name w:val="heading 7"/>
    <w:basedOn w:val="Heading6"/>
    <w:next w:val="Normal"/>
    <w:link w:val="Heading7Char"/>
    <w:uiPriority w:val="99"/>
    <w:rsid w:val="00D10CC7"/>
    <w:pPr>
      <w:keepNext/>
      <w:tabs>
        <w:tab w:val="left" w:pos="1134"/>
      </w:tabs>
      <w:spacing w:line="240" w:lineRule="auto"/>
      <w:outlineLvl w:val="6"/>
    </w:pPr>
    <w:rPr>
      <w:rFonts w:ascii="Gotham Book" w:hAnsi="Gotham Book" w:cs="Arial"/>
      <w:color w:val="00AD68"/>
      <w:kern w:val="28"/>
      <w:sz w:val="24"/>
    </w:rPr>
  </w:style>
  <w:style w:type="paragraph" w:styleId="Heading8">
    <w:name w:val="heading 8"/>
    <w:basedOn w:val="Heading7"/>
    <w:next w:val="Normal"/>
    <w:link w:val="Heading8Char"/>
    <w:uiPriority w:val="99"/>
    <w:rsid w:val="00D10CC7"/>
    <w:pPr>
      <w:outlineLvl w:val="7"/>
    </w:pPr>
    <w:rPr>
      <w:i/>
      <w:iCs/>
    </w:rPr>
  </w:style>
  <w:style w:type="paragraph" w:styleId="Heading9">
    <w:name w:val="heading 9"/>
    <w:basedOn w:val="Heading8"/>
    <w:next w:val="Normal"/>
    <w:link w:val="Heading9Char"/>
    <w:uiPriority w:val="99"/>
    <w:rsid w:val="00D1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D10CC7"/>
    <w:rPr>
      <w:rFonts w:ascii="Gotham Medium" w:hAnsi="Gotham Medium" w:cs="Arial"/>
      <w:caps/>
      <w:color w:val="00AD68"/>
      <w:kern w:val="28"/>
      <w:sz w:val="36"/>
      <w:szCs w:val="22"/>
      <w:lang w:val="en-US"/>
    </w:rPr>
  </w:style>
  <w:style w:type="character" w:customStyle="1" w:styleId="Heading2Char">
    <w:name w:val="Heading 2 Char"/>
    <w:link w:val="Heading2"/>
    <w:uiPriority w:val="2"/>
    <w:locked/>
    <w:rsid w:val="00551F05"/>
    <w:rPr>
      <w:rFonts w:ascii="Gotham Medium" w:hAnsi="Gotham Medium" w:cs="Arial"/>
      <w:color w:val="00AD68"/>
      <w:kern w:val="28"/>
      <w:sz w:val="32"/>
      <w:szCs w:val="22"/>
    </w:rPr>
  </w:style>
  <w:style w:type="character" w:customStyle="1" w:styleId="Heading3Char">
    <w:name w:val="Heading 3 Char"/>
    <w:link w:val="Heading3"/>
    <w:uiPriority w:val="3"/>
    <w:locked/>
    <w:rsid w:val="000E33F2"/>
    <w:rPr>
      <w:rFonts w:ascii="Gotham Book" w:hAnsi="Gotham Book" w:cs="Arial"/>
      <w:color w:val="00AD68"/>
      <w:kern w:val="28"/>
      <w:sz w:val="28"/>
      <w:szCs w:val="22"/>
      <w:lang w:val="en-US"/>
    </w:rPr>
  </w:style>
  <w:style w:type="character" w:customStyle="1" w:styleId="Heading4Char">
    <w:name w:val="Heading 4 Char"/>
    <w:link w:val="Heading4"/>
    <w:uiPriority w:val="4"/>
    <w:locked/>
    <w:rsid w:val="00D10CC7"/>
    <w:rPr>
      <w:rFonts w:ascii="Gotham Book" w:hAnsi="Gotham Book" w:cs="Arial"/>
      <w:color w:val="00AD68"/>
      <w:kern w:val="28"/>
      <w:sz w:val="24"/>
      <w:szCs w:val="22"/>
      <w:lang w:val="en-US"/>
    </w:rPr>
  </w:style>
  <w:style w:type="character" w:customStyle="1" w:styleId="Heading5Char">
    <w:name w:val="Heading 5 Char"/>
    <w:link w:val="Heading5"/>
    <w:uiPriority w:val="99"/>
    <w:locked/>
    <w:rsid w:val="00D10CC7"/>
    <w:rPr>
      <w:rFonts w:ascii="Gotham Book" w:hAnsi="Gotham Book" w:cs="Arial"/>
      <w:color w:val="00AD68"/>
      <w:kern w:val="28"/>
      <w:sz w:val="24"/>
      <w:szCs w:val="22"/>
      <w:lang w:val="en-US"/>
    </w:rPr>
  </w:style>
  <w:style w:type="character" w:customStyle="1" w:styleId="Heading6Char">
    <w:name w:val="Heading 6 Char"/>
    <w:link w:val="Heading6"/>
    <w:uiPriority w:val="99"/>
    <w:locked/>
    <w:rsid w:val="00D10CC7"/>
    <w:rPr>
      <w:rFonts w:ascii="Calibri" w:hAnsi="Calibri"/>
      <w:b/>
      <w:bCs/>
      <w:sz w:val="22"/>
      <w:szCs w:val="22"/>
    </w:rPr>
  </w:style>
  <w:style w:type="character" w:customStyle="1" w:styleId="Heading7Char">
    <w:name w:val="Heading 7 Char"/>
    <w:link w:val="Heading7"/>
    <w:uiPriority w:val="99"/>
    <w:locked/>
    <w:rsid w:val="00D10CC7"/>
    <w:rPr>
      <w:rFonts w:ascii="Gotham Book" w:hAnsi="Gotham Book" w:cs="Arial"/>
      <w:b/>
      <w:bCs/>
      <w:color w:val="00AD68"/>
      <w:kern w:val="28"/>
      <w:sz w:val="24"/>
      <w:szCs w:val="22"/>
    </w:rPr>
  </w:style>
  <w:style w:type="character" w:customStyle="1" w:styleId="Heading8Char">
    <w:name w:val="Heading 8 Char"/>
    <w:link w:val="Heading8"/>
    <w:uiPriority w:val="99"/>
    <w:locked/>
    <w:rsid w:val="00D10CC7"/>
    <w:rPr>
      <w:rFonts w:ascii="Gotham Book" w:hAnsi="Gotham Book" w:cs="Arial"/>
      <w:b/>
      <w:bCs/>
      <w:i/>
      <w:iCs/>
      <w:color w:val="00AD68"/>
      <w:kern w:val="28"/>
      <w:sz w:val="24"/>
      <w:szCs w:val="22"/>
    </w:rPr>
  </w:style>
  <w:style w:type="character" w:customStyle="1" w:styleId="Heading9Char">
    <w:name w:val="Heading 9 Char"/>
    <w:link w:val="Heading9"/>
    <w:uiPriority w:val="99"/>
    <w:locked/>
    <w:rsid w:val="00D10CC7"/>
    <w:rPr>
      <w:rFonts w:ascii="Gotham Book" w:hAnsi="Gotham Book" w:cs="Arial"/>
      <w:b/>
      <w:bCs/>
      <w:i/>
      <w:iCs/>
      <w:color w:val="00AD68"/>
      <w:kern w:val="28"/>
      <w:sz w:val="24"/>
      <w:szCs w:val="22"/>
    </w:rPr>
  </w:style>
  <w:style w:type="paragraph" w:styleId="BodyText2">
    <w:name w:val="Body Text 2"/>
    <w:basedOn w:val="Normal"/>
    <w:link w:val="BodyText2Char"/>
    <w:uiPriority w:val="99"/>
    <w:rsid w:val="00D10CC7"/>
    <w:pPr>
      <w:spacing w:after="120" w:line="480" w:lineRule="auto"/>
      <w:jc w:val="both"/>
    </w:pPr>
    <w:rPr>
      <w:rFonts w:cs="Tahoma"/>
      <w:szCs w:val="20"/>
      <w:lang w:eastAsia="en-US"/>
    </w:rPr>
  </w:style>
  <w:style w:type="character" w:customStyle="1" w:styleId="BodyText2Char">
    <w:name w:val="Body Text 2 Char"/>
    <w:basedOn w:val="DefaultParagraphFont"/>
    <w:link w:val="BodyText2"/>
    <w:uiPriority w:val="99"/>
    <w:rsid w:val="00D10CC7"/>
    <w:rPr>
      <w:rFonts w:ascii="Calibri" w:hAnsi="Calibri" w:cs="Tahoma"/>
      <w:sz w:val="22"/>
      <w:lang w:eastAsia="en-US"/>
    </w:rPr>
  </w:style>
  <w:style w:type="paragraph" w:customStyle="1" w:styleId="BulletPoints">
    <w:name w:val="Bullet Points"/>
    <w:basedOn w:val="Normal"/>
    <w:link w:val="BulletPointsChar"/>
    <w:uiPriority w:val="5"/>
    <w:qFormat/>
    <w:rsid w:val="00B46314"/>
    <w:pPr>
      <w:numPr>
        <w:numId w:val="1"/>
      </w:numPr>
      <w:spacing w:after="120" w:line="240" w:lineRule="auto"/>
    </w:pPr>
  </w:style>
  <w:style w:type="character" w:customStyle="1" w:styleId="BulletPointsChar">
    <w:name w:val="Bullet Points Char"/>
    <w:link w:val="BulletPoints"/>
    <w:uiPriority w:val="5"/>
    <w:rsid w:val="00B46314"/>
    <w:rPr>
      <w:rFonts w:ascii="Calibri" w:hAnsi="Calibri"/>
      <w:sz w:val="22"/>
      <w:szCs w:val="22"/>
    </w:rPr>
  </w:style>
  <w:style w:type="paragraph" w:styleId="Caption">
    <w:name w:val="caption"/>
    <w:basedOn w:val="Normal"/>
    <w:next w:val="Normal"/>
    <w:uiPriority w:val="99"/>
    <w:qFormat/>
    <w:locked/>
    <w:rsid w:val="00D10CC7"/>
    <w:pPr>
      <w:keepNext/>
      <w:spacing w:after="60" w:line="240" w:lineRule="auto"/>
      <w:ind w:left="1134" w:hanging="1134"/>
    </w:pPr>
    <w:rPr>
      <w:b/>
      <w:sz w:val="20"/>
    </w:rPr>
  </w:style>
  <w:style w:type="paragraph" w:customStyle="1" w:styleId="Disclaimer-footer">
    <w:name w:val="Disclaimer - footer"/>
    <w:basedOn w:val="Normal"/>
    <w:next w:val="Normal"/>
    <w:link w:val="Disclaimer-footerChar"/>
    <w:autoRedefine/>
    <w:qFormat/>
    <w:rsid w:val="00D10CC7"/>
    <w:pPr>
      <w:tabs>
        <w:tab w:val="left" w:pos="0"/>
      </w:tabs>
      <w:spacing w:after="0" w:line="260" w:lineRule="atLeast"/>
      <w:jc w:val="both"/>
    </w:pPr>
    <w:rPr>
      <w:rFonts w:cs="Arial"/>
      <w:color w:val="00AD68"/>
      <w:sz w:val="24"/>
      <w:szCs w:val="24"/>
      <w:lang w:eastAsia="en-US"/>
    </w:rPr>
  </w:style>
  <w:style w:type="character" w:customStyle="1" w:styleId="Disclaimer-footerChar">
    <w:name w:val="Disclaimer - footer Char"/>
    <w:link w:val="Disclaimer-footer"/>
    <w:locked/>
    <w:rsid w:val="00D10CC7"/>
    <w:rPr>
      <w:rFonts w:ascii="Calibri" w:hAnsi="Calibri" w:cs="Arial"/>
      <w:color w:val="00AD68"/>
      <w:sz w:val="24"/>
      <w:szCs w:val="24"/>
      <w:lang w:eastAsia="en-US"/>
    </w:rPr>
  </w:style>
  <w:style w:type="paragraph" w:styleId="Footer">
    <w:name w:val="footer"/>
    <w:basedOn w:val="Normal"/>
    <w:link w:val="FooterChar"/>
    <w:uiPriority w:val="11"/>
    <w:unhideWhenUsed/>
    <w:rsid w:val="00D10CC7"/>
    <w:pPr>
      <w:tabs>
        <w:tab w:val="center" w:pos="4513"/>
        <w:tab w:val="right" w:pos="9026"/>
      </w:tabs>
      <w:spacing w:after="0" w:line="240" w:lineRule="auto"/>
    </w:pPr>
  </w:style>
  <w:style w:type="character" w:customStyle="1" w:styleId="FooterChar">
    <w:name w:val="Footer Char"/>
    <w:basedOn w:val="DefaultParagraphFont"/>
    <w:link w:val="Footer"/>
    <w:uiPriority w:val="11"/>
    <w:rsid w:val="00D10CC7"/>
    <w:rPr>
      <w:rFonts w:ascii="Calibri" w:hAnsi="Calibri"/>
      <w:sz w:val="22"/>
      <w:szCs w:val="22"/>
    </w:rPr>
  </w:style>
  <w:style w:type="paragraph" w:styleId="FootnoteText">
    <w:name w:val="footnote text"/>
    <w:basedOn w:val="Normal"/>
    <w:link w:val="FootnoteTextChar"/>
    <w:uiPriority w:val="99"/>
    <w:rsid w:val="00D10CC7"/>
    <w:rPr>
      <w:sz w:val="18"/>
    </w:rPr>
  </w:style>
  <w:style w:type="character" w:customStyle="1" w:styleId="FootnoteTextChar">
    <w:name w:val="Footnote Text Char"/>
    <w:link w:val="FootnoteText"/>
    <w:uiPriority w:val="99"/>
    <w:rsid w:val="00D10CC7"/>
    <w:rPr>
      <w:rFonts w:ascii="Calibri" w:hAnsi="Calibri"/>
      <w:sz w:val="18"/>
      <w:szCs w:val="22"/>
    </w:rPr>
  </w:style>
  <w:style w:type="paragraph" w:styleId="Header">
    <w:name w:val="header"/>
    <w:basedOn w:val="Normal"/>
    <w:link w:val="HeaderChar"/>
    <w:uiPriority w:val="10"/>
    <w:unhideWhenUsed/>
    <w:rsid w:val="00D10CC7"/>
    <w:pPr>
      <w:tabs>
        <w:tab w:val="center" w:pos="4513"/>
        <w:tab w:val="right" w:pos="9026"/>
      </w:tabs>
      <w:spacing w:after="0" w:line="240" w:lineRule="auto"/>
    </w:pPr>
  </w:style>
  <w:style w:type="character" w:customStyle="1" w:styleId="HeaderChar">
    <w:name w:val="Header Char"/>
    <w:basedOn w:val="DefaultParagraphFont"/>
    <w:link w:val="Header"/>
    <w:uiPriority w:val="10"/>
    <w:rsid w:val="00D10CC7"/>
    <w:rPr>
      <w:rFonts w:ascii="Calibri" w:hAnsi="Calibri"/>
      <w:sz w:val="22"/>
      <w:szCs w:val="22"/>
    </w:rPr>
  </w:style>
  <w:style w:type="character" w:styleId="Hyperlink">
    <w:name w:val="Hyperlink"/>
    <w:basedOn w:val="DefaultParagraphFont"/>
    <w:uiPriority w:val="99"/>
    <w:unhideWhenUsed/>
    <w:locked/>
    <w:rsid w:val="00D10CC7"/>
    <w:rPr>
      <w:color w:val="0000FF" w:themeColor="hyperlink"/>
      <w:u w:val="single"/>
    </w:rPr>
  </w:style>
  <w:style w:type="paragraph" w:customStyle="1" w:styleId="NumberPoints">
    <w:name w:val="Number Points"/>
    <w:basedOn w:val="Normal"/>
    <w:uiPriority w:val="6"/>
    <w:qFormat/>
    <w:rsid w:val="003A7B05"/>
    <w:pPr>
      <w:numPr>
        <w:numId w:val="4"/>
      </w:numPr>
      <w:spacing w:after="120" w:line="240" w:lineRule="auto"/>
    </w:pPr>
  </w:style>
  <w:style w:type="paragraph" w:customStyle="1" w:styleId="ReportNumber">
    <w:name w:val="Report Number"/>
    <w:basedOn w:val="Normal"/>
    <w:uiPriority w:val="9"/>
    <w:rsid w:val="00D10CC7"/>
    <w:rPr>
      <w:b/>
      <w:color w:val="0BB082"/>
      <w:sz w:val="28"/>
    </w:rPr>
  </w:style>
  <w:style w:type="paragraph" w:customStyle="1" w:styleId="ReportSubtitle">
    <w:name w:val="Report Subtitle"/>
    <w:basedOn w:val="Normal"/>
    <w:uiPriority w:val="10"/>
    <w:rsid w:val="00D10CC7"/>
    <w:pPr>
      <w:spacing w:after="0"/>
    </w:pPr>
    <w:rPr>
      <w:rFonts w:ascii="Gotham Bold" w:hAnsi="Gotham Bold"/>
      <w:color w:val="00AD68"/>
      <w:sz w:val="48"/>
    </w:rPr>
  </w:style>
  <w:style w:type="paragraph" w:customStyle="1" w:styleId="ReportTitle">
    <w:name w:val="Report Title"/>
    <w:basedOn w:val="Normal"/>
    <w:uiPriority w:val="9"/>
    <w:rsid w:val="00D10CC7"/>
    <w:rPr>
      <w:rFonts w:ascii="Gotham Bold" w:hAnsi="Gotham Bold"/>
      <w:sz w:val="56"/>
    </w:rPr>
  </w:style>
  <w:style w:type="table" w:customStyle="1" w:styleId="SRUTable">
    <w:name w:val="SRU Table"/>
    <w:basedOn w:val="TableNormal"/>
    <w:uiPriority w:val="99"/>
    <w:rsid w:val="00D10CC7"/>
    <w:rPr>
      <w:rFonts w:ascii="Arial" w:hAnsi="Arial"/>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customStyle="1" w:styleId="TableHeading">
    <w:name w:val="Table Heading"/>
    <w:basedOn w:val="Normal"/>
    <w:uiPriority w:val="7"/>
    <w:qFormat/>
    <w:rsid w:val="00D10CC7"/>
    <w:pPr>
      <w:spacing w:before="60" w:after="60" w:line="240" w:lineRule="auto"/>
      <w:jc w:val="center"/>
    </w:pPr>
    <w:rPr>
      <w:rFonts w:asciiTheme="minorHAnsi" w:hAnsiTheme="minorHAnsi" w:cstheme="minorHAnsi"/>
      <w:b/>
      <w:sz w:val="20"/>
      <w:szCs w:val="16"/>
    </w:rPr>
  </w:style>
  <w:style w:type="paragraph" w:customStyle="1" w:styleId="TableText">
    <w:name w:val="Table Text"/>
    <w:basedOn w:val="Normal"/>
    <w:uiPriority w:val="8"/>
    <w:qFormat/>
    <w:rsid w:val="00D10CC7"/>
    <w:pPr>
      <w:spacing w:before="60" w:after="60" w:line="240" w:lineRule="auto"/>
    </w:pPr>
    <w:rPr>
      <w:rFonts w:asciiTheme="minorHAnsi" w:hAnsiTheme="minorHAnsi" w:cstheme="minorHAnsi"/>
      <w:sz w:val="20"/>
      <w:szCs w:val="18"/>
    </w:rPr>
  </w:style>
  <w:style w:type="paragraph" w:styleId="TOC1">
    <w:name w:val="toc 1"/>
    <w:uiPriority w:val="39"/>
    <w:locked/>
    <w:rsid w:val="00051003"/>
    <w:pPr>
      <w:tabs>
        <w:tab w:val="left" w:pos="567"/>
        <w:tab w:val="right" w:leader="dot" w:pos="9071"/>
      </w:tabs>
      <w:spacing w:before="80" w:after="80"/>
    </w:pPr>
    <w:rPr>
      <w:rFonts w:ascii="Gotham Light" w:hAnsi="Gotham Light" w:cs="Tahoma"/>
      <w:noProof/>
      <w:sz w:val="22"/>
      <w:szCs w:val="22"/>
      <w:lang w:val="en-US"/>
    </w:rPr>
  </w:style>
  <w:style w:type="paragraph" w:styleId="TOC2">
    <w:name w:val="toc 2"/>
    <w:uiPriority w:val="39"/>
    <w:locked/>
    <w:rsid w:val="00051003"/>
    <w:pPr>
      <w:tabs>
        <w:tab w:val="left" w:pos="567"/>
        <w:tab w:val="left" w:pos="1134"/>
        <w:tab w:val="right" w:leader="dot" w:pos="9071"/>
      </w:tabs>
      <w:spacing w:before="80" w:after="80"/>
      <w:ind w:left="567"/>
    </w:pPr>
    <w:rPr>
      <w:rFonts w:ascii="Gotham Light" w:hAnsi="Gotham Light" w:cs="Tahoma"/>
      <w:noProof/>
      <w:sz w:val="22"/>
      <w:szCs w:val="22"/>
      <w:lang w:val="en-US"/>
    </w:rPr>
  </w:style>
  <w:style w:type="paragraph" w:styleId="TOC3">
    <w:name w:val="toc 3"/>
    <w:basedOn w:val="Normal"/>
    <w:uiPriority w:val="99"/>
    <w:locked/>
    <w:rsid w:val="00D10CC7"/>
    <w:rPr>
      <w:color w:val="000000"/>
    </w:rPr>
  </w:style>
  <w:style w:type="paragraph" w:styleId="TOC4">
    <w:name w:val="toc 4"/>
    <w:basedOn w:val="Normal"/>
    <w:uiPriority w:val="99"/>
    <w:locked/>
    <w:rsid w:val="00D10CC7"/>
  </w:style>
  <w:style w:type="paragraph" w:styleId="ListParagraph">
    <w:name w:val="List Paragraph"/>
    <w:basedOn w:val="Normal"/>
    <w:uiPriority w:val="34"/>
    <w:qFormat/>
    <w:rsid w:val="002C160B"/>
    <w:pPr>
      <w:ind w:left="720"/>
      <w:contextualSpacing/>
    </w:pPr>
  </w:style>
  <w:style w:type="paragraph" w:styleId="Revision">
    <w:name w:val="Revision"/>
    <w:hidden/>
    <w:uiPriority w:val="99"/>
    <w:semiHidden/>
    <w:rsid w:val="00E1719F"/>
    <w:rPr>
      <w:rFonts w:ascii="Calibri" w:hAnsi="Calibri"/>
      <w:sz w:val="22"/>
      <w:szCs w:val="22"/>
    </w:rPr>
  </w:style>
  <w:style w:type="paragraph" w:styleId="BalloonText">
    <w:name w:val="Balloon Text"/>
    <w:basedOn w:val="Normal"/>
    <w:link w:val="BalloonTextChar"/>
    <w:uiPriority w:val="99"/>
    <w:semiHidden/>
    <w:unhideWhenUsed/>
    <w:rsid w:val="00786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667"/>
    <w:rPr>
      <w:rFonts w:ascii="Tahoma" w:hAnsi="Tahoma" w:cs="Tahoma"/>
      <w:sz w:val="16"/>
      <w:szCs w:val="16"/>
    </w:rPr>
  </w:style>
  <w:style w:type="character" w:styleId="CommentReference">
    <w:name w:val="annotation reference"/>
    <w:basedOn w:val="DefaultParagraphFont"/>
    <w:semiHidden/>
    <w:unhideWhenUsed/>
    <w:rsid w:val="006006E0"/>
    <w:rPr>
      <w:sz w:val="16"/>
      <w:szCs w:val="16"/>
    </w:rPr>
  </w:style>
  <w:style w:type="paragraph" w:styleId="CommentText">
    <w:name w:val="annotation text"/>
    <w:basedOn w:val="Normal"/>
    <w:link w:val="CommentTextChar"/>
    <w:uiPriority w:val="99"/>
    <w:semiHidden/>
    <w:unhideWhenUsed/>
    <w:rsid w:val="006006E0"/>
    <w:pPr>
      <w:spacing w:line="240" w:lineRule="auto"/>
    </w:pPr>
    <w:rPr>
      <w:sz w:val="20"/>
      <w:szCs w:val="20"/>
    </w:rPr>
  </w:style>
  <w:style w:type="character" w:customStyle="1" w:styleId="CommentTextChar">
    <w:name w:val="Comment Text Char"/>
    <w:basedOn w:val="DefaultParagraphFont"/>
    <w:link w:val="CommentText"/>
    <w:uiPriority w:val="99"/>
    <w:semiHidden/>
    <w:rsid w:val="006006E0"/>
    <w:rPr>
      <w:rFonts w:ascii="Calibri" w:hAnsi="Calibri"/>
    </w:rPr>
  </w:style>
  <w:style w:type="paragraph" w:styleId="CommentSubject">
    <w:name w:val="annotation subject"/>
    <w:basedOn w:val="CommentText"/>
    <w:next w:val="CommentText"/>
    <w:link w:val="CommentSubjectChar"/>
    <w:uiPriority w:val="99"/>
    <w:semiHidden/>
    <w:unhideWhenUsed/>
    <w:rsid w:val="006006E0"/>
    <w:rPr>
      <w:b/>
      <w:bCs/>
    </w:rPr>
  </w:style>
  <w:style w:type="character" w:customStyle="1" w:styleId="CommentSubjectChar">
    <w:name w:val="Comment Subject Char"/>
    <w:basedOn w:val="CommentTextChar"/>
    <w:link w:val="CommentSubject"/>
    <w:uiPriority w:val="99"/>
    <w:semiHidden/>
    <w:rsid w:val="006006E0"/>
    <w:rPr>
      <w:rFonts w:ascii="Calibri" w:hAnsi="Calibri"/>
      <w:b/>
      <w:bCs/>
    </w:rPr>
  </w:style>
  <w:style w:type="table" w:styleId="TableGrid">
    <w:name w:val="Table Grid"/>
    <w:basedOn w:val="TableNormal"/>
    <w:uiPriority w:val="59"/>
    <w:locked/>
    <w:rsid w:val="00790468"/>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MJATableRow">
    <w:name w:val="MJA Table Row"/>
    <w:basedOn w:val="Normal"/>
    <w:qFormat/>
    <w:rsid w:val="00195001"/>
    <w:pPr>
      <w:spacing w:before="60" w:after="60" w:line="240" w:lineRule="auto"/>
    </w:pPr>
    <w:rPr>
      <w:rFonts w:eastAsiaTheme="minorHAnsi" w:cstheme="minorBidi"/>
      <w:sz w:val="20"/>
      <w:lang w:eastAsia="en-US"/>
    </w:rPr>
  </w:style>
  <w:style w:type="table" w:customStyle="1" w:styleId="MJATable1">
    <w:name w:val="MJA Table1"/>
    <w:basedOn w:val="TableNormal"/>
    <w:uiPriority w:val="99"/>
    <w:rsid w:val="00195001"/>
    <w:pPr>
      <w:spacing w:before="60" w:after="60"/>
      <w:jc w:val="center"/>
    </w:pPr>
    <w:rPr>
      <w:rFonts w:asciiTheme="minorHAnsi" w:eastAsiaTheme="minorHAnsi" w:hAnsiTheme="minorHAnsi" w:cstheme="minorBidi"/>
      <w:szCs w:val="22"/>
      <w:lang w:eastAsia="en-US"/>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styleId="Bibliography">
    <w:name w:val="Bibliography"/>
    <w:basedOn w:val="Normal"/>
    <w:next w:val="Normal"/>
    <w:uiPriority w:val="99"/>
    <w:unhideWhenUsed/>
    <w:rsid w:val="001517E9"/>
  </w:style>
  <w:style w:type="character" w:styleId="FootnoteReference">
    <w:name w:val="footnote reference"/>
    <w:uiPriority w:val="99"/>
    <w:semiHidden/>
    <w:rsid w:val="00720321"/>
    <w:rPr>
      <w:color w:val="auto"/>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84">
      <w:bodyDiv w:val="1"/>
      <w:marLeft w:val="0"/>
      <w:marRight w:val="0"/>
      <w:marTop w:val="0"/>
      <w:marBottom w:val="0"/>
      <w:divBdr>
        <w:top w:val="none" w:sz="0" w:space="0" w:color="auto"/>
        <w:left w:val="none" w:sz="0" w:space="0" w:color="auto"/>
        <w:bottom w:val="none" w:sz="0" w:space="0" w:color="auto"/>
        <w:right w:val="none" w:sz="0" w:space="0" w:color="auto"/>
      </w:divBdr>
    </w:div>
    <w:div w:id="2246146">
      <w:bodyDiv w:val="1"/>
      <w:marLeft w:val="0"/>
      <w:marRight w:val="0"/>
      <w:marTop w:val="0"/>
      <w:marBottom w:val="0"/>
      <w:divBdr>
        <w:top w:val="none" w:sz="0" w:space="0" w:color="auto"/>
        <w:left w:val="none" w:sz="0" w:space="0" w:color="auto"/>
        <w:bottom w:val="none" w:sz="0" w:space="0" w:color="auto"/>
        <w:right w:val="none" w:sz="0" w:space="0" w:color="auto"/>
      </w:divBdr>
    </w:div>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6947531">
      <w:bodyDiv w:val="1"/>
      <w:marLeft w:val="0"/>
      <w:marRight w:val="0"/>
      <w:marTop w:val="0"/>
      <w:marBottom w:val="0"/>
      <w:divBdr>
        <w:top w:val="none" w:sz="0" w:space="0" w:color="auto"/>
        <w:left w:val="none" w:sz="0" w:space="0" w:color="auto"/>
        <w:bottom w:val="none" w:sz="0" w:space="0" w:color="auto"/>
        <w:right w:val="none" w:sz="0" w:space="0" w:color="auto"/>
      </w:divBdr>
    </w:div>
    <w:div w:id="8216898">
      <w:bodyDiv w:val="1"/>
      <w:marLeft w:val="0"/>
      <w:marRight w:val="0"/>
      <w:marTop w:val="0"/>
      <w:marBottom w:val="0"/>
      <w:divBdr>
        <w:top w:val="none" w:sz="0" w:space="0" w:color="auto"/>
        <w:left w:val="none" w:sz="0" w:space="0" w:color="auto"/>
        <w:bottom w:val="none" w:sz="0" w:space="0" w:color="auto"/>
        <w:right w:val="none" w:sz="0" w:space="0" w:color="auto"/>
      </w:divBdr>
    </w:div>
    <w:div w:id="10306974">
      <w:bodyDiv w:val="1"/>
      <w:marLeft w:val="0"/>
      <w:marRight w:val="0"/>
      <w:marTop w:val="0"/>
      <w:marBottom w:val="0"/>
      <w:divBdr>
        <w:top w:val="none" w:sz="0" w:space="0" w:color="auto"/>
        <w:left w:val="none" w:sz="0" w:space="0" w:color="auto"/>
        <w:bottom w:val="none" w:sz="0" w:space="0" w:color="auto"/>
        <w:right w:val="none" w:sz="0" w:space="0" w:color="auto"/>
      </w:divBdr>
    </w:div>
    <w:div w:id="12152338">
      <w:bodyDiv w:val="1"/>
      <w:marLeft w:val="0"/>
      <w:marRight w:val="0"/>
      <w:marTop w:val="0"/>
      <w:marBottom w:val="0"/>
      <w:divBdr>
        <w:top w:val="none" w:sz="0" w:space="0" w:color="auto"/>
        <w:left w:val="none" w:sz="0" w:space="0" w:color="auto"/>
        <w:bottom w:val="none" w:sz="0" w:space="0" w:color="auto"/>
        <w:right w:val="none" w:sz="0" w:space="0" w:color="auto"/>
      </w:divBdr>
    </w:div>
    <w:div w:id="15817731">
      <w:bodyDiv w:val="1"/>
      <w:marLeft w:val="0"/>
      <w:marRight w:val="0"/>
      <w:marTop w:val="0"/>
      <w:marBottom w:val="0"/>
      <w:divBdr>
        <w:top w:val="none" w:sz="0" w:space="0" w:color="auto"/>
        <w:left w:val="none" w:sz="0" w:space="0" w:color="auto"/>
        <w:bottom w:val="none" w:sz="0" w:space="0" w:color="auto"/>
        <w:right w:val="none" w:sz="0" w:space="0" w:color="auto"/>
      </w:divBdr>
    </w:div>
    <w:div w:id="16005648">
      <w:bodyDiv w:val="1"/>
      <w:marLeft w:val="0"/>
      <w:marRight w:val="0"/>
      <w:marTop w:val="0"/>
      <w:marBottom w:val="0"/>
      <w:divBdr>
        <w:top w:val="none" w:sz="0" w:space="0" w:color="auto"/>
        <w:left w:val="none" w:sz="0" w:space="0" w:color="auto"/>
        <w:bottom w:val="none" w:sz="0" w:space="0" w:color="auto"/>
        <w:right w:val="none" w:sz="0" w:space="0" w:color="auto"/>
      </w:divBdr>
    </w:div>
    <w:div w:id="16858901">
      <w:bodyDiv w:val="1"/>
      <w:marLeft w:val="0"/>
      <w:marRight w:val="0"/>
      <w:marTop w:val="0"/>
      <w:marBottom w:val="0"/>
      <w:divBdr>
        <w:top w:val="none" w:sz="0" w:space="0" w:color="auto"/>
        <w:left w:val="none" w:sz="0" w:space="0" w:color="auto"/>
        <w:bottom w:val="none" w:sz="0" w:space="0" w:color="auto"/>
        <w:right w:val="none" w:sz="0" w:space="0" w:color="auto"/>
      </w:divBdr>
    </w:div>
    <w:div w:id="24990285">
      <w:bodyDiv w:val="1"/>
      <w:marLeft w:val="0"/>
      <w:marRight w:val="0"/>
      <w:marTop w:val="0"/>
      <w:marBottom w:val="0"/>
      <w:divBdr>
        <w:top w:val="none" w:sz="0" w:space="0" w:color="auto"/>
        <w:left w:val="none" w:sz="0" w:space="0" w:color="auto"/>
        <w:bottom w:val="none" w:sz="0" w:space="0" w:color="auto"/>
        <w:right w:val="none" w:sz="0" w:space="0" w:color="auto"/>
      </w:divBdr>
    </w:div>
    <w:div w:id="26762169">
      <w:bodyDiv w:val="1"/>
      <w:marLeft w:val="0"/>
      <w:marRight w:val="0"/>
      <w:marTop w:val="0"/>
      <w:marBottom w:val="0"/>
      <w:divBdr>
        <w:top w:val="none" w:sz="0" w:space="0" w:color="auto"/>
        <w:left w:val="none" w:sz="0" w:space="0" w:color="auto"/>
        <w:bottom w:val="none" w:sz="0" w:space="0" w:color="auto"/>
        <w:right w:val="none" w:sz="0" w:space="0" w:color="auto"/>
      </w:divBdr>
    </w:div>
    <w:div w:id="29305997">
      <w:bodyDiv w:val="1"/>
      <w:marLeft w:val="0"/>
      <w:marRight w:val="0"/>
      <w:marTop w:val="0"/>
      <w:marBottom w:val="0"/>
      <w:divBdr>
        <w:top w:val="none" w:sz="0" w:space="0" w:color="auto"/>
        <w:left w:val="none" w:sz="0" w:space="0" w:color="auto"/>
        <w:bottom w:val="none" w:sz="0" w:space="0" w:color="auto"/>
        <w:right w:val="none" w:sz="0" w:space="0" w:color="auto"/>
      </w:divBdr>
    </w:div>
    <w:div w:id="29381202">
      <w:bodyDiv w:val="1"/>
      <w:marLeft w:val="0"/>
      <w:marRight w:val="0"/>
      <w:marTop w:val="0"/>
      <w:marBottom w:val="0"/>
      <w:divBdr>
        <w:top w:val="none" w:sz="0" w:space="0" w:color="auto"/>
        <w:left w:val="none" w:sz="0" w:space="0" w:color="auto"/>
        <w:bottom w:val="none" w:sz="0" w:space="0" w:color="auto"/>
        <w:right w:val="none" w:sz="0" w:space="0" w:color="auto"/>
      </w:divBdr>
    </w:div>
    <w:div w:id="34430751">
      <w:bodyDiv w:val="1"/>
      <w:marLeft w:val="0"/>
      <w:marRight w:val="0"/>
      <w:marTop w:val="0"/>
      <w:marBottom w:val="0"/>
      <w:divBdr>
        <w:top w:val="none" w:sz="0" w:space="0" w:color="auto"/>
        <w:left w:val="none" w:sz="0" w:space="0" w:color="auto"/>
        <w:bottom w:val="none" w:sz="0" w:space="0" w:color="auto"/>
        <w:right w:val="none" w:sz="0" w:space="0" w:color="auto"/>
      </w:divBdr>
    </w:div>
    <w:div w:id="37097011">
      <w:bodyDiv w:val="1"/>
      <w:marLeft w:val="0"/>
      <w:marRight w:val="0"/>
      <w:marTop w:val="0"/>
      <w:marBottom w:val="0"/>
      <w:divBdr>
        <w:top w:val="none" w:sz="0" w:space="0" w:color="auto"/>
        <w:left w:val="none" w:sz="0" w:space="0" w:color="auto"/>
        <w:bottom w:val="none" w:sz="0" w:space="0" w:color="auto"/>
        <w:right w:val="none" w:sz="0" w:space="0" w:color="auto"/>
      </w:divBdr>
    </w:div>
    <w:div w:id="41446581">
      <w:bodyDiv w:val="1"/>
      <w:marLeft w:val="0"/>
      <w:marRight w:val="0"/>
      <w:marTop w:val="0"/>
      <w:marBottom w:val="0"/>
      <w:divBdr>
        <w:top w:val="none" w:sz="0" w:space="0" w:color="auto"/>
        <w:left w:val="none" w:sz="0" w:space="0" w:color="auto"/>
        <w:bottom w:val="none" w:sz="0" w:space="0" w:color="auto"/>
        <w:right w:val="none" w:sz="0" w:space="0" w:color="auto"/>
      </w:divBdr>
    </w:div>
    <w:div w:id="49547491">
      <w:bodyDiv w:val="1"/>
      <w:marLeft w:val="0"/>
      <w:marRight w:val="0"/>
      <w:marTop w:val="0"/>
      <w:marBottom w:val="0"/>
      <w:divBdr>
        <w:top w:val="none" w:sz="0" w:space="0" w:color="auto"/>
        <w:left w:val="none" w:sz="0" w:space="0" w:color="auto"/>
        <w:bottom w:val="none" w:sz="0" w:space="0" w:color="auto"/>
        <w:right w:val="none" w:sz="0" w:space="0" w:color="auto"/>
      </w:divBdr>
    </w:div>
    <w:div w:id="50622198">
      <w:bodyDiv w:val="1"/>
      <w:marLeft w:val="0"/>
      <w:marRight w:val="0"/>
      <w:marTop w:val="0"/>
      <w:marBottom w:val="0"/>
      <w:divBdr>
        <w:top w:val="none" w:sz="0" w:space="0" w:color="auto"/>
        <w:left w:val="none" w:sz="0" w:space="0" w:color="auto"/>
        <w:bottom w:val="none" w:sz="0" w:space="0" w:color="auto"/>
        <w:right w:val="none" w:sz="0" w:space="0" w:color="auto"/>
      </w:divBdr>
    </w:div>
    <w:div w:id="63770259">
      <w:bodyDiv w:val="1"/>
      <w:marLeft w:val="0"/>
      <w:marRight w:val="0"/>
      <w:marTop w:val="0"/>
      <w:marBottom w:val="0"/>
      <w:divBdr>
        <w:top w:val="none" w:sz="0" w:space="0" w:color="auto"/>
        <w:left w:val="none" w:sz="0" w:space="0" w:color="auto"/>
        <w:bottom w:val="none" w:sz="0" w:space="0" w:color="auto"/>
        <w:right w:val="none" w:sz="0" w:space="0" w:color="auto"/>
      </w:divBdr>
    </w:div>
    <w:div w:id="64912046">
      <w:bodyDiv w:val="1"/>
      <w:marLeft w:val="0"/>
      <w:marRight w:val="0"/>
      <w:marTop w:val="0"/>
      <w:marBottom w:val="0"/>
      <w:divBdr>
        <w:top w:val="none" w:sz="0" w:space="0" w:color="auto"/>
        <w:left w:val="none" w:sz="0" w:space="0" w:color="auto"/>
        <w:bottom w:val="none" w:sz="0" w:space="0" w:color="auto"/>
        <w:right w:val="none" w:sz="0" w:space="0" w:color="auto"/>
      </w:divBdr>
    </w:div>
    <w:div w:id="69160105">
      <w:bodyDiv w:val="1"/>
      <w:marLeft w:val="0"/>
      <w:marRight w:val="0"/>
      <w:marTop w:val="0"/>
      <w:marBottom w:val="0"/>
      <w:divBdr>
        <w:top w:val="none" w:sz="0" w:space="0" w:color="auto"/>
        <w:left w:val="none" w:sz="0" w:space="0" w:color="auto"/>
        <w:bottom w:val="none" w:sz="0" w:space="0" w:color="auto"/>
        <w:right w:val="none" w:sz="0" w:space="0" w:color="auto"/>
      </w:divBdr>
    </w:div>
    <w:div w:id="69815073">
      <w:bodyDiv w:val="1"/>
      <w:marLeft w:val="0"/>
      <w:marRight w:val="0"/>
      <w:marTop w:val="0"/>
      <w:marBottom w:val="0"/>
      <w:divBdr>
        <w:top w:val="none" w:sz="0" w:space="0" w:color="auto"/>
        <w:left w:val="none" w:sz="0" w:space="0" w:color="auto"/>
        <w:bottom w:val="none" w:sz="0" w:space="0" w:color="auto"/>
        <w:right w:val="none" w:sz="0" w:space="0" w:color="auto"/>
      </w:divBdr>
    </w:div>
    <w:div w:id="70666746">
      <w:bodyDiv w:val="1"/>
      <w:marLeft w:val="0"/>
      <w:marRight w:val="0"/>
      <w:marTop w:val="0"/>
      <w:marBottom w:val="0"/>
      <w:divBdr>
        <w:top w:val="none" w:sz="0" w:space="0" w:color="auto"/>
        <w:left w:val="none" w:sz="0" w:space="0" w:color="auto"/>
        <w:bottom w:val="none" w:sz="0" w:space="0" w:color="auto"/>
        <w:right w:val="none" w:sz="0" w:space="0" w:color="auto"/>
      </w:divBdr>
    </w:div>
    <w:div w:id="71051221">
      <w:bodyDiv w:val="1"/>
      <w:marLeft w:val="0"/>
      <w:marRight w:val="0"/>
      <w:marTop w:val="0"/>
      <w:marBottom w:val="0"/>
      <w:divBdr>
        <w:top w:val="none" w:sz="0" w:space="0" w:color="auto"/>
        <w:left w:val="none" w:sz="0" w:space="0" w:color="auto"/>
        <w:bottom w:val="none" w:sz="0" w:space="0" w:color="auto"/>
        <w:right w:val="none" w:sz="0" w:space="0" w:color="auto"/>
      </w:divBdr>
    </w:div>
    <w:div w:id="74518517">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74909106">
      <w:bodyDiv w:val="1"/>
      <w:marLeft w:val="0"/>
      <w:marRight w:val="0"/>
      <w:marTop w:val="0"/>
      <w:marBottom w:val="0"/>
      <w:divBdr>
        <w:top w:val="none" w:sz="0" w:space="0" w:color="auto"/>
        <w:left w:val="none" w:sz="0" w:space="0" w:color="auto"/>
        <w:bottom w:val="none" w:sz="0" w:space="0" w:color="auto"/>
        <w:right w:val="none" w:sz="0" w:space="0" w:color="auto"/>
      </w:divBdr>
    </w:div>
    <w:div w:id="79721904">
      <w:bodyDiv w:val="1"/>
      <w:marLeft w:val="0"/>
      <w:marRight w:val="0"/>
      <w:marTop w:val="0"/>
      <w:marBottom w:val="0"/>
      <w:divBdr>
        <w:top w:val="none" w:sz="0" w:space="0" w:color="auto"/>
        <w:left w:val="none" w:sz="0" w:space="0" w:color="auto"/>
        <w:bottom w:val="none" w:sz="0" w:space="0" w:color="auto"/>
        <w:right w:val="none" w:sz="0" w:space="0" w:color="auto"/>
      </w:divBdr>
    </w:div>
    <w:div w:id="80228063">
      <w:bodyDiv w:val="1"/>
      <w:marLeft w:val="0"/>
      <w:marRight w:val="0"/>
      <w:marTop w:val="0"/>
      <w:marBottom w:val="0"/>
      <w:divBdr>
        <w:top w:val="none" w:sz="0" w:space="0" w:color="auto"/>
        <w:left w:val="none" w:sz="0" w:space="0" w:color="auto"/>
        <w:bottom w:val="none" w:sz="0" w:space="0" w:color="auto"/>
        <w:right w:val="none" w:sz="0" w:space="0" w:color="auto"/>
      </w:divBdr>
    </w:div>
    <w:div w:id="80881903">
      <w:bodyDiv w:val="1"/>
      <w:marLeft w:val="0"/>
      <w:marRight w:val="0"/>
      <w:marTop w:val="0"/>
      <w:marBottom w:val="0"/>
      <w:divBdr>
        <w:top w:val="none" w:sz="0" w:space="0" w:color="auto"/>
        <w:left w:val="none" w:sz="0" w:space="0" w:color="auto"/>
        <w:bottom w:val="none" w:sz="0" w:space="0" w:color="auto"/>
        <w:right w:val="none" w:sz="0" w:space="0" w:color="auto"/>
      </w:divBdr>
    </w:div>
    <w:div w:id="81224151">
      <w:bodyDiv w:val="1"/>
      <w:marLeft w:val="0"/>
      <w:marRight w:val="0"/>
      <w:marTop w:val="0"/>
      <w:marBottom w:val="0"/>
      <w:divBdr>
        <w:top w:val="none" w:sz="0" w:space="0" w:color="auto"/>
        <w:left w:val="none" w:sz="0" w:space="0" w:color="auto"/>
        <w:bottom w:val="none" w:sz="0" w:space="0" w:color="auto"/>
        <w:right w:val="none" w:sz="0" w:space="0" w:color="auto"/>
      </w:divBdr>
    </w:div>
    <w:div w:id="81534309">
      <w:bodyDiv w:val="1"/>
      <w:marLeft w:val="0"/>
      <w:marRight w:val="0"/>
      <w:marTop w:val="0"/>
      <w:marBottom w:val="0"/>
      <w:divBdr>
        <w:top w:val="none" w:sz="0" w:space="0" w:color="auto"/>
        <w:left w:val="none" w:sz="0" w:space="0" w:color="auto"/>
        <w:bottom w:val="none" w:sz="0" w:space="0" w:color="auto"/>
        <w:right w:val="none" w:sz="0" w:space="0" w:color="auto"/>
      </w:divBdr>
    </w:div>
    <w:div w:id="82459892">
      <w:bodyDiv w:val="1"/>
      <w:marLeft w:val="0"/>
      <w:marRight w:val="0"/>
      <w:marTop w:val="0"/>
      <w:marBottom w:val="0"/>
      <w:divBdr>
        <w:top w:val="none" w:sz="0" w:space="0" w:color="auto"/>
        <w:left w:val="none" w:sz="0" w:space="0" w:color="auto"/>
        <w:bottom w:val="none" w:sz="0" w:space="0" w:color="auto"/>
        <w:right w:val="none" w:sz="0" w:space="0" w:color="auto"/>
      </w:divBdr>
    </w:div>
    <w:div w:id="84113448">
      <w:bodyDiv w:val="1"/>
      <w:marLeft w:val="0"/>
      <w:marRight w:val="0"/>
      <w:marTop w:val="0"/>
      <w:marBottom w:val="0"/>
      <w:divBdr>
        <w:top w:val="none" w:sz="0" w:space="0" w:color="auto"/>
        <w:left w:val="none" w:sz="0" w:space="0" w:color="auto"/>
        <w:bottom w:val="none" w:sz="0" w:space="0" w:color="auto"/>
        <w:right w:val="none" w:sz="0" w:space="0" w:color="auto"/>
      </w:divBdr>
    </w:div>
    <w:div w:id="85074375">
      <w:bodyDiv w:val="1"/>
      <w:marLeft w:val="0"/>
      <w:marRight w:val="0"/>
      <w:marTop w:val="0"/>
      <w:marBottom w:val="0"/>
      <w:divBdr>
        <w:top w:val="none" w:sz="0" w:space="0" w:color="auto"/>
        <w:left w:val="none" w:sz="0" w:space="0" w:color="auto"/>
        <w:bottom w:val="none" w:sz="0" w:space="0" w:color="auto"/>
        <w:right w:val="none" w:sz="0" w:space="0" w:color="auto"/>
      </w:divBdr>
    </w:div>
    <w:div w:id="88474095">
      <w:bodyDiv w:val="1"/>
      <w:marLeft w:val="0"/>
      <w:marRight w:val="0"/>
      <w:marTop w:val="0"/>
      <w:marBottom w:val="0"/>
      <w:divBdr>
        <w:top w:val="none" w:sz="0" w:space="0" w:color="auto"/>
        <w:left w:val="none" w:sz="0" w:space="0" w:color="auto"/>
        <w:bottom w:val="none" w:sz="0" w:space="0" w:color="auto"/>
        <w:right w:val="none" w:sz="0" w:space="0" w:color="auto"/>
      </w:divBdr>
    </w:div>
    <w:div w:id="91367518">
      <w:bodyDiv w:val="1"/>
      <w:marLeft w:val="0"/>
      <w:marRight w:val="0"/>
      <w:marTop w:val="0"/>
      <w:marBottom w:val="0"/>
      <w:divBdr>
        <w:top w:val="none" w:sz="0" w:space="0" w:color="auto"/>
        <w:left w:val="none" w:sz="0" w:space="0" w:color="auto"/>
        <w:bottom w:val="none" w:sz="0" w:space="0" w:color="auto"/>
        <w:right w:val="none" w:sz="0" w:space="0" w:color="auto"/>
      </w:divBdr>
    </w:div>
    <w:div w:id="92941517">
      <w:bodyDiv w:val="1"/>
      <w:marLeft w:val="0"/>
      <w:marRight w:val="0"/>
      <w:marTop w:val="0"/>
      <w:marBottom w:val="0"/>
      <w:divBdr>
        <w:top w:val="none" w:sz="0" w:space="0" w:color="auto"/>
        <w:left w:val="none" w:sz="0" w:space="0" w:color="auto"/>
        <w:bottom w:val="none" w:sz="0" w:space="0" w:color="auto"/>
        <w:right w:val="none" w:sz="0" w:space="0" w:color="auto"/>
      </w:divBdr>
    </w:div>
    <w:div w:id="93014274">
      <w:bodyDiv w:val="1"/>
      <w:marLeft w:val="0"/>
      <w:marRight w:val="0"/>
      <w:marTop w:val="0"/>
      <w:marBottom w:val="0"/>
      <w:divBdr>
        <w:top w:val="none" w:sz="0" w:space="0" w:color="auto"/>
        <w:left w:val="none" w:sz="0" w:space="0" w:color="auto"/>
        <w:bottom w:val="none" w:sz="0" w:space="0" w:color="auto"/>
        <w:right w:val="none" w:sz="0" w:space="0" w:color="auto"/>
      </w:divBdr>
    </w:div>
    <w:div w:id="94256300">
      <w:bodyDiv w:val="1"/>
      <w:marLeft w:val="0"/>
      <w:marRight w:val="0"/>
      <w:marTop w:val="0"/>
      <w:marBottom w:val="0"/>
      <w:divBdr>
        <w:top w:val="none" w:sz="0" w:space="0" w:color="auto"/>
        <w:left w:val="none" w:sz="0" w:space="0" w:color="auto"/>
        <w:bottom w:val="none" w:sz="0" w:space="0" w:color="auto"/>
        <w:right w:val="none" w:sz="0" w:space="0" w:color="auto"/>
      </w:divBdr>
    </w:div>
    <w:div w:id="95449103">
      <w:bodyDiv w:val="1"/>
      <w:marLeft w:val="0"/>
      <w:marRight w:val="0"/>
      <w:marTop w:val="0"/>
      <w:marBottom w:val="0"/>
      <w:divBdr>
        <w:top w:val="none" w:sz="0" w:space="0" w:color="auto"/>
        <w:left w:val="none" w:sz="0" w:space="0" w:color="auto"/>
        <w:bottom w:val="none" w:sz="0" w:space="0" w:color="auto"/>
        <w:right w:val="none" w:sz="0" w:space="0" w:color="auto"/>
      </w:divBdr>
    </w:div>
    <w:div w:id="102576637">
      <w:bodyDiv w:val="1"/>
      <w:marLeft w:val="0"/>
      <w:marRight w:val="0"/>
      <w:marTop w:val="0"/>
      <w:marBottom w:val="0"/>
      <w:divBdr>
        <w:top w:val="none" w:sz="0" w:space="0" w:color="auto"/>
        <w:left w:val="none" w:sz="0" w:space="0" w:color="auto"/>
        <w:bottom w:val="none" w:sz="0" w:space="0" w:color="auto"/>
        <w:right w:val="none" w:sz="0" w:space="0" w:color="auto"/>
      </w:divBdr>
    </w:div>
    <w:div w:id="104157284">
      <w:bodyDiv w:val="1"/>
      <w:marLeft w:val="0"/>
      <w:marRight w:val="0"/>
      <w:marTop w:val="0"/>
      <w:marBottom w:val="0"/>
      <w:divBdr>
        <w:top w:val="none" w:sz="0" w:space="0" w:color="auto"/>
        <w:left w:val="none" w:sz="0" w:space="0" w:color="auto"/>
        <w:bottom w:val="none" w:sz="0" w:space="0" w:color="auto"/>
        <w:right w:val="none" w:sz="0" w:space="0" w:color="auto"/>
      </w:divBdr>
    </w:div>
    <w:div w:id="110634977">
      <w:bodyDiv w:val="1"/>
      <w:marLeft w:val="0"/>
      <w:marRight w:val="0"/>
      <w:marTop w:val="0"/>
      <w:marBottom w:val="0"/>
      <w:divBdr>
        <w:top w:val="none" w:sz="0" w:space="0" w:color="auto"/>
        <w:left w:val="none" w:sz="0" w:space="0" w:color="auto"/>
        <w:bottom w:val="none" w:sz="0" w:space="0" w:color="auto"/>
        <w:right w:val="none" w:sz="0" w:space="0" w:color="auto"/>
      </w:divBdr>
    </w:div>
    <w:div w:id="116720962">
      <w:bodyDiv w:val="1"/>
      <w:marLeft w:val="0"/>
      <w:marRight w:val="0"/>
      <w:marTop w:val="0"/>
      <w:marBottom w:val="0"/>
      <w:divBdr>
        <w:top w:val="none" w:sz="0" w:space="0" w:color="auto"/>
        <w:left w:val="none" w:sz="0" w:space="0" w:color="auto"/>
        <w:bottom w:val="none" w:sz="0" w:space="0" w:color="auto"/>
        <w:right w:val="none" w:sz="0" w:space="0" w:color="auto"/>
      </w:divBdr>
    </w:div>
    <w:div w:id="118499305">
      <w:bodyDiv w:val="1"/>
      <w:marLeft w:val="0"/>
      <w:marRight w:val="0"/>
      <w:marTop w:val="0"/>
      <w:marBottom w:val="0"/>
      <w:divBdr>
        <w:top w:val="none" w:sz="0" w:space="0" w:color="auto"/>
        <w:left w:val="none" w:sz="0" w:space="0" w:color="auto"/>
        <w:bottom w:val="none" w:sz="0" w:space="0" w:color="auto"/>
        <w:right w:val="none" w:sz="0" w:space="0" w:color="auto"/>
      </w:divBdr>
    </w:div>
    <w:div w:id="122434065">
      <w:bodyDiv w:val="1"/>
      <w:marLeft w:val="0"/>
      <w:marRight w:val="0"/>
      <w:marTop w:val="0"/>
      <w:marBottom w:val="0"/>
      <w:divBdr>
        <w:top w:val="none" w:sz="0" w:space="0" w:color="auto"/>
        <w:left w:val="none" w:sz="0" w:space="0" w:color="auto"/>
        <w:bottom w:val="none" w:sz="0" w:space="0" w:color="auto"/>
        <w:right w:val="none" w:sz="0" w:space="0" w:color="auto"/>
      </w:divBdr>
    </w:div>
    <w:div w:id="123040547">
      <w:bodyDiv w:val="1"/>
      <w:marLeft w:val="0"/>
      <w:marRight w:val="0"/>
      <w:marTop w:val="0"/>
      <w:marBottom w:val="0"/>
      <w:divBdr>
        <w:top w:val="none" w:sz="0" w:space="0" w:color="auto"/>
        <w:left w:val="none" w:sz="0" w:space="0" w:color="auto"/>
        <w:bottom w:val="none" w:sz="0" w:space="0" w:color="auto"/>
        <w:right w:val="none" w:sz="0" w:space="0" w:color="auto"/>
      </w:divBdr>
    </w:div>
    <w:div w:id="127019278">
      <w:bodyDiv w:val="1"/>
      <w:marLeft w:val="0"/>
      <w:marRight w:val="0"/>
      <w:marTop w:val="0"/>
      <w:marBottom w:val="0"/>
      <w:divBdr>
        <w:top w:val="none" w:sz="0" w:space="0" w:color="auto"/>
        <w:left w:val="none" w:sz="0" w:space="0" w:color="auto"/>
        <w:bottom w:val="none" w:sz="0" w:space="0" w:color="auto"/>
        <w:right w:val="none" w:sz="0" w:space="0" w:color="auto"/>
      </w:divBdr>
    </w:div>
    <w:div w:id="129714961">
      <w:bodyDiv w:val="1"/>
      <w:marLeft w:val="0"/>
      <w:marRight w:val="0"/>
      <w:marTop w:val="0"/>
      <w:marBottom w:val="0"/>
      <w:divBdr>
        <w:top w:val="none" w:sz="0" w:space="0" w:color="auto"/>
        <w:left w:val="none" w:sz="0" w:space="0" w:color="auto"/>
        <w:bottom w:val="none" w:sz="0" w:space="0" w:color="auto"/>
        <w:right w:val="none" w:sz="0" w:space="0" w:color="auto"/>
      </w:divBdr>
    </w:div>
    <w:div w:id="131876192">
      <w:bodyDiv w:val="1"/>
      <w:marLeft w:val="0"/>
      <w:marRight w:val="0"/>
      <w:marTop w:val="0"/>
      <w:marBottom w:val="0"/>
      <w:divBdr>
        <w:top w:val="none" w:sz="0" w:space="0" w:color="auto"/>
        <w:left w:val="none" w:sz="0" w:space="0" w:color="auto"/>
        <w:bottom w:val="none" w:sz="0" w:space="0" w:color="auto"/>
        <w:right w:val="none" w:sz="0" w:space="0" w:color="auto"/>
      </w:divBdr>
    </w:div>
    <w:div w:id="132866033">
      <w:bodyDiv w:val="1"/>
      <w:marLeft w:val="0"/>
      <w:marRight w:val="0"/>
      <w:marTop w:val="0"/>
      <w:marBottom w:val="0"/>
      <w:divBdr>
        <w:top w:val="none" w:sz="0" w:space="0" w:color="auto"/>
        <w:left w:val="none" w:sz="0" w:space="0" w:color="auto"/>
        <w:bottom w:val="none" w:sz="0" w:space="0" w:color="auto"/>
        <w:right w:val="none" w:sz="0" w:space="0" w:color="auto"/>
      </w:divBdr>
    </w:div>
    <w:div w:id="133762119">
      <w:bodyDiv w:val="1"/>
      <w:marLeft w:val="0"/>
      <w:marRight w:val="0"/>
      <w:marTop w:val="0"/>
      <w:marBottom w:val="0"/>
      <w:divBdr>
        <w:top w:val="none" w:sz="0" w:space="0" w:color="auto"/>
        <w:left w:val="none" w:sz="0" w:space="0" w:color="auto"/>
        <w:bottom w:val="none" w:sz="0" w:space="0" w:color="auto"/>
        <w:right w:val="none" w:sz="0" w:space="0" w:color="auto"/>
      </w:divBdr>
    </w:div>
    <w:div w:id="136265509">
      <w:bodyDiv w:val="1"/>
      <w:marLeft w:val="0"/>
      <w:marRight w:val="0"/>
      <w:marTop w:val="0"/>
      <w:marBottom w:val="0"/>
      <w:divBdr>
        <w:top w:val="none" w:sz="0" w:space="0" w:color="auto"/>
        <w:left w:val="none" w:sz="0" w:space="0" w:color="auto"/>
        <w:bottom w:val="none" w:sz="0" w:space="0" w:color="auto"/>
        <w:right w:val="none" w:sz="0" w:space="0" w:color="auto"/>
      </w:divBdr>
    </w:div>
    <w:div w:id="137040141">
      <w:bodyDiv w:val="1"/>
      <w:marLeft w:val="0"/>
      <w:marRight w:val="0"/>
      <w:marTop w:val="0"/>
      <w:marBottom w:val="0"/>
      <w:divBdr>
        <w:top w:val="none" w:sz="0" w:space="0" w:color="auto"/>
        <w:left w:val="none" w:sz="0" w:space="0" w:color="auto"/>
        <w:bottom w:val="none" w:sz="0" w:space="0" w:color="auto"/>
        <w:right w:val="none" w:sz="0" w:space="0" w:color="auto"/>
      </w:divBdr>
    </w:div>
    <w:div w:id="145246999">
      <w:bodyDiv w:val="1"/>
      <w:marLeft w:val="0"/>
      <w:marRight w:val="0"/>
      <w:marTop w:val="0"/>
      <w:marBottom w:val="0"/>
      <w:divBdr>
        <w:top w:val="none" w:sz="0" w:space="0" w:color="auto"/>
        <w:left w:val="none" w:sz="0" w:space="0" w:color="auto"/>
        <w:bottom w:val="none" w:sz="0" w:space="0" w:color="auto"/>
        <w:right w:val="none" w:sz="0" w:space="0" w:color="auto"/>
      </w:divBdr>
    </w:div>
    <w:div w:id="145702793">
      <w:bodyDiv w:val="1"/>
      <w:marLeft w:val="0"/>
      <w:marRight w:val="0"/>
      <w:marTop w:val="0"/>
      <w:marBottom w:val="0"/>
      <w:divBdr>
        <w:top w:val="none" w:sz="0" w:space="0" w:color="auto"/>
        <w:left w:val="none" w:sz="0" w:space="0" w:color="auto"/>
        <w:bottom w:val="none" w:sz="0" w:space="0" w:color="auto"/>
        <w:right w:val="none" w:sz="0" w:space="0" w:color="auto"/>
      </w:divBdr>
    </w:div>
    <w:div w:id="147095354">
      <w:bodyDiv w:val="1"/>
      <w:marLeft w:val="0"/>
      <w:marRight w:val="0"/>
      <w:marTop w:val="0"/>
      <w:marBottom w:val="0"/>
      <w:divBdr>
        <w:top w:val="none" w:sz="0" w:space="0" w:color="auto"/>
        <w:left w:val="none" w:sz="0" w:space="0" w:color="auto"/>
        <w:bottom w:val="none" w:sz="0" w:space="0" w:color="auto"/>
        <w:right w:val="none" w:sz="0" w:space="0" w:color="auto"/>
      </w:divBdr>
    </w:div>
    <w:div w:id="148060906">
      <w:bodyDiv w:val="1"/>
      <w:marLeft w:val="0"/>
      <w:marRight w:val="0"/>
      <w:marTop w:val="0"/>
      <w:marBottom w:val="0"/>
      <w:divBdr>
        <w:top w:val="none" w:sz="0" w:space="0" w:color="auto"/>
        <w:left w:val="none" w:sz="0" w:space="0" w:color="auto"/>
        <w:bottom w:val="none" w:sz="0" w:space="0" w:color="auto"/>
        <w:right w:val="none" w:sz="0" w:space="0" w:color="auto"/>
      </w:divBdr>
    </w:div>
    <w:div w:id="149370057">
      <w:bodyDiv w:val="1"/>
      <w:marLeft w:val="0"/>
      <w:marRight w:val="0"/>
      <w:marTop w:val="0"/>
      <w:marBottom w:val="0"/>
      <w:divBdr>
        <w:top w:val="none" w:sz="0" w:space="0" w:color="auto"/>
        <w:left w:val="none" w:sz="0" w:space="0" w:color="auto"/>
        <w:bottom w:val="none" w:sz="0" w:space="0" w:color="auto"/>
        <w:right w:val="none" w:sz="0" w:space="0" w:color="auto"/>
      </w:divBdr>
    </w:div>
    <w:div w:id="151221627">
      <w:bodyDiv w:val="1"/>
      <w:marLeft w:val="0"/>
      <w:marRight w:val="0"/>
      <w:marTop w:val="0"/>
      <w:marBottom w:val="0"/>
      <w:divBdr>
        <w:top w:val="none" w:sz="0" w:space="0" w:color="auto"/>
        <w:left w:val="none" w:sz="0" w:space="0" w:color="auto"/>
        <w:bottom w:val="none" w:sz="0" w:space="0" w:color="auto"/>
        <w:right w:val="none" w:sz="0" w:space="0" w:color="auto"/>
      </w:divBdr>
    </w:div>
    <w:div w:id="151529768">
      <w:bodyDiv w:val="1"/>
      <w:marLeft w:val="0"/>
      <w:marRight w:val="0"/>
      <w:marTop w:val="0"/>
      <w:marBottom w:val="0"/>
      <w:divBdr>
        <w:top w:val="none" w:sz="0" w:space="0" w:color="auto"/>
        <w:left w:val="none" w:sz="0" w:space="0" w:color="auto"/>
        <w:bottom w:val="none" w:sz="0" w:space="0" w:color="auto"/>
        <w:right w:val="none" w:sz="0" w:space="0" w:color="auto"/>
      </w:divBdr>
    </w:div>
    <w:div w:id="152449110">
      <w:bodyDiv w:val="1"/>
      <w:marLeft w:val="0"/>
      <w:marRight w:val="0"/>
      <w:marTop w:val="0"/>
      <w:marBottom w:val="0"/>
      <w:divBdr>
        <w:top w:val="none" w:sz="0" w:space="0" w:color="auto"/>
        <w:left w:val="none" w:sz="0" w:space="0" w:color="auto"/>
        <w:bottom w:val="none" w:sz="0" w:space="0" w:color="auto"/>
        <w:right w:val="none" w:sz="0" w:space="0" w:color="auto"/>
      </w:divBdr>
    </w:div>
    <w:div w:id="154691292">
      <w:bodyDiv w:val="1"/>
      <w:marLeft w:val="0"/>
      <w:marRight w:val="0"/>
      <w:marTop w:val="0"/>
      <w:marBottom w:val="0"/>
      <w:divBdr>
        <w:top w:val="none" w:sz="0" w:space="0" w:color="auto"/>
        <w:left w:val="none" w:sz="0" w:space="0" w:color="auto"/>
        <w:bottom w:val="none" w:sz="0" w:space="0" w:color="auto"/>
        <w:right w:val="none" w:sz="0" w:space="0" w:color="auto"/>
      </w:divBdr>
    </w:div>
    <w:div w:id="155808210">
      <w:bodyDiv w:val="1"/>
      <w:marLeft w:val="0"/>
      <w:marRight w:val="0"/>
      <w:marTop w:val="0"/>
      <w:marBottom w:val="0"/>
      <w:divBdr>
        <w:top w:val="none" w:sz="0" w:space="0" w:color="auto"/>
        <w:left w:val="none" w:sz="0" w:space="0" w:color="auto"/>
        <w:bottom w:val="none" w:sz="0" w:space="0" w:color="auto"/>
        <w:right w:val="none" w:sz="0" w:space="0" w:color="auto"/>
      </w:divBdr>
    </w:div>
    <w:div w:id="155920647">
      <w:bodyDiv w:val="1"/>
      <w:marLeft w:val="0"/>
      <w:marRight w:val="0"/>
      <w:marTop w:val="0"/>
      <w:marBottom w:val="0"/>
      <w:divBdr>
        <w:top w:val="none" w:sz="0" w:space="0" w:color="auto"/>
        <w:left w:val="none" w:sz="0" w:space="0" w:color="auto"/>
        <w:bottom w:val="none" w:sz="0" w:space="0" w:color="auto"/>
        <w:right w:val="none" w:sz="0" w:space="0" w:color="auto"/>
      </w:divBdr>
    </w:div>
    <w:div w:id="160977011">
      <w:bodyDiv w:val="1"/>
      <w:marLeft w:val="0"/>
      <w:marRight w:val="0"/>
      <w:marTop w:val="0"/>
      <w:marBottom w:val="0"/>
      <w:divBdr>
        <w:top w:val="none" w:sz="0" w:space="0" w:color="auto"/>
        <w:left w:val="none" w:sz="0" w:space="0" w:color="auto"/>
        <w:bottom w:val="none" w:sz="0" w:space="0" w:color="auto"/>
        <w:right w:val="none" w:sz="0" w:space="0" w:color="auto"/>
      </w:divBdr>
    </w:div>
    <w:div w:id="180779153">
      <w:bodyDiv w:val="1"/>
      <w:marLeft w:val="0"/>
      <w:marRight w:val="0"/>
      <w:marTop w:val="0"/>
      <w:marBottom w:val="0"/>
      <w:divBdr>
        <w:top w:val="none" w:sz="0" w:space="0" w:color="auto"/>
        <w:left w:val="none" w:sz="0" w:space="0" w:color="auto"/>
        <w:bottom w:val="none" w:sz="0" w:space="0" w:color="auto"/>
        <w:right w:val="none" w:sz="0" w:space="0" w:color="auto"/>
      </w:divBdr>
    </w:div>
    <w:div w:id="181868924">
      <w:bodyDiv w:val="1"/>
      <w:marLeft w:val="0"/>
      <w:marRight w:val="0"/>
      <w:marTop w:val="0"/>
      <w:marBottom w:val="0"/>
      <w:divBdr>
        <w:top w:val="none" w:sz="0" w:space="0" w:color="auto"/>
        <w:left w:val="none" w:sz="0" w:space="0" w:color="auto"/>
        <w:bottom w:val="none" w:sz="0" w:space="0" w:color="auto"/>
        <w:right w:val="none" w:sz="0" w:space="0" w:color="auto"/>
      </w:divBdr>
    </w:div>
    <w:div w:id="183902705">
      <w:bodyDiv w:val="1"/>
      <w:marLeft w:val="0"/>
      <w:marRight w:val="0"/>
      <w:marTop w:val="0"/>
      <w:marBottom w:val="0"/>
      <w:divBdr>
        <w:top w:val="none" w:sz="0" w:space="0" w:color="auto"/>
        <w:left w:val="none" w:sz="0" w:space="0" w:color="auto"/>
        <w:bottom w:val="none" w:sz="0" w:space="0" w:color="auto"/>
        <w:right w:val="none" w:sz="0" w:space="0" w:color="auto"/>
      </w:divBdr>
    </w:div>
    <w:div w:id="196702635">
      <w:bodyDiv w:val="1"/>
      <w:marLeft w:val="0"/>
      <w:marRight w:val="0"/>
      <w:marTop w:val="0"/>
      <w:marBottom w:val="0"/>
      <w:divBdr>
        <w:top w:val="none" w:sz="0" w:space="0" w:color="auto"/>
        <w:left w:val="none" w:sz="0" w:space="0" w:color="auto"/>
        <w:bottom w:val="none" w:sz="0" w:space="0" w:color="auto"/>
        <w:right w:val="none" w:sz="0" w:space="0" w:color="auto"/>
      </w:divBdr>
    </w:div>
    <w:div w:id="196895721">
      <w:bodyDiv w:val="1"/>
      <w:marLeft w:val="0"/>
      <w:marRight w:val="0"/>
      <w:marTop w:val="0"/>
      <w:marBottom w:val="0"/>
      <w:divBdr>
        <w:top w:val="none" w:sz="0" w:space="0" w:color="auto"/>
        <w:left w:val="none" w:sz="0" w:space="0" w:color="auto"/>
        <w:bottom w:val="none" w:sz="0" w:space="0" w:color="auto"/>
        <w:right w:val="none" w:sz="0" w:space="0" w:color="auto"/>
      </w:divBdr>
    </w:div>
    <w:div w:id="198400898">
      <w:bodyDiv w:val="1"/>
      <w:marLeft w:val="0"/>
      <w:marRight w:val="0"/>
      <w:marTop w:val="0"/>
      <w:marBottom w:val="0"/>
      <w:divBdr>
        <w:top w:val="none" w:sz="0" w:space="0" w:color="auto"/>
        <w:left w:val="none" w:sz="0" w:space="0" w:color="auto"/>
        <w:bottom w:val="none" w:sz="0" w:space="0" w:color="auto"/>
        <w:right w:val="none" w:sz="0" w:space="0" w:color="auto"/>
      </w:divBdr>
    </w:div>
    <w:div w:id="201091729">
      <w:bodyDiv w:val="1"/>
      <w:marLeft w:val="0"/>
      <w:marRight w:val="0"/>
      <w:marTop w:val="0"/>
      <w:marBottom w:val="0"/>
      <w:divBdr>
        <w:top w:val="none" w:sz="0" w:space="0" w:color="auto"/>
        <w:left w:val="none" w:sz="0" w:space="0" w:color="auto"/>
        <w:bottom w:val="none" w:sz="0" w:space="0" w:color="auto"/>
        <w:right w:val="none" w:sz="0" w:space="0" w:color="auto"/>
      </w:divBdr>
    </w:div>
    <w:div w:id="202714801">
      <w:bodyDiv w:val="1"/>
      <w:marLeft w:val="0"/>
      <w:marRight w:val="0"/>
      <w:marTop w:val="0"/>
      <w:marBottom w:val="0"/>
      <w:divBdr>
        <w:top w:val="none" w:sz="0" w:space="0" w:color="auto"/>
        <w:left w:val="none" w:sz="0" w:space="0" w:color="auto"/>
        <w:bottom w:val="none" w:sz="0" w:space="0" w:color="auto"/>
        <w:right w:val="none" w:sz="0" w:space="0" w:color="auto"/>
      </w:divBdr>
    </w:div>
    <w:div w:id="206526746">
      <w:bodyDiv w:val="1"/>
      <w:marLeft w:val="0"/>
      <w:marRight w:val="0"/>
      <w:marTop w:val="0"/>
      <w:marBottom w:val="0"/>
      <w:divBdr>
        <w:top w:val="none" w:sz="0" w:space="0" w:color="auto"/>
        <w:left w:val="none" w:sz="0" w:space="0" w:color="auto"/>
        <w:bottom w:val="none" w:sz="0" w:space="0" w:color="auto"/>
        <w:right w:val="none" w:sz="0" w:space="0" w:color="auto"/>
      </w:divBdr>
    </w:div>
    <w:div w:id="207764320">
      <w:bodyDiv w:val="1"/>
      <w:marLeft w:val="0"/>
      <w:marRight w:val="0"/>
      <w:marTop w:val="0"/>
      <w:marBottom w:val="0"/>
      <w:divBdr>
        <w:top w:val="none" w:sz="0" w:space="0" w:color="auto"/>
        <w:left w:val="none" w:sz="0" w:space="0" w:color="auto"/>
        <w:bottom w:val="none" w:sz="0" w:space="0" w:color="auto"/>
        <w:right w:val="none" w:sz="0" w:space="0" w:color="auto"/>
      </w:divBdr>
    </w:div>
    <w:div w:id="208762567">
      <w:bodyDiv w:val="1"/>
      <w:marLeft w:val="0"/>
      <w:marRight w:val="0"/>
      <w:marTop w:val="0"/>
      <w:marBottom w:val="0"/>
      <w:divBdr>
        <w:top w:val="none" w:sz="0" w:space="0" w:color="auto"/>
        <w:left w:val="none" w:sz="0" w:space="0" w:color="auto"/>
        <w:bottom w:val="none" w:sz="0" w:space="0" w:color="auto"/>
        <w:right w:val="none" w:sz="0" w:space="0" w:color="auto"/>
      </w:divBdr>
    </w:div>
    <w:div w:id="208929211">
      <w:bodyDiv w:val="1"/>
      <w:marLeft w:val="0"/>
      <w:marRight w:val="0"/>
      <w:marTop w:val="0"/>
      <w:marBottom w:val="0"/>
      <w:divBdr>
        <w:top w:val="none" w:sz="0" w:space="0" w:color="auto"/>
        <w:left w:val="none" w:sz="0" w:space="0" w:color="auto"/>
        <w:bottom w:val="none" w:sz="0" w:space="0" w:color="auto"/>
        <w:right w:val="none" w:sz="0" w:space="0" w:color="auto"/>
      </w:divBdr>
    </w:div>
    <w:div w:id="210726361">
      <w:bodyDiv w:val="1"/>
      <w:marLeft w:val="0"/>
      <w:marRight w:val="0"/>
      <w:marTop w:val="0"/>
      <w:marBottom w:val="0"/>
      <w:divBdr>
        <w:top w:val="none" w:sz="0" w:space="0" w:color="auto"/>
        <w:left w:val="none" w:sz="0" w:space="0" w:color="auto"/>
        <w:bottom w:val="none" w:sz="0" w:space="0" w:color="auto"/>
        <w:right w:val="none" w:sz="0" w:space="0" w:color="auto"/>
      </w:divBdr>
    </w:div>
    <w:div w:id="211889159">
      <w:bodyDiv w:val="1"/>
      <w:marLeft w:val="0"/>
      <w:marRight w:val="0"/>
      <w:marTop w:val="0"/>
      <w:marBottom w:val="0"/>
      <w:divBdr>
        <w:top w:val="none" w:sz="0" w:space="0" w:color="auto"/>
        <w:left w:val="none" w:sz="0" w:space="0" w:color="auto"/>
        <w:bottom w:val="none" w:sz="0" w:space="0" w:color="auto"/>
        <w:right w:val="none" w:sz="0" w:space="0" w:color="auto"/>
      </w:divBdr>
    </w:div>
    <w:div w:id="212811525">
      <w:bodyDiv w:val="1"/>
      <w:marLeft w:val="0"/>
      <w:marRight w:val="0"/>
      <w:marTop w:val="0"/>
      <w:marBottom w:val="0"/>
      <w:divBdr>
        <w:top w:val="none" w:sz="0" w:space="0" w:color="auto"/>
        <w:left w:val="none" w:sz="0" w:space="0" w:color="auto"/>
        <w:bottom w:val="none" w:sz="0" w:space="0" w:color="auto"/>
        <w:right w:val="none" w:sz="0" w:space="0" w:color="auto"/>
      </w:divBdr>
    </w:div>
    <w:div w:id="216599031">
      <w:bodyDiv w:val="1"/>
      <w:marLeft w:val="0"/>
      <w:marRight w:val="0"/>
      <w:marTop w:val="0"/>
      <w:marBottom w:val="0"/>
      <w:divBdr>
        <w:top w:val="none" w:sz="0" w:space="0" w:color="auto"/>
        <w:left w:val="none" w:sz="0" w:space="0" w:color="auto"/>
        <w:bottom w:val="none" w:sz="0" w:space="0" w:color="auto"/>
        <w:right w:val="none" w:sz="0" w:space="0" w:color="auto"/>
      </w:divBdr>
    </w:div>
    <w:div w:id="225529381">
      <w:bodyDiv w:val="1"/>
      <w:marLeft w:val="0"/>
      <w:marRight w:val="0"/>
      <w:marTop w:val="0"/>
      <w:marBottom w:val="0"/>
      <w:divBdr>
        <w:top w:val="none" w:sz="0" w:space="0" w:color="auto"/>
        <w:left w:val="none" w:sz="0" w:space="0" w:color="auto"/>
        <w:bottom w:val="none" w:sz="0" w:space="0" w:color="auto"/>
        <w:right w:val="none" w:sz="0" w:space="0" w:color="auto"/>
      </w:divBdr>
    </w:div>
    <w:div w:id="231475116">
      <w:bodyDiv w:val="1"/>
      <w:marLeft w:val="0"/>
      <w:marRight w:val="0"/>
      <w:marTop w:val="0"/>
      <w:marBottom w:val="0"/>
      <w:divBdr>
        <w:top w:val="none" w:sz="0" w:space="0" w:color="auto"/>
        <w:left w:val="none" w:sz="0" w:space="0" w:color="auto"/>
        <w:bottom w:val="none" w:sz="0" w:space="0" w:color="auto"/>
        <w:right w:val="none" w:sz="0" w:space="0" w:color="auto"/>
      </w:divBdr>
    </w:div>
    <w:div w:id="232935360">
      <w:bodyDiv w:val="1"/>
      <w:marLeft w:val="0"/>
      <w:marRight w:val="0"/>
      <w:marTop w:val="0"/>
      <w:marBottom w:val="0"/>
      <w:divBdr>
        <w:top w:val="none" w:sz="0" w:space="0" w:color="auto"/>
        <w:left w:val="none" w:sz="0" w:space="0" w:color="auto"/>
        <w:bottom w:val="none" w:sz="0" w:space="0" w:color="auto"/>
        <w:right w:val="none" w:sz="0" w:space="0" w:color="auto"/>
      </w:divBdr>
    </w:div>
    <w:div w:id="236786580">
      <w:bodyDiv w:val="1"/>
      <w:marLeft w:val="0"/>
      <w:marRight w:val="0"/>
      <w:marTop w:val="0"/>
      <w:marBottom w:val="0"/>
      <w:divBdr>
        <w:top w:val="none" w:sz="0" w:space="0" w:color="auto"/>
        <w:left w:val="none" w:sz="0" w:space="0" w:color="auto"/>
        <w:bottom w:val="none" w:sz="0" w:space="0" w:color="auto"/>
        <w:right w:val="none" w:sz="0" w:space="0" w:color="auto"/>
      </w:divBdr>
    </w:div>
    <w:div w:id="238751071">
      <w:bodyDiv w:val="1"/>
      <w:marLeft w:val="0"/>
      <w:marRight w:val="0"/>
      <w:marTop w:val="0"/>
      <w:marBottom w:val="0"/>
      <w:divBdr>
        <w:top w:val="none" w:sz="0" w:space="0" w:color="auto"/>
        <w:left w:val="none" w:sz="0" w:space="0" w:color="auto"/>
        <w:bottom w:val="none" w:sz="0" w:space="0" w:color="auto"/>
        <w:right w:val="none" w:sz="0" w:space="0" w:color="auto"/>
      </w:divBdr>
    </w:div>
    <w:div w:id="240799950">
      <w:bodyDiv w:val="1"/>
      <w:marLeft w:val="0"/>
      <w:marRight w:val="0"/>
      <w:marTop w:val="0"/>
      <w:marBottom w:val="0"/>
      <w:divBdr>
        <w:top w:val="none" w:sz="0" w:space="0" w:color="auto"/>
        <w:left w:val="none" w:sz="0" w:space="0" w:color="auto"/>
        <w:bottom w:val="none" w:sz="0" w:space="0" w:color="auto"/>
        <w:right w:val="none" w:sz="0" w:space="0" w:color="auto"/>
      </w:divBdr>
    </w:div>
    <w:div w:id="241985051">
      <w:bodyDiv w:val="1"/>
      <w:marLeft w:val="0"/>
      <w:marRight w:val="0"/>
      <w:marTop w:val="0"/>
      <w:marBottom w:val="0"/>
      <w:divBdr>
        <w:top w:val="none" w:sz="0" w:space="0" w:color="auto"/>
        <w:left w:val="none" w:sz="0" w:space="0" w:color="auto"/>
        <w:bottom w:val="none" w:sz="0" w:space="0" w:color="auto"/>
        <w:right w:val="none" w:sz="0" w:space="0" w:color="auto"/>
      </w:divBdr>
    </w:div>
    <w:div w:id="246232753">
      <w:bodyDiv w:val="1"/>
      <w:marLeft w:val="0"/>
      <w:marRight w:val="0"/>
      <w:marTop w:val="0"/>
      <w:marBottom w:val="0"/>
      <w:divBdr>
        <w:top w:val="none" w:sz="0" w:space="0" w:color="auto"/>
        <w:left w:val="none" w:sz="0" w:space="0" w:color="auto"/>
        <w:bottom w:val="none" w:sz="0" w:space="0" w:color="auto"/>
        <w:right w:val="none" w:sz="0" w:space="0" w:color="auto"/>
      </w:divBdr>
    </w:div>
    <w:div w:id="255946515">
      <w:bodyDiv w:val="1"/>
      <w:marLeft w:val="0"/>
      <w:marRight w:val="0"/>
      <w:marTop w:val="0"/>
      <w:marBottom w:val="0"/>
      <w:divBdr>
        <w:top w:val="none" w:sz="0" w:space="0" w:color="auto"/>
        <w:left w:val="none" w:sz="0" w:space="0" w:color="auto"/>
        <w:bottom w:val="none" w:sz="0" w:space="0" w:color="auto"/>
        <w:right w:val="none" w:sz="0" w:space="0" w:color="auto"/>
      </w:divBdr>
    </w:div>
    <w:div w:id="259606664">
      <w:bodyDiv w:val="1"/>
      <w:marLeft w:val="0"/>
      <w:marRight w:val="0"/>
      <w:marTop w:val="0"/>
      <w:marBottom w:val="0"/>
      <w:divBdr>
        <w:top w:val="none" w:sz="0" w:space="0" w:color="auto"/>
        <w:left w:val="none" w:sz="0" w:space="0" w:color="auto"/>
        <w:bottom w:val="none" w:sz="0" w:space="0" w:color="auto"/>
        <w:right w:val="none" w:sz="0" w:space="0" w:color="auto"/>
      </w:divBdr>
    </w:div>
    <w:div w:id="266735603">
      <w:bodyDiv w:val="1"/>
      <w:marLeft w:val="0"/>
      <w:marRight w:val="0"/>
      <w:marTop w:val="0"/>
      <w:marBottom w:val="0"/>
      <w:divBdr>
        <w:top w:val="none" w:sz="0" w:space="0" w:color="auto"/>
        <w:left w:val="none" w:sz="0" w:space="0" w:color="auto"/>
        <w:bottom w:val="none" w:sz="0" w:space="0" w:color="auto"/>
        <w:right w:val="none" w:sz="0" w:space="0" w:color="auto"/>
      </w:divBdr>
    </w:div>
    <w:div w:id="267586604">
      <w:bodyDiv w:val="1"/>
      <w:marLeft w:val="0"/>
      <w:marRight w:val="0"/>
      <w:marTop w:val="0"/>
      <w:marBottom w:val="0"/>
      <w:divBdr>
        <w:top w:val="none" w:sz="0" w:space="0" w:color="auto"/>
        <w:left w:val="none" w:sz="0" w:space="0" w:color="auto"/>
        <w:bottom w:val="none" w:sz="0" w:space="0" w:color="auto"/>
        <w:right w:val="none" w:sz="0" w:space="0" w:color="auto"/>
      </w:divBdr>
    </w:div>
    <w:div w:id="267857884">
      <w:bodyDiv w:val="1"/>
      <w:marLeft w:val="0"/>
      <w:marRight w:val="0"/>
      <w:marTop w:val="0"/>
      <w:marBottom w:val="0"/>
      <w:divBdr>
        <w:top w:val="none" w:sz="0" w:space="0" w:color="auto"/>
        <w:left w:val="none" w:sz="0" w:space="0" w:color="auto"/>
        <w:bottom w:val="none" w:sz="0" w:space="0" w:color="auto"/>
        <w:right w:val="none" w:sz="0" w:space="0" w:color="auto"/>
      </w:divBdr>
    </w:div>
    <w:div w:id="269357522">
      <w:bodyDiv w:val="1"/>
      <w:marLeft w:val="0"/>
      <w:marRight w:val="0"/>
      <w:marTop w:val="0"/>
      <w:marBottom w:val="0"/>
      <w:divBdr>
        <w:top w:val="none" w:sz="0" w:space="0" w:color="auto"/>
        <w:left w:val="none" w:sz="0" w:space="0" w:color="auto"/>
        <w:bottom w:val="none" w:sz="0" w:space="0" w:color="auto"/>
        <w:right w:val="none" w:sz="0" w:space="0" w:color="auto"/>
      </w:divBdr>
    </w:div>
    <w:div w:id="270286745">
      <w:bodyDiv w:val="1"/>
      <w:marLeft w:val="0"/>
      <w:marRight w:val="0"/>
      <w:marTop w:val="0"/>
      <w:marBottom w:val="0"/>
      <w:divBdr>
        <w:top w:val="none" w:sz="0" w:space="0" w:color="auto"/>
        <w:left w:val="none" w:sz="0" w:space="0" w:color="auto"/>
        <w:bottom w:val="none" w:sz="0" w:space="0" w:color="auto"/>
        <w:right w:val="none" w:sz="0" w:space="0" w:color="auto"/>
      </w:divBdr>
    </w:div>
    <w:div w:id="270551736">
      <w:bodyDiv w:val="1"/>
      <w:marLeft w:val="0"/>
      <w:marRight w:val="0"/>
      <w:marTop w:val="0"/>
      <w:marBottom w:val="0"/>
      <w:divBdr>
        <w:top w:val="none" w:sz="0" w:space="0" w:color="auto"/>
        <w:left w:val="none" w:sz="0" w:space="0" w:color="auto"/>
        <w:bottom w:val="none" w:sz="0" w:space="0" w:color="auto"/>
        <w:right w:val="none" w:sz="0" w:space="0" w:color="auto"/>
      </w:divBdr>
    </w:div>
    <w:div w:id="271327694">
      <w:bodyDiv w:val="1"/>
      <w:marLeft w:val="0"/>
      <w:marRight w:val="0"/>
      <w:marTop w:val="0"/>
      <w:marBottom w:val="0"/>
      <w:divBdr>
        <w:top w:val="none" w:sz="0" w:space="0" w:color="auto"/>
        <w:left w:val="none" w:sz="0" w:space="0" w:color="auto"/>
        <w:bottom w:val="none" w:sz="0" w:space="0" w:color="auto"/>
        <w:right w:val="none" w:sz="0" w:space="0" w:color="auto"/>
      </w:divBdr>
    </w:div>
    <w:div w:id="273752363">
      <w:bodyDiv w:val="1"/>
      <w:marLeft w:val="0"/>
      <w:marRight w:val="0"/>
      <w:marTop w:val="0"/>
      <w:marBottom w:val="0"/>
      <w:divBdr>
        <w:top w:val="none" w:sz="0" w:space="0" w:color="auto"/>
        <w:left w:val="none" w:sz="0" w:space="0" w:color="auto"/>
        <w:bottom w:val="none" w:sz="0" w:space="0" w:color="auto"/>
        <w:right w:val="none" w:sz="0" w:space="0" w:color="auto"/>
      </w:divBdr>
    </w:div>
    <w:div w:id="277881959">
      <w:bodyDiv w:val="1"/>
      <w:marLeft w:val="0"/>
      <w:marRight w:val="0"/>
      <w:marTop w:val="0"/>
      <w:marBottom w:val="0"/>
      <w:divBdr>
        <w:top w:val="none" w:sz="0" w:space="0" w:color="auto"/>
        <w:left w:val="none" w:sz="0" w:space="0" w:color="auto"/>
        <w:bottom w:val="none" w:sz="0" w:space="0" w:color="auto"/>
        <w:right w:val="none" w:sz="0" w:space="0" w:color="auto"/>
      </w:divBdr>
    </w:div>
    <w:div w:id="279344687">
      <w:bodyDiv w:val="1"/>
      <w:marLeft w:val="0"/>
      <w:marRight w:val="0"/>
      <w:marTop w:val="0"/>
      <w:marBottom w:val="0"/>
      <w:divBdr>
        <w:top w:val="none" w:sz="0" w:space="0" w:color="auto"/>
        <w:left w:val="none" w:sz="0" w:space="0" w:color="auto"/>
        <w:bottom w:val="none" w:sz="0" w:space="0" w:color="auto"/>
        <w:right w:val="none" w:sz="0" w:space="0" w:color="auto"/>
      </w:divBdr>
    </w:div>
    <w:div w:id="279804903">
      <w:bodyDiv w:val="1"/>
      <w:marLeft w:val="0"/>
      <w:marRight w:val="0"/>
      <w:marTop w:val="0"/>
      <w:marBottom w:val="0"/>
      <w:divBdr>
        <w:top w:val="none" w:sz="0" w:space="0" w:color="auto"/>
        <w:left w:val="none" w:sz="0" w:space="0" w:color="auto"/>
        <w:bottom w:val="none" w:sz="0" w:space="0" w:color="auto"/>
        <w:right w:val="none" w:sz="0" w:space="0" w:color="auto"/>
      </w:divBdr>
    </w:div>
    <w:div w:id="279995107">
      <w:bodyDiv w:val="1"/>
      <w:marLeft w:val="0"/>
      <w:marRight w:val="0"/>
      <w:marTop w:val="0"/>
      <w:marBottom w:val="0"/>
      <w:divBdr>
        <w:top w:val="none" w:sz="0" w:space="0" w:color="auto"/>
        <w:left w:val="none" w:sz="0" w:space="0" w:color="auto"/>
        <w:bottom w:val="none" w:sz="0" w:space="0" w:color="auto"/>
        <w:right w:val="none" w:sz="0" w:space="0" w:color="auto"/>
      </w:divBdr>
    </w:div>
    <w:div w:id="288322633">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295572953">
      <w:bodyDiv w:val="1"/>
      <w:marLeft w:val="0"/>
      <w:marRight w:val="0"/>
      <w:marTop w:val="0"/>
      <w:marBottom w:val="0"/>
      <w:divBdr>
        <w:top w:val="none" w:sz="0" w:space="0" w:color="auto"/>
        <w:left w:val="none" w:sz="0" w:space="0" w:color="auto"/>
        <w:bottom w:val="none" w:sz="0" w:space="0" w:color="auto"/>
        <w:right w:val="none" w:sz="0" w:space="0" w:color="auto"/>
      </w:divBdr>
    </w:div>
    <w:div w:id="298346832">
      <w:bodyDiv w:val="1"/>
      <w:marLeft w:val="0"/>
      <w:marRight w:val="0"/>
      <w:marTop w:val="0"/>
      <w:marBottom w:val="0"/>
      <w:divBdr>
        <w:top w:val="none" w:sz="0" w:space="0" w:color="auto"/>
        <w:left w:val="none" w:sz="0" w:space="0" w:color="auto"/>
        <w:bottom w:val="none" w:sz="0" w:space="0" w:color="auto"/>
        <w:right w:val="none" w:sz="0" w:space="0" w:color="auto"/>
      </w:divBdr>
    </w:div>
    <w:div w:id="300617908">
      <w:bodyDiv w:val="1"/>
      <w:marLeft w:val="0"/>
      <w:marRight w:val="0"/>
      <w:marTop w:val="0"/>
      <w:marBottom w:val="0"/>
      <w:divBdr>
        <w:top w:val="none" w:sz="0" w:space="0" w:color="auto"/>
        <w:left w:val="none" w:sz="0" w:space="0" w:color="auto"/>
        <w:bottom w:val="none" w:sz="0" w:space="0" w:color="auto"/>
        <w:right w:val="none" w:sz="0" w:space="0" w:color="auto"/>
      </w:divBdr>
    </w:div>
    <w:div w:id="303512471">
      <w:bodyDiv w:val="1"/>
      <w:marLeft w:val="0"/>
      <w:marRight w:val="0"/>
      <w:marTop w:val="0"/>
      <w:marBottom w:val="0"/>
      <w:divBdr>
        <w:top w:val="none" w:sz="0" w:space="0" w:color="auto"/>
        <w:left w:val="none" w:sz="0" w:space="0" w:color="auto"/>
        <w:bottom w:val="none" w:sz="0" w:space="0" w:color="auto"/>
        <w:right w:val="none" w:sz="0" w:space="0" w:color="auto"/>
      </w:divBdr>
    </w:div>
    <w:div w:id="308247706">
      <w:bodyDiv w:val="1"/>
      <w:marLeft w:val="0"/>
      <w:marRight w:val="0"/>
      <w:marTop w:val="0"/>
      <w:marBottom w:val="0"/>
      <w:divBdr>
        <w:top w:val="none" w:sz="0" w:space="0" w:color="auto"/>
        <w:left w:val="none" w:sz="0" w:space="0" w:color="auto"/>
        <w:bottom w:val="none" w:sz="0" w:space="0" w:color="auto"/>
        <w:right w:val="none" w:sz="0" w:space="0" w:color="auto"/>
      </w:divBdr>
    </w:div>
    <w:div w:id="308442483">
      <w:bodyDiv w:val="1"/>
      <w:marLeft w:val="0"/>
      <w:marRight w:val="0"/>
      <w:marTop w:val="0"/>
      <w:marBottom w:val="0"/>
      <w:divBdr>
        <w:top w:val="none" w:sz="0" w:space="0" w:color="auto"/>
        <w:left w:val="none" w:sz="0" w:space="0" w:color="auto"/>
        <w:bottom w:val="none" w:sz="0" w:space="0" w:color="auto"/>
        <w:right w:val="none" w:sz="0" w:space="0" w:color="auto"/>
      </w:divBdr>
    </w:div>
    <w:div w:id="308675332">
      <w:bodyDiv w:val="1"/>
      <w:marLeft w:val="0"/>
      <w:marRight w:val="0"/>
      <w:marTop w:val="0"/>
      <w:marBottom w:val="0"/>
      <w:divBdr>
        <w:top w:val="none" w:sz="0" w:space="0" w:color="auto"/>
        <w:left w:val="none" w:sz="0" w:space="0" w:color="auto"/>
        <w:bottom w:val="none" w:sz="0" w:space="0" w:color="auto"/>
        <w:right w:val="none" w:sz="0" w:space="0" w:color="auto"/>
      </w:divBdr>
    </w:div>
    <w:div w:id="308822355">
      <w:bodyDiv w:val="1"/>
      <w:marLeft w:val="0"/>
      <w:marRight w:val="0"/>
      <w:marTop w:val="0"/>
      <w:marBottom w:val="0"/>
      <w:divBdr>
        <w:top w:val="none" w:sz="0" w:space="0" w:color="auto"/>
        <w:left w:val="none" w:sz="0" w:space="0" w:color="auto"/>
        <w:bottom w:val="none" w:sz="0" w:space="0" w:color="auto"/>
        <w:right w:val="none" w:sz="0" w:space="0" w:color="auto"/>
      </w:divBdr>
    </w:div>
    <w:div w:id="312218219">
      <w:bodyDiv w:val="1"/>
      <w:marLeft w:val="0"/>
      <w:marRight w:val="0"/>
      <w:marTop w:val="0"/>
      <w:marBottom w:val="0"/>
      <w:divBdr>
        <w:top w:val="none" w:sz="0" w:space="0" w:color="auto"/>
        <w:left w:val="none" w:sz="0" w:space="0" w:color="auto"/>
        <w:bottom w:val="none" w:sz="0" w:space="0" w:color="auto"/>
        <w:right w:val="none" w:sz="0" w:space="0" w:color="auto"/>
      </w:divBdr>
    </w:div>
    <w:div w:id="313417383">
      <w:bodyDiv w:val="1"/>
      <w:marLeft w:val="0"/>
      <w:marRight w:val="0"/>
      <w:marTop w:val="0"/>
      <w:marBottom w:val="0"/>
      <w:divBdr>
        <w:top w:val="none" w:sz="0" w:space="0" w:color="auto"/>
        <w:left w:val="none" w:sz="0" w:space="0" w:color="auto"/>
        <w:bottom w:val="none" w:sz="0" w:space="0" w:color="auto"/>
        <w:right w:val="none" w:sz="0" w:space="0" w:color="auto"/>
      </w:divBdr>
    </w:div>
    <w:div w:id="318463658">
      <w:bodyDiv w:val="1"/>
      <w:marLeft w:val="0"/>
      <w:marRight w:val="0"/>
      <w:marTop w:val="0"/>
      <w:marBottom w:val="0"/>
      <w:divBdr>
        <w:top w:val="none" w:sz="0" w:space="0" w:color="auto"/>
        <w:left w:val="none" w:sz="0" w:space="0" w:color="auto"/>
        <w:bottom w:val="none" w:sz="0" w:space="0" w:color="auto"/>
        <w:right w:val="none" w:sz="0" w:space="0" w:color="auto"/>
      </w:divBdr>
    </w:div>
    <w:div w:id="319426893">
      <w:bodyDiv w:val="1"/>
      <w:marLeft w:val="0"/>
      <w:marRight w:val="0"/>
      <w:marTop w:val="0"/>
      <w:marBottom w:val="0"/>
      <w:divBdr>
        <w:top w:val="none" w:sz="0" w:space="0" w:color="auto"/>
        <w:left w:val="none" w:sz="0" w:space="0" w:color="auto"/>
        <w:bottom w:val="none" w:sz="0" w:space="0" w:color="auto"/>
        <w:right w:val="none" w:sz="0" w:space="0" w:color="auto"/>
      </w:divBdr>
    </w:div>
    <w:div w:id="320164515">
      <w:bodyDiv w:val="1"/>
      <w:marLeft w:val="0"/>
      <w:marRight w:val="0"/>
      <w:marTop w:val="0"/>
      <w:marBottom w:val="0"/>
      <w:divBdr>
        <w:top w:val="none" w:sz="0" w:space="0" w:color="auto"/>
        <w:left w:val="none" w:sz="0" w:space="0" w:color="auto"/>
        <w:bottom w:val="none" w:sz="0" w:space="0" w:color="auto"/>
        <w:right w:val="none" w:sz="0" w:space="0" w:color="auto"/>
      </w:divBdr>
    </w:div>
    <w:div w:id="329333362">
      <w:bodyDiv w:val="1"/>
      <w:marLeft w:val="0"/>
      <w:marRight w:val="0"/>
      <w:marTop w:val="0"/>
      <w:marBottom w:val="0"/>
      <w:divBdr>
        <w:top w:val="none" w:sz="0" w:space="0" w:color="auto"/>
        <w:left w:val="none" w:sz="0" w:space="0" w:color="auto"/>
        <w:bottom w:val="none" w:sz="0" w:space="0" w:color="auto"/>
        <w:right w:val="none" w:sz="0" w:space="0" w:color="auto"/>
      </w:divBdr>
    </w:div>
    <w:div w:id="329529534">
      <w:bodyDiv w:val="1"/>
      <w:marLeft w:val="0"/>
      <w:marRight w:val="0"/>
      <w:marTop w:val="0"/>
      <w:marBottom w:val="0"/>
      <w:divBdr>
        <w:top w:val="none" w:sz="0" w:space="0" w:color="auto"/>
        <w:left w:val="none" w:sz="0" w:space="0" w:color="auto"/>
        <w:bottom w:val="none" w:sz="0" w:space="0" w:color="auto"/>
        <w:right w:val="none" w:sz="0" w:space="0" w:color="auto"/>
      </w:divBdr>
    </w:div>
    <w:div w:id="330572298">
      <w:bodyDiv w:val="1"/>
      <w:marLeft w:val="0"/>
      <w:marRight w:val="0"/>
      <w:marTop w:val="0"/>
      <w:marBottom w:val="0"/>
      <w:divBdr>
        <w:top w:val="none" w:sz="0" w:space="0" w:color="auto"/>
        <w:left w:val="none" w:sz="0" w:space="0" w:color="auto"/>
        <w:bottom w:val="none" w:sz="0" w:space="0" w:color="auto"/>
        <w:right w:val="none" w:sz="0" w:space="0" w:color="auto"/>
      </w:divBdr>
    </w:div>
    <w:div w:id="333725286">
      <w:bodyDiv w:val="1"/>
      <w:marLeft w:val="0"/>
      <w:marRight w:val="0"/>
      <w:marTop w:val="0"/>
      <w:marBottom w:val="0"/>
      <w:divBdr>
        <w:top w:val="none" w:sz="0" w:space="0" w:color="auto"/>
        <w:left w:val="none" w:sz="0" w:space="0" w:color="auto"/>
        <w:bottom w:val="none" w:sz="0" w:space="0" w:color="auto"/>
        <w:right w:val="none" w:sz="0" w:space="0" w:color="auto"/>
      </w:divBdr>
    </w:div>
    <w:div w:id="334501299">
      <w:bodyDiv w:val="1"/>
      <w:marLeft w:val="0"/>
      <w:marRight w:val="0"/>
      <w:marTop w:val="0"/>
      <w:marBottom w:val="0"/>
      <w:divBdr>
        <w:top w:val="none" w:sz="0" w:space="0" w:color="auto"/>
        <w:left w:val="none" w:sz="0" w:space="0" w:color="auto"/>
        <w:bottom w:val="none" w:sz="0" w:space="0" w:color="auto"/>
        <w:right w:val="none" w:sz="0" w:space="0" w:color="auto"/>
      </w:divBdr>
    </w:div>
    <w:div w:id="337387910">
      <w:bodyDiv w:val="1"/>
      <w:marLeft w:val="0"/>
      <w:marRight w:val="0"/>
      <w:marTop w:val="0"/>
      <w:marBottom w:val="0"/>
      <w:divBdr>
        <w:top w:val="none" w:sz="0" w:space="0" w:color="auto"/>
        <w:left w:val="none" w:sz="0" w:space="0" w:color="auto"/>
        <w:bottom w:val="none" w:sz="0" w:space="0" w:color="auto"/>
        <w:right w:val="none" w:sz="0" w:space="0" w:color="auto"/>
      </w:divBdr>
    </w:div>
    <w:div w:id="342631281">
      <w:bodyDiv w:val="1"/>
      <w:marLeft w:val="0"/>
      <w:marRight w:val="0"/>
      <w:marTop w:val="0"/>
      <w:marBottom w:val="0"/>
      <w:divBdr>
        <w:top w:val="none" w:sz="0" w:space="0" w:color="auto"/>
        <w:left w:val="none" w:sz="0" w:space="0" w:color="auto"/>
        <w:bottom w:val="none" w:sz="0" w:space="0" w:color="auto"/>
        <w:right w:val="none" w:sz="0" w:space="0" w:color="auto"/>
      </w:divBdr>
    </w:div>
    <w:div w:id="344210042">
      <w:bodyDiv w:val="1"/>
      <w:marLeft w:val="0"/>
      <w:marRight w:val="0"/>
      <w:marTop w:val="0"/>
      <w:marBottom w:val="0"/>
      <w:divBdr>
        <w:top w:val="none" w:sz="0" w:space="0" w:color="auto"/>
        <w:left w:val="none" w:sz="0" w:space="0" w:color="auto"/>
        <w:bottom w:val="none" w:sz="0" w:space="0" w:color="auto"/>
        <w:right w:val="none" w:sz="0" w:space="0" w:color="auto"/>
      </w:divBdr>
    </w:div>
    <w:div w:id="348412072">
      <w:bodyDiv w:val="1"/>
      <w:marLeft w:val="0"/>
      <w:marRight w:val="0"/>
      <w:marTop w:val="0"/>
      <w:marBottom w:val="0"/>
      <w:divBdr>
        <w:top w:val="none" w:sz="0" w:space="0" w:color="auto"/>
        <w:left w:val="none" w:sz="0" w:space="0" w:color="auto"/>
        <w:bottom w:val="none" w:sz="0" w:space="0" w:color="auto"/>
        <w:right w:val="none" w:sz="0" w:space="0" w:color="auto"/>
      </w:divBdr>
    </w:div>
    <w:div w:id="352608841">
      <w:bodyDiv w:val="1"/>
      <w:marLeft w:val="0"/>
      <w:marRight w:val="0"/>
      <w:marTop w:val="0"/>
      <w:marBottom w:val="0"/>
      <w:divBdr>
        <w:top w:val="none" w:sz="0" w:space="0" w:color="auto"/>
        <w:left w:val="none" w:sz="0" w:space="0" w:color="auto"/>
        <w:bottom w:val="none" w:sz="0" w:space="0" w:color="auto"/>
        <w:right w:val="none" w:sz="0" w:space="0" w:color="auto"/>
      </w:divBdr>
    </w:div>
    <w:div w:id="356467294">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58745444">
      <w:bodyDiv w:val="1"/>
      <w:marLeft w:val="0"/>
      <w:marRight w:val="0"/>
      <w:marTop w:val="0"/>
      <w:marBottom w:val="0"/>
      <w:divBdr>
        <w:top w:val="none" w:sz="0" w:space="0" w:color="auto"/>
        <w:left w:val="none" w:sz="0" w:space="0" w:color="auto"/>
        <w:bottom w:val="none" w:sz="0" w:space="0" w:color="auto"/>
        <w:right w:val="none" w:sz="0" w:space="0" w:color="auto"/>
      </w:divBdr>
    </w:div>
    <w:div w:id="360280254">
      <w:bodyDiv w:val="1"/>
      <w:marLeft w:val="0"/>
      <w:marRight w:val="0"/>
      <w:marTop w:val="0"/>
      <w:marBottom w:val="0"/>
      <w:divBdr>
        <w:top w:val="none" w:sz="0" w:space="0" w:color="auto"/>
        <w:left w:val="none" w:sz="0" w:space="0" w:color="auto"/>
        <w:bottom w:val="none" w:sz="0" w:space="0" w:color="auto"/>
        <w:right w:val="none" w:sz="0" w:space="0" w:color="auto"/>
      </w:divBdr>
    </w:div>
    <w:div w:id="360521659">
      <w:bodyDiv w:val="1"/>
      <w:marLeft w:val="0"/>
      <w:marRight w:val="0"/>
      <w:marTop w:val="0"/>
      <w:marBottom w:val="0"/>
      <w:divBdr>
        <w:top w:val="none" w:sz="0" w:space="0" w:color="auto"/>
        <w:left w:val="none" w:sz="0" w:space="0" w:color="auto"/>
        <w:bottom w:val="none" w:sz="0" w:space="0" w:color="auto"/>
        <w:right w:val="none" w:sz="0" w:space="0" w:color="auto"/>
      </w:divBdr>
    </w:div>
    <w:div w:id="360590681">
      <w:bodyDiv w:val="1"/>
      <w:marLeft w:val="0"/>
      <w:marRight w:val="0"/>
      <w:marTop w:val="0"/>
      <w:marBottom w:val="0"/>
      <w:divBdr>
        <w:top w:val="none" w:sz="0" w:space="0" w:color="auto"/>
        <w:left w:val="none" w:sz="0" w:space="0" w:color="auto"/>
        <w:bottom w:val="none" w:sz="0" w:space="0" w:color="auto"/>
        <w:right w:val="none" w:sz="0" w:space="0" w:color="auto"/>
      </w:divBdr>
    </w:div>
    <w:div w:id="361591809">
      <w:bodyDiv w:val="1"/>
      <w:marLeft w:val="0"/>
      <w:marRight w:val="0"/>
      <w:marTop w:val="0"/>
      <w:marBottom w:val="0"/>
      <w:divBdr>
        <w:top w:val="none" w:sz="0" w:space="0" w:color="auto"/>
        <w:left w:val="none" w:sz="0" w:space="0" w:color="auto"/>
        <w:bottom w:val="none" w:sz="0" w:space="0" w:color="auto"/>
        <w:right w:val="none" w:sz="0" w:space="0" w:color="auto"/>
      </w:divBdr>
    </w:div>
    <w:div w:id="361714368">
      <w:bodyDiv w:val="1"/>
      <w:marLeft w:val="0"/>
      <w:marRight w:val="0"/>
      <w:marTop w:val="0"/>
      <w:marBottom w:val="0"/>
      <w:divBdr>
        <w:top w:val="none" w:sz="0" w:space="0" w:color="auto"/>
        <w:left w:val="none" w:sz="0" w:space="0" w:color="auto"/>
        <w:bottom w:val="none" w:sz="0" w:space="0" w:color="auto"/>
        <w:right w:val="none" w:sz="0" w:space="0" w:color="auto"/>
      </w:divBdr>
    </w:div>
    <w:div w:id="364721152">
      <w:bodyDiv w:val="1"/>
      <w:marLeft w:val="0"/>
      <w:marRight w:val="0"/>
      <w:marTop w:val="0"/>
      <w:marBottom w:val="0"/>
      <w:divBdr>
        <w:top w:val="none" w:sz="0" w:space="0" w:color="auto"/>
        <w:left w:val="none" w:sz="0" w:space="0" w:color="auto"/>
        <w:bottom w:val="none" w:sz="0" w:space="0" w:color="auto"/>
        <w:right w:val="none" w:sz="0" w:space="0" w:color="auto"/>
      </w:divBdr>
    </w:div>
    <w:div w:id="365067010">
      <w:bodyDiv w:val="1"/>
      <w:marLeft w:val="0"/>
      <w:marRight w:val="0"/>
      <w:marTop w:val="0"/>
      <w:marBottom w:val="0"/>
      <w:divBdr>
        <w:top w:val="none" w:sz="0" w:space="0" w:color="auto"/>
        <w:left w:val="none" w:sz="0" w:space="0" w:color="auto"/>
        <w:bottom w:val="none" w:sz="0" w:space="0" w:color="auto"/>
        <w:right w:val="none" w:sz="0" w:space="0" w:color="auto"/>
      </w:divBdr>
    </w:div>
    <w:div w:id="367222497">
      <w:bodyDiv w:val="1"/>
      <w:marLeft w:val="0"/>
      <w:marRight w:val="0"/>
      <w:marTop w:val="0"/>
      <w:marBottom w:val="0"/>
      <w:divBdr>
        <w:top w:val="none" w:sz="0" w:space="0" w:color="auto"/>
        <w:left w:val="none" w:sz="0" w:space="0" w:color="auto"/>
        <w:bottom w:val="none" w:sz="0" w:space="0" w:color="auto"/>
        <w:right w:val="none" w:sz="0" w:space="0" w:color="auto"/>
      </w:divBdr>
    </w:div>
    <w:div w:id="367805430">
      <w:bodyDiv w:val="1"/>
      <w:marLeft w:val="0"/>
      <w:marRight w:val="0"/>
      <w:marTop w:val="0"/>
      <w:marBottom w:val="0"/>
      <w:divBdr>
        <w:top w:val="none" w:sz="0" w:space="0" w:color="auto"/>
        <w:left w:val="none" w:sz="0" w:space="0" w:color="auto"/>
        <w:bottom w:val="none" w:sz="0" w:space="0" w:color="auto"/>
        <w:right w:val="none" w:sz="0" w:space="0" w:color="auto"/>
      </w:divBdr>
    </w:div>
    <w:div w:id="371155331">
      <w:bodyDiv w:val="1"/>
      <w:marLeft w:val="0"/>
      <w:marRight w:val="0"/>
      <w:marTop w:val="0"/>
      <w:marBottom w:val="0"/>
      <w:divBdr>
        <w:top w:val="none" w:sz="0" w:space="0" w:color="auto"/>
        <w:left w:val="none" w:sz="0" w:space="0" w:color="auto"/>
        <w:bottom w:val="none" w:sz="0" w:space="0" w:color="auto"/>
        <w:right w:val="none" w:sz="0" w:space="0" w:color="auto"/>
      </w:divBdr>
    </w:div>
    <w:div w:id="371610048">
      <w:bodyDiv w:val="1"/>
      <w:marLeft w:val="0"/>
      <w:marRight w:val="0"/>
      <w:marTop w:val="0"/>
      <w:marBottom w:val="0"/>
      <w:divBdr>
        <w:top w:val="none" w:sz="0" w:space="0" w:color="auto"/>
        <w:left w:val="none" w:sz="0" w:space="0" w:color="auto"/>
        <w:bottom w:val="none" w:sz="0" w:space="0" w:color="auto"/>
        <w:right w:val="none" w:sz="0" w:space="0" w:color="auto"/>
      </w:divBdr>
    </w:div>
    <w:div w:id="372123974">
      <w:bodyDiv w:val="1"/>
      <w:marLeft w:val="0"/>
      <w:marRight w:val="0"/>
      <w:marTop w:val="0"/>
      <w:marBottom w:val="0"/>
      <w:divBdr>
        <w:top w:val="none" w:sz="0" w:space="0" w:color="auto"/>
        <w:left w:val="none" w:sz="0" w:space="0" w:color="auto"/>
        <w:bottom w:val="none" w:sz="0" w:space="0" w:color="auto"/>
        <w:right w:val="none" w:sz="0" w:space="0" w:color="auto"/>
      </w:divBdr>
    </w:div>
    <w:div w:id="373233489">
      <w:bodyDiv w:val="1"/>
      <w:marLeft w:val="0"/>
      <w:marRight w:val="0"/>
      <w:marTop w:val="0"/>
      <w:marBottom w:val="0"/>
      <w:divBdr>
        <w:top w:val="none" w:sz="0" w:space="0" w:color="auto"/>
        <w:left w:val="none" w:sz="0" w:space="0" w:color="auto"/>
        <w:bottom w:val="none" w:sz="0" w:space="0" w:color="auto"/>
        <w:right w:val="none" w:sz="0" w:space="0" w:color="auto"/>
      </w:divBdr>
    </w:div>
    <w:div w:id="377946154">
      <w:bodyDiv w:val="1"/>
      <w:marLeft w:val="0"/>
      <w:marRight w:val="0"/>
      <w:marTop w:val="0"/>
      <w:marBottom w:val="0"/>
      <w:divBdr>
        <w:top w:val="none" w:sz="0" w:space="0" w:color="auto"/>
        <w:left w:val="none" w:sz="0" w:space="0" w:color="auto"/>
        <w:bottom w:val="none" w:sz="0" w:space="0" w:color="auto"/>
        <w:right w:val="none" w:sz="0" w:space="0" w:color="auto"/>
      </w:divBdr>
    </w:div>
    <w:div w:id="379591693">
      <w:bodyDiv w:val="1"/>
      <w:marLeft w:val="0"/>
      <w:marRight w:val="0"/>
      <w:marTop w:val="0"/>
      <w:marBottom w:val="0"/>
      <w:divBdr>
        <w:top w:val="none" w:sz="0" w:space="0" w:color="auto"/>
        <w:left w:val="none" w:sz="0" w:space="0" w:color="auto"/>
        <w:bottom w:val="none" w:sz="0" w:space="0" w:color="auto"/>
        <w:right w:val="none" w:sz="0" w:space="0" w:color="auto"/>
      </w:divBdr>
    </w:div>
    <w:div w:id="383068687">
      <w:bodyDiv w:val="1"/>
      <w:marLeft w:val="0"/>
      <w:marRight w:val="0"/>
      <w:marTop w:val="0"/>
      <w:marBottom w:val="0"/>
      <w:divBdr>
        <w:top w:val="none" w:sz="0" w:space="0" w:color="auto"/>
        <w:left w:val="none" w:sz="0" w:space="0" w:color="auto"/>
        <w:bottom w:val="none" w:sz="0" w:space="0" w:color="auto"/>
        <w:right w:val="none" w:sz="0" w:space="0" w:color="auto"/>
      </w:divBdr>
    </w:div>
    <w:div w:id="393243639">
      <w:bodyDiv w:val="1"/>
      <w:marLeft w:val="0"/>
      <w:marRight w:val="0"/>
      <w:marTop w:val="0"/>
      <w:marBottom w:val="0"/>
      <w:divBdr>
        <w:top w:val="none" w:sz="0" w:space="0" w:color="auto"/>
        <w:left w:val="none" w:sz="0" w:space="0" w:color="auto"/>
        <w:bottom w:val="none" w:sz="0" w:space="0" w:color="auto"/>
        <w:right w:val="none" w:sz="0" w:space="0" w:color="auto"/>
      </w:divBdr>
    </w:div>
    <w:div w:id="399864164">
      <w:bodyDiv w:val="1"/>
      <w:marLeft w:val="0"/>
      <w:marRight w:val="0"/>
      <w:marTop w:val="0"/>
      <w:marBottom w:val="0"/>
      <w:divBdr>
        <w:top w:val="none" w:sz="0" w:space="0" w:color="auto"/>
        <w:left w:val="none" w:sz="0" w:space="0" w:color="auto"/>
        <w:bottom w:val="none" w:sz="0" w:space="0" w:color="auto"/>
        <w:right w:val="none" w:sz="0" w:space="0" w:color="auto"/>
      </w:divBdr>
    </w:div>
    <w:div w:id="402609215">
      <w:bodyDiv w:val="1"/>
      <w:marLeft w:val="0"/>
      <w:marRight w:val="0"/>
      <w:marTop w:val="0"/>
      <w:marBottom w:val="0"/>
      <w:divBdr>
        <w:top w:val="none" w:sz="0" w:space="0" w:color="auto"/>
        <w:left w:val="none" w:sz="0" w:space="0" w:color="auto"/>
        <w:bottom w:val="none" w:sz="0" w:space="0" w:color="auto"/>
        <w:right w:val="none" w:sz="0" w:space="0" w:color="auto"/>
      </w:divBdr>
    </w:div>
    <w:div w:id="405996855">
      <w:bodyDiv w:val="1"/>
      <w:marLeft w:val="0"/>
      <w:marRight w:val="0"/>
      <w:marTop w:val="0"/>
      <w:marBottom w:val="0"/>
      <w:divBdr>
        <w:top w:val="none" w:sz="0" w:space="0" w:color="auto"/>
        <w:left w:val="none" w:sz="0" w:space="0" w:color="auto"/>
        <w:bottom w:val="none" w:sz="0" w:space="0" w:color="auto"/>
        <w:right w:val="none" w:sz="0" w:space="0" w:color="auto"/>
      </w:divBdr>
    </w:div>
    <w:div w:id="411396700">
      <w:bodyDiv w:val="1"/>
      <w:marLeft w:val="0"/>
      <w:marRight w:val="0"/>
      <w:marTop w:val="0"/>
      <w:marBottom w:val="0"/>
      <w:divBdr>
        <w:top w:val="none" w:sz="0" w:space="0" w:color="auto"/>
        <w:left w:val="none" w:sz="0" w:space="0" w:color="auto"/>
        <w:bottom w:val="none" w:sz="0" w:space="0" w:color="auto"/>
        <w:right w:val="none" w:sz="0" w:space="0" w:color="auto"/>
      </w:divBdr>
    </w:div>
    <w:div w:id="415636366">
      <w:bodyDiv w:val="1"/>
      <w:marLeft w:val="0"/>
      <w:marRight w:val="0"/>
      <w:marTop w:val="0"/>
      <w:marBottom w:val="0"/>
      <w:divBdr>
        <w:top w:val="none" w:sz="0" w:space="0" w:color="auto"/>
        <w:left w:val="none" w:sz="0" w:space="0" w:color="auto"/>
        <w:bottom w:val="none" w:sz="0" w:space="0" w:color="auto"/>
        <w:right w:val="none" w:sz="0" w:space="0" w:color="auto"/>
      </w:divBdr>
    </w:div>
    <w:div w:id="416025893">
      <w:bodyDiv w:val="1"/>
      <w:marLeft w:val="0"/>
      <w:marRight w:val="0"/>
      <w:marTop w:val="0"/>
      <w:marBottom w:val="0"/>
      <w:divBdr>
        <w:top w:val="none" w:sz="0" w:space="0" w:color="auto"/>
        <w:left w:val="none" w:sz="0" w:space="0" w:color="auto"/>
        <w:bottom w:val="none" w:sz="0" w:space="0" w:color="auto"/>
        <w:right w:val="none" w:sz="0" w:space="0" w:color="auto"/>
      </w:divBdr>
    </w:div>
    <w:div w:id="417554806">
      <w:bodyDiv w:val="1"/>
      <w:marLeft w:val="0"/>
      <w:marRight w:val="0"/>
      <w:marTop w:val="0"/>
      <w:marBottom w:val="0"/>
      <w:divBdr>
        <w:top w:val="none" w:sz="0" w:space="0" w:color="auto"/>
        <w:left w:val="none" w:sz="0" w:space="0" w:color="auto"/>
        <w:bottom w:val="none" w:sz="0" w:space="0" w:color="auto"/>
        <w:right w:val="none" w:sz="0" w:space="0" w:color="auto"/>
      </w:divBdr>
    </w:div>
    <w:div w:id="424227162">
      <w:bodyDiv w:val="1"/>
      <w:marLeft w:val="0"/>
      <w:marRight w:val="0"/>
      <w:marTop w:val="0"/>
      <w:marBottom w:val="0"/>
      <w:divBdr>
        <w:top w:val="none" w:sz="0" w:space="0" w:color="auto"/>
        <w:left w:val="none" w:sz="0" w:space="0" w:color="auto"/>
        <w:bottom w:val="none" w:sz="0" w:space="0" w:color="auto"/>
        <w:right w:val="none" w:sz="0" w:space="0" w:color="auto"/>
      </w:divBdr>
    </w:div>
    <w:div w:id="424502352">
      <w:bodyDiv w:val="1"/>
      <w:marLeft w:val="0"/>
      <w:marRight w:val="0"/>
      <w:marTop w:val="0"/>
      <w:marBottom w:val="0"/>
      <w:divBdr>
        <w:top w:val="none" w:sz="0" w:space="0" w:color="auto"/>
        <w:left w:val="none" w:sz="0" w:space="0" w:color="auto"/>
        <w:bottom w:val="none" w:sz="0" w:space="0" w:color="auto"/>
        <w:right w:val="none" w:sz="0" w:space="0" w:color="auto"/>
      </w:divBdr>
    </w:div>
    <w:div w:id="426275731">
      <w:bodyDiv w:val="1"/>
      <w:marLeft w:val="0"/>
      <w:marRight w:val="0"/>
      <w:marTop w:val="0"/>
      <w:marBottom w:val="0"/>
      <w:divBdr>
        <w:top w:val="none" w:sz="0" w:space="0" w:color="auto"/>
        <w:left w:val="none" w:sz="0" w:space="0" w:color="auto"/>
        <w:bottom w:val="none" w:sz="0" w:space="0" w:color="auto"/>
        <w:right w:val="none" w:sz="0" w:space="0" w:color="auto"/>
      </w:divBdr>
    </w:div>
    <w:div w:id="430510740">
      <w:bodyDiv w:val="1"/>
      <w:marLeft w:val="0"/>
      <w:marRight w:val="0"/>
      <w:marTop w:val="0"/>
      <w:marBottom w:val="0"/>
      <w:divBdr>
        <w:top w:val="none" w:sz="0" w:space="0" w:color="auto"/>
        <w:left w:val="none" w:sz="0" w:space="0" w:color="auto"/>
        <w:bottom w:val="none" w:sz="0" w:space="0" w:color="auto"/>
        <w:right w:val="none" w:sz="0" w:space="0" w:color="auto"/>
      </w:divBdr>
    </w:div>
    <w:div w:id="436945587">
      <w:bodyDiv w:val="1"/>
      <w:marLeft w:val="0"/>
      <w:marRight w:val="0"/>
      <w:marTop w:val="0"/>
      <w:marBottom w:val="0"/>
      <w:divBdr>
        <w:top w:val="none" w:sz="0" w:space="0" w:color="auto"/>
        <w:left w:val="none" w:sz="0" w:space="0" w:color="auto"/>
        <w:bottom w:val="none" w:sz="0" w:space="0" w:color="auto"/>
        <w:right w:val="none" w:sz="0" w:space="0" w:color="auto"/>
      </w:divBdr>
    </w:div>
    <w:div w:id="437674921">
      <w:bodyDiv w:val="1"/>
      <w:marLeft w:val="0"/>
      <w:marRight w:val="0"/>
      <w:marTop w:val="0"/>
      <w:marBottom w:val="0"/>
      <w:divBdr>
        <w:top w:val="none" w:sz="0" w:space="0" w:color="auto"/>
        <w:left w:val="none" w:sz="0" w:space="0" w:color="auto"/>
        <w:bottom w:val="none" w:sz="0" w:space="0" w:color="auto"/>
        <w:right w:val="none" w:sz="0" w:space="0" w:color="auto"/>
      </w:divBdr>
    </w:div>
    <w:div w:id="440950619">
      <w:bodyDiv w:val="1"/>
      <w:marLeft w:val="0"/>
      <w:marRight w:val="0"/>
      <w:marTop w:val="0"/>
      <w:marBottom w:val="0"/>
      <w:divBdr>
        <w:top w:val="none" w:sz="0" w:space="0" w:color="auto"/>
        <w:left w:val="none" w:sz="0" w:space="0" w:color="auto"/>
        <w:bottom w:val="none" w:sz="0" w:space="0" w:color="auto"/>
        <w:right w:val="none" w:sz="0" w:space="0" w:color="auto"/>
      </w:divBdr>
    </w:div>
    <w:div w:id="441344150">
      <w:bodyDiv w:val="1"/>
      <w:marLeft w:val="0"/>
      <w:marRight w:val="0"/>
      <w:marTop w:val="0"/>
      <w:marBottom w:val="0"/>
      <w:divBdr>
        <w:top w:val="none" w:sz="0" w:space="0" w:color="auto"/>
        <w:left w:val="none" w:sz="0" w:space="0" w:color="auto"/>
        <w:bottom w:val="none" w:sz="0" w:space="0" w:color="auto"/>
        <w:right w:val="none" w:sz="0" w:space="0" w:color="auto"/>
      </w:divBdr>
    </w:div>
    <w:div w:id="445662206">
      <w:bodyDiv w:val="1"/>
      <w:marLeft w:val="0"/>
      <w:marRight w:val="0"/>
      <w:marTop w:val="0"/>
      <w:marBottom w:val="0"/>
      <w:divBdr>
        <w:top w:val="none" w:sz="0" w:space="0" w:color="auto"/>
        <w:left w:val="none" w:sz="0" w:space="0" w:color="auto"/>
        <w:bottom w:val="none" w:sz="0" w:space="0" w:color="auto"/>
        <w:right w:val="none" w:sz="0" w:space="0" w:color="auto"/>
      </w:divBdr>
    </w:div>
    <w:div w:id="450242829">
      <w:bodyDiv w:val="1"/>
      <w:marLeft w:val="0"/>
      <w:marRight w:val="0"/>
      <w:marTop w:val="0"/>
      <w:marBottom w:val="0"/>
      <w:divBdr>
        <w:top w:val="none" w:sz="0" w:space="0" w:color="auto"/>
        <w:left w:val="none" w:sz="0" w:space="0" w:color="auto"/>
        <w:bottom w:val="none" w:sz="0" w:space="0" w:color="auto"/>
        <w:right w:val="none" w:sz="0" w:space="0" w:color="auto"/>
      </w:divBdr>
    </w:div>
    <w:div w:id="459496605">
      <w:bodyDiv w:val="1"/>
      <w:marLeft w:val="0"/>
      <w:marRight w:val="0"/>
      <w:marTop w:val="0"/>
      <w:marBottom w:val="0"/>
      <w:divBdr>
        <w:top w:val="none" w:sz="0" w:space="0" w:color="auto"/>
        <w:left w:val="none" w:sz="0" w:space="0" w:color="auto"/>
        <w:bottom w:val="none" w:sz="0" w:space="0" w:color="auto"/>
        <w:right w:val="none" w:sz="0" w:space="0" w:color="auto"/>
      </w:divBdr>
    </w:div>
    <w:div w:id="460617362">
      <w:bodyDiv w:val="1"/>
      <w:marLeft w:val="0"/>
      <w:marRight w:val="0"/>
      <w:marTop w:val="0"/>
      <w:marBottom w:val="0"/>
      <w:divBdr>
        <w:top w:val="none" w:sz="0" w:space="0" w:color="auto"/>
        <w:left w:val="none" w:sz="0" w:space="0" w:color="auto"/>
        <w:bottom w:val="none" w:sz="0" w:space="0" w:color="auto"/>
        <w:right w:val="none" w:sz="0" w:space="0" w:color="auto"/>
      </w:divBdr>
    </w:div>
    <w:div w:id="464280777">
      <w:bodyDiv w:val="1"/>
      <w:marLeft w:val="0"/>
      <w:marRight w:val="0"/>
      <w:marTop w:val="0"/>
      <w:marBottom w:val="0"/>
      <w:divBdr>
        <w:top w:val="none" w:sz="0" w:space="0" w:color="auto"/>
        <w:left w:val="none" w:sz="0" w:space="0" w:color="auto"/>
        <w:bottom w:val="none" w:sz="0" w:space="0" w:color="auto"/>
        <w:right w:val="none" w:sz="0" w:space="0" w:color="auto"/>
      </w:divBdr>
    </w:div>
    <w:div w:id="467478205">
      <w:bodyDiv w:val="1"/>
      <w:marLeft w:val="0"/>
      <w:marRight w:val="0"/>
      <w:marTop w:val="0"/>
      <w:marBottom w:val="0"/>
      <w:divBdr>
        <w:top w:val="none" w:sz="0" w:space="0" w:color="auto"/>
        <w:left w:val="none" w:sz="0" w:space="0" w:color="auto"/>
        <w:bottom w:val="none" w:sz="0" w:space="0" w:color="auto"/>
        <w:right w:val="none" w:sz="0" w:space="0" w:color="auto"/>
      </w:divBdr>
    </w:div>
    <w:div w:id="467817517">
      <w:bodyDiv w:val="1"/>
      <w:marLeft w:val="0"/>
      <w:marRight w:val="0"/>
      <w:marTop w:val="0"/>
      <w:marBottom w:val="0"/>
      <w:divBdr>
        <w:top w:val="none" w:sz="0" w:space="0" w:color="auto"/>
        <w:left w:val="none" w:sz="0" w:space="0" w:color="auto"/>
        <w:bottom w:val="none" w:sz="0" w:space="0" w:color="auto"/>
        <w:right w:val="none" w:sz="0" w:space="0" w:color="auto"/>
      </w:divBdr>
    </w:div>
    <w:div w:id="472453702">
      <w:bodyDiv w:val="1"/>
      <w:marLeft w:val="0"/>
      <w:marRight w:val="0"/>
      <w:marTop w:val="0"/>
      <w:marBottom w:val="0"/>
      <w:divBdr>
        <w:top w:val="none" w:sz="0" w:space="0" w:color="auto"/>
        <w:left w:val="none" w:sz="0" w:space="0" w:color="auto"/>
        <w:bottom w:val="none" w:sz="0" w:space="0" w:color="auto"/>
        <w:right w:val="none" w:sz="0" w:space="0" w:color="auto"/>
      </w:divBdr>
    </w:div>
    <w:div w:id="472794160">
      <w:bodyDiv w:val="1"/>
      <w:marLeft w:val="0"/>
      <w:marRight w:val="0"/>
      <w:marTop w:val="0"/>
      <w:marBottom w:val="0"/>
      <w:divBdr>
        <w:top w:val="none" w:sz="0" w:space="0" w:color="auto"/>
        <w:left w:val="none" w:sz="0" w:space="0" w:color="auto"/>
        <w:bottom w:val="none" w:sz="0" w:space="0" w:color="auto"/>
        <w:right w:val="none" w:sz="0" w:space="0" w:color="auto"/>
      </w:divBdr>
    </w:div>
    <w:div w:id="472798796">
      <w:bodyDiv w:val="1"/>
      <w:marLeft w:val="0"/>
      <w:marRight w:val="0"/>
      <w:marTop w:val="0"/>
      <w:marBottom w:val="0"/>
      <w:divBdr>
        <w:top w:val="none" w:sz="0" w:space="0" w:color="auto"/>
        <w:left w:val="none" w:sz="0" w:space="0" w:color="auto"/>
        <w:bottom w:val="none" w:sz="0" w:space="0" w:color="auto"/>
        <w:right w:val="none" w:sz="0" w:space="0" w:color="auto"/>
      </w:divBdr>
    </w:div>
    <w:div w:id="476075678">
      <w:bodyDiv w:val="1"/>
      <w:marLeft w:val="0"/>
      <w:marRight w:val="0"/>
      <w:marTop w:val="0"/>
      <w:marBottom w:val="0"/>
      <w:divBdr>
        <w:top w:val="none" w:sz="0" w:space="0" w:color="auto"/>
        <w:left w:val="none" w:sz="0" w:space="0" w:color="auto"/>
        <w:bottom w:val="none" w:sz="0" w:space="0" w:color="auto"/>
        <w:right w:val="none" w:sz="0" w:space="0" w:color="auto"/>
      </w:divBdr>
    </w:div>
    <w:div w:id="483203602">
      <w:bodyDiv w:val="1"/>
      <w:marLeft w:val="0"/>
      <w:marRight w:val="0"/>
      <w:marTop w:val="0"/>
      <w:marBottom w:val="0"/>
      <w:divBdr>
        <w:top w:val="none" w:sz="0" w:space="0" w:color="auto"/>
        <w:left w:val="none" w:sz="0" w:space="0" w:color="auto"/>
        <w:bottom w:val="none" w:sz="0" w:space="0" w:color="auto"/>
        <w:right w:val="none" w:sz="0" w:space="0" w:color="auto"/>
      </w:divBdr>
    </w:div>
    <w:div w:id="484247512">
      <w:bodyDiv w:val="1"/>
      <w:marLeft w:val="0"/>
      <w:marRight w:val="0"/>
      <w:marTop w:val="0"/>
      <w:marBottom w:val="0"/>
      <w:divBdr>
        <w:top w:val="none" w:sz="0" w:space="0" w:color="auto"/>
        <w:left w:val="none" w:sz="0" w:space="0" w:color="auto"/>
        <w:bottom w:val="none" w:sz="0" w:space="0" w:color="auto"/>
        <w:right w:val="none" w:sz="0" w:space="0" w:color="auto"/>
      </w:divBdr>
    </w:div>
    <w:div w:id="491605089">
      <w:bodyDiv w:val="1"/>
      <w:marLeft w:val="0"/>
      <w:marRight w:val="0"/>
      <w:marTop w:val="0"/>
      <w:marBottom w:val="0"/>
      <w:divBdr>
        <w:top w:val="none" w:sz="0" w:space="0" w:color="auto"/>
        <w:left w:val="none" w:sz="0" w:space="0" w:color="auto"/>
        <w:bottom w:val="none" w:sz="0" w:space="0" w:color="auto"/>
        <w:right w:val="none" w:sz="0" w:space="0" w:color="auto"/>
      </w:divBdr>
    </w:div>
    <w:div w:id="493036713">
      <w:bodyDiv w:val="1"/>
      <w:marLeft w:val="0"/>
      <w:marRight w:val="0"/>
      <w:marTop w:val="0"/>
      <w:marBottom w:val="0"/>
      <w:divBdr>
        <w:top w:val="none" w:sz="0" w:space="0" w:color="auto"/>
        <w:left w:val="none" w:sz="0" w:space="0" w:color="auto"/>
        <w:bottom w:val="none" w:sz="0" w:space="0" w:color="auto"/>
        <w:right w:val="none" w:sz="0" w:space="0" w:color="auto"/>
      </w:divBdr>
    </w:div>
    <w:div w:id="494684982">
      <w:bodyDiv w:val="1"/>
      <w:marLeft w:val="0"/>
      <w:marRight w:val="0"/>
      <w:marTop w:val="0"/>
      <w:marBottom w:val="0"/>
      <w:divBdr>
        <w:top w:val="none" w:sz="0" w:space="0" w:color="auto"/>
        <w:left w:val="none" w:sz="0" w:space="0" w:color="auto"/>
        <w:bottom w:val="none" w:sz="0" w:space="0" w:color="auto"/>
        <w:right w:val="none" w:sz="0" w:space="0" w:color="auto"/>
      </w:divBdr>
    </w:div>
    <w:div w:id="498467060">
      <w:bodyDiv w:val="1"/>
      <w:marLeft w:val="0"/>
      <w:marRight w:val="0"/>
      <w:marTop w:val="0"/>
      <w:marBottom w:val="0"/>
      <w:divBdr>
        <w:top w:val="none" w:sz="0" w:space="0" w:color="auto"/>
        <w:left w:val="none" w:sz="0" w:space="0" w:color="auto"/>
        <w:bottom w:val="none" w:sz="0" w:space="0" w:color="auto"/>
        <w:right w:val="none" w:sz="0" w:space="0" w:color="auto"/>
      </w:divBdr>
    </w:div>
    <w:div w:id="499656518">
      <w:bodyDiv w:val="1"/>
      <w:marLeft w:val="0"/>
      <w:marRight w:val="0"/>
      <w:marTop w:val="0"/>
      <w:marBottom w:val="0"/>
      <w:divBdr>
        <w:top w:val="none" w:sz="0" w:space="0" w:color="auto"/>
        <w:left w:val="none" w:sz="0" w:space="0" w:color="auto"/>
        <w:bottom w:val="none" w:sz="0" w:space="0" w:color="auto"/>
        <w:right w:val="none" w:sz="0" w:space="0" w:color="auto"/>
      </w:divBdr>
    </w:div>
    <w:div w:id="499780835">
      <w:bodyDiv w:val="1"/>
      <w:marLeft w:val="0"/>
      <w:marRight w:val="0"/>
      <w:marTop w:val="0"/>
      <w:marBottom w:val="0"/>
      <w:divBdr>
        <w:top w:val="none" w:sz="0" w:space="0" w:color="auto"/>
        <w:left w:val="none" w:sz="0" w:space="0" w:color="auto"/>
        <w:bottom w:val="none" w:sz="0" w:space="0" w:color="auto"/>
        <w:right w:val="none" w:sz="0" w:space="0" w:color="auto"/>
      </w:divBdr>
    </w:div>
    <w:div w:id="503325980">
      <w:bodyDiv w:val="1"/>
      <w:marLeft w:val="0"/>
      <w:marRight w:val="0"/>
      <w:marTop w:val="0"/>
      <w:marBottom w:val="0"/>
      <w:divBdr>
        <w:top w:val="none" w:sz="0" w:space="0" w:color="auto"/>
        <w:left w:val="none" w:sz="0" w:space="0" w:color="auto"/>
        <w:bottom w:val="none" w:sz="0" w:space="0" w:color="auto"/>
        <w:right w:val="none" w:sz="0" w:space="0" w:color="auto"/>
      </w:divBdr>
    </w:div>
    <w:div w:id="507870559">
      <w:bodyDiv w:val="1"/>
      <w:marLeft w:val="0"/>
      <w:marRight w:val="0"/>
      <w:marTop w:val="0"/>
      <w:marBottom w:val="0"/>
      <w:divBdr>
        <w:top w:val="none" w:sz="0" w:space="0" w:color="auto"/>
        <w:left w:val="none" w:sz="0" w:space="0" w:color="auto"/>
        <w:bottom w:val="none" w:sz="0" w:space="0" w:color="auto"/>
        <w:right w:val="none" w:sz="0" w:space="0" w:color="auto"/>
      </w:divBdr>
    </w:div>
    <w:div w:id="509567198">
      <w:bodyDiv w:val="1"/>
      <w:marLeft w:val="0"/>
      <w:marRight w:val="0"/>
      <w:marTop w:val="0"/>
      <w:marBottom w:val="0"/>
      <w:divBdr>
        <w:top w:val="none" w:sz="0" w:space="0" w:color="auto"/>
        <w:left w:val="none" w:sz="0" w:space="0" w:color="auto"/>
        <w:bottom w:val="none" w:sz="0" w:space="0" w:color="auto"/>
        <w:right w:val="none" w:sz="0" w:space="0" w:color="auto"/>
      </w:divBdr>
    </w:div>
    <w:div w:id="511652804">
      <w:bodyDiv w:val="1"/>
      <w:marLeft w:val="0"/>
      <w:marRight w:val="0"/>
      <w:marTop w:val="0"/>
      <w:marBottom w:val="0"/>
      <w:divBdr>
        <w:top w:val="none" w:sz="0" w:space="0" w:color="auto"/>
        <w:left w:val="none" w:sz="0" w:space="0" w:color="auto"/>
        <w:bottom w:val="none" w:sz="0" w:space="0" w:color="auto"/>
        <w:right w:val="none" w:sz="0" w:space="0" w:color="auto"/>
      </w:divBdr>
    </w:div>
    <w:div w:id="522673521">
      <w:bodyDiv w:val="1"/>
      <w:marLeft w:val="0"/>
      <w:marRight w:val="0"/>
      <w:marTop w:val="0"/>
      <w:marBottom w:val="0"/>
      <w:divBdr>
        <w:top w:val="none" w:sz="0" w:space="0" w:color="auto"/>
        <w:left w:val="none" w:sz="0" w:space="0" w:color="auto"/>
        <w:bottom w:val="none" w:sz="0" w:space="0" w:color="auto"/>
        <w:right w:val="none" w:sz="0" w:space="0" w:color="auto"/>
      </w:divBdr>
    </w:div>
    <w:div w:id="522743492">
      <w:bodyDiv w:val="1"/>
      <w:marLeft w:val="0"/>
      <w:marRight w:val="0"/>
      <w:marTop w:val="0"/>
      <w:marBottom w:val="0"/>
      <w:divBdr>
        <w:top w:val="none" w:sz="0" w:space="0" w:color="auto"/>
        <w:left w:val="none" w:sz="0" w:space="0" w:color="auto"/>
        <w:bottom w:val="none" w:sz="0" w:space="0" w:color="auto"/>
        <w:right w:val="none" w:sz="0" w:space="0" w:color="auto"/>
      </w:divBdr>
    </w:div>
    <w:div w:id="522868591">
      <w:bodyDiv w:val="1"/>
      <w:marLeft w:val="0"/>
      <w:marRight w:val="0"/>
      <w:marTop w:val="0"/>
      <w:marBottom w:val="0"/>
      <w:divBdr>
        <w:top w:val="none" w:sz="0" w:space="0" w:color="auto"/>
        <w:left w:val="none" w:sz="0" w:space="0" w:color="auto"/>
        <w:bottom w:val="none" w:sz="0" w:space="0" w:color="auto"/>
        <w:right w:val="none" w:sz="0" w:space="0" w:color="auto"/>
      </w:divBdr>
    </w:div>
    <w:div w:id="524758901">
      <w:bodyDiv w:val="1"/>
      <w:marLeft w:val="0"/>
      <w:marRight w:val="0"/>
      <w:marTop w:val="0"/>
      <w:marBottom w:val="0"/>
      <w:divBdr>
        <w:top w:val="none" w:sz="0" w:space="0" w:color="auto"/>
        <w:left w:val="none" w:sz="0" w:space="0" w:color="auto"/>
        <w:bottom w:val="none" w:sz="0" w:space="0" w:color="auto"/>
        <w:right w:val="none" w:sz="0" w:space="0" w:color="auto"/>
      </w:divBdr>
    </w:div>
    <w:div w:id="525481172">
      <w:bodyDiv w:val="1"/>
      <w:marLeft w:val="0"/>
      <w:marRight w:val="0"/>
      <w:marTop w:val="0"/>
      <w:marBottom w:val="0"/>
      <w:divBdr>
        <w:top w:val="none" w:sz="0" w:space="0" w:color="auto"/>
        <w:left w:val="none" w:sz="0" w:space="0" w:color="auto"/>
        <w:bottom w:val="none" w:sz="0" w:space="0" w:color="auto"/>
        <w:right w:val="none" w:sz="0" w:space="0" w:color="auto"/>
      </w:divBdr>
    </w:div>
    <w:div w:id="529270443">
      <w:bodyDiv w:val="1"/>
      <w:marLeft w:val="0"/>
      <w:marRight w:val="0"/>
      <w:marTop w:val="0"/>
      <w:marBottom w:val="0"/>
      <w:divBdr>
        <w:top w:val="none" w:sz="0" w:space="0" w:color="auto"/>
        <w:left w:val="none" w:sz="0" w:space="0" w:color="auto"/>
        <w:bottom w:val="none" w:sz="0" w:space="0" w:color="auto"/>
        <w:right w:val="none" w:sz="0" w:space="0" w:color="auto"/>
      </w:divBdr>
    </w:div>
    <w:div w:id="532883651">
      <w:bodyDiv w:val="1"/>
      <w:marLeft w:val="0"/>
      <w:marRight w:val="0"/>
      <w:marTop w:val="0"/>
      <w:marBottom w:val="0"/>
      <w:divBdr>
        <w:top w:val="none" w:sz="0" w:space="0" w:color="auto"/>
        <w:left w:val="none" w:sz="0" w:space="0" w:color="auto"/>
        <w:bottom w:val="none" w:sz="0" w:space="0" w:color="auto"/>
        <w:right w:val="none" w:sz="0" w:space="0" w:color="auto"/>
      </w:divBdr>
    </w:div>
    <w:div w:id="539243850">
      <w:bodyDiv w:val="1"/>
      <w:marLeft w:val="0"/>
      <w:marRight w:val="0"/>
      <w:marTop w:val="0"/>
      <w:marBottom w:val="0"/>
      <w:divBdr>
        <w:top w:val="none" w:sz="0" w:space="0" w:color="auto"/>
        <w:left w:val="none" w:sz="0" w:space="0" w:color="auto"/>
        <w:bottom w:val="none" w:sz="0" w:space="0" w:color="auto"/>
        <w:right w:val="none" w:sz="0" w:space="0" w:color="auto"/>
      </w:divBdr>
    </w:div>
    <w:div w:id="539711685">
      <w:bodyDiv w:val="1"/>
      <w:marLeft w:val="0"/>
      <w:marRight w:val="0"/>
      <w:marTop w:val="0"/>
      <w:marBottom w:val="0"/>
      <w:divBdr>
        <w:top w:val="none" w:sz="0" w:space="0" w:color="auto"/>
        <w:left w:val="none" w:sz="0" w:space="0" w:color="auto"/>
        <w:bottom w:val="none" w:sz="0" w:space="0" w:color="auto"/>
        <w:right w:val="none" w:sz="0" w:space="0" w:color="auto"/>
      </w:divBdr>
    </w:div>
    <w:div w:id="542909104">
      <w:bodyDiv w:val="1"/>
      <w:marLeft w:val="0"/>
      <w:marRight w:val="0"/>
      <w:marTop w:val="0"/>
      <w:marBottom w:val="0"/>
      <w:divBdr>
        <w:top w:val="none" w:sz="0" w:space="0" w:color="auto"/>
        <w:left w:val="none" w:sz="0" w:space="0" w:color="auto"/>
        <w:bottom w:val="none" w:sz="0" w:space="0" w:color="auto"/>
        <w:right w:val="none" w:sz="0" w:space="0" w:color="auto"/>
      </w:divBdr>
    </w:div>
    <w:div w:id="543297515">
      <w:bodyDiv w:val="1"/>
      <w:marLeft w:val="0"/>
      <w:marRight w:val="0"/>
      <w:marTop w:val="0"/>
      <w:marBottom w:val="0"/>
      <w:divBdr>
        <w:top w:val="none" w:sz="0" w:space="0" w:color="auto"/>
        <w:left w:val="none" w:sz="0" w:space="0" w:color="auto"/>
        <w:bottom w:val="none" w:sz="0" w:space="0" w:color="auto"/>
        <w:right w:val="none" w:sz="0" w:space="0" w:color="auto"/>
      </w:divBdr>
    </w:div>
    <w:div w:id="543365937">
      <w:bodyDiv w:val="1"/>
      <w:marLeft w:val="0"/>
      <w:marRight w:val="0"/>
      <w:marTop w:val="0"/>
      <w:marBottom w:val="0"/>
      <w:divBdr>
        <w:top w:val="none" w:sz="0" w:space="0" w:color="auto"/>
        <w:left w:val="none" w:sz="0" w:space="0" w:color="auto"/>
        <w:bottom w:val="none" w:sz="0" w:space="0" w:color="auto"/>
        <w:right w:val="none" w:sz="0" w:space="0" w:color="auto"/>
      </w:divBdr>
    </w:div>
    <w:div w:id="544829331">
      <w:bodyDiv w:val="1"/>
      <w:marLeft w:val="0"/>
      <w:marRight w:val="0"/>
      <w:marTop w:val="0"/>
      <w:marBottom w:val="0"/>
      <w:divBdr>
        <w:top w:val="none" w:sz="0" w:space="0" w:color="auto"/>
        <w:left w:val="none" w:sz="0" w:space="0" w:color="auto"/>
        <w:bottom w:val="none" w:sz="0" w:space="0" w:color="auto"/>
        <w:right w:val="none" w:sz="0" w:space="0" w:color="auto"/>
      </w:divBdr>
    </w:div>
    <w:div w:id="546181674">
      <w:bodyDiv w:val="1"/>
      <w:marLeft w:val="0"/>
      <w:marRight w:val="0"/>
      <w:marTop w:val="0"/>
      <w:marBottom w:val="0"/>
      <w:divBdr>
        <w:top w:val="none" w:sz="0" w:space="0" w:color="auto"/>
        <w:left w:val="none" w:sz="0" w:space="0" w:color="auto"/>
        <w:bottom w:val="none" w:sz="0" w:space="0" w:color="auto"/>
        <w:right w:val="none" w:sz="0" w:space="0" w:color="auto"/>
      </w:divBdr>
    </w:div>
    <w:div w:id="555510022">
      <w:bodyDiv w:val="1"/>
      <w:marLeft w:val="0"/>
      <w:marRight w:val="0"/>
      <w:marTop w:val="0"/>
      <w:marBottom w:val="0"/>
      <w:divBdr>
        <w:top w:val="none" w:sz="0" w:space="0" w:color="auto"/>
        <w:left w:val="none" w:sz="0" w:space="0" w:color="auto"/>
        <w:bottom w:val="none" w:sz="0" w:space="0" w:color="auto"/>
        <w:right w:val="none" w:sz="0" w:space="0" w:color="auto"/>
      </w:divBdr>
    </w:div>
    <w:div w:id="558326925">
      <w:bodyDiv w:val="1"/>
      <w:marLeft w:val="0"/>
      <w:marRight w:val="0"/>
      <w:marTop w:val="0"/>
      <w:marBottom w:val="0"/>
      <w:divBdr>
        <w:top w:val="none" w:sz="0" w:space="0" w:color="auto"/>
        <w:left w:val="none" w:sz="0" w:space="0" w:color="auto"/>
        <w:bottom w:val="none" w:sz="0" w:space="0" w:color="auto"/>
        <w:right w:val="none" w:sz="0" w:space="0" w:color="auto"/>
      </w:divBdr>
    </w:div>
    <w:div w:id="559366065">
      <w:bodyDiv w:val="1"/>
      <w:marLeft w:val="0"/>
      <w:marRight w:val="0"/>
      <w:marTop w:val="0"/>
      <w:marBottom w:val="0"/>
      <w:divBdr>
        <w:top w:val="none" w:sz="0" w:space="0" w:color="auto"/>
        <w:left w:val="none" w:sz="0" w:space="0" w:color="auto"/>
        <w:bottom w:val="none" w:sz="0" w:space="0" w:color="auto"/>
        <w:right w:val="none" w:sz="0" w:space="0" w:color="auto"/>
      </w:divBdr>
    </w:div>
    <w:div w:id="560025229">
      <w:bodyDiv w:val="1"/>
      <w:marLeft w:val="0"/>
      <w:marRight w:val="0"/>
      <w:marTop w:val="0"/>
      <w:marBottom w:val="0"/>
      <w:divBdr>
        <w:top w:val="none" w:sz="0" w:space="0" w:color="auto"/>
        <w:left w:val="none" w:sz="0" w:space="0" w:color="auto"/>
        <w:bottom w:val="none" w:sz="0" w:space="0" w:color="auto"/>
        <w:right w:val="none" w:sz="0" w:space="0" w:color="auto"/>
      </w:divBdr>
    </w:div>
    <w:div w:id="560482593">
      <w:bodyDiv w:val="1"/>
      <w:marLeft w:val="0"/>
      <w:marRight w:val="0"/>
      <w:marTop w:val="0"/>
      <w:marBottom w:val="0"/>
      <w:divBdr>
        <w:top w:val="none" w:sz="0" w:space="0" w:color="auto"/>
        <w:left w:val="none" w:sz="0" w:space="0" w:color="auto"/>
        <w:bottom w:val="none" w:sz="0" w:space="0" w:color="auto"/>
        <w:right w:val="none" w:sz="0" w:space="0" w:color="auto"/>
      </w:divBdr>
    </w:div>
    <w:div w:id="560990813">
      <w:bodyDiv w:val="1"/>
      <w:marLeft w:val="0"/>
      <w:marRight w:val="0"/>
      <w:marTop w:val="0"/>
      <w:marBottom w:val="0"/>
      <w:divBdr>
        <w:top w:val="none" w:sz="0" w:space="0" w:color="auto"/>
        <w:left w:val="none" w:sz="0" w:space="0" w:color="auto"/>
        <w:bottom w:val="none" w:sz="0" w:space="0" w:color="auto"/>
        <w:right w:val="none" w:sz="0" w:space="0" w:color="auto"/>
      </w:divBdr>
    </w:div>
    <w:div w:id="561135565">
      <w:bodyDiv w:val="1"/>
      <w:marLeft w:val="0"/>
      <w:marRight w:val="0"/>
      <w:marTop w:val="0"/>
      <w:marBottom w:val="0"/>
      <w:divBdr>
        <w:top w:val="none" w:sz="0" w:space="0" w:color="auto"/>
        <w:left w:val="none" w:sz="0" w:space="0" w:color="auto"/>
        <w:bottom w:val="none" w:sz="0" w:space="0" w:color="auto"/>
        <w:right w:val="none" w:sz="0" w:space="0" w:color="auto"/>
      </w:divBdr>
    </w:div>
    <w:div w:id="561254491">
      <w:bodyDiv w:val="1"/>
      <w:marLeft w:val="0"/>
      <w:marRight w:val="0"/>
      <w:marTop w:val="0"/>
      <w:marBottom w:val="0"/>
      <w:divBdr>
        <w:top w:val="none" w:sz="0" w:space="0" w:color="auto"/>
        <w:left w:val="none" w:sz="0" w:space="0" w:color="auto"/>
        <w:bottom w:val="none" w:sz="0" w:space="0" w:color="auto"/>
        <w:right w:val="none" w:sz="0" w:space="0" w:color="auto"/>
      </w:divBdr>
    </w:div>
    <w:div w:id="566451676">
      <w:bodyDiv w:val="1"/>
      <w:marLeft w:val="0"/>
      <w:marRight w:val="0"/>
      <w:marTop w:val="0"/>
      <w:marBottom w:val="0"/>
      <w:divBdr>
        <w:top w:val="none" w:sz="0" w:space="0" w:color="auto"/>
        <w:left w:val="none" w:sz="0" w:space="0" w:color="auto"/>
        <w:bottom w:val="none" w:sz="0" w:space="0" w:color="auto"/>
        <w:right w:val="none" w:sz="0" w:space="0" w:color="auto"/>
      </w:divBdr>
    </w:div>
    <w:div w:id="571160300">
      <w:bodyDiv w:val="1"/>
      <w:marLeft w:val="0"/>
      <w:marRight w:val="0"/>
      <w:marTop w:val="0"/>
      <w:marBottom w:val="0"/>
      <w:divBdr>
        <w:top w:val="none" w:sz="0" w:space="0" w:color="auto"/>
        <w:left w:val="none" w:sz="0" w:space="0" w:color="auto"/>
        <w:bottom w:val="none" w:sz="0" w:space="0" w:color="auto"/>
        <w:right w:val="none" w:sz="0" w:space="0" w:color="auto"/>
      </w:divBdr>
    </w:div>
    <w:div w:id="575239665">
      <w:bodyDiv w:val="1"/>
      <w:marLeft w:val="0"/>
      <w:marRight w:val="0"/>
      <w:marTop w:val="0"/>
      <w:marBottom w:val="0"/>
      <w:divBdr>
        <w:top w:val="none" w:sz="0" w:space="0" w:color="auto"/>
        <w:left w:val="none" w:sz="0" w:space="0" w:color="auto"/>
        <w:bottom w:val="none" w:sz="0" w:space="0" w:color="auto"/>
        <w:right w:val="none" w:sz="0" w:space="0" w:color="auto"/>
      </w:divBdr>
    </w:div>
    <w:div w:id="577135236">
      <w:bodyDiv w:val="1"/>
      <w:marLeft w:val="0"/>
      <w:marRight w:val="0"/>
      <w:marTop w:val="0"/>
      <w:marBottom w:val="0"/>
      <w:divBdr>
        <w:top w:val="none" w:sz="0" w:space="0" w:color="auto"/>
        <w:left w:val="none" w:sz="0" w:space="0" w:color="auto"/>
        <w:bottom w:val="none" w:sz="0" w:space="0" w:color="auto"/>
        <w:right w:val="none" w:sz="0" w:space="0" w:color="auto"/>
      </w:divBdr>
    </w:div>
    <w:div w:id="577793379">
      <w:bodyDiv w:val="1"/>
      <w:marLeft w:val="0"/>
      <w:marRight w:val="0"/>
      <w:marTop w:val="0"/>
      <w:marBottom w:val="0"/>
      <w:divBdr>
        <w:top w:val="none" w:sz="0" w:space="0" w:color="auto"/>
        <w:left w:val="none" w:sz="0" w:space="0" w:color="auto"/>
        <w:bottom w:val="none" w:sz="0" w:space="0" w:color="auto"/>
        <w:right w:val="none" w:sz="0" w:space="0" w:color="auto"/>
      </w:divBdr>
    </w:div>
    <w:div w:id="579408027">
      <w:bodyDiv w:val="1"/>
      <w:marLeft w:val="0"/>
      <w:marRight w:val="0"/>
      <w:marTop w:val="0"/>
      <w:marBottom w:val="0"/>
      <w:divBdr>
        <w:top w:val="none" w:sz="0" w:space="0" w:color="auto"/>
        <w:left w:val="none" w:sz="0" w:space="0" w:color="auto"/>
        <w:bottom w:val="none" w:sz="0" w:space="0" w:color="auto"/>
        <w:right w:val="none" w:sz="0" w:space="0" w:color="auto"/>
      </w:divBdr>
    </w:div>
    <w:div w:id="599333022">
      <w:bodyDiv w:val="1"/>
      <w:marLeft w:val="0"/>
      <w:marRight w:val="0"/>
      <w:marTop w:val="0"/>
      <w:marBottom w:val="0"/>
      <w:divBdr>
        <w:top w:val="none" w:sz="0" w:space="0" w:color="auto"/>
        <w:left w:val="none" w:sz="0" w:space="0" w:color="auto"/>
        <w:bottom w:val="none" w:sz="0" w:space="0" w:color="auto"/>
        <w:right w:val="none" w:sz="0" w:space="0" w:color="auto"/>
      </w:divBdr>
    </w:div>
    <w:div w:id="602156288">
      <w:bodyDiv w:val="1"/>
      <w:marLeft w:val="0"/>
      <w:marRight w:val="0"/>
      <w:marTop w:val="0"/>
      <w:marBottom w:val="0"/>
      <w:divBdr>
        <w:top w:val="none" w:sz="0" w:space="0" w:color="auto"/>
        <w:left w:val="none" w:sz="0" w:space="0" w:color="auto"/>
        <w:bottom w:val="none" w:sz="0" w:space="0" w:color="auto"/>
        <w:right w:val="none" w:sz="0" w:space="0" w:color="auto"/>
      </w:divBdr>
    </w:div>
    <w:div w:id="603924554">
      <w:bodyDiv w:val="1"/>
      <w:marLeft w:val="0"/>
      <w:marRight w:val="0"/>
      <w:marTop w:val="0"/>
      <w:marBottom w:val="0"/>
      <w:divBdr>
        <w:top w:val="none" w:sz="0" w:space="0" w:color="auto"/>
        <w:left w:val="none" w:sz="0" w:space="0" w:color="auto"/>
        <w:bottom w:val="none" w:sz="0" w:space="0" w:color="auto"/>
        <w:right w:val="none" w:sz="0" w:space="0" w:color="auto"/>
      </w:divBdr>
    </w:div>
    <w:div w:id="607473632">
      <w:bodyDiv w:val="1"/>
      <w:marLeft w:val="0"/>
      <w:marRight w:val="0"/>
      <w:marTop w:val="0"/>
      <w:marBottom w:val="0"/>
      <w:divBdr>
        <w:top w:val="none" w:sz="0" w:space="0" w:color="auto"/>
        <w:left w:val="none" w:sz="0" w:space="0" w:color="auto"/>
        <w:bottom w:val="none" w:sz="0" w:space="0" w:color="auto"/>
        <w:right w:val="none" w:sz="0" w:space="0" w:color="auto"/>
      </w:divBdr>
    </w:div>
    <w:div w:id="608775157">
      <w:bodyDiv w:val="1"/>
      <w:marLeft w:val="0"/>
      <w:marRight w:val="0"/>
      <w:marTop w:val="0"/>
      <w:marBottom w:val="0"/>
      <w:divBdr>
        <w:top w:val="none" w:sz="0" w:space="0" w:color="auto"/>
        <w:left w:val="none" w:sz="0" w:space="0" w:color="auto"/>
        <w:bottom w:val="none" w:sz="0" w:space="0" w:color="auto"/>
        <w:right w:val="none" w:sz="0" w:space="0" w:color="auto"/>
      </w:divBdr>
    </w:div>
    <w:div w:id="610011479">
      <w:bodyDiv w:val="1"/>
      <w:marLeft w:val="0"/>
      <w:marRight w:val="0"/>
      <w:marTop w:val="0"/>
      <w:marBottom w:val="0"/>
      <w:divBdr>
        <w:top w:val="none" w:sz="0" w:space="0" w:color="auto"/>
        <w:left w:val="none" w:sz="0" w:space="0" w:color="auto"/>
        <w:bottom w:val="none" w:sz="0" w:space="0" w:color="auto"/>
        <w:right w:val="none" w:sz="0" w:space="0" w:color="auto"/>
      </w:divBdr>
    </w:div>
    <w:div w:id="610550415">
      <w:bodyDiv w:val="1"/>
      <w:marLeft w:val="0"/>
      <w:marRight w:val="0"/>
      <w:marTop w:val="0"/>
      <w:marBottom w:val="0"/>
      <w:divBdr>
        <w:top w:val="none" w:sz="0" w:space="0" w:color="auto"/>
        <w:left w:val="none" w:sz="0" w:space="0" w:color="auto"/>
        <w:bottom w:val="none" w:sz="0" w:space="0" w:color="auto"/>
        <w:right w:val="none" w:sz="0" w:space="0" w:color="auto"/>
      </w:divBdr>
    </w:div>
    <w:div w:id="612398894">
      <w:bodyDiv w:val="1"/>
      <w:marLeft w:val="0"/>
      <w:marRight w:val="0"/>
      <w:marTop w:val="0"/>
      <w:marBottom w:val="0"/>
      <w:divBdr>
        <w:top w:val="none" w:sz="0" w:space="0" w:color="auto"/>
        <w:left w:val="none" w:sz="0" w:space="0" w:color="auto"/>
        <w:bottom w:val="none" w:sz="0" w:space="0" w:color="auto"/>
        <w:right w:val="none" w:sz="0" w:space="0" w:color="auto"/>
      </w:divBdr>
    </w:div>
    <w:div w:id="615870316">
      <w:bodyDiv w:val="1"/>
      <w:marLeft w:val="0"/>
      <w:marRight w:val="0"/>
      <w:marTop w:val="0"/>
      <w:marBottom w:val="0"/>
      <w:divBdr>
        <w:top w:val="none" w:sz="0" w:space="0" w:color="auto"/>
        <w:left w:val="none" w:sz="0" w:space="0" w:color="auto"/>
        <w:bottom w:val="none" w:sz="0" w:space="0" w:color="auto"/>
        <w:right w:val="none" w:sz="0" w:space="0" w:color="auto"/>
      </w:divBdr>
    </w:div>
    <w:div w:id="617762244">
      <w:bodyDiv w:val="1"/>
      <w:marLeft w:val="0"/>
      <w:marRight w:val="0"/>
      <w:marTop w:val="0"/>
      <w:marBottom w:val="0"/>
      <w:divBdr>
        <w:top w:val="none" w:sz="0" w:space="0" w:color="auto"/>
        <w:left w:val="none" w:sz="0" w:space="0" w:color="auto"/>
        <w:bottom w:val="none" w:sz="0" w:space="0" w:color="auto"/>
        <w:right w:val="none" w:sz="0" w:space="0" w:color="auto"/>
      </w:divBdr>
    </w:div>
    <w:div w:id="620963956">
      <w:bodyDiv w:val="1"/>
      <w:marLeft w:val="0"/>
      <w:marRight w:val="0"/>
      <w:marTop w:val="0"/>
      <w:marBottom w:val="0"/>
      <w:divBdr>
        <w:top w:val="none" w:sz="0" w:space="0" w:color="auto"/>
        <w:left w:val="none" w:sz="0" w:space="0" w:color="auto"/>
        <w:bottom w:val="none" w:sz="0" w:space="0" w:color="auto"/>
        <w:right w:val="none" w:sz="0" w:space="0" w:color="auto"/>
      </w:divBdr>
    </w:div>
    <w:div w:id="624583714">
      <w:bodyDiv w:val="1"/>
      <w:marLeft w:val="0"/>
      <w:marRight w:val="0"/>
      <w:marTop w:val="0"/>
      <w:marBottom w:val="0"/>
      <w:divBdr>
        <w:top w:val="none" w:sz="0" w:space="0" w:color="auto"/>
        <w:left w:val="none" w:sz="0" w:space="0" w:color="auto"/>
        <w:bottom w:val="none" w:sz="0" w:space="0" w:color="auto"/>
        <w:right w:val="none" w:sz="0" w:space="0" w:color="auto"/>
      </w:divBdr>
    </w:div>
    <w:div w:id="626862526">
      <w:bodyDiv w:val="1"/>
      <w:marLeft w:val="0"/>
      <w:marRight w:val="0"/>
      <w:marTop w:val="0"/>
      <w:marBottom w:val="0"/>
      <w:divBdr>
        <w:top w:val="none" w:sz="0" w:space="0" w:color="auto"/>
        <w:left w:val="none" w:sz="0" w:space="0" w:color="auto"/>
        <w:bottom w:val="none" w:sz="0" w:space="0" w:color="auto"/>
        <w:right w:val="none" w:sz="0" w:space="0" w:color="auto"/>
      </w:divBdr>
    </w:div>
    <w:div w:id="628586815">
      <w:bodyDiv w:val="1"/>
      <w:marLeft w:val="0"/>
      <w:marRight w:val="0"/>
      <w:marTop w:val="0"/>
      <w:marBottom w:val="0"/>
      <w:divBdr>
        <w:top w:val="none" w:sz="0" w:space="0" w:color="auto"/>
        <w:left w:val="none" w:sz="0" w:space="0" w:color="auto"/>
        <w:bottom w:val="none" w:sz="0" w:space="0" w:color="auto"/>
        <w:right w:val="none" w:sz="0" w:space="0" w:color="auto"/>
      </w:divBdr>
    </w:div>
    <w:div w:id="628784382">
      <w:bodyDiv w:val="1"/>
      <w:marLeft w:val="0"/>
      <w:marRight w:val="0"/>
      <w:marTop w:val="0"/>
      <w:marBottom w:val="0"/>
      <w:divBdr>
        <w:top w:val="none" w:sz="0" w:space="0" w:color="auto"/>
        <w:left w:val="none" w:sz="0" w:space="0" w:color="auto"/>
        <w:bottom w:val="none" w:sz="0" w:space="0" w:color="auto"/>
        <w:right w:val="none" w:sz="0" w:space="0" w:color="auto"/>
      </w:divBdr>
    </w:div>
    <w:div w:id="630095361">
      <w:bodyDiv w:val="1"/>
      <w:marLeft w:val="0"/>
      <w:marRight w:val="0"/>
      <w:marTop w:val="0"/>
      <w:marBottom w:val="0"/>
      <w:divBdr>
        <w:top w:val="none" w:sz="0" w:space="0" w:color="auto"/>
        <w:left w:val="none" w:sz="0" w:space="0" w:color="auto"/>
        <w:bottom w:val="none" w:sz="0" w:space="0" w:color="auto"/>
        <w:right w:val="none" w:sz="0" w:space="0" w:color="auto"/>
      </w:divBdr>
    </w:div>
    <w:div w:id="630864775">
      <w:bodyDiv w:val="1"/>
      <w:marLeft w:val="0"/>
      <w:marRight w:val="0"/>
      <w:marTop w:val="0"/>
      <w:marBottom w:val="0"/>
      <w:divBdr>
        <w:top w:val="none" w:sz="0" w:space="0" w:color="auto"/>
        <w:left w:val="none" w:sz="0" w:space="0" w:color="auto"/>
        <w:bottom w:val="none" w:sz="0" w:space="0" w:color="auto"/>
        <w:right w:val="none" w:sz="0" w:space="0" w:color="auto"/>
      </w:divBdr>
    </w:div>
    <w:div w:id="631788392">
      <w:bodyDiv w:val="1"/>
      <w:marLeft w:val="0"/>
      <w:marRight w:val="0"/>
      <w:marTop w:val="0"/>
      <w:marBottom w:val="0"/>
      <w:divBdr>
        <w:top w:val="none" w:sz="0" w:space="0" w:color="auto"/>
        <w:left w:val="none" w:sz="0" w:space="0" w:color="auto"/>
        <w:bottom w:val="none" w:sz="0" w:space="0" w:color="auto"/>
        <w:right w:val="none" w:sz="0" w:space="0" w:color="auto"/>
      </w:divBdr>
    </w:div>
    <w:div w:id="633684267">
      <w:bodyDiv w:val="1"/>
      <w:marLeft w:val="0"/>
      <w:marRight w:val="0"/>
      <w:marTop w:val="0"/>
      <w:marBottom w:val="0"/>
      <w:divBdr>
        <w:top w:val="none" w:sz="0" w:space="0" w:color="auto"/>
        <w:left w:val="none" w:sz="0" w:space="0" w:color="auto"/>
        <w:bottom w:val="none" w:sz="0" w:space="0" w:color="auto"/>
        <w:right w:val="none" w:sz="0" w:space="0" w:color="auto"/>
      </w:divBdr>
    </w:div>
    <w:div w:id="634726041">
      <w:bodyDiv w:val="1"/>
      <w:marLeft w:val="0"/>
      <w:marRight w:val="0"/>
      <w:marTop w:val="0"/>
      <w:marBottom w:val="0"/>
      <w:divBdr>
        <w:top w:val="none" w:sz="0" w:space="0" w:color="auto"/>
        <w:left w:val="none" w:sz="0" w:space="0" w:color="auto"/>
        <w:bottom w:val="none" w:sz="0" w:space="0" w:color="auto"/>
        <w:right w:val="none" w:sz="0" w:space="0" w:color="auto"/>
      </w:divBdr>
    </w:div>
    <w:div w:id="641039523">
      <w:bodyDiv w:val="1"/>
      <w:marLeft w:val="0"/>
      <w:marRight w:val="0"/>
      <w:marTop w:val="0"/>
      <w:marBottom w:val="0"/>
      <w:divBdr>
        <w:top w:val="none" w:sz="0" w:space="0" w:color="auto"/>
        <w:left w:val="none" w:sz="0" w:space="0" w:color="auto"/>
        <w:bottom w:val="none" w:sz="0" w:space="0" w:color="auto"/>
        <w:right w:val="none" w:sz="0" w:space="0" w:color="auto"/>
      </w:divBdr>
    </w:div>
    <w:div w:id="641156374">
      <w:bodyDiv w:val="1"/>
      <w:marLeft w:val="0"/>
      <w:marRight w:val="0"/>
      <w:marTop w:val="0"/>
      <w:marBottom w:val="0"/>
      <w:divBdr>
        <w:top w:val="none" w:sz="0" w:space="0" w:color="auto"/>
        <w:left w:val="none" w:sz="0" w:space="0" w:color="auto"/>
        <w:bottom w:val="none" w:sz="0" w:space="0" w:color="auto"/>
        <w:right w:val="none" w:sz="0" w:space="0" w:color="auto"/>
      </w:divBdr>
    </w:div>
    <w:div w:id="644772990">
      <w:bodyDiv w:val="1"/>
      <w:marLeft w:val="0"/>
      <w:marRight w:val="0"/>
      <w:marTop w:val="0"/>
      <w:marBottom w:val="0"/>
      <w:divBdr>
        <w:top w:val="none" w:sz="0" w:space="0" w:color="auto"/>
        <w:left w:val="none" w:sz="0" w:space="0" w:color="auto"/>
        <w:bottom w:val="none" w:sz="0" w:space="0" w:color="auto"/>
        <w:right w:val="none" w:sz="0" w:space="0" w:color="auto"/>
      </w:divBdr>
    </w:div>
    <w:div w:id="644941926">
      <w:bodyDiv w:val="1"/>
      <w:marLeft w:val="0"/>
      <w:marRight w:val="0"/>
      <w:marTop w:val="0"/>
      <w:marBottom w:val="0"/>
      <w:divBdr>
        <w:top w:val="none" w:sz="0" w:space="0" w:color="auto"/>
        <w:left w:val="none" w:sz="0" w:space="0" w:color="auto"/>
        <w:bottom w:val="none" w:sz="0" w:space="0" w:color="auto"/>
        <w:right w:val="none" w:sz="0" w:space="0" w:color="auto"/>
      </w:divBdr>
    </w:div>
    <w:div w:id="647441705">
      <w:bodyDiv w:val="1"/>
      <w:marLeft w:val="0"/>
      <w:marRight w:val="0"/>
      <w:marTop w:val="0"/>
      <w:marBottom w:val="0"/>
      <w:divBdr>
        <w:top w:val="none" w:sz="0" w:space="0" w:color="auto"/>
        <w:left w:val="none" w:sz="0" w:space="0" w:color="auto"/>
        <w:bottom w:val="none" w:sz="0" w:space="0" w:color="auto"/>
        <w:right w:val="none" w:sz="0" w:space="0" w:color="auto"/>
      </w:divBdr>
    </w:div>
    <w:div w:id="649938858">
      <w:bodyDiv w:val="1"/>
      <w:marLeft w:val="0"/>
      <w:marRight w:val="0"/>
      <w:marTop w:val="0"/>
      <w:marBottom w:val="0"/>
      <w:divBdr>
        <w:top w:val="none" w:sz="0" w:space="0" w:color="auto"/>
        <w:left w:val="none" w:sz="0" w:space="0" w:color="auto"/>
        <w:bottom w:val="none" w:sz="0" w:space="0" w:color="auto"/>
        <w:right w:val="none" w:sz="0" w:space="0" w:color="auto"/>
      </w:divBdr>
    </w:div>
    <w:div w:id="652682602">
      <w:bodyDiv w:val="1"/>
      <w:marLeft w:val="0"/>
      <w:marRight w:val="0"/>
      <w:marTop w:val="0"/>
      <w:marBottom w:val="0"/>
      <w:divBdr>
        <w:top w:val="none" w:sz="0" w:space="0" w:color="auto"/>
        <w:left w:val="none" w:sz="0" w:space="0" w:color="auto"/>
        <w:bottom w:val="none" w:sz="0" w:space="0" w:color="auto"/>
        <w:right w:val="none" w:sz="0" w:space="0" w:color="auto"/>
      </w:divBdr>
    </w:div>
    <w:div w:id="655375095">
      <w:bodyDiv w:val="1"/>
      <w:marLeft w:val="0"/>
      <w:marRight w:val="0"/>
      <w:marTop w:val="0"/>
      <w:marBottom w:val="0"/>
      <w:divBdr>
        <w:top w:val="none" w:sz="0" w:space="0" w:color="auto"/>
        <w:left w:val="none" w:sz="0" w:space="0" w:color="auto"/>
        <w:bottom w:val="none" w:sz="0" w:space="0" w:color="auto"/>
        <w:right w:val="none" w:sz="0" w:space="0" w:color="auto"/>
      </w:divBdr>
    </w:div>
    <w:div w:id="659040853">
      <w:bodyDiv w:val="1"/>
      <w:marLeft w:val="0"/>
      <w:marRight w:val="0"/>
      <w:marTop w:val="0"/>
      <w:marBottom w:val="0"/>
      <w:divBdr>
        <w:top w:val="none" w:sz="0" w:space="0" w:color="auto"/>
        <w:left w:val="none" w:sz="0" w:space="0" w:color="auto"/>
        <w:bottom w:val="none" w:sz="0" w:space="0" w:color="auto"/>
        <w:right w:val="none" w:sz="0" w:space="0" w:color="auto"/>
      </w:divBdr>
    </w:div>
    <w:div w:id="660231778">
      <w:bodyDiv w:val="1"/>
      <w:marLeft w:val="0"/>
      <w:marRight w:val="0"/>
      <w:marTop w:val="0"/>
      <w:marBottom w:val="0"/>
      <w:divBdr>
        <w:top w:val="none" w:sz="0" w:space="0" w:color="auto"/>
        <w:left w:val="none" w:sz="0" w:space="0" w:color="auto"/>
        <w:bottom w:val="none" w:sz="0" w:space="0" w:color="auto"/>
        <w:right w:val="none" w:sz="0" w:space="0" w:color="auto"/>
      </w:divBdr>
    </w:div>
    <w:div w:id="662125713">
      <w:bodyDiv w:val="1"/>
      <w:marLeft w:val="0"/>
      <w:marRight w:val="0"/>
      <w:marTop w:val="0"/>
      <w:marBottom w:val="0"/>
      <w:divBdr>
        <w:top w:val="none" w:sz="0" w:space="0" w:color="auto"/>
        <w:left w:val="none" w:sz="0" w:space="0" w:color="auto"/>
        <w:bottom w:val="none" w:sz="0" w:space="0" w:color="auto"/>
        <w:right w:val="none" w:sz="0" w:space="0" w:color="auto"/>
      </w:divBdr>
    </w:div>
    <w:div w:id="662583963">
      <w:bodyDiv w:val="1"/>
      <w:marLeft w:val="0"/>
      <w:marRight w:val="0"/>
      <w:marTop w:val="0"/>
      <w:marBottom w:val="0"/>
      <w:divBdr>
        <w:top w:val="none" w:sz="0" w:space="0" w:color="auto"/>
        <w:left w:val="none" w:sz="0" w:space="0" w:color="auto"/>
        <w:bottom w:val="none" w:sz="0" w:space="0" w:color="auto"/>
        <w:right w:val="none" w:sz="0" w:space="0" w:color="auto"/>
      </w:divBdr>
    </w:div>
    <w:div w:id="663434094">
      <w:bodyDiv w:val="1"/>
      <w:marLeft w:val="0"/>
      <w:marRight w:val="0"/>
      <w:marTop w:val="0"/>
      <w:marBottom w:val="0"/>
      <w:divBdr>
        <w:top w:val="none" w:sz="0" w:space="0" w:color="auto"/>
        <w:left w:val="none" w:sz="0" w:space="0" w:color="auto"/>
        <w:bottom w:val="none" w:sz="0" w:space="0" w:color="auto"/>
        <w:right w:val="none" w:sz="0" w:space="0" w:color="auto"/>
      </w:divBdr>
    </w:div>
    <w:div w:id="667364483">
      <w:bodyDiv w:val="1"/>
      <w:marLeft w:val="0"/>
      <w:marRight w:val="0"/>
      <w:marTop w:val="0"/>
      <w:marBottom w:val="0"/>
      <w:divBdr>
        <w:top w:val="none" w:sz="0" w:space="0" w:color="auto"/>
        <w:left w:val="none" w:sz="0" w:space="0" w:color="auto"/>
        <w:bottom w:val="none" w:sz="0" w:space="0" w:color="auto"/>
        <w:right w:val="none" w:sz="0" w:space="0" w:color="auto"/>
      </w:divBdr>
    </w:div>
    <w:div w:id="667950992">
      <w:bodyDiv w:val="1"/>
      <w:marLeft w:val="0"/>
      <w:marRight w:val="0"/>
      <w:marTop w:val="0"/>
      <w:marBottom w:val="0"/>
      <w:divBdr>
        <w:top w:val="none" w:sz="0" w:space="0" w:color="auto"/>
        <w:left w:val="none" w:sz="0" w:space="0" w:color="auto"/>
        <w:bottom w:val="none" w:sz="0" w:space="0" w:color="auto"/>
        <w:right w:val="none" w:sz="0" w:space="0" w:color="auto"/>
      </w:divBdr>
    </w:div>
    <w:div w:id="669527457">
      <w:bodyDiv w:val="1"/>
      <w:marLeft w:val="0"/>
      <w:marRight w:val="0"/>
      <w:marTop w:val="0"/>
      <w:marBottom w:val="0"/>
      <w:divBdr>
        <w:top w:val="none" w:sz="0" w:space="0" w:color="auto"/>
        <w:left w:val="none" w:sz="0" w:space="0" w:color="auto"/>
        <w:bottom w:val="none" w:sz="0" w:space="0" w:color="auto"/>
        <w:right w:val="none" w:sz="0" w:space="0" w:color="auto"/>
      </w:divBdr>
    </w:div>
    <w:div w:id="671447915">
      <w:bodyDiv w:val="1"/>
      <w:marLeft w:val="0"/>
      <w:marRight w:val="0"/>
      <w:marTop w:val="0"/>
      <w:marBottom w:val="0"/>
      <w:divBdr>
        <w:top w:val="none" w:sz="0" w:space="0" w:color="auto"/>
        <w:left w:val="none" w:sz="0" w:space="0" w:color="auto"/>
        <w:bottom w:val="none" w:sz="0" w:space="0" w:color="auto"/>
        <w:right w:val="none" w:sz="0" w:space="0" w:color="auto"/>
      </w:divBdr>
    </w:div>
    <w:div w:id="673606966">
      <w:bodyDiv w:val="1"/>
      <w:marLeft w:val="0"/>
      <w:marRight w:val="0"/>
      <w:marTop w:val="0"/>
      <w:marBottom w:val="0"/>
      <w:divBdr>
        <w:top w:val="none" w:sz="0" w:space="0" w:color="auto"/>
        <w:left w:val="none" w:sz="0" w:space="0" w:color="auto"/>
        <w:bottom w:val="none" w:sz="0" w:space="0" w:color="auto"/>
        <w:right w:val="none" w:sz="0" w:space="0" w:color="auto"/>
      </w:divBdr>
    </w:div>
    <w:div w:id="673722436">
      <w:bodyDiv w:val="1"/>
      <w:marLeft w:val="0"/>
      <w:marRight w:val="0"/>
      <w:marTop w:val="0"/>
      <w:marBottom w:val="0"/>
      <w:divBdr>
        <w:top w:val="none" w:sz="0" w:space="0" w:color="auto"/>
        <w:left w:val="none" w:sz="0" w:space="0" w:color="auto"/>
        <w:bottom w:val="none" w:sz="0" w:space="0" w:color="auto"/>
        <w:right w:val="none" w:sz="0" w:space="0" w:color="auto"/>
      </w:divBdr>
    </w:div>
    <w:div w:id="677737892">
      <w:bodyDiv w:val="1"/>
      <w:marLeft w:val="0"/>
      <w:marRight w:val="0"/>
      <w:marTop w:val="0"/>
      <w:marBottom w:val="0"/>
      <w:divBdr>
        <w:top w:val="none" w:sz="0" w:space="0" w:color="auto"/>
        <w:left w:val="none" w:sz="0" w:space="0" w:color="auto"/>
        <w:bottom w:val="none" w:sz="0" w:space="0" w:color="auto"/>
        <w:right w:val="none" w:sz="0" w:space="0" w:color="auto"/>
      </w:divBdr>
    </w:div>
    <w:div w:id="678121919">
      <w:bodyDiv w:val="1"/>
      <w:marLeft w:val="0"/>
      <w:marRight w:val="0"/>
      <w:marTop w:val="0"/>
      <w:marBottom w:val="0"/>
      <w:divBdr>
        <w:top w:val="none" w:sz="0" w:space="0" w:color="auto"/>
        <w:left w:val="none" w:sz="0" w:space="0" w:color="auto"/>
        <w:bottom w:val="none" w:sz="0" w:space="0" w:color="auto"/>
        <w:right w:val="none" w:sz="0" w:space="0" w:color="auto"/>
      </w:divBdr>
    </w:div>
    <w:div w:id="679433561">
      <w:bodyDiv w:val="1"/>
      <w:marLeft w:val="0"/>
      <w:marRight w:val="0"/>
      <w:marTop w:val="0"/>
      <w:marBottom w:val="0"/>
      <w:divBdr>
        <w:top w:val="none" w:sz="0" w:space="0" w:color="auto"/>
        <w:left w:val="none" w:sz="0" w:space="0" w:color="auto"/>
        <w:bottom w:val="none" w:sz="0" w:space="0" w:color="auto"/>
        <w:right w:val="none" w:sz="0" w:space="0" w:color="auto"/>
      </w:divBdr>
    </w:div>
    <w:div w:id="681050915">
      <w:bodyDiv w:val="1"/>
      <w:marLeft w:val="0"/>
      <w:marRight w:val="0"/>
      <w:marTop w:val="0"/>
      <w:marBottom w:val="0"/>
      <w:divBdr>
        <w:top w:val="none" w:sz="0" w:space="0" w:color="auto"/>
        <w:left w:val="none" w:sz="0" w:space="0" w:color="auto"/>
        <w:bottom w:val="none" w:sz="0" w:space="0" w:color="auto"/>
        <w:right w:val="none" w:sz="0" w:space="0" w:color="auto"/>
      </w:divBdr>
    </w:div>
    <w:div w:id="681929372">
      <w:bodyDiv w:val="1"/>
      <w:marLeft w:val="0"/>
      <w:marRight w:val="0"/>
      <w:marTop w:val="0"/>
      <w:marBottom w:val="0"/>
      <w:divBdr>
        <w:top w:val="none" w:sz="0" w:space="0" w:color="auto"/>
        <w:left w:val="none" w:sz="0" w:space="0" w:color="auto"/>
        <w:bottom w:val="none" w:sz="0" w:space="0" w:color="auto"/>
        <w:right w:val="none" w:sz="0" w:space="0" w:color="auto"/>
      </w:divBdr>
    </w:div>
    <w:div w:id="683626751">
      <w:bodyDiv w:val="1"/>
      <w:marLeft w:val="0"/>
      <w:marRight w:val="0"/>
      <w:marTop w:val="0"/>
      <w:marBottom w:val="0"/>
      <w:divBdr>
        <w:top w:val="none" w:sz="0" w:space="0" w:color="auto"/>
        <w:left w:val="none" w:sz="0" w:space="0" w:color="auto"/>
        <w:bottom w:val="none" w:sz="0" w:space="0" w:color="auto"/>
        <w:right w:val="none" w:sz="0" w:space="0" w:color="auto"/>
      </w:divBdr>
    </w:div>
    <w:div w:id="684401156">
      <w:bodyDiv w:val="1"/>
      <w:marLeft w:val="0"/>
      <w:marRight w:val="0"/>
      <w:marTop w:val="0"/>
      <w:marBottom w:val="0"/>
      <w:divBdr>
        <w:top w:val="none" w:sz="0" w:space="0" w:color="auto"/>
        <w:left w:val="none" w:sz="0" w:space="0" w:color="auto"/>
        <w:bottom w:val="none" w:sz="0" w:space="0" w:color="auto"/>
        <w:right w:val="none" w:sz="0" w:space="0" w:color="auto"/>
      </w:divBdr>
    </w:div>
    <w:div w:id="689916266">
      <w:bodyDiv w:val="1"/>
      <w:marLeft w:val="0"/>
      <w:marRight w:val="0"/>
      <w:marTop w:val="0"/>
      <w:marBottom w:val="0"/>
      <w:divBdr>
        <w:top w:val="none" w:sz="0" w:space="0" w:color="auto"/>
        <w:left w:val="none" w:sz="0" w:space="0" w:color="auto"/>
        <w:bottom w:val="none" w:sz="0" w:space="0" w:color="auto"/>
        <w:right w:val="none" w:sz="0" w:space="0" w:color="auto"/>
      </w:divBdr>
    </w:div>
    <w:div w:id="691496611">
      <w:bodyDiv w:val="1"/>
      <w:marLeft w:val="0"/>
      <w:marRight w:val="0"/>
      <w:marTop w:val="0"/>
      <w:marBottom w:val="0"/>
      <w:divBdr>
        <w:top w:val="none" w:sz="0" w:space="0" w:color="auto"/>
        <w:left w:val="none" w:sz="0" w:space="0" w:color="auto"/>
        <w:bottom w:val="none" w:sz="0" w:space="0" w:color="auto"/>
        <w:right w:val="none" w:sz="0" w:space="0" w:color="auto"/>
      </w:divBdr>
    </w:div>
    <w:div w:id="691995509">
      <w:bodyDiv w:val="1"/>
      <w:marLeft w:val="0"/>
      <w:marRight w:val="0"/>
      <w:marTop w:val="0"/>
      <w:marBottom w:val="0"/>
      <w:divBdr>
        <w:top w:val="none" w:sz="0" w:space="0" w:color="auto"/>
        <w:left w:val="none" w:sz="0" w:space="0" w:color="auto"/>
        <w:bottom w:val="none" w:sz="0" w:space="0" w:color="auto"/>
        <w:right w:val="none" w:sz="0" w:space="0" w:color="auto"/>
      </w:divBdr>
    </w:div>
    <w:div w:id="692457772">
      <w:bodyDiv w:val="1"/>
      <w:marLeft w:val="0"/>
      <w:marRight w:val="0"/>
      <w:marTop w:val="0"/>
      <w:marBottom w:val="0"/>
      <w:divBdr>
        <w:top w:val="none" w:sz="0" w:space="0" w:color="auto"/>
        <w:left w:val="none" w:sz="0" w:space="0" w:color="auto"/>
        <w:bottom w:val="none" w:sz="0" w:space="0" w:color="auto"/>
        <w:right w:val="none" w:sz="0" w:space="0" w:color="auto"/>
      </w:divBdr>
    </w:div>
    <w:div w:id="695885819">
      <w:bodyDiv w:val="1"/>
      <w:marLeft w:val="0"/>
      <w:marRight w:val="0"/>
      <w:marTop w:val="0"/>
      <w:marBottom w:val="0"/>
      <w:divBdr>
        <w:top w:val="none" w:sz="0" w:space="0" w:color="auto"/>
        <w:left w:val="none" w:sz="0" w:space="0" w:color="auto"/>
        <w:bottom w:val="none" w:sz="0" w:space="0" w:color="auto"/>
        <w:right w:val="none" w:sz="0" w:space="0" w:color="auto"/>
      </w:divBdr>
    </w:div>
    <w:div w:id="697698212">
      <w:bodyDiv w:val="1"/>
      <w:marLeft w:val="0"/>
      <w:marRight w:val="0"/>
      <w:marTop w:val="0"/>
      <w:marBottom w:val="0"/>
      <w:divBdr>
        <w:top w:val="none" w:sz="0" w:space="0" w:color="auto"/>
        <w:left w:val="none" w:sz="0" w:space="0" w:color="auto"/>
        <w:bottom w:val="none" w:sz="0" w:space="0" w:color="auto"/>
        <w:right w:val="none" w:sz="0" w:space="0" w:color="auto"/>
      </w:divBdr>
    </w:div>
    <w:div w:id="698164358">
      <w:bodyDiv w:val="1"/>
      <w:marLeft w:val="0"/>
      <w:marRight w:val="0"/>
      <w:marTop w:val="0"/>
      <w:marBottom w:val="0"/>
      <w:divBdr>
        <w:top w:val="none" w:sz="0" w:space="0" w:color="auto"/>
        <w:left w:val="none" w:sz="0" w:space="0" w:color="auto"/>
        <w:bottom w:val="none" w:sz="0" w:space="0" w:color="auto"/>
        <w:right w:val="none" w:sz="0" w:space="0" w:color="auto"/>
      </w:divBdr>
    </w:div>
    <w:div w:id="698746082">
      <w:bodyDiv w:val="1"/>
      <w:marLeft w:val="0"/>
      <w:marRight w:val="0"/>
      <w:marTop w:val="0"/>
      <w:marBottom w:val="0"/>
      <w:divBdr>
        <w:top w:val="none" w:sz="0" w:space="0" w:color="auto"/>
        <w:left w:val="none" w:sz="0" w:space="0" w:color="auto"/>
        <w:bottom w:val="none" w:sz="0" w:space="0" w:color="auto"/>
        <w:right w:val="none" w:sz="0" w:space="0" w:color="auto"/>
      </w:divBdr>
    </w:div>
    <w:div w:id="701592563">
      <w:bodyDiv w:val="1"/>
      <w:marLeft w:val="0"/>
      <w:marRight w:val="0"/>
      <w:marTop w:val="0"/>
      <w:marBottom w:val="0"/>
      <w:divBdr>
        <w:top w:val="none" w:sz="0" w:space="0" w:color="auto"/>
        <w:left w:val="none" w:sz="0" w:space="0" w:color="auto"/>
        <w:bottom w:val="none" w:sz="0" w:space="0" w:color="auto"/>
        <w:right w:val="none" w:sz="0" w:space="0" w:color="auto"/>
      </w:divBdr>
    </w:div>
    <w:div w:id="703675716">
      <w:bodyDiv w:val="1"/>
      <w:marLeft w:val="0"/>
      <w:marRight w:val="0"/>
      <w:marTop w:val="0"/>
      <w:marBottom w:val="0"/>
      <w:divBdr>
        <w:top w:val="none" w:sz="0" w:space="0" w:color="auto"/>
        <w:left w:val="none" w:sz="0" w:space="0" w:color="auto"/>
        <w:bottom w:val="none" w:sz="0" w:space="0" w:color="auto"/>
        <w:right w:val="none" w:sz="0" w:space="0" w:color="auto"/>
      </w:divBdr>
    </w:div>
    <w:div w:id="707295880">
      <w:bodyDiv w:val="1"/>
      <w:marLeft w:val="0"/>
      <w:marRight w:val="0"/>
      <w:marTop w:val="0"/>
      <w:marBottom w:val="0"/>
      <w:divBdr>
        <w:top w:val="none" w:sz="0" w:space="0" w:color="auto"/>
        <w:left w:val="none" w:sz="0" w:space="0" w:color="auto"/>
        <w:bottom w:val="none" w:sz="0" w:space="0" w:color="auto"/>
        <w:right w:val="none" w:sz="0" w:space="0" w:color="auto"/>
      </w:divBdr>
    </w:div>
    <w:div w:id="707527456">
      <w:bodyDiv w:val="1"/>
      <w:marLeft w:val="0"/>
      <w:marRight w:val="0"/>
      <w:marTop w:val="0"/>
      <w:marBottom w:val="0"/>
      <w:divBdr>
        <w:top w:val="none" w:sz="0" w:space="0" w:color="auto"/>
        <w:left w:val="none" w:sz="0" w:space="0" w:color="auto"/>
        <w:bottom w:val="none" w:sz="0" w:space="0" w:color="auto"/>
        <w:right w:val="none" w:sz="0" w:space="0" w:color="auto"/>
      </w:divBdr>
    </w:div>
    <w:div w:id="712078242">
      <w:bodyDiv w:val="1"/>
      <w:marLeft w:val="0"/>
      <w:marRight w:val="0"/>
      <w:marTop w:val="0"/>
      <w:marBottom w:val="0"/>
      <w:divBdr>
        <w:top w:val="none" w:sz="0" w:space="0" w:color="auto"/>
        <w:left w:val="none" w:sz="0" w:space="0" w:color="auto"/>
        <w:bottom w:val="none" w:sz="0" w:space="0" w:color="auto"/>
        <w:right w:val="none" w:sz="0" w:space="0" w:color="auto"/>
      </w:divBdr>
    </w:div>
    <w:div w:id="712969758">
      <w:bodyDiv w:val="1"/>
      <w:marLeft w:val="0"/>
      <w:marRight w:val="0"/>
      <w:marTop w:val="0"/>
      <w:marBottom w:val="0"/>
      <w:divBdr>
        <w:top w:val="none" w:sz="0" w:space="0" w:color="auto"/>
        <w:left w:val="none" w:sz="0" w:space="0" w:color="auto"/>
        <w:bottom w:val="none" w:sz="0" w:space="0" w:color="auto"/>
        <w:right w:val="none" w:sz="0" w:space="0" w:color="auto"/>
      </w:divBdr>
    </w:div>
    <w:div w:id="713576725">
      <w:bodyDiv w:val="1"/>
      <w:marLeft w:val="0"/>
      <w:marRight w:val="0"/>
      <w:marTop w:val="0"/>
      <w:marBottom w:val="0"/>
      <w:divBdr>
        <w:top w:val="none" w:sz="0" w:space="0" w:color="auto"/>
        <w:left w:val="none" w:sz="0" w:space="0" w:color="auto"/>
        <w:bottom w:val="none" w:sz="0" w:space="0" w:color="auto"/>
        <w:right w:val="none" w:sz="0" w:space="0" w:color="auto"/>
      </w:divBdr>
    </w:div>
    <w:div w:id="723604237">
      <w:bodyDiv w:val="1"/>
      <w:marLeft w:val="0"/>
      <w:marRight w:val="0"/>
      <w:marTop w:val="0"/>
      <w:marBottom w:val="0"/>
      <w:divBdr>
        <w:top w:val="none" w:sz="0" w:space="0" w:color="auto"/>
        <w:left w:val="none" w:sz="0" w:space="0" w:color="auto"/>
        <w:bottom w:val="none" w:sz="0" w:space="0" w:color="auto"/>
        <w:right w:val="none" w:sz="0" w:space="0" w:color="auto"/>
      </w:divBdr>
    </w:div>
    <w:div w:id="725104765">
      <w:bodyDiv w:val="1"/>
      <w:marLeft w:val="0"/>
      <w:marRight w:val="0"/>
      <w:marTop w:val="0"/>
      <w:marBottom w:val="0"/>
      <w:divBdr>
        <w:top w:val="none" w:sz="0" w:space="0" w:color="auto"/>
        <w:left w:val="none" w:sz="0" w:space="0" w:color="auto"/>
        <w:bottom w:val="none" w:sz="0" w:space="0" w:color="auto"/>
        <w:right w:val="none" w:sz="0" w:space="0" w:color="auto"/>
      </w:divBdr>
    </w:div>
    <w:div w:id="738677062">
      <w:bodyDiv w:val="1"/>
      <w:marLeft w:val="0"/>
      <w:marRight w:val="0"/>
      <w:marTop w:val="0"/>
      <w:marBottom w:val="0"/>
      <w:divBdr>
        <w:top w:val="none" w:sz="0" w:space="0" w:color="auto"/>
        <w:left w:val="none" w:sz="0" w:space="0" w:color="auto"/>
        <w:bottom w:val="none" w:sz="0" w:space="0" w:color="auto"/>
        <w:right w:val="none" w:sz="0" w:space="0" w:color="auto"/>
      </w:divBdr>
    </w:div>
    <w:div w:id="739015108">
      <w:bodyDiv w:val="1"/>
      <w:marLeft w:val="0"/>
      <w:marRight w:val="0"/>
      <w:marTop w:val="0"/>
      <w:marBottom w:val="0"/>
      <w:divBdr>
        <w:top w:val="none" w:sz="0" w:space="0" w:color="auto"/>
        <w:left w:val="none" w:sz="0" w:space="0" w:color="auto"/>
        <w:bottom w:val="none" w:sz="0" w:space="0" w:color="auto"/>
        <w:right w:val="none" w:sz="0" w:space="0" w:color="auto"/>
      </w:divBdr>
    </w:div>
    <w:div w:id="739988210">
      <w:bodyDiv w:val="1"/>
      <w:marLeft w:val="0"/>
      <w:marRight w:val="0"/>
      <w:marTop w:val="0"/>
      <w:marBottom w:val="0"/>
      <w:divBdr>
        <w:top w:val="none" w:sz="0" w:space="0" w:color="auto"/>
        <w:left w:val="none" w:sz="0" w:space="0" w:color="auto"/>
        <w:bottom w:val="none" w:sz="0" w:space="0" w:color="auto"/>
        <w:right w:val="none" w:sz="0" w:space="0" w:color="auto"/>
      </w:divBdr>
    </w:div>
    <w:div w:id="741030203">
      <w:bodyDiv w:val="1"/>
      <w:marLeft w:val="0"/>
      <w:marRight w:val="0"/>
      <w:marTop w:val="0"/>
      <w:marBottom w:val="0"/>
      <w:divBdr>
        <w:top w:val="none" w:sz="0" w:space="0" w:color="auto"/>
        <w:left w:val="none" w:sz="0" w:space="0" w:color="auto"/>
        <w:bottom w:val="none" w:sz="0" w:space="0" w:color="auto"/>
        <w:right w:val="none" w:sz="0" w:space="0" w:color="auto"/>
      </w:divBdr>
    </w:div>
    <w:div w:id="751971333">
      <w:bodyDiv w:val="1"/>
      <w:marLeft w:val="0"/>
      <w:marRight w:val="0"/>
      <w:marTop w:val="0"/>
      <w:marBottom w:val="0"/>
      <w:divBdr>
        <w:top w:val="none" w:sz="0" w:space="0" w:color="auto"/>
        <w:left w:val="none" w:sz="0" w:space="0" w:color="auto"/>
        <w:bottom w:val="none" w:sz="0" w:space="0" w:color="auto"/>
        <w:right w:val="none" w:sz="0" w:space="0" w:color="auto"/>
      </w:divBdr>
    </w:div>
    <w:div w:id="758140393">
      <w:bodyDiv w:val="1"/>
      <w:marLeft w:val="0"/>
      <w:marRight w:val="0"/>
      <w:marTop w:val="0"/>
      <w:marBottom w:val="0"/>
      <w:divBdr>
        <w:top w:val="none" w:sz="0" w:space="0" w:color="auto"/>
        <w:left w:val="none" w:sz="0" w:space="0" w:color="auto"/>
        <w:bottom w:val="none" w:sz="0" w:space="0" w:color="auto"/>
        <w:right w:val="none" w:sz="0" w:space="0" w:color="auto"/>
      </w:divBdr>
    </w:div>
    <w:div w:id="759109384">
      <w:bodyDiv w:val="1"/>
      <w:marLeft w:val="0"/>
      <w:marRight w:val="0"/>
      <w:marTop w:val="0"/>
      <w:marBottom w:val="0"/>
      <w:divBdr>
        <w:top w:val="none" w:sz="0" w:space="0" w:color="auto"/>
        <w:left w:val="none" w:sz="0" w:space="0" w:color="auto"/>
        <w:bottom w:val="none" w:sz="0" w:space="0" w:color="auto"/>
        <w:right w:val="none" w:sz="0" w:space="0" w:color="auto"/>
      </w:divBdr>
    </w:div>
    <w:div w:id="762143533">
      <w:bodyDiv w:val="1"/>
      <w:marLeft w:val="0"/>
      <w:marRight w:val="0"/>
      <w:marTop w:val="0"/>
      <w:marBottom w:val="0"/>
      <w:divBdr>
        <w:top w:val="none" w:sz="0" w:space="0" w:color="auto"/>
        <w:left w:val="none" w:sz="0" w:space="0" w:color="auto"/>
        <w:bottom w:val="none" w:sz="0" w:space="0" w:color="auto"/>
        <w:right w:val="none" w:sz="0" w:space="0" w:color="auto"/>
      </w:divBdr>
    </w:div>
    <w:div w:id="766075091">
      <w:bodyDiv w:val="1"/>
      <w:marLeft w:val="0"/>
      <w:marRight w:val="0"/>
      <w:marTop w:val="0"/>
      <w:marBottom w:val="0"/>
      <w:divBdr>
        <w:top w:val="none" w:sz="0" w:space="0" w:color="auto"/>
        <w:left w:val="none" w:sz="0" w:space="0" w:color="auto"/>
        <w:bottom w:val="none" w:sz="0" w:space="0" w:color="auto"/>
        <w:right w:val="none" w:sz="0" w:space="0" w:color="auto"/>
      </w:divBdr>
    </w:div>
    <w:div w:id="767971864">
      <w:bodyDiv w:val="1"/>
      <w:marLeft w:val="0"/>
      <w:marRight w:val="0"/>
      <w:marTop w:val="0"/>
      <w:marBottom w:val="0"/>
      <w:divBdr>
        <w:top w:val="none" w:sz="0" w:space="0" w:color="auto"/>
        <w:left w:val="none" w:sz="0" w:space="0" w:color="auto"/>
        <w:bottom w:val="none" w:sz="0" w:space="0" w:color="auto"/>
        <w:right w:val="none" w:sz="0" w:space="0" w:color="auto"/>
      </w:divBdr>
    </w:div>
    <w:div w:id="769936447">
      <w:bodyDiv w:val="1"/>
      <w:marLeft w:val="0"/>
      <w:marRight w:val="0"/>
      <w:marTop w:val="0"/>
      <w:marBottom w:val="0"/>
      <w:divBdr>
        <w:top w:val="none" w:sz="0" w:space="0" w:color="auto"/>
        <w:left w:val="none" w:sz="0" w:space="0" w:color="auto"/>
        <w:bottom w:val="none" w:sz="0" w:space="0" w:color="auto"/>
        <w:right w:val="none" w:sz="0" w:space="0" w:color="auto"/>
      </w:divBdr>
    </w:div>
    <w:div w:id="770974531">
      <w:bodyDiv w:val="1"/>
      <w:marLeft w:val="0"/>
      <w:marRight w:val="0"/>
      <w:marTop w:val="0"/>
      <w:marBottom w:val="0"/>
      <w:divBdr>
        <w:top w:val="none" w:sz="0" w:space="0" w:color="auto"/>
        <w:left w:val="none" w:sz="0" w:space="0" w:color="auto"/>
        <w:bottom w:val="none" w:sz="0" w:space="0" w:color="auto"/>
        <w:right w:val="none" w:sz="0" w:space="0" w:color="auto"/>
      </w:divBdr>
    </w:div>
    <w:div w:id="775054656">
      <w:bodyDiv w:val="1"/>
      <w:marLeft w:val="0"/>
      <w:marRight w:val="0"/>
      <w:marTop w:val="0"/>
      <w:marBottom w:val="0"/>
      <w:divBdr>
        <w:top w:val="none" w:sz="0" w:space="0" w:color="auto"/>
        <w:left w:val="none" w:sz="0" w:space="0" w:color="auto"/>
        <w:bottom w:val="none" w:sz="0" w:space="0" w:color="auto"/>
        <w:right w:val="none" w:sz="0" w:space="0" w:color="auto"/>
      </w:divBdr>
    </w:div>
    <w:div w:id="777289571">
      <w:bodyDiv w:val="1"/>
      <w:marLeft w:val="0"/>
      <w:marRight w:val="0"/>
      <w:marTop w:val="0"/>
      <w:marBottom w:val="0"/>
      <w:divBdr>
        <w:top w:val="none" w:sz="0" w:space="0" w:color="auto"/>
        <w:left w:val="none" w:sz="0" w:space="0" w:color="auto"/>
        <w:bottom w:val="none" w:sz="0" w:space="0" w:color="auto"/>
        <w:right w:val="none" w:sz="0" w:space="0" w:color="auto"/>
      </w:divBdr>
    </w:div>
    <w:div w:id="777912414">
      <w:bodyDiv w:val="1"/>
      <w:marLeft w:val="0"/>
      <w:marRight w:val="0"/>
      <w:marTop w:val="0"/>
      <w:marBottom w:val="0"/>
      <w:divBdr>
        <w:top w:val="none" w:sz="0" w:space="0" w:color="auto"/>
        <w:left w:val="none" w:sz="0" w:space="0" w:color="auto"/>
        <w:bottom w:val="none" w:sz="0" w:space="0" w:color="auto"/>
        <w:right w:val="none" w:sz="0" w:space="0" w:color="auto"/>
      </w:divBdr>
    </w:div>
    <w:div w:id="780032212">
      <w:bodyDiv w:val="1"/>
      <w:marLeft w:val="0"/>
      <w:marRight w:val="0"/>
      <w:marTop w:val="0"/>
      <w:marBottom w:val="0"/>
      <w:divBdr>
        <w:top w:val="none" w:sz="0" w:space="0" w:color="auto"/>
        <w:left w:val="none" w:sz="0" w:space="0" w:color="auto"/>
        <w:bottom w:val="none" w:sz="0" w:space="0" w:color="auto"/>
        <w:right w:val="none" w:sz="0" w:space="0" w:color="auto"/>
      </w:divBdr>
    </w:div>
    <w:div w:id="782532009">
      <w:bodyDiv w:val="1"/>
      <w:marLeft w:val="0"/>
      <w:marRight w:val="0"/>
      <w:marTop w:val="0"/>
      <w:marBottom w:val="0"/>
      <w:divBdr>
        <w:top w:val="none" w:sz="0" w:space="0" w:color="auto"/>
        <w:left w:val="none" w:sz="0" w:space="0" w:color="auto"/>
        <w:bottom w:val="none" w:sz="0" w:space="0" w:color="auto"/>
        <w:right w:val="none" w:sz="0" w:space="0" w:color="auto"/>
      </w:divBdr>
    </w:div>
    <w:div w:id="783235640">
      <w:bodyDiv w:val="1"/>
      <w:marLeft w:val="0"/>
      <w:marRight w:val="0"/>
      <w:marTop w:val="0"/>
      <w:marBottom w:val="0"/>
      <w:divBdr>
        <w:top w:val="none" w:sz="0" w:space="0" w:color="auto"/>
        <w:left w:val="none" w:sz="0" w:space="0" w:color="auto"/>
        <w:bottom w:val="none" w:sz="0" w:space="0" w:color="auto"/>
        <w:right w:val="none" w:sz="0" w:space="0" w:color="auto"/>
      </w:divBdr>
    </w:div>
    <w:div w:id="785202072">
      <w:bodyDiv w:val="1"/>
      <w:marLeft w:val="0"/>
      <w:marRight w:val="0"/>
      <w:marTop w:val="0"/>
      <w:marBottom w:val="0"/>
      <w:divBdr>
        <w:top w:val="none" w:sz="0" w:space="0" w:color="auto"/>
        <w:left w:val="none" w:sz="0" w:space="0" w:color="auto"/>
        <w:bottom w:val="none" w:sz="0" w:space="0" w:color="auto"/>
        <w:right w:val="none" w:sz="0" w:space="0" w:color="auto"/>
      </w:divBdr>
    </w:div>
    <w:div w:id="804469094">
      <w:bodyDiv w:val="1"/>
      <w:marLeft w:val="0"/>
      <w:marRight w:val="0"/>
      <w:marTop w:val="0"/>
      <w:marBottom w:val="0"/>
      <w:divBdr>
        <w:top w:val="none" w:sz="0" w:space="0" w:color="auto"/>
        <w:left w:val="none" w:sz="0" w:space="0" w:color="auto"/>
        <w:bottom w:val="none" w:sz="0" w:space="0" w:color="auto"/>
        <w:right w:val="none" w:sz="0" w:space="0" w:color="auto"/>
      </w:divBdr>
    </w:div>
    <w:div w:id="807865252">
      <w:bodyDiv w:val="1"/>
      <w:marLeft w:val="0"/>
      <w:marRight w:val="0"/>
      <w:marTop w:val="0"/>
      <w:marBottom w:val="0"/>
      <w:divBdr>
        <w:top w:val="none" w:sz="0" w:space="0" w:color="auto"/>
        <w:left w:val="none" w:sz="0" w:space="0" w:color="auto"/>
        <w:bottom w:val="none" w:sz="0" w:space="0" w:color="auto"/>
        <w:right w:val="none" w:sz="0" w:space="0" w:color="auto"/>
      </w:divBdr>
    </w:div>
    <w:div w:id="813790670">
      <w:bodyDiv w:val="1"/>
      <w:marLeft w:val="0"/>
      <w:marRight w:val="0"/>
      <w:marTop w:val="0"/>
      <w:marBottom w:val="0"/>
      <w:divBdr>
        <w:top w:val="none" w:sz="0" w:space="0" w:color="auto"/>
        <w:left w:val="none" w:sz="0" w:space="0" w:color="auto"/>
        <w:bottom w:val="none" w:sz="0" w:space="0" w:color="auto"/>
        <w:right w:val="none" w:sz="0" w:space="0" w:color="auto"/>
      </w:divBdr>
    </w:div>
    <w:div w:id="816800468">
      <w:bodyDiv w:val="1"/>
      <w:marLeft w:val="0"/>
      <w:marRight w:val="0"/>
      <w:marTop w:val="0"/>
      <w:marBottom w:val="0"/>
      <w:divBdr>
        <w:top w:val="none" w:sz="0" w:space="0" w:color="auto"/>
        <w:left w:val="none" w:sz="0" w:space="0" w:color="auto"/>
        <w:bottom w:val="none" w:sz="0" w:space="0" w:color="auto"/>
        <w:right w:val="none" w:sz="0" w:space="0" w:color="auto"/>
      </w:divBdr>
    </w:div>
    <w:div w:id="822477440">
      <w:bodyDiv w:val="1"/>
      <w:marLeft w:val="0"/>
      <w:marRight w:val="0"/>
      <w:marTop w:val="0"/>
      <w:marBottom w:val="0"/>
      <w:divBdr>
        <w:top w:val="none" w:sz="0" w:space="0" w:color="auto"/>
        <w:left w:val="none" w:sz="0" w:space="0" w:color="auto"/>
        <w:bottom w:val="none" w:sz="0" w:space="0" w:color="auto"/>
        <w:right w:val="none" w:sz="0" w:space="0" w:color="auto"/>
      </w:divBdr>
    </w:div>
    <w:div w:id="831991261">
      <w:bodyDiv w:val="1"/>
      <w:marLeft w:val="0"/>
      <w:marRight w:val="0"/>
      <w:marTop w:val="0"/>
      <w:marBottom w:val="0"/>
      <w:divBdr>
        <w:top w:val="none" w:sz="0" w:space="0" w:color="auto"/>
        <w:left w:val="none" w:sz="0" w:space="0" w:color="auto"/>
        <w:bottom w:val="none" w:sz="0" w:space="0" w:color="auto"/>
        <w:right w:val="none" w:sz="0" w:space="0" w:color="auto"/>
      </w:divBdr>
    </w:div>
    <w:div w:id="832600717">
      <w:bodyDiv w:val="1"/>
      <w:marLeft w:val="0"/>
      <w:marRight w:val="0"/>
      <w:marTop w:val="0"/>
      <w:marBottom w:val="0"/>
      <w:divBdr>
        <w:top w:val="none" w:sz="0" w:space="0" w:color="auto"/>
        <w:left w:val="none" w:sz="0" w:space="0" w:color="auto"/>
        <w:bottom w:val="none" w:sz="0" w:space="0" w:color="auto"/>
        <w:right w:val="none" w:sz="0" w:space="0" w:color="auto"/>
      </w:divBdr>
    </w:div>
    <w:div w:id="832910333">
      <w:bodyDiv w:val="1"/>
      <w:marLeft w:val="0"/>
      <w:marRight w:val="0"/>
      <w:marTop w:val="0"/>
      <w:marBottom w:val="0"/>
      <w:divBdr>
        <w:top w:val="none" w:sz="0" w:space="0" w:color="auto"/>
        <w:left w:val="none" w:sz="0" w:space="0" w:color="auto"/>
        <w:bottom w:val="none" w:sz="0" w:space="0" w:color="auto"/>
        <w:right w:val="none" w:sz="0" w:space="0" w:color="auto"/>
      </w:divBdr>
    </w:div>
    <w:div w:id="835533021">
      <w:bodyDiv w:val="1"/>
      <w:marLeft w:val="0"/>
      <w:marRight w:val="0"/>
      <w:marTop w:val="0"/>
      <w:marBottom w:val="0"/>
      <w:divBdr>
        <w:top w:val="none" w:sz="0" w:space="0" w:color="auto"/>
        <w:left w:val="none" w:sz="0" w:space="0" w:color="auto"/>
        <w:bottom w:val="none" w:sz="0" w:space="0" w:color="auto"/>
        <w:right w:val="none" w:sz="0" w:space="0" w:color="auto"/>
      </w:divBdr>
    </w:div>
    <w:div w:id="835994537">
      <w:bodyDiv w:val="1"/>
      <w:marLeft w:val="0"/>
      <w:marRight w:val="0"/>
      <w:marTop w:val="0"/>
      <w:marBottom w:val="0"/>
      <w:divBdr>
        <w:top w:val="none" w:sz="0" w:space="0" w:color="auto"/>
        <w:left w:val="none" w:sz="0" w:space="0" w:color="auto"/>
        <w:bottom w:val="none" w:sz="0" w:space="0" w:color="auto"/>
        <w:right w:val="none" w:sz="0" w:space="0" w:color="auto"/>
      </w:divBdr>
    </w:div>
    <w:div w:id="838615984">
      <w:bodyDiv w:val="1"/>
      <w:marLeft w:val="0"/>
      <w:marRight w:val="0"/>
      <w:marTop w:val="0"/>
      <w:marBottom w:val="0"/>
      <w:divBdr>
        <w:top w:val="none" w:sz="0" w:space="0" w:color="auto"/>
        <w:left w:val="none" w:sz="0" w:space="0" w:color="auto"/>
        <w:bottom w:val="none" w:sz="0" w:space="0" w:color="auto"/>
        <w:right w:val="none" w:sz="0" w:space="0" w:color="auto"/>
      </w:divBdr>
    </w:div>
    <w:div w:id="840900107">
      <w:bodyDiv w:val="1"/>
      <w:marLeft w:val="0"/>
      <w:marRight w:val="0"/>
      <w:marTop w:val="0"/>
      <w:marBottom w:val="0"/>
      <w:divBdr>
        <w:top w:val="none" w:sz="0" w:space="0" w:color="auto"/>
        <w:left w:val="none" w:sz="0" w:space="0" w:color="auto"/>
        <w:bottom w:val="none" w:sz="0" w:space="0" w:color="auto"/>
        <w:right w:val="none" w:sz="0" w:space="0" w:color="auto"/>
      </w:divBdr>
    </w:div>
    <w:div w:id="842624543">
      <w:bodyDiv w:val="1"/>
      <w:marLeft w:val="0"/>
      <w:marRight w:val="0"/>
      <w:marTop w:val="0"/>
      <w:marBottom w:val="0"/>
      <w:divBdr>
        <w:top w:val="none" w:sz="0" w:space="0" w:color="auto"/>
        <w:left w:val="none" w:sz="0" w:space="0" w:color="auto"/>
        <w:bottom w:val="none" w:sz="0" w:space="0" w:color="auto"/>
        <w:right w:val="none" w:sz="0" w:space="0" w:color="auto"/>
      </w:divBdr>
    </w:div>
    <w:div w:id="855460021">
      <w:bodyDiv w:val="1"/>
      <w:marLeft w:val="0"/>
      <w:marRight w:val="0"/>
      <w:marTop w:val="0"/>
      <w:marBottom w:val="0"/>
      <w:divBdr>
        <w:top w:val="none" w:sz="0" w:space="0" w:color="auto"/>
        <w:left w:val="none" w:sz="0" w:space="0" w:color="auto"/>
        <w:bottom w:val="none" w:sz="0" w:space="0" w:color="auto"/>
        <w:right w:val="none" w:sz="0" w:space="0" w:color="auto"/>
      </w:divBdr>
    </w:div>
    <w:div w:id="858616246">
      <w:bodyDiv w:val="1"/>
      <w:marLeft w:val="0"/>
      <w:marRight w:val="0"/>
      <w:marTop w:val="0"/>
      <w:marBottom w:val="0"/>
      <w:divBdr>
        <w:top w:val="none" w:sz="0" w:space="0" w:color="auto"/>
        <w:left w:val="none" w:sz="0" w:space="0" w:color="auto"/>
        <w:bottom w:val="none" w:sz="0" w:space="0" w:color="auto"/>
        <w:right w:val="none" w:sz="0" w:space="0" w:color="auto"/>
      </w:divBdr>
    </w:div>
    <w:div w:id="881937827">
      <w:bodyDiv w:val="1"/>
      <w:marLeft w:val="0"/>
      <w:marRight w:val="0"/>
      <w:marTop w:val="0"/>
      <w:marBottom w:val="0"/>
      <w:divBdr>
        <w:top w:val="none" w:sz="0" w:space="0" w:color="auto"/>
        <w:left w:val="none" w:sz="0" w:space="0" w:color="auto"/>
        <w:bottom w:val="none" w:sz="0" w:space="0" w:color="auto"/>
        <w:right w:val="none" w:sz="0" w:space="0" w:color="auto"/>
      </w:divBdr>
    </w:div>
    <w:div w:id="882408288">
      <w:bodyDiv w:val="1"/>
      <w:marLeft w:val="0"/>
      <w:marRight w:val="0"/>
      <w:marTop w:val="0"/>
      <w:marBottom w:val="0"/>
      <w:divBdr>
        <w:top w:val="none" w:sz="0" w:space="0" w:color="auto"/>
        <w:left w:val="none" w:sz="0" w:space="0" w:color="auto"/>
        <w:bottom w:val="none" w:sz="0" w:space="0" w:color="auto"/>
        <w:right w:val="none" w:sz="0" w:space="0" w:color="auto"/>
      </w:divBdr>
    </w:div>
    <w:div w:id="885719225">
      <w:bodyDiv w:val="1"/>
      <w:marLeft w:val="0"/>
      <w:marRight w:val="0"/>
      <w:marTop w:val="0"/>
      <w:marBottom w:val="0"/>
      <w:divBdr>
        <w:top w:val="none" w:sz="0" w:space="0" w:color="auto"/>
        <w:left w:val="none" w:sz="0" w:space="0" w:color="auto"/>
        <w:bottom w:val="none" w:sz="0" w:space="0" w:color="auto"/>
        <w:right w:val="none" w:sz="0" w:space="0" w:color="auto"/>
      </w:divBdr>
    </w:div>
    <w:div w:id="893541787">
      <w:bodyDiv w:val="1"/>
      <w:marLeft w:val="0"/>
      <w:marRight w:val="0"/>
      <w:marTop w:val="0"/>
      <w:marBottom w:val="0"/>
      <w:divBdr>
        <w:top w:val="none" w:sz="0" w:space="0" w:color="auto"/>
        <w:left w:val="none" w:sz="0" w:space="0" w:color="auto"/>
        <w:bottom w:val="none" w:sz="0" w:space="0" w:color="auto"/>
        <w:right w:val="none" w:sz="0" w:space="0" w:color="auto"/>
      </w:divBdr>
    </w:div>
    <w:div w:id="894775142">
      <w:bodyDiv w:val="1"/>
      <w:marLeft w:val="0"/>
      <w:marRight w:val="0"/>
      <w:marTop w:val="0"/>
      <w:marBottom w:val="0"/>
      <w:divBdr>
        <w:top w:val="none" w:sz="0" w:space="0" w:color="auto"/>
        <w:left w:val="none" w:sz="0" w:space="0" w:color="auto"/>
        <w:bottom w:val="none" w:sz="0" w:space="0" w:color="auto"/>
        <w:right w:val="none" w:sz="0" w:space="0" w:color="auto"/>
      </w:divBdr>
    </w:div>
    <w:div w:id="896353736">
      <w:bodyDiv w:val="1"/>
      <w:marLeft w:val="0"/>
      <w:marRight w:val="0"/>
      <w:marTop w:val="0"/>
      <w:marBottom w:val="0"/>
      <w:divBdr>
        <w:top w:val="none" w:sz="0" w:space="0" w:color="auto"/>
        <w:left w:val="none" w:sz="0" w:space="0" w:color="auto"/>
        <w:bottom w:val="none" w:sz="0" w:space="0" w:color="auto"/>
        <w:right w:val="none" w:sz="0" w:space="0" w:color="auto"/>
      </w:divBdr>
    </w:div>
    <w:div w:id="896402701">
      <w:bodyDiv w:val="1"/>
      <w:marLeft w:val="0"/>
      <w:marRight w:val="0"/>
      <w:marTop w:val="0"/>
      <w:marBottom w:val="0"/>
      <w:divBdr>
        <w:top w:val="none" w:sz="0" w:space="0" w:color="auto"/>
        <w:left w:val="none" w:sz="0" w:space="0" w:color="auto"/>
        <w:bottom w:val="none" w:sz="0" w:space="0" w:color="auto"/>
        <w:right w:val="none" w:sz="0" w:space="0" w:color="auto"/>
      </w:divBdr>
    </w:div>
    <w:div w:id="897935758">
      <w:bodyDiv w:val="1"/>
      <w:marLeft w:val="0"/>
      <w:marRight w:val="0"/>
      <w:marTop w:val="0"/>
      <w:marBottom w:val="0"/>
      <w:divBdr>
        <w:top w:val="none" w:sz="0" w:space="0" w:color="auto"/>
        <w:left w:val="none" w:sz="0" w:space="0" w:color="auto"/>
        <w:bottom w:val="none" w:sz="0" w:space="0" w:color="auto"/>
        <w:right w:val="none" w:sz="0" w:space="0" w:color="auto"/>
      </w:divBdr>
    </w:div>
    <w:div w:id="900990633">
      <w:bodyDiv w:val="1"/>
      <w:marLeft w:val="0"/>
      <w:marRight w:val="0"/>
      <w:marTop w:val="0"/>
      <w:marBottom w:val="0"/>
      <w:divBdr>
        <w:top w:val="none" w:sz="0" w:space="0" w:color="auto"/>
        <w:left w:val="none" w:sz="0" w:space="0" w:color="auto"/>
        <w:bottom w:val="none" w:sz="0" w:space="0" w:color="auto"/>
        <w:right w:val="none" w:sz="0" w:space="0" w:color="auto"/>
      </w:divBdr>
    </w:div>
    <w:div w:id="901217892">
      <w:bodyDiv w:val="1"/>
      <w:marLeft w:val="0"/>
      <w:marRight w:val="0"/>
      <w:marTop w:val="0"/>
      <w:marBottom w:val="0"/>
      <w:divBdr>
        <w:top w:val="none" w:sz="0" w:space="0" w:color="auto"/>
        <w:left w:val="none" w:sz="0" w:space="0" w:color="auto"/>
        <w:bottom w:val="none" w:sz="0" w:space="0" w:color="auto"/>
        <w:right w:val="none" w:sz="0" w:space="0" w:color="auto"/>
      </w:divBdr>
    </w:div>
    <w:div w:id="904993840">
      <w:bodyDiv w:val="1"/>
      <w:marLeft w:val="0"/>
      <w:marRight w:val="0"/>
      <w:marTop w:val="0"/>
      <w:marBottom w:val="0"/>
      <w:divBdr>
        <w:top w:val="none" w:sz="0" w:space="0" w:color="auto"/>
        <w:left w:val="none" w:sz="0" w:space="0" w:color="auto"/>
        <w:bottom w:val="none" w:sz="0" w:space="0" w:color="auto"/>
        <w:right w:val="none" w:sz="0" w:space="0" w:color="auto"/>
      </w:divBdr>
    </w:div>
    <w:div w:id="905795532">
      <w:bodyDiv w:val="1"/>
      <w:marLeft w:val="0"/>
      <w:marRight w:val="0"/>
      <w:marTop w:val="0"/>
      <w:marBottom w:val="0"/>
      <w:divBdr>
        <w:top w:val="none" w:sz="0" w:space="0" w:color="auto"/>
        <w:left w:val="none" w:sz="0" w:space="0" w:color="auto"/>
        <w:bottom w:val="none" w:sz="0" w:space="0" w:color="auto"/>
        <w:right w:val="none" w:sz="0" w:space="0" w:color="auto"/>
      </w:divBdr>
    </w:div>
    <w:div w:id="905844867">
      <w:bodyDiv w:val="1"/>
      <w:marLeft w:val="0"/>
      <w:marRight w:val="0"/>
      <w:marTop w:val="0"/>
      <w:marBottom w:val="0"/>
      <w:divBdr>
        <w:top w:val="none" w:sz="0" w:space="0" w:color="auto"/>
        <w:left w:val="none" w:sz="0" w:space="0" w:color="auto"/>
        <w:bottom w:val="none" w:sz="0" w:space="0" w:color="auto"/>
        <w:right w:val="none" w:sz="0" w:space="0" w:color="auto"/>
      </w:divBdr>
    </w:div>
    <w:div w:id="907301703">
      <w:bodyDiv w:val="1"/>
      <w:marLeft w:val="0"/>
      <w:marRight w:val="0"/>
      <w:marTop w:val="0"/>
      <w:marBottom w:val="0"/>
      <w:divBdr>
        <w:top w:val="none" w:sz="0" w:space="0" w:color="auto"/>
        <w:left w:val="none" w:sz="0" w:space="0" w:color="auto"/>
        <w:bottom w:val="none" w:sz="0" w:space="0" w:color="auto"/>
        <w:right w:val="none" w:sz="0" w:space="0" w:color="auto"/>
      </w:divBdr>
    </w:div>
    <w:div w:id="908148177">
      <w:bodyDiv w:val="1"/>
      <w:marLeft w:val="0"/>
      <w:marRight w:val="0"/>
      <w:marTop w:val="0"/>
      <w:marBottom w:val="0"/>
      <w:divBdr>
        <w:top w:val="none" w:sz="0" w:space="0" w:color="auto"/>
        <w:left w:val="none" w:sz="0" w:space="0" w:color="auto"/>
        <w:bottom w:val="none" w:sz="0" w:space="0" w:color="auto"/>
        <w:right w:val="none" w:sz="0" w:space="0" w:color="auto"/>
      </w:divBdr>
    </w:div>
    <w:div w:id="908534273">
      <w:bodyDiv w:val="1"/>
      <w:marLeft w:val="0"/>
      <w:marRight w:val="0"/>
      <w:marTop w:val="0"/>
      <w:marBottom w:val="0"/>
      <w:divBdr>
        <w:top w:val="none" w:sz="0" w:space="0" w:color="auto"/>
        <w:left w:val="none" w:sz="0" w:space="0" w:color="auto"/>
        <w:bottom w:val="none" w:sz="0" w:space="0" w:color="auto"/>
        <w:right w:val="none" w:sz="0" w:space="0" w:color="auto"/>
      </w:divBdr>
    </w:div>
    <w:div w:id="908806361">
      <w:bodyDiv w:val="1"/>
      <w:marLeft w:val="0"/>
      <w:marRight w:val="0"/>
      <w:marTop w:val="0"/>
      <w:marBottom w:val="0"/>
      <w:divBdr>
        <w:top w:val="none" w:sz="0" w:space="0" w:color="auto"/>
        <w:left w:val="none" w:sz="0" w:space="0" w:color="auto"/>
        <w:bottom w:val="none" w:sz="0" w:space="0" w:color="auto"/>
        <w:right w:val="none" w:sz="0" w:space="0" w:color="auto"/>
      </w:divBdr>
    </w:div>
    <w:div w:id="909074402">
      <w:bodyDiv w:val="1"/>
      <w:marLeft w:val="0"/>
      <w:marRight w:val="0"/>
      <w:marTop w:val="0"/>
      <w:marBottom w:val="0"/>
      <w:divBdr>
        <w:top w:val="none" w:sz="0" w:space="0" w:color="auto"/>
        <w:left w:val="none" w:sz="0" w:space="0" w:color="auto"/>
        <w:bottom w:val="none" w:sz="0" w:space="0" w:color="auto"/>
        <w:right w:val="none" w:sz="0" w:space="0" w:color="auto"/>
      </w:divBdr>
    </w:div>
    <w:div w:id="911816249">
      <w:bodyDiv w:val="1"/>
      <w:marLeft w:val="0"/>
      <w:marRight w:val="0"/>
      <w:marTop w:val="0"/>
      <w:marBottom w:val="0"/>
      <w:divBdr>
        <w:top w:val="none" w:sz="0" w:space="0" w:color="auto"/>
        <w:left w:val="none" w:sz="0" w:space="0" w:color="auto"/>
        <w:bottom w:val="none" w:sz="0" w:space="0" w:color="auto"/>
        <w:right w:val="none" w:sz="0" w:space="0" w:color="auto"/>
      </w:divBdr>
    </w:div>
    <w:div w:id="915630077">
      <w:bodyDiv w:val="1"/>
      <w:marLeft w:val="0"/>
      <w:marRight w:val="0"/>
      <w:marTop w:val="0"/>
      <w:marBottom w:val="0"/>
      <w:divBdr>
        <w:top w:val="none" w:sz="0" w:space="0" w:color="auto"/>
        <w:left w:val="none" w:sz="0" w:space="0" w:color="auto"/>
        <w:bottom w:val="none" w:sz="0" w:space="0" w:color="auto"/>
        <w:right w:val="none" w:sz="0" w:space="0" w:color="auto"/>
      </w:divBdr>
    </w:div>
    <w:div w:id="919145498">
      <w:bodyDiv w:val="1"/>
      <w:marLeft w:val="0"/>
      <w:marRight w:val="0"/>
      <w:marTop w:val="0"/>
      <w:marBottom w:val="0"/>
      <w:divBdr>
        <w:top w:val="none" w:sz="0" w:space="0" w:color="auto"/>
        <w:left w:val="none" w:sz="0" w:space="0" w:color="auto"/>
        <w:bottom w:val="none" w:sz="0" w:space="0" w:color="auto"/>
        <w:right w:val="none" w:sz="0" w:space="0" w:color="auto"/>
      </w:divBdr>
    </w:div>
    <w:div w:id="919363691">
      <w:bodyDiv w:val="1"/>
      <w:marLeft w:val="0"/>
      <w:marRight w:val="0"/>
      <w:marTop w:val="0"/>
      <w:marBottom w:val="0"/>
      <w:divBdr>
        <w:top w:val="none" w:sz="0" w:space="0" w:color="auto"/>
        <w:left w:val="none" w:sz="0" w:space="0" w:color="auto"/>
        <w:bottom w:val="none" w:sz="0" w:space="0" w:color="auto"/>
        <w:right w:val="none" w:sz="0" w:space="0" w:color="auto"/>
      </w:divBdr>
    </w:div>
    <w:div w:id="919631291">
      <w:bodyDiv w:val="1"/>
      <w:marLeft w:val="0"/>
      <w:marRight w:val="0"/>
      <w:marTop w:val="0"/>
      <w:marBottom w:val="0"/>
      <w:divBdr>
        <w:top w:val="none" w:sz="0" w:space="0" w:color="auto"/>
        <w:left w:val="none" w:sz="0" w:space="0" w:color="auto"/>
        <w:bottom w:val="none" w:sz="0" w:space="0" w:color="auto"/>
        <w:right w:val="none" w:sz="0" w:space="0" w:color="auto"/>
      </w:divBdr>
    </w:div>
    <w:div w:id="924337186">
      <w:bodyDiv w:val="1"/>
      <w:marLeft w:val="0"/>
      <w:marRight w:val="0"/>
      <w:marTop w:val="0"/>
      <w:marBottom w:val="0"/>
      <w:divBdr>
        <w:top w:val="none" w:sz="0" w:space="0" w:color="auto"/>
        <w:left w:val="none" w:sz="0" w:space="0" w:color="auto"/>
        <w:bottom w:val="none" w:sz="0" w:space="0" w:color="auto"/>
        <w:right w:val="none" w:sz="0" w:space="0" w:color="auto"/>
      </w:divBdr>
    </w:div>
    <w:div w:id="927083707">
      <w:bodyDiv w:val="1"/>
      <w:marLeft w:val="0"/>
      <w:marRight w:val="0"/>
      <w:marTop w:val="0"/>
      <w:marBottom w:val="0"/>
      <w:divBdr>
        <w:top w:val="none" w:sz="0" w:space="0" w:color="auto"/>
        <w:left w:val="none" w:sz="0" w:space="0" w:color="auto"/>
        <w:bottom w:val="none" w:sz="0" w:space="0" w:color="auto"/>
        <w:right w:val="none" w:sz="0" w:space="0" w:color="auto"/>
      </w:divBdr>
    </w:div>
    <w:div w:id="928738141">
      <w:bodyDiv w:val="1"/>
      <w:marLeft w:val="0"/>
      <w:marRight w:val="0"/>
      <w:marTop w:val="0"/>
      <w:marBottom w:val="0"/>
      <w:divBdr>
        <w:top w:val="none" w:sz="0" w:space="0" w:color="auto"/>
        <w:left w:val="none" w:sz="0" w:space="0" w:color="auto"/>
        <w:bottom w:val="none" w:sz="0" w:space="0" w:color="auto"/>
        <w:right w:val="none" w:sz="0" w:space="0" w:color="auto"/>
      </w:divBdr>
    </w:div>
    <w:div w:id="928777176">
      <w:bodyDiv w:val="1"/>
      <w:marLeft w:val="0"/>
      <w:marRight w:val="0"/>
      <w:marTop w:val="0"/>
      <w:marBottom w:val="0"/>
      <w:divBdr>
        <w:top w:val="none" w:sz="0" w:space="0" w:color="auto"/>
        <w:left w:val="none" w:sz="0" w:space="0" w:color="auto"/>
        <w:bottom w:val="none" w:sz="0" w:space="0" w:color="auto"/>
        <w:right w:val="none" w:sz="0" w:space="0" w:color="auto"/>
      </w:divBdr>
    </w:div>
    <w:div w:id="929898158">
      <w:bodyDiv w:val="1"/>
      <w:marLeft w:val="0"/>
      <w:marRight w:val="0"/>
      <w:marTop w:val="0"/>
      <w:marBottom w:val="0"/>
      <w:divBdr>
        <w:top w:val="none" w:sz="0" w:space="0" w:color="auto"/>
        <w:left w:val="none" w:sz="0" w:space="0" w:color="auto"/>
        <w:bottom w:val="none" w:sz="0" w:space="0" w:color="auto"/>
        <w:right w:val="none" w:sz="0" w:space="0" w:color="auto"/>
      </w:divBdr>
    </w:div>
    <w:div w:id="931741211">
      <w:bodyDiv w:val="1"/>
      <w:marLeft w:val="0"/>
      <w:marRight w:val="0"/>
      <w:marTop w:val="0"/>
      <w:marBottom w:val="0"/>
      <w:divBdr>
        <w:top w:val="none" w:sz="0" w:space="0" w:color="auto"/>
        <w:left w:val="none" w:sz="0" w:space="0" w:color="auto"/>
        <w:bottom w:val="none" w:sz="0" w:space="0" w:color="auto"/>
        <w:right w:val="none" w:sz="0" w:space="0" w:color="auto"/>
      </w:divBdr>
    </w:div>
    <w:div w:id="932512357">
      <w:bodyDiv w:val="1"/>
      <w:marLeft w:val="0"/>
      <w:marRight w:val="0"/>
      <w:marTop w:val="0"/>
      <w:marBottom w:val="0"/>
      <w:divBdr>
        <w:top w:val="none" w:sz="0" w:space="0" w:color="auto"/>
        <w:left w:val="none" w:sz="0" w:space="0" w:color="auto"/>
        <w:bottom w:val="none" w:sz="0" w:space="0" w:color="auto"/>
        <w:right w:val="none" w:sz="0" w:space="0" w:color="auto"/>
      </w:divBdr>
    </w:div>
    <w:div w:id="936055817">
      <w:bodyDiv w:val="1"/>
      <w:marLeft w:val="0"/>
      <w:marRight w:val="0"/>
      <w:marTop w:val="0"/>
      <w:marBottom w:val="0"/>
      <w:divBdr>
        <w:top w:val="none" w:sz="0" w:space="0" w:color="auto"/>
        <w:left w:val="none" w:sz="0" w:space="0" w:color="auto"/>
        <w:bottom w:val="none" w:sz="0" w:space="0" w:color="auto"/>
        <w:right w:val="none" w:sz="0" w:space="0" w:color="auto"/>
      </w:divBdr>
    </w:div>
    <w:div w:id="940069212">
      <w:bodyDiv w:val="1"/>
      <w:marLeft w:val="0"/>
      <w:marRight w:val="0"/>
      <w:marTop w:val="0"/>
      <w:marBottom w:val="0"/>
      <w:divBdr>
        <w:top w:val="none" w:sz="0" w:space="0" w:color="auto"/>
        <w:left w:val="none" w:sz="0" w:space="0" w:color="auto"/>
        <w:bottom w:val="none" w:sz="0" w:space="0" w:color="auto"/>
        <w:right w:val="none" w:sz="0" w:space="0" w:color="auto"/>
      </w:divBdr>
    </w:div>
    <w:div w:id="941378706">
      <w:bodyDiv w:val="1"/>
      <w:marLeft w:val="0"/>
      <w:marRight w:val="0"/>
      <w:marTop w:val="0"/>
      <w:marBottom w:val="0"/>
      <w:divBdr>
        <w:top w:val="none" w:sz="0" w:space="0" w:color="auto"/>
        <w:left w:val="none" w:sz="0" w:space="0" w:color="auto"/>
        <w:bottom w:val="none" w:sz="0" w:space="0" w:color="auto"/>
        <w:right w:val="none" w:sz="0" w:space="0" w:color="auto"/>
      </w:divBdr>
    </w:div>
    <w:div w:id="943532198">
      <w:bodyDiv w:val="1"/>
      <w:marLeft w:val="0"/>
      <w:marRight w:val="0"/>
      <w:marTop w:val="0"/>
      <w:marBottom w:val="0"/>
      <w:divBdr>
        <w:top w:val="none" w:sz="0" w:space="0" w:color="auto"/>
        <w:left w:val="none" w:sz="0" w:space="0" w:color="auto"/>
        <w:bottom w:val="none" w:sz="0" w:space="0" w:color="auto"/>
        <w:right w:val="none" w:sz="0" w:space="0" w:color="auto"/>
      </w:divBdr>
    </w:div>
    <w:div w:id="947009488">
      <w:bodyDiv w:val="1"/>
      <w:marLeft w:val="0"/>
      <w:marRight w:val="0"/>
      <w:marTop w:val="0"/>
      <w:marBottom w:val="0"/>
      <w:divBdr>
        <w:top w:val="none" w:sz="0" w:space="0" w:color="auto"/>
        <w:left w:val="none" w:sz="0" w:space="0" w:color="auto"/>
        <w:bottom w:val="none" w:sz="0" w:space="0" w:color="auto"/>
        <w:right w:val="none" w:sz="0" w:space="0" w:color="auto"/>
      </w:divBdr>
    </w:div>
    <w:div w:id="948927685">
      <w:bodyDiv w:val="1"/>
      <w:marLeft w:val="0"/>
      <w:marRight w:val="0"/>
      <w:marTop w:val="0"/>
      <w:marBottom w:val="0"/>
      <w:divBdr>
        <w:top w:val="none" w:sz="0" w:space="0" w:color="auto"/>
        <w:left w:val="none" w:sz="0" w:space="0" w:color="auto"/>
        <w:bottom w:val="none" w:sz="0" w:space="0" w:color="auto"/>
        <w:right w:val="none" w:sz="0" w:space="0" w:color="auto"/>
      </w:divBdr>
    </w:div>
    <w:div w:id="950018356">
      <w:bodyDiv w:val="1"/>
      <w:marLeft w:val="0"/>
      <w:marRight w:val="0"/>
      <w:marTop w:val="0"/>
      <w:marBottom w:val="0"/>
      <w:divBdr>
        <w:top w:val="none" w:sz="0" w:space="0" w:color="auto"/>
        <w:left w:val="none" w:sz="0" w:space="0" w:color="auto"/>
        <w:bottom w:val="none" w:sz="0" w:space="0" w:color="auto"/>
        <w:right w:val="none" w:sz="0" w:space="0" w:color="auto"/>
      </w:divBdr>
    </w:div>
    <w:div w:id="950818582">
      <w:bodyDiv w:val="1"/>
      <w:marLeft w:val="0"/>
      <w:marRight w:val="0"/>
      <w:marTop w:val="0"/>
      <w:marBottom w:val="0"/>
      <w:divBdr>
        <w:top w:val="none" w:sz="0" w:space="0" w:color="auto"/>
        <w:left w:val="none" w:sz="0" w:space="0" w:color="auto"/>
        <w:bottom w:val="none" w:sz="0" w:space="0" w:color="auto"/>
        <w:right w:val="none" w:sz="0" w:space="0" w:color="auto"/>
      </w:divBdr>
    </w:div>
    <w:div w:id="951206287">
      <w:bodyDiv w:val="1"/>
      <w:marLeft w:val="0"/>
      <w:marRight w:val="0"/>
      <w:marTop w:val="0"/>
      <w:marBottom w:val="0"/>
      <w:divBdr>
        <w:top w:val="none" w:sz="0" w:space="0" w:color="auto"/>
        <w:left w:val="none" w:sz="0" w:space="0" w:color="auto"/>
        <w:bottom w:val="none" w:sz="0" w:space="0" w:color="auto"/>
        <w:right w:val="none" w:sz="0" w:space="0" w:color="auto"/>
      </w:divBdr>
    </w:div>
    <w:div w:id="953443371">
      <w:bodyDiv w:val="1"/>
      <w:marLeft w:val="0"/>
      <w:marRight w:val="0"/>
      <w:marTop w:val="0"/>
      <w:marBottom w:val="0"/>
      <w:divBdr>
        <w:top w:val="none" w:sz="0" w:space="0" w:color="auto"/>
        <w:left w:val="none" w:sz="0" w:space="0" w:color="auto"/>
        <w:bottom w:val="none" w:sz="0" w:space="0" w:color="auto"/>
        <w:right w:val="none" w:sz="0" w:space="0" w:color="auto"/>
      </w:divBdr>
    </w:div>
    <w:div w:id="962226561">
      <w:bodyDiv w:val="1"/>
      <w:marLeft w:val="0"/>
      <w:marRight w:val="0"/>
      <w:marTop w:val="0"/>
      <w:marBottom w:val="0"/>
      <w:divBdr>
        <w:top w:val="none" w:sz="0" w:space="0" w:color="auto"/>
        <w:left w:val="none" w:sz="0" w:space="0" w:color="auto"/>
        <w:bottom w:val="none" w:sz="0" w:space="0" w:color="auto"/>
        <w:right w:val="none" w:sz="0" w:space="0" w:color="auto"/>
      </w:divBdr>
    </w:div>
    <w:div w:id="965743378">
      <w:bodyDiv w:val="1"/>
      <w:marLeft w:val="0"/>
      <w:marRight w:val="0"/>
      <w:marTop w:val="0"/>
      <w:marBottom w:val="0"/>
      <w:divBdr>
        <w:top w:val="none" w:sz="0" w:space="0" w:color="auto"/>
        <w:left w:val="none" w:sz="0" w:space="0" w:color="auto"/>
        <w:bottom w:val="none" w:sz="0" w:space="0" w:color="auto"/>
        <w:right w:val="none" w:sz="0" w:space="0" w:color="auto"/>
      </w:divBdr>
    </w:div>
    <w:div w:id="966198603">
      <w:bodyDiv w:val="1"/>
      <w:marLeft w:val="0"/>
      <w:marRight w:val="0"/>
      <w:marTop w:val="0"/>
      <w:marBottom w:val="0"/>
      <w:divBdr>
        <w:top w:val="none" w:sz="0" w:space="0" w:color="auto"/>
        <w:left w:val="none" w:sz="0" w:space="0" w:color="auto"/>
        <w:bottom w:val="none" w:sz="0" w:space="0" w:color="auto"/>
        <w:right w:val="none" w:sz="0" w:space="0" w:color="auto"/>
      </w:divBdr>
    </w:div>
    <w:div w:id="975186731">
      <w:bodyDiv w:val="1"/>
      <w:marLeft w:val="0"/>
      <w:marRight w:val="0"/>
      <w:marTop w:val="0"/>
      <w:marBottom w:val="0"/>
      <w:divBdr>
        <w:top w:val="none" w:sz="0" w:space="0" w:color="auto"/>
        <w:left w:val="none" w:sz="0" w:space="0" w:color="auto"/>
        <w:bottom w:val="none" w:sz="0" w:space="0" w:color="auto"/>
        <w:right w:val="none" w:sz="0" w:space="0" w:color="auto"/>
      </w:divBdr>
    </w:div>
    <w:div w:id="976911576">
      <w:bodyDiv w:val="1"/>
      <w:marLeft w:val="0"/>
      <w:marRight w:val="0"/>
      <w:marTop w:val="0"/>
      <w:marBottom w:val="0"/>
      <w:divBdr>
        <w:top w:val="none" w:sz="0" w:space="0" w:color="auto"/>
        <w:left w:val="none" w:sz="0" w:space="0" w:color="auto"/>
        <w:bottom w:val="none" w:sz="0" w:space="0" w:color="auto"/>
        <w:right w:val="none" w:sz="0" w:space="0" w:color="auto"/>
      </w:divBdr>
    </w:div>
    <w:div w:id="980771604">
      <w:bodyDiv w:val="1"/>
      <w:marLeft w:val="0"/>
      <w:marRight w:val="0"/>
      <w:marTop w:val="0"/>
      <w:marBottom w:val="0"/>
      <w:divBdr>
        <w:top w:val="none" w:sz="0" w:space="0" w:color="auto"/>
        <w:left w:val="none" w:sz="0" w:space="0" w:color="auto"/>
        <w:bottom w:val="none" w:sz="0" w:space="0" w:color="auto"/>
        <w:right w:val="none" w:sz="0" w:space="0" w:color="auto"/>
      </w:divBdr>
    </w:div>
    <w:div w:id="982848620">
      <w:bodyDiv w:val="1"/>
      <w:marLeft w:val="0"/>
      <w:marRight w:val="0"/>
      <w:marTop w:val="0"/>
      <w:marBottom w:val="0"/>
      <w:divBdr>
        <w:top w:val="none" w:sz="0" w:space="0" w:color="auto"/>
        <w:left w:val="none" w:sz="0" w:space="0" w:color="auto"/>
        <w:bottom w:val="none" w:sz="0" w:space="0" w:color="auto"/>
        <w:right w:val="none" w:sz="0" w:space="0" w:color="auto"/>
      </w:divBdr>
    </w:div>
    <w:div w:id="983781347">
      <w:bodyDiv w:val="1"/>
      <w:marLeft w:val="0"/>
      <w:marRight w:val="0"/>
      <w:marTop w:val="0"/>
      <w:marBottom w:val="0"/>
      <w:divBdr>
        <w:top w:val="none" w:sz="0" w:space="0" w:color="auto"/>
        <w:left w:val="none" w:sz="0" w:space="0" w:color="auto"/>
        <w:bottom w:val="none" w:sz="0" w:space="0" w:color="auto"/>
        <w:right w:val="none" w:sz="0" w:space="0" w:color="auto"/>
      </w:divBdr>
    </w:div>
    <w:div w:id="986399443">
      <w:bodyDiv w:val="1"/>
      <w:marLeft w:val="0"/>
      <w:marRight w:val="0"/>
      <w:marTop w:val="0"/>
      <w:marBottom w:val="0"/>
      <w:divBdr>
        <w:top w:val="none" w:sz="0" w:space="0" w:color="auto"/>
        <w:left w:val="none" w:sz="0" w:space="0" w:color="auto"/>
        <w:bottom w:val="none" w:sz="0" w:space="0" w:color="auto"/>
        <w:right w:val="none" w:sz="0" w:space="0" w:color="auto"/>
      </w:divBdr>
    </w:div>
    <w:div w:id="988707775">
      <w:bodyDiv w:val="1"/>
      <w:marLeft w:val="0"/>
      <w:marRight w:val="0"/>
      <w:marTop w:val="0"/>
      <w:marBottom w:val="0"/>
      <w:divBdr>
        <w:top w:val="none" w:sz="0" w:space="0" w:color="auto"/>
        <w:left w:val="none" w:sz="0" w:space="0" w:color="auto"/>
        <w:bottom w:val="none" w:sz="0" w:space="0" w:color="auto"/>
        <w:right w:val="none" w:sz="0" w:space="0" w:color="auto"/>
      </w:divBdr>
    </w:div>
    <w:div w:id="990132892">
      <w:bodyDiv w:val="1"/>
      <w:marLeft w:val="0"/>
      <w:marRight w:val="0"/>
      <w:marTop w:val="0"/>
      <w:marBottom w:val="0"/>
      <w:divBdr>
        <w:top w:val="none" w:sz="0" w:space="0" w:color="auto"/>
        <w:left w:val="none" w:sz="0" w:space="0" w:color="auto"/>
        <w:bottom w:val="none" w:sz="0" w:space="0" w:color="auto"/>
        <w:right w:val="none" w:sz="0" w:space="0" w:color="auto"/>
      </w:divBdr>
    </w:div>
    <w:div w:id="990407513">
      <w:bodyDiv w:val="1"/>
      <w:marLeft w:val="0"/>
      <w:marRight w:val="0"/>
      <w:marTop w:val="0"/>
      <w:marBottom w:val="0"/>
      <w:divBdr>
        <w:top w:val="none" w:sz="0" w:space="0" w:color="auto"/>
        <w:left w:val="none" w:sz="0" w:space="0" w:color="auto"/>
        <w:bottom w:val="none" w:sz="0" w:space="0" w:color="auto"/>
        <w:right w:val="none" w:sz="0" w:space="0" w:color="auto"/>
      </w:divBdr>
    </w:div>
    <w:div w:id="991329564">
      <w:bodyDiv w:val="1"/>
      <w:marLeft w:val="0"/>
      <w:marRight w:val="0"/>
      <w:marTop w:val="0"/>
      <w:marBottom w:val="0"/>
      <w:divBdr>
        <w:top w:val="none" w:sz="0" w:space="0" w:color="auto"/>
        <w:left w:val="none" w:sz="0" w:space="0" w:color="auto"/>
        <w:bottom w:val="none" w:sz="0" w:space="0" w:color="auto"/>
        <w:right w:val="none" w:sz="0" w:space="0" w:color="auto"/>
      </w:divBdr>
    </w:div>
    <w:div w:id="992828382">
      <w:bodyDiv w:val="1"/>
      <w:marLeft w:val="0"/>
      <w:marRight w:val="0"/>
      <w:marTop w:val="0"/>
      <w:marBottom w:val="0"/>
      <w:divBdr>
        <w:top w:val="none" w:sz="0" w:space="0" w:color="auto"/>
        <w:left w:val="none" w:sz="0" w:space="0" w:color="auto"/>
        <w:bottom w:val="none" w:sz="0" w:space="0" w:color="auto"/>
        <w:right w:val="none" w:sz="0" w:space="0" w:color="auto"/>
      </w:divBdr>
    </w:div>
    <w:div w:id="993067625">
      <w:bodyDiv w:val="1"/>
      <w:marLeft w:val="0"/>
      <w:marRight w:val="0"/>
      <w:marTop w:val="0"/>
      <w:marBottom w:val="0"/>
      <w:divBdr>
        <w:top w:val="none" w:sz="0" w:space="0" w:color="auto"/>
        <w:left w:val="none" w:sz="0" w:space="0" w:color="auto"/>
        <w:bottom w:val="none" w:sz="0" w:space="0" w:color="auto"/>
        <w:right w:val="none" w:sz="0" w:space="0" w:color="auto"/>
      </w:divBdr>
    </w:div>
    <w:div w:id="994989975">
      <w:bodyDiv w:val="1"/>
      <w:marLeft w:val="0"/>
      <w:marRight w:val="0"/>
      <w:marTop w:val="0"/>
      <w:marBottom w:val="0"/>
      <w:divBdr>
        <w:top w:val="none" w:sz="0" w:space="0" w:color="auto"/>
        <w:left w:val="none" w:sz="0" w:space="0" w:color="auto"/>
        <w:bottom w:val="none" w:sz="0" w:space="0" w:color="auto"/>
        <w:right w:val="none" w:sz="0" w:space="0" w:color="auto"/>
      </w:divBdr>
    </w:div>
    <w:div w:id="997925046">
      <w:bodyDiv w:val="1"/>
      <w:marLeft w:val="0"/>
      <w:marRight w:val="0"/>
      <w:marTop w:val="0"/>
      <w:marBottom w:val="0"/>
      <w:divBdr>
        <w:top w:val="none" w:sz="0" w:space="0" w:color="auto"/>
        <w:left w:val="none" w:sz="0" w:space="0" w:color="auto"/>
        <w:bottom w:val="none" w:sz="0" w:space="0" w:color="auto"/>
        <w:right w:val="none" w:sz="0" w:space="0" w:color="auto"/>
      </w:divBdr>
    </w:div>
    <w:div w:id="1006060488">
      <w:bodyDiv w:val="1"/>
      <w:marLeft w:val="0"/>
      <w:marRight w:val="0"/>
      <w:marTop w:val="0"/>
      <w:marBottom w:val="0"/>
      <w:divBdr>
        <w:top w:val="none" w:sz="0" w:space="0" w:color="auto"/>
        <w:left w:val="none" w:sz="0" w:space="0" w:color="auto"/>
        <w:bottom w:val="none" w:sz="0" w:space="0" w:color="auto"/>
        <w:right w:val="none" w:sz="0" w:space="0" w:color="auto"/>
      </w:divBdr>
    </w:div>
    <w:div w:id="1009021960">
      <w:bodyDiv w:val="1"/>
      <w:marLeft w:val="0"/>
      <w:marRight w:val="0"/>
      <w:marTop w:val="0"/>
      <w:marBottom w:val="0"/>
      <w:divBdr>
        <w:top w:val="none" w:sz="0" w:space="0" w:color="auto"/>
        <w:left w:val="none" w:sz="0" w:space="0" w:color="auto"/>
        <w:bottom w:val="none" w:sz="0" w:space="0" w:color="auto"/>
        <w:right w:val="none" w:sz="0" w:space="0" w:color="auto"/>
      </w:divBdr>
    </w:div>
    <w:div w:id="1009481457">
      <w:bodyDiv w:val="1"/>
      <w:marLeft w:val="0"/>
      <w:marRight w:val="0"/>
      <w:marTop w:val="0"/>
      <w:marBottom w:val="0"/>
      <w:divBdr>
        <w:top w:val="none" w:sz="0" w:space="0" w:color="auto"/>
        <w:left w:val="none" w:sz="0" w:space="0" w:color="auto"/>
        <w:bottom w:val="none" w:sz="0" w:space="0" w:color="auto"/>
        <w:right w:val="none" w:sz="0" w:space="0" w:color="auto"/>
      </w:divBdr>
    </w:div>
    <w:div w:id="1014652870">
      <w:bodyDiv w:val="1"/>
      <w:marLeft w:val="0"/>
      <w:marRight w:val="0"/>
      <w:marTop w:val="0"/>
      <w:marBottom w:val="0"/>
      <w:divBdr>
        <w:top w:val="none" w:sz="0" w:space="0" w:color="auto"/>
        <w:left w:val="none" w:sz="0" w:space="0" w:color="auto"/>
        <w:bottom w:val="none" w:sz="0" w:space="0" w:color="auto"/>
        <w:right w:val="none" w:sz="0" w:space="0" w:color="auto"/>
      </w:divBdr>
    </w:div>
    <w:div w:id="1022053697">
      <w:bodyDiv w:val="1"/>
      <w:marLeft w:val="0"/>
      <w:marRight w:val="0"/>
      <w:marTop w:val="0"/>
      <w:marBottom w:val="0"/>
      <w:divBdr>
        <w:top w:val="none" w:sz="0" w:space="0" w:color="auto"/>
        <w:left w:val="none" w:sz="0" w:space="0" w:color="auto"/>
        <w:bottom w:val="none" w:sz="0" w:space="0" w:color="auto"/>
        <w:right w:val="none" w:sz="0" w:space="0" w:color="auto"/>
      </w:divBdr>
    </w:div>
    <w:div w:id="1022824809">
      <w:bodyDiv w:val="1"/>
      <w:marLeft w:val="0"/>
      <w:marRight w:val="0"/>
      <w:marTop w:val="0"/>
      <w:marBottom w:val="0"/>
      <w:divBdr>
        <w:top w:val="none" w:sz="0" w:space="0" w:color="auto"/>
        <w:left w:val="none" w:sz="0" w:space="0" w:color="auto"/>
        <w:bottom w:val="none" w:sz="0" w:space="0" w:color="auto"/>
        <w:right w:val="none" w:sz="0" w:space="0" w:color="auto"/>
      </w:divBdr>
    </w:div>
    <w:div w:id="1031958527">
      <w:bodyDiv w:val="1"/>
      <w:marLeft w:val="0"/>
      <w:marRight w:val="0"/>
      <w:marTop w:val="0"/>
      <w:marBottom w:val="0"/>
      <w:divBdr>
        <w:top w:val="none" w:sz="0" w:space="0" w:color="auto"/>
        <w:left w:val="none" w:sz="0" w:space="0" w:color="auto"/>
        <w:bottom w:val="none" w:sz="0" w:space="0" w:color="auto"/>
        <w:right w:val="none" w:sz="0" w:space="0" w:color="auto"/>
      </w:divBdr>
    </w:div>
    <w:div w:id="1039205574">
      <w:bodyDiv w:val="1"/>
      <w:marLeft w:val="0"/>
      <w:marRight w:val="0"/>
      <w:marTop w:val="0"/>
      <w:marBottom w:val="0"/>
      <w:divBdr>
        <w:top w:val="none" w:sz="0" w:space="0" w:color="auto"/>
        <w:left w:val="none" w:sz="0" w:space="0" w:color="auto"/>
        <w:bottom w:val="none" w:sz="0" w:space="0" w:color="auto"/>
        <w:right w:val="none" w:sz="0" w:space="0" w:color="auto"/>
      </w:divBdr>
    </w:div>
    <w:div w:id="1039359834">
      <w:bodyDiv w:val="1"/>
      <w:marLeft w:val="0"/>
      <w:marRight w:val="0"/>
      <w:marTop w:val="0"/>
      <w:marBottom w:val="0"/>
      <w:divBdr>
        <w:top w:val="none" w:sz="0" w:space="0" w:color="auto"/>
        <w:left w:val="none" w:sz="0" w:space="0" w:color="auto"/>
        <w:bottom w:val="none" w:sz="0" w:space="0" w:color="auto"/>
        <w:right w:val="none" w:sz="0" w:space="0" w:color="auto"/>
      </w:divBdr>
    </w:div>
    <w:div w:id="1040398449">
      <w:bodyDiv w:val="1"/>
      <w:marLeft w:val="0"/>
      <w:marRight w:val="0"/>
      <w:marTop w:val="0"/>
      <w:marBottom w:val="0"/>
      <w:divBdr>
        <w:top w:val="none" w:sz="0" w:space="0" w:color="auto"/>
        <w:left w:val="none" w:sz="0" w:space="0" w:color="auto"/>
        <w:bottom w:val="none" w:sz="0" w:space="0" w:color="auto"/>
        <w:right w:val="none" w:sz="0" w:space="0" w:color="auto"/>
      </w:divBdr>
    </w:div>
    <w:div w:id="1042360638">
      <w:bodyDiv w:val="1"/>
      <w:marLeft w:val="0"/>
      <w:marRight w:val="0"/>
      <w:marTop w:val="0"/>
      <w:marBottom w:val="0"/>
      <w:divBdr>
        <w:top w:val="none" w:sz="0" w:space="0" w:color="auto"/>
        <w:left w:val="none" w:sz="0" w:space="0" w:color="auto"/>
        <w:bottom w:val="none" w:sz="0" w:space="0" w:color="auto"/>
        <w:right w:val="none" w:sz="0" w:space="0" w:color="auto"/>
      </w:divBdr>
    </w:div>
    <w:div w:id="1046947516">
      <w:bodyDiv w:val="1"/>
      <w:marLeft w:val="0"/>
      <w:marRight w:val="0"/>
      <w:marTop w:val="0"/>
      <w:marBottom w:val="0"/>
      <w:divBdr>
        <w:top w:val="none" w:sz="0" w:space="0" w:color="auto"/>
        <w:left w:val="none" w:sz="0" w:space="0" w:color="auto"/>
        <w:bottom w:val="none" w:sz="0" w:space="0" w:color="auto"/>
        <w:right w:val="none" w:sz="0" w:space="0" w:color="auto"/>
      </w:divBdr>
    </w:div>
    <w:div w:id="1047071459">
      <w:bodyDiv w:val="1"/>
      <w:marLeft w:val="0"/>
      <w:marRight w:val="0"/>
      <w:marTop w:val="0"/>
      <w:marBottom w:val="0"/>
      <w:divBdr>
        <w:top w:val="none" w:sz="0" w:space="0" w:color="auto"/>
        <w:left w:val="none" w:sz="0" w:space="0" w:color="auto"/>
        <w:bottom w:val="none" w:sz="0" w:space="0" w:color="auto"/>
        <w:right w:val="none" w:sz="0" w:space="0" w:color="auto"/>
      </w:divBdr>
    </w:div>
    <w:div w:id="1048383898">
      <w:bodyDiv w:val="1"/>
      <w:marLeft w:val="0"/>
      <w:marRight w:val="0"/>
      <w:marTop w:val="0"/>
      <w:marBottom w:val="0"/>
      <w:divBdr>
        <w:top w:val="none" w:sz="0" w:space="0" w:color="auto"/>
        <w:left w:val="none" w:sz="0" w:space="0" w:color="auto"/>
        <w:bottom w:val="none" w:sz="0" w:space="0" w:color="auto"/>
        <w:right w:val="none" w:sz="0" w:space="0" w:color="auto"/>
      </w:divBdr>
    </w:div>
    <w:div w:id="1050224728">
      <w:bodyDiv w:val="1"/>
      <w:marLeft w:val="0"/>
      <w:marRight w:val="0"/>
      <w:marTop w:val="0"/>
      <w:marBottom w:val="0"/>
      <w:divBdr>
        <w:top w:val="none" w:sz="0" w:space="0" w:color="auto"/>
        <w:left w:val="none" w:sz="0" w:space="0" w:color="auto"/>
        <w:bottom w:val="none" w:sz="0" w:space="0" w:color="auto"/>
        <w:right w:val="none" w:sz="0" w:space="0" w:color="auto"/>
      </w:divBdr>
    </w:div>
    <w:div w:id="1052459108">
      <w:bodyDiv w:val="1"/>
      <w:marLeft w:val="0"/>
      <w:marRight w:val="0"/>
      <w:marTop w:val="0"/>
      <w:marBottom w:val="0"/>
      <w:divBdr>
        <w:top w:val="none" w:sz="0" w:space="0" w:color="auto"/>
        <w:left w:val="none" w:sz="0" w:space="0" w:color="auto"/>
        <w:bottom w:val="none" w:sz="0" w:space="0" w:color="auto"/>
        <w:right w:val="none" w:sz="0" w:space="0" w:color="auto"/>
      </w:divBdr>
    </w:div>
    <w:div w:id="1052534866">
      <w:bodyDiv w:val="1"/>
      <w:marLeft w:val="0"/>
      <w:marRight w:val="0"/>
      <w:marTop w:val="0"/>
      <w:marBottom w:val="0"/>
      <w:divBdr>
        <w:top w:val="none" w:sz="0" w:space="0" w:color="auto"/>
        <w:left w:val="none" w:sz="0" w:space="0" w:color="auto"/>
        <w:bottom w:val="none" w:sz="0" w:space="0" w:color="auto"/>
        <w:right w:val="none" w:sz="0" w:space="0" w:color="auto"/>
      </w:divBdr>
    </w:div>
    <w:div w:id="1054426348">
      <w:bodyDiv w:val="1"/>
      <w:marLeft w:val="0"/>
      <w:marRight w:val="0"/>
      <w:marTop w:val="0"/>
      <w:marBottom w:val="0"/>
      <w:divBdr>
        <w:top w:val="none" w:sz="0" w:space="0" w:color="auto"/>
        <w:left w:val="none" w:sz="0" w:space="0" w:color="auto"/>
        <w:bottom w:val="none" w:sz="0" w:space="0" w:color="auto"/>
        <w:right w:val="none" w:sz="0" w:space="0" w:color="auto"/>
      </w:divBdr>
    </w:div>
    <w:div w:id="1057050237">
      <w:bodyDiv w:val="1"/>
      <w:marLeft w:val="0"/>
      <w:marRight w:val="0"/>
      <w:marTop w:val="0"/>
      <w:marBottom w:val="0"/>
      <w:divBdr>
        <w:top w:val="none" w:sz="0" w:space="0" w:color="auto"/>
        <w:left w:val="none" w:sz="0" w:space="0" w:color="auto"/>
        <w:bottom w:val="none" w:sz="0" w:space="0" w:color="auto"/>
        <w:right w:val="none" w:sz="0" w:space="0" w:color="auto"/>
      </w:divBdr>
    </w:div>
    <w:div w:id="1067145293">
      <w:bodyDiv w:val="1"/>
      <w:marLeft w:val="0"/>
      <w:marRight w:val="0"/>
      <w:marTop w:val="0"/>
      <w:marBottom w:val="0"/>
      <w:divBdr>
        <w:top w:val="none" w:sz="0" w:space="0" w:color="auto"/>
        <w:left w:val="none" w:sz="0" w:space="0" w:color="auto"/>
        <w:bottom w:val="none" w:sz="0" w:space="0" w:color="auto"/>
        <w:right w:val="none" w:sz="0" w:space="0" w:color="auto"/>
      </w:divBdr>
    </w:div>
    <w:div w:id="1067726421">
      <w:bodyDiv w:val="1"/>
      <w:marLeft w:val="0"/>
      <w:marRight w:val="0"/>
      <w:marTop w:val="0"/>
      <w:marBottom w:val="0"/>
      <w:divBdr>
        <w:top w:val="none" w:sz="0" w:space="0" w:color="auto"/>
        <w:left w:val="none" w:sz="0" w:space="0" w:color="auto"/>
        <w:bottom w:val="none" w:sz="0" w:space="0" w:color="auto"/>
        <w:right w:val="none" w:sz="0" w:space="0" w:color="auto"/>
      </w:divBdr>
    </w:div>
    <w:div w:id="1072195413">
      <w:bodyDiv w:val="1"/>
      <w:marLeft w:val="0"/>
      <w:marRight w:val="0"/>
      <w:marTop w:val="0"/>
      <w:marBottom w:val="0"/>
      <w:divBdr>
        <w:top w:val="none" w:sz="0" w:space="0" w:color="auto"/>
        <w:left w:val="none" w:sz="0" w:space="0" w:color="auto"/>
        <w:bottom w:val="none" w:sz="0" w:space="0" w:color="auto"/>
        <w:right w:val="none" w:sz="0" w:space="0" w:color="auto"/>
      </w:divBdr>
    </w:div>
    <w:div w:id="1081832299">
      <w:bodyDiv w:val="1"/>
      <w:marLeft w:val="0"/>
      <w:marRight w:val="0"/>
      <w:marTop w:val="0"/>
      <w:marBottom w:val="0"/>
      <w:divBdr>
        <w:top w:val="none" w:sz="0" w:space="0" w:color="auto"/>
        <w:left w:val="none" w:sz="0" w:space="0" w:color="auto"/>
        <w:bottom w:val="none" w:sz="0" w:space="0" w:color="auto"/>
        <w:right w:val="none" w:sz="0" w:space="0" w:color="auto"/>
      </w:divBdr>
    </w:div>
    <w:div w:id="1084112553">
      <w:bodyDiv w:val="1"/>
      <w:marLeft w:val="0"/>
      <w:marRight w:val="0"/>
      <w:marTop w:val="0"/>
      <w:marBottom w:val="0"/>
      <w:divBdr>
        <w:top w:val="none" w:sz="0" w:space="0" w:color="auto"/>
        <w:left w:val="none" w:sz="0" w:space="0" w:color="auto"/>
        <w:bottom w:val="none" w:sz="0" w:space="0" w:color="auto"/>
        <w:right w:val="none" w:sz="0" w:space="0" w:color="auto"/>
      </w:divBdr>
    </w:div>
    <w:div w:id="1086920799">
      <w:bodyDiv w:val="1"/>
      <w:marLeft w:val="0"/>
      <w:marRight w:val="0"/>
      <w:marTop w:val="0"/>
      <w:marBottom w:val="0"/>
      <w:divBdr>
        <w:top w:val="none" w:sz="0" w:space="0" w:color="auto"/>
        <w:left w:val="none" w:sz="0" w:space="0" w:color="auto"/>
        <w:bottom w:val="none" w:sz="0" w:space="0" w:color="auto"/>
        <w:right w:val="none" w:sz="0" w:space="0" w:color="auto"/>
      </w:divBdr>
    </w:div>
    <w:div w:id="1098991275">
      <w:bodyDiv w:val="1"/>
      <w:marLeft w:val="0"/>
      <w:marRight w:val="0"/>
      <w:marTop w:val="0"/>
      <w:marBottom w:val="0"/>
      <w:divBdr>
        <w:top w:val="none" w:sz="0" w:space="0" w:color="auto"/>
        <w:left w:val="none" w:sz="0" w:space="0" w:color="auto"/>
        <w:bottom w:val="none" w:sz="0" w:space="0" w:color="auto"/>
        <w:right w:val="none" w:sz="0" w:space="0" w:color="auto"/>
      </w:divBdr>
    </w:div>
    <w:div w:id="1105883718">
      <w:bodyDiv w:val="1"/>
      <w:marLeft w:val="0"/>
      <w:marRight w:val="0"/>
      <w:marTop w:val="0"/>
      <w:marBottom w:val="0"/>
      <w:divBdr>
        <w:top w:val="none" w:sz="0" w:space="0" w:color="auto"/>
        <w:left w:val="none" w:sz="0" w:space="0" w:color="auto"/>
        <w:bottom w:val="none" w:sz="0" w:space="0" w:color="auto"/>
        <w:right w:val="none" w:sz="0" w:space="0" w:color="auto"/>
      </w:divBdr>
    </w:div>
    <w:div w:id="1110664854">
      <w:bodyDiv w:val="1"/>
      <w:marLeft w:val="0"/>
      <w:marRight w:val="0"/>
      <w:marTop w:val="0"/>
      <w:marBottom w:val="0"/>
      <w:divBdr>
        <w:top w:val="none" w:sz="0" w:space="0" w:color="auto"/>
        <w:left w:val="none" w:sz="0" w:space="0" w:color="auto"/>
        <w:bottom w:val="none" w:sz="0" w:space="0" w:color="auto"/>
        <w:right w:val="none" w:sz="0" w:space="0" w:color="auto"/>
      </w:divBdr>
    </w:div>
    <w:div w:id="1111899898">
      <w:bodyDiv w:val="1"/>
      <w:marLeft w:val="0"/>
      <w:marRight w:val="0"/>
      <w:marTop w:val="0"/>
      <w:marBottom w:val="0"/>
      <w:divBdr>
        <w:top w:val="none" w:sz="0" w:space="0" w:color="auto"/>
        <w:left w:val="none" w:sz="0" w:space="0" w:color="auto"/>
        <w:bottom w:val="none" w:sz="0" w:space="0" w:color="auto"/>
        <w:right w:val="none" w:sz="0" w:space="0" w:color="auto"/>
      </w:divBdr>
    </w:div>
    <w:div w:id="1112747028">
      <w:bodyDiv w:val="1"/>
      <w:marLeft w:val="0"/>
      <w:marRight w:val="0"/>
      <w:marTop w:val="0"/>
      <w:marBottom w:val="0"/>
      <w:divBdr>
        <w:top w:val="none" w:sz="0" w:space="0" w:color="auto"/>
        <w:left w:val="none" w:sz="0" w:space="0" w:color="auto"/>
        <w:bottom w:val="none" w:sz="0" w:space="0" w:color="auto"/>
        <w:right w:val="none" w:sz="0" w:space="0" w:color="auto"/>
      </w:divBdr>
    </w:div>
    <w:div w:id="1113668289">
      <w:bodyDiv w:val="1"/>
      <w:marLeft w:val="0"/>
      <w:marRight w:val="0"/>
      <w:marTop w:val="0"/>
      <w:marBottom w:val="0"/>
      <w:divBdr>
        <w:top w:val="none" w:sz="0" w:space="0" w:color="auto"/>
        <w:left w:val="none" w:sz="0" w:space="0" w:color="auto"/>
        <w:bottom w:val="none" w:sz="0" w:space="0" w:color="auto"/>
        <w:right w:val="none" w:sz="0" w:space="0" w:color="auto"/>
      </w:divBdr>
    </w:div>
    <w:div w:id="1120106676">
      <w:bodyDiv w:val="1"/>
      <w:marLeft w:val="0"/>
      <w:marRight w:val="0"/>
      <w:marTop w:val="0"/>
      <w:marBottom w:val="0"/>
      <w:divBdr>
        <w:top w:val="none" w:sz="0" w:space="0" w:color="auto"/>
        <w:left w:val="none" w:sz="0" w:space="0" w:color="auto"/>
        <w:bottom w:val="none" w:sz="0" w:space="0" w:color="auto"/>
        <w:right w:val="none" w:sz="0" w:space="0" w:color="auto"/>
      </w:divBdr>
    </w:div>
    <w:div w:id="1120949724">
      <w:bodyDiv w:val="1"/>
      <w:marLeft w:val="0"/>
      <w:marRight w:val="0"/>
      <w:marTop w:val="0"/>
      <w:marBottom w:val="0"/>
      <w:divBdr>
        <w:top w:val="none" w:sz="0" w:space="0" w:color="auto"/>
        <w:left w:val="none" w:sz="0" w:space="0" w:color="auto"/>
        <w:bottom w:val="none" w:sz="0" w:space="0" w:color="auto"/>
        <w:right w:val="none" w:sz="0" w:space="0" w:color="auto"/>
      </w:divBdr>
    </w:div>
    <w:div w:id="1123840328">
      <w:bodyDiv w:val="1"/>
      <w:marLeft w:val="0"/>
      <w:marRight w:val="0"/>
      <w:marTop w:val="0"/>
      <w:marBottom w:val="0"/>
      <w:divBdr>
        <w:top w:val="none" w:sz="0" w:space="0" w:color="auto"/>
        <w:left w:val="none" w:sz="0" w:space="0" w:color="auto"/>
        <w:bottom w:val="none" w:sz="0" w:space="0" w:color="auto"/>
        <w:right w:val="none" w:sz="0" w:space="0" w:color="auto"/>
      </w:divBdr>
    </w:div>
    <w:div w:id="1124153831">
      <w:bodyDiv w:val="1"/>
      <w:marLeft w:val="0"/>
      <w:marRight w:val="0"/>
      <w:marTop w:val="0"/>
      <w:marBottom w:val="0"/>
      <w:divBdr>
        <w:top w:val="none" w:sz="0" w:space="0" w:color="auto"/>
        <w:left w:val="none" w:sz="0" w:space="0" w:color="auto"/>
        <w:bottom w:val="none" w:sz="0" w:space="0" w:color="auto"/>
        <w:right w:val="none" w:sz="0" w:space="0" w:color="auto"/>
      </w:divBdr>
    </w:div>
    <w:div w:id="1132206986">
      <w:bodyDiv w:val="1"/>
      <w:marLeft w:val="0"/>
      <w:marRight w:val="0"/>
      <w:marTop w:val="0"/>
      <w:marBottom w:val="0"/>
      <w:divBdr>
        <w:top w:val="none" w:sz="0" w:space="0" w:color="auto"/>
        <w:left w:val="none" w:sz="0" w:space="0" w:color="auto"/>
        <w:bottom w:val="none" w:sz="0" w:space="0" w:color="auto"/>
        <w:right w:val="none" w:sz="0" w:space="0" w:color="auto"/>
      </w:divBdr>
    </w:div>
    <w:div w:id="1137184838">
      <w:bodyDiv w:val="1"/>
      <w:marLeft w:val="0"/>
      <w:marRight w:val="0"/>
      <w:marTop w:val="0"/>
      <w:marBottom w:val="0"/>
      <w:divBdr>
        <w:top w:val="none" w:sz="0" w:space="0" w:color="auto"/>
        <w:left w:val="none" w:sz="0" w:space="0" w:color="auto"/>
        <w:bottom w:val="none" w:sz="0" w:space="0" w:color="auto"/>
        <w:right w:val="none" w:sz="0" w:space="0" w:color="auto"/>
      </w:divBdr>
    </w:div>
    <w:div w:id="1138496245">
      <w:bodyDiv w:val="1"/>
      <w:marLeft w:val="0"/>
      <w:marRight w:val="0"/>
      <w:marTop w:val="0"/>
      <w:marBottom w:val="0"/>
      <w:divBdr>
        <w:top w:val="none" w:sz="0" w:space="0" w:color="auto"/>
        <w:left w:val="none" w:sz="0" w:space="0" w:color="auto"/>
        <w:bottom w:val="none" w:sz="0" w:space="0" w:color="auto"/>
        <w:right w:val="none" w:sz="0" w:space="0" w:color="auto"/>
      </w:divBdr>
    </w:div>
    <w:div w:id="1139028920">
      <w:bodyDiv w:val="1"/>
      <w:marLeft w:val="0"/>
      <w:marRight w:val="0"/>
      <w:marTop w:val="0"/>
      <w:marBottom w:val="0"/>
      <w:divBdr>
        <w:top w:val="none" w:sz="0" w:space="0" w:color="auto"/>
        <w:left w:val="none" w:sz="0" w:space="0" w:color="auto"/>
        <w:bottom w:val="none" w:sz="0" w:space="0" w:color="auto"/>
        <w:right w:val="none" w:sz="0" w:space="0" w:color="auto"/>
      </w:divBdr>
    </w:div>
    <w:div w:id="1139685951">
      <w:bodyDiv w:val="1"/>
      <w:marLeft w:val="0"/>
      <w:marRight w:val="0"/>
      <w:marTop w:val="0"/>
      <w:marBottom w:val="0"/>
      <w:divBdr>
        <w:top w:val="none" w:sz="0" w:space="0" w:color="auto"/>
        <w:left w:val="none" w:sz="0" w:space="0" w:color="auto"/>
        <w:bottom w:val="none" w:sz="0" w:space="0" w:color="auto"/>
        <w:right w:val="none" w:sz="0" w:space="0" w:color="auto"/>
      </w:divBdr>
    </w:div>
    <w:div w:id="1141002302">
      <w:bodyDiv w:val="1"/>
      <w:marLeft w:val="0"/>
      <w:marRight w:val="0"/>
      <w:marTop w:val="0"/>
      <w:marBottom w:val="0"/>
      <w:divBdr>
        <w:top w:val="none" w:sz="0" w:space="0" w:color="auto"/>
        <w:left w:val="none" w:sz="0" w:space="0" w:color="auto"/>
        <w:bottom w:val="none" w:sz="0" w:space="0" w:color="auto"/>
        <w:right w:val="none" w:sz="0" w:space="0" w:color="auto"/>
      </w:divBdr>
    </w:div>
    <w:div w:id="1143890790">
      <w:bodyDiv w:val="1"/>
      <w:marLeft w:val="0"/>
      <w:marRight w:val="0"/>
      <w:marTop w:val="0"/>
      <w:marBottom w:val="0"/>
      <w:divBdr>
        <w:top w:val="none" w:sz="0" w:space="0" w:color="auto"/>
        <w:left w:val="none" w:sz="0" w:space="0" w:color="auto"/>
        <w:bottom w:val="none" w:sz="0" w:space="0" w:color="auto"/>
        <w:right w:val="none" w:sz="0" w:space="0" w:color="auto"/>
      </w:divBdr>
    </w:div>
    <w:div w:id="1144001982">
      <w:bodyDiv w:val="1"/>
      <w:marLeft w:val="0"/>
      <w:marRight w:val="0"/>
      <w:marTop w:val="0"/>
      <w:marBottom w:val="0"/>
      <w:divBdr>
        <w:top w:val="none" w:sz="0" w:space="0" w:color="auto"/>
        <w:left w:val="none" w:sz="0" w:space="0" w:color="auto"/>
        <w:bottom w:val="none" w:sz="0" w:space="0" w:color="auto"/>
        <w:right w:val="none" w:sz="0" w:space="0" w:color="auto"/>
      </w:divBdr>
    </w:div>
    <w:div w:id="1151171886">
      <w:bodyDiv w:val="1"/>
      <w:marLeft w:val="0"/>
      <w:marRight w:val="0"/>
      <w:marTop w:val="0"/>
      <w:marBottom w:val="0"/>
      <w:divBdr>
        <w:top w:val="none" w:sz="0" w:space="0" w:color="auto"/>
        <w:left w:val="none" w:sz="0" w:space="0" w:color="auto"/>
        <w:bottom w:val="none" w:sz="0" w:space="0" w:color="auto"/>
        <w:right w:val="none" w:sz="0" w:space="0" w:color="auto"/>
      </w:divBdr>
    </w:div>
    <w:div w:id="1155754570">
      <w:bodyDiv w:val="1"/>
      <w:marLeft w:val="0"/>
      <w:marRight w:val="0"/>
      <w:marTop w:val="0"/>
      <w:marBottom w:val="0"/>
      <w:divBdr>
        <w:top w:val="none" w:sz="0" w:space="0" w:color="auto"/>
        <w:left w:val="none" w:sz="0" w:space="0" w:color="auto"/>
        <w:bottom w:val="none" w:sz="0" w:space="0" w:color="auto"/>
        <w:right w:val="none" w:sz="0" w:space="0" w:color="auto"/>
      </w:divBdr>
    </w:div>
    <w:div w:id="1159810264">
      <w:bodyDiv w:val="1"/>
      <w:marLeft w:val="0"/>
      <w:marRight w:val="0"/>
      <w:marTop w:val="0"/>
      <w:marBottom w:val="0"/>
      <w:divBdr>
        <w:top w:val="none" w:sz="0" w:space="0" w:color="auto"/>
        <w:left w:val="none" w:sz="0" w:space="0" w:color="auto"/>
        <w:bottom w:val="none" w:sz="0" w:space="0" w:color="auto"/>
        <w:right w:val="none" w:sz="0" w:space="0" w:color="auto"/>
      </w:divBdr>
    </w:div>
    <w:div w:id="1160734259">
      <w:bodyDiv w:val="1"/>
      <w:marLeft w:val="0"/>
      <w:marRight w:val="0"/>
      <w:marTop w:val="0"/>
      <w:marBottom w:val="0"/>
      <w:divBdr>
        <w:top w:val="none" w:sz="0" w:space="0" w:color="auto"/>
        <w:left w:val="none" w:sz="0" w:space="0" w:color="auto"/>
        <w:bottom w:val="none" w:sz="0" w:space="0" w:color="auto"/>
        <w:right w:val="none" w:sz="0" w:space="0" w:color="auto"/>
      </w:divBdr>
    </w:div>
    <w:div w:id="1165046089">
      <w:bodyDiv w:val="1"/>
      <w:marLeft w:val="0"/>
      <w:marRight w:val="0"/>
      <w:marTop w:val="0"/>
      <w:marBottom w:val="0"/>
      <w:divBdr>
        <w:top w:val="none" w:sz="0" w:space="0" w:color="auto"/>
        <w:left w:val="none" w:sz="0" w:space="0" w:color="auto"/>
        <w:bottom w:val="none" w:sz="0" w:space="0" w:color="auto"/>
        <w:right w:val="none" w:sz="0" w:space="0" w:color="auto"/>
      </w:divBdr>
    </w:div>
    <w:div w:id="1167399290">
      <w:bodyDiv w:val="1"/>
      <w:marLeft w:val="0"/>
      <w:marRight w:val="0"/>
      <w:marTop w:val="0"/>
      <w:marBottom w:val="0"/>
      <w:divBdr>
        <w:top w:val="none" w:sz="0" w:space="0" w:color="auto"/>
        <w:left w:val="none" w:sz="0" w:space="0" w:color="auto"/>
        <w:bottom w:val="none" w:sz="0" w:space="0" w:color="auto"/>
        <w:right w:val="none" w:sz="0" w:space="0" w:color="auto"/>
      </w:divBdr>
    </w:div>
    <w:div w:id="1167865969">
      <w:bodyDiv w:val="1"/>
      <w:marLeft w:val="0"/>
      <w:marRight w:val="0"/>
      <w:marTop w:val="0"/>
      <w:marBottom w:val="0"/>
      <w:divBdr>
        <w:top w:val="none" w:sz="0" w:space="0" w:color="auto"/>
        <w:left w:val="none" w:sz="0" w:space="0" w:color="auto"/>
        <w:bottom w:val="none" w:sz="0" w:space="0" w:color="auto"/>
        <w:right w:val="none" w:sz="0" w:space="0" w:color="auto"/>
      </w:divBdr>
    </w:div>
    <w:div w:id="1172447842">
      <w:bodyDiv w:val="1"/>
      <w:marLeft w:val="0"/>
      <w:marRight w:val="0"/>
      <w:marTop w:val="0"/>
      <w:marBottom w:val="0"/>
      <w:divBdr>
        <w:top w:val="none" w:sz="0" w:space="0" w:color="auto"/>
        <w:left w:val="none" w:sz="0" w:space="0" w:color="auto"/>
        <w:bottom w:val="none" w:sz="0" w:space="0" w:color="auto"/>
        <w:right w:val="none" w:sz="0" w:space="0" w:color="auto"/>
      </w:divBdr>
    </w:div>
    <w:div w:id="1176308208">
      <w:bodyDiv w:val="1"/>
      <w:marLeft w:val="0"/>
      <w:marRight w:val="0"/>
      <w:marTop w:val="0"/>
      <w:marBottom w:val="0"/>
      <w:divBdr>
        <w:top w:val="none" w:sz="0" w:space="0" w:color="auto"/>
        <w:left w:val="none" w:sz="0" w:space="0" w:color="auto"/>
        <w:bottom w:val="none" w:sz="0" w:space="0" w:color="auto"/>
        <w:right w:val="none" w:sz="0" w:space="0" w:color="auto"/>
      </w:divBdr>
    </w:div>
    <w:div w:id="1177892091">
      <w:bodyDiv w:val="1"/>
      <w:marLeft w:val="0"/>
      <w:marRight w:val="0"/>
      <w:marTop w:val="0"/>
      <w:marBottom w:val="0"/>
      <w:divBdr>
        <w:top w:val="none" w:sz="0" w:space="0" w:color="auto"/>
        <w:left w:val="none" w:sz="0" w:space="0" w:color="auto"/>
        <w:bottom w:val="none" w:sz="0" w:space="0" w:color="auto"/>
        <w:right w:val="none" w:sz="0" w:space="0" w:color="auto"/>
      </w:divBdr>
    </w:div>
    <w:div w:id="1179612819">
      <w:bodyDiv w:val="1"/>
      <w:marLeft w:val="0"/>
      <w:marRight w:val="0"/>
      <w:marTop w:val="0"/>
      <w:marBottom w:val="0"/>
      <w:divBdr>
        <w:top w:val="none" w:sz="0" w:space="0" w:color="auto"/>
        <w:left w:val="none" w:sz="0" w:space="0" w:color="auto"/>
        <w:bottom w:val="none" w:sz="0" w:space="0" w:color="auto"/>
        <w:right w:val="none" w:sz="0" w:space="0" w:color="auto"/>
      </w:divBdr>
    </w:div>
    <w:div w:id="1181505238">
      <w:bodyDiv w:val="1"/>
      <w:marLeft w:val="0"/>
      <w:marRight w:val="0"/>
      <w:marTop w:val="0"/>
      <w:marBottom w:val="0"/>
      <w:divBdr>
        <w:top w:val="none" w:sz="0" w:space="0" w:color="auto"/>
        <w:left w:val="none" w:sz="0" w:space="0" w:color="auto"/>
        <w:bottom w:val="none" w:sz="0" w:space="0" w:color="auto"/>
        <w:right w:val="none" w:sz="0" w:space="0" w:color="auto"/>
      </w:divBdr>
    </w:div>
    <w:div w:id="1181964957">
      <w:bodyDiv w:val="1"/>
      <w:marLeft w:val="0"/>
      <w:marRight w:val="0"/>
      <w:marTop w:val="0"/>
      <w:marBottom w:val="0"/>
      <w:divBdr>
        <w:top w:val="none" w:sz="0" w:space="0" w:color="auto"/>
        <w:left w:val="none" w:sz="0" w:space="0" w:color="auto"/>
        <w:bottom w:val="none" w:sz="0" w:space="0" w:color="auto"/>
        <w:right w:val="none" w:sz="0" w:space="0" w:color="auto"/>
      </w:divBdr>
    </w:div>
    <w:div w:id="1184898054">
      <w:bodyDiv w:val="1"/>
      <w:marLeft w:val="0"/>
      <w:marRight w:val="0"/>
      <w:marTop w:val="0"/>
      <w:marBottom w:val="0"/>
      <w:divBdr>
        <w:top w:val="none" w:sz="0" w:space="0" w:color="auto"/>
        <w:left w:val="none" w:sz="0" w:space="0" w:color="auto"/>
        <w:bottom w:val="none" w:sz="0" w:space="0" w:color="auto"/>
        <w:right w:val="none" w:sz="0" w:space="0" w:color="auto"/>
      </w:divBdr>
    </w:div>
    <w:div w:id="1192453356">
      <w:bodyDiv w:val="1"/>
      <w:marLeft w:val="0"/>
      <w:marRight w:val="0"/>
      <w:marTop w:val="0"/>
      <w:marBottom w:val="0"/>
      <w:divBdr>
        <w:top w:val="none" w:sz="0" w:space="0" w:color="auto"/>
        <w:left w:val="none" w:sz="0" w:space="0" w:color="auto"/>
        <w:bottom w:val="none" w:sz="0" w:space="0" w:color="auto"/>
        <w:right w:val="none" w:sz="0" w:space="0" w:color="auto"/>
      </w:divBdr>
    </w:div>
    <w:div w:id="1193542202">
      <w:bodyDiv w:val="1"/>
      <w:marLeft w:val="0"/>
      <w:marRight w:val="0"/>
      <w:marTop w:val="0"/>
      <w:marBottom w:val="0"/>
      <w:divBdr>
        <w:top w:val="none" w:sz="0" w:space="0" w:color="auto"/>
        <w:left w:val="none" w:sz="0" w:space="0" w:color="auto"/>
        <w:bottom w:val="none" w:sz="0" w:space="0" w:color="auto"/>
        <w:right w:val="none" w:sz="0" w:space="0" w:color="auto"/>
      </w:divBdr>
    </w:div>
    <w:div w:id="1194196996">
      <w:bodyDiv w:val="1"/>
      <w:marLeft w:val="0"/>
      <w:marRight w:val="0"/>
      <w:marTop w:val="0"/>
      <w:marBottom w:val="0"/>
      <w:divBdr>
        <w:top w:val="none" w:sz="0" w:space="0" w:color="auto"/>
        <w:left w:val="none" w:sz="0" w:space="0" w:color="auto"/>
        <w:bottom w:val="none" w:sz="0" w:space="0" w:color="auto"/>
        <w:right w:val="none" w:sz="0" w:space="0" w:color="auto"/>
      </w:divBdr>
    </w:div>
    <w:div w:id="1194419321">
      <w:bodyDiv w:val="1"/>
      <w:marLeft w:val="0"/>
      <w:marRight w:val="0"/>
      <w:marTop w:val="0"/>
      <w:marBottom w:val="0"/>
      <w:divBdr>
        <w:top w:val="none" w:sz="0" w:space="0" w:color="auto"/>
        <w:left w:val="none" w:sz="0" w:space="0" w:color="auto"/>
        <w:bottom w:val="none" w:sz="0" w:space="0" w:color="auto"/>
        <w:right w:val="none" w:sz="0" w:space="0" w:color="auto"/>
      </w:divBdr>
    </w:div>
    <w:div w:id="1197424718">
      <w:bodyDiv w:val="1"/>
      <w:marLeft w:val="0"/>
      <w:marRight w:val="0"/>
      <w:marTop w:val="0"/>
      <w:marBottom w:val="0"/>
      <w:divBdr>
        <w:top w:val="none" w:sz="0" w:space="0" w:color="auto"/>
        <w:left w:val="none" w:sz="0" w:space="0" w:color="auto"/>
        <w:bottom w:val="none" w:sz="0" w:space="0" w:color="auto"/>
        <w:right w:val="none" w:sz="0" w:space="0" w:color="auto"/>
      </w:divBdr>
    </w:div>
    <w:div w:id="1205408498">
      <w:bodyDiv w:val="1"/>
      <w:marLeft w:val="0"/>
      <w:marRight w:val="0"/>
      <w:marTop w:val="0"/>
      <w:marBottom w:val="0"/>
      <w:divBdr>
        <w:top w:val="none" w:sz="0" w:space="0" w:color="auto"/>
        <w:left w:val="none" w:sz="0" w:space="0" w:color="auto"/>
        <w:bottom w:val="none" w:sz="0" w:space="0" w:color="auto"/>
        <w:right w:val="none" w:sz="0" w:space="0" w:color="auto"/>
      </w:divBdr>
    </w:div>
    <w:div w:id="1207181445">
      <w:bodyDiv w:val="1"/>
      <w:marLeft w:val="0"/>
      <w:marRight w:val="0"/>
      <w:marTop w:val="0"/>
      <w:marBottom w:val="0"/>
      <w:divBdr>
        <w:top w:val="none" w:sz="0" w:space="0" w:color="auto"/>
        <w:left w:val="none" w:sz="0" w:space="0" w:color="auto"/>
        <w:bottom w:val="none" w:sz="0" w:space="0" w:color="auto"/>
        <w:right w:val="none" w:sz="0" w:space="0" w:color="auto"/>
      </w:divBdr>
    </w:div>
    <w:div w:id="1209806727">
      <w:bodyDiv w:val="1"/>
      <w:marLeft w:val="0"/>
      <w:marRight w:val="0"/>
      <w:marTop w:val="0"/>
      <w:marBottom w:val="0"/>
      <w:divBdr>
        <w:top w:val="none" w:sz="0" w:space="0" w:color="auto"/>
        <w:left w:val="none" w:sz="0" w:space="0" w:color="auto"/>
        <w:bottom w:val="none" w:sz="0" w:space="0" w:color="auto"/>
        <w:right w:val="none" w:sz="0" w:space="0" w:color="auto"/>
      </w:divBdr>
    </w:div>
    <w:div w:id="1215196557">
      <w:bodyDiv w:val="1"/>
      <w:marLeft w:val="0"/>
      <w:marRight w:val="0"/>
      <w:marTop w:val="0"/>
      <w:marBottom w:val="0"/>
      <w:divBdr>
        <w:top w:val="none" w:sz="0" w:space="0" w:color="auto"/>
        <w:left w:val="none" w:sz="0" w:space="0" w:color="auto"/>
        <w:bottom w:val="none" w:sz="0" w:space="0" w:color="auto"/>
        <w:right w:val="none" w:sz="0" w:space="0" w:color="auto"/>
      </w:divBdr>
    </w:div>
    <w:div w:id="1216627450">
      <w:bodyDiv w:val="1"/>
      <w:marLeft w:val="0"/>
      <w:marRight w:val="0"/>
      <w:marTop w:val="0"/>
      <w:marBottom w:val="0"/>
      <w:divBdr>
        <w:top w:val="none" w:sz="0" w:space="0" w:color="auto"/>
        <w:left w:val="none" w:sz="0" w:space="0" w:color="auto"/>
        <w:bottom w:val="none" w:sz="0" w:space="0" w:color="auto"/>
        <w:right w:val="none" w:sz="0" w:space="0" w:color="auto"/>
      </w:divBdr>
    </w:div>
    <w:div w:id="1217352898">
      <w:bodyDiv w:val="1"/>
      <w:marLeft w:val="0"/>
      <w:marRight w:val="0"/>
      <w:marTop w:val="0"/>
      <w:marBottom w:val="0"/>
      <w:divBdr>
        <w:top w:val="none" w:sz="0" w:space="0" w:color="auto"/>
        <w:left w:val="none" w:sz="0" w:space="0" w:color="auto"/>
        <w:bottom w:val="none" w:sz="0" w:space="0" w:color="auto"/>
        <w:right w:val="none" w:sz="0" w:space="0" w:color="auto"/>
      </w:divBdr>
    </w:div>
    <w:div w:id="1217399074">
      <w:bodyDiv w:val="1"/>
      <w:marLeft w:val="0"/>
      <w:marRight w:val="0"/>
      <w:marTop w:val="0"/>
      <w:marBottom w:val="0"/>
      <w:divBdr>
        <w:top w:val="none" w:sz="0" w:space="0" w:color="auto"/>
        <w:left w:val="none" w:sz="0" w:space="0" w:color="auto"/>
        <w:bottom w:val="none" w:sz="0" w:space="0" w:color="auto"/>
        <w:right w:val="none" w:sz="0" w:space="0" w:color="auto"/>
      </w:divBdr>
    </w:div>
    <w:div w:id="1220164773">
      <w:bodyDiv w:val="1"/>
      <w:marLeft w:val="0"/>
      <w:marRight w:val="0"/>
      <w:marTop w:val="0"/>
      <w:marBottom w:val="0"/>
      <w:divBdr>
        <w:top w:val="none" w:sz="0" w:space="0" w:color="auto"/>
        <w:left w:val="none" w:sz="0" w:space="0" w:color="auto"/>
        <w:bottom w:val="none" w:sz="0" w:space="0" w:color="auto"/>
        <w:right w:val="none" w:sz="0" w:space="0" w:color="auto"/>
      </w:divBdr>
    </w:div>
    <w:div w:id="1222447173">
      <w:bodyDiv w:val="1"/>
      <w:marLeft w:val="0"/>
      <w:marRight w:val="0"/>
      <w:marTop w:val="0"/>
      <w:marBottom w:val="0"/>
      <w:divBdr>
        <w:top w:val="none" w:sz="0" w:space="0" w:color="auto"/>
        <w:left w:val="none" w:sz="0" w:space="0" w:color="auto"/>
        <w:bottom w:val="none" w:sz="0" w:space="0" w:color="auto"/>
        <w:right w:val="none" w:sz="0" w:space="0" w:color="auto"/>
      </w:divBdr>
    </w:div>
    <w:div w:id="1224675220">
      <w:bodyDiv w:val="1"/>
      <w:marLeft w:val="0"/>
      <w:marRight w:val="0"/>
      <w:marTop w:val="0"/>
      <w:marBottom w:val="0"/>
      <w:divBdr>
        <w:top w:val="none" w:sz="0" w:space="0" w:color="auto"/>
        <w:left w:val="none" w:sz="0" w:space="0" w:color="auto"/>
        <w:bottom w:val="none" w:sz="0" w:space="0" w:color="auto"/>
        <w:right w:val="none" w:sz="0" w:space="0" w:color="auto"/>
      </w:divBdr>
    </w:div>
    <w:div w:id="1225026208">
      <w:bodyDiv w:val="1"/>
      <w:marLeft w:val="0"/>
      <w:marRight w:val="0"/>
      <w:marTop w:val="0"/>
      <w:marBottom w:val="0"/>
      <w:divBdr>
        <w:top w:val="none" w:sz="0" w:space="0" w:color="auto"/>
        <w:left w:val="none" w:sz="0" w:space="0" w:color="auto"/>
        <w:bottom w:val="none" w:sz="0" w:space="0" w:color="auto"/>
        <w:right w:val="none" w:sz="0" w:space="0" w:color="auto"/>
      </w:divBdr>
    </w:div>
    <w:div w:id="1225292452">
      <w:bodyDiv w:val="1"/>
      <w:marLeft w:val="0"/>
      <w:marRight w:val="0"/>
      <w:marTop w:val="0"/>
      <w:marBottom w:val="0"/>
      <w:divBdr>
        <w:top w:val="none" w:sz="0" w:space="0" w:color="auto"/>
        <w:left w:val="none" w:sz="0" w:space="0" w:color="auto"/>
        <w:bottom w:val="none" w:sz="0" w:space="0" w:color="auto"/>
        <w:right w:val="none" w:sz="0" w:space="0" w:color="auto"/>
      </w:divBdr>
    </w:div>
    <w:div w:id="1226914809">
      <w:bodyDiv w:val="1"/>
      <w:marLeft w:val="0"/>
      <w:marRight w:val="0"/>
      <w:marTop w:val="0"/>
      <w:marBottom w:val="0"/>
      <w:divBdr>
        <w:top w:val="none" w:sz="0" w:space="0" w:color="auto"/>
        <w:left w:val="none" w:sz="0" w:space="0" w:color="auto"/>
        <w:bottom w:val="none" w:sz="0" w:space="0" w:color="auto"/>
        <w:right w:val="none" w:sz="0" w:space="0" w:color="auto"/>
      </w:divBdr>
    </w:div>
    <w:div w:id="1236159078">
      <w:bodyDiv w:val="1"/>
      <w:marLeft w:val="0"/>
      <w:marRight w:val="0"/>
      <w:marTop w:val="0"/>
      <w:marBottom w:val="0"/>
      <w:divBdr>
        <w:top w:val="none" w:sz="0" w:space="0" w:color="auto"/>
        <w:left w:val="none" w:sz="0" w:space="0" w:color="auto"/>
        <w:bottom w:val="none" w:sz="0" w:space="0" w:color="auto"/>
        <w:right w:val="none" w:sz="0" w:space="0" w:color="auto"/>
      </w:divBdr>
    </w:div>
    <w:div w:id="1238050341">
      <w:bodyDiv w:val="1"/>
      <w:marLeft w:val="0"/>
      <w:marRight w:val="0"/>
      <w:marTop w:val="0"/>
      <w:marBottom w:val="0"/>
      <w:divBdr>
        <w:top w:val="none" w:sz="0" w:space="0" w:color="auto"/>
        <w:left w:val="none" w:sz="0" w:space="0" w:color="auto"/>
        <w:bottom w:val="none" w:sz="0" w:space="0" w:color="auto"/>
        <w:right w:val="none" w:sz="0" w:space="0" w:color="auto"/>
      </w:divBdr>
    </w:div>
    <w:div w:id="1253969378">
      <w:bodyDiv w:val="1"/>
      <w:marLeft w:val="0"/>
      <w:marRight w:val="0"/>
      <w:marTop w:val="0"/>
      <w:marBottom w:val="0"/>
      <w:divBdr>
        <w:top w:val="none" w:sz="0" w:space="0" w:color="auto"/>
        <w:left w:val="none" w:sz="0" w:space="0" w:color="auto"/>
        <w:bottom w:val="none" w:sz="0" w:space="0" w:color="auto"/>
        <w:right w:val="none" w:sz="0" w:space="0" w:color="auto"/>
      </w:divBdr>
    </w:div>
    <w:div w:id="1255745665">
      <w:bodyDiv w:val="1"/>
      <w:marLeft w:val="0"/>
      <w:marRight w:val="0"/>
      <w:marTop w:val="0"/>
      <w:marBottom w:val="0"/>
      <w:divBdr>
        <w:top w:val="none" w:sz="0" w:space="0" w:color="auto"/>
        <w:left w:val="none" w:sz="0" w:space="0" w:color="auto"/>
        <w:bottom w:val="none" w:sz="0" w:space="0" w:color="auto"/>
        <w:right w:val="none" w:sz="0" w:space="0" w:color="auto"/>
      </w:divBdr>
    </w:div>
    <w:div w:id="1256868079">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59366797">
      <w:bodyDiv w:val="1"/>
      <w:marLeft w:val="0"/>
      <w:marRight w:val="0"/>
      <w:marTop w:val="0"/>
      <w:marBottom w:val="0"/>
      <w:divBdr>
        <w:top w:val="none" w:sz="0" w:space="0" w:color="auto"/>
        <w:left w:val="none" w:sz="0" w:space="0" w:color="auto"/>
        <w:bottom w:val="none" w:sz="0" w:space="0" w:color="auto"/>
        <w:right w:val="none" w:sz="0" w:space="0" w:color="auto"/>
      </w:divBdr>
    </w:div>
    <w:div w:id="1261060172">
      <w:bodyDiv w:val="1"/>
      <w:marLeft w:val="0"/>
      <w:marRight w:val="0"/>
      <w:marTop w:val="0"/>
      <w:marBottom w:val="0"/>
      <w:divBdr>
        <w:top w:val="none" w:sz="0" w:space="0" w:color="auto"/>
        <w:left w:val="none" w:sz="0" w:space="0" w:color="auto"/>
        <w:bottom w:val="none" w:sz="0" w:space="0" w:color="auto"/>
        <w:right w:val="none" w:sz="0" w:space="0" w:color="auto"/>
      </w:divBdr>
    </w:div>
    <w:div w:id="1266811215">
      <w:bodyDiv w:val="1"/>
      <w:marLeft w:val="0"/>
      <w:marRight w:val="0"/>
      <w:marTop w:val="0"/>
      <w:marBottom w:val="0"/>
      <w:divBdr>
        <w:top w:val="none" w:sz="0" w:space="0" w:color="auto"/>
        <w:left w:val="none" w:sz="0" w:space="0" w:color="auto"/>
        <w:bottom w:val="none" w:sz="0" w:space="0" w:color="auto"/>
        <w:right w:val="none" w:sz="0" w:space="0" w:color="auto"/>
      </w:divBdr>
    </w:div>
    <w:div w:id="1267693918">
      <w:bodyDiv w:val="1"/>
      <w:marLeft w:val="0"/>
      <w:marRight w:val="0"/>
      <w:marTop w:val="0"/>
      <w:marBottom w:val="0"/>
      <w:divBdr>
        <w:top w:val="none" w:sz="0" w:space="0" w:color="auto"/>
        <w:left w:val="none" w:sz="0" w:space="0" w:color="auto"/>
        <w:bottom w:val="none" w:sz="0" w:space="0" w:color="auto"/>
        <w:right w:val="none" w:sz="0" w:space="0" w:color="auto"/>
      </w:divBdr>
    </w:div>
    <w:div w:id="1270359162">
      <w:bodyDiv w:val="1"/>
      <w:marLeft w:val="0"/>
      <w:marRight w:val="0"/>
      <w:marTop w:val="0"/>
      <w:marBottom w:val="0"/>
      <w:divBdr>
        <w:top w:val="none" w:sz="0" w:space="0" w:color="auto"/>
        <w:left w:val="none" w:sz="0" w:space="0" w:color="auto"/>
        <w:bottom w:val="none" w:sz="0" w:space="0" w:color="auto"/>
        <w:right w:val="none" w:sz="0" w:space="0" w:color="auto"/>
      </w:divBdr>
    </w:div>
    <w:div w:id="1272662691">
      <w:bodyDiv w:val="1"/>
      <w:marLeft w:val="0"/>
      <w:marRight w:val="0"/>
      <w:marTop w:val="0"/>
      <w:marBottom w:val="0"/>
      <w:divBdr>
        <w:top w:val="none" w:sz="0" w:space="0" w:color="auto"/>
        <w:left w:val="none" w:sz="0" w:space="0" w:color="auto"/>
        <w:bottom w:val="none" w:sz="0" w:space="0" w:color="auto"/>
        <w:right w:val="none" w:sz="0" w:space="0" w:color="auto"/>
      </w:divBdr>
    </w:div>
    <w:div w:id="1273392087">
      <w:bodyDiv w:val="1"/>
      <w:marLeft w:val="0"/>
      <w:marRight w:val="0"/>
      <w:marTop w:val="0"/>
      <w:marBottom w:val="0"/>
      <w:divBdr>
        <w:top w:val="none" w:sz="0" w:space="0" w:color="auto"/>
        <w:left w:val="none" w:sz="0" w:space="0" w:color="auto"/>
        <w:bottom w:val="none" w:sz="0" w:space="0" w:color="auto"/>
        <w:right w:val="none" w:sz="0" w:space="0" w:color="auto"/>
      </w:divBdr>
    </w:div>
    <w:div w:id="1278105634">
      <w:bodyDiv w:val="1"/>
      <w:marLeft w:val="0"/>
      <w:marRight w:val="0"/>
      <w:marTop w:val="0"/>
      <w:marBottom w:val="0"/>
      <w:divBdr>
        <w:top w:val="none" w:sz="0" w:space="0" w:color="auto"/>
        <w:left w:val="none" w:sz="0" w:space="0" w:color="auto"/>
        <w:bottom w:val="none" w:sz="0" w:space="0" w:color="auto"/>
        <w:right w:val="none" w:sz="0" w:space="0" w:color="auto"/>
      </w:divBdr>
    </w:div>
    <w:div w:id="1279068070">
      <w:bodyDiv w:val="1"/>
      <w:marLeft w:val="0"/>
      <w:marRight w:val="0"/>
      <w:marTop w:val="0"/>
      <w:marBottom w:val="0"/>
      <w:divBdr>
        <w:top w:val="none" w:sz="0" w:space="0" w:color="auto"/>
        <w:left w:val="none" w:sz="0" w:space="0" w:color="auto"/>
        <w:bottom w:val="none" w:sz="0" w:space="0" w:color="auto"/>
        <w:right w:val="none" w:sz="0" w:space="0" w:color="auto"/>
      </w:divBdr>
    </w:div>
    <w:div w:id="1280065552">
      <w:bodyDiv w:val="1"/>
      <w:marLeft w:val="0"/>
      <w:marRight w:val="0"/>
      <w:marTop w:val="0"/>
      <w:marBottom w:val="0"/>
      <w:divBdr>
        <w:top w:val="none" w:sz="0" w:space="0" w:color="auto"/>
        <w:left w:val="none" w:sz="0" w:space="0" w:color="auto"/>
        <w:bottom w:val="none" w:sz="0" w:space="0" w:color="auto"/>
        <w:right w:val="none" w:sz="0" w:space="0" w:color="auto"/>
      </w:divBdr>
    </w:div>
    <w:div w:id="1289898427">
      <w:bodyDiv w:val="1"/>
      <w:marLeft w:val="0"/>
      <w:marRight w:val="0"/>
      <w:marTop w:val="0"/>
      <w:marBottom w:val="0"/>
      <w:divBdr>
        <w:top w:val="none" w:sz="0" w:space="0" w:color="auto"/>
        <w:left w:val="none" w:sz="0" w:space="0" w:color="auto"/>
        <w:bottom w:val="none" w:sz="0" w:space="0" w:color="auto"/>
        <w:right w:val="none" w:sz="0" w:space="0" w:color="auto"/>
      </w:divBdr>
    </w:div>
    <w:div w:id="1301032668">
      <w:bodyDiv w:val="1"/>
      <w:marLeft w:val="0"/>
      <w:marRight w:val="0"/>
      <w:marTop w:val="0"/>
      <w:marBottom w:val="0"/>
      <w:divBdr>
        <w:top w:val="none" w:sz="0" w:space="0" w:color="auto"/>
        <w:left w:val="none" w:sz="0" w:space="0" w:color="auto"/>
        <w:bottom w:val="none" w:sz="0" w:space="0" w:color="auto"/>
        <w:right w:val="none" w:sz="0" w:space="0" w:color="auto"/>
      </w:divBdr>
    </w:div>
    <w:div w:id="1307318190">
      <w:bodyDiv w:val="1"/>
      <w:marLeft w:val="0"/>
      <w:marRight w:val="0"/>
      <w:marTop w:val="0"/>
      <w:marBottom w:val="0"/>
      <w:divBdr>
        <w:top w:val="none" w:sz="0" w:space="0" w:color="auto"/>
        <w:left w:val="none" w:sz="0" w:space="0" w:color="auto"/>
        <w:bottom w:val="none" w:sz="0" w:space="0" w:color="auto"/>
        <w:right w:val="none" w:sz="0" w:space="0" w:color="auto"/>
      </w:divBdr>
    </w:div>
    <w:div w:id="1307857775">
      <w:bodyDiv w:val="1"/>
      <w:marLeft w:val="0"/>
      <w:marRight w:val="0"/>
      <w:marTop w:val="0"/>
      <w:marBottom w:val="0"/>
      <w:divBdr>
        <w:top w:val="none" w:sz="0" w:space="0" w:color="auto"/>
        <w:left w:val="none" w:sz="0" w:space="0" w:color="auto"/>
        <w:bottom w:val="none" w:sz="0" w:space="0" w:color="auto"/>
        <w:right w:val="none" w:sz="0" w:space="0" w:color="auto"/>
      </w:divBdr>
    </w:div>
    <w:div w:id="1308238551">
      <w:bodyDiv w:val="1"/>
      <w:marLeft w:val="0"/>
      <w:marRight w:val="0"/>
      <w:marTop w:val="0"/>
      <w:marBottom w:val="0"/>
      <w:divBdr>
        <w:top w:val="none" w:sz="0" w:space="0" w:color="auto"/>
        <w:left w:val="none" w:sz="0" w:space="0" w:color="auto"/>
        <w:bottom w:val="none" w:sz="0" w:space="0" w:color="auto"/>
        <w:right w:val="none" w:sz="0" w:space="0" w:color="auto"/>
      </w:divBdr>
    </w:div>
    <w:div w:id="1311835669">
      <w:bodyDiv w:val="1"/>
      <w:marLeft w:val="0"/>
      <w:marRight w:val="0"/>
      <w:marTop w:val="0"/>
      <w:marBottom w:val="0"/>
      <w:divBdr>
        <w:top w:val="none" w:sz="0" w:space="0" w:color="auto"/>
        <w:left w:val="none" w:sz="0" w:space="0" w:color="auto"/>
        <w:bottom w:val="none" w:sz="0" w:space="0" w:color="auto"/>
        <w:right w:val="none" w:sz="0" w:space="0" w:color="auto"/>
      </w:divBdr>
    </w:div>
    <w:div w:id="1312832371">
      <w:bodyDiv w:val="1"/>
      <w:marLeft w:val="0"/>
      <w:marRight w:val="0"/>
      <w:marTop w:val="0"/>
      <w:marBottom w:val="0"/>
      <w:divBdr>
        <w:top w:val="none" w:sz="0" w:space="0" w:color="auto"/>
        <w:left w:val="none" w:sz="0" w:space="0" w:color="auto"/>
        <w:bottom w:val="none" w:sz="0" w:space="0" w:color="auto"/>
        <w:right w:val="none" w:sz="0" w:space="0" w:color="auto"/>
      </w:divBdr>
    </w:div>
    <w:div w:id="1313826086">
      <w:bodyDiv w:val="1"/>
      <w:marLeft w:val="0"/>
      <w:marRight w:val="0"/>
      <w:marTop w:val="0"/>
      <w:marBottom w:val="0"/>
      <w:divBdr>
        <w:top w:val="none" w:sz="0" w:space="0" w:color="auto"/>
        <w:left w:val="none" w:sz="0" w:space="0" w:color="auto"/>
        <w:bottom w:val="none" w:sz="0" w:space="0" w:color="auto"/>
        <w:right w:val="none" w:sz="0" w:space="0" w:color="auto"/>
      </w:divBdr>
    </w:div>
    <w:div w:id="1318455197">
      <w:bodyDiv w:val="1"/>
      <w:marLeft w:val="0"/>
      <w:marRight w:val="0"/>
      <w:marTop w:val="0"/>
      <w:marBottom w:val="0"/>
      <w:divBdr>
        <w:top w:val="none" w:sz="0" w:space="0" w:color="auto"/>
        <w:left w:val="none" w:sz="0" w:space="0" w:color="auto"/>
        <w:bottom w:val="none" w:sz="0" w:space="0" w:color="auto"/>
        <w:right w:val="none" w:sz="0" w:space="0" w:color="auto"/>
      </w:divBdr>
    </w:div>
    <w:div w:id="1319117983">
      <w:bodyDiv w:val="1"/>
      <w:marLeft w:val="0"/>
      <w:marRight w:val="0"/>
      <w:marTop w:val="0"/>
      <w:marBottom w:val="0"/>
      <w:divBdr>
        <w:top w:val="none" w:sz="0" w:space="0" w:color="auto"/>
        <w:left w:val="none" w:sz="0" w:space="0" w:color="auto"/>
        <w:bottom w:val="none" w:sz="0" w:space="0" w:color="auto"/>
        <w:right w:val="none" w:sz="0" w:space="0" w:color="auto"/>
      </w:divBdr>
    </w:div>
    <w:div w:id="1323965056">
      <w:bodyDiv w:val="1"/>
      <w:marLeft w:val="0"/>
      <w:marRight w:val="0"/>
      <w:marTop w:val="0"/>
      <w:marBottom w:val="0"/>
      <w:divBdr>
        <w:top w:val="none" w:sz="0" w:space="0" w:color="auto"/>
        <w:left w:val="none" w:sz="0" w:space="0" w:color="auto"/>
        <w:bottom w:val="none" w:sz="0" w:space="0" w:color="auto"/>
        <w:right w:val="none" w:sz="0" w:space="0" w:color="auto"/>
      </w:divBdr>
    </w:div>
    <w:div w:id="1327787934">
      <w:bodyDiv w:val="1"/>
      <w:marLeft w:val="0"/>
      <w:marRight w:val="0"/>
      <w:marTop w:val="0"/>
      <w:marBottom w:val="0"/>
      <w:divBdr>
        <w:top w:val="none" w:sz="0" w:space="0" w:color="auto"/>
        <w:left w:val="none" w:sz="0" w:space="0" w:color="auto"/>
        <w:bottom w:val="none" w:sz="0" w:space="0" w:color="auto"/>
        <w:right w:val="none" w:sz="0" w:space="0" w:color="auto"/>
      </w:divBdr>
    </w:div>
    <w:div w:id="1330324755">
      <w:bodyDiv w:val="1"/>
      <w:marLeft w:val="0"/>
      <w:marRight w:val="0"/>
      <w:marTop w:val="0"/>
      <w:marBottom w:val="0"/>
      <w:divBdr>
        <w:top w:val="none" w:sz="0" w:space="0" w:color="auto"/>
        <w:left w:val="none" w:sz="0" w:space="0" w:color="auto"/>
        <w:bottom w:val="none" w:sz="0" w:space="0" w:color="auto"/>
        <w:right w:val="none" w:sz="0" w:space="0" w:color="auto"/>
      </w:divBdr>
    </w:div>
    <w:div w:id="1331105646">
      <w:bodyDiv w:val="1"/>
      <w:marLeft w:val="0"/>
      <w:marRight w:val="0"/>
      <w:marTop w:val="0"/>
      <w:marBottom w:val="0"/>
      <w:divBdr>
        <w:top w:val="none" w:sz="0" w:space="0" w:color="auto"/>
        <w:left w:val="none" w:sz="0" w:space="0" w:color="auto"/>
        <w:bottom w:val="none" w:sz="0" w:space="0" w:color="auto"/>
        <w:right w:val="none" w:sz="0" w:space="0" w:color="auto"/>
      </w:divBdr>
    </w:div>
    <w:div w:id="1331366426">
      <w:bodyDiv w:val="1"/>
      <w:marLeft w:val="0"/>
      <w:marRight w:val="0"/>
      <w:marTop w:val="0"/>
      <w:marBottom w:val="0"/>
      <w:divBdr>
        <w:top w:val="none" w:sz="0" w:space="0" w:color="auto"/>
        <w:left w:val="none" w:sz="0" w:space="0" w:color="auto"/>
        <w:bottom w:val="none" w:sz="0" w:space="0" w:color="auto"/>
        <w:right w:val="none" w:sz="0" w:space="0" w:color="auto"/>
      </w:divBdr>
    </w:div>
    <w:div w:id="1333415151">
      <w:bodyDiv w:val="1"/>
      <w:marLeft w:val="0"/>
      <w:marRight w:val="0"/>
      <w:marTop w:val="0"/>
      <w:marBottom w:val="0"/>
      <w:divBdr>
        <w:top w:val="none" w:sz="0" w:space="0" w:color="auto"/>
        <w:left w:val="none" w:sz="0" w:space="0" w:color="auto"/>
        <w:bottom w:val="none" w:sz="0" w:space="0" w:color="auto"/>
        <w:right w:val="none" w:sz="0" w:space="0" w:color="auto"/>
      </w:divBdr>
    </w:div>
    <w:div w:id="1334260422">
      <w:bodyDiv w:val="1"/>
      <w:marLeft w:val="0"/>
      <w:marRight w:val="0"/>
      <w:marTop w:val="0"/>
      <w:marBottom w:val="0"/>
      <w:divBdr>
        <w:top w:val="none" w:sz="0" w:space="0" w:color="auto"/>
        <w:left w:val="none" w:sz="0" w:space="0" w:color="auto"/>
        <w:bottom w:val="none" w:sz="0" w:space="0" w:color="auto"/>
        <w:right w:val="none" w:sz="0" w:space="0" w:color="auto"/>
      </w:divBdr>
    </w:div>
    <w:div w:id="1340736020">
      <w:bodyDiv w:val="1"/>
      <w:marLeft w:val="0"/>
      <w:marRight w:val="0"/>
      <w:marTop w:val="0"/>
      <w:marBottom w:val="0"/>
      <w:divBdr>
        <w:top w:val="none" w:sz="0" w:space="0" w:color="auto"/>
        <w:left w:val="none" w:sz="0" w:space="0" w:color="auto"/>
        <w:bottom w:val="none" w:sz="0" w:space="0" w:color="auto"/>
        <w:right w:val="none" w:sz="0" w:space="0" w:color="auto"/>
      </w:divBdr>
    </w:div>
    <w:div w:id="1342049786">
      <w:bodyDiv w:val="1"/>
      <w:marLeft w:val="0"/>
      <w:marRight w:val="0"/>
      <w:marTop w:val="0"/>
      <w:marBottom w:val="0"/>
      <w:divBdr>
        <w:top w:val="none" w:sz="0" w:space="0" w:color="auto"/>
        <w:left w:val="none" w:sz="0" w:space="0" w:color="auto"/>
        <w:bottom w:val="none" w:sz="0" w:space="0" w:color="auto"/>
        <w:right w:val="none" w:sz="0" w:space="0" w:color="auto"/>
      </w:divBdr>
    </w:div>
    <w:div w:id="1342244695">
      <w:bodyDiv w:val="1"/>
      <w:marLeft w:val="0"/>
      <w:marRight w:val="0"/>
      <w:marTop w:val="0"/>
      <w:marBottom w:val="0"/>
      <w:divBdr>
        <w:top w:val="none" w:sz="0" w:space="0" w:color="auto"/>
        <w:left w:val="none" w:sz="0" w:space="0" w:color="auto"/>
        <w:bottom w:val="none" w:sz="0" w:space="0" w:color="auto"/>
        <w:right w:val="none" w:sz="0" w:space="0" w:color="auto"/>
      </w:divBdr>
    </w:div>
    <w:div w:id="1343508154">
      <w:bodyDiv w:val="1"/>
      <w:marLeft w:val="0"/>
      <w:marRight w:val="0"/>
      <w:marTop w:val="0"/>
      <w:marBottom w:val="0"/>
      <w:divBdr>
        <w:top w:val="none" w:sz="0" w:space="0" w:color="auto"/>
        <w:left w:val="none" w:sz="0" w:space="0" w:color="auto"/>
        <w:bottom w:val="none" w:sz="0" w:space="0" w:color="auto"/>
        <w:right w:val="none" w:sz="0" w:space="0" w:color="auto"/>
      </w:divBdr>
    </w:div>
    <w:div w:id="1343624659">
      <w:bodyDiv w:val="1"/>
      <w:marLeft w:val="0"/>
      <w:marRight w:val="0"/>
      <w:marTop w:val="0"/>
      <w:marBottom w:val="0"/>
      <w:divBdr>
        <w:top w:val="none" w:sz="0" w:space="0" w:color="auto"/>
        <w:left w:val="none" w:sz="0" w:space="0" w:color="auto"/>
        <w:bottom w:val="none" w:sz="0" w:space="0" w:color="auto"/>
        <w:right w:val="none" w:sz="0" w:space="0" w:color="auto"/>
      </w:divBdr>
    </w:div>
    <w:div w:id="1343823841">
      <w:bodyDiv w:val="1"/>
      <w:marLeft w:val="0"/>
      <w:marRight w:val="0"/>
      <w:marTop w:val="0"/>
      <w:marBottom w:val="0"/>
      <w:divBdr>
        <w:top w:val="none" w:sz="0" w:space="0" w:color="auto"/>
        <w:left w:val="none" w:sz="0" w:space="0" w:color="auto"/>
        <w:bottom w:val="none" w:sz="0" w:space="0" w:color="auto"/>
        <w:right w:val="none" w:sz="0" w:space="0" w:color="auto"/>
      </w:divBdr>
    </w:div>
    <w:div w:id="1347439554">
      <w:bodyDiv w:val="1"/>
      <w:marLeft w:val="0"/>
      <w:marRight w:val="0"/>
      <w:marTop w:val="0"/>
      <w:marBottom w:val="0"/>
      <w:divBdr>
        <w:top w:val="none" w:sz="0" w:space="0" w:color="auto"/>
        <w:left w:val="none" w:sz="0" w:space="0" w:color="auto"/>
        <w:bottom w:val="none" w:sz="0" w:space="0" w:color="auto"/>
        <w:right w:val="none" w:sz="0" w:space="0" w:color="auto"/>
      </w:divBdr>
    </w:div>
    <w:div w:id="1347445218">
      <w:bodyDiv w:val="1"/>
      <w:marLeft w:val="0"/>
      <w:marRight w:val="0"/>
      <w:marTop w:val="0"/>
      <w:marBottom w:val="0"/>
      <w:divBdr>
        <w:top w:val="none" w:sz="0" w:space="0" w:color="auto"/>
        <w:left w:val="none" w:sz="0" w:space="0" w:color="auto"/>
        <w:bottom w:val="none" w:sz="0" w:space="0" w:color="auto"/>
        <w:right w:val="none" w:sz="0" w:space="0" w:color="auto"/>
      </w:divBdr>
    </w:div>
    <w:div w:id="1353847245">
      <w:bodyDiv w:val="1"/>
      <w:marLeft w:val="0"/>
      <w:marRight w:val="0"/>
      <w:marTop w:val="0"/>
      <w:marBottom w:val="0"/>
      <w:divBdr>
        <w:top w:val="none" w:sz="0" w:space="0" w:color="auto"/>
        <w:left w:val="none" w:sz="0" w:space="0" w:color="auto"/>
        <w:bottom w:val="none" w:sz="0" w:space="0" w:color="auto"/>
        <w:right w:val="none" w:sz="0" w:space="0" w:color="auto"/>
      </w:divBdr>
    </w:div>
    <w:div w:id="1364940996">
      <w:bodyDiv w:val="1"/>
      <w:marLeft w:val="0"/>
      <w:marRight w:val="0"/>
      <w:marTop w:val="0"/>
      <w:marBottom w:val="0"/>
      <w:divBdr>
        <w:top w:val="none" w:sz="0" w:space="0" w:color="auto"/>
        <w:left w:val="none" w:sz="0" w:space="0" w:color="auto"/>
        <w:bottom w:val="none" w:sz="0" w:space="0" w:color="auto"/>
        <w:right w:val="none" w:sz="0" w:space="0" w:color="auto"/>
      </w:divBdr>
    </w:div>
    <w:div w:id="1369992649">
      <w:bodyDiv w:val="1"/>
      <w:marLeft w:val="0"/>
      <w:marRight w:val="0"/>
      <w:marTop w:val="0"/>
      <w:marBottom w:val="0"/>
      <w:divBdr>
        <w:top w:val="none" w:sz="0" w:space="0" w:color="auto"/>
        <w:left w:val="none" w:sz="0" w:space="0" w:color="auto"/>
        <w:bottom w:val="none" w:sz="0" w:space="0" w:color="auto"/>
        <w:right w:val="none" w:sz="0" w:space="0" w:color="auto"/>
      </w:divBdr>
    </w:div>
    <w:div w:id="1372026331">
      <w:bodyDiv w:val="1"/>
      <w:marLeft w:val="0"/>
      <w:marRight w:val="0"/>
      <w:marTop w:val="0"/>
      <w:marBottom w:val="0"/>
      <w:divBdr>
        <w:top w:val="none" w:sz="0" w:space="0" w:color="auto"/>
        <w:left w:val="none" w:sz="0" w:space="0" w:color="auto"/>
        <w:bottom w:val="none" w:sz="0" w:space="0" w:color="auto"/>
        <w:right w:val="none" w:sz="0" w:space="0" w:color="auto"/>
      </w:divBdr>
    </w:div>
    <w:div w:id="1379815273">
      <w:bodyDiv w:val="1"/>
      <w:marLeft w:val="0"/>
      <w:marRight w:val="0"/>
      <w:marTop w:val="0"/>
      <w:marBottom w:val="0"/>
      <w:divBdr>
        <w:top w:val="none" w:sz="0" w:space="0" w:color="auto"/>
        <w:left w:val="none" w:sz="0" w:space="0" w:color="auto"/>
        <w:bottom w:val="none" w:sz="0" w:space="0" w:color="auto"/>
        <w:right w:val="none" w:sz="0" w:space="0" w:color="auto"/>
      </w:divBdr>
    </w:div>
    <w:div w:id="1381395608">
      <w:bodyDiv w:val="1"/>
      <w:marLeft w:val="0"/>
      <w:marRight w:val="0"/>
      <w:marTop w:val="0"/>
      <w:marBottom w:val="0"/>
      <w:divBdr>
        <w:top w:val="none" w:sz="0" w:space="0" w:color="auto"/>
        <w:left w:val="none" w:sz="0" w:space="0" w:color="auto"/>
        <w:bottom w:val="none" w:sz="0" w:space="0" w:color="auto"/>
        <w:right w:val="none" w:sz="0" w:space="0" w:color="auto"/>
      </w:divBdr>
    </w:div>
    <w:div w:id="1384216547">
      <w:bodyDiv w:val="1"/>
      <w:marLeft w:val="0"/>
      <w:marRight w:val="0"/>
      <w:marTop w:val="0"/>
      <w:marBottom w:val="0"/>
      <w:divBdr>
        <w:top w:val="none" w:sz="0" w:space="0" w:color="auto"/>
        <w:left w:val="none" w:sz="0" w:space="0" w:color="auto"/>
        <w:bottom w:val="none" w:sz="0" w:space="0" w:color="auto"/>
        <w:right w:val="none" w:sz="0" w:space="0" w:color="auto"/>
      </w:divBdr>
    </w:div>
    <w:div w:id="1385253725">
      <w:bodyDiv w:val="1"/>
      <w:marLeft w:val="0"/>
      <w:marRight w:val="0"/>
      <w:marTop w:val="0"/>
      <w:marBottom w:val="0"/>
      <w:divBdr>
        <w:top w:val="none" w:sz="0" w:space="0" w:color="auto"/>
        <w:left w:val="none" w:sz="0" w:space="0" w:color="auto"/>
        <w:bottom w:val="none" w:sz="0" w:space="0" w:color="auto"/>
        <w:right w:val="none" w:sz="0" w:space="0" w:color="auto"/>
      </w:divBdr>
    </w:div>
    <w:div w:id="1388846107">
      <w:bodyDiv w:val="1"/>
      <w:marLeft w:val="0"/>
      <w:marRight w:val="0"/>
      <w:marTop w:val="0"/>
      <w:marBottom w:val="0"/>
      <w:divBdr>
        <w:top w:val="none" w:sz="0" w:space="0" w:color="auto"/>
        <w:left w:val="none" w:sz="0" w:space="0" w:color="auto"/>
        <w:bottom w:val="none" w:sz="0" w:space="0" w:color="auto"/>
        <w:right w:val="none" w:sz="0" w:space="0" w:color="auto"/>
      </w:divBdr>
    </w:div>
    <w:div w:id="1389183635">
      <w:bodyDiv w:val="1"/>
      <w:marLeft w:val="0"/>
      <w:marRight w:val="0"/>
      <w:marTop w:val="0"/>
      <w:marBottom w:val="0"/>
      <w:divBdr>
        <w:top w:val="none" w:sz="0" w:space="0" w:color="auto"/>
        <w:left w:val="none" w:sz="0" w:space="0" w:color="auto"/>
        <w:bottom w:val="none" w:sz="0" w:space="0" w:color="auto"/>
        <w:right w:val="none" w:sz="0" w:space="0" w:color="auto"/>
      </w:divBdr>
    </w:div>
    <w:div w:id="1392776400">
      <w:bodyDiv w:val="1"/>
      <w:marLeft w:val="0"/>
      <w:marRight w:val="0"/>
      <w:marTop w:val="0"/>
      <w:marBottom w:val="0"/>
      <w:divBdr>
        <w:top w:val="none" w:sz="0" w:space="0" w:color="auto"/>
        <w:left w:val="none" w:sz="0" w:space="0" w:color="auto"/>
        <w:bottom w:val="none" w:sz="0" w:space="0" w:color="auto"/>
        <w:right w:val="none" w:sz="0" w:space="0" w:color="auto"/>
      </w:divBdr>
    </w:div>
    <w:div w:id="1401171703">
      <w:bodyDiv w:val="1"/>
      <w:marLeft w:val="0"/>
      <w:marRight w:val="0"/>
      <w:marTop w:val="0"/>
      <w:marBottom w:val="0"/>
      <w:divBdr>
        <w:top w:val="none" w:sz="0" w:space="0" w:color="auto"/>
        <w:left w:val="none" w:sz="0" w:space="0" w:color="auto"/>
        <w:bottom w:val="none" w:sz="0" w:space="0" w:color="auto"/>
        <w:right w:val="none" w:sz="0" w:space="0" w:color="auto"/>
      </w:divBdr>
    </w:div>
    <w:div w:id="1404377387">
      <w:bodyDiv w:val="1"/>
      <w:marLeft w:val="0"/>
      <w:marRight w:val="0"/>
      <w:marTop w:val="0"/>
      <w:marBottom w:val="0"/>
      <w:divBdr>
        <w:top w:val="none" w:sz="0" w:space="0" w:color="auto"/>
        <w:left w:val="none" w:sz="0" w:space="0" w:color="auto"/>
        <w:bottom w:val="none" w:sz="0" w:space="0" w:color="auto"/>
        <w:right w:val="none" w:sz="0" w:space="0" w:color="auto"/>
      </w:divBdr>
    </w:div>
    <w:div w:id="1406293923">
      <w:bodyDiv w:val="1"/>
      <w:marLeft w:val="0"/>
      <w:marRight w:val="0"/>
      <w:marTop w:val="0"/>
      <w:marBottom w:val="0"/>
      <w:divBdr>
        <w:top w:val="none" w:sz="0" w:space="0" w:color="auto"/>
        <w:left w:val="none" w:sz="0" w:space="0" w:color="auto"/>
        <w:bottom w:val="none" w:sz="0" w:space="0" w:color="auto"/>
        <w:right w:val="none" w:sz="0" w:space="0" w:color="auto"/>
      </w:divBdr>
    </w:div>
    <w:div w:id="1406302043">
      <w:bodyDiv w:val="1"/>
      <w:marLeft w:val="0"/>
      <w:marRight w:val="0"/>
      <w:marTop w:val="0"/>
      <w:marBottom w:val="0"/>
      <w:divBdr>
        <w:top w:val="none" w:sz="0" w:space="0" w:color="auto"/>
        <w:left w:val="none" w:sz="0" w:space="0" w:color="auto"/>
        <w:bottom w:val="none" w:sz="0" w:space="0" w:color="auto"/>
        <w:right w:val="none" w:sz="0" w:space="0" w:color="auto"/>
      </w:divBdr>
    </w:div>
    <w:div w:id="1406683956">
      <w:bodyDiv w:val="1"/>
      <w:marLeft w:val="0"/>
      <w:marRight w:val="0"/>
      <w:marTop w:val="0"/>
      <w:marBottom w:val="0"/>
      <w:divBdr>
        <w:top w:val="none" w:sz="0" w:space="0" w:color="auto"/>
        <w:left w:val="none" w:sz="0" w:space="0" w:color="auto"/>
        <w:bottom w:val="none" w:sz="0" w:space="0" w:color="auto"/>
        <w:right w:val="none" w:sz="0" w:space="0" w:color="auto"/>
      </w:divBdr>
    </w:div>
    <w:div w:id="1421637309">
      <w:bodyDiv w:val="1"/>
      <w:marLeft w:val="0"/>
      <w:marRight w:val="0"/>
      <w:marTop w:val="0"/>
      <w:marBottom w:val="0"/>
      <w:divBdr>
        <w:top w:val="none" w:sz="0" w:space="0" w:color="auto"/>
        <w:left w:val="none" w:sz="0" w:space="0" w:color="auto"/>
        <w:bottom w:val="none" w:sz="0" w:space="0" w:color="auto"/>
        <w:right w:val="none" w:sz="0" w:space="0" w:color="auto"/>
      </w:divBdr>
    </w:div>
    <w:div w:id="1421753190">
      <w:bodyDiv w:val="1"/>
      <w:marLeft w:val="0"/>
      <w:marRight w:val="0"/>
      <w:marTop w:val="0"/>
      <w:marBottom w:val="0"/>
      <w:divBdr>
        <w:top w:val="none" w:sz="0" w:space="0" w:color="auto"/>
        <w:left w:val="none" w:sz="0" w:space="0" w:color="auto"/>
        <w:bottom w:val="none" w:sz="0" w:space="0" w:color="auto"/>
        <w:right w:val="none" w:sz="0" w:space="0" w:color="auto"/>
      </w:divBdr>
    </w:div>
    <w:div w:id="1422750028">
      <w:bodyDiv w:val="1"/>
      <w:marLeft w:val="0"/>
      <w:marRight w:val="0"/>
      <w:marTop w:val="0"/>
      <w:marBottom w:val="0"/>
      <w:divBdr>
        <w:top w:val="none" w:sz="0" w:space="0" w:color="auto"/>
        <w:left w:val="none" w:sz="0" w:space="0" w:color="auto"/>
        <w:bottom w:val="none" w:sz="0" w:space="0" w:color="auto"/>
        <w:right w:val="none" w:sz="0" w:space="0" w:color="auto"/>
      </w:divBdr>
    </w:div>
    <w:div w:id="1423255748">
      <w:bodyDiv w:val="1"/>
      <w:marLeft w:val="0"/>
      <w:marRight w:val="0"/>
      <w:marTop w:val="0"/>
      <w:marBottom w:val="0"/>
      <w:divBdr>
        <w:top w:val="none" w:sz="0" w:space="0" w:color="auto"/>
        <w:left w:val="none" w:sz="0" w:space="0" w:color="auto"/>
        <w:bottom w:val="none" w:sz="0" w:space="0" w:color="auto"/>
        <w:right w:val="none" w:sz="0" w:space="0" w:color="auto"/>
      </w:divBdr>
    </w:div>
    <w:div w:id="1424835655">
      <w:bodyDiv w:val="1"/>
      <w:marLeft w:val="0"/>
      <w:marRight w:val="0"/>
      <w:marTop w:val="0"/>
      <w:marBottom w:val="0"/>
      <w:divBdr>
        <w:top w:val="none" w:sz="0" w:space="0" w:color="auto"/>
        <w:left w:val="none" w:sz="0" w:space="0" w:color="auto"/>
        <w:bottom w:val="none" w:sz="0" w:space="0" w:color="auto"/>
        <w:right w:val="none" w:sz="0" w:space="0" w:color="auto"/>
      </w:divBdr>
    </w:div>
    <w:div w:id="1425955982">
      <w:bodyDiv w:val="1"/>
      <w:marLeft w:val="0"/>
      <w:marRight w:val="0"/>
      <w:marTop w:val="0"/>
      <w:marBottom w:val="0"/>
      <w:divBdr>
        <w:top w:val="none" w:sz="0" w:space="0" w:color="auto"/>
        <w:left w:val="none" w:sz="0" w:space="0" w:color="auto"/>
        <w:bottom w:val="none" w:sz="0" w:space="0" w:color="auto"/>
        <w:right w:val="none" w:sz="0" w:space="0" w:color="auto"/>
      </w:divBdr>
    </w:div>
    <w:div w:id="1429740825">
      <w:bodyDiv w:val="1"/>
      <w:marLeft w:val="0"/>
      <w:marRight w:val="0"/>
      <w:marTop w:val="0"/>
      <w:marBottom w:val="0"/>
      <w:divBdr>
        <w:top w:val="none" w:sz="0" w:space="0" w:color="auto"/>
        <w:left w:val="none" w:sz="0" w:space="0" w:color="auto"/>
        <w:bottom w:val="none" w:sz="0" w:space="0" w:color="auto"/>
        <w:right w:val="none" w:sz="0" w:space="0" w:color="auto"/>
      </w:divBdr>
    </w:div>
    <w:div w:id="1433011573">
      <w:bodyDiv w:val="1"/>
      <w:marLeft w:val="0"/>
      <w:marRight w:val="0"/>
      <w:marTop w:val="0"/>
      <w:marBottom w:val="0"/>
      <w:divBdr>
        <w:top w:val="none" w:sz="0" w:space="0" w:color="auto"/>
        <w:left w:val="none" w:sz="0" w:space="0" w:color="auto"/>
        <w:bottom w:val="none" w:sz="0" w:space="0" w:color="auto"/>
        <w:right w:val="none" w:sz="0" w:space="0" w:color="auto"/>
      </w:divBdr>
    </w:div>
    <w:div w:id="1434787779">
      <w:bodyDiv w:val="1"/>
      <w:marLeft w:val="0"/>
      <w:marRight w:val="0"/>
      <w:marTop w:val="0"/>
      <w:marBottom w:val="0"/>
      <w:divBdr>
        <w:top w:val="none" w:sz="0" w:space="0" w:color="auto"/>
        <w:left w:val="none" w:sz="0" w:space="0" w:color="auto"/>
        <w:bottom w:val="none" w:sz="0" w:space="0" w:color="auto"/>
        <w:right w:val="none" w:sz="0" w:space="0" w:color="auto"/>
      </w:divBdr>
    </w:div>
    <w:div w:id="1435780772">
      <w:bodyDiv w:val="1"/>
      <w:marLeft w:val="0"/>
      <w:marRight w:val="0"/>
      <w:marTop w:val="0"/>
      <w:marBottom w:val="0"/>
      <w:divBdr>
        <w:top w:val="none" w:sz="0" w:space="0" w:color="auto"/>
        <w:left w:val="none" w:sz="0" w:space="0" w:color="auto"/>
        <w:bottom w:val="none" w:sz="0" w:space="0" w:color="auto"/>
        <w:right w:val="none" w:sz="0" w:space="0" w:color="auto"/>
      </w:divBdr>
    </w:div>
    <w:div w:id="1436096124">
      <w:bodyDiv w:val="1"/>
      <w:marLeft w:val="0"/>
      <w:marRight w:val="0"/>
      <w:marTop w:val="0"/>
      <w:marBottom w:val="0"/>
      <w:divBdr>
        <w:top w:val="none" w:sz="0" w:space="0" w:color="auto"/>
        <w:left w:val="none" w:sz="0" w:space="0" w:color="auto"/>
        <w:bottom w:val="none" w:sz="0" w:space="0" w:color="auto"/>
        <w:right w:val="none" w:sz="0" w:space="0" w:color="auto"/>
      </w:divBdr>
    </w:div>
    <w:div w:id="1436099862">
      <w:bodyDiv w:val="1"/>
      <w:marLeft w:val="0"/>
      <w:marRight w:val="0"/>
      <w:marTop w:val="0"/>
      <w:marBottom w:val="0"/>
      <w:divBdr>
        <w:top w:val="none" w:sz="0" w:space="0" w:color="auto"/>
        <w:left w:val="none" w:sz="0" w:space="0" w:color="auto"/>
        <w:bottom w:val="none" w:sz="0" w:space="0" w:color="auto"/>
        <w:right w:val="none" w:sz="0" w:space="0" w:color="auto"/>
      </w:divBdr>
    </w:div>
    <w:div w:id="1436827784">
      <w:bodyDiv w:val="1"/>
      <w:marLeft w:val="0"/>
      <w:marRight w:val="0"/>
      <w:marTop w:val="0"/>
      <w:marBottom w:val="0"/>
      <w:divBdr>
        <w:top w:val="none" w:sz="0" w:space="0" w:color="auto"/>
        <w:left w:val="none" w:sz="0" w:space="0" w:color="auto"/>
        <w:bottom w:val="none" w:sz="0" w:space="0" w:color="auto"/>
        <w:right w:val="none" w:sz="0" w:space="0" w:color="auto"/>
      </w:divBdr>
    </w:div>
    <w:div w:id="1441994991">
      <w:bodyDiv w:val="1"/>
      <w:marLeft w:val="0"/>
      <w:marRight w:val="0"/>
      <w:marTop w:val="0"/>
      <w:marBottom w:val="0"/>
      <w:divBdr>
        <w:top w:val="none" w:sz="0" w:space="0" w:color="auto"/>
        <w:left w:val="none" w:sz="0" w:space="0" w:color="auto"/>
        <w:bottom w:val="none" w:sz="0" w:space="0" w:color="auto"/>
        <w:right w:val="none" w:sz="0" w:space="0" w:color="auto"/>
      </w:divBdr>
    </w:div>
    <w:div w:id="1442532293">
      <w:bodyDiv w:val="1"/>
      <w:marLeft w:val="0"/>
      <w:marRight w:val="0"/>
      <w:marTop w:val="0"/>
      <w:marBottom w:val="0"/>
      <w:divBdr>
        <w:top w:val="none" w:sz="0" w:space="0" w:color="auto"/>
        <w:left w:val="none" w:sz="0" w:space="0" w:color="auto"/>
        <w:bottom w:val="none" w:sz="0" w:space="0" w:color="auto"/>
        <w:right w:val="none" w:sz="0" w:space="0" w:color="auto"/>
      </w:divBdr>
    </w:div>
    <w:div w:id="1449273387">
      <w:bodyDiv w:val="1"/>
      <w:marLeft w:val="0"/>
      <w:marRight w:val="0"/>
      <w:marTop w:val="0"/>
      <w:marBottom w:val="0"/>
      <w:divBdr>
        <w:top w:val="none" w:sz="0" w:space="0" w:color="auto"/>
        <w:left w:val="none" w:sz="0" w:space="0" w:color="auto"/>
        <w:bottom w:val="none" w:sz="0" w:space="0" w:color="auto"/>
        <w:right w:val="none" w:sz="0" w:space="0" w:color="auto"/>
      </w:divBdr>
    </w:div>
    <w:div w:id="1449666951">
      <w:bodyDiv w:val="1"/>
      <w:marLeft w:val="0"/>
      <w:marRight w:val="0"/>
      <w:marTop w:val="0"/>
      <w:marBottom w:val="0"/>
      <w:divBdr>
        <w:top w:val="none" w:sz="0" w:space="0" w:color="auto"/>
        <w:left w:val="none" w:sz="0" w:space="0" w:color="auto"/>
        <w:bottom w:val="none" w:sz="0" w:space="0" w:color="auto"/>
        <w:right w:val="none" w:sz="0" w:space="0" w:color="auto"/>
      </w:divBdr>
    </w:div>
    <w:div w:id="1461728599">
      <w:bodyDiv w:val="1"/>
      <w:marLeft w:val="0"/>
      <w:marRight w:val="0"/>
      <w:marTop w:val="0"/>
      <w:marBottom w:val="0"/>
      <w:divBdr>
        <w:top w:val="none" w:sz="0" w:space="0" w:color="auto"/>
        <w:left w:val="none" w:sz="0" w:space="0" w:color="auto"/>
        <w:bottom w:val="none" w:sz="0" w:space="0" w:color="auto"/>
        <w:right w:val="none" w:sz="0" w:space="0" w:color="auto"/>
      </w:divBdr>
    </w:div>
    <w:div w:id="1463301914">
      <w:bodyDiv w:val="1"/>
      <w:marLeft w:val="0"/>
      <w:marRight w:val="0"/>
      <w:marTop w:val="0"/>
      <w:marBottom w:val="0"/>
      <w:divBdr>
        <w:top w:val="none" w:sz="0" w:space="0" w:color="auto"/>
        <w:left w:val="none" w:sz="0" w:space="0" w:color="auto"/>
        <w:bottom w:val="none" w:sz="0" w:space="0" w:color="auto"/>
        <w:right w:val="none" w:sz="0" w:space="0" w:color="auto"/>
      </w:divBdr>
    </w:div>
    <w:div w:id="1470199113">
      <w:bodyDiv w:val="1"/>
      <w:marLeft w:val="0"/>
      <w:marRight w:val="0"/>
      <w:marTop w:val="0"/>
      <w:marBottom w:val="0"/>
      <w:divBdr>
        <w:top w:val="none" w:sz="0" w:space="0" w:color="auto"/>
        <w:left w:val="none" w:sz="0" w:space="0" w:color="auto"/>
        <w:bottom w:val="none" w:sz="0" w:space="0" w:color="auto"/>
        <w:right w:val="none" w:sz="0" w:space="0" w:color="auto"/>
      </w:divBdr>
    </w:div>
    <w:div w:id="1475292958">
      <w:bodyDiv w:val="1"/>
      <w:marLeft w:val="0"/>
      <w:marRight w:val="0"/>
      <w:marTop w:val="0"/>
      <w:marBottom w:val="0"/>
      <w:divBdr>
        <w:top w:val="none" w:sz="0" w:space="0" w:color="auto"/>
        <w:left w:val="none" w:sz="0" w:space="0" w:color="auto"/>
        <w:bottom w:val="none" w:sz="0" w:space="0" w:color="auto"/>
        <w:right w:val="none" w:sz="0" w:space="0" w:color="auto"/>
      </w:divBdr>
    </w:div>
    <w:div w:id="1481926803">
      <w:bodyDiv w:val="1"/>
      <w:marLeft w:val="0"/>
      <w:marRight w:val="0"/>
      <w:marTop w:val="0"/>
      <w:marBottom w:val="0"/>
      <w:divBdr>
        <w:top w:val="none" w:sz="0" w:space="0" w:color="auto"/>
        <w:left w:val="none" w:sz="0" w:space="0" w:color="auto"/>
        <w:bottom w:val="none" w:sz="0" w:space="0" w:color="auto"/>
        <w:right w:val="none" w:sz="0" w:space="0" w:color="auto"/>
      </w:divBdr>
    </w:div>
    <w:div w:id="1484154189">
      <w:bodyDiv w:val="1"/>
      <w:marLeft w:val="0"/>
      <w:marRight w:val="0"/>
      <w:marTop w:val="0"/>
      <w:marBottom w:val="0"/>
      <w:divBdr>
        <w:top w:val="none" w:sz="0" w:space="0" w:color="auto"/>
        <w:left w:val="none" w:sz="0" w:space="0" w:color="auto"/>
        <w:bottom w:val="none" w:sz="0" w:space="0" w:color="auto"/>
        <w:right w:val="none" w:sz="0" w:space="0" w:color="auto"/>
      </w:divBdr>
    </w:div>
    <w:div w:id="1493915188">
      <w:bodyDiv w:val="1"/>
      <w:marLeft w:val="0"/>
      <w:marRight w:val="0"/>
      <w:marTop w:val="0"/>
      <w:marBottom w:val="0"/>
      <w:divBdr>
        <w:top w:val="none" w:sz="0" w:space="0" w:color="auto"/>
        <w:left w:val="none" w:sz="0" w:space="0" w:color="auto"/>
        <w:bottom w:val="none" w:sz="0" w:space="0" w:color="auto"/>
        <w:right w:val="none" w:sz="0" w:space="0" w:color="auto"/>
      </w:divBdr>
    </w:div>
    <w:div w:id="1495410168">
      <w:bodyDiv w:val="1"/>
      <w:marLeft w:val="0"/>
      <w:marRight w:val="0"/>
      <w:marTop w:val="0"/>
      <w:marBottom w:val="0"/>
      <w:divBdr>
        <w:top w:val="none" w:sz="0" w:space="0" w:color="auto"/>
        <w:left w:val="none" w:sz="0" w:space="0" w:color="auto"/>
        <w:bottom w:val="none" w:sz="0" w:space="0" w:color="auto"/>
        <w:right w:val="none" w:sz="0" w:space="0" w:color="auto"/>
      </w:divBdr>
    </w:div>
    <w:div w:id="1498231302">
      <w:bodyDiv w:val="1"/>
      <w:marLeft w:val="0"/>
      <w:marRight w:val="0"/>
      <w:marTop w:val="0"/>
      <w:marBottom w:val="0"/>
      <w:divBdr>
        <w:top w:val="none" w:sz="0" w:space="0" w:color="auto"/>
        <w:left w:val="none" w:sz="0" w:space="0" w:color="auto"/>
        <w:bottom w:val="none" w:sz="0" w:space="0" w:color="auto"/>
        <w:right w:val="none" w:sz="0" w:space="0" w:color="auto"/>
      </w:divBdr>
    </w:div>
    <w:div w:id="1501504940">
      <w:bodyDiv w:val="1"/>
      <w:marLeft w:val="0"/>
      <w:marRight w:val="0"/>
      <w:marTop w:val="0"/>
      <w:marBottom w:val="0"/>
      <w:divBdr>
        <w:top w:val="none" w:sz="0" w:space="0" w:color="auto"/>
        <w:left w:val="none" w:sz="0" w:space="0" w:color="auto"/>
        <w:bottom w:val="none" w:sz="0" w:space="0" w:color="auto"/>
        <w:right w:val="none" w:sz="0" w:space="0" w:color="auto"/>
      </w:divBdr>
    </w:div>
    <w:div w:id="1502967465">
      <w:bodyDiv w:val="1"/>
      <w:marLeft w:val="0"/>
      <w:marRight w:val="0"/>
      <w:marTop w:val="0"/>
      <w:marBottom w:val="0"/>
      <w:divBdr>
        <w:top w:val="none" w:sz="0" w:space="0" w:color="auto"/>
        <w:left w:val="none" w:sz="0" w:space="0" w:color="auto"/>
        <w:bottom w:val="none" w:sz="0" w:space="0" w:color="auto"/>
        <w:right w:val="none" w:sz="0" w:space="0" w:color="auto"/>
      </w:divBdr>
    </w:div>
    <w:div w:id="1505973877">
      <w:bodyDiv w:val="1"/>
      <w:marLeft w:val="0"/>
      <w:marRight w:val="0"/>
      <w:marTop w:val="0"/>
      <w:marBottom w:val="0"/>
      <w:divBdr>
        <w:top w:val="none" w:sz="0" w:space="0" w:color="auto"/>
        <w:left w:val="none" w:sz="0" w:space="0" w:color="auto"/>
        <w:bottom w:val="none" w:sz="0" w:space="0" w:color="auto"/>
        <w:right w:val="none" w:sz="0" w:space="0" w:color="auto"/>
      </w:divBdr>
    </w:div>
    <w:div w:id="1506822549">
      <w:bodyDiv w:val="1"/>
      <w:marLeft w:val="0"/>
      <w:marRight w:val="0"/>
      <w:marTop w:val="0"/>
      <w:marBottom w:val="0"/>
      <w:divBdr>
        <w:top w:val="none" w:sz="0" w:space="0" w:color="auto"/>
        <w:left w:val="none" w:sz="0" w:space="0" w:color="auto"/>
        <w:bottom w:val="none" w:sz="0" w:space="0" w:color="auto"/>
        <w:right w:val="none" w:sz="0" w:space="0" w:color="auto"/>
      </w:divBdr>
    </w:div>
    <w:div w:id="1507404835">
      <w:bodyDiv w:val="1"/>
      <w:marLeft w:val="0"/>
      <w:marRight w:val="0"/>
      <w:marTop w:val="0"/>
      <w:marBottom w:val="0"/>
      <w:divBdr>
        <w:top w:val="none" w:sz="0" w:space="0" w:color="auto"/>
        <w:left w:val="none" w:sz="0" w:space="0" w:color="auto"/>
        <w:bottom w:val="none" w:sz="0" w:space="0" w:color="auto"/>
        <w:right w:val="none" w:sz="0" w:space="0" w:color="auto"/>
      </w:divBdr>
    </w:div>
    <w:div w:id="1512990725">
      <w:bodyDiv w:val="1"/>
      <w:marLeft w:val="0"/>
      <w:marRight w:val="0"/>
      <w:marTop w:val="0"/>
      <w:marBottom w:val="0"/>
      <w:divBdr>
        <w:top w:val="none" w:sz="0" w:space="0" w:color="auto"/>
        <w:left w:val="none" w:sz="0" w:space="0" w:color="auto"/>
        <w:bottom w:val="none" w:sz="0" w:space="0" w:color="auto"/>
        <w:right w:val="none" w:sz="0" w:space="0" w:color="auto"/>
      </w:divBdr>
    </w:div>
    <w:div w:id="1514303956">
      <w:bodyDiv w:val="1"/>
      <w:marLeft w:val="0"/>
      <w:marRight w:val="0"/>
      <w:marTop w:val="0"/>
      <w:marBottom w:val="0"/>
      <w:divBdr>
        <w:top w:val="none" w:sz="0" w:space="0" w:color="auto"/>
        <w:left w:val="none" w:sz="0" w:space="0" w:color="auto"/>
        <w:bottom w:val="none" w:sz="0" w:space="0" w:color="auto"/>
        <w:right w:val="none" w:sz="0" w:space="0" w:color="auto"/>
      </w:divBdr>
    </w:div>
    <w:div w:id="1514371776">
      <w:bodyDiv w:val="1"/>
      <w:marLeft w:val="0"/>
      <w:marRight w:val="0"/>
      <w:marTop w:val="0"/>
      <w:marBottom w:val="0"/>
      <w:divBdr>
        <w:top w:val="none" w:sz="0" w:space="0" w:color="auto"/>
        <w:left w:val="none" w:sz="0" w:space="0" w:color="auto"/>
        <w:bottom w:val="none" w:sz="0" w:space="0" w:color="auto"/>
        <w:right w:val="none" w:sz="0" w:space="0" w:color="auto"/>
      </w:divBdr>
    </w:div>
    <w:div w:id="1516766791">
      <w:bodyDiv w:val="1"/>
      <w:marLeft w:val="0"/>
      <w:marRight w:val="0"/>
      <w:marTop w:val="0"/>
      <w:marBottom w:val="0"/>
      <w:divBdr>
        <w:top w:val="none" w:sz="0" w:space="0" w:color="auto"/>
        <w:left w:val="none" w:sz="0" w:space="0" w:color="auto"/>
        <w:bottom w:val="none" w:sz="0" w:space="0" w:color="auto"/>
        <w:right w:val="none" w:sz="0" w:space="0" w:color="auto"/>
      </w:divBdr>
    </w:div>
    <w:div w:id="1523128270">
      <w:bodyDiv w:val="1"/>
      <w:marLeft w:val="0"/>
      <w:marRight w:val="0"/>
      <w:marTop w:val="0"/>
      <w:marBottom w:val="0"/>
      <w:divBdr>
        <w:top w:val="none" w:sz="0" w:space="0" w:color="auto"/>
        <w:left w:val="none" w:sz="0" w:space="0" w:color="auto"/>
        <w:bottom w:val="none" w:sz="0" w:space="0" w:color="auto"/>
        <w:right w:val="none" w:sz="0" w:space="0" w:color="auto"/>
      </w:divBdr>
    </w:div>
    <w:div w:id="1524124256">
      <w:bodyDiv w:val="1"/>
      <w:marLeft w:val="0"/>
      <w:marRight w:val="0"/>
      <w:marTop w:val="0"/>
      <w:marBottom w:val="0"/>
      <w:divBdr>
        <w:top w:val="none" w:sz="0" w:space="0" w:color="auto"/>
        <w:left w:val="none" w:sz="0" w:space="0" w:color="auto"/>
        <w:bottom w:val="none" w:sz="0" w:space="0" w:color="auto"/>
        <w:right w:val="none" w:sz="0" w:space="0" w:color="auto"/>
      </w:divBdr>
    </w:div>
    <w:div w:id="1524906103">
      <w:bodyDiv w:val="1"/>
      <w:marLeft w:val="0"/>
      <w:marRight w:val="0"/>
      <w:marTop w:val="0"/>
      <w:marBottom w:val="0"/>
      <w:divBdr>
        <w:top w:val="none" w:sz="0" w:space="0" w:color="auto"/>
        <w:left w:val="none" w:sz="0" w:space="0" w:color="auto"/>
        <w:bottom w:val="none" w:sz="0" w:space="0" w:color="auto"/>
        <w:right w:val="none" w:sz="0" w:space="0" w:color="auto"/>
      </w:divBdr>
    </w:div>
    <w:div w:id="1526017711">
      <w:bodyDiv w:val="1"/>
      <w:marLeft w:val="0"/>
      <w:marRight w:val="0"/>
      <w:marTop w:val="0"/>
      <w:marBottom w:val="0"/>
      <w:divBdr>
        <w:top w:val="none" w:sz="0" w:space="0" w:color="auto"/>
        <w:left w:val="none" w:sz="0" w:space="0" w:color="auto"/>
        <w:bottom w:val="none" w:sz="0" w:space="0" w:color="auto"/>
        <w:right w:val="none" w:sz="0" w:space="0" w:color="auto"/>
      </w:divBdr>
    </w:div>
    <w:div w:id="1526214571">
      <w:bodyDiv w:val="1"/>
      <w:marLeft w:val="0"/>
      <w:marRight w:val="0"/>
      <w:marTop w:val="0"/>
      <w:marBottom w:val="0"/>
      <w:divBdr>
        <w:top w:val="none" w:sz="0" w:space="0" w:color="auto"/>
        <w:left w:val="none" w:sz="0" w:space="0" w:color="auto"/>
        <w:bottom w:val="none" w:sz="0" w:space="0" w:color="auto"/>
        <w:right w:val="none" w:sz="0" w:space="0" w:color="auto"/>
      </w:divBdr>
    </w:div>
    <w:div w:id="1527402078">
      <w:bodyDiv w:val="1"/>
      <w:marLeft w:val="0"/>
      <w:marRight w:val="0"/>
      <w:marTop w:val="0"/>
      <w:marBottom w:val="0"/>
      <w:divBdr>
        <w:top w:val="none" w:sz="0" w:space="0" w:color="auto"/>
        <w:left w:val="none" w:sz="0" w:space="0" w:color="auto"/>
        <w:bottom w:val="none" w:sz="0" w:space="0" w:color="auto"/>
        <w:right w:val="none" w:sz="0" w:space="0" w:color="auto"/>
      </w:divBdr>
    </w:div>
    <w:div w:id="1529567791">
      <w:bodyDiv w:val="1"/>
      <w:marLeft w:val="0"/>
      <w:marRight w:val="0"/>
      <w:marTop w:val="0"/>
      <w:marBottom w:val="0"/>
      <w:divBdr>
        <w:top w:val="none" w:sz="0" w:space="0" w:color="auto"/>
        <w:left w:val="none" w:sz="0" w:space="0" w:color="auto"/>
        <w:bottom w:val="none" w:sz="0" w:space="0" w:color="auto"/>
        <w:right w:val="none" w:sz="0" w:space="0" w:color="auto"/>
      </w:divBdr>
    </w:div>
    <w:div w:id="1532912881">
      <w:bodyDiv w:val="1"/>
      <w:marLeft w:val="0"/>
      <w:marRight w:val="0"/>
      <w:marTop w:val="0"/>
      <w:marBottom w:val="0"/>
      <w:divBdr>
        <w:top w:val="none" w:sz="0" w:space="0" w:color="auto"/>
        <w:left w:val="none" w:sz="0" w:space="0" w:color="auto"/>
        <w:bottom w:val="none" w:sz="0" w:space="0" w:color="auto"/>
        <w:right w:val="none" w:sz="0" w:space="0" w:color="auto"/>
      </w:divBdr>
    </w:div>
    <w:div w:id="1532957040">
      <w:bodyDiv w:val="1"/>
      <w:marLeft w:val="0"/>
      <w:marRight w:val="0"/>
      <w:marTop w:val="0"/>
      <w:marBottom w:val="0"/>
      <w:divBdr>
        <w:top w:val="none" w:sz="0" w:space="0" w:color="auto"/>
        <w:left w:val="none" w:sz="0" w:space="0" w:color="auto"/>
        <w:bottom w:val="none" w:sz="0" w:space="0" w:color="auto"/>
        <w:right w:val="none" w:sz="0" w:space="0" w:color="auto"/>
      </w:divBdr>
    </w:div>
    <w:div w:id="1535920401">
      <w:bodyDiv w:val="1"/>
      <w:marLeft w:val="0"/>
      <w:marRight w:val="0"/>
      <w:marTop w:val="0"/>
      <w:marBottom w:val="0"/>
      <w:divBdr>
        <w:top w:val="none" w:sz="0" w:space="0" w:color="auto"/>
        <w:left w:val="none" w:sz="0" w:space="0" w:color="auto"/>
        <w:bottom w:val="none" w:sz="0" w:space="0" w:color="auto"/>
        <w:right w:val="none" w:sz="0" w:space="0" w:color="auto"/>
      </w:divBdr>
    </w:div>
    <w:div w:id="1537693243">
      <w:bodyDiv w:val="1"/>
      <w:marLeft w:val="0"/>
      <w:marRight w:val="0"/>
      <w:marTop w:val="0"/>
      <w:marBottom w:val="0"/>
      <w:divBdr>
        <w:top w:val="none" w:sz="0" w:space="0" w:color="auto"/>
        <w:left w:val="none" w:sz="0" w:space="0" w:color="auto"/>
        <w:bottom w:val="none" w:sz="0" w:space="0" w:color="auto"/>
        <w:right w:val="none" w:sz="0" w:space="0" w:color="auto"/>
      </w:divBdr>
    </w:div>
    <w:div w:id="1540628653">
      <w:bodyDiv w:val="1"/>
      <w:marLeft w:val="0"/>
      <w:marRight w:val="0"/>
      <w:marTop w:val="0"/>
      <w:marBottom w:val="0"/>
      <w:divBdr>
        <w:top w:val="none" w:sz="0" w:space="0" w:color="auto"/>
        <w:left w:val="none" w:sz="0" w:space="0" w:color="auto"/>
        <w:bottom w:val="none" w:sz="0" w:space="0" w:color="auto"/>
        <w:right w:val="none" w:sz="0" w:space="0" w:color="auto"/>
      </w:divBdr>
    </w:div>
    <w:div w:id="1543520140">
      <w:bodyDiv w:val="1"/>
      <w:marLeft w:val="0"/>
      <w:marRight w:val="0"/>
      <w:marTop w:val="0"/>
      <w:marBottom w:val="0"/>
      <w:divBdr>
        <w:top w:val="none" w:sz="0" w:space="0" w:color="auto"/>
        <w:left w:val="none" w:sz="0" w:space="0" w:color="auto"/>
        <w:bottom w:val="none" w:sz="0" w:space="0" w:color="auto"/>
        <w:right w:val="none" w:sz="0" w:space="0" w:color="auto"/>
      </w:divBdr>
    </w:div>
    <w:div w:id="1544753234">
      <w:bodyDiv w:val="1"/>
      <w:marLeft w:val="0"/>
      <w:marRight w:val="0"/>
      <w:marTop w:val="0"/>
      <w:marBottom w:val="0"/>
      <w:divBdr>
        <w:top w:val="none" w:sz="0" w:space="0" w:color="auto"/>
        <w:left w:val="none" w:sz="0" w:space="0" w:color="auto"/>
        <w:bottom w:val="none" w:sz="0" w:space="0" w:color="auto"/>
        <w:right w:val="none" w:sz="0" w:space="0" w:color="auto"/>
      </w:divBdr>
    </w:div>
    <w:div w:id="1545210575">
      <w:bodyDiv w:val="1"/>
      <w:marLeft w:val="0"/>
      <w:marRight w:val="0"/>
      <w:marTop w:val="0"/>
      <w:marBottom w:val="0"/>
      <w:divBdr>
        <w:top w:val="none" w:sz="0" w:space="0" w:color="auto"/>
        <w:left w:val="none" w:sz="0" w:space="0" w:color="auto"/>
        <w:bottom w:val="none" w:sz="0" w:space="0" w:color="auto"/>
        <w:right w:val="none" w:sz="0" w:space="0" w:color="auto"/>
      </w:divBdr>
    </w:div>
    <w:div w:id="1547135694">
      <w:bodyDiv w:val="1"/>
      <w:marLeft w:val="0"/>
      <w:marRight w:val="0"/>
      <w:marTop w:val="0"/>
      <w:marBottom w:val="0"/>
      <w:divBdr>
        <w:top w:val="none" w:sz="0" w:space="0" w:color="auto"/>
        <w:left w:val="none" w:sz="0" w:space="0" w:color="auto"/>
        <w:bottom w:val="none" w:sz="0" w:space="0" w:color="auto"/>
        <w:right w:val="none" w:sz="0" w:space="0" w:color="auto"/>
      </w:divBdr>
    </w:div>
    <w:div w:id="1549562454">
      <w:bodyDiv w:val="1"/>
      <w:marLeft w:val="0"/>
      <w:marRight w:val="0"/>
      <w:marTop w:val="0"/>
      <w:marBottom w:val="0"/>
      <w:divBdr>
        <w:top w:val="none" w:sz="0" w:space="0" w:color="auto"/>
        <w:left w:val="none" w:sz="0" w:space="0" w:color="auto"/>
        <w:bottom w:val="none" w:sz="0" w:space="0" w:color="auto"/>
        <w:right w:val="none" w:sz="0" w:space="0" w:color="auto"/>
      </w:divBdr>
    </w:div>
    <w:div w:id="1550070137">
      <w:bodyDiv w:val="1"/>
      <w:marLeft w:val="0"/>
      <w:marRight w:val="0"/>
      <w:marTop w:val="0"/>
      <w:marBottom w:val="0"/>
      <w:divBdr>
        <w:top w:val="none" w:sz="0" w:space="0" w:color="auto"/>
        <w:left w:val="none" w:sz="0" w:space="0" w:color="auto"/>
        <w:bottom w:val="none" w:sz="0" w:space="0" w:color="auto"/>
        <w:right w:val="none" w:sz="0" w:space="0" w:color="auto"/>
      </w:divBdr>
    </w:div>
    <w:div w:id="1551654214">
      <w:bodyDiv w:val="1"/>
      <w:marLeft w:val="0"/>
      <w:marRight w:val="0"/>
      <w:marTop w:val="0"/>
      <w:marBottom w:val="0"/>
      <w:divBdr>
        <w:top w:val="none" w:sz="0" w:space="0" w:color="auto"/>
        <w:left w:val="none" w:sz="0" w:space="0" w:color="auto"/>
        <w:bottom w:val="none" w:sz="0" w:space="0" w:color="auto"/>
        <w:right w:val="none" w:sz="0" w:space="0" w:color="auto"/>
      </w:divBdr>
    </w:div>
    <w:div w:id="1552571904">
      <w:bodyDiv w:val="1"/>
      <w:marLeft w:val="0"/>
      <w:marRight w:val="0"/>
      <w:marTop w:val="0"/>
      <w:marBottom w:val="0"/>
      <w:divBdr>
        <w:top w:val="none" w:sz="0" w:space="0" w:color="auto"/>
        <w:left w:val="none" w:sz="0" w:space="0" w:color="auto"/>
        <w:bottom w:val="none" w:sz="0" w:space="0" w:color="auto"/>
        <w:right w:val="none" w:sz="0" w:space="0" w:color="auto"/>
      </w:divBdr>
    </w:div>
    <w:div w:id="1554807525">
      <w:bodyDiv w:val="1"/>
      <w:marLeft w:val="0"/>
      <w:marRight w:val="0"/>
      <w:marTop w:val="0"/>
      <w:marBottom w:val="0"/>
      <w:divBdr>
        <w:top w:val="none" w:sz="0" w:space="0" w:color="auto"/>
        <w:left w:val="none" w:sz="0" w:space="0" w:color="auto"/>
        <w:bottom w:val="none" w:sz="0" w:space="0" w:color="auto"/>
        <w:right w:val="none" w:sz="0" w:space="0" w:color="auto"/>
      </w:divBdr>
    </w:div>
    <w:div w:id="1558004188">
      <w:bodyDiv w:val="1"/>
      <w:marLeft w:val="0"/>
      <w:marRight w:val="0"/>
      <w:marTop w:val="0"/>
      <w:marBottom w:val="0"/>
      <w:divBdr>
        <w:top w:val="none" w:sz="0" w:space="0" w:color="auto"/>
        <w:left w:val="none" w:sz="0" w:space="0" w:color="auto"/>
        <w:bottom w:val="none" w:sz="0" w:space="0" w:color="auto"/>
        <w:right w:val="none" w:sz="0" w:space="0" w:color="auto"/>
      </w:divBdr>
    </w:div>
    <w:div w:id="1561598399">
      <w:bodyDiv w:val="1"/>
      <w:marLeft w:val="0"/>
      <w:marRight w:val="0"/>
      <w:marTop w:val="0"/>
      <w:marBottom w:val="0"/>
      <w:divBdr>
        <w:top w:val="none" w:sz="0" w:space="0" w:color="auto"/>
        <w:left w:val="none" w:sz="0" w:space="0" w:color="auto"/>
        <w:bottom w:val="none" w:sz="0" w:space="0" w:color="auto"/>
        <w:right w:val="none" w:sz="0" w:space="0" w:color="auto"/>
      </w:divBdr>
    </w:div>
    <w:div w:id="1563371080">
      <w:bodyDiv w:val="1"/>
      <w:marLeft w:val="0"/>
      <w:marRight w:val="0"/>
      <w:marTop w:val="0"/>
      <w:marBottom w:val="0"/>
      <w:divBdr>
        <w:top w:val="none" w:sz="0" w:space="0" w:color="auto"/>
        <w:left w:val="none" w:sz="0" w:space="0" w:color="auto"/>
        <w:bottom w:val="none" w:sz="0" w:space="0" w:color="auto"/>
        <w:right w:val="none" w:sz="0" w:space="0" w:color="auto"/>
      </w:divBdr>
    </w:div>
    <w:div w:id="1567107665">
      <w:bodyDiv w:val="1"/>
      <w:marLeft w:val="0"/>
      <w:marRight w:val="0"/>
      <w:marTop w:val="0"/>
      <w:marBottom w:val="0"/>
      <w:divBdr>
        <w:top w:val="none" w:sz="0" w:space="0" w:color="auto"/>
        <w:left w:val="none" w:sz="0" w:space="0" w:color="auto"/>
        <w:bottom w:val="none" w:sz="0" w:space="0" w:color="auto"/>
        <w:right w:val="none" w:sz="0" w:space="0" w:color="auto"/>
      </w:divBdr>
    </w:div>
    <w:div w:id="1571230617">
      <w:bodyDiv w:val="1"/>
      <w:marLeft w:val="0"/>
      <w:marRight w:val="0"/>
      <w:marTop w:val="0"/>
      <w:marBottom w:val="0"/>
      <w:divBdr>
        <w:top w:val="none" w:sz="0" w:space="0" w:color="auto"/>
        <w:left w:val="none" w:sz="0" w:space="0" w:color="auto"/>
        <w:bottom w:val="none" w:sz="0" w:space="0" w:color="auto"/>
        <w:right w:val="none" w:sz="0" w:space="0" w:color="auto"/>
      </w:divBdr>
    </w:div>
    <w:div w:id="1572889609">
      <w:bodyDiv w:val="1"/>
      <w:marLeft w:val="0"/>
      <w:marRight w:val="0"/>
      <w:marTop w:val="0"/>
      <w:marBottom w:val="0"/>
      <w:divBdr>
        <w:top w:val="none" w:sz="0" w:space="0" w:color="auto"/>
        <w:left w:val="none" w:sz="0" w:space="0" w:color="auto"/>
        <w:bottom w:val="none" w:sz="0" w:space="0" w:color="auto"/>
        <w:right w:val="none" w:sz="0" w:space="0" w:color="auto"/>
      </w:divBdr>
    </w:div>
    <w:div w:id="1579515154">
      <w:bodyDiv w:val="1"/>
      <w:marLeft w:val="0"/>
      <w:marRight w:val="0"/>
      <w:marTop w:val="0"/>
      <w:marBottom w:val="0"/>
      <w:divBdr>
        <w:top w:val="none" w:sz="0" w:space="0" w:color="auto"/>
        <w:left w:val="none" w:sz="0" w:space="0" w:color="auto"/>
        <w:bottom w:val="none" w:sz="0" w:space="0" w:color="auto"/>
        <w:right w:val="none" w:sz="0" w:space="0" w:color="auto"/>
      </w:divBdr>
    </w:div>
    <w:div w:id="1580140867">
      <w:bodyDiv w:val="1"/>
      <w:marLeft w:val="0"/>
      <w:marRight w:val="0"/>
      <w:marTop w:val="0"/>
      <w:marBottom w:val="0"/>
      <w:divBdr>
        <w:top w:val="none" w:sz="0" w:space="0" w:color="auto"/>
        <w:left w:val="none" w:sz="0" w:space="0" w:color="auto"/>
        <w:bottom w:val="none" w:sz="0" w:space="0" w:color="auto"/>
        <w:right w:val="none" w:sz="0" w:space="0" w:color="auto"/>
      </w:divBdr>
    </w:div>
    <w:div w:id="1580825807">
      <w:bodyDiv w:val="1"/>
      <w:marLeft w:val="0"/>
      <w:marRight w:val="0"/>
      <w:marTop w:val="0"/>
      <w:marBottom w:val="0"/>
      <w:divBdr>
        <w:top w:val="none" w:sz="0" w:space="0" w:color="auto"/>
        <w:left w:val="none" w:sz="0" w:space="0" w:color="auto"/>
        <w:bottom w:val="none" w:sz="0" w:space="0" w:color="auto"/>
        <w:right w:val="none" w:sz="0" w:space="0" w:color="auto"/>
      </w:divBdr>
    </w:div>
    <w:div w:id="1582832723">
      <w:bodyDiv w:val="1"/>
      <w:marLeft w:val="0"/>
      <w:marRight w:val="0"/>
      <w:marTop w:val="0"/>
      <w:marBottom w:val="0"/>
      <w:divBdr>
        <w:top w:val="none" w:sz="0" w:space="0" w:color="auto"/>
        <w:left w:val="none" w:sz="0" w:space="0" w:color="auto"/>
        <w:bottom w:val="none" w:sz="0" w:space="0" w:color="auto"/>
        <w:right w:val="none" w:sz="0" w:space="0" w:color="auto"/>
      </w:divBdr>
    </w:div>
    <w:div w:id="1583291969">
      <w:bodyDiv w:val="1"/>
      <w:marLeft w:val="0"/>
      <w:marRight w:val="0"/>
      <w:marTop w:val="0"/>
      <w:marBottom w:val="0"/>
      <w:divBdr>
        <w:top w:val="none" w:sz="0" w:space="0" w:color="auto"/>
        <w:left w:val="none" w:sz="0" w:space="0" w:color="auto"/>
        <w:bottom w:val="none" w:sz="0" w:space="0" w:color="auto"/>
        <w:right w:val="none" w:sz="0" w:space="0" w:color="auto"/>
      </w:divBdr>
    </w:div>
    <w:div w:id="1585601206">
      <w:bodyDiv w:val="1"/>
      <w:marLeft w:val="0"/>
      <w:marRight w:val="0"/>
      <w:marTop w:val="0"/>
      <w:marBottom w:val="0"/>
      <w:divBdr>
        <w:top w:val="none" w:sz="0" w:space="0" w:color="auto"/>
        <w:left w:val="none" w:sz="0" w:space="0" w:color="auto"/>
        <w:bottom w:val="none" w:sz="0" w:space="0" w:color="auto"/>
        <w:right w:val="none" w:sz="0" w:space="0" w:color="auto"/>
      </w:divBdr>
    </w:div>
    <w:div w:id="1587418699">
      <w:bodyDiv w:val="1"/>
      <w:marLeft w:val="0"/>
      <w:marRight w:val="0"/>
      <w:marTop w:val="0"/>
      <w:marBottom w:val="0"/>
      <w:divBdr>
        <w:top w:val="none" w:sz="0" w:space="0" w:color="auto"/>
        <w:left w:val="none" w:sz="0" w:space="0" w:color="auto"/>
        <w:bottom w:val="none" w:sz="0" w:space="0" w:color="auto"/>
        <w:right w:val="none" w:sz="0" w:space="0" w:color="auto"/>
      </w:divBdr>
    </w:div>
    <w:div w:id="1588153644">
      <w:bodyDiv w:val="1"/>
      <w:marLeft w:val="0"/>
      <w:marRight w:val="0"/>
      <w:marTop w:val="0"/>
      <w:marBottom w:val="0"/>
      <w:divBdr>
        <w:top w:val="none" w:sz="0" w:space="0" w:color="auto"/>
        <w:left w:val="none" w:sz="0" w:space="0" w:color="auto"/>
        <w:bottom w:val="none" w:sz="0" w:space="0" w:color="auto"/>
        <w:right w:val="none" w:sz="0" w:space="0" w:color="auto"/>
      </w:divBdr>
    </w:div>
    <w:div w:id="1591083113">
      <w:bodyDiv w:val="1"/>
      <w:marLeft w:val="0"/>
      <w:marRight w:val="0"/>
      <w:marTop w:val="0"/>
      <w:marBottom w:val="0"/>
      <w:divBdr>
        <w:top w:val="none" w:sz="0" w:space="0" w:color="auto"/>
        <w:left w:val="none" w:sz="0" w:space="0" w:color="auto"/>
        <w:bottom w:val="none" w:sz="0" w:space="0" w:color="auto"/>
        <w:right w:val="none" w:sz="0" w:space="0" w:color="auto"/>
      </w:divBdr>
    </w:div>
    <w:div w:id="1601718798">
      <w:bodyDiv w:val="1"/>
      <w:marLeft w:val="0"/>
      <w:marRight w:val="0"/>
      <w:marTop w:val="0"/>
      <w:marBottom w:val="0"/>
      <w:divBdr>
        <w:top w:val="none" w:sz="0" w:space="0" w:color="auto"/>
        <w:left w:val="none" w:sz="0" w:space="0" w:color="auto"/>
        <w:bottom w:val="none" w:sz="0" w:space="0" w:color="auto"/>
        <w:right w:val="none" w:sz="0" w:space="0" w:color="auto"/>
      </w:divBdr>
    </w:div>
    <w:div w:id="1602756424">
      <w:bodyDiv w:val="1"/>
      <w:marLeft w:val="0"/>
      <w:marRight w:val="0"/>
      <w:marTop w:val="0"/>
      <w:marBottom w:val="0"/>
      <w:divBdr>
        <w:top w:val="none" w:sz="0" w:space="0" w:color="auto"/>
        <w:left w:val="none" w:sz="0" w:space="0" w:color="auto"/>
        <w:bottom w:val="none" w:sz="0" w:space="0" w:color="auto"/>
        <w:right w:val="none" w:sz="0" w:space="0" w:color="auto"/>
      </w:divBdr>
    </w:div>
    <w:div w:id="1604727430">
      <w:bodyDiv w:val="1"/>
      <w:marLeft w:val="0"/>
      <w:marRight w:val="0"/>
      <w:marTop w:val="0"/>
      <w:marBottom w:val="0"/>
      <w:divBdr>
        <w:top w:val="none" w:sz="0" w:space="0" w:color="auto"/>
        <w:left w:val="none" w:sz="0" w:space="0" w:color="auto"/>
        <w:bottom w:val="none" w:sz="0" w:space="0" w:color="auto"/>
        <w:right w:val="none" w:sz="0" w:space="0" w:color="auto"/>
      </w:divBdr>
    </w:div>
    <w:div w:id="1605386333">
      <w:bodyDiv w:val="1"/>
      <w:marLeft w:val="0"/>
      <w:marRight w:val="0"/>
      <w:marTop w:val="0"/>
      <w:marBottom w:val="0"/>
      <w:divBdr>
        <w:top w:val="none" w:sz="0" w:space="0" w:color="auto"/>
        <w:left w:val="none" w:sz="0" w:space="0" w:color="auto"/>
        <w:bottom w:val="none" w:sz="0" w:space="0" w:color="auto"/>
        <w:right w:val="none" w:sz="0" w:space="0" w:color="auto"/>
      </w:divBdr>
    </w:div>
    <w:div w:id="1605725809">
      <w:bodyDiv w:val="1"/>
      <w:marLeft w:val="0"/>
      <w:marRight w:val="0"/>
      <w:marTop w:val="0"/>
      <w:marBottom w:val="0"/>
      <w:divBdr>
        <w:top w:val="none" w:sz="0" w:space="0" w:color="auto"/>
        <w:left w:val="none" w:sz="0" w:space="0" w:color="auto"/>
        <w:bottom w:val="none" w:sz="0" w:space="0" w:color="auto"/>
        <w:right w:val="none" w:sz="0" w:space="0" w:color="auto"/>
      </w:divBdr>
    </w:div>
    <w:div w:id="1607153378">
      <w:bodyDiv w:val="1"/>
      <w:marLeft w:val="0"/>
      <w:marRight w:val="0"/>
      <w:marTop w:val="0"/>
      <w:marBottom w:val="0"/>
      <w:divBdr>
        <w:top w:val="none" w:sz="0" w:space="0" w:color="auto"/>
        <w:left w:val="none" w:sz="0" w:space="0" w:color="auto"/>
        <w:bottom w:val="none" w:sz="0" w:space="0" w:color="auto"/>
        <w:right w:val="none" w:sz="0" w:space="0" w:color="auto"/>
      </w:divBdr>
    </w:div>
    <w:div w:id="1607156980">
      <w:bodyDiv w:val="1"/>
      <w:marLeft w:val="0"/>
      <w:marRight w:val="0"/>
      <w:marTop w:val="0"/>
      <w:marBottom w:val="0"/>
      <w:divBdr>
        <w:top w:val="none" w:sz="0" w:space="0" w:color="auto"/>
        <w:left w:val="none" w:sz="0" w:space="0" w:color="auto"/>
        <w:bottom w:val="none" w:sz="0" w:space="0" w:color="auto"/>
        <w:right w:val="none" w:sz="0" w:space="0" w:color="auto"/>
      </w:divBdr>
    </w:div>
    <w:div w:id="1613856219">
      <w:bodyDiv w:val="1"/>
      <w:marLeft w:val="0"/>
      <w:marRight w:val="0"/>
      <w:marTop w:val="0"/>
      <w:marBottom w:val="0"/>
      <w:divBdr>
        <w:top w:val="none" w:sz="0" w:space="0" w:color="auto"/>
        <w:left w:val="none" w:sz="0" w:space="0" w:color="auto"/>
        <w:bottom w:val="none" w:sz="0" w:space="0" w:color="auto"/>
        <w:right w:val="none" w:sz="0" w:space="0" w:color="auto"/>
      </w:divBdr>
    </w:div>
    <w:div w:id="1614702510">
      <w:bodyDiv w:val="1"/>
      <w:marLeft w:val="0"/>
      <w:marRight w:val="0"/>
      <w:marTop w:val="0"/>
      <w:marBottom w:val="0"/>
      <w:divBdr>
        <w:top w:val="none" w:sz="0" w:space="0" w:color="auto"/>
        <w:left w:val="none" w:sz="0" w:space="0" w:color="auto"/>
        <w:bottom w:val="none" w:sz="0" w:space="0" w:color="auto"/>
        <w:right w:val="none" w:sz="0" w:space="0" w:color="auto"/>
      </w:divBdr>
    </w:div>
    <w:div w:id="1616978749">
      <w:bodyDiv w:val="1"/>
      <w:marLeft w:val="0"/>
      <w:marRight w:val="0"/>
      <w:marTop w:val="0"/>
      <w:marBottom w:val="0"/>
      <w:divBdr>
        <w:top w:val="none" w:sz="0" w:space="0" w:color="auto"/>
        <w:left w:val="none" w:sz="0" w:space="0" w:color="auto"/>
        <w:bottom w:val="none" w:sz="0" w:space="0" w:color="auto"/>
        <w:right w:val="none" w:sz="0" w:space="0" w:color="auto"/>
      </w:divBdr>
    </w:div>
    <w:div w:id="1620841658">
      <w:bodyDiv w:val="1"/>
      <w:marLeft w:val="0"/>
      <w:marRight w:val="0"/>
      <w:marTop w:val="0"/>
      <w:marBottom w:val="0"/>
      <w:divBdr>
        <w:top w:val="none" w:sz="0" w:space="0" w:color="auto"/>
        <w:left w:val="none" w:sz="0" w:space="0" w:color="auto"/>
        <w:bottom w:val="none" w:sz="0" w:space="0" w:color="auto"/>
        <w:right w:val="none" w:sz="0" w:space="0" w:color="auto"/>
      </w:divBdr>
    </w:div>
    <w:div w:id="1627200713">
      <w:bodyDiv w:val="1"/>
      <w:marLeft w:val="0"/>
      <w:marRight w:val="0"/>
      <w:marTop w:val="0"/>
      <w:marBottom w:val="0"/>
      <w:divBdr>
        <w:top w:val="none" w:sz="0" w:space="0" w:color="auto"/>
        <w:left w:val="none" w:sz="0" w:space="0" w:color="auto"/>
        <w:bottom w:val="none" w:sz="0" w:space="0" w:color="auto"/>
        <w:right w:val="none" w:sz="0" w:space="0" w:color="auto"/>
      </w:divBdr>
    </w:div>
    <w:div w:id="1627813096">
      <w:bodyDiv w:val="1"/>
      <w:marLeft w:val="0"/>
      <w:marRight w:val="0"/>
      <w:marTop w:val="0"/>
      <w:marBottom w:val="0"/>
      <w:divBdr>
        <w:top w:val="none" w:sz="0" w:space="0" w:color="auto"/>
        <w:left w:val="none" w:sz="0" w:space="0" w:color="auto"/>
        <w:bottom w:val="none" w:sz="0" w:space="0" w:color="auto"/>
        <w:right w:val="none" w:sz="0" w:space="0" w:color="auto"/>
      </w:divBdr>
    </w:div>
    <w:div w:id="1635019391">
      <w:bodyDiv w:val="1"/>
      <w:marLeft w:val="0"/>
      <w:marRight w:val="0"/>
      <w:marTop w:val="0"/>
      <w:marBottom w:val="0"/>
      <w:divBdr>
        <w:top w:val="none" w:sz="0" w:space="0" w:color="auto"/>
        <w:left w:val="none" w:sz="0" w:space="0" w:color="auto"/>
        <w:bottom w:val="none" w:sz="0" w:space="0" w:color="auto"/>
        <w:right w:val="none" w:sz="0" w:space="0" w:color="auto"/>
      </w:divBdr>
    </w:div>
    <w:div w:id="1636443514">
      <w:bodyDiv w:val="1"/>
      <w:marLeft w:val="0"/>
      <w:marRight w:val="0"/>
      <w:marTop w:val="0"/>
      <w:marBottom w:val="0"/>
      <w:divBdr>
        <w:top w:val="none" w:sz="0" w:space="0" w:color="auto"/>
        <w:left w:val="none" w:sz="0" w:space="0" w:color="auto"/>
        <w:bottom w:val="none" w:sz="0" w:space="0" w:color="auto"/>
        <w:right w:val="none" w:sz="0" w:space="0" w:color="auto"/>
      </w:divBdr>
    </w:div>
    <w:div w:id="1636443846">
      <w:bodyDiv w:val="1"/>
      <w:marLeft w:val="0"/>
      <w:marRight w:val="0"/>
      <w:marTop w:val="0"/>
      <w:marBottom w:val="0"/>
      <w:divBdr>
        <w:top w:val="none" w:sz="0" w:space="0" w:color="auto"/>
        <w:left w:val="none" w:sz="0" w:space="0" w:color="auto"/>
        <w:bottom w:val="none" w:sz="0" w:space="0" w:color="auto"/>
        <w:right w:val="none" w:sz="0" w:space="0" w:color="auto"/>
      </w:divBdr>
    </w:div>
    <w:div w:id="1636715052">
      <w:bodyDiv w:val="1"/>
      <w:marLeft w:val="0"/>
      <w:marRight w:val="0"/>
      <w:marTop w:val="0"/>
      <w:marBottom w:val="0"/>
      <w:divBdr>
        <w:top w:val="none" w:sz="0" w:space="0" w:color="auto"/>
        <w:left w:val="none" w:sz="0" w:space="0" w:color="auto"/>
        <w:bottom w:val="none" w:sz="0" w:space="0" w:color="auto"/>
        <w:right w:val="none" w:sz="0" w:space="0" w:color="auto"/>
      </w:divBdr>
    </w:div>
    <w:div w:id="1636715319">
      <w:bodyDiv w:val="1"/>
      <w:marLeft w:val="0"/>
      <w:marRight w:val="0"/>
      <w:marTop w:val="0"/>
      <w:marBottom w:val="0"/>
      <w:divBdr>
        <w:top w:val="none" w:sz="0" w:space="0" w:color="auto"/>
        <w:left w:val="none" w:sz="0" w:space="0" w:color="auto"/>
        <w:bottom w:val="none" w:sz="0" w:space="0" w:color="auto"/>
        <w:right w:val="none" w:sz="0" w:space="0" w:color="auto"/>
      </w:divBdr>
    </w:div>
    <w:div w:id="1637638527">
      <w:bodyDiv w:val="1"/>
      <w:marLeft w:val="0"/>
      <w:marRight w:val="0"/>
      <w:marTop w:val="0"/>
      <w:marBottom w:val="0"/>
      <w:divBdr>
        <w:top w:val="none" w:sz="0" w:space="0" w:color="auto"/>
        <w:left w:val="none" w:sz="0" w:space="0" w:color="auto"/>
        <w:bottom w:val="none" w:sz="0" w:space="0" w:color="auto"/>
        <w:right w:val="none" w:sz="0" w:space="0" w:color="auto"/>
      </w:divBdr>
    </w:div>
    <w:div w:id="1637645175">
      <w:bodyDiv w:val="1"/>
      <w:marLeft w:val="0"/>
      <w:marRight w:val="0"/>
      <w:marTop w:val="0"/>
      <w:marBottom w:val="0"/>
      <w:divBdr>
        <w:top w:val="none" w:sz="0" w:space="0" w:color="auto"/>
        <w:left w:val="none" w:sz="0" w:space="0" w:color="auto"/>
        <w:bottom w:val="none" w:sz="0" w:space="0" w:color="auto"/>
        <w:right w:val="none" w:sz="0" w:space="0" w:color="auto"/>
      </w:divBdr>
    </w:div>
    <w:div w:id="1639534785">
      <w:bodyDiv w:val="1"/>
      <w:marLeft w:val="0"/>
      <w:marRight w:val="0"/>
      <w:marTop w:val="0"/>
      <w:marBottom w:val="0"/>
      <w:divBdr>
        <w:top w:val="none" w:sz="0" w:space="0" w:color="auto"/>
        <w:left w:val="none" w:sz="0" w:space="0" w:color="auto"/>
        <w:bottom w:val="none" w:sz="0" w:space="0" w:color="auto"/>
        <w:right w:val="none" w:sz="0" w:space="0" w:color="auto"/>
      </w:divBdr>
    </w:div>
    <w:div w:id="1644962643">
      <w:bodyDiv w:val="1"/>
      <w:marLeft w:val="0"/>
      <w:marRight w:val="0"/>
      <w:marTop w:val="0"/>
      <w:marBottom w:val="0"/>
      <w:divBdr>
        <w:top w:val="none" w:sz="0" w:space="0" w:color="auto"/>
        <w:left w:val="none" w:sz="0" w:space="0" w:color="auto"/>
        <w:bottom w:val="none" w:sz="0" w:space="0" w:color="auto"/>
        <w:right w:val="none" w:sz="0" w:space="0" w:color="auto"/>
      </w:divBdr>
    </w:div>
    <w:div w:id="1645815702">
      <w:bodyDiv w:val="1"/>
      <w:marLeft w:val="0"/>
      <w:marRight w:val="0"/>
      <w:marTop w:val="0"/>
      <w:marBottom w:val="0"/>
      <w:divBdr>
        <w:top w:val="none" w:sz="0" w:space="0" w:color="auto"/>
        <w:left w:val="none" w:sz="0" w:space="0" w:color="auto"/>
        <w:bottom w:val="none" w:sz="0" w:space="0" w:color="auto"/>
        <w:right w:val="none" w:sz="0" w:space="0" w:color="auto"/>
      </w:divBdr>
    </w:div>
    <w:div w:id="1647248234">
      <w:bodyDiv w:val="1"/>
      <w:marLeft w:val="0"/>
      <w:marRight w:val="0"/>
      <w:marTop w:val="0"/>
      <w:marBottom w:val="0"/>
      <w:divBdr>
        <w:top w:val="none" w:sz="0" w:space="0" w:color="auto"/>
        <w:left w:val="none" w:sz="0" w:space="0" w:color="auto"/>
        <w:bottom w:val="none" w:sz="0" w:space="0" w:color="auto"/>
        <w:right w:val="none" w:sz="0" w:space="0" w:color="auto"/>
      </w:divBdr>
    </w:div>
    <w:div w:id="1647854375">
      <w:bodyDiv w:val="1"/>
      <w:marLeft w:val="0"/>
      <w:marRight w:val="0"/>
      <w:marTop w:val="0"/>
      <w:marBottom w:val="0"/>
      <w:divBdr>
        <w:top w:val="none" w:sz="0" w:space="0" w:color="auto"/>
        <w:left w:val="none" w:sz="0" w:space="0" w:color="auto"/>
        <w:bottom w:val="none" w:sz="0" w:space="0" w:color="auto"/>
        <w:right w:val="none" w:sz="0" w:space="0" w:color="auto"/>
      </w:divBdr>
    </w:div>
    <w:div w:id="1654217248">
      <w:bodyDiv w:val="1"/>
      <w:marLeft w:val="0"/>
      <w:marRight w:val="0"/>
      <w:marTop w:val="0"/>
      <w:marBottom w:val="0"/>
      <w:divBdr>
        <w:top w:val="none" w:sz="0" w:space="0" w:color="auto"/>
        <w:left w:val="none" w:sz="0" w:space="0" w:color="auto"/>
        <w:bottom w:val="none" w:sz="0" w:space="0" w:color="auto"/>
        <w:right w:val="none" w:sz="0" w:space="0" w:color="auto"/>
      </w:divBdr>
    </w:div>
    <w:div w:id="1654336019">
      <w:bodyDiv w:val="1"/>
      <w:marLeft w:val="0"/>
      <w:marRight w:val="0"/>
      <w:marTop w:val="0"/>
      <w:marBottom w:val="0"/>
      <w:divBdr>
        <w:top w:val="none" w:sz="0" w:space="0" w:color="auto"/>
        <w:left w:val="none" w:sz="0" w:space="0" w:color="auto"/>
        <w:bottom w:val="none" w:sz="0" w:space="0" w:color="auto"/>
        <w:right w:val="none" w:sz="0" w:space="0" w:color="auto"/>
      </w:divBdr>
    </w:div>
    <w:div w:id="1656689597">
      <w:bodyDiv w:val="1"/>
      <w:marLeft w:val="0"/>
      <w:marRight w:val="0"/>
      <w:marTop w:val="0"/>
      <w:marBottom w:val="0"/>
      <w:divBdr>
        <w:top w:val="none" w:sz="0" w:space="0" w:color="auto"/>
        <w:left w:val="none" w:sz="0" w:space="0" w:color="auto"/>
        <w:bottom w:val="none" w:sz="0" w:space="0" w:color="auto"/>
        <w:right w:val="none" w:sz="0" w:space="0" w:color="auto"/>
      </w:divBdr>
    </w:div>
    <w:div w:id="1659724030">
      <w:bodyDiv w:val="1"/>
      <w:marLeft w:val="0"/>
      <w:marRight w:val="0"/>
      <w:marTop w:val="0"/>
      <w:marBottom w:val="0"/>
      <w:divBdr>
        <w:top w:val="none" w:sz="0" w:space="0" w:color="auto"/>
        <w:left w:val="none" w:sz="0" w:space="0" w:color="auto"/>
        <w:bottom w:val="none" w:sz="0" w:space="0" w:color="auto"/>
        <w:right w:val="none" w:sz="0" w:space="0" w:color="auto"/>
      </w:divBdr>
    </w:div>
    <w:div w:id="1661814844">
      <w:bodyDiv w:val="1"/>
      <w:marLeft w:val="0"/>
      <w:marRight w:val="0"/>
      <w:marTop w:val="0"/>
      <w:marBottom w:val="0"/>
      <w:divBdr>
        <w:top w:val="none" w:sz="0" w:space="0" w:color="auto"/>
        <w:left w:val="none" w:sz="0" w:space="0" w:color="auto"/>
        <w:bottom w:val="none" w:sz="0" w:space="0" w:color="auto"/>
        <w:right w:val="none" w:sz="0" w:space="0" w:color="auto"/>
      </w:divBdr>
    </w:div>
    <w:div w:id="1665544231">
      <w:bodyDiv w:val="1"/>
      <w:marLeft w:val="0"/>
      <w:marRight w:val="0"/>
      <w:marTop w:val="0"/>
      <w:marBottom w:val="0"/>
      <w:divBdr>
        <w:top w:val="none" w:sz="0" w:space="0" w:color="auto"/>
        <w:left w:val="none" w:sz="0" w:space="0" w:color="auto"/>
        <w:bottom w:val="none" w:sz="0" w:space="0" w:color="auto"/>
        <w:right w:val="none" w:sz="0" w:space="0" w:color="auto"/>
      </w:divBdr>
    </w:div>
    <w:div w:id="1673340525">
      <w:bodyDiv w:val="1"/>
      <w:marLeft w:val="0"/>
      <w:marRight w:val="0"/>
      <w:marTop w:val="0"/>
      <w:marBottom w:val="0"/>
      <w:divBdr>
        <w:top w:val="none" w:sz="0" w:space="0" w:color="auto"/>
        <w:left w:val="none" w:sz="0" w:space="0" w:color="auto"/>
        <w:bottom w:val="none" w:sz="0" w:space="0" w:color="auto"/>
        <w:right w:val="none" w:sz="0" w:space="0" w:color="auto"/>
      </w:divBdr>
    </w:div>
    <w:div w:id="1676305830">
      <w:bodyDiv w:val="1"/>
      <w:marLeft w:val="0"/>
      <w:marRight w:val="0"/>
      <w:marTop w:val="0"/>
      <w:marBottom w:val="0"/>
      <w:divBdr>
        <w:top w:val="none" w:sz="0" w:space="0" w:color="auto"/>
        <w:left w:val="none" w:sz="0" w:space="0" w:color="auto"/>
        <w:bottom w:val="none" w:sz="0" w:space="0" w:color="auto"/>
        <w:right w:val="none" w:sz="0" w:space="0" w:color="auto"/>
      </w:divBdr>
    </w:div>
    <w:div w:id="1680350026">
      <w:bodyDiv w:val="1"/>
      <w:marLeft w:val="0"/>
      <w:marRight w:val="0"/>
      <w:marTop w:val="0"/>
      <w:marBottom w:val="0"/>
      <w:divBdr>
        <w:top w:val="none" w:sz="0" w:space="0" w:color="auto"/>
        <w:left w:val="none" w:sz="0" w:space="0" w:color="auto"/>
        <w:bottom w:val="none" w:sz="0" w:space="0" w:color="auto"/>
        <w:right w:val="none" w:sz="0" w:space="0" w:color="auto"/>
      </w:divBdr>
    </w:div>
    <w:div w:id="1685744586">
      <w:bodyDiv w:val="1"/>
      <w:marLeft w:val="0"/>
      <w:marRight w:val="0"/>
      <w:marTop w:val="0"/>
      <w:marBottom w:val="0"/>
      <w:divBdr>
        <w:top w:val="none" w:sz="0" w:space="0" w:color="auto"/>
        <w:left w:val="none" w:sz="0" w:space="0" w:color="auto"/>
        <w:bottom w:val="none" w:sz="0" w:space="0" w:color="auto"/>
        <w:right w:val="none" w:sz="0" w:space="0" w:color="auto"/>
      </w:divBdr>
    </w:div>
    <w:div w:id="1686974773">
      <w:bodyDiv w:val="1"/>
      <w:marLeft w:val="0"/>
      <w:marRight w:val="0"/>
      <w:marTop w:val="0"/>
      <w:marBottom w:val="0"/>
      <w:divBdr>
        <w:top w:val="none" w:sz="0" w:space="0" w:color="auto"/>
        <w:left w:val="none" w:sz="0" w:space="0" w:color="auto"/>
        <w:bottom w:val="none" w:sz="0" w:space="0" w:color="auto"/>
        <w:right w:val="none" w:sz="0" w:space="0" w:color="auto"/>
      </w:divBdr>
    </w:div>
    <w:div w:id="1689479392">
      <w:bodyDiv w:val="1"/>
      <w:marLeft w:val="0"/>
      <w:marRight w:val="0"/>
      <w:marTop w:val="0"/>
      <w:marBottom w:val="0"/>
      <w:divBdr>
        <w:top w:val="none" w:sz="0" w:space="0" w:color="auto"/>
        <w:left w:val="none" w:sz="0" w:space="0" w:color="auto"/>
        <w:bottom w:val="none" w:sz="0" w:space="0" w:color="auto"/>
        <w:right w:val="none" w:sz="0" w:space="0" w:color="auto"/>
      </w:divBdr>
    </w:div>
    <w:div w:id="1696349302">
      <w:bodyDiv w:val="1"/>
      <w:marLeft w:val="0"/>
      <w:marRight w:val="0"/>
      <w:marTop w:val="0"/>
      <w:marBottom w:val="0"/>
      <w:divBdr>
        <w:top w:val="none" w:sz="0" w:space="0" w:color="auto"/>
        <w:left w:val="none" w:sz="0" w:space="0" w:color="auto"/>
        <w:bottom w:val="none" w:sz="0" w:space="0" w:color="auto"/>
        <w:right w:val="none" w:sz="0" w:space="0" w:color="auto"/>
      </w:divBdr>
    </w:div>
    <w:div w:id="1698122902">
      <w:bodyDiv w:val="1"/>
      <w:marLeft w:val="0"/>
      <w:marRight w:val="0"/>
      <w:marTop w:val="0"/>
      <w:marBottom w:val="0"/>
      <w:divBdr>
        <w:top w:val="none" w:sz="0" w:space="0" w:color="auto"/>
        <w:left w:val="none" w:sz="0" w:space="0" w:color="auto"/>
        <w:bottom w:val="none" w:sz="0" w:space="0" w:color="auto"/>
        <w:right w:val="none" w:sz="0" w:space="0" w:color="auto"/>
      </w:divBdr>
    </w:div>
    <w:div w:id="1698654555">
      <w:bodyDiv w:val="1"/>
      <w:marLeft w:val="0"/>
      <w:marRight w:val="0"/>
      <w:marTop w:val="0"/>
      <w:marBottom w:val="0"/>
      <w:divBdr>
        <w:top w:val="none" w:sz="0" w:space="0" w:color="auto"/>
        <w:left w:val="none" w:sz="0" w:space="0" w:color="auto"/>
        <w:bottom w:val="none" w:sz="0" w:space="0" w:color="auto"/>
        <w:right w:val="none" w:sz="0" w:space="0" w:color="auto"/>
      </w:divBdr>
    </w:div>
    <w:div w:id="1698965549">
      <w:bodyDiv w:val="1"/>
      <w:marLeft w:val="0"/>
      <w:marRight w:val="0"/>
      <w:marTop w:val="0"/>
      <w:marBottom w:val="0"/>
      <w:divBdr>
        <w:top w:val="none" w:sz="0" w:space="0" w:color="auto"/>
        <w:left w:val="none" w:sz="0" w:space="0" w:color="auto"/>
        <w:bottom w:val="none" w:sz="0" w:space="0" w:color="auto"/>
        <w:right w:val="none" w:sz="0" w:space="0" w:color="auto"/>
      </w:divBdr>
    </w:div>
    <w:div w:id="1699429585">
      <w:bodyDiv w:val="1"/>
      <w:marLeft w:val="0"/>
      <w:marRight w:val="0"/>
      <w:marTop w:val="0"/>
      <w:marBottom w:val="0"/>
      <w:divBdr>
        <w:top w:val="none" w:sz="0" w:space="0" w:color="auto"/>
        <w:left w:val="none" w:sz="0" w:space="0" w:color="auto"/>
        <w:bottom w:val="none" w:sz="0" w:space="0" w:color="auto"/>
        <w:right w:val="none" w:sz="0" w:space="0" w:color="auto"/>
      </w:divBdr>
    </w:div>
    <w:div w:id="1701709313">
      <w:bodyDiv w:val="1"/>
      <w:marLeft w:val="0"/>
      <w:marRight w:val="0"/>
      <w:marTop w:val="0"/>
      <w:marBottom w:val="0"/>
      <w:divBdr>
        <w:top w:val="none" w:sz="0" w:space="0" w:color="auto"/>
        <w:left w:val="none" w:sz="0" w:space="0" w:color="auto"/>
        <w:bottom w:val="none" w:sz="0" w:space="0" w:color="auto"/>
        <w:right w:val="none" w:sz="0" w:space="0" w:color="auto"/>
      </w:divBdr>
    </w:div>
    <w:div w:id="1702778058">
      <w:bodyDiv w:val="1"/>
      <w:marLeft w:val="0"/>
      <w:marRight w:val="0"/>
      <w:marTop w:val="0"/>
      <w:marBottom w:val="0"/>
      <w:divBdr>
        <w:top w:val="none" w:sz="0" w:space="0" w:color="auto"/>
        <w:left w:val="none" w:sz="0" w:space="0" w:color="auto"/>
        <w:bottom w:val="none" w:sz="0" w:space="0" w:color="auto"/>
        <w:right w:val="none" w:sz="0" w:space="0" w:color="auto"/>
      </w:divBdr>
    </w:div>
    <w:div w:id="1708485867">
      <w:bodyDiv w:val="1"/>
      <w:marLeft w:val="0"/>
      <w:marRight w:val="0"/>
      <w:marTop w:val="0"/>
      <w:marBottom w:val="0"/>
      <w:divBdr>
        <w:top w:val="none" w:sz="0" w:space="0" w:color="auto"/>
        <w:left w:val="none" w:sz="0" w:space="0" w:color="auto"/>
        <w:bottom w:val="none" w:sz="0" w:space="0" w:color="auto"/>
        <w:right w:val="none" w:sz="0" w:space="0" w:color="auto"/>
      </w:divBdr>
    </w:div>
    <w:div w:id="1710304458">
      <w:bodyDiv w:val="1"/>
      <w:marLeft w:val="0"/>
      <w:marRight w:val="0"/>
      <w:marTop w:val="0"/>
      <w:marBottom w:val="0"/>
      <w:divBdr>
        <w:top w:val="none" w:sz="0" w:space="0" w:color="auto"/>
        <w:left w:val="none" w:sz="0" w:space="0" w:color="auto"/>
        <w:bottom w:val="none" w:sz="0" w:space="0" w:color="auto"/>
        <w:right w:val="none" w:sz="0" w:space="0" w:color="auto"/>
      </w:divBdr>
    </w:div>
    <w:div w:id="1711806575">
      <w:bodyDiv w:val="1"/>
      <w:marLeft w:val="0"/>
      <w:marRight w:val="0"/>
      <w:marTop w:val="0"/>
      <w:marBottom w:val="0"/>
      <w:divBdr>
        <w:top w:val="none" w:sz="0" w:space="0" w:color="auto"/>
        <w:left w:val="none" w:sz="0" w:space="0" w:color="auto"/>
        <w:bottom w:val="none" w:sz="0" w:space="0" w:color="auto"/>
        <w:right w:val="none" w:sz="0" w:space="0" w:color="auto"/>
      </w:divBdr>
    </w:div>
    <w:div w:id="1712073936">
      <w:bodyDiv w:val="1"/>
      <w:marLeft w:val="0"/>
      <w:marRight w:val="0"/>
      <w:marTop w:val="0"/>
      <w:marBottom w:val="0"/>
      <w:divBdr>
        <w:top w:val="none" w:sz="0" w:space="0" w:color="auto"/>
        <w:left w:val="none" w:sz="0" w:space="0" w:color="auto"/>
        <w:bottom w:val="none" w:sz="0" w:space="0" w:color="auto"/>
        <w:right w:val="none" w:sz="0" w:space="0" w:color="auto"/>
      </w:divBdr>
    </w:div>
    <w:div w:id="1716152856">
      <w:bodyDiv w:val="1"/>
      <w:marLeft w:val="0"/>
      <w:marRight w:val="0"/>
      <w:marTop w:val="0"/>
      <w:marBottom w:val="0"/>
      <w:divBdr>
        <w:top w:val="none" w:sz="0" w:space="0" w:color="auto"/>
        <w:left w:val="none" w:sz="0" w:space="0" w:color="auto"/>
        <w:bottom w:val="none" w:sz="0" w:space="0" w:color="auto"/>
        <w:right w:val="none" w:sz="0" w:space="0" w:color="auto"/>
      </w:divBdr>
    </w:div>
    <w:div w:id="1717778938">
      <w:bodyDiv w:val="1"/>
      <w:marLeft w:val="0"/>
      <w:marRight w:val="0"/>
      <w:marTop w:val="0"/>
      <w:marBottom w:val="0"/>
      <w:divBdr>
        <w:top w:val="none" w:sz="0" w:space="0" w:color="auto"/>
        <w:left w:val="none" w:sz="0" w:space="0" w:color="auto"/>
        <w:bottom w:val="none" w:sz="0" w:space="0" w:color="auto"/>
        <w:right w:val="none" w:sz="0" w:space="0" w:color="auto"/>
      </w:divBdr>
    </w:div>
    <w:div w:id="1722555809">
      <w:bodyDiv w:val="1"/>
      <w:marLeft w:val="0"/>
      <w:marRight w:val="0"/>
      <w:marTop w:val="0"/>
      <w:marBottom w:val="0"/>
      <w:divBdr>
        <w:top w:val="none" w:sz="0" w:space="0" w:color="auto"/>
        <w:left w:val="none" w:sz="0" w:space="0" w:color="auto"/>
        <w:bottom w:val="none" w:sz="0" w:space="0" w:color="auto"/>
        <w:right w:val="none" w:sz="0" w:space="0" w:color="auto"/>
      </w:divBdr>
    </w:div>
    <w:div w:id="1722558086">
      <w:bodyDiv w:val="1"/>
      <w:marLeft w:val="0"/>
      <w:marRight w:val="0"/>
      <w:marTop w:val="0"/>
      <w:marBottom w:val="0"/>
      <w:divBdr>
        <w:top w:val="none" w:sz="0" w:space="0" w:color="auto"/>
        <w:left w:val="none" w:sz="0" w:space="0" w:color="auto"/>
        <w:bottom w:val="none" w:sz="0" w:space="0" w:color="auto"/>
        <w:right w:val="none" w:sz="0" w:space="0" w:color="auto"/>
      </w:divBdr>
    </w:div>
    <w:div w:id="1732847215">
      <w:bodyDiv w:val="1"/>
      <w:marLeft w:val="0"/>
      <w:marRight w:val="0"/>
      <w:marTop w:val="0"/>
      <w:marBottom w:val="0"/>
      <w:divBdr>
        <w:top w:val="none" w:sz="0" w:space="0" w:color="auto"/>
        <w:left w:val="none" w:sz="0" w:space="0" w:color="auto"/>
        <w:bottom w:val="none" w:sz="0" w:space="0" w:color="auto"/>
        <w:right w:val="none" w:sz="0" w:space="0" w:color="auto"/>
      </w:divBdr>
    </w:div>
    <w:div w:id="1735808896">
      <w:bodyDiv w:val="1"/>
      <w:marLeft w:val="0"/>
      <w:marRight w:val="0"/>
      <w:marTop w:val="0"/>
      <w:marBottom w:val="0"/>
      <w:divBdr>
        <w:top w:val="none" w:sz="0" w:space="0" w:color="auto"/>
        <w:left w:val="none" w:sz="0" w:space="0" w:color="auto"/>
        <w:bottom w:val="none" w:sz="0" w:space="0" w:color="auto"/>
        <w:right w:val="none" w:sz="0" w:space="0" w:color="auto"/>
      </w:divBdr>
    </w:div>
    <w:div w:id="1739985045">
      <w:bodyDiv w:val="1"/>
      <w:marLeft w:val="0"/>
      <w:marRight w:val="0"/>
      <w:marTop w:val="0"/>
      <w:marBottom w:val="0"/>
      <w:divBdr>
        <w:top w:val="none" w:sz="0" w:space="0" w:color="auto"/>
        <w:left w:val="none" w:sz="0" w:space="0" w:color="auto"/>
        <w:bottom w:val="none" w:sz="0" w:space="0" w:color="auto"/>
        <w:right w:val="none" w:sz="0" w:space="0" w:color="auto"/>
      </w:divBdr>
    </w:div>
    <w:div w:id="1742167534">
      <w:bodyDiv w:val="1"/>
      <w:marLeft w:val="0"/>
      <w:marRight w:val="0"/>
      <w:marTop w:val="0"/>
      <w:marBottom w:val="0"/>
      <w:divBdr>
        <w:top w:val="none" w:sz="0" w:space="0" w:color="auto"/>
        <w:left w:val="none" w:sz="0" w:space="0" w:color="auto"/>
        <w:bottom w:val="none" w:sz="0" w:space="0" w:color="auto"/>
        <w:right w:val="none" w:sz="0" w:space="0" w:color="auto"/>
      </w:divBdr>
    </w:div>
    <w:div w:id="1745374134">
      <w:bodyDiv w:val="1"/>
      <w:marLeft w:val="0"/>
      <w:marRight w:val="0"/>
      <w:marTop w:val="0"/>
      <w:marBottom w:val="0"/>
      <w:divBdr>
        <w:top w:val="none" w:sz="0" w:space="0" w:color="auto"/>
        <w:left w:val="none" w:sz="0" w:space="0" w:color="auto"/>
        <w:bottom w:val="none" w:sz="0" w:space="0" w:color="auto"/>
        <w:right w:val="none" w:sz="0" w:space="0" w:color="auto"/>
      </w:divBdr>
    </w:div>
    <w:div w:id="1747415985">
      <w:bodyDiv w:val="1"/>
      <w:marLeft w:val="0"/>
      <w:marRight w:val="0"/>
      <w:marTop w:val="0"/>
      <w:marBottom w:val="0"/>
      <w:divBdr>
        <w:top w:val="none" w:sz="0" w:space="0" w:color="auto"/>
        <w:left w:val="none" w:sz="0" w:space="0" w:color="auto"/>
        <w:bottom w:val="none" w:sz="0" w:space="0" w:color="auto"/>
        <w:right w:val="none" w:sz="0" w:space="0" w:color="auto"/>
      </w:divBdr>
    </w:div>
    <w:div w:id="1751192956">
      <w:bodyDiv w:val="1"/>
      <w:marLeft w:val="0"/>
      <w:marRight w:val="0"/>
      <w:marTop w:val="0"/>
      <w:marBottom w:val="0"/>
      <w:divBdr>
        <w:top w:val="none" w:sz="0" w:space="0" w:color="auto"/>
        <w:left w:val="none" w:sz="0" w:space="0" w:color="auto"/>
        <w:bottom w:val="none" w:sz="0" w:space="0" w:color="auto"/>
        <w:right w:val="none" w:sz="0" w:space="0" w:color="auto"/>
      </w:divBdr>
    </w:div>
    <w:div w:id="1752003388">
      <w:bodyDiv w:val="1"/>
      <w:marLeft w:val="0"/>
      <w:marRight w:val="0"/>
      <w:marTop w:val="0"/>
      <w:marBottom w:val="0"/>
      <w:divBdr>
        <w:top w:val="none" w:sz="0" w:space="0" w:color="auto"/>
        <w:left w:val="none" w:sz="0" w:space="0" w:color="auto"/>
        <w:bottom w:val="none" w:sz="0" w:space="0" w:color="auto"/>
        <w:right w:val="none" w:sz="0" w:space="0" w:color="auto"/>
      </w:divBdr>
    </w:div>
    <w:div w:id="1754160913">
      <w:bodyDiv w:val="1"/>
      <w:marLeft w:val="0"/>
      <w:marRight w:val="0"/>
      <w:marTop w:val="0"/>
      <w:marBottom w:val="0"/>
      <w:divBdr>
        <w:top w:val="none" w:sz="0" w:space="0" w:color="auto"/>
        <w:left w:val="none" w:sz="0" w:space="0" w:color="auto"/>
        <w:bottom w:val="none" w:sz="0" w:space="0" w:color="auto"/>
        <w:right w:val="none" w:sz="0" w:space="0" w:color="auto"/>
      </w:divBdr>
    </w:div>
    <w:div w:id="1757046908">
      <w:bodyDiv w:val="1"/>
      <w:marLeft w:val="0"/>
      <w:marRight w:val="0"/>
      <w:marTop w:val="0"/>
      <w:marBottom w:val="0"/>
      <w:divBdr>
        <w:top w:val="none" w:sz="0" w:space="0" w:color="auto"/>
        <w:left w:val="none" w:sz="0" w:space="0" w:color="auto"/>
        <w:bottom w:val="none" w:sz="0" w:space="0" w:color="auto"/>
        <w:right w:val="none" w:sz="0" w:space="0" w:color="auto"/>
      </w:divBdr>
    </w:div>
    <w:div w:id="1760322835">
      <w:bodyDiv w:val="1"/>
      <w:marLeft w:val="0"/>
      <w:marRight w:val="0"/>
      <w:marTop w:val="0"/>
      <w:marBottom w:val="0"/>
      <w:divBdr>
        <w:top w:val="none" w:sz="0" w:space="0" w:color="auto"/>
        <w:left w:val="none" w:sz="0" w:space="0" w:color="auto"/>
        <w:bottom w:val="none" w:sz="0" w:space="0" w:color="auto"/>
        <w:right w:val="none" w:sz="0" w:space="0" w:color="auto"/>
      </w:divBdr>
    </w:div>
    <w:div w:id="1763379424">
      <w:bodyDiv w:val="1"/>
      <w:marLeft w:val="0"/>
      <w:marRight w:val="0"/>
      <w:marTop w:val="0"/>
      <w:marBottom w:val="0"/>
      <w:divBdr>
        <w:top w:val="none" w:sz="0" w:space="0" w:color="auto"/>
        <w:left w:val="none" w:sz="0" w:space="0" w:color="auto"/>
        <w:bottom w:val="none" w:sz="0" w:space="0" w:color="auto"/>
        <w:right w:val="none" w:sz="0" w:space="0" w:color="auto"/>
      </w:divBdr>
    </w:div>
    <w:div w:id="1768499481">
      <w:bodyDiv w:val="1"/>
      <w:marLeft w:val="0"/>
      <w:marRight w:val="0"/>
      <w:marTop w:val="0"/>
      <w:marBottom w:val="0"/>
      <w:divBdr>
        <w:top w:val="none" w:sz="0" w:space="0" w:color="auto"/>
        <w:left w:val="none" w:sz="0" w:space="0" w:color="auto"/>
        <w:bottom w:val="none" w:sz="0" w:space="0" w:color="auto"/>
        <w:right w:val="none" w:sz="0" w:space="0" w:color="auto"/>
      </w:divBdr>
    </w:div>
    <w:div w:id="1771076068">
      <w:bodyDiv w:val="1"/>
      <w:marLeft w:val="0"/>
      <w:marRight w:val="0"/>
      <w:marTop w:val="0"/>
      <w:marBottom w:val="0"/>
      <w:divBdr>
        <w:top w:val="none" w:sz="0" w:space="0" w:color="auto"/>
        <w:left w:val="none" w:sz="0" w:space="0" w:color="auto"/>
        <w:bottom w:val="none" w:sz="0" w:space="0" w:color="auto"/>
        <w:right w:val="none" w:sz="0" w:space="0" w:color="auto"/>
      </w:divBdr>
    </w:div>
    <w:div w:id="1771465803">
      <w:bodyDiv w:val="1"/>
      <w:marLeft w:val="0"/>
      <w:marRight w:val="0"/>
      <w:marTop w:val="0"/>
      <w:marBottom w:val="0"/>
      <w:divBdr>
        <w:top w:val="none" w:sz="0" w:space="0" w:color="auto"/>
        <w:left w:val="none" w:sz="0" w:space="0" w:color="auto"/>
        <w:bottom w:val="none" w:sz="0" w:space="0" w:color="auto"/>
        <w:right w:val="none" w:sz="0" w:space="0" w:color="auto"/>
      </w:divBdr>
    </w:div>
    <w:div w:id="1771505828">
      <w:bodyDiv w:val="1"/>
      <w:marLeft w:val="0"/>
      <w:marRight w:val="0"/>
      <w:marTop w:val="0"/>
      <w:marBottom w:val="0"/>
      <w:divBdr>
        <w:top w:val="none" w:sz="0" w:space="0" w:color="auto"/>
        <w:left w:val="none" w:sz="0" w:space="0" w:color="auto"/>
        <w:bottom w:val="none" w:sz="0" w:space="0" w:color="auto"/>
        <w:right w:val="none" w:sz="0" w:space="0" w:color="auto"/>
      </w:divBdr>
    </w:div>
    <w:div w:id="1773628374">
      <w:bodyDiv w:val="1"/>
      <w:marLeft w:val="0"/>
      <w:marRight w:val="0"/>
      <w:marTop w:val="0"/>
      <w:marBottom w:val="0"/>
      <w:divBdr>
        <w:top w:val="none" w:sz="0" w:space="0" w:color="auto"/>
        <w:left w:val="none" w:sz="0" w:space="0" w:color="auto"/>
        <w:bottom w:val="none" w:sz="0" w:space="0" w:color="auto"/>
        <w:right w:val="none" w:sz="0" w:space="0" w:color="auto"/>
      </w:divBdr>
    </w:div>
    <w:div w:id="1778595648">
      <w:bodyDiv w:val="1"/>
      <w:marLeft w:val="0"/>
      <w:marRight w:val="0"/>
      <w:marTop w:val="0"/>
      <w:marBottom w:val="0"/>
      <w:divBdr>
        <w:top w:val="none" w:sz="0" w:space="0" w:color="auto"/>
        <w:left w:val="none" w:sz="0" w:space="0" w:color="auto"/>
        <w:bottom w:val="none" w:sz="0" w:space="0" w:color="auto"/>
        <w:right w:val="none" w:sz="0" w:space="0" w:color="auto"/>
      </w:divBdr>
    </w:div>
    <w:div w:id="1783067666">
      <w:bodyDiv w:val="1"/>
      <w:marLeft w:val="0"/>
      <w:marRight w:val="0"/>
      <w:marTop w:val="0"/>
      <w:marBottom w:val="0"/>
      <w:divBdr>
        <w:top w:val="none" w:sz="0" w:space="0" w:color="auto"/>
        <w:left w:val="none" w:sz="0" w:space="0" w:color="auto"/>
        <w:bottom w:val="none" w:sz="0" w:space="0" w:color="auto"/>
        <w:right w:val="none" w:sz="0" w:space="0" w:color="auto"/>
      </w:divBdr>
    </w:div>
    <w:div w:id="1788229717">
      <w:bodyDiv w:val="1"/>
      <w:marLeft w:val="0"/>
      <w:marRight w:val="0"/>
      <w:marTop w:val="0"/>
      <w:marBottom w:val="0"/>
      <w:divBdr>
        <w:top w:val="none" w:sz="0" w:space="0" w:color="auto"/>
        <w:left w:val="none" w:sz="0" w:space="0" w:color="auto"/>
        <w:bottom w:val="none" w:sz="0" w:space="0" w:color="auto"/>
        <w:right w:val="none" w:sz="0" w:space="0" w:color="auto"/>
      </w:divBdr>
    </w:div>
    <w:div w:id="1789663161">
      <w:bodyDiv w:val="1"/>
      <w:marLeft w:val="0"/>
      <w:marRight w:val="0"/>
      <w:marTop w:val="0"/>
      <w:marBottom w:val="0"/>
      <w:divBdr>
        <w:top w:val="none" w:sz="0" w:space="0" w:color="auto"/>
        <w:left w:val="none" w:sz="0" w:space="0" w:color="auto"/>
        <w:bottom w:val="none" w:sz="0" w:space="0" w:color="auto"/>
        <w:right w:val="none" w:sz="0" w:space="0" w:color="auto"/>
      </w:divBdr>
    </w:div>
    <w:div w:id="1790465865">
      <w:bodyDiv w:val="1"/>
      <w:marLeft w:val="0"/>
      <w:marRight w:val="0"/>
      <w:marTop w:val="0"/>
      <w:marBottom w:val="0"/>
      <w:divBdr>
        <w:top w:val="none" w:sz="0" w:space="0" w:color="auto"/>
        <w:left w:val="none" w:sz="0" w:space="0" w:color="auto"/>
        <w:bottom w:val="none" w:sz="0" w:space="0" w:color="auto"/>
        <w:right w:val="none" w:sz="0" w:space="0" w:color="auto"/>
      </w:divBdr>
    </w:div>
    <w:div w:id="1790661598">
      <w:bodyDiv w:val="1"/>
      <w:marLeft w:val="0"/>
      <w:marRight w:val="0"/>
      <w:marTop w:val="0"/>
      <w:marBottom w:val="0"/>
      <w:divBdr>
        <w:top w:val="none" w:sz="0" w:space="0" w:color="auto"/>
        <w:left w:val="none" w:sz="0" w:space="0" w:color="auto"/>
        <w:bottom w:val="none" w:sz="0" w:space="0" w:color="auto"/>
        <w:right w:val="none" w:sz="0" w:space="0" w:color="auto"/>
      </w:divBdr>
    </w:div>
    <w:div w:id="1793282804">
      <w:bodyDiv w:val="1"/>
      <w:marLeft w:val="0"/>
      <w:marRight w:val="0"/>
      <w:marTop w:val="0"/>
      <w:marBottom w:val="0"/>
      <w:divBdr>
        <w:top w:val="none" w:sz="0" w:space="0" w:color="auto"/>
        <w:left w:val="none" w:sz="0" w:space="0" w:color="auto"/>
        <w:bottom w:val="none" w:sz="0" w:space="0" w:color="auto"/>
        <w:right w:val="none" w:sz="0" w:space="0" w:color="auto"/>
      </w:divBdr>
    </w:div>
    <w:div w:id="1796673757">
      <w:bodyDiv w:val="1"/>
      <w:marLeft w:val="0"/>
      <w:marRight w:val="0"/>
      <w:marTop w:val="0"/>
      <w:marBottom w:val="0"/>
      <w:divBdr>
        <w:top w:val="none" w:sz="0" w:space="0" w:color="auto"/>
        <w:left w:val="none" w:sz="0" w:space="0" w:color="auto"/>
        <w:bottom w:val="none" w:sz="0" w:space="0" w:color="auto"/>
        <w:right w:val="none" w:sz="0" w:space="0" w:color="auto"/>
      </w:divBdr>
    </w:div>
    <w:div w:id="1800226604">
      <w:bodyDiv w:val="1"/>
      <w:marLeft w:val="0"/>
      <w:marRight w:val="0"/>
      <w:marTop w:val="0"/>
      <w:marBottom w:val="0"/>
      <w:divBdr>
        <w:top w:val="none" w:sz="0" w:space="0" w:color="auto"/>
        <w:left w:val="none" w:sz="0" w:space="0" w:color="auto"/>
        <w:bottom w:val="none" w:sz="0" w:space="0" w:color="auto"/>
        <w:right w:val="none" w:sz="0" w:space="0" w:color="auto"/>
      </w:divBdr>
    </w:div>
    <w:div w:id="1800339763">
      <w:bodyDiv w:val="1"/>
      <w:marLeft w:val="0"/>
      <w:marRight w:val="0"/>
      <w:marTop w:val="0"/>
      <w:marBottom w:val="0"/>
      <w:divBdr>
        <w:top w:val="none" w:sz="0" w:space="0" w:color="auto"/>
        <w:left w:val="none" w:sz="0" w:space="0" w:color="auto"/>
        <w:bottom w:val="none" w:sz="0" w:space="0" w:color="auto"/>
        <w:right w:val="none" w:sz="0" w:space="0" w:color="auto"/>
      </w:divBdr>
    </w:div>
    <w:div w:id="1813059475">
      <w:bodyDiv w:val="1"/>
      <w:marLeft w:val="0"/>
      <w:marRight w:val="0"/>
      <w:marTop w:val="0"/>
      <w:marBottom w:val="0"/>
      <w:divBdr>
        <w:top w:val="none" w:sz="0" w:space="0" w:color="auto"/>
        <w:left w:val="none" w:sz="0" w:space="0" w:color="auto"/>
        <w:bottom w:val="none" w:sz="0" w:space="0" w:color="auto"/>
        <w:right w:val="none" w:sz="0" w:space="0" w:color="auto"/>
      </w:divBdr>
    </w:div>
    <w:div w:id="1817986673">
      <w:bodyDiv w:val="1"/>
      <w:marLeft w:val="0"/>
      <w:marRight w:val="0"/>
      <w:marTop w:val="0"/>
      <w:marBottom w:val="0"/>
      <w:divBdr>
        <w:top w:val="none" w:sz="0" w:space="0" w:color="auto"/>
        <w:left w:val="none" w:sz="0" w:space="0" w:color="auto"/>
        <w:bottom w:val="none" w:sz="0" w:space="0" w:color="auto"/>
        <w:right w:val="none" w:sz="0" w:space="0" w:color="auto"/>
      </w:divBdr>
    </w:div>
    <w:div w:id="1826706273">
      <w:bodyDiv w:val="1"/>
      <w:marLeft w:val="0"/>
      <w:marRight w:val="0"/>
      <w:marTop w:val="0"/>
      <w:marBottom w:val="0"/>
      <w:divBdr>
        <w:top w:val="none" w:sz="0" w:space="0" w:color="auto"/>
        <w:left w:val="none" w:sz="0" w:space="0" w:color="auto"/>
        <w:bottom w:val="none" w:sz="0" w:space="0" w:color="auto"/>
        <w:right w:val="none" w:sz="0" w:space="0" w:color="auto"/>
      </w:divBdr>
    </w:div>
    <w:div w:id="1830290923">
      <w:bodyDiv w:val="1"/>
      <w:marLeft w:val="0"/>
      <w:marRight w:val="0"/>
      <w:marTop w:val="0"/>
      <w:marBottom w:val="0"/>
      <w:divBdr>
        <w:top w:val="none" w:sz="0" w:space="0" w:color="auto"/>
        <w:left w:val="none" w:sz="0" w:space="0" w:color="auto"/>
        <w:bottom w:val="none" w:sz="0" w:space="0" w:color="auto"/>
        <w:right w:val="none" w:sz="0" w:space="0" w:color="auto"/>
      </w:divBdr>
    </w:div>
    <w:div w:id="1830825930">
      <w:bodyDiv w:val="1"/>
      <w:marLeft w:val="0"/>
      <w:marRight w:val="0"/>
      <w:marTop w:val="0"/>
      <w:marBottom w:val="0"/>
      <w:divBdr>
        <w:top w:val="none" w:sz="0" w:space="0" w:color="auto"/>
        <w:left w:val="none" w:sz="0" w:space="0" w:color="auto"/>
        <w:bottom w:val="none" w:sz="0" w:space="0" w:color="auto"/>
        <w:right w:val="none" w:sz="0" w:space="0" w:color="auto"/>
      </w:divBdr>
    </w:div>
    <w:div w:id="1834909387">
      <w:bodyDiv w:val="1"/>
      <w:marLeft w:val="0"/>
      <w:marRight w:val="0"/>
      <w:marTop w:val="0"/>
      <w:marBottom w:val="0"/>
      <w:divBdr>
        <w:top w:val="none" w:sz="0" w:space="0" w:color="auto"/>
        <w:left w:val="none" w:sz="0" w:space="0" w:color="auto"/>
        <w:bottom w:val="none" w:sz="0" w:space="0" w:color="auto"/>
        <w:right w:val="none" w:sz="0" w:space="0" w:color="auto"/>
      </w:divBdr>
    </w:div>
    <w:div w:id="1835142844">
      <w:bodyDiv w:val="1"/>
      <w:marLeft w:val="0"/>
      <w:marRight w:val="0"/>
      <w:marTop w:val="0"/>
      <w:marBottom w:val="0"/>
      <w:divBdr>
        <w:top w:val="none" w:sz="0" w:space="0" w:color="auto"/>
        <w:left w:val="none" w:sz="0" w:space="0" w:color="auto"/>
        <w:bottom w:val="none" w:sz="0" w:space="0" w:color="auto"/>
        <w:right w:val="none" w:sz="0" w:space="0" w:color="auto"/>
      </w:divBdr>
    </w:div>
    <w:div w:id="1835297240">
      <w:bodyDiv w:val="1"/>
      <w:marLeft w:val="0"/>
      <w:marRight w:val="0"/>
      <w:marTop w:val="0"/>
      <w:marBottom w:val="0"/>
      <w:divBdr>
        <w:top w:val="none" w:sz="0" w:space="0" w:color="auto"/>
        <w:left w:val="none" w:sz="0" w:space="0" w:color="auto"/>
        <w:bottom w:val="none" w:sz="0" w:space="0" w:color="auto"/>
        <w:right w:val="none" w:sz="0" w:space="0" w:color="auto"/>
      </w:divBdr>
    </w:div>
    <w:div w:id="1835871489">
      <w:bodyDiv w:val="1"/>
      <w:marLeft w:val="0"/>
      <w:marRight w:val="0"/>
      <w:marTop w:val="0"/>
      <w:marBottom w:val="0"/>
      <w:divBdr>
        <w:top w:val="none" w:sz="0" w:space="0" w:color="auto"/>
        <w:left w:val="none" w:sz="0" w:space="0" w:color="auto"/>
        <w:bottom w:val="none" w:sz="0" w:space="0" w:color="auto"/>
        <w:right w:val="none" w:sz="0" w:space="0" w:color="auto"/>
      </w:divBdr>
    </w:div>
    <w:div w:id="1837920856">
      <w:bodyDiv w:val="1"/>
      <w:marLeft w:val="0"/>
      <w:marRight w:val="0"/>
      <w:marTop w:val="0"/>
      <w:marBottom w:val="0"/>
      <w:divBdr>
        <w:top w:val="none" w:sz="0" w:space="0" w:color="auto"/>
        <w:left w:val="none" w:sz="0" w:space="0" w:color="auto"/>
        <w:bottom w:val="none" w:sz="0" w:space="0" w:color="auto"/>
        <w:right w:val="none" w:sz="0" w:space="0" w:color="auto"/>
      </w:divBdr>
    </w:div>
    <w:div w:id="1842231634">
      <w:bodyDiv w:val="1"/>
      <w:marLeft w:val="0"/>
      <w:marRight w:val="0"/>
      <w:marTop w:val="0"/>
      <w:marBottom w:val="0"/>
      <w:divBdr>
        <w:top w:val="none" w:sz="0" w:space="0" w:color="auto"/>
        <w:left w:val="none" w:sz="0" w:space="0" w:color="auto"/>
        <w:bottom w:val="none" w:sz="0" w:space="0" w:color="auto"/>
        <w:right w:val="none" w:sz="0" w:space="0" w:color="auto"/>
      </w:divBdr>
    </w:div>
    <w:div w:id="1842238625">
      <w:bodyDiv w:val="1"/>
      <w:marLeft w:val="0"/>
      <w:marRight w:val="0"/>
      <w:marTop w:val="0"/>
      <w:marBottom w:val="0"/>
      <w:divBdr>
        <w:top w:val="none" w:sz="0" w:space="0" w:color="auto"/>
        <w:left w:val="none" w:sz="0" w:space="0" w:color="auto"/>
        <w:bottom w:val="none" w:sz="0" w:space="0" w:color="auto"/>
        <w:right w:val="none" w:sz="0" w:space="0" w:color="auto"/>
      </w:divBdr>
    </w:div>
    <w:div w:id="1843663853">
      <w:bodyDiv w:val="1"/>
      <w:marLeft w:val="0"/>
      <w:marRight w:val="0"/>
      <w:marTop w:val="0"/>
      <w:marBottom w:val="0"/>
      <w:divBdr>
        <w:top w:val="none" w:sz="0" w:space="0" w:color="auto"/>
        <w:left w:val="none" w:sz="0" w:space="0" w:color="auto"/>
        <w:bottom w:val="none" w:sz="0" w:space="0" w:color="auto"/>
        <w:right w:val="none" w:sz="0" w:space="0" w:color="auto"/>
      </w:divBdr>
    </w:div>
    <w:div w:id="1846044255">
      <w:bodyDiv w:val="1"/>
      <w:marLeft w:val="0"/>
      <w:marRight w:val="0"/>
      <w:marTop w:val="0"/>
      <w:marBottom w:val="0"/>
      <w:divBdr>
        <w:top w:val="none" w:sz="0" w:space="0" w:color="auto"/>
        <w:left w:val="none" w:sz="0" w:space="0" w:color="auto"/>
        <w:bottom w:val="none" w:sz="0" w:space="0" w:color="auto"/>
        <w:right w:val="none" w:sz="0" w:space="0" w:color="auto"/>
      </w:divBdr>
    </w:div>
    <w:div w:id="1849518657">
      <w:bodyDiv w:val="1"/>
      <w:marLeft w:val="0"/>
      <w:marRight w:val="0"/>
      <w:marTop w:val="0"/>
      <w:marBottom w:val="0"/>
      <w:divBdr>
        <w:top w:val="none" w:sz="0" w:space="0" w:color="auto"/>
        <w:left w:val="none" w:sz="0" w:space="0" w:color="auto"/>
        <w:bottom w:val="none" w:sz="0" w:space="0" w:color="auto"/>
        <w:right w:val="none" w:sz="0" w:space="0" w:color="auto"/>
      </w:divBdr>
    </w:div>
    <w:div w:id="1852139371">
      <w:bodyDiv w:val="1"/>
      <w:marLeft w:val="0"/>
      <w:marRight w:val="0"/>
      <w:marTop w:val="0"/>
      <w:marBottom w:val="0"/>
      <w:divBdr>
        <w:top w:val="none" w:sz="0" w:space="0" w:color="auto"/>
        <w:left w:val="none" w:sz="0" w:space="0" w:color="auto"/>
        <w:bottom w:val="none" w:sz="0" w:space="0" w:color="auto"/>
        <w:right w:val="none" w:sz="0" w:space="0" w:color="auto"/>
      </w:divBdr>
    </w:div>
    <w:div w:id="1853296775">
      <w:bodyDiv w:val="1"/>
      <w:marLeft w:val="0"/>
      <w:marRight w:val="0"/>
      <w:marTop w:val="0"/>
      <w:marBottom w:val="0"/>
      <w:divBdr>
        <w:top w:val="none" w:sz="0" w:space="0" w:color="auto"/>
        <w:left w:val="none" w:sz="0" w:space="0" w:color="auto"/>
        <w:bottom w:val="none" w:sz="0" w:space="0" w:color="auto"/>
        <w:right w:val="none" w:sz="0" w:space="0" w:color="auto"/>
      </w:divBdr>
    </w:div>
    <w:div w:id="1859848001">
      <w:bodyDiv w:val="1"/>
      <w:marLeft w:val="0"/>
      <w:marRight w:val="0"/>
      <w:marTop w:val="0"/>
      <w:marBottom w:val="0"/>
      <w:divBdr>
        <w:top w:val="none" w:sz="0" w:space="0" w:color="auto"/>
        <w:left w:val="none" w:sz="0" w:space="0" w:color="auto"/>
        <w:bottom w:val="none" w:sz="0" w:space="0" w:color="auto"/>
        <w:right w:val="none" w:sz="0" w:space="0" w:color="auto"/>
      </w:divBdr>
    </w:div>
    <w:div w:id="1861436098">
      <w:bodyDiv w:val="1"/>
      <w:marLeft w:val="0"/>
      <w:marRight w:val="0"/>
      <w:marTop w:val="0"/>
      <w:marBottom w:val="0"/>
      <w:divBdr>
        <w:top w:val="none" w:sz="0" w:space="0" w:color="auto"/>
        <w:left w:val="none" w:sz="0" w:space="0" w:color="auto"/>
        <w:bottom w:val="none" w:sz="0" w:space="0" w:color="auto"/>
        <w:right w:val="none" w:sz="0" w:space="0" w:color="auto"/>
      </w:divBdr>
    </w:div>
    <w:div w:id="1863979020">
      <w:bodyDiv w:val="1"/>
      <w:marLeft w:val="0"/>
      <w:marRight w:val="0"/>
      <w:marTop w:val="0"/>
      <w:marBottom w:val="0"/>
      <w:divBdr>
        <w:top w:val="none" w:sz="0" w:space="0" w:color="auto"/>
        <w:left w:val="none" w:sz="0" w:space="0" w:color="auto"/>
        <w:bottom w:val="none" w:sz="0" w:space="0" w:color="auto"/>
        <w:right w:val="none" w:sz="0" w:space="0" w:color="auto"/>
      </w:divBdr>
    </w:div>
    <w:div w:id="1868367092">
      <w:bodyDiv w:val="1"/>
      <w:marLeft w:val="0"/>
      <w:marRight w:val="0"/>
      <w:marTop w:val="0"/>
      <w:marBottom w:val="0"/>
      <w:divBdr>
        <w:top w:val="none" w:sz="0" w:space="0" w:color="auto"/>
        <w:left w:val="none" w:sz="0" w:space="0" w:color="auto"/>
        <w:bottom w:val="none" w:sz="0" w:space="0" w:color="auto"/>
        <w:right w:val="none" w:sz="0" w:space="0" w:color="auto"/>
      </w:divBdr>
    </w:div>
    <w:div w:id="1870022765">
      <w:bodyDiv w:val="1"/>
      <w:marLeft w:val="0"/>
      <w:marRight w:val="0"/>
      <w:marTop w:val="0"/>
      <w:marBottom w:val="0"/>
      <w:divBdr>
        <w:top w:val="none" w:sz="0" w:space="0" w:color="auto"/>
        <w:left w:val="none" w:sz="0" w:space="0" w:color="auto"/>
        <w:bottom w:val="none" w:sz="0" w:space="0" w:color="auto"/>
        <w:right w:val="none" w:sz="0" w:space="0" w:color="auto"/>
      </w:divBdr>
    </w:div>
    <w:div w:id="1870332395">
      <w:bodyDiv w:val="1"/>
      <w:marLeft w:val="0"/>
      <w:marRight w:val="0"/>
      <w:marTop w:val="0"/>
      <w:marBottom w:val="0"/>
      <w:divBdr>
        <w:top w:val="none" w:sz="0" w:space="0" w:color="auto"/>
        <w:left w:val="none" w:sz="0" w:space="0" w:color="auto"/>
        <w:bottom w:val="none" w:sz="0" w:space="0" w:color="auto"/>
        <w:right w:val="none" w:sz="0" w:space="0" w:color="auto"/>
      </w:divBdr>
    </w:div>
    <w:div w:id="1870609029">
      <w:bodyDiv w:val="1"/>
      <w:marLeft w:val="0"/>
      <w:marRight w:val="0"/>
      <w:marTop w:val="0"/>
      <w:marBottom w:val="0"/>
      <w:divBdr>
        <w:top w:val="none" w:sz="0" w:space="0" w:color="auto"/>
        <w:left w:val="none" w:sz="0" w:space="0" w:color="auto"/>
        <w:bottom w:val="none" w:sz="0" w:space="0" w:color="auto"/>
        <w:right w:val="none" w:sz="0" w:space="0" w:color="auto"/>
      </w:divBdr>
    </w:div>
    <w:div w:id="1872496518">
      <w:bodyDiv w:val="1"/>
      <w:marLeft w:val="0"/>
      <w:marRight w:val="0"/>
      <w:marTop w:val="0"/>
      <w:marBottom w:val="0"/>
      <w:divBdr>
        <w:top w:val="none" w:sz="0" w:space="0" w:color="auto"/>
        <w:left w:val="none" w:sz="0" w:space="0" w:color="auto"/>
        <w:bottom w:val="none" w:sz="0" w:space="0" w:color="auto"/>
        <w:right w:val="none" w:sz="0" w:space="0" w:color="auto"/>
      </w:divBdr>
    </w:div>
    <w:div w:id="1872648756">
      <w:bodyDiv w:val="1"/>
      <w:marLeft w:val="0"/>
      <w:marRight w:val="0"/>
      <w:marTop w:val="0"/>
      <w:marBottom w:val="0"/>
      <w:divBdr>
        <w:top w:val="none" w:sz="0" w:space="0" w:color="auto"/>
        <w:left w:val="none" w:sz="0" w:space="0" w:color="auto"/>
        <w:bottom w:val="none" w:sz="0" w:space="0" w:color="auto"/>
        <w:right w:val="none" w:sz="0" w:space="0" w:color="auto"/>
      </w:divBdr>
    </w:div>
    <w:div w:id="1876505800">
      <w:bodyDiv w:val="1"/>
      <w:marLeft w:val="0"/>
      <w:marRight w:val="0"/>
      <w:marTop w:val="0"/>
      <w:marBottom w:val="0"/>
      <w:divBdr>
        <w:top w:val="none" w:sz="0" w:space="0" w:color="auto"/>
        <w:left w:val="none" w:sz="0" w:space="0" w:color="auto"/>
        <w:bottom w:val="none" w:sz="0" w:space="0" w:color="auto"/>
        <w:right w:val="none" w:sz="0" w:space="0" w:color="auto"/>
      </w:divBdr>
    </w:div>
    <w:div w:id="1877695186">
      <w:bodyDiv w:val="1"/>
      <w:marLeft w:val="0"/>
      <w:marRight w:val="0"/>
      <w:marTop w:val="0"/>
      <w:marBottom w:val="0"/>
      <w:divBdr>
        <w:top w:val="none" w:sz="0" w:space="0" w:color="auto"/>
        <w:left w:val="none" w:sz="0" w:space="0" w:color="auto"/>
        <w:bottom w:val="none" w:sz="0" w:space="0" w:color="auto"/>
        <w:right w:val="none" w:sz="0" w:space="0" w:color="auto"/>
      </w:divBdr>
    </w:div>
    <w:div w:id="1878665013">
      <w:bodyDiv w:val="1"/>
      <w:marLeft w:val="0"/>
      <w:marRight w:val="0"/>
      <w:marTop w:val="0"/>
      <w:marBottom w:val="0"/>
      <w:divBdr>
        <w:top w:val="none" w:sz="0" w:space="0" w:color="auto"/>
        <w:left w:val="none" w:sz="0" w:space="0" w:color="auto"/>
        <w:bottom w:val="none" w:sz="0" w:space="0" w:color="auto"/>
        <w:right w:val="none" w:sz="0" w:space="0" w:color="auto"/>
      </w:divBdr>
    </w:div>
    <w:div w:id="1880125831">
      <w:bodyDiv w:val="1"/>
      <w:marLeft w:val="0"/>
      <w:marRight w:val="0"/>
      <w:marTop w:val="0"/>
      <w:marBottom w:val="0"/>
      <w:divBdr>
        <w:top w:val="none" w:sz="0" w:space="0" w:color="auto"/>
        <w:left w:val="none" w:sz="0" w:space="0" w:color="auto"/>
        <w:bottom w:val="none" w:sz="0" w:space="0" w:color="auto"/>
        <w:right w:val="none" w:sz="0" w:space="0" w:color="auto"/>
      </w:divBdr>
    </w:div>
    <w:div w:id="1881168251">
      <w:bodyDiv w:val="1"/>
      <w:marLeft w:val="0"/>
      <w:marRight w:val="0"/>
      <w:marTop w:val="0"/>
      <w:marBottom w:val="0"/>
      <w:divBdr>
        <w:top w:val="none" w:sz="0" w:space="0" w:color="auto"/>
        <w:left w:val="none" w:sz="0" w:space="0" w:color="auto"/>
        <w:bottom w:val="none" w:sz="0" w:space="0" w:color="auto"/>
        <w:right w:val="none" w:sz="0" w:space="0" w:color="auto"/>
      </w:divBdr>
    </w:div>
    <w:div w:id="1885215561">
      <w:bodyDiv w:val="1"/>
      <w:marLeft w:val="0"/>
      <w:marRight w:val="0"/>
      <w:marTop w:val="0"/>
      <w:marBottom w:val="0"/>
      <w:divBdr>
        <w:top w:val="none" w:sz="0" w:space="0" w:color="auto"/>
        <w:left w:val="none" w:sz="0" w:space="0" w:color="auto"/>
        <w:bottom w:val="none" w:sz="0" w:space="0" w:color="auto"/>
        <w:right w:val="none" w:sz="0" w:space="0" w:color="auto"/>
      </w:divBdr>
    </w:div>
    <w:div w:id="1885558813">
      <w:bodyDiv w:val="1"/>
      <w:marLeft w:val="0"/>
      <w:marRight w:val="0"/>
      <w:marTop w:val="0"/>
      <w:marBottom w:val="0"/>
      <w:divBdr>
        <w:top w:val="none" w:sz="0" w:space="0" w:color="auto"/>
        <w:left w:val="none" w:sz="0" w:space="0" w:color="auto"/>
        <w:bottom w:val="none" w:sz="0" w:space="0" w:color="auto"/>
        <w:right w:val="none" w:sz="0" w:space="0" w:color="auto"/>
      </w:divBdr>
    </w:div>
    <w:div w:id="1889956583">
      <w:bodyDiv w:val="1"/>
      <w:marLeft w:val="0"/>
      <w:marRight w:val="0"/>
      <w:marTop w:val="0"/>
      <w:marBottom w:val="0"/>
      <w:divBdr>
        <w:top w:val="none" w:sz="0" w:space="0" w:color="auto"/>
        <w:left w:val="none" w:sz="0" w:space="0" w:color="auto"/>
        <w:bottom w:val="none" w:sz="0" w:space="0" w:color="auto"/>
        <w:right w:val="none" w:sz="0" w:space="0" w:color="auto"/>
      </w:divBdr>
    </w:div>
    <w:div w:id="1890796947">
      <w:bodyDiv w:val="1"/>
      <w:marLeft w:val="0"/>
      <w:marRight w:val="0"/>
      <w:marTop w:val="0"/>
      <w:marBottom w:val="0"/>
      <w:divBdr>
        <w:top w:val="none" w:sz="0" w:space="0" w:color="auto"/>
        <w:left w:val="none" w:sz="0" w:space="0" w:color="auto"/>
        <w:bottom w:val="none" w:sz="0" w:space="0" w:color="auto"/>
        <w:right w:val="none" w:sz="0" w:space="0" w:color="auto"/>
      </w:divBdr>
    </w:div>
    <w:div w:id="1892644857">
      <w:bodyDiv w:val="1"/>
      <w:marLeft w:val="0"/>
      <w:marRight w:val="0"/>
      <w:marTop w:val="0"/>
      <w:marBottom w:val="0"/>
      <w:divBdr>
        <w:top w:val="none" w:sz="0" w:space="0" w:color="auto"/>
        <w:left w:val="none" w:sz="0" w:space="0" w:color="auto"/>
        <w:bottom w:val="none" w:sz="0" w:space="0" w:color="auto"/>
        <w:right w:val="none" w:sz="0" w:space="0" w:color="auto"/>
      </w:divBdr>
    </w:div>
    <w:div w:id="1894921535">
      <w:bodyDiv w:val="1"/>
      <w:marLeft w:val="0"/>
      <w:marRight w:val="0"/>
      <w:marTop w:val="0"/>
      <w:marBottom w:val="0"/>
      <w:divBdr>
        <w:top w:val="none" w:sz="0" w:space="0" w:color="auto"/>
        <w:left w:val="none" w:sz="0" w:space="0" w:color="auto"/>
        <w:bottom w:val="none" w:sz="0" w:space="0" w:color="auto"/>
        <w:right w:val="none" w:sz="0" w:space="0" w:color="auto"/>
      </w:divBdr>
    </w:div>
    <w:div w:id="1895700707">
      <w:bodyDiv w:val="1"/>
      <w:marLeft w:val="0"/>
      <w:marRight w:val="0"/>
      <w:marTop w:val="0"/>
      <w:marBottom w:val="0"/>
      <w:divBdr>
        <w:top w:val="none" w:sz="0" w:space="0" w:color="auto"/>
        <w:left w:val="none" w:sz="0" w:space="0" w:color="auto"/>
        <w:bottom w:val="none" w:sz="0" w:space="0" w:color="auto"/>
        <w:right w:val="none" w:sz="0" w:space="0" w:color="auto"/>
      </w:divBdr>
    </w:div>
    <w:div w:id="1895850919">
      <w:bodyDiv w:val="1"/>
      <w:marLeft w:val="0"/>
      <w:marRight w:val="0"/>
      <w:marTop w:val="0"/>
      <w:marBottom w:val="0"/>
      <w:divBdr>
        <w:top w:val="none" w:sz="0" w:space="0" w:color="auto"/>
        <w:left w:val="none" w:sz="0" w:space="0" w:color="auto"/>
        <w:bottom w:val="none" w:sz="0" w:space="0" w:color="auto"/>
        <w:right w:val="none" w:sz="0" w:space="0" w:color="auto"/>
      </w:divBdr>
    </w:div>
    <w:div w:id="1903444035">
      <w:bodyDiv w:val="1"/>
      <w:marLeft w:val="0"/>
      <w:marRight w:val="0"/>
      <w:marTop w:val="0"/>
      <w:marBottom w:val="0"/>
      <w:divBdr>
        <w:top w:val="none" w:sz="0" w:space="0" w:color="auto"/>
        <w:left w:val="none" w:sz="0" w:space="0" w:color="auto"/>
        <w:bottom w:val="none" w:sz="0" w:space="0" w:color="auto"/>
        <w:right w:val="none" w:sz="0" w:space="0" w:color="auto"/>
      </w:divBdr>
    </w:div>
    <w:div w:id="1905681314">
      <w:bodyDiv w:val="1"/>
      <w:marLeft w:val="0"/>
      <w:marRight w:val="0"/>
      <w:marTop w:val="0"/>
      <w:marBottom w:val="0"/>
      <w:divBdr>
        <w:top w:val="none" w:sz="0" w:space="0" w:color="auto"/>
        <w:left w:val="none" w:sz="0" w:space="0" w:color="auto"/>
        <w:bottom w:val="none" w:sz="0" w:space="0" w:color="auto"/>
        <w:right w:val="none" w:sz="0" w:space="0" w:color="auto"/>
      </w:divBdr>
    </w:div>
    <w:div w:id="1905796211">
      <w:bodyDiv w:val="1"/>
      <w:marLeft w:val="0"/>
      <w:marRight w:val="0"/>
      <w:marTop w:val="0"/>
      <w:marBottom w:val="0"/>
      <w:divBdr>
        <w:top w:val="none" w:sz="0" w:space="0" w:color="auto"/>
        <w:left w:val="none" w:sz="0" w:space="0" w:color="auto"/>
        <w:bottom w:val="none" w:sz="0" w:space="0" w:color="auto"/>
        <w:right w:val="none" w:sz="0" w:space="0" w:color="auto"/>
      </w:divBdr>
    </w:div>
    <w:div w:id="1906068786">
      <w:bodyDiv w:val="1"/>
      <w:marLeft w:val="0"/>
      <w:marRight w:val="0"/>
      <w:marTop w:val="0"/>
      <w:marBottom w:val="0"/>
      <w:divBdr>
        <w:top w:val="none" w:sz="0" w:space="0" w:color="auto"/>
        <w:left w:val="none" w:sz="0" w:space="0" w:color="auto"/>
        <w:bottom w:val="none" w:sz="0" w:space="0" w:color="auto"/>
        <w:right w:val="none" w:sz="0" w:space="0" w:color="auto"/>
      </w:divBdr>
    </w:div>
    <w:div w:id="1908149313">
      <w:bodyDiv w:val="1"/>
      <w:marLeft w:val="0"/>
      <w:marRight w:val="0"/>
      <w:marTop w:val="0"/>
      <w:marBottom w:val="0"/>
      <w:divBdr>
        <w:top w:val="none" w:sz="0" w:space="0" w:color="auto"/>
        <w:left w:val="none" w:sz="0" w:space="0" w:color="auto"/>
        <w:bottom w:val="none" w:sz="0" w:space="0" w:color="auto"/>
        <w:right w:val="none" w:sz="0" w:space="0" w:color="auto"/>
      </w:divBdr>
    </w:div>
    <w:div w:id="1914269846">
      <w:bodyDiv w:val="1"/>
      <w:marLeft w:val="0"/>
      <w:marRight w:val="0"/>
      <w:marTop w:val="0"/>
      <w:marBottom w:val="0"/>
      <w:divBdr>
        <w:top w:val="none" w:sz="0" w:space="0" w:color="auto"/>
        <w:left w:val="none" w:sz="0" w:space="0" w:color="auto"/>
        <w:bottom w:val="none" w:sz="0" w:space="0" w:color="auto"/>
        <w:right w:val="none" w:sz="0" w:space="0" w:color="auto"/>
      </w:divBdr>
    </w:div>
    <w:div w:id="1919902257">
      <w:bodyDiv w:val="1"/>
      <w:marLeft w:val="0"/>
      <w:marRight w:val="0"/>
      <w:marTop w:val="0"/>
      <w:marBottom w:val="0"/>
      <w:divBdr>
        <w:top w:val="none" w:sz="0" w:space="0" w:color="auto"/>
        <w:left w:val="none" w:sz="0" w:space="0" w:color="auto"/>
        <w:bottom w:val="none" w:sz="0" w:space="0" w:color="auto"/>
        <w:right w:val="none" w:sz="0" w:space="0" w:color="auto"/>
      </w:divBdr>
    </w:div>
    <w:div w:id="1924025294">
      <w:bodyDiv w:val="1"/>
      <w:marLeft w:val="0"/>
      <w:marRight w:val="0"/>
      <w:marTop w:val="0"/>
      <w:marBottom w:val="0"/>
      <w:divBdr>
        <w:top w:val="none" w:sz="0" w:space="0" w:color="auto"/>
        <w:left w:val="none" w:sz="0" w:space="0" w:color="auto"/>
        <w:bottom w:val="none" w:sz="0" w:space="0" w:color="auto"/>
        <w:right w:val="none" w:sz="0" w:space="0" w:color="auto"/>
      </w:divBdr>
    </w:div>
    <w:div w:id="1930651695">
      <w:bodyDiv w:val="1"/>
      <w:marLeft w:val="0"/>
      <w:marRight w:val="0"/>
      <w:marTop w:val="0"/>
      <w:marBottom w:val="0"/>
      <w:divBdr>
        <w:top w:val="none" w:sz="0" w:space="0" w:color="auto"/>
        <w:left w:val="none" w:sz="0" w:space="0" w:color="auto"/>
        <w:bottom w:val="none" w:sz="0" w:space="0" w:color="auto"/>
        <w:right w:val="none" w:sz="0" w:space="0" w:color="auto"/>
      </w:divBdr>
    </w:div>
    <w:div w:id="1933472194">
      <w:bodyDiv w:val="1"/>
      <w:marLeft w:val="0"/>
      <w:marRight w:val="0"/>
      <w:marTop w:val="0"/>
      <w:marBottom w:val="0"/>
      <w:divBdr>
        <w:top w:val="none" w:sz="0" w:space="0" w:color="auto"/>
        <w:left w:val="none" w:sz="0" w:space="0" w:color="auto"/>
        <w:bottom w:val="none" w:sz="0" w:space="0" w:color="auto"/>
        <w:right w:val="none" w:sz="0" w:space="0" w:color="auto"/>
      </w:divBdr>
    </w:div>
    <w:div w:id="1937445588">
      <w:bodyDiv w:val="1"/>
      <w:marLeft w:val="0"/>
      <w:marRight w:val="0"/>
      <w:marTop w:val="0"/>
      <w:marBottom w:val="0"/>
      <w:divBdr>
        <w:top w:val="none" w:sz="0" w:space="0" w:color="auto"/>
        <w:left w:val="none" w:sz="0" w:space="0" w:color="auto"/>
        <w:bottom w:val="none" w:sz="0" w:space="0" w:color="auto"/>
        <w:right w:val="none" w:sz="0" w:space="0" w:color="auto"/>
      </w:divBdr>
    </w:div>
    <w:div w:id="1939363717">
      <w:bodyDiv w:val="1"/>
      <w:marLeft w:val="0"/>
      <w:marRight w:val="0"/>
      <w:marTop w:val="0"/>
      <w:marBottom w:val="0"/>
      <w:divBdr>
        <w:top w:val="none" w:sz="0" w:space="0" w:color="auto"/>
        <w:left w:val="none" w:sz="0" w:space="0" w:color="auto"/>
        <w:bottom w:val="none" w:sz="0" w:space="0" w:color="auto"/>
        <w:right w:val="none" w:sz="0" w:space="0" w:color="auto"/>
      </w:divBdr>
    </w:div>
    <w:div w:id="1945259246">
      <w:bodyDiv w:val="1"/>
      <w:marLeft w:val="0"/>
      <w:marRight w:val="0"/>
      <w:marTop w:val="0"/>
      <w:marBottom w:val="0"/>
      <w:divBdr>
        <w:top w:val="none" w:sz="0" w:space="0" w:color="auto"/>
        <w:left w:val="none" w:sz="0" w:space="0" w:color="auto"/>
        <w:bottom w:val="none" w:sz="0" w:space="0" w:color="auto"/>
        <w:right w:val="none" w:sz="0" w:space="0" w:color="auto"/>
      </w:divBdr>
    </w:div>
    <w:div w:id="1947036167">
      <w:bodyDiv w:val="1"/>
      <w:marLeft w:val="0"/>
      <w:marRight w:val="0"/>
      <w:marTop w:val="0"/>
      <w:marBottom w:val="0"/>
      <w:divBdr>
        <w:top w:val="none" w:sz="0" w:space="0" w:color="auto"/>
        <w:left w:val="none" w:sz="0" w:space="0" w:color="auto"/>
        <w:bottom w:val="none" w:sz="0" w:space="0" w:color="auto"/>
        <w:right w:val="none" w:sz="0" w:space="0" w:color="auto"/>
      </w:divBdr>
    </w:div>
    <w:div w:id="1949896374">
      <w:bodyDiv w:val="1"/>
      <w:marLeft w:val="0"/>
      <w:marRight w:val="0"/>
      <w:marTop w:val="0"/>
      <w:marBottom w:val="0"/>
      <w:divBdr>
        <w:top w:val="none" w:sz="0" w:space="0" w:color="auto"/>
        <w:left w:val="none" w:sz="0" w:space="0" w:color="auto"/>
        <w:bottom w:val="none" w:sz="0" w:space="0" w:color="auto"/>
        <w:right w:val="none" w:sz="0" w:space="0" w:color="auto"/>
      </w:divBdr>
    </w:div>
    <w:div w:id="1957178433">
      <w:bodyDiv w:val="1"/>
      <w:marLeft w:val="0"/>
      <w:marRight w:val="0"/>
      <w:marTop w:val="0"/>
      <w:marBottom w:val="0"/>
      <w:divBdr>
        <w:top w:val="none" w:sz="0" w:space="0" w:color="auto"/>
        <w:left w:val="none" w:sz="0" w:space="0" w:color="auto"/>
        <w:bottom w:val="none" w:sz="0" w:space="0" w:color="auto"/>
        <w:right w:val="none" w:sz="0" w:space="0" w:color="auto"/>
      </w:divBdr>
    </w:div>
    <w:div w:id="1960724518">
      <w:bodyDiv w:val="1"/>
      <w:marLeft w:val="0"/>
      <w:marRight w:val="0"/>
      <w:marTop w:val="0"/>
      <w:marBottom w:val="0"/>
      <w:divBdr>
        <w:top w:val="none" w:sz="0" w:space="0" w:color="auto"/>
        <w:left w:val="none" w:sz="0" w:space="0" w:color="auto"/>
        <w:bottom w:val="none" w:sz="0" w:space="0" w:color="auto"/>
        <w:right w:val="none" w:sz="0" w:space="0" w:color="auto"/>
      </w:divBdr>
    </w:div>
    <w:div w:id="1962301036">
      <w:bodyDiv w:val="1"/>
      <w:marLeft w:val="0"/>
      <w:marRight w:val="0"/>
      <w:marTop w:val="0"/>
      <w:marBottom w:val="0"/>
      <w:divBdr>
        <w:top w:val="none" w:sz="0" w:space="0" w:color="auto"/>
        <w:left w:val="none" w:sz="0" w:space="0" w:color="auto"/>
        <w:bottom w:val="none" w:sz="0" w:space="0" w:color="auto"/>
        <w:right w:val="none" w:sz="0" w:space="0" w:color="auto"/>
      </w:divBdr>
    </w:div>
    <w:div w:id="1967082384">
      <w:bodyDiv w:val="1"/>
      <w:marLeft w:val="0"/>
      <w:marRight w:val="0"/>
      <w:marTop w:val="0"/>
      <w:marBottom w:val="0"/>
      <w:divBdr>
        <w:top w:val="none" w:sz="0" w:space="0" w:color="auto"/>
        <w:left w:val="none" w:sz="0" w:space="0" w:color="auto"/>
        <w:bottom w:val="none" w:sz="0" w:space="0" w:color="auto"/>
        <w:right w:val="none" w:sz="0" w:space="0" w:color="auto"/>
      </w:divBdr>
    </w:div>
    <w:div w:id="1967347899">
      <w:bodyDiv w:val="1"/>
      <w:marLeft w:val="0"/>
      <w:marRight w:val="0"/>
      <w:marTop w:val="0"/>
      <w:marBottom w:val="0"/>
      <w:divBdr>
        <w:top w:val="none" w:sz="0" w:space="0" w:color="auto"/>
        <w:left w:val="none" w:sz="0" w:space="0" w:color="auto"/>
        <w:bottom w:val="none" w:sz="0" w:space="0" w:color="auto"/>
        <w:right w:val="none" w:sz="0" w:space="0" w:color="auto"/>
      </w:divBdr>
    </w:div>
    <w:div w:id="1969701575">
      <w:bodyDiv w:val="1"/>
      <w:marLeft w:val="0"/>
      <w:marRight w:val="0"/>
      <w:marTop w:val="0"/>
      <w:marBottom w:val="0"/>
      <w:divBdr>
        <w:top w:val="none" w:sz="0" w:space="0" w:color="auto"/>
        <w:left w:val="none" w:sz="0" w:space="0" w:color="auto"/>
        <w:bottom w:val="none" w:sz="0" w:space="0" w:color="auto"/>
        <w:right w:val="none" w:sz="0" w:space="0" w:color="auto"/>
      </w:divBdr>
    </w:div>
    <w:div w:id="1976637698">
      <w:bodyDiv w:val="1"/>
      <w:marLeft w:val="0"/>
      <w:marRight w:val="0"/>
      <w:marTop w:val="0"/>
      <w:marBottom w:val="0"/>
      <w:divBdr>
        <w:top w:val="none" w:sz="0" w:space="0" w:color="auto"/>
        <w:left w:val="none" w:sz="0" w:space="0" w:color="auto"/>
        <w:bottom w:val="none" w:sz="0" w:space="0" w:color="auto"/>
        <w:right w:val="none" w:sz="0" w:space="0" w:color="auto"/>
      </w:divBdr>
    </w:div>
    <w:div w:id="1985112832">
      <w:bodyDiv w:val="1"/>
      <w:marLeft w:val="0"/>
      <w:marRight w:val="0"/>
      <w:marTop w:val="0"/>
      <w:marBottom w:val="0"/>
      <w:divBdr>
        <w:top w:val="none" w:sz="0" w:space="0" w:color="auto"/>
        <w:left w:val="none" w:sz="0" w:space="0" w:color="auto"/>
        <w:bottom w:val="none" w:sz="0" w:space="0" w:color="auto"/>
        <w:right w:val="none" w:sz="0" w:space="0" w:color="auto"/>
      </w:divBdr>
    </w:div>
    <w:div w:id="1985574118">
      <w:bodyDiv w:val="1"/>
      <w:marLeft w:val="0"/>
      <w:marRight w:val="0"/>
      <w:marTop w:val="0"/>
      <w:marBottom w:val="0"/>
      <w:divBdr>
        <w:top w:val="none" w:sz="0" w:space="0" w:color="auto"/>
        <w:left w:val="none" w:sz="0" w:space="0" w:color="auto"/>
        <w:bottom w:val="none" w:sz="0" w:space="0" w:color="auto"/>
        <w:right w:val="none" w:sz="0" w:space="0" w:color="auto"/>
      </w:divBdr>
    </w:div>
    <w:div w:id="1987657626">
      <w:bodyDiv w:val="1"/>
      <w:marLeft w:val="0"/>
      <w:marRight w:val="0"/>
      <w:marTop w:val="0"/>
      <w:marBottom w:val="0"/>
      <w:divBdr>
        <w:top w:val="none" w:sz="0" w:space="0" w:color="auto"/>
        <w:left w:val="none" w:sz="0" w:space="0" w:color="auto"/>
        <w:bottom w:val="none" w:sz="0" w:space="0" w:color="auto"/>
        <w:right w:val="none" w:sz="0" w:space="0" w:color="auto"/>
      </w:divBdr>
    </w:div>
    <w:div w:id="1991591572">
      <w:bodyDiv w:val="1"/>
      <w:marLeft w:val="0"/>
      <w:marRight w:val="0"/>
      <w:marTop w:val="0"/>
      <w:marBottom w:val="0"/>
      <w:divBdr>
        <w:top w:val="none" w:sz="0" w:space="0" w:color="auto"/>
        <w:left w:val="none" w:sz="0" w:space="0" w:color="auto"/>
        <w:bottom w:val="none" w:sz="0" w:space="0" w:color="auto"/>
        <w:right w:val="none" w:sz="0" w:space="0" w:color="auto"/>
      </w:divBdr>
    </w:div>
    <w:div w:id="1993172314">
      <w:bodyDiv w:val="1"/>
      <w:marLeft w:val="0"/>
      <w:marRight w:val="0"/>
      <w:marTop w:val="0"/>
      <w:marBottom w:val="0"/>
      <w:divBdr>
        <w:top w:val="none" w:sz="0" w:space="0" w:color="auto"/>
        <w:left w:val="none" w:sz="0" w:space="0" w:color="auto"/>
        <w:bottom w:val="none" w:sz="0" w:space="0" w:color="auto"/>
        <w:right w:val="none" w:sz="0" w:space="0" w:color="auto"/>
      </w:divBdr>
    </w:div>
    <w:div w:id="1997144478">
      <w:bodyDiv w:val="1"/>
      <w:marLeft w:val="0"/>
      <w:marRight w:val="0"/>
      <w:marTop w:val="0"/>
      <w:marBottom w:val="0"/>
      <w:divBdr>
        <w:top w:val="none" w:sz="0" w:space="0" w:color="auto"/>
        <w:left w:val="none" w:sz="0" w:space="0" w:color="auto"/>
        <w:bottom w:val="none" w:sz="0" w:space="0" w:color="auto"/>
        <w:right w:val="none" w:sz="0" w:space="0" w:color="auto"/>
      </w:divBdr>
    </w:div>
    <w:div w:id="2001345781">
      <w:bodyDiv w:val="1"/>
      <w:marLeft w:val="0"/>
      <w:marRight w:val="0"/>
      <w:marTop w:val="0"/>
      <w:marBottom w:val="0"/>
      <w:divBdr>
        <w:top w:val="none" w:sz="0" w:space="0" w:color="auto"/>
        <w:left w:val="none" w:sz="0" w:space="0" w:color="auto"/>
        <w:bottom w:val="none" w:sz="0" w:space="0" w:color="auto"/>
        <w:right w:val="none" w:sz="0" w:space="0" w:color="auto"/>
      </w:divBdr>
    </w:div>
    <w:div w:id="2005546249">
      <w:bodyDiv w:val="1"/>
      <w:marLeft w:val="0"/>
      <w:marRight w:val="0"/>
      <w:marTop w:val="0"/>
      <w:marBottom w:val="0"/>
      <w:divBdr>
        <w:top w:val="none" w:sz="0" w:space="0" w:color="auto"/>
        <w:left w:val="none" w:sz="0" w:space="0" w:color="auto"/>
        <w:bottom w:val="none" w:sz="0" w:space="0" w:color="auto"/>
        <w:right w:val="none" w:sz="0" w:space="0" w:color="auto"/>
      </w:divBdr>
    </w:div>
    <w:div w:id="2013989309">
      <w:bodyDiv w:val="1"/>
      <w:marLeft w:val="0"/>
      <w:marRight w:val="0"/>
      <w:marTop w:val="0"/>
      <w:marBottom w:val="0"/>
      <w:divBdr>
        <w:top w:val="none" w:sz="0" w:space="0" w:color="auto"/>
        <w:left w:val="none" w:sz="0" w:space="0" w:color="auto"/>
        <w:bottom w:val="none" w:sz="0" w:space="0" w:color="auto"/>
        <w:right w:val="none" w:sz="0" w:space="0" w:color="auto"/>
      </w:divBdr>
    </w:div>
    <w:div w:id="2024241109">
      <w:bodyDiv w:val="1"/>
      <w:marLeft w:val="0"/>
      <w:marRight w:val="0"/>
      <w:marTop w:val="0"/>
      <w:marBottom w:val="0"/>
      <w:divBdr>
        <w:top w:val="none" w:sz="0" w:space="0" w:color="auto"/>
        <w:left w:val="none" w:sz="0" w:space="0" w:color="auto"/>
        <w:bottom w:val="none" w:sz="0" w:space="0" w:color="auto"/>
        <w:right w:val="none" w:sz="0" w:space="0" w:color="auto"/>
      </w:divBdr>
    </w:div>
    <w:div w:id="2024741662">
      <w:bodyDiv w:val="1"/>
      <w:marLeft w:val="0"/>
      <w:marRight w:val="0"/>
      <w:marTop w:val="0"/>
      <w:marBottom w:val="0"/>
      <w:divBdr>
        <w:top w:val="none" w:sz="0" w:space="0" w:color="auto"/>
        <w:left w:val="none" w:sz="0" w:space="0" w:color="auto"/>
        <w:bottom w:val="none" w:sz="0" w:space="0" w:color="auto"/>
        <w:right w:val="none" w:sz="0" w:space="0" w:color="auto"/>
      </w:divBdr>
    </w:div>
    <w:div w:id="2027173635">
      <w:bodyDiv w:val="1"/>
      <w:marLeft w:val="0"/>
      <w:marRight w:val="0"/>
      <w:marTop w:val="0"/>
      <w:marBottom w:val="0"/>
      <w:divBdr>
        <w:top w:val="none" w:sz="0" w:space="0" w:color="auto"/>
        <w:left w:val="none" w:sz="0" w:space="0" w:color="auto"/>
        <w:bottom w:val="none" w:sz="0" w:space="0" w:color="auto"/>
        <w:right w:val="none" w:sz="0" w:space="0" w:color="auto"/>
      </w:divBdr>
    </w:div>
    <w:div w:id="2028940196">
      <w:bodyDiv w:val="1"/>
      <w:marLeft w:val="0"/>
      <w:marRight w:val="0"/>
      <w:marTop w:val="0"/>
      <w:marBottom w:val="0"/>
      <w:divBdr>
        <w:top w:val="none" w:sz="0" w:space="0" w:color="auto"/>
        <w:left w:val="none" w:sz="0" w:space="0" w:color="auto"/>
        <w:bottom w:val="none" w:sz="0" w:space="0" w:color="auto"/>
        <w:right w:val="none" w:sz="0" w:space="0" w:color="auto"/>
      </w:divBdr>
    </w:div>
    <w:div w:id="2029404854">
      <w:bodyDiv w:val="1"/>
      <w:marLeft w:val="0"/>
      <w:marRight w:val="0"/>
      <w:marTop w:val="0"/>
      <w:marBottom w:val="0"/>
      <w:divBdr>
        <w:top w:val="none" w:sz="0" w:space="0" w:color="auto"/>
        <w:left w:val="none" w:sz="0" w:space="0" w:color="auto"/>
        <w:bottom w:val="none" w:sz="0" w:space="0" w:color="auto"/>
        <w:right w:val="none" w:sz="0" w:space="0" w:color="auto"/>
      </w:divBdr>
    </w:div>
    <w:div w:id="2034989987">
      <w:bodyDiv w:val="1"/>
      <w:marLeft w:val="0"/>
      <w:marRight w:val="0"/>
      <w:marTop w:val="0"/>
      <w:marBottom w:val="0"/>
      <w:divBdr>
        <w:top w:val="none" w:sz="0" w:space="0" w:color="auto"/>
        <w:left w:val="none" w:sz="0" w:space="0" w:color="auto"/>
        <w:bottom w:val="none" w:sz="0" w:space="0" w:color="auto"/>
        <w:right w:val="none" w:sz="0" w:space="0" w:color="auto"/>
      </w:divBdr>
    </w:div>
    <w:div w:id="2035841593">
      <w:bodyDiv w:val="1"/>
      <w:marLeft w:val="0"/>
      <w:marRight w:val="0"/>
      <w:marTop w:val="0"/>
      <w:marBottom w:val="0"/>
      <w:divBdr>
        <w:top w:val="none" w:sz="0" w:space="0" w:color="auto"/>
        <w:left w:val="none" w:sz="0" w:space="0" w:color="auto"/>
        <w:bottom w:val="none" w:sz="0" w:space="0" w:color="auto"/>
        <w:right w:val="none" w:sz="0" w:space="0" w:color="auto"/>
      </w:divBdr>
    </w:div>
    <w:div w:id="2041006608">
      <w:bodyDiv w:val="1"/>
      <w:marLeft w:val="0"/>
      <w:marRight w:val="0"/>
      <w:marTop w:val="0"/>
      <w:marBottom w:val="0"/>
      <w:divBdr>
        <w:top w:val="none" w:sz="0" w:space="0" w:color="auto"/>
        <w:left w:val="none" w:sz="0" w:space="0" w:color="auto"/>
        <w:bottom w:val="none" w:sz="0" w:space="0" w:color="auto"/>
        <w:right w:val="none" w:sz="0" w:space="0" w:color="auto"/>
      </w:divBdr>
    </w:div>
    <w:div w:id="2041543561">
      <w:bodyDiv w:val="1"/>
      <w:marLeft w:val="0"/>
      <w:marRight w:val="0"/>
      <w:marTop w:val="0"/>
      <w:marBottom w:val="0"/>
      <w:divBdr>
        <w:top w:val="none" w:sz="0" w:space="0" w:color="auto"/>
        <w:left w:val="none" w:sz="0" w:space="0" w:color="auto"/>
        <w:bottom w:val="none" w:sz="0" w:space="0" w:color="auto"/>
        <w:right w:val="none" w:sz="0" w:space="0" w:color="auto"/>
      </w:divBdr>
    </w:div>
    <w:div w:id="2042394149">
      <w:bodyDiv w:val="1"/>
      <w:marLeft w:val="0"/>
      <w:marRight w:val="0"/>
      <w:marTop w:val="0"/>
      <w:marBottom w:val="0"/>
      <w:divBdr>
        <w:top w:val="none" w:sz="0" w:space="0" w:color="auto"/>
        <w:left w:val="none" w:sz="0" w:space="0" w:color="auto"/>
        <w:bottom w:val="none" w:sz="0" w:space="0" w:color="auto"/>
        <w:right w:val="none" w:sz="0" w:space="0" w:color="auto"/>
      </w:divBdr>
    </w:div>
    <w:div w:id="2042974224">
      <w:bodyDiv w:val="1"/>
      <w:marLeft w:val="0"/>
      <w:marRight w:val="0"/>
      <w:marTop w:val="0"/>
      <w:marBottom w:val="0"/>
      <w:divBdr>
        <w:top w:val="none" w:sz="0" w:space="0" w:color="auto"/>
        <w:left w:val="none" w:sz="0" w:space="0" w:color="auto"/>
        <w:bottom w:val="none" w:sz="0" w:space="0" w:color="auto"/>
        <w:right w:val="none" w:sz="0" w:space="0" w:color="auto"/>
      </w:divBdr>
    </w:div>
    <w:div w:id="2043701808">
      <w:bodyDiv w:val="1"/>
      <w:marLeft w:val="0"/>
      <w:marRight w:val="0"/>
      <w:marTop w:val="0"/>
      <w:marBottom w:val="0"/>
      <w:divBdr>
        <w:top w:val="none" w:sz="0" w:space="0" w:color="auto"/>
        <w:left w:val="none" w:sz="0" w:space="0" w:color="auto"/>
        <w:bottom w:val="none" w:sz="0" w:space="0" w:color="auto"/>
        <w:right w:val="none" w:sz="0" w:space="0" w:color="auto"/>
      </w:divBdr>
    </w:div>
    <w:div w:id="2049136768">
      <w:bodyDiv w:val="1"/>
      <w:marLeft w:val="0"/>
      <w:marRight w:val="0"/>
      <w:marTop w:val="0"/>
      <w:marBottom w:val="0"/>
      <w:divBdr>
        <w:top w:val="none" w:sz="0" w:space="0" w:color="auto"/>
        <w:left w:val="none" w:sz="0" w:space="0" w:color="auto"/>
        <w:bottom w:val="none" w:sz="0" w:space="0" w:color="auto"/>
        <w:right w:val="none" w:sz="0" w:space="0" w:color="auto"/>
      </w:divBdr>
    </w:div>
    <w:div w:id="2059091191">
      <w:bodyDiv w:val="1"/>
      <w:marLeft w:val="0"/>
      <w:marRight w:val="0"/>
      <w:marTop w:val="0"/>
      <w:marBottom w:val="0"/>
      <w:divBdr>
        <w:top w:val="none" w:sz="0" w:space="0" w:color="auto"/>
        <w:left w:val="none" w:sz="0" w:space="0" w:color="auto"/>
        <w:bottom w:val="none" w:sz="0" w:space="0" w:color="auto"/>
        <w:right w:val="none" w:sz="0" w:space="0" w:color="auto"/>
      </w:divBdr>
    </w:div>
    <w:div w:id="2062247596">
      <w:bodyDiv w:val="1"/>
      <w:marLeft w:val="0"/>
      <w:marRight w:val="0"/>
      <w:marTop w:val="0"/>
      <w:marBottom w:val="0"/>
      <w:divBdr>
        <w:top w:val="none" w:sz="0" w:space="0" w:color="auto"/>
        <w:left w:val="none" w:sz="0" w:space="0" w:color="auto"/>
        <w:bottom w:val="none" w:sz="0" w:space="0" w:color="auto"/>
        <w:right w:val="none" w:sz="0" w:space="0" w:color="auto"/>
      </w:divBdr>
    </w:div>
    <w:div w:id="2062633658">
      <w:bodyDiv w:val="1"/>
      <w:marLeft w:val="0"/>
      <w:marRight w:val="0"/>
      <w:marTop w:val="0"/>
      <w:marBottom w:val="0"/>
      <w:divBdr>
        <w:top w:val="none" w:sz="0" w:space="0" w:color="auto"/>
        <w:left w:val="none" w:sz="0" w:space="0" w:color="auto"/>
        <w:bottom w:val="none" w:sz="0" w:space="0" w:color="auto"/>
        <w:right w:val="none" w:sz="0" w:space="0" w:color="auto"/>
      </w:divBdr>
    </w:div>
    <w:div w:id="2063478608">
      <w:bodyDiv w:val="1"/>
      <w:marLeft w:val="0"/>
      <w:marRight w:val="0"/>
      <w:marTop w:val="0"/>
      <w:marBottom w:val="0"/>
      <w:divBdr>
        <w:top w:val="none" w:sz="0" w:space="0" w:color="auto"/>
        <w:left w:val="none" w:sz="0" w:space="0" w:color="auto"/>
        <w:bottom w:val="none" w:sz="0" w:space="0" w:color="auto"/>
        <w:right w:val="none" w:sz="0" w:space="0" w:color="auto"/>
      </w:divBdr>
    </w:div>
    <w:div w:id="2064257247">
      <w:bodyDiv w:val="1"/>
      <w:marLeft w:val="0"/>
      <w:marRight w:val="0"/>
      <w:marTop w:val="0"/>
      <w:marBottom w:val="0"/>
      <w:divBdr>
        <w:top w:val="none" w:sz="0" w:space="0" w:color="auto"/>
        <w:left w:val="none" w:sz="0" w:space="0" w:color="auto"/>
        <w:bottom w:val="none" w:sz="0" w:space="0" w:color="auto"/>
        <w:right w:val="none" w:sz="0" w:space="0" w:color="auto"/>
      </w:divBdr>
    </w:div>
    <w:div w:id="2068993762">
      <w:bodyDiv w:val="1"/>
      <w:marLeft w:val="0"/>
      <w:marRight w:val="0"/>
      <w:marTop w:val="0"/>
      <w:marBottom w:val="0"/>
      <w:divBdr>
        <w:top w:val="none" w:sz="0" w:space="0" w:color="auto"/>
        <w:left w:val="none" w:sz="0" w:space="0" w:color="auto"/>
        <w:bottom w:val="none" w:sz="0" w:space="0" w:color="auto"/>
        <w:right w:val="none" w:sz="0" w:space="0" w:color="auto"/>
      </w:divBdr>
    </w:div>
    <w:div w:id="2071607369">
      <w:bodyDiv w:val="1"/>
      <w:marLeft w:val="0"/>
      <w:marRight w:val="0"/>
      <w:marTop w:val="0"/>
      <w:marBottom w:val="0"/>
      <w:divBdr>
        <w:top w:val="none" w:sz="0" w:space="0" w:color="auto"/>
        <w:left w:val="none" w:sz="0" w:space="0" w:color="auto"/>
        <w:bottom w:val="none" w:sz="0" w:space="0" w:color="auto"/>
        <w:right w:val="none" w:sz="0" w:space="0" w:color="auto"/>
      </w:divBdr>
    </w:div>
    <w:div w:id="2072803437">
      <w:bodyDiv w:val="1"/>
      <w:marLeft w:val="0"/>
      <w:marRight w:val="0"/>
      <w:marTop w:val="0"/>
      <w:marBottom w:val="0"/>
      <w:divBdr>
        <w:top w:val="none" w:sz="0" w:space="0" w:color="auto"/>
        <w:left w:val="none" w:sz="0" w:space="0" w:color="auto"/>
        <w:bottom w:val="none" w:sz="0" w:space="0" w:color="auto"/>
        <w:right w:val="none" w:sz="0" w:space="0" w:color="auto"/>
      </w:divBdr>
    </w:div>
    <w:div w:id="2073851041">
      <w:bodyDiv w:val="1"/>
      <w:marLeft w:val="0"/>
      <w:marRight w:val="0"/>
      <w:marTop w:val="0"/>
      <w:marBottom w:val="0"/>
      <w:divBdr>
        <w:top w:val="none" w:sz="0" w:space="0" w:color="auto"/>
        <w:left w:val="none" w:sz="0" w:space="0" w:color="auto"/>
        <w:bottom w:val="none" w:sz="0" w:space="0" w:color="auto"/>
        <w:right w:val="none" w:sz="0" w:space="0" w:color="auto"/>
      </w:divBdr>
    </w:div>
    <w:div w:id="2077237697">
      <w:bodyDiv w:val="1"/>
      <w:marLeft w:val="0"/>
      <w:marRight w:val="0"/>
      <w:marTop w:val="0"/>
      <w:marBottom w:val="0"/>
      <w:divBdr>
        <w:top w:val="none" w:sz="0" w:space="0" w:color="auto"/>
        <w:left w:val="none" w:sz="0" w:space="0" w:color="auto"/>
        <w:bottom w:val="none" w:sz="0" w:space="0" w:color="auto"/>
        <w:right w:val="none" w:sz="0" w:space="0" w:color="auto"/>
      </w:divBdr>
    </w:div>
    <w:div w:id="2083209067">
      <w:bodyDiv w:val="1"/>
      <w:marLeft w:val="0"/>
      <w:marRight w:val="0"/>
      <w:marTop w:val="0"/>
      <w:marBottom w:val="0"/>
      <w:divBdr>
        <w:top w:val="none" w:sz="0" w:space="0" w:color="auto"/>
        <w:left w:val="none" w:sz="0" w:space="0" w:color="auto"/>
        <w:bottom w:val="none" w:sz="0" w:space="0" w:color="auto"/>
        <w:right w:val="none" w:sz="0" w:space="0" w:color="auto"/>
      </w:divBdr>
    </w:div>
    <w:div w:id="2086491875">
      <w:bodyDiv w:val="1"/>
      <w:marLeft w:val="0"/>
      <w:marRight w:val="0"/>
      <w:marTop w:val="0"/>
      <w:marBottom w:val="0"/>
      <w:divBdr>
        <w:top w:val="none" w:sz="0" w:space="0" w:color="auto"/>
        <w:left w:val="none" w:sz="0" w:space="0" w:color="auto"/>
        <w:bottom w:val="none" w:sz="0" w:space="0" w:color="auto"/>
        <w:right w:val="none" w:sz="0" w:space="0" w:color="auto"/>
      </w:divBdr>
    </w:div>
    <w:div w:id="2086998566">
      <w:bodyDiv w:val="1"/>
      <w:marLeft w:val="0"/>
      <w:marRight w:val="0"/>
      <w:marTop w:val="0"/>
      <w:marBottom w:val="0"/>
      <w:divBdr>
        <w:top w:val="none" w:sz="0" w:space="0" w:color="auto"/>
        <w:left w:val="none" w:sz="0" w:space="0" w:color="auto"/>
        <w:bottom w:val="none" w:sz="0" w:space="0" w:color="auto"/>
        <w:right w:val="none" w:sz="0" w:space="0" w:color="auto"/>
      </w:divBdr>
    </w:div>
    <w:div w:id="2090148534">
      <w:bodyDiv w:val="1"/>
      <w:marLeft w:val="0"/>
      <w:marRight w:val="0"/>
      <w:marTop w:val="0"/>
      <w:marBottom w:val="0"/>
      <w:divBdr>
        <w:top w:val="none" w:sz="0" w:space="0" w:color="auto"/>
        <w:left w:val="none" w:sz="0" w:space="0" w:color="auto"/>
        <w:bottom w:val="none" w:sz="0" w:space="0" w:color="auto"/>
        <w:right w:val="none" w:sz="0" w:space="0" w:color="auto"/>
      </w:divBdr>
    </w:div>
    <w:div w:id="2091657894">
      <w:bodyDiv w:val="1"/>
      <w:marLeft w:val="0"/>
      <w:marRight w:val="0"/>
      <w:marTop w:val="0"/>
      <w:marBottom w:val="0"/>
      <w:divBdr>
        <w:top w:val="none" w:sz="0" w:space="0" w:color="auto"/>
        <w:left w:val="none" w:sz="0" w:space="0" w:color="auto"/>
        <w:bottom w:val="none" w:sz="0" w:space="0" w:color="auto"/>
        <w:right w:val="none" w:sz="0" w:space="0" w:color="auto"/>
      </w:divBdr>
    </w:div>
    <w:div w:id="2094280796">
      <w:bodyDiv w:val="1"/>
      <w:marLeft w:val="0"/>
      <w:marRight w:val="0"/>
      <w:marTop w:val="0"/>
      <w:marBottom w:val="0"/>
      <w:divBdr>
        <w:top w:val="none" w:sz="0" w:space="0" w:color="auto"/>
        <w:left w:val="none" w:sz="0" w:space="0" w:color="auto"/>
        <w:bottom w:val="none" w:sz="0" w:space="0" w:color="auto"/>
        <w:right w:val="none" w:sz="0" w:space="0" w:color="auto"/>
      </w:divBdr>
    </w:div>
    <w:div w:id="2096900200">
      <w:bodyDiv w:val="1"/>
      <w:marLeft w:val="0"/>
      <w:marRight w:val="0"/>
      <w:marTop w:val="0"/>
      <w:marBottom w:val="0"/>
      <w:divBdr>
        <w:top w:val="none" w:sz="0" w:space="0" w:color="auto"/>
        <w:left w:val="none" w:sz="0" w:space="0" w:color="auto"/>
        <w:bottom w:val="none" w:sz="0" w:space="0" w:color="auto"/>
        <w:right w:val="none" w:sz="0" w:space="0" w:color="auto"/>
      </w:divBdr>
    </w:div>
    <w:div w:id="2098558292">
      <w:bodyDiv w:val="1"/>
      <w:marLeft w:val="0"/>
      <w:marRight w:val="0"/>
      <w:marTop w:val="0"/>
      <w:marBottom w:val="0"/>
      <w:divBdr>
        <w:top w:val="none" w:sz="0" w:space="0" w:color="auto"/>
        <w:left w:val="none" w:sz="0" w:space="0" w:color="auto"/>
        <w:bottom w:val="none" w:sz="0" w:space="0" w:color="auto"/>
        <w:right w:val="none" w:sz="0" w:space="0" w:color="auto"/>
      </w:divBdr>
    </w:div>
    <w:div w:id="2099935390">
      <w:bodyDiv w:val="1"/>
      <w:marLeft w:val="0"/>
      <w:marRight w:val="0"/>
      <w:marTop w:val="0"/>
      <w:marBottom w:val="0"/>
      <w:divBdr>
        <w:top w:val="none" w:sz="0" w:space="0" w:color="auto"/>
        <w:left w:val="none" w:sz="0" w:space="0" w:color="auto"/>
        <w:bottom w:val="none" w:sz="0" w:space="0" w:color="auto"/>
        <w:right w:val="none" w:sz="0" w:space="0" w:color="auto"/>
      </w:divBdr>
    </w:div>
    <w:div w:id="2100562365">
      <w:bodyDiv w:val="1"/>
      <w:marLeft w:val="0"/>
      <w:marRight w:val="0"/>
      <w:marTop w:val="0"/>
      <w:marBottom w:val="0"/>
      <w:divBdr>
        <w:top w:val="none" w:sz="0" w:space="0" w:color="auto"/>
        <w:left w:val="none" w:sz="0" w:space="0" w:color="auto"/>
        <w:bottom w:val="none" w:sz="0" w:space="0" w:color="auto"/>
        <w:right w:val="none" w:sz="0" w:space="0" w:color="auto"/>
      </w:divBdr>
    </w:div>
    <w:div w:id="2101485203">
      <w:bodyDiv w:val="1"/>
      <w:marLeft w:val="0"/>
      <w:marRight w:val="0"/>
      <w:marTop w:val="0"/>
      <w:marBottom w:val="0"/>
      <w:divBdr>
        <w:top w:val="none" w:sz="0" w:space="0" w:color="auto"/>
        <w:left w:val="none" w:sz="0" w:space="0" w:color="auto"/>
        <w:bottom w:val="none" w:sz="0" w:space="0" w:color="auto"/>
        <w:right w:val="none" w:sz="0" w:space="0" w:color="auto"/>
      </w:divBdr>
    </w:div>
    <w:div w:id="2102532125">
      <w:bodyDiv w:val="1"/>
      <w:marLeft w:val="0"/>
      <w:marRight w:val="0"/>
      <w:marTop w:val="0"/>
      <w:marBottom w:val="0"/>
      <w:divBdr>
        <w:top w:val="none" w:sz="0" w:space="0" w:color="auto"/>
        <w:left w:val="none" w:sz="0" w:space="0" w:color="auto"/>
        <w:bottom w:val="none" w:sz="0" w:space="0" w:color="auto"/>
        <w:right w:val="none" w:sz="0" w:space="0" w:color="auto"/>
      </w:divBdr>
    </w:div>
    <w:div w:id="2104645646">
      <w:bodyDiv w:val="1"/>
      <w:marLeft w:val="0"/>
      <w:marRight w:val="0"/>
      <w:marTop w:val="0"/>
      <w:marBottom w:val="0"/>
      <w:divBdr>
        <w:top w:val="none" w:sz="0" w:space="0" w:color="auto"/>
        <w:left w:val="none" w:sz="0" w:space="0" w:color="auto"/>
        <w:bottom w:val="none" w:sz="0" w:space="0" w:color="auto"/>
        <w:right w:val="none" w:sz="0" w:space="0" w:color="auto"/>
      </w:divBdr>
    </w:div>
    <w:div w:id="2105375596">
      <w:bodyDiv w:val="1"/>
      <w:marLeft w:val="0"/>
      <w:marRight w:val="0"/>
      <w:marTop w:val="0"/>
      <w:marBottom w:val="0"/>
      <w:divBdr>
        <w:top w:val="none" w:sz="0" w:space="0" w:color="auto"/>
        <w:left w:val="none" w:sz="0" w:space="0" w:color="auto"/>
        <w:bottom w:val="none" w:sz="0" w:space="0" w:color="auto"/>
        <w:right w:val="none" w:sz="0" w:space="0" w:color="auto"/>
      </w:divBdr>
    </w:div>
    <w:div w:id="2106800178">
      <w:bodyDiv w:val="1"/>
      <w:marLeft w:val="0"/>
      <w:marRight w:val="0"/>
      <w:marTop w:val="0"/>
      <w:marBottom w:val="0"/>
      <w:divBdr>
        <w:top w:val="none" w:sz="0" w:space="0" w:color="auto"/>
        <w:left w:val="none" w:sz="0" w:space="0" w:color="auto"/>
        <w:bottom w:val="none" w:sz="0" w:space="0" w:color="auto"/>
        <w:right w:val="none" w:sz="0" w:space="0" w:color="auto"/>
      </w:divBdr>
    </w:div>
    <w:div w:id="2109151199">
      <w:bodyDiv w:val="1"/>
      <w:marLeft w:val="0"/>
      <w:marRight w:val="0"/>
      <w:marTop w:val="0"/>
      <w:marBottom w:val="0"/>
      <w:divBdr>
        <w:top w:val="none" w:sz="0" w:space="0" w:color="auto"/>
        <w:left w:val="none" w:sz="0" w:space="0" w:color="auto"/>
        <w:bottom w:val="none" w:sz="0" w:space="0" w:color="auto"/>
        <w:right w:val="none" w:sz="0" w:space="0" w:color="auto"/>
      </w:divBdr>
    </w:div>
    <w:div w:id="2109306966">
      <w:bodyDiv w:val="1"/>
      <w:marLeft w:val="0"/>
      <w:marRight w:val="0"/>
      <w:marTop w:val="0"/>
      <w:marBottom w:val="0"/>
      <w:divBdr>
        <w:top w:val="none" w:sz="0" w:space="0" w:color="auto"/>
        <w:left w:val="none" w:sz="0" w:space="0" w:color="auto"/>
        <w:bottom w:val="none" w:sz="0" w:space="0" w:color="auto"/>
        <w:right w:val="none" w:sz="0" w:space="0" w:color="auto"/>
      </w:divBdr>
    </w:div>
    <w:div w:id="2111392327">
      <w:bodyDiv w:val="1"/>
      <w:marLeft w:val="0"/>
      <w:marRight w:val="0"/>
      <w:marTop w:val="0"/>
      <w:marBottom w:val="0"/>
      <w:divBdr>
        <w:top w:val="none" w:sz="0" w:space="0" w:color="auto"/>
        <w:left w:val="none" w:sz="0" w:space="0" w:color="auto"/>
        <w:bottom w:val="none" w:sz="0" w:space="0" w:color="auto"/>
        <w:right w:val="none" w:sz="0" w:space="0" w:color="auto"/>
      </w:divBdr>
    </w:div>
    <w:div w:id="2121794195">
      <w:bodyDiv w:val="1"/>
      <w:marLeft w:val="0"/>
      <w:marRight w:val="0"/>
      <w:marTop w:val="0"/>
      <w:marBottom w:val="0"/>
      <w:divBdr>
        <w:top w:val="none" w:sz="0" w:space="0" w:color="auto"/>
        <w:left w:val="none" w:sz="0" w:space="0" w:color="auto"/>
        <w:bottom w:val="none" w:sz="0" w:space="0" w:color="auto"/>
        <w:right w:val="none" w:sz="0" w:space="0" w:color="auto"/>
      </w:divBdr>
    </w:div>
    <w:div w:id="2121870171">
      <w:bodyDiv w:val="1"/>
      <w:marLeft w:val="0"/>
      <w:marRight w:val="0"/>
      <w:marTop w:val="0"/>
      <w:marBottom w:val="0"/>
      <w:divBdr>
        <w:top w:val="none" w:sz="0" w:space="0" w:color="auto"/>
        <w:left w:val="none" w:sz="0" w:space="0" w:color="auto"/>
        <w:bottom w:val="none" w:sz="0" w:space="0" w:color="auto"/>
        <w:right w:val="none" w:sz="0" w:space="0" w:color="auto"/>
      </w:divBdr>
    </w:div>
    <w:div w:id="2125029288">
      <w:bodyDiv w:val="1"/>
      <w:marLeft w:val="0"/>
      <w:marRight w:val="0"/>
      <w:marTop w:val="0"/>
      <w:marBottom w:val="0"/>
      <w:divBdr>
        <w:top w:val="none" w:sz="0" w:space="0" w:color="auto"/>
        <w:left w:val="none" w:sz="0" w:space="0" w:color="auto"/>
        <w:bottom w:val="none" w:sz="0" w:space="0" w:color="auto"/>
        <w:right w:val="none" w:sz="0" w:space="0" w:color="auto"/>
      </w:divBdr>
    </w:div>
    <w:div w:id="2126150983">
      <w:bodyDiv w:val="1"/>
      <w:marLeft w:val="0"/>
      <w:marRight w:val="0"/>
      <w:marTop w:val="0"/>
      <w:marBottom w:val="0"/>
      <w:divBdr>
        <w:top w:val="none" w:sz="0" w:space="0" w:color="auto"/>
        <w:left w:val="none" w:sz="0" w:space="0" w:color="auto"/>
        <w:bottom w:val="none" w:sz="0" w:space="0" w:color="auto"/>
        <w:right w:val="none" w:sz="0" w:space="0" w:color="auto"/>
      </w:divBdr>
    </w:div>
    <w:div w:id="2126346458">
      <w:bodyDiv w:val="1"/>
      <w:marLeft w:val="0"/>
      <w:marRight w:val="0"/>
      <w:marTop w:val="0"/>
      <w:marBottom w:val="0"/>
      <w:divBdr>
        <w:top w:val="none" w:sz="0" w:space="0" w:color="auto"/>
        <w:left w:val="none" w:sz="0" w:space="0" w:color="auto"/>
        <w:bottom w:val="none" w:sz="0" w:space="0" w:color="auto"/>
        <w:right w:val="none" w:sz="0" w:space="0" w:color="auto"/>
      </w:divBdr>
    </w:div>
    <w:div w:id="2127307114">
      <w:bodyDiv w:val="1"/>
      <w:marLeft w:val="0"/>
      <w:marRight w:val="0"/>
      <w:marTop w:val="0"/>
      <w:marBottom w:val="0"/>
      <w:divBdr>
        <w:top w:val="none" w:sz="0" w:space="0" w:color="auto"/>
        <w:left w:val="none" w:sz="0" w:space="0" w:color="auto"/>
        <w:bottom w:val="none" w:sz="0" w:space="0" w:color="auto"/>
        <w:right w:val="none" w:sz="0" w:space="0" w:color="auto"/>
      </w:divBdr>
    </w:div>
    <w:div w:id="2127430305">
      <w:bodyDiv w:val="1"/>
      <w:marLeft w:val="0"/>
      <w:marRight w:val="0"/>
      <w:marTop w:val="0"/>
      <w:marBottom w:val="0"/>
      <w:divBdr>
        <w:top w:val="none" w:sz="0" w:space="0" w:color="auto"/>
        <w:left w:val="none" w:sz="0" w:space="0" w:color="auto"/>
        <w:bottom w:val="none" w:sz="0" w:space="0" w:color="auto"/>
        <w:right w:val="none" w:sz="0" w:space="0" w:color="auto"/>
      </w:divBdr>
    </w:div>
    <w:div w:id="2127457832">
      <w:bodyDiv w:val="1"/>
      <w:marLeft w:val="0"/>
      <w:marRight w:val="0"/>
      <w:marTop w:val="0"/>
      <w:marBottom w:val="0"/>
      <w:divBdr>
        <w:top w:val="none" w:sz="0" w:space="0" w:color="auto"/>
        <w:left w:val="none" w:sz="0" w:space="0" w:color="auto"/>
        <w:bottom w:val="none" w:sz="0" w:space="0" w:color="auto"/>
        <w:right w:val="none" w:sz="0" w:space="0" w:color="auto"/>
      </w:divBdr>
    </w:div>
    <w:div w:id="2129547367">
      <w:bodyDiv w:val="1"/>
      <w:marLeft w:val="0"/>
      <w:marRight w:val="0"/>
      <w:marTop w:val="0"/>
      <w:marBottom w:val="0"/>
      <w:divBdr>
        <w:top w:val="none" w:sz="0" w:space="0" w:color="auto"/>
        <w:left w:val="none" w:sz="0" w:space="0" w:color="auto"/>
        <w:bottom w:val="none" w:sz="0" w:space="0" w:color="auto"/>
        <w:right w:val="none" w:sz="0" w:space="0" w:color="auto"/>
      </w:divBdr>
    </w:div>
    <w:div w:id="2136950158">
      <w:bodyDiv w:val="1"/>
      <w:marLeft w:val="0"/>
      <w:marRight w:val="0"/>
      <w:marTop w:val="0"/>
      <w:marBottom w:val="0"/>
      <w:divBdr>
        <w:top w:val="none" w:sz="0" w:space="0" w:color="auto"/>
        <w:left w:val="none" w:sz="0" w:space="0" w:color="auto"/>
        <w:bottom w:val="none" w:sz="0" w:space="0" w:color="auto"/>
        <w:right w:val="none" w:sz="0" w:space="0" w:color="auto"/>
      </w:divBdr>
    </w:div>
    <w:div w:id="2142111868">
      <w:bodyDiv w:val="1"/>
      <w:marLeft w:val="0"/>
      <w:marRight w:val="0"/>
      <w:marTop w:val="0"/>
      <w:marBottom w:val="0"/>
      <w:divBdr>
        <w:top w:val="none" w:sz="0" w:space="0" w:color="auto"/>
        <w:left w:val="none" w:sz="0" w:space="0" w:color="auto"/>
        <w:bottom w:val="none" w:sz="0" w:space="0" w:color="auto"/>
        <w:right w:val="none" w:sz="0" w:space="0" w:color="auto"/>
      </w:divBdr>
    </w:div>
    <w:div w:id="214403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Dan/Documents/SugarSync%20Shared%20Folders/Kyle%20O'Farrell/C-Clients/01%20Document%20templates/www.sru.net.au" TargetMode="External"/><Relationship Id="rId22" Type="http://schemas.openxmlformats.org/officeDocument/2006/relationships/diagramQuickStyle" Target="diagrams/quickStyle1.xml"/><Relationship Id="rId27" Type="http://schemas.openxmlformats.org/officeDocument/2006/relationships/header" Target="header6.xml"/><Relationship Id="rId30"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SRU%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F18ED0-2F73-4C3B-86EF-F0E9687B896E}"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AU"/>
        </a:p>
      </dgm:t>
    </dgm:pt>
    <dgm:pt modelId="{05FDA1C7-CE19-4C0A-AA39-D341706A3139}">
      <dgm:prSet phldrT="[Text]" custT="1"/>
      <dgm:spPr/>
      <dgm:t>
        <a:bodyPr/>
        <a:lstStyle/>
        <a:p>
          <a:r>
            <a:rPr lang="en-AU" sz="900"/>
            <a:t>1. Commencement meeting</a:t>
          </a:r>
        </a:p>
      </dgm:t>
    </dgm:pt>
    <dgm:pt modelId="{673C877F-804B-425B-9567-8DFDEF72DAEA}" type="parTrans" cxnId="{8EFE14BE-D010-4D93-AA64-918561726C2E}">
      <dgm:prSet/>
      <dgm:spPr/>
      <dgm:t>
        <a:bodyPr/>
        <a:lstStyle/>
        <a:p>
          <a:endParaRPr lang="en-AU"/>
        </a:p>
      </dgm:t>
    </dgm:pt>
    <dgm:pt modelId="{CA72977D-2D1C-4736-AA3E-4F1EC9B0A0F9}" type="sibTrans" cxnId="{8EFE14BE-D010-4D93-AA64-918561726C2E}">
      <dgm:prSet/>
      <dgm:spPr/>
      <dgm:t>
        <a:bodyPr/>
        <a:lstStyle/>
        <a:p>
          <a:endParaRPr lang="en-AU"/>
        </a:p>
      </dgm:t>
    </dgm:pt>
    <dgm:pt modelId="{F6660BD0-B2F5-4722-BBF3-DB374E16D1E3}">
      <dgm:prSet custT="1"/>
      <dgm:spPr/>
      <dgm:t>
        <a:bodyPr/>
        <a:lstStyle/>
        <a:p>
          <a:r>
            <a:rPr lang="en-AU" sz="900"/>
            <a:t>2. Project plan finalisation</a:t>
          </a:r>
        </a:p>
      </dgm:t>
    </dgm:pt>
    <dgm:pt modelId="{89B51CBE-03A3-4420-AC79-7125B3B0BFEE}" type="parTrans" cxnId="{852C4F19-7190-4C97-9C28-FABD9901E384}">
      <dgm:prSet/>
      <dgm:spPr/>
      <dgm:t>
        <a:bodyPr/>
        <a:lstStyle/>
        <a:p>
          <a:endParaRPr lang="en-AU"/>
        </a:p>
      </dgm:t>
    </dgm:pt>
    <dgm:pt modelId="{4291E969-ADDC-42BB-B4DF-D9DB4E801860}" type="sibTrans" cxnId="{852C4F19-7190-4C97-9C28-FABD9901E384}">
      <dgm:prSet/>
      <dgm:spPr/>
      <dgm:t>
        <a:bodyPr/>
        <a:lstStyle/>
        <a:p>
          <a:endParaRPr lang="en-AU"/>
        </a:p>
      </dgm:t>
    </dgm:pt>
    <dgm:pt modelId="{11C66253-3242-4FB0-8547-F391D0E85472}">
      <dgm:prSet custT="1"/>
      <dgm:spPr/>
      <dgm:t>
        <a:bodyPr/>
        <a:lstStyle/>
        <a:p>
          <a:r>
            <a:rPr lang="en-AU" sz="900"/>
            <a:t>3. Literature review and preliminary evaluation</a:t>
          </a:r>
        </a:p>
      </dgm:t>
    </dgm:pt>
    <dgm:pt modelId="{3BB732FD-546E-4466-8E71-EB55029F882A}" type="parTrans" cxnId="{00DF58B2-F74A-4694-B20A-D604A253777B}">
      <dgm:prSet/>
      <dgm:spPr/>
      <dgm:t>
        <a:bodyPr/>
        <a:lstStyle/>
        <a:p>
          <a:endParaRPr lang="en-AU"/>
        </a:p>
      </dgm:t>
    </dgm:pt>
    <dgm:pt modelId="{B382154D-D9C5-47DB-B5A2-B512A8A675A0}" type="sibTrans" cxnId="{00DF58B2-F74A-4694-B20A-D604A253777B}">
      <dgm:prSet/>
      <dgm:spPr/>
      <dgm:t>
        <a:bodyPr/>
        <a:lstStyle/>
        <a:p>
          <a:endParaRPr lang="en-AU"/>
        </a:p>
      </dgm:t>
    </dgm:pt>
    <dgm:pt modelId="{242C75EC-CF70-4D19-9FED-13C971145A25}">
      <dgm:prSet custT="1"/>
      <dgm:spPr/>
      <dgm:t>
        <a:bodyPr/>
        <a:lstStyle/>
        <a:p>
          <a:r>
            <a:rPr lang="en-AU" sz="900"/>
            <a:t>4. Reform proposal list finalisation</a:t>
          </a:r>
        </a:p>
      </dgm:t>
    </dgm:pt>
    <dgm:pt modelId="{280C548F-6E29-4394-AF78-439AC74B5E40}" type="parTrans" cxnId="{7E407603-7BE4-4F10-857E-115989444A95}">
      <dgm:prSet/>
      <dgm:spPr/>
      <dgm:t>
        <a:bodyPr/>
        <a:lstStyle/>
        <a:p>
          <a:endParaRPr lang="en-AU"/>
        </a:p>
      </dgm:t>
    </dgm:pt>
    <dgm:pt modelId="{60B322C1-B941-471F-95D4-8F4E6D580029}" type="sibTrans" cxnId="{7E407603-7BE4-4F10-857E-115989444A95}">
      <dgm:prSet/>
      <dgm:spPr/>
      <dgm:t>
        <a:bodyPr/>
        <a:lstStyle/>
        <a:p>
          <a:endParaRPr lang="en-AU"/>
        </a:p>
      </dgm:t>
    </dgm:pt>
    <dgm:pt modelId="{5DF3C2D1-F125-48D5-8148-2505BEECA9C9}">
      <dgm:prSet custT="1"/>
      <dgm:spPr/>
      <dgm:t>
        <a:bodyPr/>
        <a:lstStyle/>
        <a:p>
          <a:r>
            <a:rPr lang="en-AU" sz="900"/>
            <a:t>5. Feasibility assessment framework testing and refinement</a:t>
          </a:r>
        </a:p>
      </dgm:t>
    </dgm:pt>
    <dgm:pt modelId="{F86E3B3D-5B71-45F9-A0F7-68B028785B03}" type="parTrans" cxnId="{4E96F925-7DD0-4C75-ADE2-0DEFB800F57D}">
      <dgm:prSet/>
      <dgm:spPr/>
      <dgm:t>
        <a:bodyPr/>
        <a:lstStyle/>
        <a:p>
          <a:endParaRPr lang="en-AU"/>
        </a:p>
      </dgm:t>
    </dgm:pt>
    <dgm:pt modelId="{F62ECF65-E248-4C79-89D4-013BBB05A698}" type="sibTrans" cxnId="{4E96F925-7DD0-4C75-ADE2-0DEFB800F57D}">
      <dgm:prSet/>
      <dgm:spPr/>
      <dgm:t>
        <a:bodyPr/>
        <a:lstStyle/>
        <a:p>
          <a:endParaRPr lang="en-AU"/>
        </a:p>
      </dgm:t>
    </dgm:pt>
    <dgm:pt modelId="{18839F06-C92B-4CC1-94E8-AFA03E44F50B}">
      <dgm:prSet custT="1"/>
      <dgm:spPr/>
      <dgm:t>
        <a:bodyPr/>
        <a:lstStyle/>
        <a:p>
          <a:r>
            <a:rPr lang="en-AU" sz="900"/>
            <a:t>6. Stakeholder consultation on all reform proposals</a:t>
          </a:r>
        </a:p>
      </dgm:t>
    </dgm:pt>
    <dgm:pt modelId="{7A3F073A-D6D8-439D-A30D-88ADA67C0991}" type="parTrans" cxnId="{C9AC2C30-9203-4E04-A396-811BF0606083}">
      <dgm:prSet/>
      <dgm:spPr/>
      <dgm:t>
        <a:bodyPr/>
        <a:lstStyle/>
        <a:p>
          <a:endParaRPr lang="en-AU"/>
        </a:p>
      </dgm:t>
    </dgm:pt>
    <dgm:pt modelId="{F9A1DED1-549A-4A01-B096-AE32EC2F24B9}" type="sibTrans" cxnId="{C9AC2C30-9203-4E04-A396-811BF0606083}">
      <dgm:prSet/>
      <dgm:spPr/>
      <dgm:t>
        <a:bodyPr/>
        <a:lstStyle/>
        <a:p>
          <a:endParaRPr lang="en-AU"/>
        </a:p>
      </dgm:t>
    </dgm:pt>
    <dgm:pt modelId="{617CC331-9B40-4153-B134-4DAB5F6FE620}">
      <dgm:prSet custT="1"/>
      <dgm:spPr/>
      <dgm:t>
        <a:bodyPr/>
        <a:lstStyle/>
        <a:p>
          <a:r>
            <a:rPr lang="en-AU" sz="900"/>
            <a:t>7. Reform proposals analysis</a:t>
          </a:r>
        </a:p>
      </dgm:t>
    </dgm:pt>
    <dgm:pt modelId="{11A66412-E29A-47DB-9199-4AD16CB065FD}" type="parTrans" cxnId="{472FC758-8A17-4AA9-BE96-BF521F480EC8}">
      <dgm:prSet/>
      <dgm:spPr/>
      <dgm:t>
        <a:bodyPr/>
        <a:lstStyle/>
        <a:p>
          <a:endParaRPr lang="en-AU"/>
        </a:p>
      </dgm:t>
    </dgm:pt>
    <dgm:pt modelId="{DF1E39A9-D63B-4A9C-9448-E8C15F2B2428}" type="sibTrans" cxnId="{472FC758-8A17-4AA9-BE96-BF521F480EC8}">
      <dgm:prSet/>
      <dgm:spPr/>
      <dgm:t>
        <a:bodyPr/>
        <a:lstStyle/>
        <a:p>
          <a:endParaRPr lang="en-AU"/>
        </a:p>
      </dgm:t>
    </dgm:pt>
    <dgm:pt modelId="{E18D0F8A-27E6-4DD7-9C89-E39FFA214508}">
      <dgm:prSet custT="1"/>
      <dgm:spPr/>
      <dgm:t>
        <a:bodyPr/>
        <a:lstStyle/>
        <a:p>
          <a:r>
            <a:rPr lang="en-AU" sz="900"/>
            <a:t>8. Draft report</a:t>
          </a:r>
        </a:p>
      </dgm:t>
    </dgm:pt>
    <dgm:pt modelId="{50FF3747-FB5A-4677-94F2-0A89E5A8F319}" type="parTrans" cxnId="{2A6AD549-4BB0-497A-8F4F-431C6E42E363}">
      <dgm:prSet/>
      <dgm:spPr/>
      <dgm:t>
        <a:bodyPr/>
        <a:lstStyle/>
        <a:p>
          <a:endParaRPr lang="en-AU"/>
        </a:p>
      </dgm:t>
    </dgm:pt>
    <dgm:pt modelId="{4EE073EE-53D7-4B84-88C7-0942251C70A9}" type="sibTrans" cxnId="{2A6AD549-4BB0-497A-8F4F-431C6E42E363}">
      <dgm:prSet/>
      <dgm:spPr/>
      <dgm:t>
        <a:bodyPr/>
        <a:lstStyle/>
        <a:p>
          <a:endParaRPr lang="en-AU"/>
        </a:p>
      </dgm:t>
    </dgm:pt>
    <dgm:pt modelId="{D2F8BBA3-2C2D-44BD-AA8A-51420015C311}">
      <dgm:prSet custT="1"/>
      <dgm:spPr/>
      <dgm:t>
        <a:bodyPr/>
        <a:lstStyle/>
        <a:p>
          <a:r>
            <a:rPr lang="en-AU" sz="900"/>
            <a:t>9. Final report</a:t>
          </a:r>
        </a:p>
      </dgm:t>
    </dgm:pt>
    <dgm:pt modelId="{01CC4732-F32C-4533-AF80-95CE016AAB82}" type="parTrans" cxnId="{2F78C129-643A-4D61-BFBB-04ACC3C70638}">
      <dgm:prSet/>
      <dgm:spPr/>
      <dgm:t>
        <a:bodyPr/>
        <a:lstStyle/>
        <a:p>
          <a:endParaRPr lang="en-AU"/>
        </a:p>
      </dgm:t>
    </dgm:pt>
    <dgm:pt modelId="{2DBBD845-5B34-4DD8-AA7F-C6BD926B56BB}" type="sibTrans" cxnId="{2F78C129-643A-4D61-BFBB-04ACC3C70638}">
      <dgm:prSet/>
      <dgm:spPr/>
      <dgm:t>
        <a:bodyPr/>
        <a:lstStyle/>
        <a:p>
          <a:endParaRPr lang="en-AU"/>
        </a:p>
      </dgm:t>
    </dgm:pt>
    <dgm:pt modelId="{AF09DBF0-4679-4B97-B969-7CCB697021B2}" type="pres">
      <dgm:prSet presAssocID="{14F18ED0-2F73-4C3B-86EF-F0E9687B896E}" presName="linear" presStyleCnt="0">
        <dgm:presLayoutVars>
          <dgm:dir/>
          <dgm:animLvl val="lvl"/>
          <dgm:resizeHandles val="exact"/>
        </dgm:presLayoutVars>
      </dgm:prSet>
      <dgm:spPr/>
      <dgm:t>
        <a:bodyPr/>
        <a:lstStyle/>
        <a:p>
          <a:endParaRPr lang="en-AU"/>
        </a:p>
      </dgm:t>
    </dgm:pt>
    <dgm:pt modelId="{83733AE2-5B49-452F-AE9A-435D0847F491}" type="pres">
      <dgm:prSet presAssocID="{05FDA1C7-CE19-4C0A-AA39-D341706A3139}" presName="parentLin" presStyleCnt="0"/>
      <dgm:spPr/>
    </dgm:pt>
    <dgm:pt modelId="{77CE2EFD-1712-4EFB-AABF-F7AB34DE9F84}" type="pres">
      <dgm:prSet presAssocID="{05FDA1C7-CE19-4C0A-AA39-D341706A3139}" presName="parentLeftMargin" presStyleLbl="node1" presStyleIdx="0" presStyleCnt="9"/>
      <dgm:spPr/>
      <dgm:t>
        <a:bodyPr/>
        <a:lstStyle/>
        <a:p>
          <a:endParaRPr lang="en-AU"/>
        </a:p>
      </dgm:t>
    </dgm:pt>
    <dgm:pt modelId="{99B247C6-D10E-4874-8E90-6A0F20A86325}" type="pres">
      <dgm:prSet presAssocID="{05FDA1C7-CE19-4C0A-AA39-D341706A3139}" presName="parentText" presStyleLbl="node1" presStyleIdx="0" presStyleCnt="9">
        <dgm:presLayoutVars>
          <dgm:chMax val="0"/>
          <dgm:bulletEnabled val="1"/>
        </dgm:presLayoutVars>
      </dgm:prSet>
      <dgm:spPr/>
      <dgm:t>
        <a:bodyPr/>
        <a:lstStyle/>
        <a:p>
          <a:endParaRPr lang="en-AU"/>
        </a:p>
      </dgm:t>
    </dgm:pt>
    <dgm:pt modelId="{8A125CC7-E6AA-4A4B-A5C1-6C42CDB68DEC}" type="pres">
      <dgm:prSet presAssocID="{05FDA1C7-CE19-4C0A-AA39-D341706A3139}" presName="negativeSpace" presStyleCnt="0"/>
      <dgm:spPr/>
    </dgm:pt>
    <dgm:pt modelId="{113D47BE-1EE3-4908-AC51-CC284C7A4660}" type="pres">
      <dgm:prSet presAssocID="{05FDA1C7-CE19-4C0A-AA39-D341706A3139}" presName="childText" presStyleLbl="conFgAcc1" presStyleIdx="0" presStyleCnt="9">
        <dgm:presLayoutVars>
          <dgm:bulletEnabled val="1"/>
        </dgm:presLayoutVars>
      </dgm:prSet>
      <dgm:spPr/>
      <dgm:t>
        <a:bodyPr/>
        <a:lstStyle/>
        <a:p>
          <a:endParaRPr lang="en-AU"/>
        </a:p>
      </dgm:t>
    </dgm:pt>
    <dgm:pt modelId="{B229A880-EC77-4E43-AAA5-B23999948E77}" type="pres">
      <dgm:prSet presAssocID="{CA72977D-2D1C-4736-AA3E-4F1EC9B0A0F9}" presName="spaceBetweenRectangles" presStyleCnt="0"/>
      <dgm:spPr/>
    </dgm:pt>
    <dgm:pt modelId="{79F1BFFB-0A3B-4267-9AAC-61F4383184DD}" type="pres">
      <dgm:prSet presAssocID="{F6660BD0-B2F5-4722-BBF3-DB374E16D1E3}" presName="parentLin" presStyleCnt="0"/>
      <dgm:spPr/>
    </dgm:pt>
    <dgm:pt modelId="{C0DCE97E-2878-486D-8498-3B9DC5D15058}" type="pres">
      <dgm:prSet presAssocID="{F6660BD0-B2F5-4722-BBF3-DB374E16D1E3}" presName="parentLeftMargin" presStyleLbl="node1" presStyleIdx="0" presStyleCnt="9"/>
      <dgm:spPr/>
      <dgm:t>
        <a:bodyPr/>
        <a:lstStyle/>
        <a:p>
          <a:endParaRPr lang="en-AU"/>
        </a:p>
      </dgm:t>
    </dgm:pt>
    <dgm:pt modelId="{426E4AC9-4CAE-4468-96F7-A81EA595BB32}" type="pres">
      <dgm:prSet presAssocID="{F6660BD0-B2F5-4722-BBF3-DB374E16D1E3}" presName="parentText" presStyleLbl="node1" presStyleIdx="1" presStyleCnt="9">
        <dgm:presLayoutVars>
          <dgm:chMax val="0"/>
          <dgm:bulletEnabled val="1"/>
        </dgm:presLayoutVars>
      </dgm:prSet>
      <dgm:spPr/>
      <dgm:t>
        <a:bodyPr/>
        <a:lstStyle/>
        <a:p>
          <a:endParaRPr lang="en-AU"/>
        </a:p>
      </dgm:t>
    </dgm:pt>
    <dgm:pt modelId="{7D208032-D1F1-4D9B-9772-0C11DF1ECD8F}" type="pres">
      <dgm:prSet presAssocID="{F6660BD0-B2F5-4722-BBF3-DB374E16D1E3}" presName="negativeSpace" presStyleCnt="0"/>
      <dgm:spPr/>
    </dgm:pt>
    <dgm:pt modelId="{53B33680-317A-4C42-BCA1-FBD21E0BC88C}" type="pres">
      <dgm:prSet presAssocID="{F6660BD0-B2F5-4722-BBF3-DB374E16D1E3}" presName="childText" presStyleLbl="conFgAcc1" presStyleIdx="1" presStyleCnt="9">
        <dgm:presLayoutVars>
          <dgm:bulletEnabled val="1"/>
        </dgm:presLayoutVars>
      </dgm:prSet>
      <dgm:spPr/>
    </dgm:pt>
    <dgm:pt modelId="{517F5C97-E357-44B3-8ED5-666E7A0634A5}" type="pres">
      <dgm:prSet presAssocID="{4291E969-ADDC-42BB-B4DF-D9DB4E801860}" presName="spaceBetweenRectangles" presStyleCnt="0"/>
      <dgm:spPr/>
    </dgm:pt>
    <dgm:pt modelId="{15AA5627-1CAF-451A-9C40-4477A625E1DA}" type="pres">
      <dgm:prSet presAssocID="{11C66253-3242-4FB0-8547-F391D0E85472}" presName="parentLin" presStyleCnt="0"/>
      <dgm:spPr/>
    </dgm:pt>
    <dgm:pt modelId="{C104050A-8240-4E0D-BD1C-9C9A81620066}" type="pres">
      <dgm:prSet presAssocID="{11C66253-3242-4FB0-8547-F391D0E85472}" presName="parentLeftMargin" presStyleLbl="node1" presStyleIdx="1" presStyleCnt="9"/>
      <dgm:spPr/>
      <dgm:t>
        <a:bodyPr/>
        <a:lstStyle/>
        <a:p>
          <a:endParaRPr lang="en-AU"/>
        </a:p>
      </dgm:t>
    </dgm:pt>
    <dgm:pt modelId="{C74AAFD7-0D8F-4389-9C51-63B4B38C152C}" type="pres">
      <dgm:prSet presAssocID="{11C66253-3242-4FB0-8547-F391D0E85472}" presName="parentText" presStyleLbl="node1" presStyleIdx="2" presStyleCnt="9">
        <dgm:presLayoutVars>
          <dgm:chMax val="0"/>
          <dgm:bulletEnabled val="1"/>
        </dgm:presLayoutVars>
      </dgm:prSet>
      <dgm:spPr/>
      <dgm:t>
        <a:bodyPr/>
        <a:lstStyle/>
        <a:p>
          <a:endParaRPr lang="en-AU"/>
        </a:p>
      </dgm:t>
    </dgm:pt>
    <dgm:pt modelId="{3AD1F3B9-9729-4F83-A189-45351DC189F6}" type="pres">
      <dgm:prSet presAssocID="{11C66253-3242-4FB0-8547-F391D0E85472}" presName="negativeSpace" presStyleCnt="0"/>
      <dgm:spPr/>
    </dgm:pt>
    <dgm:pt modelId="{1009A49A-F4AB-4686-BAE8-DAC8C06A8347}" type="pres">
      <dgm:prSet presAssocID="{11C66253-3242-4FB0-8547-F391D0E85472}" presName="childText" presStyleLbl="conFgAcc1" presStyleIdx="2" presStyleCnt="9">
        <dgm:presLayoutVars>
          <dgm:bulletEnabled val="1"/>
        </dgm:presLayoutVars>
      </dgm:prSet>
      <dgm:spPr/>
    </dgm:pt>
    <dgm:pt modelId="{05B1A705-1897-4551-89C0-403A8A91F5FC}" type="pres">
      <dgm:prSet presAssocID="{B382154D-D9C5-47DB-B5A2-B512A8A675A0}" presName="spaceBetweenRectangles" presStyleCnt="0"/>
      <dgm:spPr/>
    </dgm:pt>
    <dgm:pt modelId="{9E104F00-8B15-46BF-A75F-804686A372E1}" type="pres">
      <dgm:prSet presAssocID="{242C75EC-CF70-4D19-9FED-13C971145A25}" presName="parentLin" presStyleCnt="0"/>
      <dgm:spPr/>
    </dgm:pt>
    <dgm:pt modelId="{A7F3615D-CA07-4D10-8511-7AA22B5D4137}" type="pres">
      <dgm:prSet presAssocID="{242C75EC-CF70-4D19-9FED-13C971145A25}" presName="parentLeftMargin" presStyleLbl="node1" presStyleIdx="2" presStyleCnt="9"/>
      <dgm:spPr/>
      <dgm:t>
        <a:bodyPr/>
        <a:lstStyle/>
        <a:p>
          <a:endParaRPr lang="en-AU"/>
        </a:p>
      </dgm:t>
    </dgm:pt>
    <dgm:pt modelId="{9DFF72D5-1C63-4ABB-9DD4-3367799EF22A}" type="pres">
      <dgm:prSet presAssocID="{242C75EC-CF70-4D19-9FED-13C971145A25}" presName="parentText" presStyleLbl="node1" presStyleIdx="3" presStyleCnt="9">
        <dgm:presLayoutVars>
          <dgm:chMax val="0"/>
          <dgm:bulletEnabled val="1"/>
        </dgm:presLayoutVars>
      </dgm:prSet>
      <dgm:spPr/>
      <dgm:t>
        <a:bodyPr/>
        <a:lstStyle/>
        <a:p>
          <a:endParaRPr lang="en-AU"/>
        </a:p>
      </dgm:t>
    </dgm:pt>
    <dgm:pt modelId="{F11BF75C-C920-4547-815A-595E715E6A9C}" type="pres">
      <dgm:prSet presAssocID="{242C75EC-CF70-4D19-9FED-13C971145A25}" presName="negativeSpace" presStyleCnt="0"/>
      <dgm:spPr/>
    </dgm:pt>
    <dgm:pt modelId="{2B4DA9B0-30C0-4375-BA6D-44275296A78F}" type="pres">
      <dgm:prSet presAssocID="{242C75EC-CF70-4D19-9FED-13C971145A25}" presName="childText" presStyleLbl="conFgAcc1" presStyleIdx="3" presStyleCnt="9">
        <dgm:presLayoutVars>
          <dgm:bulletEnabled val="1"/>
        </dgm:presLayoutVars>
      </dgm:prSet>
      <dgm:spPr/>
    </dgm:pt>
    <dgm:pt modelId="{AF4F389D-FC7A-4E78-ABE5-EEDD638E229B}" type="pres">
      <dgm:prSet presAssocID="{60B322C1-B941-471F-95D4-8F4E6D580029}" presName="spaceBetweenRectangles" presStyleCnt="0"/>
      <dgm:spPr/>
    </dgm:pt>
    <dgm:pt modelId="{C869E31E-9115-4E25-9007-3EC13AC0D963}" type="pres">
      <dgm:prSet presAssocID="{5DF3C2D1-F125-48D5-8148-2505BEECA9C9}" presName="parentLin" presStyleCnt="0"/>
      <dgm:spPr/>
    </dgm:pt>
    <dgm:pt modelId="{94F5B510-6613-41E1-921F-297BC60960D6}" type="pres">
      <dgm:prSet presAssocID="{5DF3C2D1-F125-48D5-8148-2505BEECA9C9}" presName="parentLeftMargin" presStyleLbl="node1" presStyleIdx="3" presStyleCnt="9"/>
      <dgm:spPr/>
      <dgm:t>
        <a:bodyPr/>
        <a:lstStyle/>
        <a:p>
          <a:endParaRPr lang="en-AU"/>
        </a:p>
      </dgm:t>
    </dgm:pt>
    <dgm:pt modelId="{494B1E90-31EA-46E5-B777-13D56B88544D}" type="pres">
      <dgm:prSet presAssocID="{5DF3C2D1-F125-48D5-8148-2505BEECA9C9}" presName="parentText" presStyleLbl="node1" presStyleIdx="4" presStyleCnt="9">
        <dgm:presLayoutVars>
          <dgm:chMax val="0"/>
          <dgm:bulletEnabled val="1"/>
        </dgm:presLayoutVars>
      </dgm:prSet>
      <dgm:spPr/>
      <dgm:t>
        <a:bodyPr/>
        <a:lstStyle/>
        <a:p>
          <a:endParaRPr lang="en-AU"/>
        </a:p>
      </dgm:t>
    </dgm:pt>
    <dgm:pt modelId="{00A604C3-5269-4809-A9F7-599D8A53A766}" type="pres">
      <dgm:prSet presAssocID="{5DF3C2D1-F125-48D5-8148-2505BEECA9C9}" presName="negativeSpace" presStyleCnt="0"/>
      <dgm:spPr/>
    </dgm:pt>
    <dgm:pt modelId="{5423F56A-3290-4D8B-947B-652345C3D082}" type="pres">
      <dgm:prSet presAssocID="{5DF3C2D1-F125-48D5-8148-2505BEECA9C9}" presName="childText" presStyleLbl="conFgAcc1" presStyleIdx="4" presStyleCnt="9">
        <dgm:presLayoutVars>
          <dgm:bulletEnabled val="1"/>
        </dgm:presLayoutVars>
      </dgm:prSet>
      <dgm:spPr/>
    </dgm:pt>
    <dgm:pt modelId="{49F763DE-B067-4652-8FF1-1B03CA203809}" type="pres">
      <dgm:prSet presAssocID="{F62ECF65-E248-4C79-89D4-013BBB05A698}" presName="spaceBetweenRectangles" presStyleCnt="0"/>
      <dgm:spPr/>
    </dgm:pt>
    <dgm:pt modelId="{F5D4AB84-20BA-45BA-B66C-0C3C9A4A46B7}" type="pres">
      <dgm:prSet presAssocID="{18839F06-C92B-4CC1-94E8-AFA03E44F50B}" presName="parentLin" presStyleCnt="0"/>
      <dgm:spPr/>
    </dgm:pt>
    <dgm:pt modelId="{E2A8B814-F415-4917-BE8A-CD4C04E664BB}" type="pres">
      <dgm:prSet presAssocID="{18839F06-C92B-4CC1-94E8-AFA03E44F50B}" presName="parentLeftMargin" presStyleLbl="node1" presStyleIdx="4" presStyleCnt="9"/>
      <dgm:spPr/>
      <dgm:t>
        <a:bodyPr/>
        <a:lstStyle/>
        <a:p>
          <a:endParaRPr lang="en-AU"/>
        </a:p>
      </dgm:t>
    </dgm:pt>
    <dgm:pt modelId="{768A8BE8-4C1C-4FE0-BA6A-E920A8A02735}" type="pres">
      <dgm:prSet presAssocID="{18839F06-C92B-4CC1-94E8-AFA03E44F50B}" presName="parentText" presStyleLbl="node1" presStyleIdx="5" presStyleCnt="9">
        <dgm:presLayoutVars>
          <dgm:chMax val="0"/>
          <dgm:bulletEnabled val="1"/>
        </dgm:presLayoutVars>
      </dgm:prSet>
      <dgm:spPr/>
      <dgm:t>
        <a:bodyPr/>
        <a:lstStyle/>
        <a:p>
          <a:endParaRPr lang="en-AU"/>
        </a:p>
      </dgm:t>
    </dgm:pt>
    <dgm:pt modelId="{0E9FC782-38A1-4F77-B0E6-A77B1DECE131}" type="pres">
      <dgm:prSet presAssocID="{18839F06-C92B-4CC1-94E8-AFA03E44F50B}" presName="negativeSpace" presStyleCnt="0"/>
      <dgm:spPr/>
    </dgm:pt>
    <dgm:pt modelId="{3DAD3739-FF2D-4417-9C07-AB9EA82C73D1}" type="pres">
      <dgm:prSet presAssocID="{18839F06-C92B-4CC1-94E8-AFA03E44F50B}" presName="childText" presStyleLbl="conFgAcc1" presStyleIdx="5" presStyleCnt="9">
        <dgm:presLayoutVars>
          <dgm:bulletEnabled val="1"/>
        </dgm:presLayoutVars>
      </dgm:prSet>
      <dgm:spPr/>
    </dgm:pt>
    <dgm:pt modelId="{1FA3DEB2-4DF5-4FCA-890B-90ABB9F74D14}" type="pres">
      <dgm:prSet presAssocID="{F9A1DED1-549A-4A01-B096-AE32EC2F24B9}" presName="spaceBetweenRectangles" presStyleCnt="0"/>
      <dgm:spPr/>
    </dgm:pt>
    <dgm:pt modelId="{6F34BD5C-89BE-4CA4-B32B-902DE085B519}" type="pres">
      <dgm:prSet presAssocID="{617CC331-9B40-4153-B134-4DAB5F6FE620}" presName="parentLin" presStyleCnt="0"/>
      <dgm:spPr/>
    </dgm:pt>
    <dgm:pt modelId="{2B2A6951-B63E-4156-9624-49D819140448}" type="pres">
      <dgm:prSet presAssocID="{617CC331-9B40-4153-B134-4DAB5F6FE620}" presName="parentLeftMargin" presStyleLbl="node1" presStyleIdx="5" presStyleCnt="9"/>
      <dgm:spPr/>
      <dgm:t>
        <a:bodyPr/>
        <a:lstStyle/>
        <a:p>
          <a:endParaRPr lang="en-AU"/>
        </a:p>
      </dgm:t>
    </dgm:pt>
    <dgm:pt modelId="{F8BDD408-431B-41AE-95B2-76AA3B3900EA}" type="pres">
      <dgm:prSet presAssocID="{617CC331-9B40-4153-B134-4DAB5F6FE620}" presName="parentText" presStyleLbl="node1" presStyleIdx="6" presStyleCnt="9">
        <dgm:presLayoutVars>
          <dgm:chMax val="0"/>
          <dgm:bulletEnabled val="1"/>
        </dgm:presLayoutVars>
      </dgm:prSet>
      <dgm:spPr/>
      <dgm:t>
        <a:bodyPr/>
        <a:lstStyle/>
        <a:p>
          <a:endParaRPr lang="en-AU"/>
        </a:p>
      </dgm:t>
    </dgm:pt>
    <dgm:pt modelId="{4C7019F4-2651-4F54-90B6-999A6D33608D}" type="pres">
      <dgm:prSet presAssocID="{617CC331-9B40-4153-B134-4DAB5F6FE620}" presName="negativeSpace" presStyleCnt="0"/>
      <dgm:spPr/>
    </dgm:pt>
    <dgm:pt modelId="{FFEE56A6-866A-444C-B02C-50B26925CFCB}" type="pres">
      <dgm:prSet presAssocID="{617CC331-9B40-4153-B134-4DAB5F6FE620}" presName="childText" presStyleLbl="conFgAcc1" presStyleIdx="6" presStyleCnt="9">
        <dgm:presLayoutVars>
          <dgm:bulletEnabled val="1"/>
        </dgm:presLayoutVars>
      </dgm:prSet>
      <dgm:spPr/>
    </dgm:pt>
    <dgm:pt modelId="{FB1F5279-2BE9-4A0E-AACA-904B783A2CB4}" type="pres">
      <dgm:prSet presAssocID="{DF1E39A9-D63B-4A9C-9448-E8C15F2B2428}" presName="spaceBetweenRectangles" presStyleCnt="0"/>
      <dgm:spPr/>
    </dgm:pt>
    <dgm:pt modelId="{F29999C1-E67F-434D-B4B0-930B13BB120C}" type="pres">
      <dgm:prSet presAssocID="{E18D0F8A-27E6-4DD7-9C89-E39FFA214508}" presName="parentLin" presStyleCnt="0"/>
      <dgm:spPr/>
    </dgm:pt>
    <dgm:pt modelId="{41807F46-1C8E-4577-84A2-8C42E78A10A6}" type="pres">
      <dgm:prSet presAssocID="{E18D0F8A-27E6-4DD7-9C89-E39FFA214508}" presName="parentLeftMargin" presStyleLbl="node1" presStyleIdx="6" presStyleCnt="9"/>
      <dgm:spPr/>
      <dgm:t>
        <a:bodyPr/>
        <a:lstStyle/>
        <a:p>
          <a:endParaRPr lang="en-AU"/>
        </a:p>
      </dgm:t>
    </dgm:pt>
    <dgm:pt modelId="{8B286960-28B4-4530-BAAD-AAFD8A5EB201}" type="pres">
      <dgm:prSet presAssocID="{E18D0F8A-27E6-4DD7-9C89-E39FFA214508}" presName="parentText" presStyleLbl="node1" presStyleIdx="7" presStyleCnt="9">
        <dgm:presLayoutVars>
          <dgm:chMax val="0"/>
          <dgm:bulletEnabled val="1"/>
        </dgm:presLayoutVars>
      </dgm:prSet>
      <dgm:spPr/>
      <dgm:t>
        <a:bodyPr/>
        <a:lstStyle/>
        <a:p>
          <a:endParaRPr lang="en-AU"/>
        </a:p>
      </dgm:t>
    </dgm:pt>
    <dgm:pt modelId="{5DA869BA-F096-40B5-A68C-00706EEB9DDB}" type="pres">
      <dgm:prSet presAssocID="{E18D0F8A-27E6-4DD7-9C89-E39FFA214508}" presName="negativeSpace" presStyleCnt="0"/>
      <dgm:spPr/>
    </dgm:pt>
    <dgm:pt modelId="{CCA67B0D-1A91-45F7-9547-C73F7CB1CA80}" type="pres">
      <dgm:prSet presAssocID="{E18D0F8A-27E6-4DD7-9C89-E39FFA214508}" presName="childText" presStyleLbl="conFgAcc1" presStyleIdx="7" presStyleCnt="9">
        <dgm:presLayoutVars>
          <dgm:bulletEnabled val="1"/>
        </dgm:presLayoutVars>
      </dgm:prSet>
      <dgm:spPr/>
      <dgm:t>
        <a:bodyPr/>
        <a:lstStyle/>
        <a:p>
          <a:endParaRPr lang="en-AU"/>
        </a:p>
      </dgm:t>
    </dgm:pt>
    <dgm:pt modelId="{34BAD037-54EE-421C-8629-209C303AC63E}" type="pres">
      <dgm:prSet presAssocID="{4EE073EE-53D7-4B84-88C7-0942251C70A9}" presName="spaceBetweenRectangles" presStyleCnt="0"/>
      <dgm:spPr/>
    </dgm:pt>
    <dgm:pt modelId="{91BC7B41-AE43-4144-9911-BCDB94C41D25}" type="pres">
      <dgm:prSet presAssocID="{D2F8BBA3-2C2D-44BD-AA8A-51420015C311}" presName="parentLin" presStyleCnt="0"/>
      <dgm:spPr/>
    </dgm:pt>
    <dgm:pt modelId="{7F80C30C-CCC7-42F2-9DFA-F99528C10BBC}" type="pres">
      <dgm:prSet presAssocID="{D2F8BBA3-2C2D-44BD-AA8A-51420015C311}" presName="parentLeftMargin" presStyleLbl="node1" presStyleIdx="7" presStyleCnt="9"/>
      <dgm:spPr/>
      <dgm:t>
        <a:bodyPr/>
        <a:lstStyle/>
        <a:p>
          <a:endParaRPr lang="en-AU"/>
        </a:p>
      </dgm:t>
    </dgm:pt>
    <dgm:pt modelId="{ABFFC634-FF62-4268-9646-2D7DC82DA5E2}" type="pres">
      <dgm:prSet presAssocID="{D2F8BBA3-2C2D-44BD-AA8A-51420015C311}" presName="parentText" presStyleLbl="node1" presStyleIdx="8" presStyleCnt="9">
        <dgm:presLayoutVars>
          <dgm:chMax val="0"/>
          <dgm:bulletEnabled val="1"/>
        </dgm:presLayoutVars>
      </dgm:prSet>
      <dgm:spPr/>
      <dgm:t>
        <a:bodyPr/>
        <a:lstStyle/>
        <a:p>
          <a:endParaRPr lang="en-AU"/>
        </a:p>
      </dgm:t>
    </dgm:pt>
    <dgm:pt modelId="{D307C6A1-E9EA-4686-9C1A-78139A53C6DF}" type="pres">
      <dgm:prSet presAssocID="{D2F8BBA3-2C2D-44BD-AA8A-51420015C311}" presName="negativeSpace" presStyleCnt="0"/>
      <dgm:spPr/>
    </dgm:pt>
    <dgm:pt modelId="{F497F969-E5ED-4127-99B0-D5ABF72149FE}" type="pres">
      <dgm:prSet presAssocID="{D2F8BBA3-2C2D-44BD-AA8A-51420015C311}" presName="childText" presStyleLbl="conFgAcc1" presStyleIdx="8" presStyleCnt="9">
        <dgm:presLayoutVars>
          <dgm:bulletEnabled val="1"/>
        </dgm:presLayoutVars>
      </dgm:prSet>
      <dgm:spPr/>
    </dgm:pt>
  </dgm:ptLst>
  <dgm:cxnLst>
    <dgm:cxn modelId="{187D72B1-D9A6-4EB9-A804-EA2EC70AFCE6}" type="presOf" srcId="{18839F06-C92B-4CC1-94E8-AFA03E44F50B}" destId="{768A8BE8-4C1C-4FE0-BA6A-E920A8A02735}" srcOrd="1" destOrd="0" presId="urn:microsoft.com/office/officeart/2005/8/layout/list1"/>
    <dgm:cxn modelId="{8451ADA0-1945-4EDC-8A5D-3EB4CE1835E6}" type="presOf" srcId="{05FDA1C7-CE19-4C0A-AA39-D341706A3139}" destId="{77CE2EFD-1712-4EFB-AABF-F7AB34DE9F84}" srcOrd="0" destOrd="0" presId="urn:microsoft.com/office/officeart/2005/8/layout/list1"/>
    <dgm:cxn modelId="{4E96F925-7DD0-4C75-ADE2-0DEFB800F57D}" srcId="{14F18ED0-2F73-4C3B-86EF-F0E9687B896E}" destId="{5DF3C2D1-F125-48D5-8148-2505BEECA9C9}" srcOrd="4" destOrd="0" parTransId="{F86E3B3D-5B71-45F9-A0F7-68B028785B03}" sibTransId="{F62ECF65-E248-4C79-89D4-013BBB05A698}"/>
    <dgm:cxn modelId="{0B8D79A2-10B6-4E16-840D-D700DF390D36}" type="presOf" srcId="{E18D0F8A-27E6-4DD7-9C89-E39FFA214508}" destId="{8B286960-28B4-4530-BAAD-AAFD8A5EB201}" srcOrd="1" destOrd="0" presId="urn:microsoft.com/office/officeart/2005/8/layout/list1"/>
    <dgm:cxn modelId="{E3D7ACB9-99A0-48A1-93D3-B1E0A1F956B6}" type="presOf" srcId="{617CC331-9B40-4153-B134-4DAB5F6FE620}" destId="{2B2A6951-B63E-4156-9624-49D819140448}" srcOrd="0" destOrd="0" presId="urn:microsoft.com/office/officeart/2005/8/layout/list1"/>
    <dgm:cxn modelId="{2A6AD549-4BB0-497A-8F4F-431C6E42E363}" srcId="{14F18ED0-2F73-4C3B-86EF-F0E9687B896E}" destId="{E18D0F8A-27E6-4DD7-9C89-E39FFA214508}" srcOrd="7" destOrd="0" parTransId="{50FF3747-FB5A-4677-94F2-0A89E5A8F319}" sibTransId="{4EE073EE-53D7-4B84-88C7-0942251C70A9}"/>
    <dgm:cxn modelId="{8A5B61DF-9D03-44A0-9E9E-E9736FCDE86F}" type="presOf" srcId="{11C66253-3242-4FB0-8547-F391D0E85472}" destId="{C74AAFD7-0D8F-4389-9C51-63B4B38C152C}" srcOrd="1" destOrd="0" presId="urn:microsoft.com/office/officeart/2005/8/layout/list1"/>
    <dgm:cxn modelId="{D25062A2-8175-4F98-930E-18CB8FD446C0}" type="presOf" srcId="{18839F06-C92B-4CC1-94E8-AFA03E44F50B}" destId="{E2A8B814-F415-4917-BE8A-CD4C04E664BB}" srcOrd="0" destOrd="0" presId="urn:microsoft.com/office/officeart/2005/8/layout/list1"/>
    <dgm:cxn modelId="{7E407603-7BE4-4F10-857E-115989444A95}" srcId="{14F18ED0-2F73-4C3B-86EF-F0E9687B896E}" destId="{242C75EC-CF70-4D19-9FED-13C971145A25}" srcOrd="3" destOrd="0" parTransId="{280C548F-6E29-4394-AF78-439AC74B5E40}" sibTransId="{60B322C1-B941-471F-95D4-8F4E6D580029}"/>
    <dgm:cxn modelId="{852C4F19-7190-4C97-9C28-FABD9901E384}" srcId="{14F18ED0-2F73-4C3B-86EF-F0E9687B896E}" destId="{F6660BD0-B2F5-4722-BBF3-DB374E16D1E3}" srcOrd="1" destOrd="0" parTransId="{89B51CBE-03A3-4420-AC79-7125B3B0BFEE}" sibTransId="{4291E969-ADDC-42BB-B4DF-D9DB4E801860}"/>
    <dgm:cxn modelId="{09660654-B042-43DD-B0C8-6EA64039B0A8}" type="presOf" srcId="{617CC331-9B40-4153-B134-4DAB5F6FE620}" destId="{F8BDD408-431B-41AE-95B2-76AA3B3900EA}" srcOrd="1" destOrd="0" presId="urn:microsoft.com/office/officeart/2005/8/layout/list1"/>
    <dgm:cxn modelId="{A0EAFFC2-20F6-4B43-9BAF-A64567B46866}" type="presOf" srcId="{11C66253-3242-4FB0-8547-F391D0E85472}" destId="{C104050A-8240-4E0D-BD1C-9C9A81620066}" srcOrd="0" destOrd="0" presId="urn:microsoft.com/office/officeart/2005/8/layout/list1"/>
    <dgm:cxn modelId="{6A4644E6-E8F3-44CB-9BAA-88653B2C9133}" type="presOf" srcId="{242C75EC-CF70-4D19-9FED-13C971145A25}" destId="{A7F3615D-CA07-4D10-8511-7AA22B5D4137}" srcOrd="0" destOrd="0" presId="urn:microsoft.com/office/officeart/2005/8/layout/list1"/>
    <dgm:cxn modelId="{8EFE14BE-D010-4D93-AA64-918561726C2E}" srcId="{14F18ED0-2F73-4C3B-86EF-F0E9687B896E}" destId="{05FDA1C7-CE19-4C0A-AA39-D341706A3139}" srcOrd="0" destOrd="0" parTransId="{673C877F-804B-425B-9567-8DFDEF72DAEA}" sibTransId="{CA72977D-2D1C-4736-AA3E-4F1EC9B0A0F9}"/>
    <dgm:cxn modelId="{259E8660-A530-4010-8909-22A2A889ECB1}" type="presOf" srcId="{F6660BD0-B2F5-4722-BBF3-DB374E16D1E3}" destId="{C0DCE97E-2878-486D-8498-3B9DC5D15058}" srcOrd="0" destOrd="0" presId="urn:microsoft.com/office/officeart/2005/8/layout/list1"/>
    <dgm:cxn modelId="{71793605-B40C-45CB-B454-EE487AF9A642}" type="presOf" srcId="{5DF3C2D1-F125-48D5-8148-2505BEECA9C9}" destId="{94F5B510-6613-41E1-921F-297BC60960D6}" srcOrd="0" destOrd="0" presId="urn:microsoft.com/office/officeart/2005/8/layout/list1"/>
    <dgm:cxn modelId="{DC15349A-8C2F-446B-B856-BAAD4C1E16B9}" type="presOf" srcId="{05FDA1C7-CE19-4C0A-AA39-D341706A3139}" destId="{99B247C6-D10E-4874-8E90-6A0F20A86325}" srcOrd="1" destOrd="0" presId="urn:microsoft.com/office/officeart/2005/8/layout/list1"/>
    <dgm:cxn modelId="{DDA0E8C4-AC2B-40AD-A968-93B179DE322B}" type="presOf" srcId="{242C75EC-CF70-4D19-9FED-13C971145A25}" destId="{9DFF72D5-1C63-4ABB-9DD4-3367799EF22A}" srcOrd="1" destOrd="0" presId="urn:microsoft.com/office/officeart/2005/8/layout/list1"/>
    <dgm:cxn modelId="{00DF58B2-F74A-4694-B20A-D604A253777B}" srcId="{14F18ED0-2F73-4C3B-86EF-F0E9687B896E}" destId="{11C66253-3242-4FB0-8547-F391D0E85472}" srcOrd="2" destOrd="0" parTransId="{3BB732FD-546E-4466-8E71-EB55029F882A}" sibTransId="{B382154D-D9C5-47DB-B5A2-B512A8A675A0}"/>
    <dgm:cxn modelId="{849678F7-0A80-4AE1-A03B-D567219E27A1}" type="presOf" srcId="{5DF3C2D1-F125-48D5-8148-2505BEECA9C9}" destId="{494B1E90-31EA-46E5-B777-13D56B88544D}" srcOrd="1" destOrd="0" presId="urn:microsoft.com/office/officeart/2005/8/layout/list1"/>
    <dgm:cxn modelId="{C23EB4E6-174D-4A7B-B2D5-00F6014F483B}" type="presOf" srcId="{14F18ED0-2F73-4C3B-86EF-F0E9687B896E}" destId="{AF09DBF0-4679-4B97-B969-7CCB697021B2}" srcOrd="0" destOrd="0" presId="urn:microsoft.com/office/officeart/2005/8/layout/list1"/>
    <dgm:cxn modelId="{0A4CC08F-5EEA-4831-BA9F-80E3B251B6B4}" type="presOf" srcId="{D2F8BBA3-2C2D-44BD-AA8A-51420015C311}" destId="{ABFFC634-FF62-4268-9646-2D7DC82DA5E2}" srcOrd="1" destOrd="0" presId="urn:microsoft.com/office/officeart/2005/8/layout/list1"/>
    <dgm:cxn modelId="{2F78C129-643A-4D61-BFBB-04ACC3C70638}" srcId="{14F18ED0-2F73-4C3B-86EF-F0E9687B896E}" destId="{D2F8BBA3-2C2D-44BD-AA8A-51420015C311}" srcOrd="8" destOrd="0" parTransId="{01CC4732-F32C-4533-AF80-95CE016AAB82}" sibTransId="{2DBBD845-5B34-4DD8-AA7F-C6BD926B56BB}"/>
    <dgm:cxn modelId="{AD31AAE6-CBD7-4E66-B894-6613F372DACD}" type="presOf" srcId="{E18D0F8A-27E6-4DD7-9C89-E39FFA214508}" destId="{41807F46-1C8E-4577-84A2-8C42E78A10A6}" srcOrd="0" destOrd="0" presId="urn:microsoft.com/office/officeart/2005/8/layout/list1"/>
    <dgm:cxn modelId="{01C4E94D-FE66-4520-862E-04D7D23CA745}" type="presOf" srcId="{F6660BD0-B2F5-4722-BBF3-DB374E16D1E3}" destId="{426E4AC9-4CAE-4468-96F7-A81EA595BB32}" srcOrd="1" destOrd="0" presId="urn:microsoft.com/office/officeart/2005/8/layout/list1"/>
    <dgm:cxn modelId="{48D265AD-0E8C-4E9D-805A-83ABFD883605}" type="presOf" srcId="{D2F8BBA3-2C2D-44BD-AA8A-51420015C311}" destId="{7F80C30C-CCC7-42F2-9DFA-F99528C10BBC}" srcOrd="0" destOrd="0" presId="urn:microsoft.com/office/officeart/2005/8/layout/list1"/>
    <dgm:cxn modelId="{C9AC2C30-9203-4E04-A396-811BF0606083}" srcId="{14F18ED0-2F73-4C3B-86EF-F0E9687B896E}" destId="{18839F06-C92B-4CC1-94E8-AFA03E44F50B}" srcOrd="5" destOrd="0" parTransId="{7A3F073A-D6D8-439D-A30D-88ADA67C0991}" sibTransId="{F9A1DED1-549A-4A01-B096-AE32EC2F24B9}"/>
    <dgm:cxn modelId="{472FC758-8A17-4AA9-BE96-BF521F480EC8}" srcId="{14F18ED0-2F73-4C3B-86EF-F0E9687B896E}" destId="{617CC331-9B40-4153-B134-4DAB5F6FE620}" srcOrd="6" destOrd="0" parTransId="{11A66412-E29A-47DB-9199-4AD16CB065FD}" sibTransId="{DF1E39A9-D63B-4A9C-9448-E8C15F2B2428}"/>
    <dgm:cxn modelId="{A040B98B-12EF-4566-86C2-760BBDF7D79E}" type="presParOf" srcId="{AF09DBF0-4679-4B97-B969-7CCB697021B2}" destId="{83733AE2-5B49-452F-AE9A-435D0847F491}" srcOrd="0" destOrd="0" presId="urn:microsoft.com/office/officeart/2005/8/layout/list1"/>
    <dgm:cxn modelId="{07BD9D71-1B73-49EE-A1A6-DB34A8387E8C}" type="presParOf" srcId="{83733AE2-5B49-452F-AE9A-435D0847F491}" destId="{77CE2EFD-1712-4EFB-AABF-F7AB34DE9F84}" srcOrd="0" destOrd="0" presId="urn:microsoft.com/office/officeart/2005/8/layout/list1"/>
    <dgm:cxn modelId="{A9CAF470-328A-4D07-8202-C10B774359BB}" type="presParOf" srcId="{83733AE2-5B49-452F-AE9A-435D0847F491}" destId="{99B247C6-D10E-4874-8E90-6A0F20A86325}" srcOrd="1" destOrd="0" presId="urn:microsoft.com/office/officeart/2005/8/layout/list1"/>
    <dgm:cxn modelId="{E972AF78-DCF7-4606-BC49-F1D263A0BF9D}" type="presParOf" srcId="{AF09DBF0-4679-4B97-B969-7CCB697021B2}" destId="{8A125CC7-E6AA-4A4B-A5C1-6C42CDB68DEC}" srcOrd="1" destOrd="0" presId="urn:microsoft.com/office/officeart/2005/8/layout/list1"/>
    <dgm:cxn modelId="{C66E6C9A-13E0-4A97-861C-213257E74399}" type="presParOf" srcId="{AF09DBF0-4679-4B97-B969-7CCB697021B2}" destId="{113D47BE-1EE3-4908-AC51-CC284C7A4660}" srcOrd="2" destOrd="0" presId="urn:microsoft.com/office/officeart/2005/8/layout/list1"/>
    <dgm:cxn modelId="{D68D3709-8B2B-4209-85B9-A151F09DB548}" type="presParOf" srcId="{AF09DBF0-4679-4B97-B969-7CCB697021B2}" destId="{B229A880-EC77-4E43-AAA5-B23999948E77}" srcOrd="3" destOrd="0" presId="urn:microsoft.com/office/officeart/2005/8/layout/list1"/>
    <dgm:cxn modelId="{D3B5D1B8-6BDC-4B83-85B5-96065768F51F}" type="presParOf" srcId="{AF09DBF0-4679-4B97-B969-7CCB697021B2}" destId="{79F1BFFB-0A3B-4267-9AAC-61F4383184DD}" srcOrd="4" destOrd="0" presId="urn:microsoft.com/office/officeart/2005/8/layout/list1"/>
    <dgm:cxn modelId="{9C8139DD-2942-44FF-AC43-0C523D913577}" type="presParOf" srcId="{79F1BFFB-0A3B-4267-9AAC-61F4383184DD}" destId="{C0DCE97E-2878-486D-8498-3B9DC5D15058}" srcOrd="0" destOrd="0" presId="urn:microsoft.com/office/officeart/2005/8/layout/list1"/>
    <dgm:cxn modelId="{FB904398-FBAE-4EAD-921D-7DFBCE057CDA}" type="presParOf" srcId="{79F1BFFB-0A3B-4267-9AAC-61F4383184DD}" destId="{426E4AC9-4CAE-4468-96F7-A81EA595BB32}" srcOrd="1" destOrd="0" presId="urn:microsoft.com/office/officeart/2005/8/layout/list1"/>
    <dgm:cxn modelId="{21339EE0-EBCD-44FA-8EB7-FE59155CB2A3}" type="presParOf" srcId="{AF09DBF0-4679-4B97-B969-7CCB697021B2}" destId="{7D208032-D1F1-4D9B-9772-0C11DF1ECD8F}" srcOrd="5" destOrd="0" presId="urn:microsoft.com/office/officeart/2005/8/layout/list1"/>
    <dgm:cxn modelId="{8F070829-73C6-40C6-9051-520C76592476}" type="presParOf" srcId="{AF09DBF0-4679-4B97-B969-7CCB697021B2}" destId="{53B33680-317A-4C42-BCA1-FBD21E0BC88C}" srcOrd="6" destOrd="0" presId="urn:microsoft.com/office/officeart/2005/8/layout/list1"/>
    <dgm:cxn modelId="{120CE676-A6AB-4206-A93C-BFE27A2E1AC1}" type="presParOf" srcId="{AF09DBF0-4679-4B97-B969-7CCB697021B2}" destId="{517F5C97-E357-44B3-8ED5-666E7A0634A5}" srcOrd="7" destOrd="0" presId="urn:microsoft.com/office/officeart/2005/8/layout/list1"/>
    <dgm:cxn modelId="{D01571FA-BAE3-483D-9FA3-C47C50FC1259}" type="presParOf" srcId="{AF09DBF0-4679-4B97-B969-7CCB697021B2}" destId="{15AA5627-1CAF-451A-9C40-4477A625E1DA}" srcOrd="8" destOrd="0" presId="urn:microsoft.com/office/officeart/2005/8/layout/list1"/>
    <dgm:cxn modelId="{8C0FD9F9-AA71-47FF-AF0E-9CF045E1EBE4}" type="presParOf" srcId="{15AA5627-1CAF-451A-9C40-4477A625E1DA}" destId="{C104050A-8240-4E0D-BD1C-9C9A81620066}" srcOrd="0" destOrd="0" presId="urn:microsoft.com/office/officeart/2005/8/layout/list1"/>
    <dgm:cxn modelId="{4FF66391-E409-4A4C-9838-525616B1F057}" type="presParOf" srcId="{15AA5627-1CAF-451A-9C40-4477A625E1DA}" destId="{C74AAFD7-0D8F-4389-9C51-63B4B38C152C}" srcOrd="1" destOrd="0" presId="urn:microsoft.com/office/officeart/2005/8/layout/list1"/>
    <dgm:cxn modelId="{A71024D2-3FC4-4F6D-94A0-F50D178249FE}" type="presParOf" srcId="{AF09DBF0-4679-4B97-B969-7CCB697021B2}" destId="{3AD1F3B9-9729-4F83-A189-45351DC189F6}" srcOrd="9" destOrd="0" presId="urn:microsoft.com/office/officeart/2005/8/layout/list1"/>
    <dgm:cxn modelId="{99A84C11-35A4-4F1E-8929-1E4BC1DD13C9}" type="presParOf" srcId="{AF09DBF0-4679-4B97-B969-7CCB697021B2}" destId="{1009A49A-F4AB-4686-BAE8-DAC8C06A8347}" srcOrd="10" destOrd="0" presId="urn:microsoft.com/office/officeart/2005/8/layout/list1"/>
    <dgm:cxn modelId="{EC4ECA9F-6425-41F1-A57B-153F4AA2C329}" type="presParOf" srcId="{AF09DBF0-4679-4B97-B969-7CCB697021B2}" destId="{05B1A705-1897-4551-89C0-403A8A91F5FC}" srcOrd="11" destOrd="0" presId="urn:microsoft.com/office/officeart/2005/8/layout/list1"/>
    <dgm:cxn modelId="{3734F3A8-DF08-49DB-B89B-F5AA84D7199C}" type="presParOf" srcId="{AF09DBF0-4679-4B97-B969-7CCB697021B2}" destId="{9E104F00-8B15-46BF-A75F-804686A372E1}" srcOrd="12" destOrd="0" presId="urn:microsoft.com/office/officeart/2005/8/layout/list1"/>
    <dgm:cxn modelId="{32CB8E15-7129-4ED6-8E8E-9AE2EAE6DB30}" type="presParOf" srcId="{9E104F00-8B15-46BF-A75F-804686A372E1}" destId="{A7F3615D-CA07-4D10-8511-7AA22B5D4137}" srcOrd="0" destOrd="0" presId="urn:microsoft.com/office/officeart/2005/8/layout/list1"/>
    <dgm:cxn modelId="{54D29219-F66A-4CC6-A599-170FF51E93D7}" type="presParOf" srcId="{9E104F00-8B15-46BF-A75F-804686A372E1}" destId="{9DFF72D5-1C63-4ABB-9DD4-3367799EF22A}" srcOrd="1" destOrd="0" presId="urn:microsoft.com/office/officeart/2005/8/layout/list1"/>
    <dgm:cxn modelId="{5418852A-12DA-4098-A62A-2403AD2CEE64}" type="presParOf" srcId="{AF09DBF0-4679-4B97-B969-7CCB697021B2}" destId="{F11BF75C-C920-4547-815A-595E715E6A9C}" srcOrd="13" destOrd="0" presId="urn:microsoft.com/office/officeart/2005/8/layout/list1"/>
    <dgm:cxn modelId="{06739233-D84C-45DA-8F3C-80ADCEE3F12E}" type="presParOf" srcId="{AF09DBF0-4679-4B97-B969-7CCB697021B2}" destId="{2B4DA9B0-30C0-4375-BA6D-44275296A78F}" srcOrd="14" destOrd="0" presId="urn:microsoft.com/office/officeart/2005/8/layout/list1"/>
    <dgm:cxn modelId="{B9A3FA5A-FB40-4684-BFFC-64CCDB2B6DE3}" type="presParOf" srcId="{AF09DBF0-4679-4B97-B969-7CCB697021B2}" destId="{AF4F389D-FC7A-4E78-ABE5-EEDD638E229B}" srcOrd="15" destOrd="0" presId="urn:microsoft.com/office/officeart/2005/8/layout/list1"/>
    <dgm:cxn modelId="{4844F1F4-1AC9-4557-8492-D09A3F285ED1}" type="presParOf" srcId="{AF09DBF0-4679-4B97-B969-7CCB697021B2}" destId="{C869E31E-9115-4E25-9007-3EC13AC0D963}" srcOrd="16" destOrd="0" presId="urn:microsoft.com/office/officeart/2005/8/layout/list1"/>
    <dgm:cxn modelId="{4C080EAB-1D32-4BE8-A9A2-BA72B4A1E1A9}" type="presParOf" srcId="{C869E31E-9115-4E25-9007-3EC13AC0D963}" destId="{94F5B510-6613-41E1-921F-297BC60960D6}" srcOrd="0" destOrd="0" presId="urn:microsoft.com/office/officeart/2005/8/layout/list1"/>
    <dgm:cxn modelId="{C8968230-AB54-410D-BAEB-B9044290494E}" type="presParOf" srcId="{C869E31E-9115-4E25-9007-3EC13AC0D963}" destId="{494B1E90-31EA-46E5-B777-13D56B88544D}" srcOrd="1" destOrd="0" presId="urn:microsoft.com/office/officeart/2005/8/layout/list1"/>
    <dgm:cxn modelId="{D3F86916-7F0F-4861-8AF3-6AC539F17FB2}" type="presParOf" srcId="{AF09DBF0-4679-4B97-B969-7CCB697021B2}" destId="{00A604C3-5269-4809-A9F7-599D8A53A766}" srcOrd="17" destOrd="0" presId="urn:microsoft.com/office/officeart/2005/8/layout/list1"/>
    <dgm:cxn modelId="{3E360CB6-60B0-4122-844F-EA37BADE407C}" type="presParOf" srcId="{AF09DBF0-4679-4B97-B969-7CCB697021B2}" destId="{5423F56A-3290-4D8B-947B-652345C3D082}" srcOrd="18" destOrd="0" presId="urn:microsoft.com/office/officeart/2005/8/layout/list1"/>
    <dgm:cxn modelId="{9F98BD33-5E1B-4AB3-8503-F2A6222B1E53}" type="presParOf" srcId="{AF09DBF0-4679-4B97-B969-7CCB697021B2}" destId="{49F763DE-B067-4652-8FF1-1B03CA203809}" srcOrd="19" destOrd="0" presId="urn:microsoft.com/office/officeart/2005/8/layout/list1"/>
    <dgm:cxn modelId="{A8A5FD34-6B6B-49C6-8B84-97EB33E65C91}" type="presParOf" srcId="{AF09DBF0-4679-4B97-B969-7CCB697021B2}" destId="{F5D4AB84-20BA-45BA-B66C-0C3C9A4A46B7}" srcOrd="20" destOrd="0" presId="urn:microsoft.com/office/officeart/2005/8/layout/list1"/>
    <dgm:cxn modelId="{23B8920D-449B-474A-88B1-B03A614298A2}" type="presParOf" srcId="{F5D4AB84-20BA-45BA-B66C-0C3C9A4A46B7}" destId="{E2A8B814-F415-4917-BE8A-CD4C04E664BB}" srcOrd="0" destOrd="0" presId="urn:microsoft.com/office/officeart/2005/8/layout/list1"/>
    <dgm:cxn modelId="{5EB7ABFF-CA67-47D6-BEA9-9614E979251C}" type="presParOf" srcId="{F5D4AB84-20BA-45BA-B66C-0C3C9A4A46B7}" destId="{768A8BE8-4C1C-4FE0-BA6A-E920A8A02735}" srcOrd="1" destOrd="0" presId="urn:microsoft.com/office/officeart/2005/8/layout/list1"/>
    <dgm:cxn modelId="{7C2CBC1C-117E-4DF0-8CF2-1A8BB85F6B79}" type="presParOf" srcId="{AF09DBF0-4679-4B97-B969-7CCB697021B2}" destId="{0E9FC782-38A1-4F77-B0E6-A77B1DECE131}" srcOrd="21" destOrd="0" presId="urn:microsoft.com/office/officeart/2005/8/layout/list1"/>
    <dgm:cxn modelId="{AB954BB4-69C9-4132-ABDF-98FFBFB4496E}" type="presParOf" srcId="{AF09DBF0-4679-4B97-B969-7CCB697021B2}" destId="{3DAD3739-FF2D-4417-9C07-AB9EA82C73D1}" srcOrd="22" destOrd="0" presId="urn:microsoft.com/office/officeart/2005/8/layout/list1"/>
    <dgm:cxn modelId="{687C7C3F-EE30-43A0-B64D-54A323A220A8}" type="presParOf" srcId="{AF09DBF0-4679-4B97-B969-7CCB697021B2}" destId="{1FA3DEB2-4DF5-4FCA-890B-90ABB9F74D14}" srcOrd="23" destOrd="0" presId="urn:microsoft.com/office/officeart/2005/8/layout/list1"/>
    <dgm:cxn modelId="{8C917B4B-63FC-4B3B-9941-C8DA3500ED9F}" type="presParOf" srcId="{AF09DBF0-4679-4B97-B969-7CCB697021B2}" destId="{6F34BD5C-89BE-4CA4-B32B-902DE085B519}" srcOrd="24" destOrd="0" presId="urn:microsoft.com/office/officeart/2005/8/layout/list1"/>
    <dgm:cxn modelId="{05EA477C-8897-4796-98E0-900FF5848786}" type="presParOf" srcId="{6F34BD5C-89BE-4CA4-B32B-902DE085B519}" destId="{2B2A6951-B63E-4156-9624-49D819140448}" srcOrd="0" destOrd="0" presId="urn:microsoft.com/office/officeart/2005/8/layout/list1"/>
    <dgm:cxn modelId="{00452F41-8FD3-4C98-A56A-B18EC33FA8C7}" type="presParOf" srcId="{6F34BD5C-89BE-4CA4-B32B-902DE085B519}" destId="{F8BDD408-431B-41AE-95B2-76AA3B3900EA}" srcOrd="1" destOrd="0" presId="urn:microsoft.com/office/officeart/2005/8/layout/list1"/>
    <dgm:cxn modelId="{8D0AFC9C-B338-4948-8005-88585ADDAC2B}" type="presParOf" srcId="{AF09DBF0-4679-4B97-B969-7CCB697021B2}" destId="{4C7019F4-2651-4F54-90B6-999A6D33608D}" srcOrd="25" destOrd="0" presId="urn:microsoft.com/office/officeart/2005/8/layout/list1"/>
    <dgm:cxn modelId="{399DC5E1-E9F1-46D6-BE59-1B3D8923C074}" type="presParOf" srcId="{AF09DBF0-4679-4B97-B969-7CCB697021B2}" destId="{FFEE56A6-866A-444C-B02C-50B26925CFCB}" srcOrd="26" destOrd="0" presId="urn:microsoft.com/office/officeart/2005/8/layout/list1"/>
    <dgm:cxn modelId="{A5BDBCD8-F6BE-4D0E-8ECB-0CE32BBB32F1}" type="presParOf" srcId="{AF09DBF0-4679-4B97-B969-7CCB697021B2}" destId="{FB1F5279-2BE9-4A0E-AACA-904B783A2CB4}" srcOrd="27" destOrd="0" presId="urn:microsoft.com/office/officeart/2005/8/layout/list1"/>
    <dgm:cxn modelId="{E0E664FC-99DF-496D-8E65-E16FE9BE059B}" type="presParOf" srcId="{AF09DBF0-4679-4B97-B969-7CCB697021B2}" destId="{F29999C1-E67F-434D-B4B0-930B13BB120C}" srcOrd="28" destOrd="0" presId="urn:microsoft.com/office/officeart/2005/8/layout/list1"/>
    <dgm:cxn modelId="{61A093A0-62E7-4EC1-8F78-C65527CD60BC}" type="presParOf" srcId="{F29999C1-E67F-434D-B4B0-930B13BB120C}" destId="{41807F46-1C8E-4577-84A2-8C42E78A10A6}" srcOrd="0" destOrd="0" presId="urn:microsoft.com/office/officeart/2005/8/layout/list1"/>
    <dgm:cxn modelId="{A17CE283-D290-4A74-BD1E-1A8AF8DEB766}" type="presParOf" srcId="{F29999C1-E67F-434D-B4B0-930B13BB120C}" destId="{8B286960-28B4-4530-BAAD-AAFD8A5EB201}" srcOrd="1" destOrd="0" presId="urn:microsoft.com/office/officeart/2005/8/layout/list1"/>
    <dgm:cxn modelId="{4BF7A0CC-9136-482A-8F47-6E0A41BD7D03}" type="presParOf" srcId="{AF09DBF0-4679-4B97-B969-7CCB697021B2}" destId="{5DA869BA-F096-40B5-A68C-00706EEB9DDB}" srcOrd="29" destOrd="0" presId="urn:microsoft.com/office/officeart/2005/8/layout/list1"/>
    <dgm:cxn modelId="{7F90A884-8AF0-4D65-A7A9-464195469A68}" type="presParOf" srcId="{AF09DBF0-4679-4B97-B969-7CCB697021B2}" destId="{CCA67B0D-1A91-45F7-9547-C73F7CB1CA80}" srcOrd="30" destOrd="0" presId="urn:microsoft.com/office/officeart/2005/8/layout/list1"/>
    <dgm:cxn modelId="{9E861729-9C4D-4820-81D9-50C0F96C55BF}" type="presParOf" srcId="{AF09DBF0-4679-4B97-B969-7CCB697021B2}" destId="{34BAD037-54EE-421C-8629-209C303AC63E}" srcOrd="31" destOrd="0" presId="urn:microsoft.com/office/officeart/2005/8/layout/list1"/>
    <dgm:cxn modelId="{86B96566-4733-4A0C-ABBA-C888A4EA9DF5}" type="presParOf" srcId="{AF09DBF0-4679-4B97-B969-7CCB697021B2}" destId="{91BC7B41-AE43-4144-9911-BCDB94C41D25}" srcOrd="32" destOrd="0" presId="urn:microsoft.com/office/officeart/2005/8/layout/list1"/>
    <dgm:cxn modelId="{1F5FC882-51EA-43F4-B10F-97D0A67AC80D}" type="presParOf" srcId="{91BC7B41-AE43-4144-9911-BCDB94C41D25}" destId="{7F80C30C-CCC7-42F2-9DFA-F99528C10BBC}" srcOrd="0" destOrd="0" presId="urn:microsoft.com/office/officeart/2005/8/layout/list1"/>
    <dgm:cxn modelId="{F72F1AFF-9BEF-4F96-8B12-68220557FF25}" type="presParOf" srcId="{91BC7B41-AE43-4144-9911-BCDB94C41D25}" destId="{ABFFC634-FF62-4268-9646-2D7DC82DA5E2}" srcOrd="1" destOrd="0" presId="urn:microsoft.com/office/officeart/2005/8/layout/list1"/>
    <dgm:cxn modelId="{D85A6B6E-BEF1-489F-926E-B13647D60B75}" type="presParOf" srcId="{AF09DBF0-4679-4B97-B969-7CCB697021B2}" destId="{D307C6A1-E9EA-4686-9C1A-78139A53C6DF}" srcOrd="33" destOrd="0" presId="urn:microsoft.com/office/officeart/2005/8/layout/list1"/>
    <dgm:cxn modelId="{81EA834B-2BFB-4CCE-96B0-22F6A70F25CE}" type="presParOf" srcId="{AF09DBF0-4679-4B97-B969-7CCB697021B2}" destId="{F497F969-E5ED-4127-99B0-D5ABF72149FE}" srcOrd="34" destOrd="0" presId="urn:microsoft.com/office/officeart/2005/8/layout/list1"/>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D47BE-1EE3-4908-AC51-CC284C7A4660}">
      <dsp:nvSpPr>
        <dsp:cNvPr id="0" name=""/>
        <dsp:cNvSpPr/>
      </dsp:nvSpPr>
      <dsp:spPr>
        <a:xfrm>
          <a:off x="0" y="170827"/>
          <a:ext cx="5400675"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B247C6-D10E-4874-8E90-6A0F20A86325}">
      <dsp:nvSpPr>
        <dsp:cNvPr id="0" name=""/>
        <dsp:cNvSpPr/>
      </dsp:nvSpPr>
      <dsp:spPr>
        <a:xfrm>
          <a:off x="270033" y="8467"/>
          <a:ext cx="3780472"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1. Commencement meeting</a:t>
          </a:r>
        </a:p>
      </dsp:txBody>
      <dsp:txXfrm>
        <a:off x="285885" y="24319"/>
        <a:ext cx="3748768" cy="293016"/>
      </dsp:txXfrm>
    </dsp:sp>
    <dsp:sp modelId="{53B33680-317A-4C42-BCA1-FBD21E0BC88C}">
      <dsp:nvSpPr>
        <dsp:cNvPr id="0" name=""/>
        <dsp:cNvSpPr/>
      </dsp:nvSpPr>
      <dsp:spPr>
        <a:xfrm>
          <a:off x="0" y="669787"/>
          <a:ext cx="5400675" cy="277200"/>
        </a:xfrm>
        <a:prstGeom prst="rect">
          <a:avLst/>
        </a:prstGeom>
        <a:solidFill>
          <a:schemeClr val="lt1">
            <a:alpha val="90000"/>
            <a:hueOff val="0"/>
            <a:satOff val="0"/>
            <a:lumOff val="0"/>
            <a:alphaOff val="0"/>
          </a:schemeClr>
        </a:solidFill>
        <a:ln w="25400" cap="flat" cmpd="sng" algn="ctr">
          <a:solidFill>
            <a:schemeClr val="accent2">
              <a:hueOff val="585190"/>
              <a:satOff val="-730"/>
              <a:lumOff val="172"/>
              <a:alphaOff val="0"/>
            </a:schemeClr>
          </a:solidFill>
          <a:prstDash val="solid"/>
        </a:ln>
        <a:effectLst/>
      </dsp:spPr>
      <dsp:style>
        <a:lnRef idx="2">
          <a:scrgbClr r="0" g="0" b="0"/>
        </a:lnRef>
        <a:fillRef idx="1">
          <a:scrgbClr r="0" g="0" b="0"/>
        </a:fillRef>
        <a:effectRef idx="0">
          <a:scrgbClr r="0" g="0" b="0"/>
        </a:effectRef>
        <a:fontRef idx="minor"/>
      </dsp:style>
    </dsp:sp>
    <dsp:sp modelId="{426E4AC9-4CAE-4468-96F7-A81EA595BB32}">
      <dsp:nvSpPr>
        <dsp:cNvPr id="0" name=""/>
        <dsp:cNvSpPr/>
      </dsp:nvSpPr>
      <dsp:spPr>
        <a:xfrm>
          <a:off x="270033" y="507427"/>
          <a:ext cx="3780472" cy="324720"/>
        </a:xfrm>
        <a:prstGeom prst="roundRect">
          <a:avLst/>
        </a:prstGeom>
        <a:solidFill>
          <a:schemeClr val="accent2">
            <a:hueOff val="585190"/>
            <a:satOff val="-730"/>
            <a:lumOff val="1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2. Project plan finalisation</a:t>
          </a:r>
        </a:p>
      </dsp:txBody>
      <dsp:txXfrm>
        <a:off x="285885" y="523279"/>
        <a:ext cx="3748768" cy="293016"/>
      </dsp:txXfrm>
    </dsp:sp>
    <dsp:sp modelId="{1009A49A-F4AB-4686-BAE8-DAC8C06A8347}">
      <dsp:nvSpPr>
        <dsp:cNvPr id="0" name=""/>
        <dsp:cNvSpPr/>
      </dsp:nvSpPr>
      <dsp:spPr>
        <a:xfrm>
          <a:off x="0" y="1168747"/>
          <a:ext cx="5400675" cy="277200"/>
        </a:xfrm>
        <a:prstGeom prst="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sp>
    <dsp:sp modelId="{C74AAFD7-0D8F-4389-9C51-63B4B38C152C}">
      <dsp:nvSpPr>
        <dsp:cNvPr id="0" name=""/>
        <dsp:cNvSpPr/>
      </dsp:nvSpPr>
      <dsp:spPr>
        <a:xfrm>
          <a:off x="270033" y="1006387"/>
          <a:ext cx="3780472" cy="324720"/>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3. Literature review and preliminary evaluation</a:t>
          </a:r>
        </a:p>
      </dsp:txBody>
      <dsp:txXfrm>
        <a:off x="285885" y="1022239"/>
        <a:ext cx="3748768" cy="293016"/>
      </dsp:txXfrm>
    </dsp:sp>
    <dsp:sp modelId="{2B4DA9B0-30C0-4375-BA6D-44275296A78F}">
      <dsp:nvSpPr>
        <dsp:cNvPr id="0" name=""/>
        <dsp:cNvSpPr/>
      </dsp:nvSpPr>
      <dsp:spPr>
        <a:xfrm>
          <a:off x="0" y="1667707"/>
          <a:ext cx="5400675" cy="277200"/>
        </a:xfrm>
        <a:prstGeom prst="rect">
          <a:avLst/>
        </a:prstGeom>
        <a:solidFill>
          <a:schemeClr val="lt1">
            <a:alpha val="90000"/>
            <a:hueOff val="0"/>
            <a:satOff val="0"/>
            <a:lumOff val="0"/>
            <a:alphaOff val="0"/>
          </a:schemeClr>
        </a:solidFill>
        <a:ln w="25400" cap="flat" cmpd="sng" algn="ctr">
          <a:solidFill>
            <a:schemeClr val="accent2">
              <a:hueOff val="1755570"/>
              <a:satOff val="-2190"/>
              <a:lumOff val="515"/>
              <a:alphaOff val="0"/>
            </a:schemeClr>
          </a:solidFill>
          <a:prstDash val="solid"/>
        </a:ln>
        <a:effectLst/>
      </dsp:spPr>
      <dsp:style>
        <a:lnRef idx="2">
          <a:scrgbClr r="0" g="0" b="0"/>
        </a:lnRef>
        <a:fillRef idx="1">
          <a:scrgbClr r="0" g="0" b="0"/>
        </a:fillRef>
        <a:effectRef idx="0">
          <a:scrgbClr r="0" g="0" b="0"/>
        </a:effectRef>
        <a:fontRef idx="minor"/>
      </dsp:style>
    </dsp:sp>
    <dsp:sp modelId="{9DFF72D5-1C63-4ABB-9DD4-3367799EF22A}">
      <dsp:nvSpPr>
        <dsp:cNvPr id="0" name=""/>
        <dsp:cNvSpPr/>
      </dsp:nvSpPr>
      <dsp:spPr>
        <a:xfrm>
          <a:off x="270033" y="1505347"/>
          <a:ext cx="3780472" cy="324720"/>
        </a:xfrm>
        <a:prstGeom prst="roundRect">
          <a:avLst/>
        </a:prstGeom>
        <a:solidFill>
          <a:schemeClr val="accent2">
            <a:hueOff val="1755570"/>
            <a:satOff val="-2190"/>
            <a:lumOff val="5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4. Reform proposal list finalisation</a:t>
          </a:r>
        </a:p>
      </dsp:txBody>
      <dsp:txXfrm>
        <a:off x="285885" y="1521199"/>
        <a:ext cx="3748768" cy="293016"/>
      </dsp:txXfrm>
    </dsp:sp>
    <dsp:sp modelId="{5423F56A-3290-4D8B-947B-652345C3D082}">
      <dsp:nvSpPr>
        <dsp:cNvPr id="0" name=""/>
        <dsp:cNvSpPr/>
      </dsp:nvSpPr>
      <dsp:spPr>
        <a:xfrm>
          <a:off x="0" y="2166667"/>
          <a:ext cx="5400675" cy="277200"/>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494B1E90-31EA-46E5-B777-13D56B88544D}">
      <dsp:nvSpPr>
        <dsp:cNvPr id="0" name=""/>
        <dsp:cNvSpPr/>
      </dsp:nvSpPr>
      <dsp:spPr>
        <a:xfrm>
          <a:off x="270033" y="2004307"/>
          <a:ext cx="3780472" cy="32472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5. Feasibility assessment framework testing and refinement</a:t>
          </a:r>
        </a:p>
      </dsp:txBody>
      <dsp:txXfrm>
        <a:off x="285885" y="2020159"/>
        <a:ext cx="3748768" cy="293016"/>
      </dsp:txXfrm>
    </dsp:sp>
    <dsp:sp modelId="{3DAD3739-FF2D-4417-9C07-AB9EA82C73D1}">
      <dsp:nvSpPr>
        <dsp:cNvPr id="0" name=""/>
        <dsp:cNvSpPr/>
      </dsp:nvSpPr>
      <dsp:spPr>
        <a:xfrm>
          <a:off x="0" y="2665627"/>
          <a:ext cx="5400675" cy="277200"/>
        </a:xfrm>
        <a:prstGeom prst="rect">
          <a:avLst/>
        </a:prstGeom>
        <a:solidFill>
          <a:schemeClr val="lt1">
            <a:alpha val="90000"/>
            <a:hueOff val="0"/>
            <a:satOff val="0"/>
            <a:lumOff val="0"/>
            <a:alphaOff val="0"/>
          </a:schemeClr>
        </a:solidFill>
        <a:ln w="25400" cap="flat" cmpd="sng" algn="ctr">
          <a:solidFill>
            <a:schemeClr val="accent2">
              <a:hueOff val="2925949"/>
              <a:satOff val="-3649"/>
              <a:lumOff val="858"/>
              <a:alphaOff val="0"/>
            </a:schemeClr>
          </a:solidFill>
          <a:prstDash val="solid"/>
        </a:ln>
        <a:effectLst/>
      </dsp:spPr>
      <dsp:style>
        <a:lnRef idx="2">
          <a:scrgbClr r="0" g="0" b="0"/>
        </a:lnRef>
        <a:fillRef idx="1">
          <a:scrgbClr r="0" g="0" b="0"/>
        </a:fillRef>
        <a:effectRef idx="0">
          <a:scrgbClr r="0" g="0" b="0"/>
        </a:effectRef>
        <a:fontRef idx="minor"/>
      </dsp:style>
    </dsp:sp>
    <dsp:sp modelId="{768A8BE8-4C1C-4FE0-BA6A-E920A8A02735}">
      <dsp:nvSpPr>
        <dsp:cNvPr id="0" name=""/>
        <dsp:cNvSpPr/>
      </dsp:nvSpPr>
      <dsp:spPr>
        <a:xfrm>
          <a:off x="270033" y="2503267"/>
          <a:ext cx="3780472" cy="324720"/>
        </a:xfrm>
        <a:prstGeom prst="roundRect">
          <a:avLst/>
        </a:prstGeom>
        <a:solidFill>
          <a:schemeClr val="accent2">
            <a:hueOff val="2925949"/>
            <a:satOff val="-3649"/>
            <a:lumOff val="8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6. Stakeholder consultation on all reform proposals</a:t>
          </a:r>
        </a:p>
      </dsp:txBody>
      <dsp:txXfrm>
        <a:off x="285885" y="2519119"/>
        <a:ext cx="3748768" cy="293016"/>
      </dsp:txXfrm>
    </dsp:sp>
    <dsp:sp modelId="{FFEE56A6-866A-444C-B02C-50B26925CFCB}">
      <dsp:nvSpPr>
        <dsp:cNvPr id="0" name=""/>
        <dsp:cNvSpPr/>
      </dsp:nvSpPr>
      <dsp:spPr>
        <a:xfrm>
          <a:off x="0" y="3164587"/>
          <a:ext cx="5400675" cy="277200"/>
        </a:xfrm>
        <a:prstGeom prst="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sp>
    <dsp:sp modelId="{F8BDD408-431B-41AE-95B2-76AA3B3900EA}">
      <dsp:nvSpPr>
        <dsp:cNvPr id="0" name=""/>
        <dsp:cNvSpPr/>
      </dsp:nvSpPr>
      <dsp:spPr>
        <a:xfrm>
          <a:off x="270033" y="3002227"/>
          <a:ext cx="3780472" cy="324720"/>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7. Reform proposals analysis</a:t>
          </a:r>
        </a:p>
      </dsp:txBody>
      <dsp:txXfrm>
        <a:off x="285885" y="3018079"/>
        <a:ext cx="3748768" cy="293016"/>
      </dsp:txXfrm>
    </dsp:sp>
    <dsp:sp modelId="{CCA67B0D-1A91-45F7-9547-C73F7CB1CA80}">
      <dsp:nvSpPr>
        <dsp:cNvPr id="0" name=""/>
        <dsp:cNvSpPr/>
      </dsp:nvSpPr>
      <dsp:spPr>
        <a:xfrm>
          <a:off x="0" y="3663547"/>
          <a:ext cx="5400675" cy="277200"/>
        </a:xfrm>
        <a:prstGeom prst="rect">
          <a:avLst/>
        </a:prstGeom>
        <a:solidFill>
          <a:schemeClr val="lt1">
            <a:alpha val="90000"/>
            <a:hueOff val="0"/>
            <a:satOff val="0"/>
            <a:lumOff val="0"/>
            <a:alphaOff val="0"/>
          </a:schemeClr>
        </a:solidFill>
        <a:ln w="25400" cap="flat" cmpd="sng" algn="ctr">
          <a:solidFill>
            <a:schemeClr val="accent2">
              <a:hueOff val="4096329"/>
              <a:satOff val="-5109"/>
              <a:lumOff val="1201"/>
              <a:alphaOff val="0"/>
            </a:schemeClr>
          </a:solidFill>
          <a:prstDash val="solid"/>
        </a:ln>
        <a:effectLst/>
      </dsp:spPr>
      <dsp:style>
        <a:lnRef idx="2">
          <a:scrgbClr r="0" g="0" b="0"/>
        </a:lnRef>
        <a:fillRef idx="1">
          <a:scrgbClr r="0" g="0" b="0"/>
        </a:fillRef>
        <a:effectRef idx="0">
          <a:scrgbClr r="0" g="0" b="0"/>
        </a:effectRef>
        <a:fontRef idx="minor"/>
      </dsp:style>
    </dsp:sp>
    <dsp:sp modelId="{8B286960-28B4-4530-BAAD-AAFD8A5EB201}">
      <dsp:nvSpPr>
        <dsp:cNvPr id="0" name=""/>
        <dsp:cNvSpPr/>
      </dsp:nvSpPr>
      <dsp:spPr>
        <a:xfrm>
          <a:off x="270033" y="3501187"/>
          <a:ext cx="3780472" cy="324720"/>
        </a:xfrm>
        <a:prstGeom prst="roundRect">
          <a:avLst/>
        </a:prstGeom>
        <a:solidFill>
          <a:schemeClr val="accent2">
            <a:hueOff val="4096329"/>
            <a:satOff val="-5109"/>
            <a:lumOff val="12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8. Draft report</a:t>
          </a:r>
        </a:p>
      </dsp:txBody>
      <dsp:txXfrm>
        <a:off x="285885" y="3517039"/>
        <a:ext cx="3748768" cy="293016"/>
      </dsp:txXfrm>
    </dsp:sp>
    <dsp:sp modelId="{F497F969-E5ED-4127-99B0-D5ABF72149FE}">
      <dsp:nvSpPr>
        <dsp:cNvPr id="0" name=""/>
        <dsp:cNvSpPr/>
      </dsp:nvSpPr>
      <dsp:spPr>
        <a:xfrm>
          <a:off x="0" y="4162507"/>
          <a:ext cx="5400675" cy="277200"/>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ABFFC634-FF62-4268-9646-2D7DC82DA5E2}">
      <dsp:nvSpPr>
        <dsp:cNvPr id="0" name=""/>
        <dsp:cNvSpPr/>
      </dsp:nvSpPr>
      <dsp:spPr>
        <a:xfrm>
          <a:off x="270033" y="4000147"/>
          <a:ext cx="3780472" cy="32472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893" tIns="0" rIns="142893" bIns="0" numCol="1" spcCol="1270" anchor="ctr" anchorCtr="0">
          <a:noAutofit/>
        </a:bodyPr>
        <a:lstStyle/>
        <a:p>
          <a:pPr lvl="0" algn="l" defTabSz="400050">
            <a:lnSpc>
              <a:spcPct val="90000"/>
            </a:lnSpc>
            <a:spcBef>
              <a:spcPct val="0"/>
            </a:spcBef>
            <a:spcAft>
              <a:spcPct val="35000"/>
            </a:spcAft>
          </a:pPr>
          <a:r>
            <a:rPr lang="en-AU" sz="900" kern="1200"/>
            <a:t>9. Final report</a:t>
          </a:r>
        </a:p>
      </dsp:txBody>
      <dsp:txXfrm>
        <a:off x="285885" y="4015999"/>
        <a:ext cx="3748768"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E35318DBD4D24BA4765F4D08041410" ma:contentTypeVersion="3" ma:contentTypeDescription="Create a new document." ma:contentTypeScope="" ma:versionID="59d61a53be928f63bbcafa4f7020ba70">
  <xsd:schema xmlns:xsd="http://www.w3.org/2001/XMLSchema" xmlns:xs="http://www.w3.org/2001/XMLSchema" xmlns:p="http://schemas.microsoft.com/office/2006/metadata/properties" xmlns:ns2="6775d784-b483-474c-a3cd-5660be098edb" targetNamespace="http://schemas.microsoft.com/office/2006/metadata/properties" ma:root="true" ma:fieldsID="b49c00ea6a033da41169ef7335f9cb26" ns2:_="">
    <xsd:import namespace="6775d784-b483-474c-a3cd-5660be098edb"/>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5d784-b483-474c-a3cd-5660be098e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b:Source>
    <b:Tag>Dep14</b:Tag>
    <b:SourceType>Report</b:SourceType>
    <b:Guid>{55FC7395-B6DB-4DFB-831F-9E95B7B2E41B}</b:Guid>
    <b:Author>
      <b:Author>
        <b:Corporate>Department of Industry</b:Corporate>
      </b:Author>
    </b:Author>
    <b:Title>Industry Officer’s Guide to Regulation Reform</b:Title>
    <b:Year>2014</b:Year>
    <b:Publisher>Department of Industry</b:Publisher>
    <b:City>Canberra</b:City>
    <b:RefOrder>13</b:RefOrder>
  </b:Source>
  <b:Source>
    <b:Tag>GHD</b:Tag>
    <b:SourceType>Report</b:SourceType>
    <b:Guid>{E5BD7569-F3E4-4254-A411-BFB0C16289AF}</b:Guid>
    <b:Author>
      <b:Author>
        <b:Corporate>GHD</b:Corporate>
      </b:Author>
    </b:Author>
    <b:Title>Cost-benefit analysis of possible changes to export provisions favouring domestic hazardous waste treatmen</b:Title>
    <b:Year>2013</b:Year>
    <b:Publisher>Report prepared by GHD on behalf of the Department of Sustainability, Environment, Water, Population and Communities</b:Publisher>
    <b:City>Sydney</b:City>
    <b:RefOrder>5</b:RefOrder>
  </b:Source>
  <b:Source>
    <b:Tag>SRU15</b:Tag>
    <b:SourceType>Report</b:SourceType>
    <b:Guid>{792117C8-B177-49A9-B055-FBC93B432827}</b:Guid>
    <b:Author>
      <b:Author>
        <b:Corporate>SRU and MJA</b:Corporate>
      </b:Author>
    </b:Author>
    <b:Title>Hazardous waste reform options analysis – Consultation paper and questionnaire</b:Title>
    <b:Year>2015</b:Year>
    <b:Publisher>Report prepared by Sustainable Resource Use and Marsden Jacob Associates on behalf of the Department of the Environment</b:Publisher>
    <b:City>Melbourne</b:City>
    <b:RefOrder>1</b:RefOrder>
  </b:Source>
  <b:Source>
    <b:Tag>DSE11</b:Tag>
    <b:SourceType>Report</b:SourceType>
    <b:Guid>{BB1535F6-A47E-44BF-9006-BF6577E0EEFE}</b:Guid>
    <b:Author>
      <b:Author>
        <b:Corporate>DSEWPaC</b:Corporate>
      </b:Author>
    </b:Author>
    <b:Title>Hazardous Waste Permits - Cost Recovery Impact Statement</b:Title>
    <b:Year>2011</b:Year>
    <b:Publisher>Department of Sustainability, Environment, Water, Population and Communities</b:Publisher>
    <b:City>Canberra</b:City>
    <b:RefOrder>7</b:RefOrder>
  </b:Source>
  <b:Source>
    <b:Tag>GHD15</b:Tag>
    <b:SourceType>Report</b:SourceType>
    <b:Guid>{DBBA32A7-53FF-45FC-9B27-5404EC46B4EB}</b:Guid>
    <b:Author>
      <b:Author>
        <b:Corporate>GHD</b:Corporate>
      </b:Author>
    </b:Author>
    <b:Title>Transport and environment regulation of hazardous waste – opportunities (draft report)</b:Title>
    <b:Year>2015</b:Year>
    <b:Publisher>Report prepared by GHD on behalf of the Department of the Environment</b:Publisher>
    <b:City>Sydney</b:City>
    <b:RefOrder>4</b:RefOrder>
  </b:Source>
  <b:Source>
    <b:Tag>Haz15</b:Tag>
    <b:SourceType>Report</b:SourceType>
    <b:Guid>{EC2463E6-6ADA-4A91-9C37-E6C60673F69A}</b:Guid>
    <b:Author>
      <b:Author>
        <b:Corporate>The Act</b:Corporate>
      </b:Author>
    </b:Author>
    <b:Title>Hazardous Waste (Regulation of Exports and Imports) Act 1989</b:Title>
    <b:Year>1989</b:Year>
    <b:Publisher>Prepared by the Office of Parliamentary Counsel</b:Publisher>
    <b:City>Canberra</b:City>
    <b:ShortTitle>Hazardous Waste (Regulation of Exports and Imports) Act 1989</b:ShortTitle>
    <b:StandardNumber>No. 6, 1990, Compilation No. 13</b:StandardNumber>
    <b:RefOrder>14</b:RefOrder>
  </b:Source>
  <b:Source>
    <b:Tag>Hyd15</b:Tag>
    <b:SourceType>Report</b:SourceType>
    <b:Guid>{BAB8F077-B3AA-4B99-83FC-17A1DD7EE070}</b:Guid>
    <b:Author>
      <b:Author>
        <b:Corporate>Hyder Consulting</b:Corporate>
      </b:Author>
    </b:Author>
    <b:Title>Feasibility of a nationally consistent system for tracking the movements of controlled wastes – Feasibility Analysis</b:Title>
    <b:Year>2015</b:Year>
    <b:Publisher>Report prepared by Hyder Consulting on behalf of the Department of the Environment</b:Publisher>
    <b:City>Sydney</b:City>
    <b:RefOrder>12</b:RefOrder>
  </b:Source>
  <b:Source>
    <b:Tag>Blu15</b:Tag>
    <b:SourceType>Report</b:SourceType>
    <b:Guid>{45788FF8-F26D-4A92-B0C9-89E6A78F5508}</b:Guid>
    <b:Author>
      <b:Author>
        <b:Corporate>Blue Environment, et al.</b:Corporate>
      </b:Author>
    </b:Author>
    <b:Title>Hazardous waste in Australia</b:Title>
    <b:Year>2015a</b:Year>
    <b:Publisher>Report prepared by Blue Environment, Ascend Waste and Environment and Randell Environmental Consulting on behalf of the Department of the Environment</b:Publisher>
    <b:City>Melbourne</b:City>
    <b:RefOrder>10</b:RefOrder>
  </b:Source>
  <b:Source>
    <b:Tag>Ble15</b:Tag>
    <b:SourceType>Report</b:SourceType>
    <b:Guid>{19B26B22-C45B-4308-BD86-33D7AE631C34}</b:Guid>
    <b:Author>
      <b:Author>
        <b:Corporate>Blue Environment, et al.</b:Corporate>
      </b:Author>
    </b:Author>
    <b:Title>Hazardous waste infrastructure needs and capacity assessment</b:Title>
    <b:Year>2015b</b:Year>
    <b:Publisher>Report prepared by Blue Environment, Ascend Waste and Environment and Randell Environmental Consulting on behalf of the Department of the Environment</b:Publisher>
    <b:City>Melbourne</b:City>
    <b:RefOrder>6</b:RefOrder>
  </b:Source>
  <b:Source>
    <b:Tag>Blu14</b:Tag>
    <b:SourceType>Report</b:SourceType>
    <b:Guid>{71A0F490-7FB8-44E6-8111-068FDF475187}</b:Guid>
    <b:Author>
      <b:Author>
        <b:Corporate>Blue Environment, et al.</b:Corporate>
      </b:Author>
    </b:Author>
    <b:Title>Improving Australia's reporting on hazardous waste under the Basel Convention</b:Title>
    <b:Year>2014</b:Year>
    <b:Publisher>Report prepared by Blue Environment, Environ and Randell Environmental Consulting on behalf of the Department of Sustainability, Environment, Water, Population and Communities</b:Publisher>
    <b:City>Melbourne</b:City>
    <b:RefOrder>11</b:RefOrder>
  </b:Source>
  <b:Source>
    <b:Tag>SKM12</b:Tag>
    <b:SourceType>Report</b:SourceType>
    <b:Guid>{765D1C8D-C894-4021-9998-7055920B5568}</b:Guid>
    <b:Author>
      <b:Author>
        <b:Corporate>SKM</b:Corporate>
      </b:Author>
    </b:Author>
    <b:Title>Review of Australia’s international waste-related reporting obligations</b:Title>
    <b:Year>2012</b:Year>
    <b:Publisher>Report prepared by Sinclair Knight Merz on behalf of the Department of Sustainability, Environment, Water, Population and Communities</b:Publisher>
    <b:City>South Brisbane</b:City>
    <b:RefOrder>15</b:RefOrder>
  </b:Source>
  <b:Source>
    <b:Tag>MJA14</b:Tag>
    <b:SourceType>Report</b:SourceType>
    <b:Guid>{75387FDC-F126-4F38-A630-FC33DE639FAF}</b:Guid>
    <b:Author>
      <b:Author>
        <b:Corporate>Marsden Jacob, et al.</b:Corporate>
      </b:Author>
    </b:Author>
    <b:Title>Estimate of the cost of hazardous waste in Australia</b:Title>
    <b:Year>2014</b:Year>
    <b:Publisher>Report prepared by Marsden Jacob Associates (Marsden Jacob), Sustainable Resource Use (SRU) and Nolan Consulting on behalf of the Department of the Environment</b:Publisher>
    <b:City>Melbourne</b:City>
    <b:RefOrder>16</b:RefOrder>
  </b:Source>
  <b:Source>
    <b:Tag>Bas92</b:Tag>
    <b:SourceType>Report</b:SourceType>
    <b:Guid>{BAD009F9-CBDC-4E94-B46C-B5F3046150F4}</b:Guid>
    <b:Author>
      <b:Author>
        <b:Corporate>Basel Convention</b:Corporate>
      </b:Author>
    </b:Author>
    <b:Title>Basel Convention on the Control of Transboundary Movements of Hazardous Wastes</b:Title>
    <b:Year>1992</b:Year>
    <b:Publisher>Secretariat of the Basel Convention</b:Publisher>
    <b:City>Switzerland</b:City>
    <b:RefOrder>17</b:RefOrder>
  </b:Source>
  <b:Source>
    <b:Tag>The90</b:Tag>
    <b:SourceType>Report</b:SourceType>
    <b:Guid>{490CF57D-3DB5-4A2E-8617-A57645CC075E}</b:Guid>
    <b:Author>
      <b:Author>
        <b:Corporate>The Regulations</b:Corporate>
      </b:Author>
    </b:Author>
    <b:Title>Hazardous Waste (Regulation of Exports and Imports) (Fees) Regulations 1990</b:Title>
    <b:Year>1990</b:Year>
    <b:Publisher>Prepared by the Office of Parliamentary Counsel</b:Publisher>
    <b:City>Canberra</b:City>
    <b:RefOrder>9</b:RefOrder>
  </b:Source>
  <b:Source>
    <b:Tag>The96</b:Tag>
    <b:SourceType>Report</b:SourceType>
    <b:Guid>{9FDEA3AF-1D2A-4594-B140-614C4A11A6B3}</b:Guid>
    <b:Author>
      <b:Author>
        <b:Corporate>The Regulations</b:Corporate>
      </b:Author>
    </b:Author>
    <b:Title>Hazardous Waste (Regulation of Exports and Imports) (OECD Decision) Regulations 1996</b:Title>
    <b:Year>1996a</b:Year>
    <b:Publisher>Prepared by the Office of Parliamentary Counsel</b:Publisher>
    <b:City>Canberra</b:City>
    <b:RefOrder>18</b:RefOrder>
  </b:Source>
  <b:Source>
    <b:Tag>The99</b:Tag>
    <b:SourceType>Report</b:SourceType>
    <b:Guid>{515324B8-F752-424B-9DB3-DF31876C7911}</b:Guid>
    <b:Author>
      <b:Author>
        <b:Corporate>The Regulations</b:Corporate>
      </b:Author>
    </b:Author>
    <b:Title>Hazardous Waste (Regulation of Exports and Imports) (Waigani Convention) Regulations 1999</b:Title>
    <b:Year>1999a</b:Year>
    <b:Publisher>Prepared by the Office of Parliamentary Counsel</b:Publisher>
    <b:City>Canberra</b:City>
    <b:RefOrder>19</b:RefOrder>
  </b:Source>
  <b:Source>
    <b:Tag>The100</b:Tag>
    <b:SourceType>Report</b:SourceType>
    <b:Guid>{58028E46-5743-4193-ACA4-D004983E1EAE}</b:Guid>
    <b:Author>
      <b:Author>
        <b:Corporate>The Regulations</b:Corporate>
      </b:Author>
    </b:Author>
    <b:Title>Hazardous Waste (Regulation of Exports and Imports) Decision IV/9 Regulations 1999</b:Title>
    <b:Year>1999b</b:Year>
    <b:Publisher>Prepared by the Office of Parliamentary Counsel</b:Publisher>
    <b:City>Canberra</b:City>
    <b:RefOrder>20</b:RefOrder>
  </b:Source>
  <b:Source>
    <b:Tag>The</b:Tag>
    <b:SourceType>Report</b:SourceType>
    <b:Guid>{C8D9FC7A-FDA9-4A25-9EB2-A8C6601AF1B4}</b:Guid>
    <b:Author>
      <b:Author>
        <b:Corporate>The Regulations</b:Corporate>
      </b:Author>
    </b:Author>
    <b:Title>Hazardous Waste (Regulation of Exports and Imports) Regulations 1996</b:Title>
    <b:City>Canberra</b:City>
    <b:Year>1996b</b:Year>
    <b:Publisher>Prepared by the Office of Parliamentary Counsel</b:Publisher>
    <b:RefOrder>21</b:RefOrder>
  </b:Source>
  <b:Source>
    <b:Tag>EPH09</b:Tag>
    <b:SourceType>Report</b:SourceType>
    <b:Guid>{8BB1347D-DB43-48D2-938B-C3B851852220}</b:Guid>
    <b:Author>
      <b:Author>
        <b:Corporate>EPHC</b:Corporate>
      </b:Author>
    </b:Author>
    <b:Title>National Waste Policy: Less Waste, More Resources</b:Title>
    <b:Year>2009</b:Year>
    <b:Publisher>Environment Protection and Heritage Council</b:Publisher>
    <b:City>Adelaide</b:City>
    <b:RefOrder>22</b:RefOrder>
  </b:Source>
  <b:Source>
    <b:Tag>DPM14</b:Tag>
    <b:SourceType>Report</b:SourceType>
    <b:Guid>{00DBDF4C-404F-4A99-86AA-292F768AE389}</b:Guid>
    <b:Author>
      <b:Author>
        <b:Corporate>DPMC</b:Corporate>
      </b:Author>
    </b:Author>
    <b:Title>The Australian Government Guide to Regulation</b:Title>
    <b:Year>2014</b:Year>
    <b:Publisher>Department of the Prime Minister and Cabinet</b:Publisher>
    <b:City>Canberra</b:City>
    <b:RefOrder>2</b:RefOrder>
  </b:Source>
  <b:Source>
    <b:Tag>The15</b:Tag>
    <b:SourceType>Report</b:SourceType>
    <b:Guid>{463D49EF-FF4B-4089-8F81-B6ECDE0B7387}</b:Guid>
    <b:Author>
      <b:Author>
        <b:Corporate>DoE</b:Corporate>
      </b:Author>
    </b:Author>
    <b:Title>Cost Recovery Implementation Statement – Hazardous Waste Permits 2015–16</b:Title>
    <b:Year>2015</b:Year>
    <b:Publisher>Department of the Environment</b:Publisher>
    <b:City>Canberra</b:City>
    <b:RefOrder>8</b:RefOrder>
  </b:Source>
  <b:Source>
    <b:Tag>Dep13</b:Tag>
    <b:SourceType>Report</b:SourceType>
    <b:Guid>{EDD493C9-D46F-4559-8BB5-5234B447591F}</b:Guid>
    <b:Author>
      <b:Author>
        <b:Corporate>DoE</b:Corporate>
      </b:Author>
    </b:Author>
    <b:Title>Review of the Hazardous Waste (Regulation of Exports and Imports) Act 1989 and Regulations - Consultation Paper</b:Title>
    <b:Year>2012</b:Year>
    <b:Publisher>Department of the Environment</b:Publisher>
    <b:City>Canberra</b:City>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B64358-4228-4B76-AAC5-E5B36EDBD07F}">
  <ds:schemaRefs>
    <ds:schemaRef ds:uri="http://schemas.microsoft.com/sharepoint/v3/contenttype/forms"/>
  </ds:schemaRefs>
</ds:datastoreItem>
</file>

<file path=customXml/itemProps3.xml><?xml version="1.0" encoding="utf-8"?>
<ds:datastoreItem xmlns:ds="http://schemas.openxmlformats.org/officeDocument/2006/customXml" ds:itemID="{D41AF243-B463-42FE-9C36-B6E4FF3BE1B1}">
  <ds:schemaRefs>
    <ds:schemaRef ds:uri="http://purl.org/dc/terms/"/>
    <ds:schemaRef ds:uri="http://schemas.openxmlformats.org/package/2006/metadata/core-properties"/>
    <ds:schemaRef ds:uri="6775d784-b483-474c-a3cd-5660be098edb"/>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A92161B-57E4-4881-B400-8500D92D5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5d784-b483-474c-a3cd-5660be098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42B62F-3FE9-40BB-A840-C84C7F49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SRU Template</Template>
  <TotalTime>1061</TotalTime>
  <Pages>71</Pages>
  <Words>23109</Words>
  <Characters>131727</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O'Farrell</dc:creator>
  <cp:lastModifiedBy>Kyle O'Farrell</cp:lastModifiedBy>
  <cp:revision>44</cp:revision>
  <cp:lastPrinted>2015-07-30T02:32:00Z</cp:lastPrinted>
  <dcterms:created xsi:type="dcterms:W3CDTF">2015-07-24T01:25:00Z</dcterms:created>
  <dcterms:modified xsi:type="dcterms:W3CDTF">2015-07-30T02:33:00Z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0x01010061E35318DBD4D24BA4765F4D08041410</vt:lpwstr>
  </property>
  <property fmtid="{D5CDD505-2E9C-101B-9397-08002B2CF9AE}" pid="3" name="ReportTitle">
    <vt:lpwstr>Project report (final)</vt:lpwstr>
  </property>
  <property fmtid="{D5CDD505-2E9C-101B-9397-08002B2CF9AE}" pid="4" name="Subtitle">
    <vt:lpwstr> </vt:lpwstr>
  </property>
  <property fmtid="{D5CDD505-2E9C-101B-9397-08002B2CF9AE}" pid="5" name="Client">
    <vt:lpwstr>Department of the Environment</vt:lpwstr>
  </property>
  <property fmtid="{D5CDD505-2E9C-101B-9397-08002B2CF9AE}" pid="6" name="ReportNum">
    <vt:lpwstr>R04-04-A11312</vt:lpwstr>
  </property>
  <property fmtid="{D5CDD505-2E9C-101B-9397-08002B2CF9AE}" pid="7" name="ProjectNum">
    <vt:lpwstr>A11312</vt:lpwstr>
  </property>
  <property fmtid="{D5CDD505-2E9C-101B-9397-08002B2CF9AE}" pid="8" name="ReportDate">
    <vt:lpwstr>30 July 2015</vt:lpwstr>
  </property>
  <property fmtid="{D5CDD505-2E9C-101B-9397-08002B2CF9AE}" pid="9" name="ProjectName">
    <vt:lpwstr>Hazardous waste reform proposals analysis</vt:lpwstr>
  </property>
  <property fmtid="{D5CDD505-2E9C-101B-9397-08002B2CF9AE}" pid="10" name="ClientName">
    <vt:lpwstr> </vt:lpwstr>
  </property>
  <property fmtid="{D5CDD505-2E9C-101B-9397-08002B2CF9AE}" pid="11" name="ClientPosition">
    <vt:lpwstr> </vt:lpwstr>
  </property>
</Properties>
</file>