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3.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4387" w14:textId="2A769320" w:rsidR="00B22962" w:rsidRPr="00552D17" w:rsidRDefault="00151CEB" w:rsidP="00C3452F">
      <w:pPr>
        <w:pStyle w:val="Title"/>
        <w:rPr>
          <w:rFonts w:asciiTheme="minorHAnsi" w:hAnsiTheme="minorHAnsi"/>
        </w:rPr>
      </w:pPr>
      <w:r>
        <w:rPr>
          <w:rFonts w:asciiTheme="minorHAnsi" w:hAnsiTheme="minorHAnsi"/>
        </w:rPr>
        <w:t xml:space="preserve">Hazardous </w:t>
      </w:r>
      <w:r w:rsidR="00671BDE" w:rsidRPr="00671BDE">
        <w:rPr>
          <w:rFonts w:asciiTheme="minorHAnsi" w:hAnsiTheme="minorHAnsi"/>
        </w:rPr>
        <w:t xml:space="preserve">waste </w:t>
      </w:r>
      <w:r w:rsidR="003279E7">
        <w:rPr>
          <w:rFonts w:asciiTheme="minorHAnsi" w:hAnsiTheme="minorHAnsi"/>
        </w:rPr>
        <w:t>st</w:t>
      </w:r>
      <w:bookmarkStart w:id="0" w:name="_GoBack"/>
      <w:bookmarkEnd w:id="0"/>
      <w:r w:rsidR="003279E7">
        <w:rPr>
          <w:rFonts w:asciiTheme="minorHAnsi" w:hAnsiTheme="minorHAnsi"/>
        </w:rPr>
        <w:t>ockpiles</w:t>
      </w:r>
      <w:r w:rsidR="004F3AF5">
        <w:rPr>
          <w:rFonts w:asciiTheme="minorHAnsi" w:hAnsiTheme="minorHAnsi"/>
        </w:rPr>
        <w:t xml:space="preserve"> </w:t>
      </w:r>
      <w:r w:rsidR="002805B2">
        <w:rPr>
          <w:rFonts w:asciiTheme="minorHAnsi" w:hAnsiTheme="minorHAnsi"/>
        </w:rPr>
        <w:t xml:space="preserve">and approved long-term storages </w:t>
      </w:r>
      <w:r w:rsidR="00671BDE" w:rsidRPr="00671BDE">
        <w:rPr>
          <w:rFonts w:asciiTheme="minorHAnsi" w:hAnsiTheme="minorHAnsi"/>
        </w:rPr>
        <w:t>in Australia</w:t>
      </w:r>
      <w:r w:rsidR="00671BDE">
        <w:rPr>
          <w:rFonts w:asciiTheme="minorHAnsi" w:hAnsiTheme="minorHAnsi"/>
        </w:rPr>
        <w:t xml:space="preserve"> </w:t>
      </w:r>
    </w:p>
    <w:p w14:paraId="7E179459" w14:textId="14DD0DE9" w:rsidR="004F0C48" w:rsidRPr="004F0C48" w:rsidRDefault="004F0C48" w:rsidP="0088119C">
      <w:pPr>
        <w:spacing w:before="120" w:after="120" w:line="240" w:lineRule="auto"/>
        <w:rPr>
          <w:rFonts w:asciiTheme="minorHAnsi" w:eastAsia="Times New Roman" w:hAnsiTheme="minorHAnsi" w:cs="Arial"/>
          <w:b/>
          <w:color w:val="FF0000"/>
          <w:sz w:val="36"/>
          <w:szCs w:val="24"/>
        </w:rPr>
      </w:pPr>
    </w:p>
    <w:p w14:paraId="69A30D92" w14:textId="77777777" w:rsidR="004F0C48" w:rsidRDefault="004F0C48" w:rsidP="0088119C">
      <w:pPr>
        <w:spacing w:before="120" w:after="120" w:line="240" w:lineRule="auto"/>
        <w:rPr>
          <w:rFonts w:asciiTheme="minorHAnsi" w:eastAsia="Times New Roman" w:hAnsiTheme="minorHAnsi" w:cs="Arial"/>
          <w:b/>
          <w:color w:val="92D050"/>
          <w:sz w:val="24"/>
          <w:szCs w:val="24"/>
        </w:rPr>
      </w:pPr>
    </w:p>
    <w:p w14:paraId="6E2A4388" w14:textId="11C30036" w:rsidR="0088119C" w:rsidRPr="0088119C" w:rsidRDefault="0088119C" w:rsidP="0088119C">
      <w:pPr>
        <w:spacing w:before="120" w:after="120" w:line="240" w:lineRule="auto"/>
        <w:rPr>
          <w:rFonts w:asciiTheme="minorHAnsi" w:eastAsia="Times New Roman" w:hAnsiTheme="minorHAnsi" w:cs="Arial"/>
          <w:b/>
          <w:color w:val="92D050"/>
          <w:sz w:val="24"/>
          <w:szCs w:val="24"/>
        </w:rPr>
      </w:pPr>
      <w:r w:rsidRPr="0088119C">
        <w:rPr>
          <w:rFonts w:asciiTheme="minorHAnsi" w:eastAsia="Times New Roman" w:hAnsiTheme="minorHAnsi" w:cs="Arial"/>
          <w:b/>
          <w:color w:val="92D050"/>
          <w:sz w:val="24"/>
          <w:szCs w:val="24"/>
        </w:rPr>
        <w:t xml:space="preserve">In association with: </w:t>
      </w:r>
    </w:p>
    <w:p w14:paraId="6E2A4389" w14:textId="77777777" w:rsidR="0088119C" w:rsidRPr="0088119C" w:rsidRDefault="0088119C" w:rsidP="0088119C">
      <w:pPr>
        <w:spacing w:after="80"/>
        <w:rPr>
          <w:rFonts w:asciiTheme="minorHAnsi" w:hAnsiTheme="minorHAnsi" w:cs="Arial"/>
          <w:color w:val="auto"/>
          <w:szCs w:val="20"/>
        </w:rPr>
      </w:pPr>
    </w:p>
    <w:p w14:paraId="6E2A438A" w14:textId="77777777" w:rsidR="0088119C" w:rsidRPr="0088119C" w:rsidRDefault="0088119C" w:rsidP="0088119C">
      <w:pPr>
        <w:spacing w:before="120" w:after="120" w:line="240" w:lineRule="auto"/>
        <w:rPr>
          <w:rFonts w:asciiTheme="minorHAnsi" w:eastAsiaTheme="majorEastAsia" w:hAnsiTheme="minorHAnsi" w:cs="Arial"/>
          <w:b/>
          <w:color w:val="92D050"/>
          <w:sz w:val="24"/>
          <w:szCs w:val="24"/>
        </w:rPr>
      </w:pPr>
      <w:r w:rsidRPr="0088119C">
        <w:rPr>
          <w:rFonts w:asciiTheme="minorHAnsi" w:eastAsiaTheme="majorEastAsia" w:hAnsiTheme="minorHAnsi" w:cs="Arial"/>
          <w:b/>
          <w:noProof/>
          <w:color w:val="92D050"/>
          <w:sz w:val="24"/>
          <w:szCs w:val="24"/>
          <w:lang w:eastAsia="en-AU"/>
        </w:rPr>
        <w:drawing>
          <wp:inline distT="0" distB="0" distL="0" distR="0" wp14:anchorId="6E2A4575" wp14:editId="6E2A4576">
            <wp:extent cx="2999740" cy="9328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932815"/>
                    </a:xfrm>
                    <a:prstGeom prst="rect">
                      <a:avLst/>
                    </a:prstGeom>
                    <a:noFill/>
                  </pic:spPr>
                </pic:pic>
              </a:graphicData>
            </a:graphic>
          </wp:inline>
        </w:drawing>
      </w:r>
    </w:p>
    <w:p w14:paraId="6E2A438B" w14:textId="77777777" w:rsidR="00FF56D8" w:rsidRPr="00CE36BA" w:rsidRDefault="00FF56D8" w:rsidP="00047982">
      <w:pPr>
        <w:pStyle w:val="NonTOCHeading3"/>
      </w:pPr>
    </w:p>
    <w:p w14:paraId="2A32C51A" w14:textId="517E04E1" w:rsidR="0075614D" w:rsidRDefault="00BA3B9F" w:rsidP="00047982">
      <w:pPr>
        <w:pStyle w:val="NonTOCHeading3"/>
      </w:pPr>
      <w:r>
        <w:t xml:space="preserve">Final </w:t>
      </w:r>
      <w:r w:rsidR="0075614D">
        <w:t>report</w:t>
      </w:r>
    </w:p>
    <w:p w14:paraId="6E2A438F" w14:textId="434FDE61" w:rsidR="005560F0" w:rsidRPr="00CE36BA" w:rsidRDefault="00067AC0" w:rsidP="00047982">
      <w:pPr>
        <w:pStyle w:val="NonTOCHeading3"/>
      </w:pPr>
      <w:r>
        <w:t>19</w:t>
      </w:r>
      <w:r w:rsidR="00A32FF8">
        <w:t xml:space="preserve"> </w:t>
      </w:r>
      <w:r>
        <w:t xml:space="preserve">December </w:t>
      </w:r>
      <w:r w:rsidR="002805B2">
        <w:t>2018</w:t>
      </w:r>
      <w:r w:rsidR="00816CE0">
        <w:t xml:space="preserve"> </w:t>
      </w:r>
    </w:p>
    <w:p w14:paraId="6E2A4390" w14:textId="77777777" w:rsidR="00FF56D8" w:rsidRPr="001669B4" w:rsidRDefault="00FF56D8" w:rsidP="00047982">
      <w:pPr>
        <w:pStyle w:val="NonTOCHeading3"/>
      </w:pPr>
    </w:p>
    <w:p w14:paraId="6E2A4391" w14:textId="77777777" w:rsidR="005560F0" w:rsidRPr="001669B4" w:rsidRDefault="005560F0" w:rsidP="00047982">
      <w:pPr>
        <w:pStyle w:val="NonTOCHeading3"/>
        <w:sectPr w:rsidR="005560F0" w:rsidRPr="001669B4" w:rsidSect="004F14DC">
          <w:headerReference w:type="even" r:id="rId9"/>
          <w:headerReference w:type="default" r:id="rId10"/>
          <w:footerReference w:type="even" r:id="rId11"/>
          <w:footerReference w:type="default" r:id="rId12"/>
          <w:headerReference w:type="first" r:id="rId13"/>
          <w:footerReference w:type="first" r:id="rId14"/>
          <w:pgSz w:w="11906" w:h="16838"/>
          <w:pgMar w:top="2238" w:right="1274" w:bottom="1440" w:left="1440" w:header="708" w:footer="708" w:gutter="0"/>
          <w:cols w:space="708"/>
          <w:docGrid w:linePitch="360"/>
        </w:sectPr>
      </w:pPr>
    </w:p>
    <w:p w14:paraId="6E2A4392" w14:textId="77777777" w:rsidR="0088119C" w:rsidRDefault="0088119C" w:rsidP="009D04CB">
      <w:pPr>
        <w:pStyle w:val="NonTOCHeading2"/>
      </w:pPr>
    </w:p>
    <w:p w14:paraId="6E2A4393" w14:textId="56307AC1" w:rsidR="009D04CB" w:rsidRPr="00CE36BA" w:rsidRDefault="00151CEB" w:rsidP="009D04CB">
      <w:pPr>
        <w:pStyle w:val="NonTOCHeading2"/>
      </w:pPr>
      <w:r>
        <w:t>Hazardous</w:t>
      </w:r>
      <w:r w:rsidR="004F3AF5">
        <w:t xml:space="preserve"> </w:t>
      </w:r>
      <w:r w:rsidR="004F3AF5" w:rsidRPr="00671BDE">
        <w:t xml:space="preserve">waste </w:t>
      </w:r>
      <w:r w:rsidR="003279E7">
        <w:t>stockpiles</w:t>
      </w:r>
      <w:r w:rsidR="004F3AF5">
        <w:t xml:space="preserve"> </w:t>
      </w:r>
      <w:r w:rsidR="002805B2">
        <w:t>and approved long-term storages</w:t>
      </w:r>
      <w:r w:rsidR="002805B2" w:rsidRPr="00671BDE">
        <w:t xml:space="preserve"> </w:t>
      </w:r>
      <w:r w:rsidR="004F3AF5" w:rsidRPr="00671BDE">
        <w:t>in Australia</w:t>
      </w:r>
      <w:r w:rsidR="004F3AF5">
        <w:t xml:space="preserve"> </w:t>
      </w:r>
      <w:r w:rsidR="009D04CB" w:rsidRPr="00CE36BA">
        <w:t xml:space="preserve"> </w:t>
      </w:r>
    </w:p>
    <w:p w14:paraId="6E2A4394" w14:textId="77777777" w:rsidR="005560F0" w:rsidRPr="00CE36BA" w:rsidRDefault="005560F0" w:rsidP="00047982">
      <w:pPr>
        <w:pStyle w:val="NonTOCHeading3"/>
        <w:rPr>
          <w:rStyle w:val="Grey"/>
          <w:rFonts w:cs="Arial"/>
          <w:color w:val="92D050"/>
        </w:rPr>
      </w:pPr>
    </w:p>
    <w:p w14:paraId="6E2A4395" w14:textId="77777777" w:rsidR="009D04CB" w:rsidRPr="00CE36BA" w:rsidRDefault="009D04CB" w:rsidP="00047982">
      <w:pPr>
        <w:pStyle w:val="NonTOCHeading3"/>
      </w:pPr>
      <w:r w:rsidRPr="00CE36BA">
        <w:t>Client</w:t>
      </w:r>
    </w:p>
    <w:p w14:paraId="6E2A4396" w14:textId="3C07C194" w:rsidR="009D04CB" w:rsidRPr="00CE36BA" w:rsidRDefault="00671BDE" w:rsidP="00CE1E55">
      <w:pPr>
        <w:pStyle w:val="RECnormaltext"/>
        <w:rPr>
          <w:rStyle w:val="Grey"/>
          <w:rFonts w:cs="Arial"/>
          <w:color w:val="auto"/>
        </w:rPr>
      </w:pPr>
      <w:r w:rsidRPr="00671BDE">
        <w:rPr>
          <w:rStyle w:val="Grey"/>
          <w:rFonts w:cs="Arial"/>
          <w:color w:val="auto"/>
        </w:rPr>
        <w:t xml:space="preserve">Department of the Environment </w:t>
      </w:r>
      <w:r w:rsidR="002543CF">
        <w:rPr>
          <w:rStyle w:val="Grey"/>
          <w:rFonts w:cs="Arial"/>
          <w:color w:val="auto"/>
        </w:rPr>
        <w:t xml:space="preserve">and Energy </w:t>
      </w:r>
      <w:r>
        <w:rPr>
          <w:rStyle w:val="Grey"/>
          <w:rFonts w:cs="Arial"/>
          <w:color w:val="auto"/>
        </w:rPr>
        <w:t>(DoE</w:t>
      </w:r>
      <w:r w:rsidR="002543CF">
        <w:rPr>
          <w:rStyle w:val="Grey"/>
          <w:rFonts w:cs="Arial"/>
          <w:color w:val="auto"/>
        </w:rPr>
        <w:t>E</w:t>
      </w:r>
      <w:r>
        <w:rPr>
          <w:rStyle w:val="Grey"/>
          <w:rFonts w:cs="Arial"/>
          <w:color w:val="auto"/>
        </w:rPr>
        <w:t>)</w:t>
      </w:r>
    </w:p>
    <w:p w14:paraId="6E2A4397" w14:textId="77777777" w:rsidR="0088119C" w:rsidRDefault="0088119C" w:rsidP="00047982">
      <w:pPr>
        <w:pStyle w:val="NonTOCHeading3"/>
      </w:pPr>
    </w:p>
    <w:p w14:paraId="6E2A4398" w14:textId="77777777" w:rsidR="00CE1E55" w:rsidRPr="00CE36BA" w:rsidRDefault="00CE1E55" w:rsidP="00047982">
      <w:pPr>
        <w:pStyle w:val="NonTOCHeading3"/>
      </w:pPr>
      <w:r w:rsidRPr="00CE36BA">
        <w:t>Client Contact</w:t>
      </w:r>
    </w:p>
    <w:p w14:paraId="6E2A4399" w14:textId="77777777" w:rsidR="0088119C" w:rsidRPr="0088119C" w:rsidRDefault="0088119C" w:rsidP="0088119C">
      <w:pPr>
        <w:pStyle w:val="RECnormaltext"/>
        <w:rPr>
          <w:rStyle w:val="Grey"/>
          <w:rFonts w:cs="Calibri"/>
          <w:color w:val="auto"/>
        </w:rPr>
      </w:pPr>
      <w:r w:rsidRPr="0088119C">
        <w:rPr>
          <w:rStyle w:val="Grey"/>
          <w:rFonts w:cs="Calibri"/>
          <w:color w:val="auto"/>
        </w:rPr>
        <w:t>Paul Starr</w:t>
      </w:r>
    </w:p>
    <w:p w14:paraId="6E2A439A" w14:textId="77777777" w:rsidR="0088119C" w:rsidRPr="0088119C" w:rsidRDefault="0088119C" w:rsidP="0088119C">
      <w:pPr>
        <w:pStyle w:val="RECnormaltext"/>
        <w:rPr>
          <w:rStyle w:val="Grey"/>
          <w:rFonts w:cs="Calibri"/>
          <w:color w:val="auto"/>
        </w:rPr>
      </w:pPr>
      <w:r w:rsidRPr="0088119C">
        <w:rPr>
          <w:rStyle w:val="Grey"/>
          <w:rFonts w:cs="Calibri"/>
          <w:color w:val="auto"/>
        </w:rPr>
        <w:t>Assistant Director Hazardous Waste Section Chemicals &amp; Waste Branch</w:t>
      </w:r>
    </w:p>
    <w:p w14:paraId="6E2A439B" w14:textId="1A46976F" w:rsidR="0088119C" w:rsidRPr="0088119C" w:rsidRDefault="0088119C" w:rsidP="0088119C">
      <w:pPr>
        <w:pStyle w:val="RECnormaltext"/>
        <w:rPr>
          <w:rStyle w:val="Grey"/>
          <w:rFonts w:cs="Calibri"/>
          <w:color w:val="auto"/>
        </w:rPr>
      </w:pPr>
      <w:r w:rsidRPr="0088119C">
        <w:rPr>
          <w:rStyle w:val="Grey"/>
          <w:rFonts w:cs="Calibri"/>
          <w:color w:val="auto"/>
        </w:rPr>
        <w:t>Department of the Environment</w:t>
      </w:r>
      <w:r w:rsidR="002543CF">
        <w:rPr>
          <w:rStyle w:val="Grey"/>
          <w:rFonts w:cs="Calibri"/>
          <w:color w:val="auto"/>
        </w:rPr>
        <w:t xml:space="preserve"> and Energy</w:t>
      </w:r>
    </w:p>
    <w:p w14:paraId="6E2A439C" w14:textId="2CE29E4B" w:rsidR="0088119C" w:rsidRPr="0088119C" w:rsidRDefault="0088119C" w:rsidP="0088119C">
      <w:pPr>
        <w:pStyle w:val="RECnormaltext"/>
        <w:rPr>
          <w:rStyle w:val="Grey"/>
          <w:rFonts w:cs="Calibri"/>
          <w:color w:val="auto"/>
        </w:rPr>
      </w:pPr>
      <w:r w:rsidRPr="0088119C">
        <w:rPr>
          <w:rStyle w:val="Grey"/>
          <w:rFonts w:cs="Calibri"/>
          <w:color w:val="auto"/>
        </w:rPr>
        <w:t>02 6274 1909</w:t>
      </w:r>
    </w:p>
    <w:p w14:paraId="6E2A439D" w14:textId="77777777" w:rsidR="00CE1E55" w:rsidRPr="00CE36BA" w:rsidRDefault="0088119C" w:rsidP="0088119C">
      <w:pPr>
        <w:pStyle w:val="RECnormaltext"/>
        <w:rPr>
          <w:rStyle w:val="Grey"/>
          <w:rFonts w:cs="Calibri"/>
          <w:color w:val="auto"/>
        </w:rPr>
      </w:pPr>
      <w:r w:rsidRPr="0088119C">
        <w:rPr>
          <w:rStyle w:val="Grey"/>
          <w:rFonts w:cs="Calibri"/>
          <w:color w:val="auto"/>
        </w:rPr>
        <w:t>paul.starr@environment.gov.au</w:t>
      </w:r>
    </w:p>
    <w:p w14:paraId="6E2A439E" w14:textId="77777777" w:rsidR="005560F0" w:rsidRPr="00CE36BA" w:rsidRDefault="005560F0" w:rsidP="00047982">
      <w:pPr>
        <w:pStyle w:val="NonTOCHeading3"/>
        <w:rPr>
          <w:rStyle w:val="Grey"/>
          <w:rFonts w:cs="Arial"/>
          <w:color w:val="92D050"/>
        </w:rPr>
      </w:pPr>
    </w:p>
    <w:p w14:paraId="6E2A439F" w14:textId="77777777" w:rsidR="00141564" w:rsidRPr="00CE36BA" w:rsidRDefault="00141564" w:rsidP="00047982">
      <w:pPr>
        <w:pStyle w:val="NonTOCHeading3"/>
      </w:pPr>
      <w:r w:rsidRPr="00CE36BA">
        <w:t>Author</w:t>
      </w:r>
      <w:r w:rsidR="001072E7" w:rsidRPr="00CE36BA">
        <w:t>s</w:t>
      </w:r>
    </w:p>
    <w:p w14:paraId="6E2A43A0" w14:textId="4A01AED6" w:rsidR="00141564" w:rsidRPr="00CE36BA" w:rsidRDefault="00C07ED0" w:rsidP="005504D7">
      <w:pPr>
        <w:pStyle w:val="RECnormaltext"/>
        <w:rPr>
          <w:rStyle w:val="Grey"/>
          <w:rFonts w:cs="Arial"/>
          <w:color w:val="auto"/>
        </w:rPr>
      </w:pPr>
      <w:r>
        <w:rPr>
          <w:rStyle w:val="Grey"/>
          <w:rFonts w:cs="Arial"/>
          <w:color w:val="auto"/>
        </w:rPr>
        <w:t>Paul Randell</w:t>
      </w:r>
      <w:r w:rsidR="00621751">
        <w:rPr>
          <w:rStyle w:val="Grey"/>
          <w:rFonts w:cs="Arial"/>
          <w:color w:val="auto"/>
        </w:rPr>
        <w:t>,</w:t>
      </w:r>
      <w:r w:rsidR="006032DD">
        <w:rPr>
          <w:rStyle w:val="Grey"/>
          <w:rFonts w:cs="Arial"/>
          <w:color w:val="auto"/>
        </w:rPr>
        <w:t xml:space="preserve"> Geoff Latimer</w:t>
      </w:r>
    </w:p>
    <w:p w14:paraId="6E2A43A1" w14:textId="77777777" w:rsidR="00141564" w:rsidRPr="00CE36BA" w:rsidRDefault="00141564" w:rsidP="00047982">
      <w:pPr>
        <w:pStyle w:val="NonTOCHeading3"/>
      </w:pPr>
      <w:r w:rsidRPr="00CE36BA">
        <w:t>Reviewer</w:t>
      </w:r>
      <w:r w:rsidR="001072E7" w:rsidRPr="00CE36BA">
        <w:t>s</w:t>
      </w:r>
    </w:p>
    <w:p w14:paraId="6E2A43A2" w14:textId="2ED2F4E5" w:rsidR="00141564" w:rsidRPr="00CE36BA" w:rsidRDefault="00621751" w:rsidP="005504D7">
      <w:pPr>
        <w:pStyle w:val="RECnormaltext"/>
      </w:pPr>
      <w:r>
        <w:rPr>
          <w:rStyle w:val="Grey"/>
          <w:rFonts w:cs="Arial"/>
          <w:color w:val="auto"/>
        </w:rPr>
        <w:t>Geoff Latimer</w:t>
      </w:r>
    </w:p>
    <w:p w14:paraId="6E2A43A3" w14:textId="77777777" w:rsidR="005560F0" w:rsidRPr="00CE36BA" w:rsidRDefault="005560F0" w:rsidP="00B67B0E">
      <w:pPr>
        <w:pStyle w:val="referencetotitle"/>
        <w:rPr>
          <w:rStyle w:val="Grey"/>
          <w:rFonts w:cs="Arial"/>
          <w:i w:val="0"/>
          <w:color w:val="92D050"/>
        </w:rPr>
      </w:pPr>
    </w:p>
    <w:p w14:paraId="6E2A43A4" w14:textId="77777777" w:rsidR="009D04CB" w:rsidRPr="00CE36BA" w:rsidRDefault="00FD3295" w:rsidP="00047982">
      <w:pPr>
        <w:pStyle w:val="NonTOCHeading3"/>
      </w:pPr>
      <w:r w:rsidRPr="00CE36BA">
        <w:t xml:space="preserve">Project Number: </w:t>
      </w:r>
      <w:r w:rsidR="004E283D">
        <w:t>PREC0</w:t>
      </w:r>
      <w:r w:rsidR="0088119C">
        <w:t>64</w:t>
      </w:r>
    </w:p>
    <w:p w14:paraId="6E2A43A5" w14:textId="77777777" w:rsidR="00D92993" w:rsidRPr="00CE36BA" w:rsidRDefault="00D92993" w:rsidP="00047982">
      <w:pPr>
        <w:pStyle w:val="NonTOCHeading3"/>
        <w:rPr>
          <w:rStyle w:val="Grey"/>
          <w:rFonts w:cs="Calibri"/>
          <w:color w:val="92D050"/>
        </w:rPr>
      </w:pPr>
    </w:p>
    <w:p w14:paraId="6E2A43A6" w14:textId="77777777" w:rsidR="00FD3295" w:rsidRPr="00CE36BA" w:rsidRDefault="00FD3295" w:rsidP="00047982">
      <w:pPr>
        <w:pStyle w:val="NonTOCHeading3"/>
      </w:pPr>
      <w:r w:rsidRPr="00CE36BA">
        <w:t>Report Disclaimer</w:t>
      </w:r>
    </w:p>
    <w:p w14:paraId="6E2A43A7" w14:textId="284BD839" w:rsidR="00FD3295" w:rsidRPr="00CE36BA" w:rsidRDefault="001B1DCF" w:rsidP="00C31DAF">
      <w:pPr>
        <w:pStyle w:val="RECnormaltext"/>
        <w:rPr>
          <w:rStyle w:val="Grey"/>
          <w:rFonts w:cs="Calibri"/>
          <w:color w:val="auto"/>
        </w:rPr>
      </w:pPr>
      <w:r w:rsidRPr="00CE36BA">
        <w:rPr>
          <w:rStyle w:val="Grey"/>
          <w:rFonts w:cs="Calibri"/>
          <w:color w:val="auto"/>
        </w:rPr>
        <w:t xml:space="preserve">This report has been prepared for </w:t>
      </w:r>
      <w:r w:rsidR="002543CF">
        <w:rPr>
          <w:rStyle w:val="Grey"/>
          <w:rFonts w:cs="Calibri"/>
          <w:color w:val="auto"/>
        </w:rPr>
        <w:t>DoEE</w:t>
      </w:r>
      <w:r w:rsidRPr="00CE36BA">
        <w:rPr>
          <w:rStyle w:val="Grey"/>
          <w:rFonts w:cs="Calibri"/>
          <w:color w:val="auto"/>
        </w:rPr>
        <w:t xml:space="preserve"> in accordance with the terms and conditions of </w:t>
      </w:r>
      <w:r w:rsidRPr="00CE36BA">
        <w:rPr>
          <w:rStyle w:val="Grey"/>
          <w:rFonts w:cs="Arial"/>
          <w:color w:val="auto"/>
        </w:rPr>
        <w:t>appointment</w:t>
      </w:r>
      <w:r w:rsidRPr="00CE36BA">
        <w:rPr>
          <w:rStyle w:val="Grey"/>
          <w:rFonts w:cs="Calibri"/>
          <w:color w:val="auto"/>
        </w:rPr>
        <w:t xml:space="preserve"> dated </w:t>
      </w:r>
      <w:r w:rsidR="00B90BA1">
        <w:rPr>
          <w:rStyle w:val="Grey"/>
          <w:rFonts w:cs="Calibri"/>
          <w:color w:val="auto"/>
        </w:rPr>
        <w:t>31/05/2016</w:t>
      </w:r>
      <w:r w:rsidRPr="00CE36BA">
        <w:rPr>
          <w:rStyle w:val="Grey"/>
          <w:rFonts w:cs="Calibri"/>
          <w:color w:val="auto"/>
        </w:rPr>
        <w:t xml:space="preserve">. </w:t>
      </w:r>
      <w:r w:rsidR="00141564" w:rsidRPr="00CE36BA">
        <w:rPr>
          <w:rStyle w:val="Grey"/>
          <w:rFonts w:cs="Calibri"/>
          <w:color w:val="auto"/>
        </w:rPr>
        <w:t xml:space="preserve">Randell Environmental Consulting </w:t>
      </w:r>
      <w:r w:rsidRPr="00CE36BA">
        <w:rPr>
          <w:rStyle w:val="Grey"/>
          <w:rFonts w:cs="Calibri"/>
          <w:color w:val="auto"/>
        </w:rPr>
        <w:t xml:space="preserve">Pty Ltd (ABN </w:t>
      </w:r>
      <w:r w:rsidR="00141564" w:rsidRPr="00CE36BA">
        <w:rPr>
          <w:rStyle w:val="Grey"/>
          <w:rFonts w:cs="Calibri"/>
          <w:color w:val="auto"/>
        </w:rPr>
        <w:t>17 153 387 501</w:t>
      </w:r>
      <w:r w:rsidRPr="00CE36BA">
        <w:rPr>
          <w:rStyle w:val="Grey"/>
          <w:rFonts w:cs="Calibri"/>
          <w:color w:val="auto"/>
        </w:rPr>
        <w:t>) cannot accept any responsibility for any use of or reliance on the contents of this report by any third party.</w:t>
      </w:r>
    </w:p>
    <w:p w14:paraId="6E2A43A8" w14:textId="77777777" w:rsidR="00D34C3D" w:rsidRPr="00CE36BA" w:rsidRDefault="00D34C3D" w:rsidP="00141564">
      <w:pPr>
        <w:spacing w:after="0"/>
        <w:jc w:val="right"/>
        <w:rPr>
          <w:rFonts w:asciiTheme="minorHAnsi" w:hAnsiTheme="minorHAnsi"/>
        </w:rPr>
      </w:pPr>
    </w:p>
    <w:p w14:paraId="6E2A43A9" w14:textId="77777777" w:rsidR="00D34C3D" w:rsidRPr="00CE36BA" w:rsidRDefault="00D34C3D" w:rsidP="00141564">
      <w:pPr>
        <w:spacing w:after="0"/>
        <w:jc w:val="right"/>
        <w:rPr>
          <w:rFonts w:asciiTheme="minorHAnsi" w:hAnsiTheme="minorHAnsi"/>
        </w:rPr>
      </w:pPr>
    </w:p>
    <w:p w14:paraId="6E2A43AA" w14:textId="77777777" w:rsidR="00141564" w:rsidRPr="00CE36BA" w:rsidRDefault="00141564" w:rsidP="00141564">
      <w:pPr>
        <w:spacing w:after="0"/>
        <w:jc w:val="right"/>
        <w:rPr>
          <w:rFonts w:asciiTheme="minorHAnsi" w:hAnsiTheme="minorHAnsi"/>
        </w:rPr>
      </w:pPr>
      <w:r w:rsidRPr="00CE36BA">
        <w:rPr>
          <w:rFonts w:asciiTheme="minorHAnsi" w:hAnsiTheme="minorHAnsi"/>
        </w:rPr>
        <w:t xml:space="preserve">Randell Environmental Consulting Pty Ltd </w:t>
      </w:r>
    </w:p>
    <w:p w14:paraId="6E2A43AB" w14:textId="77777777" w:rsidR="00141564" w:rsidRPr="00CE36BA" w:rsidRDefault="00141564" w:rsidP="00141564">
      <w:pPr>
        <w:spacing w:after="0"/>
        <w:jc w:val="right"/>
        <w:rPr>
          <w:rFonts w:asciiTheme="minorHAnsi" w:hAnsiTheme="minorHAnsi"/>
        </w:rPr>
      </w:pPr>
      <w:r w:rsidRPr="00CE36BA">
        <w:rPr>
          <w:rFonts w:asciiTheme="minorHAnsi" w:hAnsiTheme="minorHAnsi"/>
        </w:rPr>
        <w:t>ABN 17 153 387 501</w:t>
      </w:r>
    </w:p>
    <w:p w14:paraId="6E2A43AC" w14:textId="7D7138A0" w:rsidR="00141564" w:rsidRPr="00CE36BA" w:rsidRDefault="00103AE1" w:rsidP="00141564">
      <w:pPr>
        <w:spacing w:after="0"/>
        <w:jc w:val="right"/>
        <w:rPr>
          <w:rFonts w:asciiTheme="minorHAnsi" w:hAnsiTheme="minorHAnsi"/>
        </w:rPr>
      </w:pPr>
      <w:r>
        <w:rPr>
          <w:rFonts w:asciiTheme="minorHAnsi" w:hAnsiTheme="minorHAnsi"/>
        </w:rPr>
        <w:t>Castlemaine</w:t>
      </w:r>
      <w:r w:rsidR="00141564" w:rsidRPr="00CE36BA">
        <w:rPr>
          <w:rFonts w:asciiTheme="minorHAnsi" w:hAnsiTheme="minorHAnsi"/>
        </w:rPr>
        <w:t xml:space="preserve"> Victoria 3442</w:t>
      </w:r>
    </w:p>
    <w:p w14:paraId="6E2A43AD" w14:textId="77777777" w:rsidR="00141564" w:rsidRPr="00CE36BA" w:rsidRDefault="00141564" w:rsidP="00141564">
      <w:pPr>
        <w:spacing w:after="0"/>
        <w:jc w:val="right"/>
        <w:rPr>
          <w:rFonts w:asciiTheme="minorHAnsi" w:hAnsiTheme="minorHAnsi"/>
        </w:rPr>
      </w:pPr>
      <w:r w:rsidRPr="00CE36BA">
        <w:rPr>
          <w:rFonts w:asciiTheme="minorHAnsi" w:hAnsiTheme="minorHAnsi"/>
        </w:rPr>
        <w:t>Paul@randellenvironmental.com.au</w:t>
      </w:r>
    </w:p>
    <w:p w14:paraId="6E2A43AE" w14:textId="77777777" w:rsidR="00D34C3D" w:rsidRPr="00CE36BA" w:rsidRDefault="00141564" w:rsidP="00141564">
      <w:pPr>
        <w:spacing w:after="0"/>
        <w:jc w:val="right"/>
        <w:rPr>
          <w:rFonts w:asciiTheme="minorHAnsi" w:hAnsiTheme="minorHAnsi"/>
        </w:rPr>
      </w:pPr>
      <w:r w:rsidRPr="00CE36BA">
        <w:rPr>
          <w:rFonts w:asciiTheme="minorHAnsi" w:hAnsiTheme="minorHAnsi"/>
        </w:rPr>
        <w:t>Phone 0429 501 717</w:t>
      </w:r>
    </w:p>
    <w:p w14:paraId="6E2A43AF" w14:textId="77777777" w:rsidR="007972CD" w:rsidRPr="00CE36BA" w:rsidRDefault="007972CD" w:rsidP="00D34C3D">
      <w:pPr>
        <w:rPr>
          <w:rFonts w:asciiTheme="minorHAnsi" w:hAnsiTheme="minorHAnsi"/>
        </w:rPr>
        <w:sectPr w:rsidR="007972CD" w:rsidRPr="00CE36BA" w:rsidSect="00F002A9">
          <w:pgSz w:w="11906" w:h="16838"/>
          <w:pgMar w:top="2238" w:right="1440" w:bottom="1440" w:left="1440" w:header="708" w:footer="708" w:gutter="0"/>
          <w:cols w:space="708"/>
          <w:docGrid w:linePitch="360"/>
        </w:sectPr>
      </w:pPr>
    </w:p>
    <w:sdt>
      <w:sdtPr>
        <w:rPr>
          <w:rFonts w:ascii="Calibri" w:eastAsiaTheme="minorHAnsi" w:hAnsi="Calibri" w:cs="Calibri"/>
          <w:b w:val="0"/>
          <w:bCs w:val="0"/>
          <w:color w:val="000000" w:themeColor="text1"/>
          <w:sz w:val="22"/>
          <w:szCs w:val="22"/>
          <w:lang w:val="en-AU" w:eastAsia="en-US"/>
        </w:rPr>
        <w:id w:val="-1548676244"/>
        <w:docPartObj>
          <w:docPartGallery w:val="Table of Contents"/>
          <w:docPartUnique/>
        </w:docPartObj>
      </w:sdtPr>
      <w:sdtEndPr>
        <w:rPr>
          <w:rFonts w:cs="Arial"/>
          <w:noProof/>
          <w:color w:val="auto"/>
          <w:szCs w:val="20"/>
        </w:rPr>
      </w:sdtEndPr>
      <w:sdtContent>
        <w:p w14:paraId="6E2A43B0" w14:textId="77777777" w:rsidR="007F0F63" w:rsidRDefault="007F0F63">
          <w:pPr>
            <w:pStyle w:val="TOCHeading"/>
            <w:numPr>
              <w:ilvl w:val="0"/>
              <w:numId w:val="0"/>
            </w:numPr>
          </w:pPr>
          <w:r>
            <w:t>Contents</w:t>
          </w:r>
        </w:p>
        <w:p w14:paraId="611A5EEE" w14:textId="4AA8E519" w:rsidR="00E21C4A" w:rsidRDefault="00B201EC">
          <w:pPr>
            <w:pStyle w:val="TOC1"/>
            <w:rPr>
              <w:rFonts w:asciiTheme="minorHAnsi" w:eastAsiaTheme="minorEastAsia" w:hAnsiTheme="minorHAnsi" w:cstheme="minorBidi"/>
              <w:noProof/>
              <w:szCs w:val="22"/>
              <w:lang w:eastAsia="en-AU"/>
            </w:rPr>
          </w:pPr>
          <w:r>
            <w:fldChar w:fldCharType="begin"/>
          </w:r>
          <w:r>
            <w:instrText xml:space="preserve"> TOC \o "1-2" \h \z \u </w:instrText>
          </w:r>
          <w:r>
            <w:fldChar w:fldCharType="separate"/>
          </w:r>
          <w:hyperlink w:anchor="_Toc532990213" w:history="1">
            <w:r w:rsidR="00E21C4A" w:rsidRPr="008E687C">
              <w:rPr>
                <w:rStyle w:val="Hyperlink"/>
                <w:noProof/>
              </w:rPr>
              <w:t>Executive Summary</w:t>
            </w:r>
            <w:r w:rsidR="00E21C4A">
              <w:rPr>
                <w:noProof/>
                <w:webHidden/>
              </w:rPr>
              <w:tab/>
            </w:r>
            <w:r w:rsidR="00E21C4A">
              <w:rPr>
                <w:noProof/>
                <w:webHidden/>
              </w:rPr>
              <w:fldChar w:fldCharType="begin"/>
            </w:r>
            <w:r w:rsidR="00E21C4A">
              <w:rPr>
                <w:noProof/>
                <w:webHidden/>
              </w:rPr>
              <w:instrText xml:space="preserve"> PAGEREF _Toc532990213 \h </w:instrText>
            </w:r>
            <w:r w:rsidR="00E21C4A">
              <w:rPr>
                <w:noProof/>
                <w:webHidden/>
              </w:rPr>
            </w:r>
            <w:r w:rsidR="00E21C4A">
              <w:rPr>
                <w:noProof/>
                <w:webHidden/>
              </w:rPr>
              <w:fldChar w:fldCharType="separate"/>
            </w:r>
            <w:r w:rsidR="00F54E66">
              <w:rPr>
                <w:noProof/>
                <w:webHidden/>
              </w:rPr>
              <w:t>iv</w:t>
            </w:r>
            <w:r w:rsidR="00E21C4A">
              <w:rPr>
                <w:noProof/>
                <w:webHidden/>
              </w:rPr>
              <w:fldChar w:fldCharType="end"/>
            </w:r>
          </w:hyperlink>
        </w:p>
        <w:p w14:paraId="4BB8C7AC" w14:textId="58785E1A" w:rsidR="00E21C4A" w:rsidRDefault="005F2283">
          <w:pPr>
            <w:pStyle w:val="TOC1"/>
            <w:tabs>
              <w:tab w:val="left" w:pos="480"/>
            </w:tabs>
            <w:rPr>
              <w:rFonts w:asciiTheme="minorHAnsi" w:eastAsiaTheme="minorEastAsia" w:hAnsiTheme="minorHAnsi" w:cstheme="minorBidi"/>
              <w:noProof/>
              <w:szCs w:val="22"/>
              <w:lang w:eastAsia="en-AU"/>
            </w:rPr>
          </w:pPr>
          <w:hyperlink w:anchor="_Toc532990214" w:history="1">
            <w:r w:rsidR="00E21C4A" w:rsidRPr="008E687C">
              <w:rPr>
                <w:rStyle w:val="Hyperlink"/>
                <w:noProof/>
              </w:rPr>
              <w:t>1</w:t>
            </w:r>
            <w:r w:rsidR="00E21C4A">
              <w:rPr>
                <w:rFonts w:asciiTheme="minorHAnsi" w:eastAsiaTheme="minorEastAsia" w:hAnsiTheme="minorHAnsi" w:cstheme="minorBidi"/>
                <w:noProof/>
                <w:szCs w:val="22"/>
                <w:lang w:eastAsia="en-AU"/>
              </w:rPr>
              <w:tab/>
            </w:r>
            <w:r w:rsidR="00E21C4A" w:rsidRPr="008E687C">
              <w:rPr>
                <w:rStyle w:val="Hyperlink"/>
                <w:noProof/>
              </w:rPr>
              <w:t>Introduction</w:t>
            </w:r>
            <w:r w:rsidR="00E21C4A">
              <w:rPr>
                <w:noProof/>
                <w:webHidden/>
              </w:rPr>
              <w:tab/>
            </w:r>
            <w:r w:rsidR="00E21C4A">
              <w:rPr>
                <w:noProof/>
                <w:webHidden/>
              </w:rPr>
              <w:fldChar w:fldCharType="begin"/>
            </w:r>
            <w:r w:rsidR="00E21C4A">
              <w:rPr>
                <w:noProof/>
                <w:webHidden/>
              </w:rPr>
              <w:instrText xml:space="preserve"> PAGEREF _Toc532990214 \h </w:instrText>
            </w:r>
            <w:r w:rsidR="00E21C4A">
              <w:rPr>
                <w:noProof/>
                <w:webHidden/>
              </w:rPr>
            </w:r>
            <w:r w:rsidR="00E21C4A">
              <w:rPr>
                <w:noProof/>
                <w:webHidden/>
              </w:rPr>
              <w:fldChar w:fldCharType="separate"/>
            </w:r>
            <w:r w:rsidR="00F54E66">
              <w:rPr>
                <w:noProof/>
                <w:webHidden/>
              </w:rPr>
              <w:t>1</w:t>
            </w:r>
            <w:r w:rsidR="00E21C4A">
              <w:rPr>
                <w:noProof/>
                <w:webHidden/>
              </w:rPr>
              <w:fldChar w:fldCharType="end"/>
            </w:r>
          </w:hyperlink>
        </w:p>
        <w:p w14:paraId="0AD0EAF4" w14:textId="640720D3" w:rsidR="00E21C4A" w:rsidRDefault="005F2283">
          <w:pPr>
            <w:pStyle w:val="TOC2"/>
            <w:rPr>
              <w:rFonts w:asciiTheme="minorHAnsi" w:eastAsiaTheme="minorEastAsia" w:hAnsiTheme="minorHAnsi" w:cstheme="minorBidi"/>
              <w:noProof/>
              <w:szCs w:val="22"/>
              <w:lang w:eastAsia="en-AU"/>
            </w:rPr>
          </w:pPr>
          <w:hyperlink w:anchor="_Toc532990215" w:history="1">
            <w:r w:rsidR="00E21C4A" w:rsidRPr="008E687C">
              <w:rPr>
                <w:rStyle w:val="Hyperlink"/>
                <w:noProof/>
              </w:rPr>
              <w:t>1.1</w:t>
            </w:r>
            <w:r w:rsidR="00E21C4A">
              <w:rPr>
                <w:rFonts w:asciiTheme="minorHAnsi" w:eastAsiaTheme="minorEastAsia" w:hAnsiTheme="minorHAnsi" w:cstheme="minorBidi"/>
                <w:noProof/>
                <w:szCs w:val="22"/>
                <w:lang w:eastAsia="en-AU"/>
              </w:rPr>
              <w:tab/>
            </w:r>
            <w:r w:rsidR="00E21C4A" w:rsidRPr="008E687C">
              <w:rPr>
                <w:rStyle w:val="Hyperlink"/>
                <w:noProof/>
              </w:rPr>
              <w:t>Project scope</w:t>
            </w:r>
            <w:r w:rsidR="00E21C4A">
              <w:rPr>
                <w:noProof/>
                <w:webHidden/>
              </w:rPr>
              <w:tab/>
            </w:r>
            <w:r w:rsidR="00E21C4A">
              <w:rPr>
                <w:noProof/>
                <w:webHidden/>
              </w:rPr>
              <w:fldChar w:fldCharType="begin"/>
            </w:r>
            <w:r w:rsidR="00E21C4A">
              <w:rPr>
                <w:noProof/>
                <w:webHidden/>
              </w:rPr>
              <w:instrText xml:space="preserve"> PAGEREF _Toc532990215 \h </w:instrText>
            </w:r>
            <w:r w:rsidR="00E21C4A">
              <w:rPr>
                <w:noProof/>
                <w:webHidden/>
              </w:rPr>
            </w:r>
            <w:r w:rsidR="00E21C4A">
              <w:rPr>
                <w:noProof/>
                <w:webHidden/>
              </w:rPr>
              <w:fldChar w:fldCharType="separate"/>
            </w:r>
            <w:r w:rsidR="00F54E66">
              <w:rPr>
                <w:noProof/>
                <w:webHidden/>
              </w:rPr>
              <w:t>1</w:t>
            </w:r>
            <w:r w:rsidR="00E21C4A">
              <w:rPr>
                <w:noProof/>
                <w:webHidden/>
              </w:rPr>
              <w:fldChar w:fldCharType="end"/>
            </w:r>
          </w:hyperlink>
        </w:p>
        <w:p w14:paraId="0BD24179" w14:textId="44883AD2" w:rsidR="00E21C4A" w:rsidRDefault="005F2283">
          <w:pPr>
            <w:pStyle w:val="TOC2"/>
            <w:rPr>
              <w:rFonts w:asciiTheme="minorHAnsi" w:eastAsiaTheme="minorEastAsia" w:hAnsiTheme="minorHAnsi" w:cstheme="minorBidi"/>
              <w:noProof/>
              <w:szCs w:val="22"/>
              <w:lang w:eastAsia="en-AU"/>
            </w:rPr>
          </w:pPr>
          <w:hyperlink w:anchor="_Toc532990216" w:history="1">
            <w:r w:rsidR="00E21C4A" w:rsidRPr="008E687C">
              <w:rPr>
                <w:rStyle w:val="Hyperlink"/>
                <w:noProof/>
              </w:rPr>
              <w:t>1.2</w:t>
            </w:r>
            <w:r w:rsidR="00E21C4A">
              <w:rPr>
                <w:rFonts w:asciiTheme="minorHAnsi" w:eastAsiaTheme="minorEastAsia" w:hAnsiTheme="minorHAnsi" w:cstheme="minorBidi"/>
                <w:noProof/>
                <w:szCs w:val="22"/>
                <w:lang w:eastAsia="en-AU"/>
              </w:rPr>
              <w:tab/>
            </w:r>
            <w:r w:rsidR="00E21C4A" w:rsidRPr="008E687C">
              <w:rPr>
                <w:rStyle w:val="Hyperlink"/>
                <w:noProof/>
              </w:rPr>
              <w:t>Report structure</w:t>
            </w:r>
            <w:r w:rsidR="00E21C4A">
              <w:rPr>
                <w:noProof/>
                <w:webHidden/>
              </w:rPr>
              <w:tab/>
            </w:r>
            <w:r w:rsidR="00E21C4A">
              <w:rPr>
                <w:noProof/>
                <w:webHidden/>
              </w:rPr>
              <w:fldChar w:fldCharType="begin"/>
            </w:r>
            <w:r w:rsidR="00E21C4A">
              <w:rPr>
                <w:noProof/>
                <w:webHidden/>
              </w:rPr>
              <w:instrText xml:space="preserve"> PAGEREF _Toc532990216 \h </w:instrText>
            </w:r>
            <w:r w:rsidR="00E21C4A">
              <w:rPr>
                <w:noProof/>
                <w:webHidden/>
              </w:rPr>
            </w:r>
            <w:r w:rsidR="00E21C4A">
              <w:rPr>
                <w:noProof/>
                <w:webHidden/>
              </w:rPr>
              <w:fldChar w:fldCharType="separate"/>
            </w:r>
            <w:r w:rsidR="00F54E66">
              <w:rPr>
                <w:noProof/>
                <w:webHidden/>
              </w:rPr>
              <w:t>2</w:t>
            </w:r>
            <w:r w:rsidR="00E21C4A">
              <w:rPr>
                <w:noProof/>
                <w:webHidden/>
              </w:rPr>
              <w:fldChar w:fldCharType="end"/>
            </w:r>
          </w:hyperlink>
        </w:p>
        <w:p w14:paraId="1C268697" w14:textId="33CEFDC4" w:rsidR="00E21C4A" w:rsidRDefault="005F2283">
          <w:pPr>
            <w:pStyle w:val="TOC1"/>
            <w:tabs>
              <w:tab w:val="left" w:pos="480"/>
            </w:tabs>
            <w:rPr>
              <w:rFonts w:asciiTheme="minorHAnsi" w:eastAsiaTheme="minorEastAsia" w:hAnsiTheme="minorHAnsi" w:cstheme="minorBidi"/>
              <w:noProof/>
              <w:szCs w:val="22"/>
              <w:lang w:eastAsia="en-AU"/>
            </w:rPr>
          </w:pPr>
          <w:hyperlink w:anchor="_Toc532990217" w:history="1">
            <w:r w:rsidR="00E21C4A" w:rsidRPr="008E687C">
              <w:rPr>
                <w:rStyle w:val="Hyperlink"/>
                <w:noProof/>
              </w:rPr>
              <w:t>2</w:t>
            </w:r>
            <w:r w:rsidR="00E21C4A">
              <w:rPr>
                <w:rFonts w:asciiTheme="minorHAnsi" w:eastAsiaTheme="minorEastAsia" w:hAnsiTheme="minorHAnsi" w:cstheme="minorBidi"/>
                <w:noProof/>
                <w:szCs w:val="22"/>
                <w:lang w:eastAsia="en-AU"/>
              </w:rPr>
              <w:tab/>
            </w:r>
            <w:r w:rsidR="00E21C4A" w:rsidRPr="008E687C">
              <w:rPr>
                <w:rStyle w:val="Hyperlink"/>
                <w:noProof/>
              </w:rPr>
              <w:t>Key terms and definitions</w:t>
            </w:r>
            <w:r w:rsidR="00E21C4A">
              <w:rPr>
                <w:noProof/>
                <w:webHidden/>
              </w:rPr>
              <w:tab/>
            </w:r>
            <w:r w:rsidR="00E21C4A">
              <w:rPr>
                <w:noProof/>
                <w:webHidden/>
              </w:rPr>
              <w:fldChar w:fldCharType="begin"/>
            </w:r>
            <w:r w:rsidR="00E21C4A">
              <w:rPr>
                <w:noProof/>
                <w:webHidden/>
              </w:rPr>
              <w:instrText xml:space="preserve"> PAGEREF _Toc532990217 \h </w:instrText>
            </w:r>
            <w:r w:rsidR="00E21C4A">
              <w:rPr>
                <w:noProof/>
                <w:webHidden/>
              </w:rPr>
            </w:r>
            <w:r w:rsidR="00E21C4A">
              <w:rPr>
                <w:noProof/>
                <w:webHidden/>
              </w:rPr>
              <w:fldChar w:fldCharType="separate"/>
            </w:r>
            <w:r w:rsidR="00F54E66">
              <w:rPr>
                <w:noProof/>
                <w:webHidden/>
              </w:rPr>
              <w:t>3</w:t>
            </w:r>
            <w:r w:rsidR="00E21C4A">
              <w:rPr>
                <w:noProof/>
                <w:webHidden/>
              </w:rPr>
              <w:fldChar w:fldCharType="end"/>
            </w:r>
          </w:hyperlink>
        </w:p>
        <w:p w14:paraId="0D061B36" w14:textId="7EA1B7BE" w:rsidR="00E21C4A" w:rsidRDefault="005F2283">
          <w:pPr>
            <w:pStyle w:val="TOC1"/>
            <w:tabs>
              <w:tab w:val="left" w:pos="480"/>
            </w:tabs>
            <w:rPr>
              <w:rFonts w:asciiTheme="minorHAnsi" w:eastAsiaTheme="minorEastAsia" w:hAnsiTheme="minorHAnsi" w:cstheme="minorBidi"/>
              <w:noProof/>
              <w:szCs w:val="22"/>
              <w:lang w:eastAsia="en-AU"/>
            </w:rPr>
          </w:pPr>
          <w:hyperlink w:anchor="_Toc532990218" w:history="1">
            <w:r w:rsidR="00E21C4A" w:rsidRPr="008E687C">
              <w:rPr>
                <w:rStyle w:val="Hyperlink"/>
                <w:noProof/>
              </w:rPr>
              <w:t>3</w:t>
            </w:r>
            <w:r w:rsidR="00E21C4A">
              <w:rPr>
                <w:rFonts w:asciiTheme="minorHAnsi" w:eastAsiaTheme="minorEastAsia" w:hAnsiTheme="minorHAnsi" w:cstheme="minorBidi"/>
                <w:noProof/>
                <w:szCs w:val="22"/>
                <w:lang w:eastAsia="en-AU"/>
              </w:rPr>
              <w:tab/>
            </w:r>
            <w:r w:rsidR="00E21C4A" w:rsidRPr="008E687C">
              <w:rPr>
                <w:rStyle w:val="Hyperlink"/>
                <w:noProof/>
              </w:rPr>
              <w:t>Analysing frameworks for stockpiles prevention, management and clearance</w:t>
            </w:r>
            <w:r w:rsidR="00E21C4A">
              <w:rPr>
                <w:noProof/>
                <w:webHidden/>
              </w:rPr>
              <w:tab/>
            </w:r>
            <w:r w:rsidR="00E21C4A">
              <w:rPr>
                <w:noProof/>
                <w:webHidden/>
              </w:rPr>
              <w:fldChar w:fldCharType="begin"/>
            </w:r>
            <w:r w:rsidR="00E21C4A">
              <w:rPr>
                <w:noProof/>
                <w:webHidden/>
              </w:rPr>
              <w:instrText xml:space="preserve"> PAGEREF _Toc532990218 \h </w:instrText>
            </w:r>
            <w:r w:rsidR="00E21C4A">
              <w:rPr>
                <w:noProof/>
                <w:webHidden/>
              </w:rPr>
            </w:r>
            <w:r w:rsidR="00E21C4A">
              <w:rPr>
                <w:noProof/>
                <w:webHidden/>
              </w:rPr>
              <w:fldChar w:fldCharType="separate"/>
            </w:r>
            <w:r w:rsidR="00F54E66">
              <w:rPr>
                <w:noProof/>
                <w:webHidden/>
              </w:rPr>
              <w:t>5</w:t>
            </w:r>
            <w:r w:rsidR="00E21C4A">
              <w:rPr>
                <w:noProof/>
                <w:webHidden/>
              </w:rPr>
              <w:fldChar w:fldCharType="end"/>
            </w:r>
          </w:hyperlink>
        </w:p>
        <w:p w14:paraId="3E4E9D9D" w14:textId="7B66C46E" w:rsidR="00E21C4A" w:rsidRDefault="005F2283">
          <w:pPr>
            <w:pStyle w:val="TOC1"/>
            <w:tabs>
              <w:tab w:val="left" w:pos="480"/>
            </w:tabs>
            <w:rPr>
              <w:rFonts w:asciiTheme="minorHAnsi" w:eastAsiaTheme="minorEastAsia" w:hAnsiTheme="minorHAnsi" w:cstheme="minorBidi"/>
              <w:noProof/>
              <w:szCs w:val="22"/>
              <w:lang w:eastAsia="en-AU"/>
            </w:rPr>
          </w:pPr>
          <w:hyperlink w:anchor="_Toc532990219" w:history="1">
            <w:r w:rsidR="00E21C4A" w:rsidRPr="008E687C">
              <w:rPr>
                <w:rStyle w:val="Hyperlink"/>
                <w:noProof/>
              </w:rPr>
              <w:t>4</w:t>
            </w:r>
            <w:r w:rsidR="00E21C4A">
              <w:rPr>
                <w:rFonts w:asciiTheme="minorHAnsi" w:eastAsiaTheme="minorEastAsia" w:hAnsiTheme="minorHAnsi" w:cstheme="minorBidi"/>
                <w:noProof/>
                <w:szCs w:val="22"/>
                <w:lang w:eastAsia="en-AU"/>
              </w:rPr>
              <w:tab/>
            </w:r>
            <w:r w:rsidR="00E21C4A" w:rsidRPr="008E687C">
              <w:rPr>
                <w:rStyle w:val="Hyperlink"/>
                <w:noProof/>
              </w:rPr>
              <w:t>ACT framework for hazardous waste stockpiles</w:t>
            </w:r>
            <w:r w:rsidR="00E21C4A">
              <w:rPr>
                <w:noProof/>
                <w:webHidden/>
              </w:rPr>
              <w:tab/>
            </w:r>
            <w:r w:rsidR="00E21C4A">
              <w:rPr>
                <w:noProof/>
                <w:webHidden/>
              </w:rPr>
              <w:fldChar w:fldCharType="begin"/>
            </w:r>
            <w:r w:rsidR="00E21C4A">
              <w:rPr>
                <w:noProof/>
                <w:webHidden/>
              </w:rPr>
              <w:instrText xml:space="preserve"> PAGEREF _Toc532990219 \h </w:instrText>
            </w:r>
            <w:r w:rsidR="00E21C4A">
              <w:rPr>
                <w:noProof/>
                <w:webHidden/>
              </w:rPr>
            </w:r>
            <w:r w:rsidR="00E21C4A">
              <w:rPr>
                <w:noProof/>
                <w:webHidden/>
              </w:rPr>
              <w:fldChar w:fldCharType="separate"/>
            </w:r>
            <w:r w:rsidR="00F54E66">
              <w:rPr>
                <w:noProof/>
                <w:webHidden/>
              </w:rPr>
              <w:t>7</w:t>
            </w:r>
            <w:r w:rsidR="00E21C4A">
              <w:rPr>
                <w:noProof/>
                <w:webHidden/>
              </w:rPr>
              <w:fldChar w:fldCharType="end"/>
            </w:r>
          </w:hyperlink>
        </w:p>
        <w:p w14:paraId="6901764F" w14:textId="555E1884" w:rsidR="00E21C4A" w:rsidRDefault="005F2283">
          <w:pPr>
            <w:pStyle w:val="TOC2"/>
            <w:rPr>
              <w:rFonts w:asciiTheme="minorHAnsi" w:eastAsiaTheme="minorEastAsia" w:hAnsiTheme="minorHAnsi" w:cstheme="minorBidi"/>
              <w:noProof/>
              <w:szCs w:val="22"/>
              <w:lang w:eastAsia="en-AU"/>
            </w:rPr>
          </w:pPr>
          <w:hyperlink w:anchor="_Toc532990220" w:history="1">
            <w:r w:rsidR="00E21C4A" w:rsidRPr="008E687C">
              <w:rPr>
                <w:rStyle w:val="Hyperlink"/>
                <w:noProof/>
              </w:rPr>
              <w:t>4.1</w:t>
            </w:r>
            <w:r w:rsidR="00E21C4A">
              <w:rPr>
                <w:rFonts w:asciiTheme="minorHAnsi" w:eastAsiaTheme="minorEastAsia" w:hAnsiTheme="minorHAnsi" w:cstheme="minorBidi"/>
                <w:noProof/>
                <w:szCs w:val="22"/>
                <w:lang w:eastAsia="en-AU"/>
              </w:rPr>
              <w:tab/>
            </w:r>
            <w:r w:rsidR="00E21C4A" w:rsidRPr="008E687C">
              <w:rPr>
                <w:rStyle w:val="Hyperlink"/>
                <w:noProof/>
              </w:rPr>
              <w:t>Prevention</w:t>
            </w:r>
            <w:r w:rsidR="00E21C4A">
              <w:rPr>
                <w:noProof/>
                <w:webHidden/>
              </w:rPr>
              <w:tab/>
            </w:r>
            <w:r w:rsidR="00E21C4A">
              <w:rPr>
                <w:noProof/>
                <w:webHidden/>
              </w:rPr>
              <w:fldChar w:fldCharType="begin"/>
            </w:r>
            <w:r w:rsidR="00E21C4A">
              <w:rPr>
                <w:noProof/>
                <w:webHidden/>
              </w:rPr>
              <w:instrText xml:space="preserve"> PAGEREF _Toc532990220 \h </w:instrText>
            </w:r>
            <w:r w:rsidR="00E21C4A">
              <w:rPr>
                <w:noProof/>
                <w:webHidden/>
              </w:rPr>
            </w:r>
            <w:r w:rsidR="00E21C4A">
              <w:rPr>
                <w:noProof/>
                <w:webHidden/>
              </w:rPr>
              <w:fldChar w:fldCharType="separate"/>
            </w:r>
            <w:r w:rsidR="00F54E66">
              <w:rPr>
                <w:noProof/>
                <w:webHidden/>
              </w:rPr>
              <w:t>7</w:t>
            </w:r>
            <w:r w:rsidR="00E21C4A">
              <w:rPr>
                <w:noProof/>
                <w:webHidden/>
              </w:rPr>
              <w:fldChar w:fldCharType="end"/>
            </w:r>
          </w:hyperlink>
        </w:p>
        <w:p w14:paraId="7824B293" w14:textId="36142071" w:rsidR="00E21C4A" w:rsidRDefault="005F2283">
          <w:pPr>
            <w:pStyle w:val="TOC2"/>
            <w:rPr>
              <w:rFonts w:asciiTheme="minorHAnsi" w:eastAsiaTheme="minorEastAsia" w:hAnsiTheme="minorHAnsi" w:cstheme="minorBidi"/>
              <w:noProof/>
              <w:szCs w:val="22"/>
              <w:lang w:eastAsia="en-AU"/>
            </w:rPr>
          </w:pPr>
          <w:hyperlink w:anchor="_Toc532990221" w:history="1">
            <w:r w:rsidR="00E21C4A" w:rsidRPr="008E687C">
              <w:rPr>
                <w:rStyle w:val="Hyperlink"/>
                <w:noProof/>
              </w:rPr>
              <w:t>4.2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_Toc532990221 \h </w:instrText>
            </w:r>
            <w:r w:rsidR="00E21C4A">
              <w:rPr>
                <w:noProof/>
                <w:webHidden/>
              </w:rPr>
            </w:r>
            <w:r w:rsidR="00E21C4A">
              <w:rPr>
                <w:noProof/>
                <w:webHidden/>
              </w:rPr>
              <w:fldChar w:fldCharType="separate"/>
            </w:r>
            <w:r w:rsidR="00F54E66">
              <w:rPr>
                <w:noProof/>
                <w:webHidden/>
              </w:rPr>
              <w:t>8</w:t>
            </w:r>
            <w:r w:rsidR="00E21C4A">
              <w:rPr>
                <w:noProof/>
                <w:webHidden/>
              </w:rPr>
              <w:fldChar w:fldCharType="end"/>
            </w:r>
          </w:hyperlink>
        </w:p>
        <w:p w14:paraId="32E3B79A" w14:textId="127120C1" w:rsidR="00E21C4A" w:rsidRDefault="005F2283">
          <w:pPr>
            <w:pStyle w:val="TOC2"/>
            <w:rPr>
              <w:rFonts w:asciiTheme="minorHAnsi" w:eastAsiaTheme="minorEastAsia" w:hAnsiTheme="minorHAnsi" w:cstheme="minorBidi"/>
              <w:noProof/>
              <w:szCs w:val="22"/>
              <w:lang w:eastAsia="en-AU"/>
            </w:rPr>
          </w:pPr>
          <w:hyperlink w:anchor="_Toc532990222" w:history="1">
            <w:r w:rsidR="00E21C4A" w:rsidRPr="008E687C">
              <w:rPr>
                <w:rStyle w:val="Hyperlink"/>
                <w:noProof/>
              </w:rPr>
              <w:t>4.3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_Toc532990222 \h </w:instrText>
            </w:r>
            <w:r w:rsidR="00E21C4A">
              <w:rPr>
                <w:noProof/>
                <w:webHidden/>
              </w:rPr>
            </w:r>
            <w:r w:rsidR="00E21C4A">
              <w:rPr>
                <w:noProof/>
                <w:webHidden/>
              </w:rPr>
              <w:fldChar w:fldCharType="separate"/>
            </w:r>
            <w:r w:rsidR="00F54E66">
              <w:rPr>
                <w:noProof/>
                <w:webHidden/>
              </w:rPr>
              <w:t>8</w:t>
            </w:r>
            <w:r w:rsidR="00E21C4A">
              <w:rPr>
                <w:noProof/>
                <w:webHidden/>
              </w:rPr>
              <w:fldChar w:fldCharType="end"/>
            </w:r>
          </w:hyperlink>
        </w:p>
        <w:p w14:paraId="65074EB5" w14:textId="05937DF0" w:rsidR="00E21C4A" w:rsidRDefault="005F2283">
          <w:pPr>
            <w:pStyle w:val="TOC1"/>
            <w:tabs>
              <w:tab w:val="left" w:pos="480"/>
            </w:tabs>
            <w:rPr>
              <w:rFonts w:asciiTheme="minorHAnsi" w:eastAsiaTheme="minorEastAsia" w:hAnsiTheme="minorHAnsi" w:cstheme="minorBidi"/>
              <w:noProof/>
              <w:szCs w:val="22"/>
              <w:lang w:eastAsia="en-AU"/>
            </w:rPr>
          </w:pPr>
          <w:hyperlink w:anchor="_Toc532990223" w:history="1">
            <w:r w:rsidR="00E21C4A" w:rsidRPr="008E687C">
              <w:rPr>
                <w:rStyle w:val="Hyperlink"/>
                <w:noProof/>
              </w:rPr>
              <w:t>5</w:t>
            </w:r>
            <w:r w:rsidR="00E21C4A">
              <w:rPr>
                <w:rFonts w:asciiTheme="minorHAnsi" w:eastAsiaTheme="minorEastAsia" w:hAnsiTheme="minorHAnsi" w:cstheme="minorBidi"/>
                <w:noProof/>
                <w:szCs w:val="22"/>
                <w:lang w:eastAsia="en-AU"/>
              </w:rPr>
              <w:tab/>
            </w:r>
            <w:r w:rsidR="00E21C4A" w:rsidRPr="008E687C">
              <w:rPr>
                <w:rStyle w:val="Hyperlink"/>
                <w:noProof/>
              </w:rPr>
              <w:t>NSW framework for hazardous waste stockpiles</w:t>
            </w:r>
            <w:r w:rsidR="00E21C4A">
              <w:rPr>
                <w:noProof/>
                <w:webHidden/>
              </w:rPr>
              <w:tab/>
            </w:r>
            <w:r w:rsidR="00E21C4A">
              <w:rPr>
                <w:noProof/>
                <w:webHidden/>
              </w:rPr>
              <w:fldChar w:fldCharType="begin"/>
            </w:r>
            <w:r w:rsidR="00E21C4A">
              <w:rPr>
                <w:noProof/>
                <w:webHidden/>
              </w:rPr>
              <w:instrText xml:space="preserve"> PAGEREF _Toc532990223 \h </w:instrText>
            </w:r>
            <w:r w:rsidR="00E21C4A">
              <w:rPr>
                <w:noProof/>
                <w:webHidden/>
              </w:rPr>
            </w:r>
            <w:r w:rsidR="00E21C4A">
              <w:rPr>
                <w:noProof/>
                <w:webHidden/>
              </w:rPr>
              <w:fldChar w:fldCharType="separate"/>
            </w:r>
            <w:r w:rsidR="00F54E66">
              <w:rPr>
                <w:noProof/>
                <w:webHidden/>
              </w:rPr>
              <w:t>10</w:t>
            </w:r>
            <w:r w:rsidR="00E21C4A">
              <w:rPr>
                <w:noProof/>
                <w:webHidden/>
              </w:rPr>
              <w:fldChar w:fldCharType="end"/>
            </w:r>
          </w:hyperlink>
        </w:p>
        <w:p w14:paraId="646365B2" w14:textId="3BFB145F" w:rsidR="00E21C4A" w:rsidRDefault="005F2283">
          <w:pPr>
            <w:pStyle w:val="TOC2"/>
            <w:rPr>
              <w:rFonts w:asciiTheme="minorHAnsi" w:eastAsiaTheme="minorEastAsia" w:hAnsiTheme="minorHAnsi" w:cstheme="minorBidi"/>
              <w:noProof/>
              <w:szCs w:val="22"/>
              <w:lang w:eastAsia="en-AU"/>
            </w:rPr>
          </w:pPr>
          <w:hyperlink w:anchor="_Toc532990224" w:history="1">
            <w:r w:rsidR="00E21C4A" w:rsidRPr="008E687C">
              <w:rPr>
                <w:rStyle w:val="Hyperlink"/>
                <w:noProof/>
              </w:rPr>
              <w:t>5.1</w:t>
            </w:r>
            <w:r w:rsidR="00E21C4A">
              <w:rPr>
                <w:rFonts w:asciiTheme="minorHAnsi" w:eastAsiaTheme="minorEastAsia" w:hAnsiTheme="minorHAnsi" w:cstheme="minorBidi"/>
                <w:noProof/>
                <w:szCs w:val="22"/>
                <w:lang w:eastAsia="en-AU"/>
              </w:rPr>
              <w:tab/>
            </w:r>
            <w:r w:rsidR="00E21C4A" w:rsidRPr="008E687C">
              <w:rPr>
                <w:rStyle w:val="Hyperlink"/>
                <w:noProof/>
              </w:rPr>
              <w:t>Stockpile prevention</w:t>
            </w:r>
            <w:r w:rsidR="00E21C4A">
              <w:rPr>
                <w:noProof/>
                <w:webHidden/>
              </w:rPr>
              <w:tab/>
            </w:r>
            <w:r w:rsidR="00E21C4A">
              <w:rPr>
                <w:noProof/>
                <w:webHidden/>
              </w:rPr>
              <w:fldChar w:fldCharType="begin"/>
            </w:r>
            <w:r w:rsidR="00E21C4A">
              <w:rPr>
                <w:noProof/>
                <w:webHidden/>
              </w:rPr>
              <w:instrText xml:space="preserve"> PAGEREF _Toc532990224 \h </w:instrText>
            </w:r>
            <w:r w:rsidR="00E21C4A">
              <w:rPr>
                <w:noProof/>
                <w:webHidden/>
              </w:rPr>
            </w:r>
            <w:r w:rsidR="00E21C4A">
              <w:rPr>
                <w:noProof/>
                <w:webHidden/>
              </w:rPr>
              <w:fldChar w:fldCharType="separate"/>
            </w:r>
            <w:r w:rsidR="00F54E66">
              <w:rPr>
                <w:noProof/>
                <w:webHidden/>
              </w:rPr>
              <w:t>10</w:t>
            </w:r>
            <w:r w:rsidR="00E21C4A">
              <w:rPr>
                <w:noProof/>
                <w:webHidden/>
              </w:rPr>
              <w:fldChar w:fldCharType="end"/>
            </w:r>
          </w:hyperlink>
        </w:p>
        <w:p w14:paraId="544145BD" w14:textId="58CEBAE1" w:rsidR="00E21C4A" w:rsidRDefault="005F2283">
          <w:pPr>
            <w:pStyle w:val="TOC2"/>
            <w:rPr>
              <w:rFonts w:asciiTheme="minorHAnsi" w:eastAsiaTheme="minorEastAsia" w:hAnsiTheme="minorHAnsi" w:cstheme="minorBidi"/>
              <w:noProof/>
              <w:szCs w:val="22"/>
              <w:lang w:eastAsia="en-AU"/>
            </w:rPr>
          </w:pPr>
          <w:hyperlink w:anchor="_Toc532990225" w:history="1">
            <w:r w:rsidR="00E21C4A" w:rsidRPr="008E687C">
              <w:rPr>
                <w:rStyle w:val="Hyperlink"/>
                <w:noProof/>
              </w:rPr>
              <w:t>5.2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_Toc532990225 \h </w:instrText>
            </w:r>
            <w:r w:rsidR="00E21C4A">
              <w:rPr>
                <w:noProof/>
                <w:webHidden/>
              </w:rPr>
            </w:r>
            <w:r w:rsidR="00E21C4A">
              <w:rPr>
                <w:noProof/>
                <w:webHidden/>
              </w:rPr>
              <w:fldChar w:fldCharType="separate"/>
            </w:r>
            <w:r w:rsidR="00F54E66">
              <w:rPr>
                <w:noProof/>
                <w:webHidden/>
              </w:rPr>
              <w:t>11</w:t>
            </w:r>
            <w:r w:rsidR="00E21C4A">
              <w:rPr>
                <w:noProof/>
                <w:webHidden/>
              </w:rPr>
              <w:fldChar w:fldCharType="end"/>
            </w:r>
          </w:hyperlink>
        </w:p>
        <w:p w14:paraId="671D48F6" w14:textId="044415CB" w:rsidR="00E21C4A" w:rsidRDefault="005F2283">
          <w:pPr>
            <w:pStyle w:val="TOC2"/>
            <w:rPr>
              <w:rFonts w:asciiTheme="minorHAnsi" w:eastAsiaTheme="minorEastAsia" w:hAnsiTheme="minorHAnsi" w:cstheme="minorBidi"/>
              <w:noProof/>
              <w:szCs w:val="22"/>
              <w:lang w:eastAsia="en-AU"/>
            </w:rPr>
          </w:pPr>
          <w:hyperlink w:anchor="_Toc532990226" w:history="1">
            <w:r w:rsidR="00E21C4A" w:rsidRPr="008E687C">
              <w:rPr>
                <w:rStyle w:val="Hyperlink"/>
                <w:noProof/>
              </w:rPr>
              <w:t>5.3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_Toc532990226 \h </w:instrText>
            </w:r>
            <w:r w:rsidR="00E21C4A">
              <w:rPr>
                <w:noProof/>
                <w:webHidden/>
              </w:rPr>
            </w:r>
            <w:r w:rsidR="00E21C4A">
              <w:rPr>
                <w:noProof/>
                <w:webHidden/>
              </w:rPr>
              <w:fldChar w:fldCharType="separate"/>
            </w:r>
            <w:r w:rsidR="00F54E66">
              <w:rPr>
                <w:noProof/>
                <w:webHidden/>
              </w:rPr>
              <w:t>12</w:t>
            </w:r>
            <w:r w:rsidR="00E21C4A">
              <w:rPr>
                <w:noProof/>
                <w:webHidden/>
              </w:rPr>
              <w:fldChar w:fldCharType="end"/>
            </w:r>
          </w:hyperlink>
        </w:p>
        <w:p w14:paraId="6984F562" w14:textId="2AE71E82" w:rsidR="00E21C4A" w:rsidRDefault="005F2283">
          <w:pPr>
            <w:pStyle w:val="TOC1"/>
            <w:tabs>
              <w:tab w:val="left" w:pos="480"/>
            </w:tabs>
            <w:rPr>
              <w:rFonts w:asciiTheme="minorHAnsi" w:eastAsiaTheme="minorEastAsia" w:hAnsiTheme="minorHAnsi" w:cstheme="minorBidi"/>
              <w:noProof/>
              <w:szCs w:val="22"/>
              <w:lang w:eastAsia="en-AU"/>
            </w:rPr>
          </w:pPr>
          <w:hyperlink w:anchor="_Toc532990227" w:history="1">
            <w:r w:rsidR="00E21C4A" w:rsidRPr="008E687C">
              <w:rPr>
                <w:rStyle w:val="Hyperlink"/>
                <w:noProof/>
              </w:rPr>
              <w:t>6</w:t>
            </w:r>
            <w:r w:rsidR="00E21C4A">
              <w:rPr>
                <w:rFonts w:asciiTheme="minorHAnsi" w:eastAsiaTheme="minorEastAsia" w:hAnsiTheme="minorHAnsi" w:cstheme="minorBidi"/>
                <w:noProof/>
                <w:szCs w:val="22"/>
                <w:lang w:eastAsia="en-AU"/>
              </w:rPr>
              <w:tab/>
            </w:r>
            <w:r w:rsidR="00E21C4A" w:rsidRPr="008E687C">
              <w:rPr>
                <w:rStyle w:val="Hyperlink"/>
                <w:noProof/>
              </w:rPr>
              <w:t>NT framework for hazardous waste stockpiles</w:t>
            </w:r>
            <w:r w:rsidR="00E21C4A">
              <w:rPr>
                <w:noProof/>
                <w:webHidden/>
              </w:rPr>
              <w:tab/>
            </w:r>
            <w:r w:rsidR="00E21C4A">
              <w:rPr>
                <w:noProof/>
                <w:webHidden/>
              </w:rPr>
              <w:fldChar w:fldCharType="begin"/>
            </w:r>
            <w:r w:rsidR="00E21C4A">
              <w:rPr>
                <w:noProof/>
                <w:webHidden/>
              </w:rPr>
              <w:instrText xml:space="preserve"> PAGEREF _Toc532990227 \h </w:instrText>
            </w:r>
            <w:r w:rsidR="00E21C4A">
              <w:rPr>
                <w:noProof/>
                <w:webHidden/>
              </w:rPr>
            </w:r>
            <w:r w:rsidR="00E21C4A">
              <w:rPr>
                <w:noProof/>
                <w:webHidden/>
              </w:rPr>
              <w:fldChar w:fldCharType="separate"/>
            </w:r>
            <w:r w:rsidR="00F54E66">
              <w:rPr>
                <w:noProof/>
                <w:webHidden/>
              </w:rPr>
              <w:t>14</w:t>
            </w:r>
            <w:r w:rsidR="00E21C4A">
              <w:rPr>
                <w:noProof/>
                <w:webHidden/>
              </w:rPr>
              <w:fldChar w:fldCharType="end"/>
            </w:r>
          </w:hyperlink>
        </w:p>
        <w:p w14:paraId="2CC69FA6" w14:textId="7048E38D" w:rsidR="00E21C4A" w:rsidRDefault="005F2283">
          <w:pPr>
            <w:pStyle w:val="TOC2"/>
            <w:rPr>
              <w:rFonts w:asciiTheme="minorHAnsi" w:eastAsiaTheme="minorEastAsia" w:hAnsiTheme="minorHAnsi" w:cstheme="minorBidi"/>
              <w:noProof/>
              <w:szCs w:val="22"/>
              <w:lang w:eastAsia="en-AU"/>
            </w:rPr>
          </w:pPr>
          <w:hyperlink w:anchor="_Toc532990228" w:history="1">
            <w:r w:rsidR="00E21C4A" w:rsidRPr="008E687C">
              <w:rPr>
                <w:rStyle w:val="Hyperlink"/>
                <w:noProof/>
              </w:rPr>
              <w:t>6.1</w:t>
            </w:r>
            <w:r w:rsidR="00E21C4A">
              <w:rPr>
                <w:rFonts w:asciiTheme="minorHAnsi" w:eastAsiaTheme="minorEastAsia" w:hAnsiTheme="minorHAnsi" w:cstheme="minorBidi"/>
                <w:noProof/>
                <w:szCs w:val="22"/>
                <w:lang w:eastAsia="en-AU"/>
              </w:rPr>
              <w:tab/>
            </w:r>
            <w:r w:rsidR="00E21C4A" w:rsidRPr="008E687C">
              <w:rPr>
                <w:rStyle w:val="Hyperlink"/>
                <w:noProof/>
              </w:rPr>
              <w:t>Stockpile prevention</w:t>
            </w:r>
            <w:r w:rsidR="00E21C4A">
              <w:rPr>
                <w:noProof/>
                <w:webHidden/>
              </w:rPr>
              <w:tab/>
            </w:r>
            <w:r w:rsidR="00E21C4A">
              <w:rPr>
                <w:noProof/>
                <w:webHidden/>
              </w:rPr>
              <w:fldChar w:fldCharType="begin"/>
            </w:r>
            <w:r w:rsidR="00E21C4A">
              <w:rPr>
                <w:noProof/>
                <w:webHidden/>
              </w:rPr>
              <w:instrText xml:space="preserve"> PAGEREF _Toc532990228 \h </w:instrText>
            </w:r>
            <w:r w:rsidR="00E21C4A">
              <w:rPr>
                <w:noProof/>
                <w:webHidden/>
              </w:rPr>
            </w:r>
            <w:r w:rsidR="00E21C4A">
              <w:rPr>
                <w:noProof/>
                <w:webHidden/>
              </w:rPr>
              <w:fldChar w:fldCharType="separate"/>
            </w:r>
            <w:r w:rsidR="00F54E66">
              <w:rPr>
                <w:noProof/>
                <w:webHidden/>
              </w:rPr>
              <w:t>14</w:t>
            </w:r>
            <w:r w:rsidR="00E21C4A">
              <w:rPr>
                <w:noProof/>
                <w:webHidden/>
              </w:rPr>
              <w:fldChar w:fldCharType="end"/>
            </w:r>
          </w:hyperlink>
        </w:p>
        <w:p w14:paraId="5AE75E1F" w14:textId="59F3051B" w:rsidR="00E21C4A" w:rsidRDefault="005F2283">
          <w:pPr>
            <w:pStyle w:val="TOC2"/>
            <w:rPr>
              <w:rFonts w:asciiTheme="minorHAnsi" w:eastAsiaTheme="minorEastAsia" w:hAnsiTheme="minorHAnsi" w:cstheme="minorBidi"/>
              <w:noProof/>
              <w:szCs w:val="22"/>
              <w:lang w:eastAsia="en-AU"/>
            </w:rPr>
          </w:pPr>
          <w:hyperlink w:anchor="_Toc532990229" w:history="1">
            <w:r w:rsidR="00E21C4A" w:rsidRPr="008E687C">
              <w:rPr>
                <w:rStyle w:val="Hyperlink"/>
                <w:noProof/>
              </w:rPr>
              <w:t>6.2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_Toc532990229 \h </w:instrText>
            </w:r>
            <w:r w:rsidR="00E21C4A">
              <w:rPr>
                <w:noProof/>
                <w:webHidden/>
              </w:rPr>
            </w:r>
            <w:r w:rsidR="00E21C4A">
              <w:rPr>
                <w:noProof/>
                <w:webHidden/>
              </w:rPr>
              <w:fldChar w:fldCharType="separate"/>
            </w:r>
            <w:r w:rsidR="00F54E66">
              <w:rPr>
                <w:noProof/>
                <w:webHidden/>
              </w:rPr>
              <w:t>14</w:t>
            </w:r>
            <w:r w:rsidR="00E21C4A">
              <w:rPr>
                <w:noProof/>
                <w:webHidden/>
              </w:rPr>
              <w:fldChar w:fldCharType="end"/>
            </w:r>
          </w:hyperlink>
        </w:p>
        <w:p w14:paraId="7912BBA7" w14:textId="3ADD4C6A" w:rsidR="00E21C4A" w:rsidRDefault="005F2283">
          <w:pPr>
            <w:pStyle w:val="TOC2"/>
            <w:rPr>
              <w:rFonts w:asciiTheme="minorHAnsi" w:eastAsiaTheme="minorEastAsia" w:hAnsiTheme="minorHAnsi" w:cstheme="minorBidi"/>
              <w:noProof/>
              <w:szCs w:val="22"/>
              <w:lang w:eastAsia="en-AU"/>
            </w:rPr>
          </w:pPr>
          <w:hyperlink w:anchor="_Toc532990230" w:history="1">
            <w:r w:rsidR="00E21C4A" w:rsidRPr="008E687C">
              <w:rPr>
                <w:rStyle w:val="Hyperlink"/>
                <w:noProof/>
              </w:rPr>
              <w:t>6.3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_Toc532990230 \h </w:instrText>
            </w:r>
            <w:r w:rsidR="00E21C4A">
              <w:rPr>
                <w:noProof/>
                <w:webHidden/>
              </w:rPr>
            </w:r>
            <w:r w:rsidR="00E21C4A">
              <w:rPr>
                <w:noProof/>
                <w:webHidden/>
              </w:rPr>
              <w:fldChar w:fldCharType="separate"/>
            </w:r>
            <w:r w:rsidR="00F54E66">
              <w:rPr>
                <w:noProof/>
                <w:webHidden/>
              </w:rPr>
              <w:t>14</w:t>
            </w:r>
            <w:r w:rsidR="00E21C4A">
              <w:rPr>
                <w:noProof/>
                <w:webHidden/>
              </w:rPr>
              <w:fldChar w:fldCharType="end"/>
            </w:r>
          </w:hyperlink>
        </w:p>
        <w:p w14:paraId="5EB5E130" w14:textId="0221A49B" w:rsidR="00E21C4A" w:rsidRDefault="005F2283">
          <w:pPr>
            <w:pStyle w:val="TOC1"/>
            <w:tabs>
              <w:tab w:val="left" w:pos="480"/>
            </w:tabs>
            <w:rPr>
              <w:rFonts w:asciiTheme="minorHAnsi" w:eastAsiaTheme="minorEastAsia" w:hAnsiTheme="minorHAnsi" w:cstheme="minorBidi"/>
              <w:noProof/>
              <w:szCs w:val="22"/>
              <w:lang w:eastAsia="en-AU"/>
            </w:rPr>
          </w:pPr>
          <w:hyperlink w:anchor="_Toc532990231" w:history="1">
            <w:r w:rsidR="00E21C4A" w:rsidRPr="008E687C">
              <w:rPr>
                <w:rStyle w:val="Hyperlink"/>
                <w:noProof/>
              </w:rPr>
              <w:t>7</w:t>
            </w:r>
            <w:r w:rsidR="00E21C4A">
              <w:rPr>
                <w:rFonts w:asciiTheme="minorHAnsi" w:eastAsiaTheme="minorEastAsia" w:hAnsiTheme="minorHAnsi" w:cstheme="minorBidi"/>
                <w:noProof/>
                <w:szCs w:val="22"/>
                <w:lang w:eastAsia="en-AU"/>
              </w:rPr>
              <w:tab/>
            </w:r>
            <w:r w:rsidR="00E21C4A" w:rsidRPr="008E687C">
              <w:rPr>
                <w:rStyle w:val="Hyperlink"/>
                <w:noProof/>
              </w:rPr>
              <w:t>Qld framework for hazardous waste stockpiles</w:t>
            </w:r>
            <w:r w:rsidR="00E21C4A">
              <w:rPr>
                <w:noProof/>
                <w:webHidden/>
              </w:rPr>
              <w:tab/>
            </w:r>
            <w:r w:rsidR="00E21C4A">
              <w:rPr>
                <w:noProof/>
                <w:webHidden/>
              </w:rPr>
              <w:fldChar w:fldCharType="begin"/>
            </w:r>
            <w:r w:rsidR="00E21C4A">
              <w:rPr>
                <w:noProof/>
                <w:webHidden/>
              </w:rPr>
              <w:instrText xml:space="preserve"> PAGEREF _Toc532990231 \h </w:instrText>
            </w:r>
            <w:r w:rsidR="00E21C4A">
              <w:rPr>
                <w:noProof/>
                <w:webHidden/>
              </w:rPr>
            </w:r>
            <w:r w:rsidR="00E21C4A">
              <w:rPr>
                <w:noProof/>
                <w:webHidden/>
              </w:rPr>
              <w:fldChar w:fldCharType="separate"/>
            </w:r>
            <w:r w:rsidR="00F54E66">
              <w:rPr>
                <w:noProof/>
                <w:webHidden/>
              </w:rPr>
              <w:t>15</w:t>
            </w:r>
            <w:r w:rsidR="00E21C4A">
              <w:rPr>
                <w:noProof/>
                <w:webHidden/>
              </w:rPr>
              <w:fldChar w:fldCharType="end"/>
            </w:r>
          </w:hyperlink>
        </w:p>
        <w:p w14:paraId="028CE175" w14:textId="2D1FD3F6" w:rsidR="00E21C4A" w:rsidRDefault="005F2283">
          <w:pPr>
            <w:pStyle w:val="TOC2"/>
            <w:rPr>
              <w:rFonts w:asciiTheme="minorHAnsi" w:eastAsiaTheme="minorEastAsia" w:hAnsiTheme="minorHAnsi" w:cstheme="minorBidi"/>
              <w:noProof/>
              <w:szCs w:val="22"/>
              <w:lang w:eastAsia="en-AU"/>
            </w:rPr>
          </w:pPr>
          <w:hyperlink w:anchor="_Toc532990232" w:history="1">
            <w:r w:rsidR="00E21C4A" w:rsidRPr="008E687C">
              <w:rPr>
                <w:rStyle w:val="Hyperlink"/>
                <w:noProof/>
              </w:rPr>
              <w:t>7.1</w:t>
            </w:r>
            <w:r w:rsidR="00E21C4A">
              <w:rPr>
                <w:rFonts w:asciiTheme="minorHAnsi" w:eastAsiaTheme="minorEastAsia" w:hAnsiTheme="minorHAnsi" w:cstheme="minorBidi"/>
                <w:noProof/>
                <w:szCs w:val="22"/>
                <w:lang w:eastAsia="en-AU"/>
              </w:rPr>
              <w:tab/>
            </w:r>
            <w:r w:rsidR="00E21C4A" w:rsidRPr="008E687C">
              <w:rPr>
                <w:rStyle w:val="Hyperlink"/>
                <w:noProof/>
              </w:rPr>
              <w:t>Stockpile prevention</w:t>
            </w:r>
            <w:r w:rsidR="00E21C4A">
              <w:rPr>
                <w:noProof/>
                <w:webHidden/>
              </w:rPr>
              <w:tab/>
            </w:r>
            <w:r w:rsidR="00E21C4A">
              <w:rPr>
                <w:noProof/>
                <w:webHidden/>
              </w:rPr>
              <w:fldChar w:fldCharType="begin"/>
            </w:r>
            <w:r w:rsidR="00E21C4A">
              <w:rPr>
                <w:noProof/>
                <w:webHidden/>
              </w:rPr>
              <w:instrText xml:space="preserve"> PAGEREF _Toc532990232 \h </w:instrText>
            </w:r>
            <w:r w:rsidR="00E21C4A">
              <w:rPr>
                <w:noProof/>
                <w:webHidden/>
              </w:rPr>
            </w:r>
            <w:r w:rsidR="00E21C4A">
              <w:rPr>
                <w:noProof/>
                <w:webHidden/>
              </w:rPr>
              <w:fldChar w:fldCharType="separate"/>
            </w:r>
            <w:r w:rsidR="00F54E66">
              <w:rPr>
                <w:noProof/>
                <w:webHidden/>
              </w:rPr>
              <w:t>15</w:t>
            </w:r>
            <w:r w:rsidR="00E21C4A">
              <w:rPr>
                <w:noProof/>
                <w:webHidden/>
              </w:rPr>
              <w:fldChar w:fldCharType="end"/>
            </w:r>
          </w:hyperlink>
        </w:p>
        <w:p w14:paraId="71B1F202" w14:textId="32889D2D" w:rsidR="00E21C4A" w:rsidRDefault="005F2283">
          <w:pPr>
            <w:pStyle w:val="TOC2"/>
            <w:rPr>
              <w:rFonts w:asciiTheme="minorHAnsi" w:eastAsiaTheme="minorEastAsia" w:hAnsiTheme="minorHAnsi" w:cstheme="minorBidi"/>
              <w:noProof/>
              <w:szCs w:val="22"/>
              <w:lang w:eastAsia="en-AU"/>
            </w:rPr>
          </w:pPr>
          <w:hyperlink w:anchor="_Toc532990233" w:history="1">
            <w:r w:rsidR="00E21C4A" w:rsidRPr="008E687C">
              <w:rPr>
                <w:rStyle w:val="Hyperlink"/>
                <w:noProof/>
              </w:rPr>
              <w:t>7.2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_Toc532990233 \h </w:instrText>
            </w:r>
            <w:r w:rsidR="00E21C4A">
              <w:rPr>
                <w:noProof/>
                <w:webHidden/>
              </w:rPr>
            </w:r>
            <w:r w:rsidR="00E21C4A">
              <w:rPr>
                <w:noProof/>
                <w:webHidden/>
              </w:rPr>
              <w:fldChar w:fldCharType="separate"/>
            </w:r>
            <w:r w:rsidR="00F54E66">
              <w:rPr>
                <w:noProof/>
                <w:webHidden/>
              </w:rPr>
              <w:t>16</w:t>
            </w:r>
            <w:r w:rsidR="00E21C4A">
              <w:rPr>
                <w:noProof/>
                <w:webHidden/>
              </w:rPr>
              <w:fldChar w:fldCharType="end"/>
            </w:r>
          </w:hyperlink>
        </w:p>
        <w:p w14:paraId="529E32E2" w14:textId="0267E8B9" w:rsidR="00E21C4A" w:rsidRDefault="005F2283">
          <w:pPr>
            <w:pStyle w:val="TOC2"/>
            <w:rPr>
              <w:rFonts w:asciiTheme="minorHAnsi" w:eastAsiaTheme="minorEastAsia" w:hAnsiTheme="minorHAnsi" w:cstheme="minorBidi"/>
              <w:noProof/>
              <w:szCs w:val="22"/>
              <w:lang w:eastAsia="en-AU"/>
            </w:rPr>
          </w:pPr>
          <w:hyperlink w:anchor="_Toc532990234" w:history="1">
            <w:r w:rsidR="00E21C4A" w:rsidRPr="008E687C">
              <w:rPr>
                <w:rStyle w:val="Hyperlink"/>
                <w:noProof/>
              </w:rPr>
              <w:t>7.3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_Toc532990234 \h </w:instrText>
            </w:r>
            <w:r w:rsidR="00E21C4A">
              <w:rPr>
                <w:noProof/>
                <w:webHidden/>
              </w:rPr>
            </w:r>
            <w:r w:rsidR="00E21C4A">
              <w:rPr>
                <w:noProof/>
                <w:webHidden/>
              </w:rPr>
              <w:fldChar w:fldCharType="separate"/>
            </w:r>
            <w:r w:rsidR="00F54E66">
              <w:rPr>
                <w:noProof/>
                <w:webHidden/>
              </w:rPr>
              <w:t>17</w:t>
            </w:r>
            <w:r w:rsidR="00E21C4A">
              <w:rPr>
                <w:noProof/>
                <w:webHidden/>
              </w:rPr>
              <w:fldChar w:fldCharType="end"/>
            </w:r>
          </w:hyperlink>
        </w:p>
        <w:p w14:paraId="1A12F81F" w14:textId="291D81E0" w:rsidR="00E21C4A" w:rsidRDefault="005F2283">
          <w:pPr>
            <w:pStyle w:val="TOC1"/>
            <w:tabs>
              <w:tab w:val="left" w:pos="480"/>
            </w:tabs>
            <w:rPr>
              <w:rFonts w:asciiTheme="minorHAnsi" w:eastAsiaTheme="minorEastAsia" w:hAnsiTheme="minorHAnsi" w:cstheme="minorBidi"/>
              <w:noProof/>
              <w:szCs w:val="22"/>
              <w:lang w:eastAsia="en-AU"/>
            </w:rPr>
          </w:pPr>
          <w:hyperlink w:anchor="_Toc532990235" w:history="1">
            <w:r w:rsidR="00E21C4A" w:rsidRPr="008E687C">
              <w:rPr>
                <w:rStyle w:val="Hyperlink"/>
                <w:rFonts w:eastAsia="Calibri"/>
                <w:noProof/>
              </w:rPr>
              <w:t>8</w:t>
            </w:r>
            <w:r w:rsidR="00E21C4A">
              <w:rPr>
                <w:rFonts w:asciiTheme="minorHAnsi" w:eastAsiaTheme="minorEastAsia" w:hAnsiTheme="minorHAnsi" w:cstheme="minorBidi"/>
                <w:noProof/>
                <w:szCs w:val="22"/>
                <w:lang w:eastAsia="en-AU"/>
              </w:rPr>
              <w:tab/>
            </w:r>
            <w:r w:rsidR="00E21C4A" w:rsidRPr="008E687C">
              <w:rPr>
                <w:rStyle w:val="Hyperlink"/>
                <w:noProof/>
              </w:rPr>
              <w:t>SA framework for hazardous waste stockpiles</w:t>
            </w:r>
            <w:r w:rsidR="00E21C4A">
              <w:rPr>
                <w:noProof/>
                <w:webHidden/>
              </w:rPr>
              <w:tab/>
            </w:r>
            <w:r w:rsidR="00E21C4A">
              <w:rPr>
                <w:noProof/>
                <w:webHidden/>
              </w:rPr>
              <w:fldChar w:fldCharType="begin"/>
            </w:r>
            <w:r w:rsidR="00E21C4A">
              <w:rPr>
                <w:noProof/>
                <w:webHidden/>
              </w:rPr>
              <w:instrText xml:space="preserve"> PAGEREF _Toc532990235 \h </w:instrText>
            </w:r>
            <w:r w:rsidR="00E21C4A">
              <w:rPr>
                <w:noProof/>
                <w:webHidden/>
              </w:rPr>
            </w:r>
            <w:r w:rsidR="00E21C4A">
              <w:rPr>
                <w:noProof/>
                <w:webHidden/>
              </w:rPr>
              <w:fldChar w:fldCharType="separate"/>
            </w:r>
            <w:r w:rsidR="00F54E66">
              <w:rPr>
                <w:noProof/>
                <w:webHidden/>
              </w:rPr>
              <w:t>18</w:t>
            </w:r>
            <w:r w:rsidR="00E21C4A">
              <w:rPr>
                <w:noProof/>
                <w:webHidden/>
              </w:rPr>
              <w:fldChar w:fldCharType="end"/>
            </w:r>
          </w:hyperlink>
        </w:p>
        <w:p w14:paraId="64C585F1" w14:textId="28CED61E" w:rsidR="00E21C4A" w:rsidRDefault="005F2283">
          <w:pPr>
            <w:pStyle w:val="TOC2"/>
            <w:rPr>
              <w:rFonts w:asciiTheme="minorHAnsi" w:eastAsiaTheme="minorEastAsia" w:hAnsiTheme="minorHAnsi" w:cstheme="minorBidi"/>
              <w:noProof/>
              <w:szCs w:val="22"/>
              <w:lang w:eastAsia="en-AU"/>
            </w:rPr>
          </w:pPr>
          <w:hyperlink w:anchor="_Toc532990236" w:history="1">
            <w:r w:rsidR="00E21C4A" w:rsidRPr="008E687C">
              <w:rPr>
                <w:rStyle w:val="Hyperlink"/>
                <w:noProof/>
              </w:rPr>
              <w:t>8.1</w:t>
            </w:r>
            <w:r w:rsidR="00E21C4A">
              <w:rPr>
                <w:rFonts w:asciiTheme="minorHAnsi" w:eastAsiaTheme="minorEastAsia" w:hAnsiTheme="minorHAnsi" w:cstheme="minorBidi"/>
                <w:noProof/>
                <w:szCs w:val="22"/>
                <w:lang w:eastAsia="en-AU"/>
              </w:rPr>
              <w:tab/>
            </w:r>
            <w:r w:rsidR="00E21C4A" w:rsidRPr="008E687C">
              <w:rPr>
                <w:rStyle w:val="Hyperlink"/>
                <w:noProof/>
              </w:rPr>
              <w:t>Stockpile prevention</w:t>
            </w:r>
            <w:r w:rsidR="00E21C4A">
              <w:rPr>
                <w:noProof/>
                <w:webHidden/>
              </w:rPr>
              <w:tab/>
            </w:r>
            <w:r w:rsidR="00E21C4A">
              <w:rPr>
                <w:noProof/>
                <w:webHidden/>
              </w:rPr>
              <w:fldChar w:fldCharType="begin"/>
            </w:r>
            <w:r w:rsidR="00E21C4A">
              <w:rPr>
                <w:noProof/>
                <w:webHidden/>
              </w:rPr>
              <w:instrText xml:space="preserve"> PAGEREF _Toc532990236 \h </w:instrText>
            </w:r>
            <w:r w:rsidR="00E21C4A">
              <w:rPr>
                <w:noProof/>
                <w:webHidden/>
              </w:rPr>
            </w:r>
            <w:r w:rsidR="00E21C4A">
              <w:rPr>
                <w:noProof/>
                <w:webHidden/>
              </w:rPr>
              <w:fldChar w:fldCharType="separate"/>
            </w:r>
            <w:r w:rsidR="00F54E66">
              <w:rPr>
                <w:noProof/>
                <w:webHidden/>
              </w:rPr>
              <w:t>18</w:t>
            </w:r>
            <w:r w:rsidR="00E21C4A">
              <w:rPr>
                <w:noProof/>
                <w:webHidden/>
              </w:rPr>
              <w:fldChar w:fldCharType="end"/>
            </w:r>
          </w:hyperlink>
        </w:p>
        <w:p w14:paraId="08B04FBD" w14:textId="6B322A9B" w:rsidR="00E21C4A" w:rsidRDefault="005F2283">
          <w:pPr>
            <w:pStyle w:val="TOC2"/>
            <w:rPr>
              <w:rFonts w:asciiTheme="minorHAnsi" w:eastAsiaTheme="minorEastAsia" w:hAnsiTheme="minorHAnsi" w:cstheme="minorBidi"/>
              <w:noProof/>
              <w:szCs w:val="22"/>
              <w:lang w:eastAsia="en-AU"/>
            </w:rPr>
          </w:pPr>
          <w:hyperlink w:anchor="_Toc532990237" w:history="1">
            <w:r w:rsidR="00E21C4A" w:rsidRPr="008E687C">
              <w:rPr>
                <w:rStyle w:val="Hyperlink"/>
                <w:noProof/>
              </w:rPr>
              <w:t>8.2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_Toc532990237 \h </w:instrText>
            </w:r>
            <w:r w:rsidR="00E21C4A">
              <w:rPr>
                <w:noProof/>
                <w:webHidden/>
              </w:rPr>
            </w:r>
            <w:r w:rsidR="00E21C4A">
              <w:rPr>
                <w:noProof/>
                <w:webHidden/>
              </w:rPr>
              <w:fldChar w:fldCharType="separate"/>
            </w:r>
            <w:r w:rsidR="00F54E66">
              <w:rPr>
                <w:noProof/>
                <w:webHidden/>
              </w:rPr>
              <w:t>22</w:t>
            </w:r>
            <w:r w:rsidR="00E21C4A">
              <w:rPr>
                <w:noProof/>
                <w:webHidden/>
              </w:rPr>
              <w:fldChar w:fldCharType="end"/>
            </w:r>
          </w:hyperlink>
        </w:p>
        <w:p w14:paraId="6EEFA953" w14:textId="60814863" w:rsidR="00E21C4A" w:rsidRDefault="005F2283">
          <w:pPr>
            <w:pStyle w:val="TOC2"/>
            <w:rPr>
              <w:rFonts w:asciiTheme="minorHAnsi" w:eastAsiaTheme="minorEastAsia" w:hAnsiTheme="minorHAnsi" w:cstheme="minorBidi"/>
              <w:noProof/>
              <w:szCs w:val="22"/>
              <w:lang w:eastAsia="en-AU"/>
            </w:rPr>
          </w:pPr>
          <w:hyperlink w:anchor="_Toc532990238" w:history="1">
            <w:r w:rsidR="00E21C4A" w:rsidRPr="008E687C">
              <w:rPr>
                <w:rStyle w:val="Hyperlink"/>
                <w:noProof/>
              </w:rPr>
              <w:t>8.3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_Toc532990238 \h </w:instrText>
            </w:r>
            <w:r w:rsidR="00E21C4A">
              <w:rPr>
                <w:noProof/>
                <w:webHidden/>
              </w:rPr>
            </w:r>
            <w:r w:rsidR="00E21C4A">
              <w:rPr>
                <w:noProof/>
                <w:webHidden/>
              </w:rPr>
              <w:fldChar w:fldCharType="separate"/>
            </w:r>
            <w:r w:rsidR="00F54E66">
              <w:rPr>
                <w:noProof/>
                <w:webHidden/>
              </w:rPr>
              <w:t>22</w:t>
            </w:r>
            <w:r w:rsidR="00E21C4A">
              <w:rPr>
                <w:noProof/>
                <w:webHidden/>
              </w:rPr>
              <w:fldChar w:fldCharType="end"/>
            </w:r>
          </w:hyperlink>
        </w:p>
        <w:p w14:paraId="7B3FC0AC" w14:textId="03D75DBB" w:rsidR="00E21C4A" w:rsidRDefault="005F2283">
          <w:pPr>
            <w:pStyle w:val="TOC1"/>
            <w:tabs>
              <w:tab w:val="left" w:pos="480"/>
            </w:tabs>
            <w:rPr>
              <w:rFonts w:asciiTheme="minorHAnsi" w:eastAsiaTheme="minorEastAsia" w:hAnsiTheme="minorHAnsi" w:cstheme="minorBidi"/>
              <w:noProof/>
              <w:szCs w:val="22"/>
              <w:lang w:eastAsia="en-AU"/>
            </w:rPr>
          </w:pPr>
          <w:hyperlink w:anchor="_Toc532990239" w:history="1">
            <w:r w:rsidR="00E21C4A" w:rsidRPr="008E687C">
              <w:rPr>
                <w:rStyle w:val="Hyperlink"/>
                <w:noProof/>
              </w:rPr>
              <w:t>9</w:t>
            </w:r>
            <w:r w:rsidR="00E21C4A">
              <w:rPr>
                <w:rFonts w:asciiTheme="minorHAnsi" w:eastAsiaTheme="minorEastAsia" w:hAnsiTheme="minorHAnsi" w:cstheme="minorBidi"/>
                <w:noProof/>
                <w:szCs w:val="22"/>
                <w:lang w:eastAsia="en-AU"/>
              </w:rPr>
              <w:tab/>
            </w:r>
            <w:r w:rsidR="00E21C4A" w:rsidRPr="008E687C">
              <w:rPr>
                <w:rStyle w:val="Hyperlink"/>
                <w:noProof/>
              </w:rPr>
              <w:t>Tasmania framework for hazardous waste stockpiles</w:t>
            </w:r>
            <w:r w:rsidR="00E21C4A">
              <w:rPr>
                <w:noProof/>
                <w:webHidden/>
              </w:rPr>
              <w:tab/>
            </w:r>
            <w:r w:rsidR="00E21C4A">
              <w:rPr>
                <w:noProof/>
                <w:webHidden/>
              </w:rPr>
              <w:fldChar w:fldCharType="begin"/>
            </w:r>
            <w:r w:rsidR="00E21C4A">
              <w:rPr>
                <w:noProof/>
                <w:webHidden/>
              </w:rPr>
              <w:instrText xml:space="preserve"> PAGEREF _Toc532990239 \h </w:instrText>
            </w:r>
            <w:r w:rsidR="00E21C4A">
              <w:rPr>
                <w:noProof/>
                <w:webHidden/>
              </w:rPr>
            </w:r>
            <w:r w:rsidR="00E21C4A">
              <w:rPr>
                <w:noProof/>
                <w:webHidden/>
              </w:rPr>
              <w:fldChar w:fldCharType="separate"/>
            </w:r>
            <w:r w:rsidR="00F54E66">
              <w:rPr>
                <w:noProof/>
                <w:webHidden/>
              </w:rPr>
              <w:t>23</w:t>
            </w:r>
            <w:r w:rsidR="00E21C4A">
              <w:rPr>
                <w:noProof/>
                <w:webHidden/>
              </w:rPr>
              <w:fldChar w:fldCharType="end"/>
            </w:r>
          </w:hyperlink>
        </w:p>
        <w:p w14:paraId="57CF7980" w14:textId="6AE54A67" w:rsidR="00E21C4A" w:rsidRDefault="005F2283">
          <w:pPr>
            <w:pStyle w:val="TOC2"/>
            <w:rPr>
              <w:rFonts w:asciiTheme="minorHAnsi" w:eastAsiaTheme="minorEastAsia" w:hAnsiTheme="minorHAnsi" w:cstheme="minorBidi"/>
              <w:noProof/>
              <w:szCs w:val="22"/>
              <w:lang w:eastAsia="en-AU"/>
            </w:rPr>
          </w:pPr>
          <w:hyperlink w:anchor="_Toc532990240" w:history="1">
            <w:r w:rsidR="00E21C4A" w:rsidRPr="008E687C">
              <w:rPr>
                <w:rStyle w:val="Hyperlink"/>
                <w:noProof/>
              </w:rPr>
              <w:t>9.1</w:t>
            </w:r>
            <w:r w:rsidR="00E21C4A">
              <w:rPr>
                <w:rFonts w:asciiTheme="minorHAnsi" w:eastAsiaTheme="minorEastAsia" w:hAnsiTheme="minorHAnsi" w:cstheme="minorBidi"/>
                <w:noProof/>
                <w:szCs w:val="22"/>
                <w:lang w:eastAsia="en-AU"/>
              </w:rPr>
              <w:tab/>
            </w:r>
            <w:r w:rsidR="00E21C4A" w:rsidRPr="008E687C">
              <w:rPr>
                <w:rStyle w:val="Hyperlink"/>
                <w:noProof/>
              </w:rPr>
              <w:t>Stockpile prevention</w:t>
            </w:r>
            <w:r w:rsidR="00E21C4A">
              <w:rPr>
                <w:noProof/>
                <w:webHidden/>
              </w:rPr>
              <w:tab/>
            </w:r>
            <w:r w:rsidR="00E21C4A">
              <w:rPr>
                <w:noProof/>
                <w:webHidden/>
              </w:rPr>
              <w:fldChar w:fldCharType="begin"/>
            </w:r>
            <w:r w:rsidR="00E21C4A">
              <w:rPr>
                <w:noProof/>
                <w:webHidden/>
              </w:rPr>
              <w:instrText xml:space="preserve"> PAGEREF _Toc532990240 \h </w:instrText>
            </w:r>
            <w:r w:rsidR="00E21C4A">
              <w:rPr>
                <w:noProof/>
                <w:webHidden/>
              </w:rPr>
            </w:r>
            <w:r w:rsidR="00E21C4A">
              <w:rPr>
                <w:noProof/>
                <w:webHidden/>
              </w:rPr>
              <w:fldChar w:fldCharType="separate"/>
            </w:r>
            <w:r w:rsidR="00F54E66">
              <w:rPr>
                <w:noProof/>
                <w:webHidden/>
              </w:rPr>
              <w:t>23</w:t>
            </w:r>
            <w:r w:rsidR="00E21C4A">
              <w:rPr>
                <w:noProof/>
                <w:webHidden/>
              </w:rPr>
              <w:fldChar w:fldCharType="end"/>
            </w:r>
          </w:hyperlink>
        </w:p>
        <w:p w14:paraId="4D74F672" w14:textId="13AB4B6A" w:rsidR="00E21C4A" w:rsidRDefault="005F2283">
          <w:pPr>
            <w:pStyle w:val="TOC2"/>
            <w:rPr>
              <w:rFonts w:asciiTheme="minorHAnsi" w:eastAsiaTheme="minorEastAsia" w:hAnsiTheme="minorHAnsi" w:cstheme="minorBidi"/>
              <w:noProof/>
              <w:szCs w:val="22"/>
              <w:lang w:eastAsia="en-AU"/>
            </w:rPr>
          </w:pPr>
          <w:hyperlink w:anchor="_Toc532990241" w:history="1">
            <w:r w:rsidR="00E21C4A" w:rsidRPr="008E687C">
              <w:rPr>
                <w:rStyle w:val="Hyperlink"/>
                <w:noProof/>
              </w:rPr>
              <w:t>9.2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_Toc532990241 \h </w:instrText>
            </w:r>
            <w:r w:rsidR="00E21C4A">
              <w:rPr>
                <w:noProof/>
                <w:webHidden/>
              </w:rPr>
            </w:r>
            <w:r w:rsidR="00E21C4A">
              <w:rPr>
                <w:noProof/>
                <w:webHidden/>
              </w:rPr>
              <w:fldChar w:fldCharType="separate"/>
            </w:r>
            <w:r w:rsidR="00F54E66">
              <w:rPr>
                <w:noProof/>
                <w:webHidden/>
              </w:rPr>
              <w:t>24</w:t>
            </w:r>
            <w:r w:rsidR="00E21C4A">
              <w:rPr>
                <w:noProof/>
                <w:webHidden/>
              </w:rPr>
              <w:fldChar w:fldCharType="end"/>
            </w:r>
          </w:hyperlink>
        </w:p>
        <w:p w14:paraId="1B1F502E" w14:textId="12137C41" w:rsidR="00E21C4A" w:rsidRDefault="005F2283">
          <w:pPr>
            <w:pStyle w:val="TOC2"/>
            <w:rPr>
              <w:rFonts w:asciiTheme="minorHAnsi" w:eastAsiaTheme="minorEastAsia" w:hAnsiTheme="minorHAnsi" w:cstheme="minorBidi"/>
              <w:noProof/>
              <w:szCs w:val="22"/>
              <w:lang w:eastAsia="en-AU"/>
            </w:rPr>
          </w:pPr>
          <w:hyperlink w:anchor="_Toc532990242" w:history="1">
            <w:r w:rsidR="00E21C4A" w:rsidRPr="008E687C">
              <w:rPr>
                <w:rStyle w:val="Hyperlink"/>
                <w:noProof/>
              </w:rPr>
              <w:t>9.3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_Toc532990242 \h </w:instrText>
            </w:r>
            <w:r w:rsidR="00E21C4A">
              <w:rPr>
                <w:noProof/>
                <w:webHidden/>
              </w:rPr>
            </w:r>
            <w:r w:rsidR="00E21C4A">
              <w:rPr>
                <w:noProof/>
                <w:webHidden/>
              </w:rPr>
              <w:fldChar w:fldCharType="separate"/>
            </w:r>
            <w:r w:rsidR="00F54E66">
              <w:rPr>
                <w:noProof/>
                <w:webHidden/>
              </w:rPr>
              <w:t>25</w:t>
            </w:r>
            <w:r w:rsidR="00E21C4A">
              <w:rPr>
                <w:noProof/>
                <w:webHidden/>
              </w:rPr>
              <w:fldChar w:fldCharType="end"/>
            </w:r>
          </w:hyperlink>
        </w:p>
        <w:p w14:paraId="1B53A33E" w14:textId="5E6871F1" w:rsidR="00E21C4A" w:rsidRDefault="005F2283">
          <w:pPr>
            <w:pStyle w:val="TOC1"/>
            <w:tabs>
              <w:tab w:val="left" w:pos="480"/>
            </w:tabs>
            <w:rPr>
              <w:rFonts w:asciiTheme="minorHAnsi" w:eastAsiaTheme="minorEastAsia" w:hAnsiTheme="minorHAnsi" w:cstheme="minorBidi"/>
              <w:noProof/>
              <w:szCs w:val="22"/>
              <w:lang w:eastAsia="en-AU"/>
            </w:rPr>
          </w:pPr>
          <w:hyperlink w:anchor="_Toc532990243" w:history="1">
            <w:r w:rsidR="00E21C4A" w:rsidRPr="008E687C">
              <w:rPr>
                <w:rStyle w:val="Hyperlink"/>
                <w:noProof/>
              </w:rPr>
              <w:t>10</w:t>
            </w:r>
            <w:r w:rsidR="00E21C4A">
              <w:rPr>
                <w:rFonts w:asciiTheme="minorHAnsi" w:eastAsiaTheme="minorEastAsia" w:hAnsiTheme="minorHAnsi" w:cstheme="minorBidi"/>
                <w:noProof/>
                <w:szCs w:val="22"/>
                <w:lang w:eastAsia="en-AU"/>
              </w:rPr>
              <w:tab/>
            </w:r>
            <w:r w:rsidR="00E21C4A" w:rsidRPr="008E687C">
              <w:rPr>
                <w:rStyle w:val="Hyperlink"/>
                <w:noProof/>
              </w:rPr>
              <w:t>Vic framework for hazardous waste stockpiles</w:t>
            </w:r>
            <w:r w:rsidR="00E21C4A">
              <w:rPr>
                <w:noProof/>
                <w:webHidden/>
              </w:rPr>
              <w:tab/>
            </w:r>
            <w:r w:rsidR="00E21C4A">
              <w:rPr>
                <w:noProof/>
                <w:webHidden/>
              </w:rPr>
              <w:fldChar w:fldCharType="begin"/>
            </w:r>
            <w:r w:rsidR="00E21C4A">
              <w:rPr>
                <w:noProof/>
                <w:webHidden/>
              </w:rPr>
              <w:instrText xml:space="preserve"> PAGEREF _Toc532990243 \h </w:instrText>
            </w:r>
            <w:r w:rsidR="00E21C4A">
              <w:rPr>
                <w:noProof/>
                <w:webHidden/>
              </w:rPr>
            </w:r>
            <w:r w:rsidR="00E21C4A">
              <w:rPr>
                <w:noProof/>
                <w:webHidden/>
              </w:rPr>
              <w:fldChar w:fldCharType="separate"/>
            </w:r>
            <w:r w:rsidR="00F54E66">
              <w:rPr>
                <w:noProof/>
                <w:webHidden/>
              </w:rPr>
              <w:t>26</w:t>
            </w:r>
            <w:r w:rsidR="00E21C4A">
              <w:rPr>
                <w:noProof/>
                <w:webHidden/>
              </w:rPr>
              <w:fldChar w:fldCharType="end"/>
            </w:r>
          </w:hyperlink>
        </w:p>
        <w:p w14:paraId="72AA53A4" w14:textId="4B64BD58" w:rsidR="00E21C4A" w:rsidRDefault="005F2283">
          <w:pPr>
            <w:pStyle w:val="TOC2"/>
            <w:rPr>
              <w:rFonts w:asciiTheme="minorHAnsi" w:eastAsiaTheme="minorEastAsia" w:hAnsiTheme="minorHAnsi" w:cstheme="minorBidi"/>
              <w:noProof/>
              <w:szCs w:val="22"/>
              <w:lang w:eastAsia="en-AU"/>
            </w:rPr>
          </w:pPr>
          <w:hyperlink w:anchor="_Toc532990244" w:history="1">
            <w:r w:rsidR="00E21C4A" w:rsidRPr="008E687C">
              <w:rPr>
                <w:rStyle w:val="Hyperlink"/>
                <w:noProof/>
              </w:rPr>
              <w:t>10.1</w:t>
            </w:r>
            <w:r w:rsidR="00E21C4A">
              <w:rPr>
                <w:rFonts w:asciiTheme="minorHAnsi" w:eastAsiaTheme="minorEastAsia" w:hAnsiTheme="minorHAnsi" w:cstheme="minorBidi"/>
                <w:noProof/>
                <w:szCs w:val="22"/>
                <w:lang w:eastAsia="en-AU"/>
              </w:rPr>
              <w:tab/>
            </w:r>
            <w:r w:rsidR="00E21C4A" w:rsidRPr="008E687C">
              <w:rPr>
                <w:rStyle w:val="Hyperlink"/>
                <w:noProof/>
              </w:rPr>
              <w:t>Stockpile prevention</w:t>
            </w:r>
            <w:r w:rsidR="00E21C4A">
              <w:rPr>
                <w:noProof/>
                <w:webHidden/>
              </w:rPr>
              <w:tab/>
            </w:r>
            <w:r w:rsidR="00E21C4A">
              <w:rPr>
                <w:noProof/>
                <w:webHidden/>
              </w:rPr>
              <w:fldChar w:fldCharType="begin"/>
            </w:r>
            <w:r w:rsidR="00E21C4A">
              <w:rPr>
                <w:noProof/>
                <w:webHidden/>
              </w:rPr>
              <w:instrText xml:space="preserve"> PAGEREF _Toc532990244 \h </w:instrText>
            </w:r>
            <w:r w:rsidR="00E21C4A">
              <w:rPr>
                <w:noProof/>
                <w:webHidden/>
              </w:rPr>
            </w:r>
            <w:r w:rsidR="00E21C4A">
              <w:rPr>
                <w:noProof/>
                <w:webHidden/>
              </w:rPr>
              <w:fldChar w:fldCharType="separate"/>
            </w:r>
            <w:r w:rsidR="00F54E66">
              <w:rPr>
                <w:noProof/>
                <w:webHidden/>
              </w:rPr>
              <w:t>26</w:t>
            </w:r>
            <w:r w:rsidR="00E21C4A">
              <w:rPr>
                <w:noProof/>
                <w:webHidden/>
              </w:rPr>
              <w:fldChar w:fldCharType="end"/>
            </w:r>
          </w:hyperlink>
        </w:p>
        <w:p w14:paraId="0B57BDC8" w14:textId="664AB8DA" w:rsidR="00E21C4A" w:rsidRDefault="005F2283">
          <w:pPr>
            <w:pStyle w:val="TOC2"/>
            <w:rPr>
              <w:rFonts w:asciiTheme="minorHAnsi" w:eastAsiaTheme="minorEastAsia" w:hAnsiTheme="minorHAnsi" w:cstheme="minorBidi"/>
              <w:noProof/>
              <w:szCs w:val="22"/>
              <w:lang w:eastAsia="en-AU"/>
            </w:rPr>
          </w:pPr>
          <w:hyperlink w:anchor="_Toc532990245" w:history="1">
            <w:r w:rsidR="00E21C4A" w:rsidRPr="008E687C">
              <w:rPr>
                <w:rStyle w:val="Hyperlink"/>
                <w:noProof/>
              </w:rPr>
              <w:t>10.2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_Toc532990245 \h </w:instrText>
            </w:r>
            <w:r w:rsidR="00E21C4A">
              <w:rPr>
                <w:noProof/>
                <w:webHidden/>
              </w:rPr>
            </w:r>
            <w:r w:rsidR="00E21C4A">
              <w:rPr>
                <w:noProof/>
                <w:webHidden/>
              </w:rPr>
              <w:fldChar w:fldCharType="separate"/>
            </w:r>
            <w:r w:rsidR="00F54E66">
              <w:rPr>
                <w:noProof/>
                <w:webHidden/>
              </w:rPr>
              <w:t>28</w:t>
            </w:r>
            <w:r w:rsidR="00E21C4A">
              <w:rPr>
                <w:noProof/>
                <w:webHidden/>
              </w:rPr>
              <w:fldChar w:fldCharType="end"/>
            </w:r>
          </w:hyperlink>
        </w:p>
        <w:p w14:paraId="4018573B" w14:textId="00BADE38" w:rsidR="00E21C4A" w:rsidRDefault="005F2283">
          <w:pPr>
            <w:pStyle w:val="TOC2"/>
            <w:rPr>
              <w:rFonts w:asciiTheme="minorHAnsi" w:eastAsiaTheme="minorEastAsia" w:hAnsiTheme="minorHAnsi" w:cstheme="minorBidi"/>
              <w:noProof/>
              <w:szCs w:val="22"/>
              <w:lang w:eastAsia="en-AU"/>
            </w:rPr>
          </w:pPr>
          <w:hyperlink w:anchor="_Toc532990246" w:history="1">
            <w:r w:rsidR="00E21C4A" w:rsidRPr="008E687C">
              <w:rPr>
                <w:rStyle w:val="Hyperlink"/>
                <w:noProof/>
              </w:rPr>
              <w:t>10.3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_Toc532990246 \h </w:instrText>
            </w:r>
            <w:r w:rsidR="00E21C4A">
              <w:rPr>
                <w:noProof/>
                <w:webHidden/>
              </w:rPr>
            </w:r>
            <w:r w:rsidR="00E21C4A">
              <w:rPr>
                <w:noProof/>
                <w:webHidden/>
              </w:rPr>
              <w:fldChar w:fldCharType="separate"/>
            </w:r>
            <w:r w:rsidR="00F54E66">
              <w:rPr>
                <w:noProof/>
                <w:webHidden/>
              </w:rPr>
              <w:t>29</w:t>
            </w:r>
            <w:r w:rsidR="00E21C4A">
              <w:rPr>
                <w:noProof/>
                <w:webHidden/>
              </w:rPr>
              <w:fldChar w:fldCharType="end"/>
            </w:r>
          </w:hyperlink>
        </w:p>
        <w:p w14:paraId="00D74768" w14:textId="3D87B6D8" w:rsidR="00E21C4A" w:rsidRDefault="005F2283">
          <w:pPr>
            <w:pStyle w:val="TOC1"/>
            <w:tabs>
              <w:tab w:val="left" w:pos="480"/>
            </w:tabs>
            <w:rPr>
              <w:rFonts w:asciiTheme="minorHAnsi" w:eastAsiaTheme="minorEastAsia" w:hAnsiTheme="minorHAnsi" w:cstheme="minorBidi"/>
              <w:noProof/>
              <w:szCs w:val="22"/>
              <w:lang w:eastAsia="en-AU"/>
            </w:rPr>
          </w:pPr>
          <w:hyperlink w:anchor="_Toc532990247" w:history="1">
            <w:r w:rsidR="00E21C4A" w:rsidRPr="008E687C">
              <w:rPr>
                <w:rStyle w:val="Hyperlink"/>
                <w:noProof/>
              </w:rPr>
              <w:t>11</w:t>
            </w:r>
            <w:r w:rsidR="00E21C4A">
              <w:rPr>
                <w:rFonts w:asciiTheme="minorHAnsi" w:eastAsiaTheme="minorEastAsia" w:hAnsiTheme="minorHAnsi" w:cstheme="minorBidi"/>
                <w:noProof/>
                <w:szCs w:val="22"/>
                <w:lang w:eastAsia="en-AU"/>
              </w:rPr>
              <w:tab/>
            </w:r>
            <w:r w:rsidR="00E21C4A" w:rsidRPr="008E687C">
              <w:rPr>
                <w:rStyle w:val="Hyperlink"/>
                <w:noProof/>
              </w:rPr>
              <w:t>WA framework for hazardous waste stockpiles</w:t>
            </w:r>
            <w:r w:rsidR="00E21C4A">
              <w:rPr>
                <w:noProof/>
                <w:webHidden/>
              </w:rPr>
              <w:tab/>
            </w:r>
            <w:r w:rsidR="00E21C4A">
              <w:rPr>
                <w:noProof/>
                <w:webHidden/>
              </w:rPr>
              <w:fldChar w:fldCharType="begin"/>
            </w:r>
            <w:r w:rsidR="00E21C4A">
              <w:rPr>
                <w:noProof/>
                <w:webHidden/>
              </w:rPr>
              <w:instrText xml:space="preserve"> PAGEREF _Toc532990247 \h </w:instrText>
            </w:r>
            <w:r w:rsidR="00E21C4A">
              <w:rPr>
                <w:noProof/>
                <w:webHidden/>
              </w:rPr>
            </w:r>
            <w:r w:rsidR="00E21C4A">
              <w:rPr>
                <w:noProof/>
                <w:webHidden/>
              </w:rPr>
              <w:fldChar w:fldCharType="separate"/>
            </w:r>
            <w:r w:rsidR="00F54E66">
              <w:rPr>
                <w:noProof/>
                <w:webHidden/>
              </w:rPr>
              <w:t>29</w:t>
            </w:r>
            <w:r w:rsidR="00E21C4A">
              <w:rPr>
                <w:noProof/>
                <w:webHidden/>
              </w:rPr>
              <w:fldChar w:fldCharType="end"/>
            </w:r>
          </w:hyperlink>
        </w:p>
        <w:p w14:paraId="5DDB1382" w14:textId="78F1D6CD" w:rsidR="00E21C4A" w:rsidRDefault="005F2283">
          <w:pPr>
            <w:pStyle w:val="TOC2"/>
            <w:rPr>
              <w:rFonts w:asciiTheme="minorHAnsi" w:eastAsiaTheme="minorEastAsia" w:hAnsiTheme="minorHAnsi" w:cstheme="minorBidi"/>
              <w:noProof/>
              <w:szCs w:val="22"/>
              <w:lang w:eastAsia="en-AU"/>
            </w:rPr>
          </w:pPr>
          <w:hyperlink w:anchor="_Toc532990248" w:history="1">
            <w:r w:rsidR="00E21C4A" w:rsidRPr="008E687C">
              <w:rPr>
                <w:rStyle w:val="Hyperlink"/>
                <w:noProof/>
              </w:rPr>
              <w:t>11.1</w:t>
            </w:r>
            <w:r w:rsidR="00E21C4A">
              <w:rPr>
                <w:rFonts w:asciiTheme="minorHAnsi" w:eastAsiaTheme="minorEastAsia" w:hAnsiTheme="minorHAnsi" w:cstheme="minorBidi"/>
                <w:noProof/>
                <w:szCs w:val="22"/>
                <w:lang w:eastAsia="en-AU"/>
              </w:rPr>
              <w:tab/>
            </w:r>
            <w:r w:rsidR="00E21C4A" w:rsidRPr="008E687C">
              <w:rPr>
                <w:rStyle w:val="Hyperlink"/>
                <w:noProof/>
              </w:rPr>
              <w:t>Stockpile prevention</w:t>
            </w:r>
            <w:r w:rsidR="00E21C4A">
              <w:rPr>
                <w:noProof/>
                <w:webHidden/>
              </w:rPr>
              <w:tab/>
            </w:r>
            <w:r w:rsidR="00E21C4A">
              <w:rPr>
                <w:noProof/>
                <w:webHidden/>
              </w:rPr>
              <w:fldChar w:fldCharType="begin"/>
            </w:r>
            <w:r w:rsidR="00E21C4A">
              <w:rPr>
                <w:noProof/>
                <w:webHidden/>
              </w:rPr>
              <w:instrText xml:space="preserve"> PAGEREF _Toc532990248 \h </w:instrText>
            </w:r>
            <w:r w:rsidR="00E21C4A">
              <w:rPr>
                <w:noProof/>
                <w:webHidden/>
              </w:rPr>
            </w:r>
            <w:r w:rsidR="00E21C4A">
              <w:rPr>
                <w:noProof/>
                <w:webHidden/>
              </w:rPr>
              <w:fldChar w:fldCharType="separate"/>
            </w:r>
            <w:r w:rsidR="00F54E66">
              <w:rPr>
                <w:noProof/>
                <w:webHidden/>
              </w:rPr>
              <w:t>30</w:t>
            </w:r>
            <w:r w:rsidR="00E21C4A">
              <w:rPr>
                <w:noProof/>
                <w:webHidden/>
              </w:rPr>
              <w:fldChar w:fldCharType="end"/>
            </w:r>
          </w:hyperlink>
        </w:p>
        <w:p w14:paraId="38883AF2" w14:textId="22265D5F" w:rsidR="00E21C4A" w:rsidRDefault="005F2283">
          <w:pPr>
            <w:pStyle w:val="TOC2"/>
            <w:rPr>
              <w:rFonts w:asciiTheme="minorHAnsi" w:eastAsiaTheme="minorEastAsia" w:hAnsiTheme="minorHAnsi" w:cstheme="minorBidi"/>
              <w:noProof/>
              <w:szCs w:val="22"/>
              <w:lang w:eastAsia="en-AU"/>
            </w:rPr>
          </w:pPr>
          <w:hyperlink w:anchor="_Toc532990249" w:history="1">
            <w:r w:rsidR="00E21C4A" w:rsidRPr="008E687C">
              <w:rPr>
                <w:rStyle w:val="Hyperlink"/>
                <w:noProof/>
              </w:rPr>
              <w:t>11.2</w:t>
            </w:r>
            <w:r w:rsidR="00E21C4A">
              <w:rPr>
                <w:rFonts w:asciiTheme="minorHAnsi" w:eastAsiaTheme="minorEastAsia" w:hAnsiTheme="minorHAnsi" w:cstheme="minorBidi"/>
                <w:noProof/>
                <w:szCs w:val="22"/>
                <w:lang w:eastAsia="en-AU"/>
              </w:rPr>
              <w:tab/>
            </w:r>
            <w:r w:rsidR="00E21C4A" w:rsidRPr="008E687C">
              <w:rPr>
                <w:rStyle w:val="Hyperlink"/>
                <w:noProof/>
              </w:rPr>
              <w:t>Management</w:t>
            </w:r>
            <w:r w:rsidR="00E21C4A">
              <w:rPr>
                <w:noProof/>
                <w:webHidden/>
              </w:rPr>
              <w:tab/>
            </w:r>
            <w:r w:rsidR="00E21C4A">
              <w:rPr>
                <w:noProof/>
                <w:webHidden/>
              </w:rPr>
              <w:fldChar w:fldCharType="begin"/>
            </w:r>
            <w:r w:rsidR="00E21C4A">
              <w:rPr>
                <w:noProof/>
                <w:webHidden/>
              </w:rPr>
              <w:instrText xml:space="preserve"> PAGEREF _Toc532990249 \h </w:instrText>
            </w:r>
            <w:r w:rsidR="00E21C4A">
              <w:rPr>
                <w:noProof/>
                <w:webHidden/>
              </w:rPr>
            </w:r>
            <w:r w:rsidR="00E21C4A">
              <w:rPr>
                <w:noProof/>
                <w:webHidden/>
              </w:rPr>
              <w:fldChar w:fldCharType="separate"/>
            </w:r>
            <w:r w:rsidR="00F54E66">
              <w:rPr>
                <w:noProof/>
                <w:webHidden/>
              </w:rPr>
              <w:t>32</w:t>
            </w:r>
            <w:r w:rsidR="00E21C4A">
              <w:rPr>
                <w:noProof/>
                <w:webHidden/>
              </w:rPr>
              <w:fldChar w:fldCharType="end"/>
            </w:r>
          </w:hyperlink>
        </w:p>
        <w:p w14:paraId="5D4A1740" w14:textId="7DEF1D85" w:rsidR="00E21C4A" w:rsidRDefault="005F2283">
          <w:pPr>
            <w:pStyle w:val="TOC2"/>
            <w:rPr>
              <w:rFonts w:asciiTheme="minorHAnsi" w:eastAsiaTheme="minorEastAsia" w:hAnsiTheme="minorHAnsi" w:cstheme="minorBidi"/>
              <w:noProof/>
              <w:szCs w:val="22"/>
              <w:lang w:eastAsia="en-AU"/>
            </w:rPr>
          </w:pPr>
          <w:hyperlink w:anchor="_Toc532990250" w:history="1">
            <w:r w:rsidR="00E21C4A" w:rsidRPr="008E687C">
              <w:rPr>
                <w:rStyle w:val="Hyperlink"/>
                <w:noProof/>
              </w:rPr>
              <w:t>11.3</w:t>
            </w:r>
            <w:r w:rsidR="00E21C4A">
              <w:rPr>
                <w:rFonts w:asciiTheme="minorHAnsi" w:eastAsiaTheme="minorEastAsia" w:hAnsiTheme="minorHAnsi" w:cstheme="minorBidi"/>
                <w:noProof/>
                <w:szCs w:val="22"/>
                <w:lang w:eastAsia="en-AU"/>
              </w:rPr>
              <w:tab/>
            </w:r>
            <w:r w:rsidR="00E21C4A" w:rsidRPr="008E687C">
              <w:rPr>
                <w:rStyle w:val="Hyperlink"/>
                <w:noProof/>
              </w:rPr>
              <w:t>Clearance</w:t>
            </w:r>
            <w:r w:rsidR="00E21C4A">
              <w:rPr>
                <w:noProof/>
                <w:webHidden/>
              </w:rPr>
              <w:tab/>
            </w:r>
            <w:r w:rsidR="00E21C4A">
              <w:rPr>
                <w:noProof/>
                <w:webHidden/>
              </w:rPr>
              <w:fldChar w:fldCharType="begin"/>
            </w:r>
            <w:r w:rsidR="00E21C4A">
              <w:rPr>
                <w:noProof/>
                <w:webHidden/>
              </w:rPr>
              <w:instrText xml:space="preserve"> PAGEREF _Toc532990250 \h </w:instrText>
            </w:r>
            <w:r w:rsidR="00E21C4A">
              <w:rPr>
                <w:noProof/>
                <w:webHidden/>
              </w:rPr>
            </w:r>
            <w:r w:rsidR="00E21C4A">
              <w:rPr>
                <w:noProof/>
                <w:webHidden/>
              </w:rPr>
              <w:fldChar w:fldCharType="separate"/>
            </w:r>
            <w:r w:rsidR="00F54E66">
              <w:rPr>
                <w:noProof/>
                <w:webHidden/>
              </w:rPr>
              <w:t>32</w:t>
            </w:r>
            <w:r w:rsidR="00E21C4A">
              <w:rPr>
                <w:noProof/>
                <w:webHidden/>
              </w:rPr>
              <w:fldChar w:fldCharType="end"/>
            </w:r>
          </w:hyperlink>
        </w:p>
        <w:p w14:paraId="7E6ADB12" w14:textId="6610755F" w:rsidR="00E21C4A" w:rsidRDefault="005F2283">
          <w:pPr>
            <w:pStyle w:val="TOC1"/>
            <w:tabs>
              <w:tab w:val="left" w:pos="480"/>
            </w:tabs>
            <w:rPr>
              <w:rFonts w:asciiTheme="minorHAnsi" w:eastAsiaTheme="minorEastAsia" w:hAnsiTheme="minorHAnsi" w:cstheme="minorBidi"/>
              <w:noProof/>
              <w:szCs w:val="22"/>
              <w:lang w:eastAsia="en-AU"/>
            </w:rPr>
          </w:pPr>
          <w:hyperlink w:anchor="_Toc532990251" w:history="1">
            <w:r w:rsidR="00E21C4A" w:rsidRPr="008E687C">
              <w:rPr>
                <w:rStyle w:val="Hyperlink"/>
                <w:noProof/>
              </w:rPr>
              <w:t>12</w:t>
            </w:r>
            <w:r w:rsidR="00E21C4A">
              <w:rPr>
                <w:rFonts w:asciiTheme="minorHAnsi" w:eastAsiaTheme="minorEastAsia" w:hAnsiTheme="minorHAnsi" w:cstheme="minorBidi"/>
                <w:noProof/>
                <w:szCs w:val="22"/>
                <w:lang w:eastAsia="en-AU"/>
              </w:rPr>
              <w:tab/>
            </w:r>
            <w:r w:rsidR="00E21C4A" w:rsidRPr="008E687C">
              <w:rPr>
                <w:rStyle w:val="Hyperlink"/>
                <w:noProof/>
              </w:rPr>
              <w:t>Global regulatory frameworks and definitions for waste stockpiles</w:t>
            </w:r>
            <w:r w:rsidR="00E21C4A">
              <w:rPr>
                <w:noProof/>
                <w:webHidden/>
              </w:rPr>
              <w:tab/>
            </w:r>
            <w:r w:rsidR="00E21C4A">
              <w:rPr>
                <w:noProof/>
                <w:webHidden/>
              </w:rPr>
              <w:fldChar w:fldCharType="begin"/>
            </w:r>
            <w:r w:rsidR="00E21C4A">
              <w:rPr>
                <w:noProof/>
                <w:webHidden/>
              </w:rPr>
              <w:instrText xml:space="preserve"> PAGEREF _Toc532990251 \h </w:instrText>
            </w:r>
            <w:r w:rsidR="00E21C4A">
              <w:rPr>
                <w:noProof/>
                <w:webHidden/>
              </w:rPr>
            </w:r>
            <w:r w:rsidR="00E21C4A">
              <w:rPr>
                <w:noProof/>
                <w:webHidden/>
              </w:rPr>
              <w:fldChar w:fldCharType="separate"/>
            </w:r>
            <w:r w:rsidR="00F54E66">
              <w:rPr>
                <w:noProof/>
                <w:webHidden/>
              </w:rPr>
              <w:t>34</w:t>
            </w:r>
            <w:r w:rsidR="00E21C4A">
              <w:rPr>
                <w:noProof/>
                <w:webHidden/>
              </w:rPr>
              <w:fldChar w:fldCharType="end"/>
            </w:r>
          </w:hyperlink>
        </w:p>
        <w:p w14:paraId="64634629" w14:textId="100EAC03" w:rsidR="00E21C4A" w:rsidRDefault="005F2283">
          <w:pPr>
            <w:pStyle w:val="TOC2"/>
            <w:rPr>
              <w:rFonts w:asciiTheme="minorHAnsi" w:eastAsiaTheme="minorEastAsia" w:hAnsiTheme="minorHAnsi" w:cstheme="minorBidi"/>
              <w:noProof/>
              <w:szCs w:val="22"/>
              <w:lang w:eastAsia="en-AU"/>
            </w:rPr>
          </w:pPr>
          <w:hyperlink w:anchor="_Toc532990252" w:history="1">
            <w:r w:rsidR="00E21C4A" w:rsidRPr="008E687C">
              <w:rPr>
                <w:rStyle w:val="Hyperlink"/>
                <w:rFonts w:eastAsia="Calibri"/>
                <w:noProof/>
              </w:rPr>
              <w:t>12.1</w:t>
            </w:r>
            <w:r w:rsidR="00E21C4A">
              <w:rPr>
                <w:rFonts w:asciiTheme="minorHAnsi" w:eastAsiaTheme="minorEastAsia" w:hAnsiTheme="minorHAnsi" w:cstheme="minorBidi"/>
                <w:noProof/>
                <w:szCs w:val="22"/>
                <w:lang w:eastAsia="en-AU"/>
              </w:rPr>
              <w:tab/>
            </w:r>
            <w:r w:rsidR="00E21C4A" w:rsidRPr="008E687C">
              <w:rPr>
                <w:rStyle w:val="Hyperlink"/>
                <w:rFonts w:eastAsia="Calibri"/>
                <w:noProof/>
              </w:rPr>
              <w:t>USA</w:t>
            </w:r>
            <w:r w:rsidR="00E21C4A">
              <w:rPr>
                <w:noProof/>
                <w:webHidden/>
              </w:rPr>
              <w:tab/>
            </w:r>
            <w:r w:rsidR="00E21C4A">
              <w:rPr>
                <w:noProof/>
                <w:webHidden/>
              </w:rPr>
              <w:fldChar w:fldCharType="begin"/>
            </w:r>
            <w:r w:rsidR="00E21C4A">
              <w:rPr>
                <w:noProof/>
                <w:webHidden/>
              </w:rPr>
              <w:instrText xml:space="preserve"> PAGEREF _Toc532990252 \h </w:instrText>
            </w:r>
            <w:r w:rsidR="00E21C4A">
              <w:rPr>
                <w:noProof/>
                <w:webHidden/>
              </w:rPr>
            </w:r>
            <w:r w:rsidR="00E21C4A">
              <w:rPr>
                <w:noProof/>
                <w:webHidden/>
              </w:rPr>
              <w:fldChar w:fldCharType="separate"/>
            </w:r>
            <w:r w:rsidR="00F54E66">
              <w:rPr>
                <w:noProof/>
                <w:webHidden/>
              </w:rPr>
              <w:t>34</w:t>
            </w:r>
            <w:r w:rsidR="00E21C4A">
              <w:rPr>
                <w:noProof/>
                <w:webHidden/>
              </w:rPr>
              <w:fldChar w:fldCharType="end"/>
            </w:r>
          </w:hyperlink>
        </w:p>
        <w:p w14:paraId="4F878037" w14:textId="2A869E63" w:rsidR="00E21C4A" w:rsidRDefault="005F2283">
          <w:pPr>
            <w:pStyle w:val="TOC2"/>
            <w:rPr>
              <w:rFonts w:asciiTheme="minorHAnsi" w:eastAsiaTheme="minorEastAsia" w:hAnsiTheme="minorHAnsi" w:cstheme="minorBidi"/>
              <w:noProof/>
              <w:szCs w:val="22"/>
              <w:lang w:eastAsia="en-AU"/>
            </w:rPr>
          </w:pPr>
          <w:hyperlink w:anchor="_Toc532990253" w:history="1">
            <w:r w:rsidR="00E21C4A" w:rsidRPr="008E687C">
              <w:rPr>
                <w:rStyle w:val="Hyperlink"/>
                <w:noProof/>
              </w:rPr>
              <w:t>12.2</w:t>
            </w:r>
            <w:r w:rsidR="00E21C4A">
              <w:rPr>
                <w:rFonts w:asciiTheme="minorHAnsi" w:eastAsiaTheme="minorEastAsia" w:hAnsiTheme="minorHAnsi" w:cstheme="minorBidi"/>
                <w:noProof/>
                <w:szCs w:val="22"/>
                <w:lang w:eastAsia="en-AU"/>
              </w:rPr>
              <w:tab/>
            </w:r>
            <w:r w:rsidR="00E21C4A" w:rsidRPr="008E687C">
              <w:rPr>
                <w:rStyle w:val="Hyperlink"/>
                <w:noProof/>
              </w:rPr>
              <w:t>European Union (United Kingdom)</w:t>
            </w:r>
            <w:r w:rsidR="00E21C4A">
              <w:rPr>
                <w:noProof/>
                <w:webHidden/>
              </w:rPr>
              <w:tab/>
            </w:r>
            <w:r w:rsidR="00E21C4A">
              <w:rPr>
                <w:noProof/>
                <w:webHidden/>
              </w:rPr>
              <w:fldChar w:fldCharType="begin"/>
            </w:r>
            <w:r w:rsidR="00E21C4A">
              <w:rPr>
                <w:noProof/>
                <w:webHidden/>
              </w:rPr>
              <w:instrText xml:space="preserve"> PAGEREF _Toc532990253 \h </w:instrText>
            </w:r>
            <w:r w:rsidR="00E21C4A">
              <w:rPr>
                <w:noProof/>
                <w:webHidden/>
              </w:rPr>
            </w:r>
            <w:r w:rsidR="00E21C4A">
              <w:rPr>
                <w:noProof/>
                <w:webHidden/>
              </w:rPr>
              <w:fldChar w:fldCharType="separate"/>
            </w:r>
            <w:r w:rsidR="00F54E66">
              <w:rPr>
                <w:noProof/>
                <w:webHidden/>
              </w:rPr>
              <w:t>38</w:t>
            </w:r>
            <w:r w:rsidR="00E21C4A">
              <w:rPr>
                <w:noProof/>
                <w:webHidden/>
              </w:rPr>
              <w:fldChar w:fldCharType="end"/>
            </w:r>
          </w:hyperlink>
        </w:p>
        <w:p w14:paraId="1C4E9859" w14:textId="375E7F16" w:rsidR="00E21C4A" w:rsidRDefault="005F2283">
          <w:pPr>
            <w:pStyle w:val="TOC1"/>
            <w:tabs>
              <w:tab w:val="left" w:pos="480"/>
            </w:tabs>
            <w:rPr>
              <w:rFonts w:asciiTheme="minorHAnsi" w:eastAsiaTheme="minorEastAsia" w:hAnsiTheme="minorHAnsi" w:cstheme="minorBidi"/>
              <w:noProof/>
              <w:szCs w:val="22"/>
              <w:lang w:eastAsia="en-AU"/>
            </w:rPr>
          </w:pPr>
          <w:hyperlink w:anchor="_Toc532990254" w:history="1">
            <w:r w:rsidR="00E21C4A" w:rsidRPr="008E687C">
              <w:rPr>
                <w:rStyle w:val="Hyperlink"/>
                <w:noProof/>
              </w:rPr>
              <w:t>13</w:t>
            </w:r>
            <w:r w:rsidR="00E21C4A">
              <w:rPr>
                <w:rFonts w:asciiTheme="minorHAnsi" w:eastAsiaTheme="minorEastAsia" w:hAnsiTheme="minorHAnsi" w:cstheme="minorBidi"/>
                <w:noProof/>
                <w:szCs w:val="22"/>
                <w:lang w:eastAsia="en-AU"/>
              </w:rPr>
              <w:tab/>
            </w:r>
            <w:r w:rsidR="00E21C4A" w:rsidRPr="008E687C">
              <w:rPr>
                <w:rStyle w:val="Hyperlink"/>
                <w:noProof/>
              </w:rPr>
              <w:t>Summary of framework key elements</w:t>
            </w:r>
            <w:r w:rsidR="00E21C4A">
              <w:rPr>
                <w:noProof/>
                <w:webHidden/>
              </w:rPr>
              <w:tab/>
            </w:r>
            <w:r w:rsidR="00E21C4A">
              <w:rPr>
                <w:noProof/>
                <w:webHidden/>
              </w:rPr>
              <w:fldChar w:fldCharType="begin"/>
            </w:r>
            <w:r w:rsidR="00E21C4A">
              <w:rPr>
                <w:noProof/>
                <w:webHidden/>
              </w:rPr>
              <w:instrText xml:space="preserve"> PAGEREF _Toc532990254 \h </w:instrText>
            </w:r>
            <w:r w:rsidR="00E21C4A">
              <w:rPr>
                <w:noProof/>
                <w:webHidden/>
              </w:rPr>
            </w:r>
            <w:r w:rsidR="00E21C4A">
              <w:rPr>
                <w:noProof/>
                <w:webHidden/>
              </w:rPr>
              <w:fldChar w:fldCharType="separate"/>
            </w:r>
            <w:r w:rsidR="00F54E66">
              <w:rPr>
                <w:noProof/>
                <w:webHidden/>
              </w:rPr>
              <w:t>41</w:t>
            </w:r>
            <w:r w:rsidR="00E21C4A">
              <w:rPr>
                <w:noProof/>
                <w:webHidden/>
              </w:rPr>
              <w:fldChar w:fldCharType="end"/>
            </w:r>
          </w:hyperlink>
        </w:p>
        <w:p w14:paraId="0E37440F" w14:textId="5506B355" w:rsidR="00E21C4A" w:rsidRDefault="005F2283">
          <w:pPr>
            <w:pStyle w:val="TOC1"/>
            <w:tabs>
              <w:tab w:val="left" w:pos="480"/>
            </w:tabs>
            <w:rPr>
              <w:rFonts w:asciiTheme="minorHAnsi" w:eastAsiaTheme="minorEastAsia" w:hAnsiTheme="minorHAnsi" w:cstheme="minorBidi"/>
              <w:noProof/>
              <w:szCs w:val="22"/>
              <w:lang w:eastAsia="en-AU"/>
            </w:rPr>
          </w:pPr>
          <w:hyperlink w:anchor="_Toc532990255" w:history="1">
            <w:r w:rsidR="00E21C4A" w:rsidRPr="008E687C">
              <w:rPr>
                <w:rStyle w:val="Hyperlink"/>
                <w:noProof/>
              </w:rPr>
              <w:t>14</w:t>
            </w:r>
            <w:r w:rsidR="00E21C4A">
              <w:rPr>
                <w:rFonts w:asciiTheme="minorHAnsi" w:eastAsiaTheme="minorEastAsia" w:hAnsiTheme="minorHAnsi" w:cstheme="minorBidi"/>
                <w:noProof/>
                <w:szCs w:val="22"/>
                <w:lang w:eastAsia="en-AU"/>
              </w:rPr>
              <w:tab/>
            </w:r>
            <w:r w:rsidR="00E21C4A" w:rsidRPr="008E687C">
              <w:rPr>
                <w:rStyle w:val="Hyperlink"/>
                <w:noProof/>
              </w:rPr>
              <w:t>Defining a ‘waste stockpile’</w:t>
            </w:r>
            <w:r w:rsidR="00E21C4A">
              <w:rPr>
                <w:noProof/>
                <w:webHidden/>
              </w:rPr>
              <w:tab/>
            </w:r>
            <w:r w:rsidR="00E21C4A">
              <w:rPr>
                <w:noProof/>
                <w:webHidden/>
              </w:rPr>
              <w:fldChar w:fldCharType="begin"/>
            </w:r>
            <w:r w:rsidR="00E21C4A">
              <w:rPr>
                <w:noProof/>
                <w:webHidden/>
              </w:rPr>
              <w:instrText xml:space="preserve"> PAGEREF _Toc532990255 \h </w:instrText>
            </w:r>
            <w:r w:rsidR="00E21C4A">
              <w:rPr>
                <w:noProof/>
                <w:webHidden/>
              </w:rPr>
            </w:r>
            <w:r w:rsidR="00E21C4A">
              <w:rPr>
                <w:noProof/>
                <w:webHidden/>
              </w:rPr>
              <w:fldChar w:fldCharType="separate"/>
            </w:r>
            <w:r w:rsidR="00F54E66">
              <w:rPr>
                <w:noProof/>
                <w:webHidden/>
              </w:rPr>
              <w:t>45</w:t>
            </w:r>
            <w:r w:rsidR="00E21C4A">
              <w:rPr>
                <w:noProof/>
                <w:webHidden/>
              </w:rPr>
              <w:fldChar w:fldCharType="end"/>
            </w:r>
          </w:hyperlink>
        </w:p>
        <w:p w14:paraId="793AAFFD" w14:textId="02B0FB8B" w:rsidR="00E21C4A" w:rsidRDefault="005F2283">
          <w:pPr>
            <w:pStyle w:val="TOC2"/>
            <w:rPr>
              <w:rFonts w:asciiTheme="minorHAnsi" w:eastAsiaTheme="minorEastAsia" w:hAnsiTheme="minorHAnsi" w:cstheme="minorBidi"/>
              <w:noProof/>
              <w:szCs w:val="22"/>
              <w:lang w:eastAsia="en-AU"/>
            </w:rPr>
          </w:pPr>
          <w:hyperlink w:anchor="_Toc532990256" w:history="1">
            <w:r w:rsidR="00E21C4A" w:rsidRPr="008E687C">
              <w:rPr>
                <w:rStyle w:val="Hyperlink"/>
                <w:rFonts w:eastAsia="Calibri"/>
                <w:noProof/>
              </w:rPr>
              <w:t>14.1</w:t>
            </w:r>
            <w:r w:rsidR="00E21C4A">
              <w:rPr>
                <w:rFonts w:asciiTheme="minorHAnsi" w:eastAsiaTheme="minorEastAsia" w:hAnsiTheme="minorHAnsi" w:cstheme="minorBidi"/>
                <w:noProof/>
                <w:szCs w:val="22"/>
                <w:lang w:eastAsia="en-AU"/>
              </w:rPr>
              <w:tab/>
            </w:r>
            <w:r w:rsidR="00E21C4A" w:rsidRPr="008E687C">
              <w:rPr>
                <w:rStyle w:val="Hyperlink"/>
                <w:rFonts w:eastAsia="Calibri"/>
                <w:noProof/>
              </w:rPr>
              <w:t>Definition of a hazardous waste stockpile</w:t>
            </w:r>
            <w:r w:rsidR="00E21C4A">
              <w:rPr>
                <w:noProof/>
                <w:webHidden/>
              </w:rPr>
              <w:tab/>
            </w:r>
            <w:r w:rsidR="00E21C4A">
              <w:rPr>
                <w:noProof/>
                <w:webHidden/>
              </w:rPr>
              <w:fldChar w:fldCharType="begin"/>
            </w:r>
            <w:r w:rsidR="00E21C4A">
              <w:rPr>
                <w:noProof/>
                <w:webHidden/>
              </w:rPr>
              <w:instrText xml:space="preserve"> PAGEREF _Toc532990256 \h </w:instrText>
            </w:r>
            <w:r w:rsidR="00E21C4A">
              <w:rPr>
                <w:noProof/>
                <w:webHidden/>
              </w:rPr>
            </w:r>
            <w:r w:rsidR="00E21C4A">
              <w:rPr>
                <w:noProof/>
                <w:webHidden/>
              </w:rPr>
              <w:fldChar w:fldCharType="separate"/>
            </w:r>
            <w:r w:rsidR="00F54E66">
              <w:rPr>
                <w:noProof/>
                <w:webHidden/>
              </w:rPr>
              <w:t>45</w:t>
            </w:r>
            <w:r w:rsidR="00E21C4A">
              <w:rPr>
                <w:noProof/>
                <w:webHidden/>
              </w:rPr>
              <w:fldChar w:fldCharType="end"/>
            </w:r>
          </w:hyperlink>
        </w:p>
        <w:p w14:paraId="5B7E741F" w14:textId="7C047C40" w:rsidR="00E21C4A" w:rsidRDefault="005F2283">
          <w:pPr>
            <w:pStyle w:val="TOC2"/>
            <w:rPr>
              <w:rFonts w:asciiTheme="minorHAnsi" w:eastAsiaTheme="minorEastAsia" w:hAnsiTheme="minorHAnsi" w:cstheme="minorBidi"/>
              <w:noProof/>
              <w:szCs w:val="22"/>
              <w:lang w:eastAsia="en-AU"/>
            </w:rPr>
          </w:pPr>
          <w:hyperlink w:anchor="_Toc532990257" w:history="1">
            <w:r w:rsidR="00E21C4A" w:rsidRPr="008E687C">
              <w:rPr>
                <w:rStyle w:val="Hyperlink"/>
                <w:noProof/>
              </w:rPr>
              <w:t>14.2</w:t>
            </w:r>
            <w:r w:rsidR="00E21C4A">
              <w:rPr>
                <w:rFonts w:asciiTheme="minorHAnsi" w:eastAsiaTheme="minorEastAsia" w:hAnsiTheme="minorHAnsi" w:cstheme="minorBidi"/>
                <w:noProof/>
                <w:szCs w:val="22"/>
                <w:lang w:eastAsia="en-AU"/>
              </w:rPr>
              <w:tab/>
            </w:r>
            <w:r w:rsidR="00E21C4A" w:rsidRPr="008E687C">
              <w:rPr>
                <w:rStyle w:val="Hyperlink"/>
                <w:noProof/>
              </w:rPr>
              <w:t>Definition of an approved hazardous waste long-term on-site storage</w:t>
            </w:r>
            <w:r w:rsidR="00E21C4A">
              <w:rPr>
                <w:noProof/>
                <w:webHidden/>
              </w:rPr>
              <w:tab/>
            </w:r>
            <w:r w:rsidR="00E21C4A">
              <w:rPr>
                <w:noProof/>
                <w:webHidden/>
              </w:rPr>
              <w:fldChar w:fldCharType="begin"/>
            </w:r>
            <w:r w:rsidR="00E21C4A">
              <w:rPr>
                <w:noProof/>
                <w:webHidden/>
              </w:rPr>
              <w:instrText xml:space="preserve"> PAGEREF _Toc532990257 \h </w:instrText>
            </w:r>
            <w:r w:rsidR="00E21C4A">
              <w:rPr>
                <w:noProof/>
                <w:webHidden/>
              </w:rPr>
            </w:r>
            <w:r w:rsidR="00E21C4A">
              <w:rPr>
                <w:noProof/>
                <w:webHidden/>
              </w:rPr>
              <w:fldChar w:fldCharType="separate"/>
            </w:r>
            <w:r w:rsidR="00F54E66">
              <w:rPr>
                <w:noProof/>
                <w:webHidden/>
              </w:rPr>
              <w:t>45</w:t>
            </w:r>
            <w:r w:rsidR="00E21C4A">
              <w:rPr>
                <w:noProof/>
                <w:webHidden/>
              </w:rPr>
              <w:fldChar w:fldCharType="end"/>
            </w:r>
          </w:hyperlink>
        </w:p>
        <w:p w14:paraId="1D39A2CE" w14:textId="7C2834FD" w:rsidR="00E21C4A" w:rsidRDefault="005F2283">
          <w:pPr>
            <w:pStyle w:val="TOC1"/>
            <w:tabs>
              <w:tab w:val="left" w:pos="480"/>
            </w:tabs>
            <w:rPr>
              <w:rFonts w:asciiTheme="minorHAnsi" w:eastAsiaTheme="minorEastAsia" w:hAnsiTheme="minorHAnsi" w:cstheme="minorBidi"/>
              <w:noProof/>
              <w:szCs w:val="22"/>
              <w:lang w:eastAsia="en-AU"/>
            </w:rPr>
          </w:pPr>
          <w:hyperlink w:anchor="_Toc532990258" w:history="1">
            <w:r w:rsidR="00E21C4A" w:rsidRPr="008E687C">
              <w:rPr>
                <w:rStyle w:val="Hyperlink"/>
                <w:noProof/>
              </w:rPr>
              <w:t>15</w:t>
            </w:r>
            <w:r w:rsidR="00E21C4A">
              <w:rPr>
                <w:rFonts w:asciiTheme="minorHAnsi" w:eastAsiaTheme="minorEastAsia" w:hAnsiTheme="minorHAnsi" w:cstheme="minorBidi"/>
                <w:noProof/>
                <w:szCs w:val="22"/>
                <w:lang w:eastAsia="en-AU"/>
              </w:rPr>
              <w:tab/>
            </w:r>
            <w:r w:rsidR="00E21C4A" w:rsidRPr="008E687C">
              <w:rPr>
                <w:rStyle w:val="Hyperlink"/>
                <w:noProof/>
              </w:rPr>
              <w:t>National hazardous waste stockpiles dataset</w:t>
            </w:r>
            <w:r w:rsidR="00E21C4A">
              <w:rPr>
                <w:noProof/>
                <w:webHidden/>
              </w:rPr>
              <w:tab/>
            </w:r>
            <w:r w:rsidR="00E21C4A">
              <w:rPr>
                <w:noProof/>
                <w:webHidden/>
              </w:rPr>
              <w:fldChar w:fldCharType="begin"/>
            </w:r>
            <w:r w:rsidR="00E21C4A">
              <w:rPr>
                <w:noProof/>
                <w:webHidden/>
              </w:rPr>
              <w:instrText xml:space="preserve"> PAGEREF _Toc532990258 \h </w:instrText>
            </w:r>
            <w:r w:rsidR="00E21C4A">
              <w:rPr>
                <w:noProof/>
                <w:webHidden/>
              </w:rPr>
            </w:r>
            <w:r w:rsidR="00E21C4A">
              <w:rPr>
                <w:noProof/>
                <w:webHidden/>
              </w:rPr>
              <w:fldChar w:fldCharType="separate"/>
            </w:r>
            <w:r w:rsidR="00F54E66">
              <w:rPr>
                <w:noProof/>
                <w:webHidden/>
              </w:rPr>
              <w:t>47</w:t>
            </w:r>
            <w:r w:rsidR="00E21C4A">
              <w:rPr>
                <w:noProof/>
                <w:webHidden/>
              </w:rPr>
              <w:fldChar w:fldCharType="end"/>
            </w:r>
          </w:hyperlink>
        </w:p>
        <w:p w14:paraId="47276EA2" w14:textId="02C50EE7" w:rsidR="00E21C4A" w:rsidRDefault="005F2283">
          <w:pPr>
            <w:pStyle w:val="TOC2"/>
            <w:rPr>
              <w:rFonts w:asciiTheme="minorHAnsi" w:eastAsiaTheme="minorEastAsia" w:hAnsiTheme="minorHAnsi" w:cstheme="minorBidi"/>
              <w:noProof/>
              <w:szCs w:val="22"/>
              <w:lang w:eastAsia="en-AU"/>
            </w:rPr>
          </w:pPr>
          <w:hyperlink w:anchor="_Toc532990259" w:history="1">
            <w:r w:rsidR="00E21C4A" w:rsidRPr="008E687C">
              <w:rPr>
                <w:rStyle w:val="Hyperlink"/>
                <w:noProof/>
              </w:rPr>
              <w:t>15.1</w:t>
            </w:r>
            <w:r w:rsidR="00E21C4A">
              <w:rPr>
                <w:rFonts w:asciiTheme="minorHAnsi" w:eastAsiaTheme="minorEastAsia" w:hAnsiTheme="minorHAnsi" w:cstheme="minorBidi"/>
                <w:noProof/>
                <w:szCs w:val="22"/>
                <w:lang w:eastAsia="en-AU"/>
              </w:rPr>
              <w:tab/>
            </w:r>
            <w:r w:rsidR="00E21C4A" w:rsidRPr="008E687C">
              <w:rPr>
                <w:rStyle w:val="Hyperlink"/>
                <w:noProof/>
              </w:rPr>
              <w:t>Important notes regarding database publication</w:t>
            </w:r>
            <w:r w:rsidR="00E21C4A">
              <w:rPr>
                <w:noProof/>
                <w:webHidden/>
              </w:rPr>
              <w:tab/>
            </w:r>
            <w:r w:rsidR="00E21C4A">
              <w:rPr>
                <w:noProof/>
                <w:webHidden/>
              </w:rPr>
              <w:fldChar w:fldCharType="begin"/>
            </w:r>
            <w:r w:rsidR="00E21C4A">
              <w:rPr>
                <w:noProof/>
                <w:webHidden/>
              </w:rPr>
              <w:instrText xml:space="preserve"> PAGEREF _Toc532990259 \h </w:instrText>
            </w:r>
            <w:r w:rsidR="00E21C4A">
              <w:rPr>
                <w:noProof/>
                <w:webHidden/>
              </w:rPr>
            </w:r>
            <w:r w:rsidR="00E21C4A">
              <w:rPr>
                <w:noProof/>
                <w:webHidden/>
              </w:rPr>
              <w:fldChar w:fldCharType="separate"/>
            </w:r>
            <w:r w:rsidR="00F54E66">
              <w:rPr>
                <w:noProof/>
                <w:webHidden/>
              </w:rPr>
              <w:t>48</w:t>
            </w:r>
            <w:r w:rsidR="00E21C4A">
              <w:rPr>
                <w:noProof/>
                <w:webHidden/>
              </w:rPr>
              <w:fldChar w:fldCharType="end"/>
            </w:r>
          </w:hyperlink>
        </w:p>
        <w:p w14:paraId="4ECC26BA" w14:textId="1A830954" w:rsidR="00E21C4A" w:rsidRDefault="005F2283">
          <w:pPr>
            <w:pStyle w:val="TOC2"/>
            <w:rPr>
              <w:rFonts w:asciiTheme="minorHAnsi" w:eastAsiaTheme="minorEastAsia" w:hAnsiTheme="minorHAnsi" w:cstheme="minorBidi"/>
              <w:noProof/>
              <w:szCs w:val="22"/>
              <w:lang w:eastAsia="en-AU"/>
            </w:rPr>
          </w:pPr>
          <w:hyperlink w:anchor="_Toc532990260" w:history="1">
            <w:r w:rsidR="00E21C4A" w:rsidRPr="008E687C">
              <w:rPr>
                <w:rStyle w:val="Hyperlink"/>
                <w:noProof/>
              </w:rPr>
              <w:t>15.2</w:t>
            </w:r>
            <w:r w:rsidR="00E21C4A">
              <w:rPr>
                <w:rFonts w:asciiTheme="minorHAnsi" w:eastAsiaTheme="minorEastAsia" w:hAnsiTheme="minorHAnsi" w:cstheme="minorBidi"/>
                <w:noProof/>
                <w:szCs w:val="22"/>
                <w:lang w:eastAsia="en-AU"/>
              </w:rPr>
              <w:tab/>
            </w:r>
            <w:r w:rsidR="00E21C4A" w:rsidRPr="008E687C">
              <w:rPr>
                <w:rStyle w:val="Hyperlink"/>
                <w:noProof/>
              </w:rPr>
              <w:t>Explanation of dataset reporting</w:t>
            </w:r>
            <w:r w:rsidR="00E21C4A">
              <w:rPr>
                <w:noProof/>
                <w:webHidden/>
              </w:rPr>
              <w:tab/>
            </w:r>
            <w:r w:rsidR="00E21C4A">
              <w:rPr>
                <w:noProof/>
                <w:webHidden/>
              </w:rPr>
              <w:fldChar w:fldCharType="begin"/>
            </w:r>
            <w:r w:rsidR="00E21C4A">
              <w:rPr>
                <w:noProof/>
                <w:webHidden/>
              </w:rPr>
              <w:instrText xml:space="preserve"> PAGEREF _Toc532990260 \h </w:instrText>
            </w:r>
            <w:r w:rsidR="00E21C4A">
              <w:rPr>
                <w:noProof/>
                <w:webHidden/>
              </w:rPr>
            </w:r>
            <w:r w:rsidR="00E21C4A">
              <w:rPr>
                <w:noProof/>
                <w:webHidden/>
              </w:rPr>
              <w:fldChar w:fldCharType="separate"/>
            </w:r>
            <w:r w:rsidR="00F54E66">
              <w:rPr>
                <w:noProof/>
                <w:webHidden/>
              </w:rPr>
              <w:t>48</w:t>
            </w:r>
            <w:r w:rsidR="00E21C4A">
              <w:rPr>
                <w:noProof/>
                <w:webHidden/>
              </w:rPr>
              <w:fldChar w:fldCharType="end"/>
            </w:r>
          </w:hyperlink>
        </w:p>
        <w:p w14:paraId="08F67A4D" w14:textId="78F08141" w:rsidR="00E21C4A" w:rsidRDefault="005F2283">
          <w:pPr>
            <w:pStyle w:val="TOC2"/>
            <w:rPr>
              <w:rFonts w:asciiTheme="minorHAnsi" w:eastAsiaTheme="minorEastAsia" w:hAnsiTheme="minorHAnsi" w:cstheme="minorBidi"/>
              <w:noProof/>
              <w:szCs w:val="22"/>
              <w:lang w:eastAsia="en-AU"/>
            </w:rPr>
          </w:pPr>
          <w:hyperlink w:anchor="_Toc532990261" w:history="1">
            <w:r w:rsidR="00E21C4A" w:rsidRPr="008E687C">
              <w:rPr>
                <w:rStyle w:val="Hyperlink"/>
                <w:noProof/>
              </w:rPr>
              <w:t>15.3</w:t>
            </w:r>
            <w:r w:rsidR="00E21C4A">
              <w:rPr>
                <w:rFonts w:asciiTheme="minorHAnsi" w:eastAsiaTheme="minorEastAsia" w:hAnsiTheme="minorHAnsi" w:cstheme="minorBidi"/>
                <w:noProof/>
                <w:szCs w:val="22"/>
                <w:lang w:eastAsia="en-AU"/>
              </w:rPr>
              <w:tab/>
            </w:r>
            <w:r w:rsidR="00E21C4A" w:rsidRPr="008E687C">
              <w:rPr>
                <w:rStyle w:val="Hyperlink"/>
                <w:noProof/>
              </w:rPr>
              <w:t>Waste types description</w:t>
            </w:r>
            <w:r w:rsidR="00E21C4A">
              <w:rPr>
                <w:noProof/>
                <w:webHidden/>
              </w:rPr>
              <w:tab/>
            </w:r>
            <w:r w:rsidR="00E21C4A">
              <w:rPr>
                <w:noProof/>
                <w:webHidden/>
              </w:rPr>
              <w:fldChar w:fldCharType="begin"/>
            </w:r>
            <w:r w:rsidR="00E21C4A">
              <w:rPr>
                <w:noProof/>
                <w:webHidden/>
              </w:rPr>
              <w:instrText xml:space="preserve"> PAGEREF _Toc532990261 \h </w:instrText>
            </w:r>
            <w:r w:rsidR="00E21C4A">
              <w:rPr>
                <w:noProof/>
                <w:webHidden/>
              </w:rPr>
            </w:r>
            <w:r w:rsidR="00E21C4A">
              <w:rPr>
                <w:noProof/>
                <w:webHidden/>
              </w:rPr>
              <w:fldChar w:fldCharType="separate"/>
            </w:r>
            <w:r w:rsidR="00F54E66">
              <w:rPr>
                <w:noProof/>
                <w:webHidden/>
              </w:rPr>
              <w:t>51</w:t>
            </w:r>
            <w:r w:rsidR="00E21C4A">
              <w:rPr>
                <w:noProof/>
                <w:webHidden/>
              </w:rPr>
              <w:fldChar w:fldCharType="end"/>
            </w:r>
          </w:hyperlink>
        </w:p>
        <w:p w14:paraId="72BE8F72" w14:textId="13F6E80A" w:rsidR="00E21C4A" w:rsidRDefault="005F2283">
          <w:pPr>
            <w:pStyle w:val="TOC1"/>
            <w:tabs>
              <w:tab w:val="left" w:pos="480"/>
            </w:tabs>
            <w:rPr>
              <w:rFonts w:asciiTheme="minorHAnsi" w:eastAsiaTheme="minorEastAsia" w:hAnsiTheme="minorHAnsi" w:cstheme="minorBidi"/>
              <w:noProof/>
              <w:szCs w:val="22"/>
              <w:lang w:eastAsia="en-AU"/>
            </w:rPr>
          </w:pPr>
          <w:hyperlink w:anchor="_Toc532990262" w:history="1">
            <w:r w:rsidR="00E21C4A" w:rsidRPr="008E687C">
              <w:rPr>
                <w:rStyle w:val="Hyperlink"/>
                <w:noProof/>
              </w:rPr>
              <w:t>16</w:t>
            </w:r>
            <w:r w:rsidR="00E21C4A">
              <w:rPr>
                <w:rFonts w:asciiTheme="minorHAnsi" w:eastAsiaTheme="minorEastAsia" w:hAnsiTheme="minorHAnsi" w:cstheme="minorBidi"/>
                <w:noProof/>
                <w:szCs w:val="22"/>
                <w:lang w:eastAsia="en-AU"/>
              </w:rPr>
              <w:tab/>
            </w:r>
            <w:r w:rsidR="00E21C4A" w:rsidRPr="008E687C">
              <w:rPr>
                <w:rStyle w:val="Hyperlink"/>
                <w:noProof/>
              </w:rPr>
              <w:t>Conclusions</w:t>
            </w:r>
            <w:r w:rsidR="00E21C4A">
              <w:rPr>
                <w:noProof/>
                <w:webHidden/>
              </w:rPr>
              <w:tab/>
            </w:r>
            <w:r w:rsidR="00E21C4A">
              <w:rPr>
                <w:noProof/>
                <w:webHidden/>
              </w:rPr>
              <w:fldChar w:fldCharType="begin"/>
            </w:r>
            <w:r w:rsidR="00E21C4A">
              <w:rPr>
                <w:noProof/>
                <w:webHidden/>
              </w:rPr>
              <w:instrText xml:space="preserve"> PAGEREF _Toc532990262 \h </w:instrText>
            </w:r>
            <w:r w:rsidR="00E21C4A">
              <w:rPr>
                <w:noProof/>
                <w:webHidden/>
              </w:rPr>
            </w:r>
            <w:r w:rsidR="00E21C4A">
              <w:rPr>
                <w:noProof/>
                <w:webHidden/>
              </w:rPr>
              <w:fldChar w:fldCharType="separate"/>
            </w:r>
            <w:r w:rsidR="00F54E66">
              <w:rPr>
                <w:noProof/>
                <w:webHidden/>
              </w:rPr>
              <w:t>59</w:t>
            </w:r>
            <w:r w:rsidR="00E21C4A">
              <w:rPr>
                <w:noProof/>
                <w:webHidden/>
              </w:rPr>
              <w:fldChar w:fldCharType="end"/>
            </w:r>
          </w:hyperlink>
        </w:p>
        <w:p w14:paraId="13920074" w14:textId="1B5F76C8" w:rsidR="00E21C4A" w:rsidRDefault="005F2283">
          <w:pPr>
            <w:pStyle w:val="TOC1"/>
            <w:rPr>
              <w:rFonts w:asciiTheme="minorHAnsi" w:eastAsiaTheme="minorEastAsia" w:hAnsiTheme="minorHAnsi" w:cstheme="minorBidi"/>
              <w:noProof/>
              <w:szCs w:val="22"/>
              <w:lang w:eastAsia="en-AU"/>
            </w:rPr>
          </w:pPr>
          <w:hyperlink w:anchor="_Toc532990263" w:history="1">
            <w:r w:rsidR="00E21C4A" w:rsidRPr="008E687C">
              <w:rPr>
                <w:rStyle w:val="Hyperlink"/>
                <w:noProof/>
              </w:rPr>
              <w:t>References</w:t>
            </w:r>
            <w:r w:rsidR="00E21C4A">
              <w:rPr>
                <w:noProof/>
                <w:webHidden/>
              </w:rPr>
              <w:tab/>
            </w:r>
            <w:r w:rsidR="00E21C4A">
              <w:rPr>
                <w:noProof/>
                <w:webHidden/>
              </w:rPr>
              <w:fldChar w:fldCharType="begin"/>
            </w:r>
            <w:r w:rsidR="00E21C4A">
              <w:rPr>
                <w:noProof/>
                <w:webHidden/>
              </w:rPr>
              <w:instrText xml:space="preserve"> PAGEREF _Toc532990263 \h </w:instrText>
            </w:r>
            <w:r w:rsidR="00E21C4A">
              <w:rPr>
                <w:noProof/>
                <w:webHidden/>
              </w:rPr>
            </w:r>
            <w:r w:rsidR="00E21C4A">
              <w:rPr>
                <w:noProof/>
                <w:webHidden/>
              </w:rPr>
              <w:fldChar w:fldCharType="separate"/>
            </w:r>
            <w:r w:rsidR="00F54E66">
              <w:rPr>
                <w:noProof/>
                <w:webHidden/>
              </w:rPr>
              <w:t>63</w:t>
            </w:r>
            <w:r w:rsidR="00E21C4A">
              <w:rPr>
                <w:noProof/>
                <w:webHidden/>
              </w:rPr>
              <w:fldChar w:fldCharType="end"/>
            </w:r>
          </w:hyperlink>
        </w:p>
        <w:p w14:paraId="63281551" w14:textId="55119626" w:rsidR="00E21C4A" w:rsidRDefault="005F2283">
          <w:pPr>
            <w:pStyle w:val="TOC1"/>
            <w:rPr>
              <w:rFonts w:asciiTheme="minorHAnsi" w:eastAsiaTheme="minorEastAsia" w:hAnsiTheme="minorHAnsi" w:cstheme="minorBidi"/>
              <w:noProof/>
              <w:szCs w:val="22"/>
              <w:lang w:eastAsia="en-AU"/>
            </w:rPr>
          </w:pPr>
          <w:hyperlink w:anchor="_Toc532990264" w:history="1">
            <w:r w:rsidR="00E21C4A" w:rsidRPr="008E687C">
              <w:rPr>
                <w:rStyle w:val="Hyperlink"/>
                <w:noProof/>
              </w:rPr>
              <w:t>Appendix A Gaps in jurisdictional waste tracking systems</w:t>
            </w:r>
            <w:r w:rsidR="00E21C4A">
              <w:rPr>
                <w:noProof/>
                <w:webHidden/>
              </w:rPr>
              <w:tab/>
            </w:r>
            <w:r w:rsidR="00E21C4A">
              <w:rPr>
                <w:noProof/>
                <w:webHidden/>
              </w:rPr>
              <w:fldChar w:fldCharType="begin"/>
            </w:r>
            <w:r w:rsidR="00E21C4A">
              <w:rPr>
                <w:noProof/>
                <w:webHidden/>
              </w:rPr>
              <w:instrText xml:space="preserve"> PAGEREF _Toc532990264 \h </w:instrText>
            </w:r>
            <w:r w:rsidR="00E21C4A">
              <w:rPr>
                <w:noProof/>
                <w:webHidden/>
              </w:rPr>
            </w:r>
            <w:r w:rsidR="00E21C4A">
              <w:rPr>
                <w:noProof/>
                <w:webHidden/>
              </w:rPr>
              <w:fldChar w:fldCharType="separate"/>
            </w:r>
            <w:r w:rsidR="00F54E66">
              <w:rPr>
                <w:noProof/>
                <w:webHidden/>
              </w:rPr>
              <w:t>65</w:t>
            </w:r>
            <w:r w:rsidR="00E21C4A">
              <w:rPr>
                <w:noProof/>
                <w:webHidden/>
              </w:rPr>
              <w:fldChar w:fldCharType="end"/>
            </w:r>
          </w:hyperlink>
        </w:p>
        <w:p w14:paraId="13C6A097" w14:textId="64CE310E" w:rsidR="00E21C4A" w:rsidRDefault="005F2283">
          <w:pPr>
            <w:pStyle w:val="TOC1"/>
            <w:rPr>
              <w:rFonts w:asciiTheme="minorHAnsi" w:eastAsiaTheme="minorEastAsia" w:hAnsiTheme="minorHAnsi" w:cstheme="minorBidi"/>
              <w:noProof/>
              <w:szCs w:val="22"/>
              <w:lang w:eastAsia="en-AU"/>
            </w:rPr>
          </w:pPr>
          <w:hyperlink w:anchor="_Toc532990265" w:history="1">
            <w:r w:rsidR="00E21C4A" w:rsidRPr="008E687C">
              <w:rPr>
                <w:rStyle w:val="Hyperlink"/>
                <w:noProof/>
              </w:rPr>
              <w:t>Appendix B Jurisdictional hazardous waste stockpiles and approved long-term on-site storage dataset</w:t>
            </w:r>
            <w:r w:rsidR="00E21C4A">
              <w:rPr>
                <w:noProof/>
                <w:webHidden/>
              </w:rPr>
              <w:tab/>
            </w:r>
            <w:r w:rsidR="00E21C4A">
              <w:rPr>
                <w:noProof/>
                <w:webHidden/>
              </w:rPr>
              <w:fldChar w:fldCharType="begin"/>
            </w:r>
            <w:r w:rsidR="00E21C4A">
              <w:rPr>
                <w:noProof/>
                <w:webHidden/>
              </w:rPr>
              <w:instrText xml:space="preserve"> PAGEREF _Toc532990265 \h </w:instrText>
            </w:r>
            <w:r w:rsidR="00E21C4A">
              <w:rPr>
                <w:noProof/>
                <w:webHidden/>
              </w:rPr>
            </w:r>
            <w:r w:rsidR="00E21C4A">
              <w:rPr>
                <w:noProof/>
                <w:webHidden/>
              </w:rPr>
              <w:fldChar w:fldCharType="separate"/>
            </w:r>
            <w:r w:rsidR="00F54E66">
              <w:rPr>
                <w:noProof/>
                <w:webHidden/>
              </w:rPr>
              <w:t>66</w:t>
            </w:r>
            <w:r w:rsidR="00E21C4A">
              <w:rPr>
                <w:noProof/>
                <w:webHidden/>
              </w:rPr>
              <w:fldChar w:fldCharType="end"/>
            </w:r>
          </w:hyperlink>
        </w:p>
        <w:p w14:paraId="460B845E" w14:textId="1B13C54D" w:rsidR="00E21C4A" w:rsidRDefault="005F2283">
          <w:pPr>
            <w:pStyle w:val="TOC1"/>
            <w:rPr>
              <w:rFonts w:asciiTheme="minorHAnsi" w:eastAsiaTheme="minorEastAsia" w:hAnsiTheme="minorHAnsi" w:cstheme="minorBidi"/>
              <w:noProof/>
              <w:szCs w:val="22"/>
              <w:lang w:eastAsia="en-AU"/>
            </w:rPr>
          </w:pPr>
          <w:hyperlink w:anchor="_Toc532990266" w:history="1">
            <w:r w:rsidR="00E21C4A" w:rsidRPr="008E687C">
              <w:rPr>
                <w:rStyle w:val="Hyperlink"/>
                <w:noProof/>
              </w:rPr>
              <w:t>Appendix C Stockpile/ approved long-term on-site storages estimations</w:t>
            </w:r>
            <w:r w:rsidR="00E21C4A">
              <w:rPr>
                <w:noProof/>
                <w:webHidden/>
              </w:rPr>
              <w:tab/>
            </w:r>
            <w:r w:rsidR="00E21C4A">
              <w:rPr>
                <w:noProof/>
                <w:webHidden/>
              </w:rPr>
              <w:fldChar w:fldCharType="begin"/>
            </w:r>
            <w:r w:rsidR="00E21C4A">
              <w:rPr>
                <w:noProof/>
                <w:webHidden/>
              </w:rPr>
              <w:instrText xml:space="preserve"> PAGEREF _Toc532990266 \h </w:instrText>
            </w:r>
            <w:r w:rsidR="00E21C4A">
              <w:rPr>
                <w:noProof/>
                <w:webHidden/>
              </w:rPr>
            </w:r>
            <w:r w:rsidR="00E21C4A">
              <w:rPr>
                <w:noProof/>
                <w:webHidden/>
              </w:rPr>
              <w:fldChar w:fldCharType="separate"/>
            </w:r>
            <w:r w:rsidR="00F54E66">
              <w:rPr>
                <w:noProof/>
                <w:webHidden/>
              </w:rPr>
              <w:t>67</w:t>
            </w:r>
            <w:r w:rsidR="00E21C4A">
              <w:rPr>
                <w:noProof/>
                <w:webHidden/>
              </w:rPr>
              <w:fldChar w:fldCharType="end"/>
            </w:r>
          </w:hyperlink>
        </w:p>
        <w:p w14:paraId="42E1D6E0" w14:textId="6349D3EE" w:rsidR="00E21C4A" w:rsidRDefault="005F2283">
          <w:pPr>
            <w:pStyle w:val="TOC1"/>
            <w:rPr>
              <w:rFonts w:asciiTheme="minorHAnsi" w:eastAsiaTheme="minorEastAsia" w:hAnsiTheme="minorHAnsi" w:cstheme="minorBidi"/>
              <w:noProof/>
              <w:szCs w:val="22"/>
              <w:lang w:eastAsia="en-AU"/>
            </w:rPr>
          </w:pPr>
          <w:hyperlink w:anchor="_Toc532990267" w:history="1">
            <w:r w:rsidR="00E21C4A" w:rsidRPr="008E687C">
              <w:rPr>
                <w:rStyle w:val="Hyperlink"/>
                <w:noProof/>
              </w:rPr>
              <w:t xml:space="preserve">Appendix D </w:t>
            </w:r>
            <w:r w:rsidR="00E21C4A" w:rsidRPr="008E687C">
              <w:rPr>
                <w:rStyle w:val="Hyperlink"/>
                <w:i/>
                <w:noProof/>
              </w:rPr>
              <w:t>Movement of Controlled Waste between States and Territories NEPM, Schedule A List 1: Waste categories</w:t>
            </w:r>
            <w:r w:rsidR="00E21C4A">
              <w:rPr>
                <w:noProof/>
                <w:webHidden/>
              </w:rPr>
              <w:tab/>
            </w:r>
            <w:r w:rsidR="00E21C4A">
              <w:rPr>
                <w:noProof/>
                <w:webHidden/>
              </w:rPr>
              <w:fldChar w:fldCharType="begin"/>
            </w:r>
            <w:r w:rsidR="00E21C4A">
              <w:rPr>
                <w:noProof/>
                <w:webHidden/>
              </w:rPr>
              <w:instrText xml:space="preserve"> PAGEREF _Toc532990267 \h </w:instrText>
            </w:r>
            <w:r w:rsidR="00E21C4A">
              <w:rPr>
                <w:noProof/>
                <w:webHidden/>
              </w:rPr>
            </w:r>
            <w:r w:rsidR="00E21C4A">
              <w:rPr>
                <w:noProof/>
                <w:webHidden/>
              </w:rPr>
              <w:fldChar w:fldCharType="separate"/>
            </w:r>
            <w:r w:rsidR="00F54E66">
              <w:rPr>
                <w:noProof/>
                <w:webHidden/>
              </w:rPr>
              <w:t>69</w:t>
            </w:r>
            <w:r w:rsidR="00E21C4A">
              <w:rPr>
                <w:noProof/>
                <w:webHidden/>
              </w:rPr>
              <w:fldChar w:fldCharType="end"/>
            </w:r>
          </w:hyperlink>
        </w:p>
        <w:p w14:paraId="6E2A43C8" w14:textId="7F3045E5" w:rsidR="007F0F63" w:rsidRDefault="00B201EC" w:rsidP="00881395">
          <w:pPr>
            <w:pStyle w:val="TOC1"/>
            <w:rPr>
              <w:noProof/>
            </w:rPr>
          </w:pPr>
          <w:r>
            <w:fldChar w:fldCharType="end"/>
          </w:r>
        </w:p>
      </w:sdtContent>
    </w:sdt>
    <w:p w14:paraId="4DC65052" w14:textId="77777777" w:rsidR="003E2A9A" w:rsidRDefault="003E2A9A" w:rsidP="00A452A5">
      <w:pPr>
        <w:pStyle w:val="RECnormaltext"/>
      </w:pPr>
    </w:p>
    <w:p w14:paraId="128FD300" w14:textId="77777777" w:rsidR="003E2A9A" w:rsidRDefault="003E2A9A" w:rsidP="00A452A5">
      <w:pPr>
        <w:pStyle w:val="RECnormaltext"/>
      </w:pPr>
    </w:p>
    <w:p w14:paraId="41F19773" w14:textId="3D0AFE29" w:rsidR="003E2A9A" w:rsidRDefault="003E2A9A" w:rsidP="00A452A5">
      <w:pPr>
        <w:pStyle w:val="RECnormaltext"/>
      </w:pPr>
    </w:p>
    <w:p w14:paraId="69C55118" w14:textId="789D7ABC" w:rsidR="00980B4D" w:rsidRDefault="00980B4D" w:rsidP="00A452A5">
      <w:pPr>
        <w:pStyle w:val="RECnormaltext"/>
      </w:pPr>
    </w:p>
    <w:p w14:paraId="4C7A6985" w14:textId="77777777" w:rsidR="00980B4D" w:rsidRDefault="00980B4D" w:rsidP="00A452A5">
      <w:pPr>
        <w:pStyle w:val="RECnormaltext"/>
      </w:pPr>
    </w:p>
    <w:p w14:paraId="68823DAD" w14:textId="77777777" w:rsidR="003E2A9A" w:rsidRDefault="003E2A9A" w:rsidP="00A452A5">
      <w:pPr>
        <w:pStyle w:val="RECnormaltext"/>
      </w:pPr>
    </w:p>
    <w:p w14:paraId="068C7DCA" w14:textId="77777777" w:rsidR="003E2A9A" w:rsidRDefault="003E2A9A" w:rsidP="00A452A5">
      <w:pPr>
        <w:pStyle w:val="RECnormaltext"/>
      </w:pPr>
    </w:p>
    <w:p w14:paraId="5A91B572" w14:textId="77777777" w:rsidR="003E2A9A" w:rsidRDefault="003E2A9A" w:rsidP="00A452A5">
      <w:pPr>
        <w:pStyle w:val="RECnormaltext"/>
      </w:pPr>
    </w:p>
    <w:p w14:paraId="6C526384" w14:textId="647AEAE1" w:rsidR="00134A93" w:rsidRDefault="00134A93" w:rsidP="00047982">
      <w:pPr>
        <w:pStyle w:val="NonTOCHeading3"/>
      </w:pPr>
      <w:r>
        <w:t xml:space="preserve">Tables </w:t>
      </w:r>
    </w:p>
    <w:p w14:paraId="7A3AA4BC" w14:textId="48C443E1" w:rsidR="00E21C4A" w:rsidRDefault="00134A93">
      <w:pPr>
        <w:pStyle w:val="TableofFigures"/>
        <w:tabs>
          <w:tab w:val="right" w:leader="dot" w:pos="9016"/>
        </w:tabs>
        <w:rPr>
          <w:rFonts w:asciiTheme="minorHAnsi" w:eastAsiaTheme="minorEastAsia" w:hAnsiTheme="minorHAnsi" w:cstheme="minorBidi"/>
          <w:noProof/>
          <w:color w:val="auto"/>
          <w:lang w:eastAsia="en-AU"/>
        </w:rPr>
      </w:pPr>
      <w:r>
        <w:fldChar w:fldCharType="begin"/>
      </w:r>
      <w:r>
        <w:instrText xml:space="preserve"> TOC \h \z \c "Table" </w:instrText>
      </w:r>
      <w:r>
        <w:fldChar w:fldCharType="separate"/>
      </w:r>
      <w:hyperlink w:anchor="_Toc532990268" w:history="1">
        <w:r w:rsidR="00E21C4A" w:rsidRPr="00EE030A">
          <w:rPr>
            <w:rStyle w:val="Hyperlink"/>
            <w:noProof/>
          </w:rPr>
          <w:t>Table 1 Key elements of frameworks providing for stockpile prevention, management and clearance</w:t>
        </w:r>
        <w:r w:rsidR="00E21C4A">
          <w:rPr>
            <w:noProof/>
            <w:webHidden/>
          </w:rPr>
          <w:tab/>
        </w:r>
        <w:r w:rsidR="00E21C4A">
          <w:rPr>
            <w:noProof/>
            <w:webHidden/>
          </w:rPr>
          <w:fldChar w:fldCharType="begin"/>
        </w:r>
        <w:r w:rsidR="00E21C4A">
          <w:rPr>
            <w:noProof/>
            <w:webHidden/>
          </w:rPr>
          <w:instrText xml:space="preserve"> PAGEREF _Toc532990268 \h </w:instrText>
        </w:r>
        <w:r w:rsidR="00E21C4A">
          <w:rPr>
            <w:noProof/>
            <w:webHidden/>
          </w:rPr>
        </w:r>
        <w:r w:rsidR="00E21C4A">
          <w:rPr>
            <w:noProof/>
            <w:webHidden/>
          </w:rPr>
          <w:fldChar w:fldCharType="separate"/>
        </w:r>
        <w:r w:rsidR="00F54E66">
          <w:rPr>
            <w:noProof/>
            <w:webHidden/>
          </w:rPr>
          <w:t>5</w:t>
        </w:r>
        <w:r w:rsidR="00E21C4A">
          <w:rPr>
            <w:noProof/>
            <w:webHidden/>
          </w:rPr>
          <w:fldChar w:fldCharType="end"/>
        </w:r>
      </w:hyperlink>
    </w:p>
    <w:p w14:paraId="36CEB57C" w14:textId="66EA210B" w:rsidR="00E21C4A" w:rsidRDefault="005F2283">
      <w:pPr>
        <w:pStyle w:val="TableofFigures"/>
        <w:tabs>
          <w:tab w:val="right" w:leader="dot" w:pos="9016"/>
        </w:tabs>
        <w:rPr>
          <w:rFonts w:asciiTheme="minorHAnsi" w:eastAsiaTheme="minorEastAsia" w:hAnsiTheme="minorHAnsi" w:cstheme="minorBidi"/>
          <w:noProof/>
          <w:color w:val="auto"/>
          <w:lang w:eastAsia="en-AU"/>
        </w:rPr>
      </w:pPr>
      <w:hyperlink w:anchor="_Toc532990269" w:history="1">
        <w:r w:rsidR="00E21C4A" w:rsidRPr="00EE030A">
          <w:rPr>
            <w:rStyle w:val="Hyperlink"/>
            <w:noProof/>
          </w:rPr>
          <w:t>Table 2 Summary of USA EPA regulatory requirements for stockpiling by hazardous waste generators</w:t>
        </w:r>
        <w:r w:rsidR="00E21C4A">
          <w:rPr>
            <w:noProof/>
            <w:webHidden/>
          </w:rPr>
          <w:tab/>
        </w:r>
        <w:r w:rsidR="00E21C4A">
          <w:rPr>
            <w:noProof/>
            <w:webHidden/>
          </w:rPr>
          <w:fldChar w:fldCharType="begin"/>
        </w:r>
        <w:r w:rsidR="00E21C4A">
          <w:rPr>
            <w:noProof/>
            <w:webHidden/>
          </w:rPr>
          <w:instrText xml:space="preserve"> PAGEREF _Toc532990269 \h </w:instrText>
        </w:r>
        <w:r w:rsidR="00E21C4A">
          <w:rPr>
            <w:noProof/>
            <w:webHidden/>
          </w:rPr>
        </w:r>
        <w:r w:rsidR="00E21C4A">
          <w:rPr>
            <w:noProof/>
            <w:webHidden/>
          </w:rPr>
          <w:fldChar w:fldCharType="separate"/>
        </w:r>
        <w:r w:rsidR="00F54E66">
          <w:rPr>
            <w:noProof/>
            <w:webHidden/>
          </w:rPr>
          <w:t>34</w:t>
        </w:r>
        <w:r w:rsidR="00E21C4A">
          <w:rPr>
            <w:noProof/>
            <w:webHidden/>
          </w:rPr>
          <w:fldChar w:fldCharType="end"/>
        </w:r>
      </w:hyperlink>
    </w:p>
    <w:p w14:paraId="3315332F" w14:textId="5EF75E57" w:rsidR="00E21C4A" w:rsidRDefault="005F2283">
      <w:pPr>
        <w:pStyle w:val="TableofFigures"/>
        <w:tabs>
          <w:tab w:val="right" w:leader="dot" w:pos="9016"/>
        </w:tabs>
        <w:rPr>
          <w:rFonts w:asciiTheme="minorHAnsi" w:eastAsiaTheme="minorEastAsia" w:hAnsiTheme="minorHAnsi" w:cstheme="minorBidi"/>
          <w:noProof/>
          <w:color w:val="auto"/>
          <w:lang w:eastAsia="en-AU"/>
        </w:rPr>
      </w:pPr>
      <w:hyperlink w:anchor="_Toc532990270" w:history="1">
        <w:r w:rsidR="00E21C4A" w:rsidRPr="00EE030A">
          <w:rPr>
            <w:rStyle w:val="Hyperlink"/>
            <w:noProof/>
          </w:rPr>
          <w:t>Table 3 Analysis of key elements of hazardous waste stockpile prevention, management and clearance policy frameworks by jurisdiction</w:t>
        </w:r>
        <w:r w:rsidR="00E21C4A">
          <w:rPr>
            <w:noProof/>
            <w:webHidden/>
          </w:rPr>
          <w:tab/>
        </w:r>
        <w:r w:rsidR="00E21C4A">
          <w:rPr>
            <w:noProof/>
            <w:webHidden/>
          </w:rPr>
          <w:fldChar w:fldCharType="begin"/>
        </w:r>
        <w:r w:rsidR="00E21C4A">
          <w:rPr>
            <w:noProof/>
            <w:webHidden/>
          </w:rPr>
          <w:instrText xml:space="preserve"> PAGEREF _Toc532990270 \h </w:instrText>
        </w:r>
        <w:r w:rsidR="00E21C4A">
          <w:rPr>
            <w:noProof/>
            <w:webHidden/>
          </w:rPr>
        </w:r>
        <w:r w:rsidR="00E21C4A">
          <w:rPr>
            <w:noProof/>
            <w:webHidden/>
          </w:rPr>
          <w:fldChar w:fldCharType="separate"/>
        </w:r>
        <w:r w:rsidR="00F54E66">
          <w:rPr>
            <w:noProof/>
            <w:webHidden/>
          </w:rPr>
          <w:t>41</w:t>
        </w:r>
        <w:r w:rsidR="00E21C4A">
          <w:rPr>
            <w:noProof/>
            <w:webHidden/>
          </w:rPr>
          <w:fldChar w:fldCharType="end"/>
        </w:r>
      </w:hyperlink>
    </w:p>
    <w:p w14:paraId="4F596372" w14:textId="227C368C" w:rsidR="00E21C4A" w:rsidRDefault="005F2283">
      <w:pPr>
        <w:pStyle w:val="TableofFigures"/>
        <w:tabs>
          <w:tab w:val="left" w:pos="1100"/>
          <w:tab w:val="right" w:leader="dot" w:pos="9016"/>
        </w:tabs>
        <w:rPr>
          <w:rFonts w:asciiTheme="minorHAnsi" w:eastAsiaTheme="minorEastAsia" w:hAnsiTheme="minorHAnsi" w:cstheme="minorBidi"/>
          <w:noProof/>
          <w:color w:val="auto"/>
          <w:lang w:eastAsia="en-AU"/>
        </w:rPr>
      </w:pPr>
      <w:hyperlink w:anchor="_Toc532990271" w:history="1">
        <w:r w:rsidR="00E21C4A" w:rsidRPr="00EE030A">
          <w:rPr>
            <w:rStyle w:val="Hyperlink"/>
            <w:noProof/>
          </w:rPr>
          <w:t xml:space="preserve">Table 4 </w:t>
        </w:r>
        <w:r w:rsidR="00E21C4A">
          <w:rPr>
            <w:rFonts w:asciiTheme="minorHAnsi" w:eastAsiaTheme="minorEastAsia" w:hAnsiTheme="minorHAnsi" w:cstheme="minorBidi"/>
            <w:noProof/>
            <w:color w:val="auto"/>
            <w:lang w:eastAsia="en-AU"/>
          </w:rPr>
          <w:tab/>
        </w:r>
        <w:r w:rsidR="00E21C4A" w:rsidRPr="00EE030A">
          <w:rPr>
            <w:rStyle w:val="Hyperlink"/>
            <w:noProof/>
          </w:rPr>
          <w:t>Explanation of dataset reporting</w:t>
        </w:r>
        <w:r w:rsidR="00E21C4A">
          <w:rPr>
            <w:noProof/>
            <w:webHidden/>
          </w:rPr>
          <w:tab/>
        </w:r>
        <w:r w:rsidR="00E21C4A">
          <w:rPr>
            <w:noProof/>
            <w:webHidden/>
          </w:rPr>
          <w:fldChar w:fldCharType="begin"/>
        </w:r>
        <w:r w:rsidR="00E21C4A">
          <w:rPr>
            <w:noProof/>
            <w:webHidden/>
          </w:rPr>
          <w:instrText xml:space="preserve"> PAGEREF _Toc532990271 \h </w:instrText>
        </w:r>
        <w:r w:rsidR="00E21C4A">
          <w:rPr>
            <w:noProof/>
            <w:webHidden/>
          </w:rPr>
        </w:r>
        <w:r w:rsidR="00E21C4A">
          <w:rPr>
            <w:noProof/>
            <w:webHidden/>
          </w:rPr>
          <w:fldChar w:fldCharType="separate"/>
        </w:r>
        <w:r w:rsidR="00F54E66">
          <w:rPr>
            <w:noProof/>
            <w:webHidden/>
          </w:rPr>
          <w:t>48</w:t>
        </w:r>
        <w:r w:rsidR="00E21C4A">
          <w:rPr>
            <w:noProof/>
            <w:webHidden/>
          </w:rPr>
          <w:fldChar w:fldCharType="end"/>
        </w:r>
      </w:hyperlink>
    </w:p>
    <w:p w14:paraId="3348F04B" w14:textId="0A852EC7" w:rsidR="00E21C4A" w:rsidRDefault="005F2283">
      <w:pPr>
        <w:pStyle w:val="TableofFigures"/>
        <w:tabs>
          <w:tab w:val="right" w:leader="dot" w:pos="9016"/>
        </w:tabs>
        <w:rPr>
          <w:rFonts w:asciiTheme="minorHAnsi" w:eastAsiaTheme="minorEastAsia" w:hAnsiTheme="minorHAnsi" w:cstheme="minorBidi"/>
          <w:noProof/>
          <w:color w:val="auto"/>
          <w:lang w:eastAsia="en-AU"/>
        </w:rPr>
      </w:pPr>
      <w:hyperlink w:anchor="_Toc532990272" w:history="1">
        <w:r w:rsidR="00E21C4A" w:rsidRPr="00EE030A">
          <w:rPr>
            <w:rStyle w:val="Hyperlink"/>
            <w:noProof/>
          </w:rPr>
          <w:t xml:space="preserve">Table 5 National hazardous waste stockpiles and approved long-term on-site storage dataset </w:t>
        </w:r>
        <w:r w:rsidR="00E21C4A">
          <w:rPr>
            <w:noProof/>
            <w:webHidden/>
          </w:rPr>
          <w:tab/>
        </w:r>
        <w:r w:rsidR="00E21C4A">
          <w:rPr>
            <w:noProof/>
            <w:webHidden/>
          </w:rPr>
          <w:fldChar w:fldCharType="begin"/>
        </w:r>
        <w:r w:rsidR="00E21C4A">
          <w:rPr>
            <w:noProof/>
            <w:webHidden/>
          </w:rPr>
          <w:instrText xml:space="preserve"> PAGEREF _Toc532990272 \h </w:instrText>
        </w:r>
        <w:r w:rsidR="00E21C4A">
          <w:rPr>
            <w:noProof/>
            <w:webHidden/>
          </w:rPr>
        </w:r>
        <w:r w:rsidR="00E21C4A">
          <w:rPr>
            <w:noProof/>
            <w:webHidden/>
          </w:rPr>
          <w:fldChar w:fldCharType="separate"/>
        </w:r>
        <w:r w:rsidR="00F54E66">
          <w:rPr>
            <w:noProof/>
            <w:webHidden/>
          </w:rPr>
          <w:t>50</w:t>
        </w:r>
        <w:r w:rsidR="00E21C4A">
          <w:rPr>
            <w:noProof/>
            <w:webHidden/>
          </w:rPr>
          <w:fldChar w:fldCharType="end"/>
        </w:r>
      </w:hyperlink>
    </w:p>
    <w:p w14:paraId="10374BF5" w14:textId="2EBF9ED0" w:rsidR="00E21C4A" w:rsidRDefault="005F2283">
      <w:pPr>
        <w:pStyle w:val="TableofFigures"/>
        <w:tabs>
          <w:tab w:val="right" w:leader="dot" w:pos="9016"/>
        </w:tabs>
        <w:rPr>
          <w:rFonts w:asciiTheme="minorHAnsi" w:eastAsiaTheme="minorEastAsia" w:hAnsiTheme="minorHAnsi" w:cstheme="minorBidi"/>
          <w:noProof/>
          <w:color w:val="auto"/>
          <w:lang w:eastAsia="en-AU"/>
        </w:rPr>
      </w:pPr>
      <w:hyperlink w:anchor="_Toc532990273" w:history="1">
        <w:r w:rsidR="00E21C4A" w:rsidRPr="00EE030A">
          <w:rPr>
            <w:rStyle w:val="Hyperlink"/>
            <w:noProof/>
          </w:rPr>
          <w:t>Table 6 Summary of policy key elements and implementation</w:t>
        </w:r>
        <w:r w:rsidR="00E21C4A">
          <w:rPr>
            <w:noProof/>
            <w:webHidden/>
          </w:rPr>
          <w:tab/>
        </w:r>
        <w:r w:rsidR="00E21C4A">
          <w:rPr>
            <w:noProof/>
            <w:webHidden/>
          </w:rPr>
          <w:fldChar w:fldCharType="begin"/>
        </w:r>
        <w:r w:rsidR="00E21C4A">
          <w:rPr>
            <w:noProof/>
            <w:webHidden/>
          </w:rPr>
          <w:instrText xml:space="preserve"> PAGEREF _Toc532990273 \h </w:instrText>
        </w:r>
        <w:r w:rsidR="00E21C4A">
          <w:rPr>
            <w:noProof/>
            <w:webHidden/>
          </w:rPr>
        </w:r>
        <w:r w:rsidR="00E21C4A">
          <w:rPr>
            <w:noProof/>
            <w:webHidden/>
          </w:rPr>
          <w:fldChar w:fldCharType="separate"/>
        </w:r>
        <w:r w:rsidR="00F54E66">
          <w:rPr>
            <w:noProof/>
            <w:webHidden/>
          </w:rPr>
          <w:t>61</w:t>
        </w:r>
        <w:r w:rsidR="00E21C4A">
          <w:rPr>
            <w:noProof/>
            <w:webHidden/>
          </w:rPr>
          <w:fldChar w:fldCharType="end"/>
        </w:r>
      </w:hyperlink>
    </w:p>
    <w:p w14:paraId="59F3405B" w14:textId="3F5D0EFF" w:rsidR="00267977" w:rsidRDefault="00134A93" w:rsidP="00267977">
      <w:pPr>
        <w:pStyle w:val="RECnormaltext"/>
      </w:pPr>
      <w:r>
        <w:fldChar w:fldCharType="end"/>
      </w:r>
    </w:p>
    <w:p w14:paraId="3084F87C" w14:textId="2D01A190" w:rsidR="00134A93" w:rsidRDefault="00134A93" w:rsidP="00047982">
      <w:pPr>
        <w:pStyle w:val="NonTOCHeading3"/>
      </w:pPr>
      <w:r>
        <w:t>Figures</w:t>
      </w:r>
    </w:p>
    <w:p w14:paraId="12119551" w14:textId="0D7BC7ED" w:rsidR="00E21C4A" w:rsidRDefault="005C4E4A">
      <w:pPr>
        <w:pStyle w:val="TableofFigures"/>
        <w:tabs>
          <w:tab w:val="right" w:leader="dot" w:pos="9016"/>
        </w:tabs>
        <w:rPr>
          <w:rFonts w:asciiTheme="minorHAnsi" w:eastAsiaTheme="minorEastAsia" w:hAnsiTheme="minorHAnsi" w:cstheme="minorBidi"/>
          <w:noProof/>
          <w:color w:val="auto"/>
          <w:lang w:eastAsia="en-AU"/>
        </w:rPr>
      </w:pPr>
      <w:r>
        <w:fldChar w:fldCharType="begin"/>
      </w:r>
      <w:r>
        <w:instrText xml:space="preserve"> TOC \h \z \c "Figure" </w:instrText>
      </w:r>
      <w:r>
        <w:fldChar w:fldCharType="separate"/>
      </w:r>
      <w:hyperlink w:anchor="_Toc532990274" w:history="1">
        <w:r w:rsidR="00E21C4A" w:rsidRPr="0095694E">
          <w:rPr>
            <w:rStyle w:val="Hyperlink"/>
            <w:noProof/>
          </w:rPr>
          <w:t>Figure 1 Defining hazardous waste stockpiling versus other fates of hazardous wastes</w:t>
        </w:r>
        <w:r w:rsidR="00E21C4A">
          <w:rPr>
            <w:noProof/>
            <w:webHidden/>
          </w:rPr>
          <w:tab/>
        </w:r>
        <w:r w:rsidR="00E21C4A">
          <w:rPr>
            <w:noProof/>
            <w:webHidden/>
          </w:rPr>
          <w:fldChar w:fldCharType="begin"/>
        </w:r>
        <w:r w:rsidR="00E21C4A">
          <w:rPr>
            <w:noProof/>
            <w:webHidden/>
          </w:rPr>
          <w:instrText xml:space="preserve"> PAGEREF _Toc532990274 \h </w:instrText>
        </w:r>
        <w:r w:rsidR="00E21C4A">
          <w:rPr>
            <w:noProof/>
            <w:webHidden/>
          </w:rPr>
        </w:r>
        <w:r w:rsidR="00E21C4A">
          <w:rPr>
            <w:noProof/>
            <w:webHidden/>
          </w:rPr>
          <w:fldChar w:fldCharType="separate"/>
        </w:r>
        <w:r w:rsidR="00F54E66">
          <w:rPr>
            <w:noProof/>
            <w:webHidden/>
          </w:rPr>
          <w:t>46</w:t>
        </w:r>
        <w:r w:rsidR="00E21C4A">
          <w:rPr>
            <w:noProof/>
            <w:webHidden/>
          </w:rPr>
          <w:fldChar w:fldCharType="end"/>
        </w:r>
      </w:hyperlink>
    </w:p>
    <w:p w14:paraId="09C5BDEE" w14:textId="35CD3B6C" w:rsidR="00134A93" w:rsidRDefault="005C4E4A" w:rsidP="00123928">
      <w:pPr>
        <w:pStyle w:val="TableofFigures"/>
        <w:tabs>
          <w:tab w:val="right" w:leader="dot" w:pos="9016"/>
        </w:tabs>
        <w:rPr>
          <w:noProof/>
        </w:rPr>
      </w:pPr>
      <w:r>
        <w:rPr>
          <w:noProof/>
        </w:rPr>
        <w:fldChar w:fldCharType="end"/>
      </w:r>
    </w:p>
    <w:p w14:paraId="35FE1977" w14:textId="01EDD4C3" w:rsidR="00EF71D4" w:rsidRDefault="00EF71D4" w:rsidP="00267977"/>
    <w:p w14:paraId="1C07F56A" w14:textId="7D6694E1" w:rsidR="00EF71D4" w:rsidRDefault="00EF71D4" w:rsidP="00267977"/>
    <w:p w14:paraId="636A84C8" w14:textId="1DAAD522" w:rsidR="00EF71D4" w:rsidRDefault="00EF71D4" w:rsidP="00267977"/>
    <w:p w14:paraId="3DBF4A46" w14:textId="14E62902" w:rsidR="00EF71D4" w:rsidRDefault="00EF71D4" w:rsidP="00267977"/>
    <w:p w14:paraId="5CBFFA68" w14:textId="009A1B21" w:rsidR="00EF71D4" w:rsidRDefault="00EF71D4" w:rsidP="00267977"/>
    <w:p w14:paraId="330F7B36" w14:textId="13740BA8" w:rsidR="00EF71D4" w:rsidRDefault="00EF71D4" w:rsidP="00267977"/>
    <w:p w14:paraId="65EFD5EA" w14:textId="47FE05F8" w:rsidR="00EF71D4" w:rsidRDefault="00EF71D4" w:rsidP="00267977"/>
    <w:p w14:paraId="7737CA97" w14:textId="47D136C1" w:rsidR="00EF71D4" w:rsidRDefault="00EF71D4" w:rsidP="00267977"/>
    <w:p w14:paraId="402E600E" w14:textId="5E007070" w:rsidR="00EF71D4" w:rsidRDefault="00EF71D4" w:rsidP="00267977"/>
    <w:p w14:paraId="51E64EA1" w14:textId="5F6AD6EC" w:rsidR="00EF71D4" w:rsidRDefault="00EF71D4" w:rsidP="00267977"/>
    <w:p w14:paraId="20C3FA39" w14:textId="44B7757F" w:rsidR="00EF71D4" w:rsidRDefault="00EF71D4" w:rsidP="00267977"/>
    <w:p w14:paraId="4D2366CC" w14:textId="6666D617" w:rsidR="00EF71D4" w:rsidRDefault="00EF71D4" w:rsidP="00267977"/>
    <w:p w14:paraId="12300B8C" w14:textId="535B106F" w:rsidR="00EF71D4" w:rsidRDefault="00EF71D4" w:rsidP="00267977"/>
    <w:p w14:paraId="67925767" w14:textId="74A9FE9C" w:rsidR="00EF71D4" w:rsidRDefault="00EF71D4" w:rsidP="00267977"/>
    <w:p w14:paraId="38998C5A" w14:textId="5E51DA26" w:rsidR="00EF71D4" w:rsidRDefault="00EF71D4" w:rsidP="00267977"/>
    <w:p w14:paraId="342D2CBF" w14:textId="77777777" w:rsidR="00EF71D4" w:rsidRDefault="00EF71D4" w:rsidP="00EF71D4">
      <w:pPr>
        <w:pStyle w:val="Heading1"/>
        <w:numPr>
          <w:ilvl w:val="0"/>
          <w:numId w:val="0"/>
        </w:numPr>
        <w:ind w:left="567" w:hanging="567"/>
      </w:pPr>
      <w:bookmarkStart w:id="1" w:name="_Toc532990213"/>
      <w:r>
        <w:t>Executive Summary</w:t>
      </w:r>
      <w:bookmarkEnd w:id="1"/>
    </w:p>
    <w:p w14:paraId="6D474CE4" w14:textId="5149C6BF" w:rsidR="00DA33E8" w:rsidRDefault="00A32FF8" w:rsidP="00DA33E8">
      <w:pPr>
        <w:pStyle w:val="RECnormaltext"/>
        <w:rPr>
          <w:i/>
        </w:rPr>
      </w:pPr>
      <w:r>
        <w:t>T</w:t>
      </w:r>
      <w:r w:rsidR="00DA33E8">
        <w:t xml:space="preserve">he </w:t>
      </w:r>
      <w:r w:rsidR="00DA33E8" w:rsidRPr="00994D7F">
        <w:t>Department of the Environment</w:t>
      </w:r>
      <w:r w:rsidR="00DA33E8">
        <w:t xml:space="preserve"> and Energy (DoEE) engaged Randell Environmental Consulting (REC) in association with Ascend Waste and Environment to complete </w:t>
      </w:r>
      <w:r>
        <w:t>this report o</w:t>
      </w:r>
      <w:r w:rsidR="00A555B5">
        <w:t>n</w:t>
      </w:r>
      <w:r>
        <w:t xml:space="preserve"> hazardous waste stockpiles in Australia </w:t>
      </w:r>
      <w:r w:rsidR="00C24739">
        <w:t xml:space="preserve">in </w:t>
      </w:r>
      <w:r>
        <w:t>2016/17</w:t>
      </w:r>
      <w:r w:rsidR="00DA33E8" w:rsidRPr="00994D7F">
        <w:rPr>
          <w:i/>
        </w:rPr>
        <w:t>.</w:t>
      </w:r>
    </w:p>
    <w:p w14:paraId="635DC30F" w14:textId="77777777" w:rsidR="00DA33E8" w:rsidRDefault="00DA33E8" w:rsidP="00047982">
      <w:pPr>
        <w:pStyle w:val="NonTOCHeading3"/>
      </w:pPr>
      <w:r>
        <w:t>Project scope</w:t>
      </w:r>
    </w:p>
    <w:p w14:paraId="1F110D83" w14:textId="761A1E74" w:rsidR="00DA33E8" w:rsidRDefault="00326262" w:rsidP="00DA33E8">
      <w:pPr>
        <w:pStyle w:val="RECnormaltext"/>
      </w:pPr>
      <w:r>
        <w:t xml:space="preserve">The project </w:t>
      </w:r>
      <w:r w:rsidR="00DA33E8">
        <w:t xml:space="preserve">scope </w:t>
      </w:r>
      <w:r>
        <w:t xml:space="preserve">can be summarised </w:t>
      </w:r>
      <w:r w:rsidR="00DA33E8">
        <w:t>as follows.</w:t>
      </w:r>
    </w:p>
    <w:p w14:paraId="6C40261D" w14:textId="49AC6D97" w:rsidR="00DA33E8" w:rsidRPr="00326262" w:rsidRDefault="00326262" w:rsidP="00CF08AA">
      <w:pPr>
        <w:pStyle w:val="RECnumberlist"/>
      </w:pPr>
      <w:r>
        <w:t>A</w:t>
      </w:r>
      <w:r w:rsidR="00DA33E8" w:rsidRPr="00326262">
        <w:t xml:space="preserve">nalyse Australian </w:t>
      </w:r>
      <w:r>
        <w:t xml:space="preserve">and select international policy </w:t>
      </w:r>
      <w:r w:rsidR="00DA33E8" w:rsidRPr="00326262">
        <w:t>framework</w:t>
      </w:r>
      <w:r>
        <w:t>s</w:t>
      </w:r>
      <w:r w:rsidR="00DA33E8" w:rsidRPr="00326262">
        <w:t xml:space="preserve"> for </w:t>
      </w:r>
      <w:r w:rsidR="00DA33E8" w:rsidRPr="00326262">
        <w:rPr>
          <w:b/>
        </w:rPr>
        <w:t xml:space="preserve">preventing, managing and clearing </w:t>
      </w:r>
      <w:r w:rsidR="00DA33E8" w:rsidRPr="00326262">
        <w:t xml:space="preserve">hazardous </w:t>
      </w:r>
      <w:r w:rsidR="00500572" w:rsidRPr="00B219C0">
        <w:rPr>
          <w:i/>
        </w:rPr>
        <w:t>and</w:t>
      </w:r>
      <w:r w:rsidR="00500572">
        <w:t xml:space="preserve"> controlled </w:t>
      </w:r>
      <w:r w:rsidR="00DA33E8" w:rsidRPr="00326262">
        <w:t>waste</w:t>
      </w:r>
      <w:r w:rsidR="00500572">
        <w:rPr>
          <w:rStyle w:val="FootnoteReference"/>
        </w:rPr>
        <w:footnoteReference w:id="1"/>
      </w:r>
      <w:r w:rsidR="00DA33E8" w:rsidRPr="00326262">
        <w:t xml:space="preserve"> stockpiles. </w:t>
      </w:r>
      <w:r w:rsidR="00F36FC3">
        <w:t>In this report hazardous and controlled waste are referred to simply as hazardous waste henceforth.</w:t>
      </w:r>
    </w:p>
    <w:p w14:paraId="387BEC33" w14:textId="16119195" w:rsidR="00DA33E8" w:rsidRPr="00326262" w:rsidRDefault="00DA33E8" w:rsidP="00CF08AA">
      <w:pPr>
        <w:pStyle w:val="RECnumberlist"/>
      </w:pPr>
      <w:r w:rsidRPr="00326262">
        <w:t xml:space="preserve">Based on the above, develop a </w:t>
      </w:r>
      <w:r w:rsidRPr="00326262">
        <w:rPr>
          <w:b/>
        </w:rPr>
        <w:t>definition</w:t>
      </w:r>
      <w:r w:rsidRPr="00326262">
        <w:t xml:space="preserve"> for ‘hazardous</w:t>
      </w:r>
      <w:r w:rsidR="00500572">
        <w:t xml:space="preserve"> </w:t>
      </w:r>
      <w:r w:rsidRPr="00326262">
        <w:t>waste stockpiles’.</w:t>
      </w:r>
    </w:p>
    <w:p w14:paraId="05213AF8" w14:textId="76ED8F73" w:rsidR="00DA33E8" w:rsidRPr="00326262" w:rsidRDefault="00DA33E8" w:rsidP="00CF08AA">
      <w:pPr>
        <w:pStyle w:val="RECnumberlist"/>
      </w:pPr>
      <w:r w:rsidRPr="00326262">
        <w:t xml:space="preserve">Develop a </w:t>
      </w:r>
      <w:r w:rsidRPr="00326262">
        <w:rPr>
          <w:b/>
        </w:rPr>
        <w:t>baseline dataset</w:t>
      </w:r>
      <w:r w:rsidRPr="00326262">
        <w:t xml:space="preserve"> for hazardous waste stockpiles in Australia</w:t>
      </w:r>
      <w:r w:rsidR="00326262">
        <w:t>.</w:t>
      </w:r>
      <w:r w:rsidRPr="00326262">
        <w:t xml:space="preserve"> The </w:t>
      </w:r>
      <w:r w:rsidR="00326262">
        <w:t xml:space="preserve">dataset </w:t>
      </w:r>
      <w:r w:rsidRPr="00326262">
        <w:t>focuses on the known major hazardous waste stockpiles in Australia and describes the amount</w:t>
      </w:r>
      <w:r w:rsidR="00326262">
        <w:t xml:space="preserve">, age, </w:t>
      </w:r>
      <w:r w:rsidRPr="00326262">
        <w:t>composition</w:t>
      </w:r>
      <w:r w:rsidR="00326262">
        <w:t>, reasons for stockpiling and generating industries</w:t>
      </w:r>
      <w:r w:rsidRPr="00326262">
        <w:t xml:space="preserve">. </w:t>
      </w:r>
    </w:p>
    <w:p w14:paraId="03495110" w14:textId="3652CBA2" w:rsidR="00DA33E8" w:rsidRDefault="00DA33E8" w:rsidP="00DA33E8">
      <w:pPr>
        <w:pStyle w:val="RECnormaltext"/>
        <w:spacing w:before="120"/>
      </w:pPr>
      <w:r>
        <w:t xml:space="preserve">DoEE requested an expansive definition of ‘hazardous waste stockpile’ be considered in this project (including </w:t>
      </w:r>
      <w:r w:rsidRPr="003527EB">
        <w:t>solids, sludges</w:t>
      </w:r>
      <w:r>
        <w:t>,</w:t>
      </w:r>
      <w:r w:rsidRPr="003527EB">
        <w:t xml:space="preserve"> and liquid</w:t>
      </w:r>
      <w:r>
        <w:t xml:space="preserve">s). For </w:t>
      </w:r>
      <w:r w:rsidRPr="003527EB">
        <w:t>example</w:t>
      </w:r>
      <w:r>
        <w:t xml:space="preserve">, the following stockpiles were included in project scope: contaminated biosolids, end-of-life tyres (EOLTs), the HCB stockpile, ‘stranded’ wastes connected to company failures, site closures or acquisitions. The project scope also </w:t>
      </w:r>
      <w:r w:rsidRPr="003706A1">
        <w:t>considers and discusses contaminated</w:t>
      </w:r>
      <w:r>
        <w:t xml:space="preserve"> soil wastes and contaminated sites; </w:t>
      </w:r>
      <w:r w:rsidRPr="00DD0218">
        <w:t>however</w:t>
      </w:r>
      <w:r>
        <w:t>, it was recognised that it is not possible to provide quantitative analysis of t</w:t>
      </w:r>
      <w:r w:rsidR="00326262">
        <w:t xml:space="preserve">he total </w:t>
      </w:r>
      <w:r>
        <w:t xml:space="preserve">‘stockpile’ </w:t>
      </w:r>
      <w:r w:rsidR="00326262">
        <w:t>of the waste type</w:t>
      </w:r>
      <w:r>
        <w:t xml:space="preserve">. </w:t>
      </w:r>
      <w:r w:rsidR="003706A1">
        <w:t>M</w:t>
      </w:r>
      <w:r>
        <w:t xml:space="preserve">ining and mineral processing wastes are </w:t>
      </w:r>
      <w:r w:rsidR="003706A1">
        <w:t xml:space="preserve">within the project scope but </w:t>
      </w:r>
      <w:r>
        <w:t>are not the focus of the study.</w:t>
      </w:r>
    </w:p>
    <w:p w14:paraId="2EB78265" w14:textId="77777777" w:rsidR="00DA33E8" w:rsidRDefault="00DA33E8" w:rsidP="00DA33E8">
      <w:pPr>
        <w:pStyle w:val="RECnormaltext"/>
        <w:spacing w:before="120"/>
      </w:pPr>
      <w:r>
        <w:rPr>
          <w:noProof/>
          <w:lang w:eastAsia="en-AU"/>
        </w:rPr>
        <mc:AlternateContent>
          <mc:Choice Requires="wps">
            <w:drawing>
              <wp:anchor distT="0" distB="0" distL="114300" distR="114300" simplePos="0" relativeHeight="251670528" behindDoc="0" locked="0" layoutInCell="1" allowOverlap="1" wp14:anchorId="33EC36A1" wp14:editId="10C229FD">
                <wp:simplePos x="0" y="0"/>
                <wp:positionH relativeFrom="column">
                  <wp:posOffset>-39757</wp:posOffset>
                </wp:positionH>
                <wp:positionV relativeFrom="paragraph">
                  <wp:posOffset>17863</wp:posOffset>
                </wp:positionV>
                <wp:extent cx="5645426" cy="1296062"/>
                <wp:effectExtent l="57150" t="38100" r="50800" b="75565"/>
                <wp:wrapNone/>
                <wp:docPr id="5" name="Rectangle: Rounded Corners 5"/>
                <wp:cNvGraphicFramePr/>
                <a:graphic xmlns:a="http://schemas.openxmlformats.org/drawingml/2006/main">
                  <a:graphicData uri="http://schemas.microsoft.com/office/word/2010/wordprocessingShape">
                    <wps:wsp>
                      <wps:cNvSpPr/>
                      <wps:spPr>
                        <a:xfrm>
                          <a:off x="0" y="0"/>
                          <a:ext cx="5645426" cy="1296062"/>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3BC95481" w14:textId="05E90C61" w:rsidR="00067AC0" w:rsidRDefault="00067AC0" w:rsidP="00DA33E8">
                            <w:pPr>
                              <w:spacing w:after="120"/>
                              <w:jc w:val="center"/>
                              <w:rPr>
                                <w:b/>
                                <w:color w:val="FFFFFF" w:themeColor="background1"/>
                              </w:rPr>
                            </w:pPr>
                            <w:r w:rsidRPr="00267977">
                              <w:rPr>
                                <w:b/>
                                <w:color w:val="FFFFFF" w:themeColor="background1"/>
                              </w:rPr>
                              <w:t xml:space="preserve">Hazardous waste </w:t>
                            </w:r>
                            <w:r w:rsidRPr="00267977">
                              <w:rPr>
                                <w:b/>
                                <w:i/>
                                <w:color w:val="FFFFFF" w:themeColor="background1"/>
                              </w:rPr>
                              <w:t>stockpile</w:t>
                            </w:r>
                            <w:r w:rsidRPr="00267977">
                              <w:rPr>
                                <w:b/>
                                <w:color w:val="FFFFFF" w:themeColor="background1"/>
                              </w:rPr>
                              <w:t xml:space="preserve"> or </w:t>
                            </w:r>
                            <w:r w:rsidRPr="00A42826">
                              <w:rPr>
                                <w:b/>
                                <w:i/>
                                <w:color w:val="FFFFFF" w:themeColor="background1"/>
                              </w:rPr>
                              <w:t xml:space="preserve">approved </w:t>
                            </w:r>
                            <w:r>
                              <w:rPr>
                                <w:b/>
                                <w:i/>
                                <w:color w:val="FFFFFF" w:themeColor="background1"/>
                              </w:rPr>
                              <w:t xml:space="preserve">long-term on-site </w:t>
                            </w:r>
                            <w:r w:rsidRPr="00267977">
                              <w:rPr>
                                <w:b/>
                                <w:i/>
                                <w:color w:val="FFFFFF" w:themeColor="background1"/>
                              </w:rPr>
                              <w:t>storage</w:t>
                            </w:r>
                            <w:r w:rsidRPr="00267977">
                              <w:rPr>
                                <w:b/>
                                <w:color w:val="FFFFFF" w:themeColor="background1"/>
                              </w:rPr>
                              <w:t>?</w:t>
                            </w:r>
                          </w:p>
                          <w:p w14:paraId="35BB9C73" w14:textId="18AACE43" w:rsidR="00067AC0" w:rsidRPr="00267977" w:rsidRDefault="00067AC0" w:rsidP="00DA33E8">
                            <w:pPr>
                              <w:rPr>
                                <w:b/>
                                <w:color w:val="FFFFFF" w:themeColor="background1"/>
                              </w:rPr>
                            </w:pPr>
                            <w:r>
                              <w:rPr>
                                <w:color w:val="FFFFFF" w:themeColor="background1"/>
                              </w:rPr>
                              <w:t xml:space="preserve">One of the key findings of the project is that there needs to be a clear distinction between a </w:t>
                            </w:r>
                            <w:r w:rsidRPr="00267977">
                              <w:rPr>
                                <w:i/>
                                <w:color w:val="FFFFFF" w:themeColor="background1"/>
                              </w:rPr>
                              <w:t>stockpile</w:t>
                            </w:r>
                            <w:r>
                              <w:rPr>
                                <w:color w:val="FFFFFF" w:themeColor="background1"/>
                              </w:rPr>
                              <w:t xml:space="preserve"> and an </w:t>
                            </w:r>
                            <w:r w:rsidRPr="00267977">
                              <w:rPr>
                                <w:i/>
                                <w:color w:val="FFFFFF" w:themeColor="background1"/>
                              </w:rPr>
                              <w:t xml:space="preserve">approved </w:t>
                            </w:r>
                            <w:r>
                              <w:rPr>
                                <w:i/>
                                <w:color w:val="FFFFFF" w:themeColor="background1"/>
                              </w:rPr>
                              <w:t xml:space="preserve">long-term on-site </w:t>
                            </w:r>
                            <w:r w:rsidRPr="00267977">
                              <w:rPr>
                                <w:i/>
                                <w:color w:val="FFFFFF" w:themeColor="background1"/>
                              </w:rPr>
                              <w:t>storage</w:t>
                            </w:r>
                            <w:r>
                              <w:rPr>
                                <w:i/>
                                <w:color w:val="FFFFFF" w:themeColor="background1"/>
                              </w:rPr>
                              <w:t>.</w:t>
                            </w:r>
                            <w:r>
                              <w:rPr>
                                <w:color w:val="FFFFFF" w:themeColor="background1"/>
                              </w:rPr>
                              <w:t xml:space="preserve"> Definitions for both are provided in Section </w:t>
                            </w:r>
                            <w:r>
                              <w:rPr>
                                <w:color w:val="FFFFFF" w:themeColor="background1"/>
                              </w:rPr>
                              <w:fldChar w:fldCharType="begin"/>
                            </w:r>
                            <w:r>
                              <w:rPr>
                                <w:color w:val="FFFFFF" w:themeColor="background1"/>
                              </w:rPr>
                              <w:instrText xml:space="preserve"> REF _Ref486587938 \r \h </w:instrText>
                            </w:r>
                            <w:r>
                              <w:rPr>
                                <w:color w:val="FFFFFF" w:themeColor="background1"/>
                              </w:rPr>
                            </w:r>
                            <w:r>
                              <w:rPr>
                                <w:color w:val="FFFFFF" w:themeColor="background1"/>
                              </w:rPr>
                              <w:fldChar w:fldCharType="separate"/>
                            </w:r>
                            <w:r w:rsidR="00F54E66">
                              <w:rPr>
                                <w:color w:val="FFFFFF" w:themeColor="background1"/>
                              </w:rPr>
                              <w:t>2</w:t>
                            </w:r>
                            <w:r>
                              <w:rPr>
                                <w:color w:val="FFFFFF" w:themeColor="background1"/>
                              </w:rPr>
                              <w:fldChar w:fldCharType="end"/>
                            </w:r>
                            <w:r>
                              <w:rPr>
                                <w:color w:val="FFFFFF" w:themeColor="background1"/>
                              </w:rPr>
                              <w:t xml:space="preserve"> and the analysis supporting the definitions is provided in Section 14.  Stockpiles are the focus of this report. For completeness, long-term on-site storages are also discussed. </w:t>
                            </w:r>
                          </w:p>
                          <w:p w14:paraId="796DBB78" w14:textId="77777777" w:rsidR="00067AC0" w:rsidRPr="00267977" w:rsidRDefault="00067AC0" w:rsidP="00DA33E8">
                            <w:pP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3EC36A1" id="Rectangle: Rounded Corners 5" o:spid="_x0000_s1026" style="position:absolute;margin-left:-3.15pt;margin-top:1.4pt;width:444.5pt;height:102.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powIAALIFAAAOAAAAZHJzL2Uyb0RvYy54bWysVFtv0zAUfkfiP1h+Z2mitrBo6VR1GkIa&#10;27QN7dl17DbC8TG226T8eo7tNLsAmoToQ+pzP+c7l7PzvlVkL6xrQFc0P5lQIjSHutGbin57uPzw&#10;iRLnma6ZAi0qehCOni/evzvrTCkK2IKqhSXoRLuyMxXdem/KLHN8K1rmTsAIjUIJtmUeSbvJass6&#10;9N6qrJhM5lkHtjYWuHAOuRdJSBfRv5SC+xspnfBEVRRz8/Fr43cdvtnijJUby8y24UMa7B+yaFmj&#10;Mejo6oJ5Rna2+c1V23ALDqQ/4dBmIGXDRawBq8knr6q53zIjYi0IjjMjTO7/ueXX+1tLmrqiM0o0&#10;a7FFdwga0xslSnIHO12LmqzAauwxmQW8OuNKNLs3t3agHD5D8b20bfjHskgfMT6MGIveE47M2Xw6&#10;mxZzSjjK8uJ0PpkXwWv2ZG6s858FtCQ8KmpDEiGpCDDbXzmf9I96IaQD1dSXjVKRCNMjVsqSPcO+&#10;+z6PpmrXfoU68WYT/KXuIxtn5BUb04kzGLzE5F4EUDqE0RACplwCJwvIJCziyx+UCHpK3wmJGGP1&#10;KZHRcwpaf88HBKJmMJHoeDQqYvZ/NRp0g5mIEz8avhFt1I4RQfvRsG002DeiJv1j1anWULbv1/0w&#10;F2uoDzhdFtLaOcMvG2zpFXP+llncM9xIvB3+Bj9SQVdRGF6UbMH+/BM/6OP4o5SSDve2ou7HjllB&#10;ifqicTFO8+k0LHokprOPBRL2uWT9XKJ37QpwRHK8UobHZ9D36viUFtpHPDHLEBVFTHOMXVHu7ZFY&#10;+XRP8EhxsVxGNVxuw/yVvjf82PQwrQ/9I7NmmGuPK3ENxx1n5avJTrqhNRqWOw+yiWMfIE64DtDj&#10;YYgDOhyxcHme01Hr6dQufgEAAP//AwBQSwMEFAAGAAgAAAAhAFRq1JTgAAAACAEAAA8AAABkcnMv&#10;ZG93bnJldi54bWxMj09Lw0AUxO+C32F5grd20wgxxmyKrRFUhGL/HLxts88kmH0bsts0fnufJz0O&#10;M8z8Jl9OthMjDr51pGAxj0AgVc60VCvY755mKQgfNBndOUIF3+hhWVxe5Doz7kzvOG5DLbiEfKYV&#10;NCH0mZS+atBqP3c9EnufbrA6sBxqaQZ95nLbyTiKEml1S7zQ6B7XDVZf25NV8OxfV7tysXYfj2O/&#10;eTm8lZuVLpW6vpoe7kEEnMJfGH7xGR0KZjq6ExkvOgWz5IaTCmI+wHaaxrcgjqyj5A5kkcv/B4of&#10;AAAA//8DAFBLAQItABQABgAIAAAAIQC2gziS/gAAAOEBAAATAAAAAAAAAAAAAAAAAAAAAABbQ29u&#10;dGVudF9UeXBlc10ueG1sUEsBAi0AFAAGAAgAAAAhADj9If/WAAAAlAEAAAsAAAAAAAAAAAAAAAAA&#10;LwEAAF9yZWxzLy5yZWxzUEsBAi0AFAAGAAgAAAAhAHT+YamjAgAAsgUAAA4AAAAAAAAAAAAAAAAA&#10;LgIAAGRycy9lMm9Eb2MueG1sUEsBAi0AFAAGAAgAAAAhAFRq1JTgAAAACAEAAA8AAAAAAAAAAAAA&#10;AAAA/QQAAGRycy9kb3ducmV2LnhtbFBLBQYAAAAABAAEAPMAAAAKBgAAAAA=&#10;" fillcolor="gray [1629]" stroked="f">
                <v:shadow on="t" color="black" opacity="24903f" origin=",.5" offset="0,.55556mm"/>
                <v:textbox>
                  <w:txbxContent>
                    <w:p w14:paraId="3BC95481" w14:textId="05E90C61" w:rsidR="00067AC0" w:rsidRDefault="00067AC0" w:rsidP="00DA33E8">
                      <w:pPr>
                        <w:spacing w:after="120"/>
                        <w:jc w:val="center"/>
                        <w:rPr>
                          <w:b/>
                          <w:color w:val="FFFFFF" w:themeColor="background1"/>
                        </w:rPr>
                      </w:pPr>
                      <w:r w:rsidRPr="00267977">
                        <w:rPr>
                          <w:b/>
                          <w:color w:val="FFFFFF" w:themeColor="background1"/>
                        </w:rPr>
                        <w:t xml:space="preserve">Hazardous waste </w:t>
                      </w:r>
                      <w:r w:rsidRPr="00267977">
                        <w:rPr>
                          <w:b/>
                          <w:i/>
                          <w:color w:val="FFFFFF" w:themeColor="background1"/>
                        </w:rPr>
                        <w:t>stockpile</w:t>
                      </w:r>
                      <w:r w:rsidRPr="00267977">
                        <w:rPr>
                          <w:b/>
                          <w:color w:val="FFFFFF" w:themeColor="background1"/>
                        </w:rPr>
                        <w:t xml:space="preserve"> or </w:t>
                      </w:r>
                      <w:r w:rsidRPr="00A42826">
                        <w:rPr>
                          <w:b/>
                          <w:i/>
                          <w:color w:val="FFFFFF" w:themeColor="background1"/>
                        </w:rPr>
                        <w:t xml:space="preserve">approved </w:t>
                      </w:r>
                      <w:r>
                        <w:rPr>
                          <w:b/>
                          <w:i/>
                          <w:color w:val="FFFFFF" w:themeColor="background1"/>
                        </w:rPr>
                        <w:t xml:space="preserve">long-term on-site </w:t>
                      </w:r>
                      <w:r w:rsidRPr="00267977">
                        <w:rPr>
                          <w:b/>
                          <w:i/>
                          <w:color w:val="FFFFFF" w:themeColor="background1"/>
                        </w:rPr>
                        <w:t>storage</w:t>
                      </w:r>
                      <w:r w:rsidRPr="00267977">
                        <w:rPr>
                          <w:b/>
                          <w:color w:val="FFFFFF" w:themeColor="background1"/>
                        </w:rPr>
                        <w:t>?</w:t>
                      </w:r>
                    </w:p>
                    <w:p w14:paraId="35BB9C73" w14:textId="18AACE43" w:rsidR="00067AC0" w:rsidRPr="00267977" w:rsidRDefault="00067AC0" w:rsidP="00DA33E8">
                      <w:pPr>
                        <w:rPr>
                          <w:b/>
                          <w:color w:val="FFFFFF" w:themeColor="background1"/>
                        </w:rPr>
                      </w:pPr>
                      <w:r>
                        <w:rPr>
                          <w:color w:val="FFFFFF" w:themeColor="background1"/>
                        </w:rPr>
                        <w:t xml:space="preserve">One of the key findings of the project is that there needs to be a clear distinction between a </w:t>
                      </w:r>
                      <w:r w:rsidRPr="00267977">
                        <w:rPr>
                          <w:i/>
                          <w:color w:val="FFFFFF" w:themeColor="background1"/>
                        </w:rPr>
                        <w:t>stockpile</w:t>
                      </w:r>
                      <w:r>
                        <w:rPr>
                          <w:color w:val="FFFFFF" w:themeColor="background1"/>
                        </w:rPr>
                        <w:t xml:space="preserve"> and an </w:t>
                      </w:r>
                      <w:r w:rsidRPr="00267977">
                        <w:rPr>
                          <w:i/>
                          <w:color w:val="FFFFFF" w:themeColor="background1"/>
                        </w:rPr>
                        <w:t xml:space="preserve">approved </w:t>
                      </w:r>
                      <w:r>
                        <w:rPr>
                          <w:i/>
                          <w:color w:val="FFFFFF" w:themeColor="background1"/>
                        </w:rPr>
                        <w:t xml:space="preserve">long-term on-site </w:t>
                      </w:r>
                      <w:r w:rsidRPr="00267977">
                        <w:rPr>
                          <w:i/>
                          <w:color w:val="FFFFFF" w:themeColor="background1"/>
                        </w:rPr>
                        <w:t>storage</w:t>
                      </w:r>
                      <w:r>
                        <w:rPr>
                          <w:i/>
                          <w:color w:val="FFFFFF" w:themeColor="background1"/>
                        </w:rPr>
                        <w:t>.</w:t>
                      </w:r>
                      <w:r>
                        <w:rPr>
                          <w:color w:val="FFFFFF" w:themeColor="background1"/>
                        </w:rPr>
                        <w:t xml:space="preserve"> Definitions for both are provided in Section </w:t>
                      </w:r>
                      <w:r>
                        <w:rPr>
                          <w:color w:val="FFFFFF" w:themeColor="background1"/>
                        </w:rPr>
                        <w:fldChar w:fldCharType="begin"/>
                      </w:r>
                      <w:r>
                        <w:rPr>
                          <w:color w:val="FFFFFF" w:themeColor="background1"/>
                        </w:rPr>
                        <w:instrText xml:space="preserve"> REF _Ref486587938 \r \h </w:instrText>
                      </w:r>
                      <w:r>
                        <w:rPr>
                          <w:color w:val="FFFFFF" w:themeColor="background1"/>
                        </w:rPr>
                      </w:r>
                      <w:r>
                        <w:rPr>
                          <w:color w:val="FFFFFF" w:themeColor="background1"/>
                        </w:rPr>
                        <w:fldChar w:fldCharType="separate"/>
                      </w:r>
                      <w:r w:rsidR="00F54E66">
                        <w:rPr>
                          <w:color w:val="FFFFFF" w:themeColor="background1"/>
                        </w:rPr>
                        <w:t>2</w:t>
                      </w:r>
                      <w:r>
                        <w:rPr>
                          <w:color w:val="FFFFFF" w:themeColor="background1"/>
                        </w:rPr>
                        <w:fldChar w:fldCharType="end"/>
                      </w:r>
                      <w:r>
                        <w:rPr>
                          <w:color w:val="FFFFFF" w:themeColor="background1"/>
                        </w:rPr>
                        <w:t xml:space="preserve"> and the analysis supporting the definitions is provided in Section 14.  Stockpiles are the focus of this report. For completeness, long-term on-site storages are also discussed. </w:t>
                      </w:r>
                    </w:p>
                    <w:p w14:paraId="796DBB78" w14:textId="77777777" w:rsidR="00067AC0" w:rsidRPr="00267977" w:rsidRDefault="00067AC0" w:rsidP="00DA33E8">
                      <w:pPr>
                        <w:rPr>
                          <w:b/>
                          <w:color w:val="FFFFFF" w:themeColor="background1"/>
                        </w:rPr>
                      </w:pPr>
                    </w:p>
                  </w:txbxContent>
                </v:textbox>
              </v:roundrect>
            </w:pict>
          </mc:Fallback>
        </mc:AlternateContent>
      </w:r>
    </w:p>
    <w:p w14:paraId="51121D48" w14:textId="77777777" w:rsidR="00DA33E8" w:rsidRDefault="00DA33E8" w:rsidP="00DA33E8">
      <w:pPr>
        <w:pStyle w:val="RECnormaltext"/>
        <w:spacing w:before="120"/>
      </w:pPr>
    </w:p>
    <w:p w14:paraId="3EFA33AA" w14:textId="77777777" w:rsidR="00DA33E8" w:rsidRDefault="00DA33E8" w:rsidP="00DA33E8">
      <w:pPr>
        <w:pStyle w:val="RECnormaltext"/>
        <w:spacing w:before="120"/>
      </w:pPr>
    </w:p>
    <w:p w14:paraId="1F9CD8CD" w14:textId="77777777" w:rsidR="00DA33E8" w:rsidRDefault="00DA33E8" w:rsidP="00DA33E8">
      <w:pPr>
        <w:pStyle w:val="RECnormaltext"/>
        <w:spacing w:before="120"/>
      </w:pPr>
    </w:p>
    <w:p w14:paraId="5F35F45B" w14:textId="77777777" w:rsidR="00DA33E8" w:rsidRDefault="00DA33E8" w:rsidP="00DA33E8">
      <w:pPr>
        <w:pStyle w:val="RECnormaltext"/>
        <w:spacing w:before="120"/>
      </w:pPr>
    </w:p>
    <w:p w14:paraId="377111C8" w14:textId="77777777" w:rsidR="00A42826" w:rsidRDefault="00A42826" w:rsidP="00DD09DA">
      <w:pPr>
        <w:pStyle w:val="NonTOCHeading2"/>
        <w:spacing w:after="240"/>
        <w:ind w:left="567" w:hanging="567"/>
      </w:pPr>
    </w:p>
    <w:p w14:paraId="6B2D19D0" w14:textId="15B40D5B" w:rsidR="005531AA" w:rsidRDefault="00CF08AA" w:rsidP="00DD09DA">
      <w:pPr>
        <w:pStyle w:val="NonTOCHeading2"/>
        <w:spacing w:after="240"/>
        <w:ind w:left="567" w:hanging="567"/>
      </w:pPr>
      <w:r>
        <w:t xml:space="preserve">E1 </w:t>
      </w:r>
      <w:r>
        <w:tab/>
      </w:r>
      <w:r w:rsidR="00D85BB9">
        <w:t>P</w:t>
      </w:r>
      <w:r w:rsidR="00D85BB9">
        <w:rPr>
          <w:rFonts w:eastAsia="Calibri"/>
        </w:rPr>
        <w:t>olicy analysis: s</w:t>
      </w:r>
      <w:r w:rsidR="005531AA">
        <w:t>tockpile prevention, management and clearance</w:t>
      </w:r>
    </w:p>
    <w:p w14:paraId="1FB22555" w14:textId="4306FB7E" w:rsidR="005531AA" w:rsidRDefault="005531AA" w:rsidP="005531AA">
      <w:pPr>
        <w:pStyle w:val="RECnormaltext"/>
      </w:pPr>
      <w:r w:rsidRPr="000928BA">
        <w:t xml:space="preserve">Analysing the policy frameworks in Australia, the US and EU for stockpile prevention, management and clearance resulted in identifying a set of ‘key elements’ which allowed for a targeted literature review and collation of comparable information across jurisdictions. This collation enabled the identification of issues, innovations and opportunities for improvement in how Australia prevents, manages and clears </w:t>
      </w:r>
      <w:r w:rsidR="00E70169" w:rsidRPr="000928BA">
        <w:t>hazardous waste</w:t>
      </w:r>
      <w:r w:rsidRPr="000928BA">
        <w:t xml:space="preserve"> stockpiles</w:t>
      </w:r>
      <w:r>
        <w:t xml:space="preserve">. Table E1 below </w:t>
      </w:r>
      <w:r w:rsidRPr="000928BA">
        <w:t>provide</w:t>
      </w:r>
      <w:r>
        <w:t>s</w:t>
      </w:r>
      <w:r w:rsidRPr="000928BA">
        <w:t xml:space="preserve"> a summary.</w:t>
      </w:r>
    </w:p>
    <w:p w14:paraId="3B92F507" w14:textId="54FA7D87" w:rsidR="005531AA" w:rsidRDefault="005531AA" w:rsidP="005531AA">
      <w:pPr>
        <w:pStyle w:val="RECnormaltext"/>
      </w:pPr>
    </w:p>
    <w:p w14:paraId="104EE9AD" w14:textId="0A96264C" w:rsidR="005531AA" w:rsidRPr="00CF379A" w:rsidRDefault="005531AA" w:rsidP="005531AA">
      <w:pPr>
        <w:pStyle w:val="Caption"/>
      </w:pPr>
      <w:r>
        <w:t xml:space="preserve">Table E1 Summary of policy key elements and implementation </w:t>
      </w:r>
    </w:p>
    <w:tbl>
      <w:tblPr>
        <w:tblStyle w:val="ListTable3-Accent3"/>
        <w:tblW w:w="5207" w:type="pct"/>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tblBorders>
        <w:tblLook w:val="04A0" w:firstRow="1" w:lastRow="0" w:firstColumn="1" w:lastColumn="0" w:noHBand="0" w:noVBand="1"/>
      </w:tblPr>
      <w:tblGrid>
        <w:gridCol w:w="2647"/>
        <w:gridCol w:w="6753"/>
      </w:tblGrid>
      <w:tr w:rsidR="005531AA" w:rsidRPr="00FE147B" w14:paraId="37DE80E3" w14:textId="77777777" w:rsidTr="00DC61B4">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100" w:firstRow="0" w:lastRow="0" w:firstColumn="1" w:lastColumn="0" w:oddVBand="0" w:evenVBand="0" w:oddHBand="0" w:evenHBand="0" w:firstRowFirstColumn="1" w:firstRowLastColumn="0" w:lastRowFirstColumn="0" w:lastRowLastColumn="0"/>
            <w:tcW w:w="1058" w:type="pct"/>
            <w:tcBorders>
              <w:top w:val="nil"/>
            </w:tcBorders>
            <w:shd w:val="clear" w:color="auto" w:fill="7F7F7F" w:themeFill="text1" w:themeFillTint="80"/>
          </w:tcPr>
          <w:p w14:paraId="3E674360" w14:textId="77777777" w:rsidR="005531AA" w:rsidRPr="00FE147B" w:rsidRDefault="005531AA" w:rsidP="00DC61B4">
            <w:pPr>
              <w:spacing w:after="120"/>
              <w:rPr>
                <w:rFonts w:asciiTheme="minorHAnsi" w:hAnsiTheme="minorHAnsi" w:cstheme="minorHAnsi"/>
                <w:color w:val="FFFFFF" w:themeColor="background1"/>
                <w:sz w:val="20"/>
                <w:szCs w:val="20"/>
              </w:rPr>
            </w:pPr>
            <w:r w:rsidRPr="00FE147B">
              <w:rPr>
                <w:rFonts w:asciiTheme="minorHAnsi" w:hAnsiTheme="minorHAnsi" w:cstheme="minorHAnsi"/>
                <w:color w:val="FFFFFF" w:themeColor="background1"/>
                <w:sz w:val="20"/>
                <w:szCs w:val="20"/>
              </w:rPr>
              <w:t>Key element</w:t>
            </w:r>
          </w:p>
        </w:tc>
        <w:tc>
          <w:tcPr>
            <w:tcW w:w="3942" w:type="pct"/>
            <w:tcBorders>
              <w:top w:val="nil"/>
              <w:bottom w:val="single" w:sz="4" w:space="0" w:color="FFFFFF" w:themeColor="background1"/>
            </w:tcBorders>
            <w:shd w:val="clear" w:color="auto" w:fill="7F7F7F" w:themeFill="text1" w:themeFillTint="80"/>
          </w:tcPr>
          <w:p w14:paraId="1A909630" w14:textId="77777777" w:rsidR="005531AA" w:rsidRPr="00FE147B" w:rsidRDefault="005531AA" w:rsidP="00DC61B4">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FE147B">
              <w:rPr>
                <w:rFonts w:asciiTheme="minorHAnsi" w:hAnsiTheme="minorHAnsi" w:cstheme="minorHAnsi"/>
                <w:color w:val="FFFFFF" w:themeColor="background1"/>
                <w:sz w:val="20"/>
                <w:szCs w:val="20"/>
              </w:rPr>
              <w:t>Discussion</w:t>
            </w:r>
            <w:r>
              <w:rPr>
                <w:rFonts w:asciiTheme="minorHAnsi" w:hAnsiTheme="minorHAnsi" w:cstheme="minorHAnsi"/>
                <w:color w:val="FFFFFF" w:themeColor="background1"/>
                <w:sz w:val="20"/>
                <w:szCs w:val="20"/>
              </w:rPr>
              <w:t>/findings</w:t>
            </w:r>
          </w:p>
        </w:tc>
      </w:tr>
      <w:tr w:rsidR="005531AA" w:rsidRPr="00FE147B" w14:paraId="54429934"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E0348F2" w14:textId="77777777" w:rsidR="005531AA" w:rsidRPr="00FE147B" w:rsidRDefault="005531AA" w:rsidP="00DC61B4">
            <w:pPr>
              <w:pStyle w:val="ListParagraph"/>
              <w:numPr>
                <w:ilvl w:val="0"/>
                <w:numId w:val="83"/>
              </w:numPr>
              <w:ind w:left="322" w:hanging="284"/>
              <w:rPr>
                <w:rFonts w:cstheme="minorHAnsi"/>
                <w:sz w:val="20"/>
                <w:szCs w:val="20"/>
              </w:rPr>
            </w:pPr>
            <w:r w:rsidRPr="00FE147B">
              <w:rPr>
                <w:rFonts w:cstheme="minorHAnsi"/>
                <w:sz w:val="20"/>
                <w:szCs w:val="20"/>
              </w:rPr>
              <w:t>Generator hazardous waste minimisation reporting required</w:t>
            </w:r>
          </w:p>
        </w:tc>
        <w:tc>
          <w:tcPr>
            <w:tcW w:w="3942" w:type="pct"/>
            <w:tcBorders>
              <w:left w:val="single" w:sz="4" w:space="0" w:color="7F7F7F" w:themeColor="text1" w:themeTint="80"/>
            </w:tcBorders>
          </w:tcPr>
          <w:p w14:paraId="0F126CDE" w14:textId="77777777" w:rsidR="005531AA"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Hazardous waste minimisation plans are not required in Australia. However, the waste hierarchy is legislated in all jurisdictions, which prioritises waste minimisation. Note: US EPA have set up a sliding scale of requirements for waste minimisation, </w:t>
            </w:r>
            <w:r w:rsidRPr="00FE147B">
              <w:rPr>
                <w:rFonts w:asciiTheme="minorHAnsi" w:hAnsiTheme="minorHAnsi" w:cstheme="minorHAnsi"/>
                <w:sz w:val="20"/>
                <w:szCs w:val="20"/>
                <w:u w:val="single"/>
              </w:rPr>
              <w:t>and all other elements discussed below</w:t>
            </w:r>
            <w:r w:rsidRPr="00FE147B">
              <w:rPr>
                <w:rFonts w:asciiTheme="minorHAnsi" w:hAnsiTheme="minorHAnsi" w:cstheme="minorHAnsi"/>
                <w:sz w:val="20"/>
                <w:szCs w:val="20"/>
              </w:rPr>
              <w:t xml:space="preserve">, based on the amount </w:t>
            </w:r>
            <w:r w:rsidRPr="00FE147B">
              <w:rPr>
                <w:rFonts w:asciiTheme="minorHAnsi" w:hAnsiTheme="minorHAnsi" w:cstheme="minorHAnsi"/>
                <w:b/>
                <w:sz w:val="20"/>
                <w:szCs w:val="20"/>
              </w:rPr>
              <w:t xml:space="preserve">and </w:t>
            </w:r>
            <w:r w:rsidRPr="00FE147B">
              <w:rPr>
                <w:rFonts w:asciiTheme="minorHAnsi" w:hAnsiTheme="minorHAnsi" w:cstheme="minorHAnsi"/>
                <w:sz w:val="20"/>
                <w:szCs w:val="20"/>
              </w:rPr>
              <w:t>toxicity of the waste being stockpiled.</w:t>
            </w:r>
          </w:p>
          <w:p w14:paraId="50E74B5A" w14:textId="77777777" w:rsidR="005531AA" w:rsidRPr="00FE147B"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531AA" w:rsidRPr="00FE147B" w14:paraId="4743BBA1"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19FC541B" w14:textId="77777777" w:rsidR="005531AA" w:rsidRPr="00FE147B" w:rsidRDefault="005531AA" w:rsidP="00DC61B4">
            <w:pPr>
              <w:pStyle w:val="ListParagraph"/>
              <w:numPr>
                <w:ilvl w:val="0"/>
                <w:numId w:val="83"/>
              </w:numPr>
              <w:ind w:left="284"/>
              <w:rPr>
                <w:rFonts w:cstheme="minorHAnsi"/>
                <w:sz w:val="20"/>
                <w:szCs w:val="20"/>
              </w:rPr>
            </w:pPr>
            <w:r w:rsidRPr="00FE147B">
              <w:rPr>
                <w:rFonts w:cstheme="minorHAnsi"/>
                <w:sz w:val="20"/>
                <w:szCs w:val="20"/>
              </w:rPr>
              <w:t>Licence/permit required to stockpile hazardous waste</w:t>
            </w:r>
          </w:p>
        </w:tc>
        <w:tc>
          <w:tcPr>
            <w:tcW w:w="3942" w:type="pct"/>
            <w:tcBorders>
              <w:left w:val="single" w:sz="4" w:space="0" w:color="7F7F7F" w:themeColor="text1" w:themeTint="80"/>
            </w:tcBorders>
          </w:tcPr>
          <w:p w14:paraId="00335F16" w14:textId="36BB66BE" w:rsidR="005531AA"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In all Australian jurisdictions and in many developed countries</w:t>
            </w:r>
            <w:r w:rsidR="008157A2">
              <w:rPr>
                <w:rFonts w:asciiTheme="minorHAnsi" w:hAnsiTheme="minorHAnsi" w:cstheme="minorHAnsi"/>
                <w:sz w:val="20"/>
                <w:szCs w:val="20"/>
              </w:rPr>
              <w:t>,</w:t>
            </w:r>
            <w:r w:rsidRPr="00FE147B">
              <w:rPr>
                <w:rFonts w:asciiTheme="minorHAnsi" w:hAnsiTheme="minorHAnsi" w:cstheme="minorHAnsi"/>
                <w:sz w:val="20"/>
                <w:szCs w:val="20"/>
              </w:rPr>
              <w:t xml:space="preserve"> sites that are generating and/or stockpiling hazardous wastes (such as liquid wastes and chemically intractable solid wastes) are required to have an environmental permit or licence in place. </w:t>
            </w:r>
          </w:p>
          <w:p w14:paraId="4DD38936" w14:textId="77777777" w:rsidR="005531AA" w:rsidRPr="00FE147B"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531AA" w:rsidRPr="00FE147B" w14:paraId="17DB3CE3" w14:textId="77777777" w:rsidTr="00DC61B4">
        <w:trPr>
          <w:cnfStyle w:val="000000100000" w:firstRow="0" w:lastRow="0" w:firstColumn="0" w:lastColumn="0" w:oddVBand="0" w:evenVBand="0" w:oddHBand="1" w:evenHBand="0" w:firstRowFirstColumn="0" w:firstRowLastColumn="0" w:lastRowFirstColumn="0" w:lastRowLastColumn="0"/>
          <w:cantSplit/>
          <w:trHeight w:val="637"/>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0C81DDA4" w14:textId="77777777" w:rsidR="005531AA" w:rsidRPr="00FE147B" w:rsidRDefault="005531AA" w:rsidP="00DC61B4">
            <w:pPr>
              <w:pStyle w:val="ListParagraph"/>
              <w:numPr>
                <w:ilvl w:val="1"/>
                <w:numId w:val="83"/>
              </w:numPr>
              <w:ind w:left="567"/>
              <w:rPr>
                <w:rFonts w:cstheme="minorHAnsi"/>
                <w:sz w:val="20"/>
                <w:szCs w:val="20"/>
              </w:rPr>
            </w:pPr>
            <w:r w:rsidRPr="00FE147B">
              <w:rPr>
                <w:rFonts w:cstheme="minorHAnsi"/>
                <w:sz w:val="20"/>
                <w:szCs w:val="20"/>
              </w:rPr>
              <w:t>EOLT licence required to stockpile</w:t>
            </w:r>
          </w:p>
        </w:tc>
        <w:tc>
          <w:tcPr>
            <w:tcW w:w="3942" w:type="pct"/>
            <w:tcBorders>
              <w:left w:val="single" w:sz="4" w:space="0" w:color="7F7F7F" w:themeColor="text1" w:themeTint="80"/>
            </w:tcBorders>
          </w:tcPr>
          <w:p w14:paraId="6D20A15C" w14:textId="77777777" w:rsidR="005531AA" w:rsidRPr="00FE147B"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EOLT stockpiling is licensed in all Australian jurisdictions apart from Qld and Tas. However, the thresholds of storage that are regulated vary significantly from about 1 tonne in WA up to 40 tonnes in Vic. Both SA and NSW regulate storage of EOLT stockpiles of 5 tonnes.</w:t>
            </w:r>
          </w:p>
        </w:tc>
      </w:tr>
      <w:tr w:rsidR="005531AA" w:rsidRPr="00FE147B" w14:paraId="1D62498F" w14:textId="77777777" w:rsidTr="00DC61B4">
        <w:trPr>
          <w:trHeight w:val="802"/>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50BB8AAF" w14:textId="77777777" w:rsidR="005531AA" w:rsidRPr="00FE147B" w:rsidRDefault="005531AA" w:rsidP="00DC61B4">
            <w:pPr>
              <w:pStyle w:val="ListParagraph"/>
              <w:numPr>
                <w:ilvl w:val="1"/>
                <w:numId w:val="83"/>
              </w:numPr>
              <w:ind w:left="567"/>
              <w:rPr>
                <w:rFonts w:cstheme="minorHAnsi"/>
                <w:sz w:val="20"/>
                <w:szCs w:val="20"/>
              </w:rPr>
            </w:pPr>
            <w:r w:rsidRPr="00FE147B">
              <w:rPr>
                <w:rFonts w:cstheme="minorHAnsi"/>
                <w:sz w:val="20"/>
                <w:szCs w:val="20"/>
              </w:rPr>
              <w:t>‘Mass balance’ reporting and upfront landfill levy liability to receive wastes</w:t>
            </w:r>
          </w:p>
        </w:tc>
        <w:tc>
          <w:tcPr>
            <w:tcW w:w="3942" w:type="pct"/>
            <w:tcBorders>
              <w:left w:val="single" w:sz="4" w:space="0" w:color="7F7F7F" w:themeColor="text1" w:themeTint="80"/>
            </w:tcBorders>
          </w:tcPr>
          <w:p w14:paraId="45C43A95" w14:textId="77777777" w:rsidR="005531AA"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NSW is the only Australian jurisdiction to have implemented ‘mass balance’ reporting and upfront levy payment for waste stockpiles. SA is likely to implement a similar system in 2017. The landfill levy is payable if: the stockpile of material remains unprocessed for 12-months; is stockpiled above lawful limits; waste is transported for unlawful disposal.</w:t>
            </w:r>
          </w:p>
          <w:p w14:paraId="14084C42" w14:textId="77777777" w:rsidR="005531AA" w:rsidRPr="00FE147B"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531AA" w:rsidRPr="00FE147B" w14:paraId="4C0C2A41"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5EACB4A9" w14:textId="77777777" w:rsidR="005531AA" w:rsidRPr="00FE147B" w:rsidRDefault="005531AA" w:rsidP="00DC61B4">
            <w:pPr>
              <w:pStyle w:val="ListParagraph"/>
              <w:numPr>
                <w:ilvl w:val="0"/>
                <w:numId w:val="83"/>
              </w:numPr>
              <w:ind w:left="284"/>
              <w:rPr>
                <w:rFonts w:cstheme="minorHAnsi"/>
                <w:sz w:val="20"/>
                <w:szCs w:val="20"/>
              </w:rPr>
            </w:pPr>
            <w:r w:rsidRPr="00FE147B">
              <w:rPr>
                <w:rFonts w:cstheme="minorHAnsi"/>
                <w:sz w:val="20"/>
                <w:szCs w:val="20"/>
              </w:rPr>
              <w:t>Hazardous waste tracking (transport and receipt)</w:t>
            </w:r>
          </w:p>
        </w:tc>
        <w:tc>
          <w:tcPr>
            <w:tcW w:w="3942" w:type="pct"/>
            <w:tcBorders>
              <w:left w:val="single" w:sz="4" w:space="0" w:color="7F7F7F" w:themeColor="text1" w:themeTint="80"/>
            </w:tcBorders>
          </w:tcPr>
          <w:p w14:paraId="229B9CB3" w14:textId="77777777" w:rsidR="005531AA"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All Australian jurisdictions, apart from ACT, Tas, NT, and many developed countries track the collection, transport, and receipt of hazardous wastes (such as liquid wastes and chemically intractable solid wastes). </w:t>
            </w:r>
          </w:p>
          <w:p w14:paraId="46D748AF" w14:textId="77777777" w:rsidR="005531AA" w:rsidRPr="00FE147B"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531AA" w:rsidRPr="00FE147B" w14:paraId="4697CEBD"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09BDE0CD" w14:textId="77777777" w:rsidR="005531AA" w:rsidRPr="00FE147B" w:rsidRDefault="005531AA" w:rsidP="00DC61B4">
            <w:pPr>
              <w:pStyle w:val="ListParagraph"/>
              <w:numPr>
                <w:ilvl w:val="1"/>
                <w:numId w:val="83"/>
              </w:numPr>
              <w:ind w:left="567"/>
              <w:rPr>
                <w:rFonts w:cstheme="minorHAnsi"/>
                <w:bCs w:val="0"/>
                <w:sz w:val="20"/>
                <w:szCs w:val="20"/>
              </w:rPr>
            </w:pPr>
            <w:r w:rsidRPr="00FE147B">
              <w:rPr>
                <w:rFonts w:cstheme="minorHAnsi"/>
                <w:sz w:val="20"/>
                <w:szCs w:val="20"/>
              </w:rPr>
              <w:t>EOLT tracking (transport and receipt)</w:t>
            </w:r>
          </w:p>
        </w:tc>
        <w:tc>
          <w:tcPr>
            <w:tcW w:w="3942" w:type="pct"/>
            <w:tcBorders>
              <w:left w:val="single" w:sz="4" w:space="0" w:color="7F7F7F" w:themeColor="text1" w:themeTint="80"/>
            </w:tcBorders>
          </w:tcPr>
          <w:p w14:paraId="5465BC23" w14:textId="77777777" w:rsidR="005531AA"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EOLTs collection, transport and receipt is tracked in NSW, Qld, SA and WA only. ACT, Tas, NT and Vic do not track EOLTs. Vic is the only large and populous state in Australia that do not track EOLT and this has likely contributed to the significant stockpiling issue for EOLT in Vic.</w:t>
            </w:r>
          </w:p>
          <w:p w14:paraId="5DEF763C" w14:textId="77777777" w:rsidR="005531AA" w:rsidRPr="00FE147B"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531AA" w:rsidRPr="00FE147B" w14:paraId="469E0263"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48E2F490" w14:textId="77777777" w:rsidR="005531AA" w:rsidRPr="00FE147B" w:rsidRDefault="005531AA" w:rsidP="00DC61B4">
            <w:pPr>
              <w:pStyle w:val="ListParagraph"/>
              <w:numPr>
                <w:ilvl w:val="0"/>
                <w:numId w:val="83"/>
              </w:numPr>
              <w:rPr>
                <w:rFonts w:cstheme="minorHAnsi"/>
                <w:sz w:val="20"/>
                <w:szCs w:val="20"/>
              </w:rPr>
            </w:pPr>
            <w:r w:rsidRPr="00FE147B">
              <w:rPr>
                <w:sz w:val="20"/>
                <w:szCs w:val="20"/>
              </w:rPr>
              <w:t xml:space="preserve">Enforcement against illegal dumping </w:t>
            </w:r>
          </w:p>
        </w:tc>
        <w:tc>
          <w:tcPr>
            <w:tcW w:w="3942" w:type="pct"/>
            <w:tcBorders>
              <w:left w:val="single" w:sz="4" w:space="0" w:color="7F7F7F" w:themeColor="text1" w:themeTint="80"/>
            </w:tcBorders>
          </w:tcPr>
          <w:p w14:paraId="45CD123A" w14:textId="77777777" w:rsidR="005531AA"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A dedicated resource to enforce against illegal dumping was only identified in NSW, SA and Vic. We note that all states have the ability to fine or prosecute offenders, however, this element refers to dedicated resources to actively find and prosecute offenders. </w:t>
            </w:r>
          </w:p>
          <w:p w14:paraId="674113B5" w14:textId="77777777" w:rsidR="005531AA" w:rsidRPr="00FE147B"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531AA" w:rsidRPr="00FE147B" w14:paraId="18F13E36"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36CE5E91" w14:textId="77777777" w:rsidR="005531AA" w:rsidRPr="00FE147B" w:rsidRDefault="005531AA" w:rsidP="00DC61B4">
            <w:pPr>
              <w:pStyle w:val="ListParagraph"/>
              <w:numPr>
                <w:ilvl w:val="1"/>
                <w:numId w:val="83"/>
              </w:numPr>
              <w:ind w:left="567"/>
              <w:rPr>
                <w:sz w:val="20"/>
                <w:szCs w:val="20"/>
              </w:rPr>
            </w:pPr>
            <w:r w:rsidRPr="00FE147B">
              <w:rPr>
                <w:rFonts w:cstheme="minorHAnsi"/>
                <w:sz w:val="20"/>
                <w:szCs w:val="20"/>
              </w:rPr>
              <w:t>Specific policy to recover illegally obtained economic benefit from stockpiling</w:t>
            </w:r>
          </w:p>
        </w:tc>
        <w:tc>
          <w:tcPr>
            <w:tcW w:w="3942" w:type="pct"/>
            <w:tcBorders>
              <w:left w:val="single" w:sz="4" w:space="0" w:color="7F7F7F" w:themeColor="text1" w:themeTint="80"/>
            </w:tcBorders>
          </w:tcPr>
          <w:p w14:paraId="260EA8E9" w14:textId="77777777" w:rsidR="005531AA"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South Australia is proposing to introduce specific policy that will outline the specific circumstances, method and process for the recovery of funds from illegal stockpiling. This should be a more effective deterrent than a general head of power to recover profits made from ‘breaking the law’. </w:t>
            </w:r>
          </w:p>
          <w:p w14:paraId="1B72AA05" w14:textId="77777777" w:rsidR="005531AA" w:rsidRPr="00FE147B"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531AA" w:rsidRPr="00FE147B" w14:paraId="2F90E8FE"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79EC6086" w14:textId="77777777" w:rsidR="005531AA" w:rsidRPr="00FE147B" w:rsidRDefault="005531AA" w:rsidP="00DC61B4">
            <w:pPr>
              <w:pStyle w:val="ListParagraph"/>
              <w:numPr>
                <w:ilvl w:val="0"/>
                <w:numId w:val="83"/>
              </w:numPr>
              <w:rPr>
                <w:rFonts w:cstheme="minorHAnsi"/>
                <w:sz w:val="20"/>
                <w:szCs w:val="20"/>
              </w:rPr>
            </w:pPr>
            <w:r w:rsidRPr="00FE147B">
              <w:rPr>
                <w:sz w:val="20"/>
                <w:szCs w:val="20"/>
              </w:rPr>
              <w:t xml:space="preserve">Landfill levy </w:t>
            </w:r>
          </w:p>
        </w:tc>
        <w:tc>
          <w:tcPr>
            <w:tcW w:w="3942" w:type="pct"/>
            <w:tcBorders>
              <w:left w:val="single" w:sz="4" w:space="0" w:color="7F7F7F" w:themeColor="text1" w:themeTint="80"/>
            </w:tcBorders>
          </w:tcPr>
          <w:p w14:paraId="7C3FFCBF" w14:textId="77777777" w:rsidR="005531AA"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Most jurisdictions have a landfill levy in place, Qld, Tas, and NT do not. The cost of landfilling in Qld, Tas, and NT is therefore </w:t>
            </w:r>
            <w:r>
              <w:rPr>
                <w:rFonts w:asciiTheme="minorHAnsi" w:hAnsiTheme="minorHAnsi" w:cstheme="minorHAnsi"/>
                <w:sz w:val="20"/>
                <w:szCs w:val="20"/>
              </w:rPr>
              <w:t xml:space="preserve">generally </w:t>
            </w:r>
            <w:r w:rsidRPr="00FE147B">
              <w:rPr>
                <w:rFonts w:asciiTheme="minorHAnsi" w:hAnsiTheme="minorHAnsi" w:cstheme="minorHAnsi"/>
                <w:sz w:val="20"/>
                <w:szCs w:val="20"/>
              </w:rPr>
              <w:t>cheaper than other states.</w:t>
            </w:r>
            <w:r>
              <w:rPr>
                <w:rFonts w:asciiTheme="minorHAnsi" w:hAnsiTheme="minorHAnsi" w:cstheme="minorHAnsi"/>
                <w:sz w:val="20"/>
                <w:szCs w:val="20"/>
              </w:rPr>
              <w:t xml:space="preserve"> </w:t>
            </w:r>
          </w:p>
          <w:p w14:paraId="3DD02632" w14:textId="77777777" w:rsidR="005531AA"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5561AE9" w14:textId="77777777" w:rsidR="005531AA"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5167F">
              <w:rPr>
                <w:rFonts w:asciiTheme="minorHAnsi" w:hAnsiTheme="minorHAnsi" w:cstheme="minorHAnsi"/>
                <w:b/>
                <w:sz w:val="20"/>
                <w:szCs w:val="20"/>
              </w:rPr>
              <w:t>Asbestos levy</w:t>
            </w:r>
            <w:r>
              <w:rPr>
                <w:rFonts w:asciiTheme="minorHAnsi" w:hAnsiTheme="minorHAnsi" w:cstheme="minorHAnsi"/>
                <w:sz w:val="20"/>
                <w:szCs w:val="20"/>
              </w:rPr>
              <w:t>: i</w:t>
            </w:r>
            <w:r w:rsidRPr="0015167F">
              <w:rPr>
                <w:rFonts w:asciiTheme="minorHAnsi" w:hAnsiTheme="minorHAnsi" w:cstheme="minorHAnsi"/>
                <w:sz w:val="20"/>
                <w:szCs w:val="20"/>
              </w:rPr>
              <w:t>t is widely accepted that the best fate for waste asbestos is disposal to a licensed landfill. Government policy settings should to be set to encourage the safe disposal of asbestos to a licensed landfill. WA and SA (since July 2017) have implemented a $0 landfill levy for waste asbestos containing material (ACM) (e.g. roofing, cement sheeting) disposal. All other jurisdictions with a landfill levy (Vic, NSW) still levy waste asbestos disposal to landfill. ACT landfill fees also apply to waste asbestos loads.</w:t>
            </w:r>
          </w:p>
          <w:p w14:paraId="0353592E" w14:textId="77777777" w:rsidR="005531AA" w:rsidRPr="00FE147B"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531AA" w:rsidRPr="00FE147B" w14:paraId="06A04A7C"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547235A" w14:textId="77777777" w:rsidR="005531AA" w:rsidRPr="00FE147B" w:rsidRDefault="005531AA" w:rsidP="00DC61B4">
            <w:pPr>
              <w:pStyle w:val="ListParagraph"/>
              <w:numPr>
                <w:ilvl w:val="0"/>
                <w:numId w:val="83"/>
              </w:numPr>
              <w:rPr>
                <w:rFonts w:cstheme="minorHAnsi"/>
                <w:sz w:val="20"/>
                <w:szCs w:val="20"/>
              </w:rPr>
            </w:pPr>
            <w:r w:rsidRPr="00FE147B">
              <w:rPr>
                <w:rFonts w:cstheme="minorHAnsi"/>
                <w:sz w:val="20"/>
                <w:szCs w:val="20"/>
              </w:rPr>
              <w:t>Stockpile quantity limits set for all sites</w:t>
            </w:r>
          </w:p>
        </w:tc>
        <w:tc>
          <w:tcPr>
            <w:tcW w:w="3942" w:type="pct"/>
            <w:tcBorders>
              <w:left w:val="single" w:sz="4" w:space="0" w:color="7F7F7F" w:themeColor="text1" w:themeTint="80"/>
            </w:tcBorders>
          </w:tcPr>
          <w:p w14:paraId="752424AF" w14:textId="77777777" w:rsidR="005531AA" w:rsidRPr="00FE147B" w:rsidRDefault="005531AA" w:rsidP="00DC61B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US EPA set a limit of 6 tonnes for storage from small quantity generators and have no limit for large generators. NSW and SA (under proposed reforms) set the limits on a case by case basis, depending on the waste type.</w:t>
            </w:r>
          </w:p>
        </w:tc>
      </w:tr>
      <w:tr w:rsidR="005531AA" w:rsidRPr="00FE147B" w14:paraId="003FD976"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4E5622BB" w14:textId="77777777" w:rsidR="005531AA" w:rsidRPr="00FE147B" w:rsidRDefault="005531AA" w:rsidP="00DC61B4">
            <w:pPr>
              <w:pStyle w:val="ListParagraph"/>
              <w:numPr>
                <w:ilvl w:val="1"/>
                <w:numId w:val="83"/>
              </w:numPr>
              <w:ind w:left="567"/>
              <w:rPr>
                <w:rFonts w:cstheme="minorHAnsi"/>
                <w:sz w:val="20"/>
                <w:szCs w:val="20"/>
              </w:rPr>
            </w:pPr>
            <w:r w:rsidRPr="00FE147B">
              <w:rPr>
                <w:rFonts w:cstheme="minorHAnsi"/>
                <w:sz w:val="20"/>
                <w:szCs w:val="20"/>
              </w:rPr>
              <w:t>EOLT stockpile quantity limit set for all sites</w:t>
            </w:r>
          </w:p>
        </w:tc>
        <w:tc>
          <w:tcPr>
            <w:tcW w:w="3942" w:type="pct"/>
            <w:tcBorders>
              <w:left w:val="single" w:sz="4" w:space="0" w:color="7F7F7F" w:themeColor="text1" w:themeTint="80"/>
            </w:tcBorders>
          </w:tcPr>
          <w:p w14:paraId="597F35CD" w14:textId="77777777" w:rsidR="005531AA" w:rsidRPr="00FE147B" w:rsidRDefault="005531AA" w:rsidP="00DC61B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ACT set a tonnage limit of 25 for EOLT storage, Vic sets a limit on the volume of EOLT that can be stockpiled, NSW and SA set the limit within the site license.</w:t>
            </w:r>
          </w:p>
        </w:tc>
      </w:tr>
      <w:tr w:rsidR="005531AA" w:rsidRPr="00FE147B" w14:paraId="2DE49B2D"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2C862B22" w14:textId="77777777" w:rsidR="005531AA" w:rsidRPr="00FE147B" w:rsidRDefault="005531AA" w:rsidP="00DC61B4">
            <w:pPr>
              <w:pStyle w:val="ListParagraph"/>
              <w:numPr>
                <w:ilvl w:val="0"/>
                <w:numId w:val="83"/>
              </w:numPr>
              <w:rPr>
                <w:rFonts w:cstheme="minorHAnsi"/>
                <w:sz w:val="20"/>
                <w:szCs w:val="20"/>
              </w:rPr>
            </w:pPr>
            <w:r w:rsidRPr="00FE147B">
              <w:rPr>
                <w:rFonts w:cstheme="minorHAnsi"/>
                <w:sz w:val="20"/>
                <w:szCs w:val="20"/>
              </w:rPr>
              <w:t>Stockpiling time limits set for all sites</w:t>
            </w:r>
          </w:p>
        </w:tc>
        <w:tc>
          <w:tcPr>
            <w:tcW w:w="3942" w:type="pct"/>
            <w:tcBorders>
              <w:left w:val="single" w:sz="4" w:space="0" w:color="7F7F7F" w:themeColor="text1" w:themeTint="80"/>
            </w:tcBorders>
          </w:tcPr>
          <w:p w14:paraId="323171B9" w14:textId="77777777" w:rsidR="005531AA" w:rsidRPr="00FE147B" w:rsidRDefault="005531AA" w:rsidP="00DC61B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US EPA sets explicit time limits on stockpiling of 90 days for large generators and for small generators 180 days or 270 days (if transporting greater than 200 miles). NSW and SA (under proposed reforms) require payment of landfill levy after 12 months. Whilst this is not a time limit per se, after this time the NSW and SA would be able to require removal of the material from the site, as it is effectively being treated as a waste disposed to landfill.</w:t>
            </w:r>
          </w:p>
        </w:tc>
      </w:tr>
      <w:tr w:rsidR="005531AA" w:rsidRPr="00FE147B" w14:paraId="7C315EA7"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3621E670" w14:textId="77777777" w:rsidR="005531AA" w:rsidRPr="00FE147B" w:rsidRDefault="005531AA" w:rsidP="00DC61B4">
            <w:pPr>
              <w:pStyle w:val="ListParagraph"/>
              <w:numPr>
                <w:ilvl w:val="0"/>
                <w:numId w:val="83"/>
              </w:numPr>
              <w:rPr>
                <w:rFonts w:cstheme="minorHAnsi"/>
                <w:sz w:val="20"/>
                <w:szCs w:val="20"/>
              </w:rPr>
            </w:pPr>
            <w:r w:rsidRPr="00FE147B">
              <w:rPr>
                <w:rFonts w:cstheme="minorHAnsi"/>
                <w:sz w:val="20"/>
                <w:szCs w:val="20"/>
              </w:rPr>
              <w:t>Reporting required on stockpile status and change</w:t>
            </w:r>
          </w:p>
        </w:tc>
        <w:tc>
          <w:tcPr>
            <w:tcW w:w="3942" w:type="pct"/>
            <w:tcBorders>
              <w:left w:val="single" w:sz="4" w:space="0" w:color="7F7F7F" w:themeColor="text1" w:themeTint="80"/>
            </w:tcBorders>
          </w:tcPr>
          <w:p w14:paraId="4D922F67" w14:textId="77777777" w:rsidR="005531AA" w:rsidRPr="00FE147B" w:rsidRDefault="005531AA" w:rsidP="00DC61B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NSW and SA (under proposed reforms) require annual report of stockpile status under the mass balance and upfront levy liability framework. US EPA require biannual reporting from large generators and Wales in the UK require sites to apply for a new permit to stockpile wastes every 12 months, effectively requiring annual reporting.</w:t>
            </w:r>
          </w:p>
        </w:tc>
      </w:tr>
      <w:tr w:rsidR="005531AA" w:rsidRPr="00FE147B" w14:paraId="5F2D5F1E"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0D091D83" w14:textId="77777777" w:rsidR="005531AA" w:rsidRPr="00FE147B" w:rsidRDefault="005531AA" w:rsidP="00DC61B4">
            <w:pPr>
              <w:pStyle w:val="ListParagraph"/>
              <w:numPr>
                <w:ilvl w:val="0"/>
                <w:numId w:val="83"/>
              </w:numPr>
              <w:rPr>
                <w:rFonts w:cstheme="minorHAnsi"/>
                <w:sz w:val="20"/>
                <w:szCs w:val="20"/>
              </w:rPr>
            </w:pPr>
            <w:r w:rsidRPr="00FE147B">
              <w:rPr>
                <w:rFonts w:cstheme="minorHAnsi"/>
                <w:sz w:val="20"/>
                <w:szCs w:val="20"/>
              </w:rPr>
              <w:t>Stockpile site controls required</w:t>
            </w:r>
          </w:p>
        </w:tc>
        <w:tc>
          <w:tcPr>
            <w:tcW w:w="3942" w:type="pct"/>
            <w:tcBorders>
              <w:left w:val="single" w:sz="4" w:space="0" w:color="7F7F7F" w:themeColor="text1" w:themeTint="80"/>
            </w:tcBorders>
          </w:tcPr>
          <w:p w14:paraId="31BDF359" w14:textId="77777777" w:rsidR="005531AA" w:rsidRPr="00FE147B" w:rsidRDefault="005531AA" w:rsidP="00DC61B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All jurisdictions in Australia and most developed countries have stockpile site control requirements in place. Controls including bunding for liquid waste, dust control, and prohibition on mixing or diluting hazardous wastes. Whilst these requirements are common, how effectively they are enforced varies significantly.</w:t>
            </w:r>
          </w:p>
        </w:tc>
      </w:tr>
      <w:tr w:rsidR="005531AA" w:rsidRPr="00FE147B" w14:paraId="5DBE5E5F"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AA6EE2B" w14:textId="77777777" w:rsidR="005531AA" w:rsidRPr="00FE147B" w:rsidRDefault="005531AA" w:rsidP="00DC61B4">
            <w:pPr>
              <w:pStyle w:val="ListParagraph"/>
              <w:numPr>
                <w:ilvl w:val="0"/>
                <w:numId w:val="83"/>
              </w:numPr>
              <w:rPr>
                <w:rFonts w:cstheme="minorHAnsi"/>
                <w:sz w:val="20"/>
                <w:szCs w:val="20"/>
              </w:rPr>
            </w:pPr>
            <w:r w:rsidRPr="00FE147B">
              <w:rPr>
                <w:rFonts w:cstheme="minorHAnsi"/>
                <w:sz w:val="20"/>
                <w:szCs w:val="20"/>
              </w:rPr>
              <w:t>Emergency plan required for stockpiles</w:t>
            </w:r>
          </w:p>
        </w:tc>
        <w:tc>
          <w:tcPr>
            <w:tcW w:w="3942" w:type="pct"/>
            <w:tcBorders>
              <w:left w:val="single" w:sz="4" w:space="0" w:color="7F7F7F" w:themeColor="text1" w:themeTint="80"/>
            </w:tcBorders>
          </w:tcPr>
          <w:p w14:paraId="210BD385" w14:textId="77777777" w:rsidR="005531AA" w:rsidRPr="00FE147B" w:rsidRDefault="005531AA" w:rsidP="00DC61B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US EPA is the only jurisdiction that has published required emergency planning for hazardous waste generators for stockpiles. SA provide some guidance for emergency planning and NSW EPA commented that it is required in licences for higher risk sites. However, no Australian jurisdiction has published requirements for emergency planning for stockpiles, including specification of minimum equipment onsite, maintenance, and planning with local emergency departments.</w:t>
            </w:r>
          </w:p>
        </w:tc>
      </w:tr>
      <w:tr w:rsidR="005531AA" w:rsidRPr="00FE147B" w14:paraId="0CEE7A0A"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B37402B" w14:textId="77777777" w:rsidR="005531AA" w:rsidRPr="00FE147B" w:rsidRDefault="005531AA" w:rsidP="00DC61B4">
            <w:pPr>
              <w:pStyle w:val="ListParagraph"/>
              <w:numPr>
                <w:ilvl w:val="1"/>
                <w:numId w:val="83"/>
              </w:numPr>
              <w:ind w:left="567"/>
              <w:rPr>
                <w:rFonts w:cstheme="minorHAnsi"/>
                <w:sz w:val="20"/>
                <w:szCs w:val="20"/>
              </w:rPr>
            </w:pPr>
            <w:r w:rsidRPr="00FE147B">
              <w:rPr>
                <w:rFonts w:cstheme="minorHAnsi"/>
                <w:sz w:val="20"/>
                <w:szCs w:val="20"/>
              </w:rPr>
              <w:t>EOLT fire plan required</w:t>
            </w:r>
          </w:p>
        </w:tc>
        <w:tc>
          <w:tcPr>
            <w:tcW w:w="3942" w:type="pct"/>
            <w:tcBorders>
              <w:left w:val="single" w:sz="4" w:space="0" w:color="7F7F7F" w:themeColor="text1" w:themeTint="80"/>
            </w:tcBorders>
          </w:tcPr>
          <w:p w14:paraId="41A5B3C6" w14:textId="77777777" w:rsidR="005531AA" w:rsidRPr="00FE147B" w:rsidRDefault="005531AA" w:rsidP="00DC61B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Vic, Qld, SA and NSW all have guidelines and or requirements in place to prevent and manage fire at EOLT stockpiling sites. No guidance or requirement was identified in ACT, NT, Tas, or WA to specifically manage the risk of fire at EOLT sites.</w:t>
            </w:r>
          </w:p>
        </w:tc>
      </w:tr>
      <w:tr w:rsidR="005531AA" w:rsidRPr="00FE147B" w14:paraId="7EA890C1" w14:textId="77777777" w:rsidTr="00DC6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33CC9392" w14:textId="77777777" w:rsidR="005531AA" w:rsidRPr="00FE147B" w:rsidRDefault="005531AA" w:rsidP="00DC61B4">
            <w:pPr>
              <w:pStyle w:val="ListParagraph"/>
              <w:numPr>
                <w:ilvl w:val="0"/>
                <w:numId w:val="83"/>
              </w:numPr>
              <w:rPr>
                <w:rFonts w:cstheme="minorHAnsi"/>
                <w:sz w:val="20"/>
                <w:szCs w:val="20"/>
              </w:rPr>
            </w:pPr>
            <w:r w:rsidRPr="00FE147B">
              <w:rPr>
                <w:rFonts w:cstheme="minorHAnsi"/>
                <w:sz w:val="20"/>
                <w:szCs w:val="20"/>
              </w:rPr>
              <w:t>Financial assurance for site clean-up</w:t>
            </w:r>
          </w:p>
        </w:tc>
        <w:tc>
          <w:tcPr>
            <w:tcW w:w="3942" w:type="pct"/>
            <w:tcBorders>
              <w:left w:val="single" w:sz="4" w:space="0" w:color="7F7F7F" w:themeColor="text1" w:themeTint="80"/>
            </w:tcBorders>
          </w:tcPr>
          <w:p w14:paraId="4A461BE2" w14:textId="27DDEE60" w:rsidR="005531AA" w:rsidRPr="00FE147B" w:rsidRDefault="005531AA" w:rsidP="00DC61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The US EPA, under US Code of Federal Regulations (CFR) </w:t>
            </w:r>
            <w:hyperlink r:id="rId15" w:anchor="sp40.28.265.h" w:history="1">
              <w:r w:rsidRPr="00FE147B">
                <w:rPr>
                  <w:rStyle w:val="Hyperlink"/>
                  <w:rFonts w:cstheme="minorHAnsi"/>
                  <w:sz w:val="20"/>
                  <w:szCs w:val="20"/>
                </w:rPr>
                <w:t>section Subpart H—Financial Requirements</w:t>
              </w:r>
            </w:hyperlink>
            <w:r w:rsidRPr="00FE147B">
              <w:rPr>
                <w:rFonts w:asciiTheme="minorHAnsi" w:hAnsiTheme="minorHAnsi" w:cstheme="minorHAnsi"/>
                <w:sz w:val="20"/>
                <w:szCs w:val="20"/>
              </w:rPr>
              <w:t xml:space="preserve"> requires a financial assurance to cover both site clean-up and site aftercare. All Australia jurisdictions have a legislative framework in place to require financial assurances. There is however, significant variability in the application of this legislation it should </w:t>
            </w:r>
            <w:r w:rsidRPr="00FE147B">
              <w:rPr>
                <w:rFonts w:asciiTheme="minorHAnsi" w:hAnsiTheme="minorHAnsi" w:cstheme="minorHAnsi"/>
                <w:b/>
                <w:sz w:val="20"/>
                <w:szCs w:val="20"/>
              </w:rPr>
              <w:t>not</w:t>
            </w:r>
            <w:r w:rsidRPr="00FE147B">
              <w:rPr>
                <w:rFonts w:asciiTheme="minorHAnsi" w:hAnsiTheme="minorHAnsi" w:cstheme="minorHAnsi"/>
                <w:sz w:val="20"/>
                <w:szCs w:val="20"/>
              </w:rPr>
              <w:t xml:space="preserve"> be assumed that all hazardous waste stockpiles in Australia have a financial assurance in places to cover the cost of clean-up. </w:t>
            </w:r>
          </w:p>
        </w:tc>
      </w:tr>
      <w:tr w:rsidR="005531AA" w:rsidRPr="00FE147B" w14:paraId="2D9710BE" w14:textId="77777777" w:rsidTr="00DC61B4">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23C62C48" w14:textId="77777777" w:rsidR="005531AA" w:rsidRPr="00FE147B" w:rsidRDefault="005531AA" w:rsidP="00DC61B4">
            <w:pPr>
              <w:pStyle w:val="ListParagraph"/>
              <w:numPr>
                <w:ilvl w:val="0"/>
                <w:numId w:val="83"/>
              </w:numPr>
              <w:rPr>
                <w:rFonts w:cstheme="minorHAnsi"/>
                <w:sz w:val="20"/>
                <w:szCs w:val="20"/>
              </w:rPr>
            </w:pPr>
            <w:r w:rsidRPr="00FE147B">
              <w:rPr>
                <w:rFonts w:cstheme="minorHAnsi"/>
                <w:sz w:val="20"/>
                <w:szCs w:val="20"/>
              </w:rPr>
              <w:t>Government trust or funds set up to deal with abandoned stockpiles/contaminated site</w:t>
            </w:r>
          </w:p>
        </w:tc>
        <w:tc>
          <w:tcPr>
            <w:tcW w:w="3942" w:type="pct"/>
            <w:tcBorders>
              <w:left w:val="single" w:sz="4" w:space="0" w:color="7F7F7F" w:themeColor="text1" w:themeTint="80"/>
            </w:tcBorders>
          </w:tcPr>
          <w:p w14:paraId="049D9CDA" w14:textId="356E7AC8" w:rsidR="005531AA" w:rsidRPr="00FE147B" w:rsidRDefault="005531AA" w:rsidP="00DC61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The US Superfund is a trust funds established to clean-up contaminated sites (stockpiles). No Australian jurisdictions have set up central trusts to specifically fund clean-up of abandoned sites, preferring the </w:t>
            </w:r>
            <w:r w:rsidR="00E70169" w:rsidRPr="00FE147B">
              <w:rPr>
                <w:rFonts w:asciiTheme="minorHAnsi" w:hAnsiTheme="minorHAnsi" w:cstheme="minorHAnsi"/>
                <w:sz w:val="20"/>
                <w:szCs w:val="20"/>
              </w:rPr>
              <w:t>site-specific</w:t>
            </w:r>
            <w:r w:rsidRPr="00FE147B">
              <w:rPr>
                <w:rFonts w:asciiTheme="minorHAnsi" w:hAnsiTheme="minorHAnsi" w:cstheme="minorHAnsi"/>
                <w:sz w:val="20"/>
                <w:szCs w:val="20"/>
              </w:rPr>
              <w:t xml:space="preserve"> financial assurance approach. NSW EPA commented that the NSW Environmental Trust has provided site clear-up funds in the past. However, this funding appears to be incidental as opposed to a permanent and dedicated contaminated site fund.</w:t>
            </w:r>
          </w:p>
        </w:tc>
      </w:tr>
    </w:tbl>
    <w:p w14:paraId="6B783D79" w14:textId="77777777" w:rsidR="00DD09DA" w:rsidRDefault="00DD09DA" w:rsidP="00CF08AA">
      <w:pPr>
        <w:pStyle w:val="NonTOCHeading2"/>
      </w:pPr>
    </w:p>
    <w:p w14:paraId="448A0C20" w14:textId="77777777" w:rsidR="00DD09DA" w:rsidRDefault="00DD09DA" w:rsidP="00CF08AA">
      <w:pPr>
        <w:pStyle w:val="NonTOCHeading2"/>
      </w:pPr>
    </w:p>
    <w:p w14:paraId="12BCD8FD" w14:textId="6C8850A0" w:rsidR="00D85BB9" w:rsidRPr="00CF08AA" w:rsidRDefault="00CF08AA" w:rsidP="00DD09DA">
      <w:pPr>
        <w:pStyle w:val="NonTOCHeading2"/>
        <w:spacing w:after="120"/>
        <w:rPr>
          <w:rFonts w:eastAsiaTheme="minorHAnsi"/>
        </w:rPr>
      </w:pPr>
      <w:r>
        <w:t>E2</w:t>
      </w:r>
      <w:r>
        <w:tab/>
      </w:r>
      <w:r w:rsidR="00D85BB9" w:rsidRPr="00CF08AA">
        <w:t>Definition of a hazardous waste stockpile</w:t>
      </w:r>
    </w:p>
    <w:p w14:paraId="489033E3" w14:textId="45B13794" w:rsidR="00D85BB9" w:rsidRPr="004B2992" w:rsidRDefault="00CF08AA" w:rsidP="00D85BB9">
      <w:pPr>
        <w:spacing w:after="80"/>
        <w:rPr>
          <w:rFonts w:eastAsia="Calibri" w:cs="Arial"/>
          <w:szCs w:val="20"/>
        </w:rPr>
      </w:pPr>
      <w:r>
        <w:rPr>
          <w:rFonts w:eastAsia="Calibri" w:cs="Arial"/>
          <w:szCs w:val="20"/>
        </w:rPr>
        <w:t xml:space="preserve">Figure E1 </w:t>
      </w:r>
      <w:r w:rsidR="00D85BB9">
        <w:rPr>
          <w:rFonts w:eastAsia="Calibri" w:cs="Arial"/>
          <w:szCs w:val="20"/>
        </w:rPr>
        <w:t>provides an illustration of the definition for hazardous waste stockpiles that is discussed below and applied in this report.</w:t>
      </w:r>
      <w:r w:rsidR="00DD09DA">
        <w:rPr>
          <w:rFonts w:eastAsia="Calibri" w:cs="Arial"/>
          <w:szCs w:val="20"/>
        </w:rPr>
        <w:t xml:space="preserve"> </w:t>
      </w:r>
      <w:r w:rsidR="00D85BB9" w:rsidRPr="004B2992">
        <w:rPr>
          <w:rFonts w:eastAsia="Calibri" w:cs="Arial"/>
          <w:szCs w:val="20"/>
        </w:rPr>
        <w:t>For the purposes of this project, a solid or liquid hazardous waste is defined as a stockpile where all of the following apply:</w:t>
      </w:r>
    </w:p>
    <w:p w14:paraId="5F237231" w14:textId="77777777" w:rsidR="00D85BB9" w:rsidRPr="004B2992" w:rsidRDefault="00D85BB9" w:rsidP="00DD09DA">
      <w:pPr>
        <w:pStyle w:val="RECdotpoint"/>
        <w:spacing w:before="0" w:after="0"/>
      </w:pPr>
      <w:r w:rsidRPr="004B2992">
        <w:t xml:space="preserve">it has not been treated or processed </w:t>
      </w:r>
    </w:p>
    <w:p w14:paraId="6DE09CC3" w14:textId="77777777" w:rsidR="00D85BB9" w:rsidRPr="004B2992" w:rsidRDefault="00D85BB9" w:rsidP="00DD09DA">
      <w:pPr>
        <w:pStyle w:val="RECdotpoint"/>
        <w:spacing w:before="0" w:after="0"/>
      </w:pPr>
      <w:r w:rsidRPr="004B2992">
        <w:t>a significant proportion</w:t>
      </w:r>
      <w:r>
        <w:t xml:space="preserve"> (i.e. 75%)</w:t>
      </w:r>
      <w:r w:rsidRPr="004B2992">
        <w:t xml:space="preserve"> has been stored for more than one year</w:t>
      </w:r>
    </w:p>
    <w:p w14:paraId="5CEAD24F" w14:textId="77777777" w:rsidR="00D85BB9" w:rsidRDefault="00D85BB9" w:rsidP="00DD09DA">
      <w:pPr>
        <w:pStyle w:val="RECdotpoint"/>
        <w:spacing w:before="0" w:after="0"/>
      </w:pPr>
      <w:r>
        <w:t xml:space="preserve">it </w:t>
      </w:r>
      <w:r w:rsidRPr="006828AA">
        <w:t>requires</w:t>
      </w:r>
      <w:r w:rsidRPr="004B2992">
        <w:t xml:space="preserve"> ongoing management or monitoring to pre</w:t>
      </w:r>
      <w:r>
        <w:t>vent impacts to human health or</w:t>
      </w:r>
      <w:r w:rsidRPr="004B2992">
        <w:t xml:space="preserve"> the environment</w:t>
      </w:r>
    </w:p>
    <w:p w14:paraId="37930913" w14:textId="30BE3D2F" w:rsidR="00D85BB9" w:rsidRPr="004B2992" w:rsidRDefault="002E7D7F" w:rsidP="00DD09DA">
      <w:pPr>
        <w:pStyle w:val="RECdotpoint"/>
        <w:spacing w:before="0" w:after="120"/>
      </w:pPr>
      <w:r>
        <w:t xml:space="preserve">it is </w:t>
      </w:r>
      <w:r w:rsidR="00D85BB9">
        <w:t xml:space="preserve">subject to </w:t>
      </w:r>
      <w:r w:rsidR="00D85BB9" w:rsidRPr="00BB1CF1">
        <w:t>‘clearance’ requirement</w:t>
      </w:r>
      <w:r w:rsidR="00D85BB9">
        <w:t>s set out by relevant environmental legislation</w:t>
      </w:r>
      <w:r w:rsidR="00D85BB9" w:rsidRPr="004B2992">
        <w:t>.</w:t>
      </w:r>
    </w:p>
    <w:p w14:paraId="1ECFF8B8" w14:textId="77777777" w:rsidR="00D85BB9" w:rsidRDefault="00D85BB9" w:rsidP="00D85BB9">
      <w:pPr>
        <w:pStyle w:val="RECnormaltext"/>
      </w:pPr>
      <w:r w:rsidRPr="004B2992">
        <w:rPr>
          <w:rFonts w:eastAsia="Calibri"/>
        </w:rPr>
        <w:t>A hazardous waste stockpile may be stored above ground or below ground and be located on the site it was generated or elsewhere.</w:t>
      </w:r>
      <w:r w:rsidRPr="00B429EA">
        <w:t xml:space="preserve"> </w:t>
      </w:r>
    </w:p>
    <w:p w14:paraId="2B856404" w14:textId="77777777" w:rsidR="00D85BB9" w:rsidRPr="004B2992" w:rsidRDefault="00D85BB9" w:rsidP="00D85BB9">
      <w:pPr>
        <w:spacing w:after="80"/>
        <w:rPr>
          <w:rFonts w:eastAsia="Calibri" w:cs="Arial"/>
          <w:szCs w:val="20"/>
        </w:rPr>
      </w:pPr>
      <w:r>
        <w:rPr>
          <w:rFonts w:eastAsia="Calibri" w:cs="Arial"/>
          <w:szCs w:val="20"/>
        </w:rPr>
        <w:t>For clarity, t</w:t>
      </w:r>
      <w:r w:rsidRPr="004B2992">
        <w:rPr>
          <w:rFonts w:eastAsia="Calibri" w:cs="Arial"/>
          <w:szCs w:val="20"/>
        </w:rPr>
        <w:t>he following are not a hazardous waste stockpile:</w:t>
      </w:r>
    </w:p>
    <w:p w14:paraId="375AB7A2" w14:textId="77777777" w:rsidR="00D85BB9" w:rsidRDefault="00D85BB9" w:rsidP="00D85BB9">
      <w:pPr>
        <w:pStyle w:val="RECdotnotlist"/>
      </w:pPr>
      <w:r>
        <w:t>Hazardous materials, such as asbestos, that are still in use (they are yet to enter the ‘waste’ stream).</w:t>
      </w:r>
    </w:p>
    <w:p w14:paraId="2E4394F3" w14:textId="77777777" w:rsidR="00D85BB9" w:rsidRPr="004B2992" w:rsidRDefault="00D85BB9" w:rsidP="00D85BB9">
      <w:pPr>
        <w:pStyle w:val="RECdotnotlist"/>
      </w:pPr>
      <w:r>
        <w:t>A</w:t>
      </w:r>
      <w:r w:rsidRPr="004B2992">
        <w:t xml:space="preserve"> </w:t>
      </w:r>
      <w:r w:rsidRPr="004836E7">
        <w:t>product derived from hazardous waste</w:t>
      </w:r>
      <w:r w:rsidRPr="004B2992">
        <w:t xml:space="preserve"> that meets a defined specification </w:t>
      </w:r>
      <w:r>
        <w:t xml:space="preserve">after </w:t>
      </w:r>
      <w:r w:rsidRPr="004B2992">
        <w:t>processing</w:t>
      </w:r>
      <w:r>
        <w:t>.</w:t>
      </w:r>
    </w:p>
    <w:p w14:paraId="71B5F29C" w14:textId="77777777" w:rsidR="00D85BB9" w:rsidRDefault="00D85BB9" w:rsidP="00D85BB9">
      <w:pPr>
        <w:pStyle w:val="RECdotnotlist"/>
      </w:pPr>
      <w:r>
        <w:t>Hazardous waste this is stored in an ‘</w:t>
      </w:r>
      <w:r w:rsidRPr="00134C93">
        <w:t>approved long-term on-site storage’</w:t>
      </w:r>
      <w:r>
        <w:t xml:space="preserve"> (discussed below)</w:t>
      </w:r>
      <w:r w:rsidRPr="00134C93">
        <w:t>.</w:t>
      </w:r>
    </w:p>
    <w:p w14:paraId="6C293DAF" w14:textId="77777777" w:rsidR="00D85BB9" w:rsidRPr="004B2992" w:rsidRDefault="00D85BB9" w:rsidP="00D85BB9">
      <w:pPr>
        <w:pStyle w:val="RECdotnotlist"/>
      </w:pPr>
      <w:r>
        <w:t>H</w:t>
      </w:r>
      <w:r w:rsidRPr="004B2992">
        <w:t xml:space="preserve">azardous waste that is landfilled </w:t>
      </w:r>
      <w:r>
        <w:t xml:space="preserve">or contained in long-term storage facilities </w:t>
      </w:r>
      <w:r w:rsidRPr="004B2992">
        <w:t>off-site under</w:t>
      </w:r>
      <w:r>
        <w:t xml:space="preserve"> approval</w:t>
      </w:r>
      <w:r w:rsidRPr="004B2992">
        <w:t xml:space="preserve"> from a state or territory regulator</w:t>
      </w:r>
      <w:r>
        <w:t>.</w:t>
      </w:r>
    </w:p>
    <w:p w14:paraId="05305BE3" w14:textId="77777777" w:rsidR="00D85BB9" w:rsidRDefault="00D85BB9" w:rsidP="00D85BB9">
      <w:pPr>
        <w:pStyle w:val="RECdotnotlist"/>
      </w:pPr>
      <w:r>
        <w:t>H</w:t>
      </w:r>
      <w:r w:rsidRPr="004B2992">
        <w:t xml:space="preserve">azardous waste that does not require ongoing management or monitoring to prevent impacts to human health </w:t>
      </w:r>
      <w:r>
        <w:t>or</w:t>
      </w:r>
      <w:r w:rsidRPr="004B2992">
        <w:t xml:space="preserve"> the environment because permanent controls are in place </w:t>
      </w:r>
      <w:r>
        <w:t>or the current form of the waste presents insignificant risk to human health or the environment</w:t>
      </w:r>
      <w:r w:rsidRPr="004B2992">
        <w:t xml:space="preserve">. </w:t>
      </w:r>
      <w:r>
        <w:t xml:space="preserve">Examples would include </w:t>
      </w:r>
      <w:r w:rsidRPr="00953A6F">
        <w:rPr>
          <w:u w:val="single"/>
        </w:rPr>
        <w:t>in-situ</w:t>
      </w:r>
      <w:r>
        <w:t xml:space="preserve"> low level contaminated soils, or small stockpiles of waste tyres.</w:t>
      </w:r>
      <w:r w:rsidRPr="004B2992">
        <w:t xml:space="preserve"> </w:t>
      </w:r>
    </w:p>
    <w:p w14:paraId="2B41C9F0" w14:textId="77777777" w:rsidR="00D85BB9" w:rsidRPr="00CF08AA" w:rsidRDefault="00D85BB9" w:rsidP="00047982">
      <w:pPr>
        <w:pStyle w:val="NonTOCHeading3"/>
      </w:pPr>
      <w:r w:rsidRPr="00CF08AA">
        <w:t>Definition of an approved hazardous waste long-term on-site storage</w:t>
      </w:r>
    </w:p>
    <w:p w14:paraId="3A2938B9" w14:textId="51028866" w:rsidR="00D85BB9" w:rsidRDefault="00D85BB9" w:rsidP="00D85BB9">
      <w:pPr>
        <w:pStyle w:val="RECnormaltext"/>
      </w:pPr>
      <w:r>
        <w:t>There needs to be a clear distinction between a ‘stockpile’ and an ‘approved long-term on-site storage’.</w:t>
      </w:r>
      <w:r w:rsidR="00DD09DA">
        <w:t xml:space="preserve"> </w:t>
      </w:r>
      <w:r w:rsidRPr="004B2992">
        <w:rPr>
          <w:rFonts w:eastAsia="Calibri"/>
        </w:rPr>
        <w:t>For the purposes of this project,</w:t>
      </w:r>
      <w:r>
        <w:rPr>
          <w:rFonts w:eastAsia="Calibri"/>
        </w:rPr>
        <w:t xml:space="preserve"> approved</w:t>
      </w:r>
      <w:r w:rsidRPr="004B2992">
        <w:rPr>
          <w:rFonts w:eastAsia="Calibri"/>
        </w:rPr>
        <w:t xml:space="preserve"> </w:t>
      </w:r>
      <w:r>
        <w:rPr>
          <w:rFonts w:eastAsia="Calibri"/>
        </w:rPr>
        <w:t>l</w:t>
      </w:r>
      <w:r>
        <w:t>ong-term on-site storage refers to waste storage that is:</w:t>
      </w:r>
    </w:p>
    <w:p w14:paraId="5A71EE6B" w14:textId="77777777" w:rsidR="00D85BB9" w:rsidRDefault="00D85BB9" w:rsidP="00DD09DA">
      <w:pPr>
        <w:pStyle w:val="RECdotpoint"/>
        <w:widowControl w:val="0"/>
        <w:spacing w:before="0" w:after="0"/>
      </w:pPr>
      <w:r>
        <w:t>on-site (or near site)</w:t>
      </w:r>
    </w:p>
    <w:p w14:paraId="5FD45736" w14:textId="77777777" w:rsidR="00D85BB9" w:rsidRDefault="00D85BB9" w:rsidP="00DD09DA">
      <w:pPr>
        <w:pStyle w:val="RECdotpoint"/>
        <w:widowControl w:val="0"/>
        <w:spacing w:before="0" w:after="0"/>
      </w:pPr>
      <w:r>
        <w:t xml:space="preserve">in designated area/s </w:t>
      </w:r>
    </w:p>
    <w:p w14:paraId="7022925F" w14:textId="77777777" w:rsidR="00D85BB9" w:rsidRDefault="00D85BB9" w:rsidP="00DD09DA">
      <w:pPr>
        <w:pStyle w:val="RECdotpoint"/>
        <w:widowControl w:val="0"/>
        <w:spacing w:before="0" w:after="0"/>
        <w:ind w:left="714" w:hanging="357"/>
      </w:pPr>
      <w:r>
        <w:t>pre-approved</w:t>
      </w:r>
      <w:r>
        <w:rPr>
          <w:rStyle w:val="FootnoteReference"/>
        </w:rPr>
        <w:footnoteReference w:id="2"/>
      </w:r>
      <w:r>
        <w:t xml:space="preserve"> for long-term storage (i.e. greater than 10 years) by </w:t>
      </w:r>
      <w:r w:rsidRPr="004B2992">
        <w:t>state or territory regulator</w:t>
      </w:r>
      <w:r>
        <w:t xml:space="preserve"> and has pre-approved management processes in place</w:t>
      </w:r>
    </w:p>
    <w:p w14:paraId="79564BF5" w14:textId="77777777" w:rsidR="00D85BB9" w:rsidRDefault="00D85BB9" w:rsidP="00DD09DA">
      <w:pPr>
        <w:pStyle w:val="RECdotpoint"/>
        <w:widowControl w:val="0"/>
        <w:spacing w:before="0" w:after="0"/>
        <w:ind w:left="714" w:hanging="357"/>
      </w:pPr>
      <w:r>
        <w:t>typically, not required to meet stockpiled waste ‘clearance’ requirements</w:t>
      </w:r>
    </w:p>
    <w:p w14:paraId="7EACE32C" w14:textId="77777777" w:rsidR="00D85BB9" w:rsidRDefault="00D85BB9" w:rsidP="00DD09DA">
      <w:pPr>
        <w:pStyle w:val="RECdotpoint"/>
        <w:widowControl w:val="0"/>
        <w:spacing w:before="0" w:after="0"/>
        <w:ind w:left="714" w:hanging="357"/>
      </w:pPr>
      <w:r>
        <w:t xml:space="preserve">still under management by waste generator (i.e. liability has not been transferred to a third party/facility such as a hazardous waste landfill or isolation facility). </w:t>
      </w:r>
    </w:p>
    <w:p w14:paraId="5A137757" w14:textId="26248F4A" w:rsidR="00DD09DA" w:rsidRDefault="005E6981" w:rsidP="005E6981">
      <w:pPr>
        <w:pStyle w:val="Caption"/>
        <w:spacing w:after="120"/>
      </w:pPr>
      <w:r>
        <w:rPr>
          <w:noProof/>
          <w:lang w:eastAsia="en-AU"/>
        </w:rPr>
        <w:drawing>
          <wp:anchor distT="0" distB="0" distL="114300" distR="114300" simplePos="0" relativeHeight="251674624" behindDoc="0" locked="0" layoutInCell="1" allowOverlap="1" wp14:anchorId="022828E6" wp14:editId="1AF87AD8">
            <wp:simplePos x="0" y="0"/>
            <wp:positionH relativeFrom="margin">
              <wp:posOffset>71310</wp:posOffset>
            </wp:positionH>
            <wp:positionV relativeFrom="paragraph">
              <wp:posOffset>273685</wp:posOffset>
            </wp:positionV>
            <wp:extent cx="5645785" cy="83515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zwaste stockpiles defs v7.emf"/>
                    <pic:cNvPicPr/>
                  </pic:nvPicPr>
                  <pic:blipFill>
                    <a:blip r:embed="rId16">
                      <a:extLst>
                        <a:ext uri="{28A0092B-C50C-407E-A947-70E740481C1C}">
                          <a14:useLocalDpi xmlns:a14="http://schemas.microsoft.com/office/drawing/2010/main" val="0"/>
                        </a:ext>
                      </a:extLst>
                    </a:blip>
                    <a:stretch>
                      <a:fillRect/>
                    </a:stretch>
                  </pic:blipFill>
                  <pic:spPr>
                    <a:xfrm>
                      <a:off x="0" y="0"/>
                      <a:ext cx="5645785" cy="8351520"/>
                    </a:xfrm>
                    <a:prstGeom prst="rect">
                      <a:avLst/>
                    </a:prstGeom>
                  </pic:spPr>
                </pic:pic>
              </a:graphicData>
            </a:graphic>
            <wp14:sizeRelH relativeFrom="margin">
              <wp14:pctWidth>0</wp14:pctWidth>
            </wp14:sizeRelH>
            <wp14:sizeRelV relativeFrom="margin">
              <wp14:pctHeight>0</wp14:pctHeight>
            </wp14:sizeRelV>
          </wp:anchor>
        </w:drawing>
      </w:r>
      <w:r w:rsidR="00D85BB9">
        <w:t xml:space="preserve">Figure </w:t>
      </w:r>
      <w:r w:rsidR="00CF08AA">
        <w:t>E1</w:t>
      </w:r>
      <w:r w:rsidR="00D85BB9">
        <w:t xml:space="preserve"> Defining hazardous waste stockpiling versus other fates of hazardous wastes </w:t>
      </w:r>
    </w:p>
    <w:p w14:paraId="35ECCD43" w14:textId="77777777" w:rsidR="00A452A5" w:rsidRDefault="00A452A5" w:rsidP="00A452A5">
      <w:pPr>
        <w:pStyle w:val="NonTOCHeading2"/>
        <w:ind w:left="567" w:hanging="567"/>
      </w:pPr>
      <w:r>
        <w:t>E3</w:t>
      </w:r>
      <w:r>
        <w:tab/>
        <w:t>B</w:t>
      </w:r>
      <w:r w:rsidRPr="00326262">
        <w:t>aseline dataset for hazardous waste stockpiles in Australia</w:t>
      </w:r>
      <w:r>
        <w:t xml:space="preserve"> </w:t>
      </w:r>
    </w:p>
    <w:p w14:paraId="19AF64E1" w14:textId="3EE89226" w:rsidR="00A452A5" w:rsidRDefault="00A452A5" w:rsidP="00A452A5">
      <w:pPr>
        <w:pStyle w:val="RECnormaltext"/>
      </w:pPr>
      <w:r w:rsidRPr="0065279F">
        <w:t xml:space="preserve">The dataset </w:t>
      </w:r>
      <w:r>
        <w:t xml:space="preserve">provided below </w:t>
      </w:r>
      <w:r w:rsidR="00980B4D">
        <w:t xml:space="preserve">(see Table E3) </w:t>
      </w:r>
      <w:r w:rsidRPr="0065279F">
        <w:t xml:space="preserve">focuses on listing the known major hazardous waste stockpiles in Australia (standing and recurrent) and describes their age, location, amount and composition. </w:t>
      </w:r>
      <w:r>
        <w:t>For completeness, this sections also provides a baseline dataset for approved long-</w:t>
      </w:r>
      <w:r w:rsidRPr="00041032">
        <w:t xml:space="preserve">term </w:t>
      </w:r>
      <w:r>
        <w:t xml:space="preserve">on-site storages that this project has identified and analysed during project delivery. </w:t>
      </w:r>
    </w:p>
    <w:p w14:paraId="257B5504" w14:textId="77777777" w:rsidR="00A452A5" w:rsidRPr="001E0D50" w:rsidRDefault="00A452A5" w:rsidP="00A452A5">
      <w:pPr>
        <w:pStyle w:val="RECnormaltext"/>
      </w:pPr>
      <w:r w:rsidRPr="001E0D50">
        <w:t>Th</w:t>
      </w:r>
      <w:r>
        <w:t>e national</w:t>
      </w:r>
      <w:r w:rsidRPr="001E0D50">
        <w:t xml:space="preserve"> dataset was derived from:</w:t>
      </w:r>
    </w:p>
    <w:p w14:paraId="07794D41" w14:textId="77777777" w:rsidR="00A452A5" w:rsidRDefault="00A452A5" w:rsidP="00A452A5">
      <w:pPr>
        <w:pStyle w:val="RECdotpoint"/>
      </w:pPr>
      <w:r>
        <w:t>a literature review and research completed by the authors</w:t>
      </w:r>
    </w:p>
    <w:p w14:paraId="53955F13" w14:textId="77777777" w:rsidR="00A452A5" w:rsidRDefault="00A452A5" w:rsidP="00A452A5">
      <w:pPr>
        <w:pStyle w:val="RECdotpoint"/>
      </w:pPr>
      <w:r>
        <w:t>consultation with state regulators</w:t>
      </w:r>
    </w:p>
    <w:p w14:paraId="69B5D34D" w14:textId="77777777" w:rsidR="00753BBD" w:rsidRDefault="00A452A5" w:rsidP="00A452A5">
      <w:pPr>
        <w:pStyle w:val="RECdotpoint"/>
      </w:pPr>
      <w:r>
        <w:t>consultation with the waste management industry</w:t>
      </w:r>
    </w:p>
    <w:p w14:paraId="246D390A" w14:textId="55FD163E" w:rsidR="00A452A5" w:rsidRDefault="00BE3BA0" w:rsidP="00A452A5">
      <w:pPr>
        <w:pStyle w:val="RECdotpoint"/>
      </w:pPr>
      <w:r>
        <w:t xml:space="preserve">consultation and validation of stockpile or storage data with stockpile/storages ‘owners’, where the owner could be clearly identified (i.e. where there </w:t>
      </w:r>
      <w:r w:rsidR="00942F13">
        <w:t xml:space="preserve">is a </w:t>
      </w:r>
      <w:r>
        <w:t>small number of stockpiles/storages)</w:t>
      </w:r>
      <w:r w:rsidR="00A452A5">
        <w:t>.</w:t>
      </w:r>
    </w:p>
    <w:p w14:paraId="71454DE0" w14:textId="77777777" w:rsidR="00A452A5" w:rsidRDefault="00A452A5" w:rsidP="00A452A5">
      <w:pPr>
        <w:pStyle w:val="RECnormaltext"/>
      </w:pPr>
      <w:r>
        <w:t>Appendix B includes the dataset for each Australian state and territory.</w:t>
      </w:r>
    </w:p>
    <w:p w14:paraId="0D320602" w14:textId="220011A2" w:rsidR="00A452A5" w:rsidRDefault="00A452A5" w:rsidP="00A452A5">
      <w:pPr>
        <w:pStyle w:val="RECdotpoint"/>
        <w:numPr>
          <w:ilvl w:val="0"/>
          <w:numId w:val="0"/>
        </w:numPr>
      </w:pPr>
      <w:r>
        <w:t xml:space="preserve">Appendix C </w:t>
      </w:r>
      <w:r w:rsidR="00C67110">
        <w:t xml:space="preserve">includes </w:t>
      </w:r>
      <w:r>
        <w:t>details of the stockpile or approved long-term on-site storage estimation methods (only where required) to explain the assumptions and calculations that the authors have completed in providing the estimations.</w:t>
      </w:r>
    </w:p>
    <w:p w14:paraId="66863373" w14:textId="36B02D3E" w:rsidR="00A452A5" w:rsidRDefault="00A452A5" w:rsidP="00A452A5">
      <w:pPr>
        <w:pStyle w:val="RECnormaltext"/>
      </w:pPr>
      <w:r>
        <w:t xml:space="preserve">The stockpile data is redacted (see </w:t>
      </w:r>
      <w:r w:rsidRPr="004F0C48">
        <w:rPr>
          <w:shd w:val="clear" w:color="auto" w:fill="FF0000"/>
        </w:rPr>
        <w:t>red blocks</w:t>
      </w:r>
      <w:r>
        <w:t xml:space="preserve">) where the supporting data is </w:t>
      </w:r>
      <w:r w:rsidRPr="00567E32">
        <w:t>commercial-in-confidence</w:t>
      </w:r>
      <w:r>
        <w:t xml:space="preserve"> as there are few sites and/or stockpile ‘owner’ companies</w:t>
      </w:r>
      <w:r w:rsidRPr="00567E32">
        <w:t xml:space="preserve">. </w:t>
      </w:r>
      <w:r w:rsidR="00BE3BA0">
        <w:t xml:space="preserve">It is important to note </w:t>
      </w:r>
      <w:r>
        <w:t>the ‘data quality’ assessment (see definitions below)</w:t>
      </w:r>
      <w:r w:rsidR="00BE3BA0">
        <w:t xml:space="preserve">. </w:t>
      </w:r>
      <w:r>
        <w:t xml:space="preserve"> </w:t>
      </w:r>
    </w:p>
    <w:p w14:paraId="4570AF33" w14:textId="77777777" w:rsidR="00A452A5" w:rsidRDefault="00A452A5" w:rsidP="00047982">
      <w:pPr>
        <w:pStyle w:val="NonTOCHeading3"/>
      </w:pPr>
      <w:r>
        <w:t xml:space="preserve">Explanation of dataset reporting </w:t>
      </w:r>
    </w:p>
    <w:p w14:paraId="304E3494" w14:textId="62416B07" w:rsidR="00980B4D" w:rsidRDefault="00980B4D" w:rsidP="00A452A5">
      <w:pPr>
        <w:pStyle w:val="RECnormaltext"/>
      </w:pPr>
      <w:r>
        <w:t>Table E2</w:t>
      </w:r>
      <w:r w:rsidR="00A452A5">
        <w:t xml:space="preserve"> provides details of each of the reporting columns that are included in the dataset.</w:t>
      </w:r>
    </w:p>
    <w:p w14:paraId="42F8BFD0" w14:textId="1FC47F9D" w:rsidR="00A452A5" w:rsidRPr="00F23C15" w:rsidRDefault="00A452A5" w:rsidP="00A452A5">
      <w:pPr>
        <w:pStyle w:val="Caption"/>
        <w:spacing w:after="120"/>
      </w:pPr>
      <w:r>
        <w:t xml:space="preserve">Table </w:t>
      </w:r>
      <w:r w:rsidR="00980B4D">
        <w:t>E2</w:t>
      </w:r>
      <w:r w:rsidR="00980B4D">
        <w:tab/>
        <w:t xml:space="preserve"> </w:t>
      </w:r>
      <w:r>
        <w:t>E</w:t>
      </w:r>
      <w:r w:rsidRPr="00F923F1">
        <w:t>xplanation of dataset reporting</w:t>
      </w:r>
    </w:p>
    <w:tbl>
      <w:tblPr>
        <w:tblStyle w:val="BETable13"/>
        <w:tblW w:w="9498" w:type="dxa"/>
        <w:tblLook w:val="04A0" w:firstRow="1" w:lastRow="0" w:firstColumn="1" w:lastColumn="0" w:noHBand="0" w:noVBand="1"/>
      </w:tblPr>
      <w:tblGrid>
        <w:gridCol w:w="2127"/>
        <w:gridCol w:w="7371"/>
      </w:tblGrid>
      <w:tr w:rsidR="00A452A5" w14:paraId="0E15CC14" w14:textId="77777777" w:rsidTr="005A6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808080" w:themeFill="background1" w:themeFillShade="80"/>
          </w:tcPr>
          <w:p w14:paraId="5BE36CF9" w14:textId="77777777" w:rsidR="00A452A5" w:rsidRPr="0005361E" w:rsidRDefault="00A452A5" w:rsidP="005A6EAB">
            <w:pPr>
              <w:pStyle w:val="RECnumberlist"/>
              <w:numPr>
                <w:ilvl w:val="0"/>
                <w:numId w:val="0"/>
              </w:numPr>
              <w:ind w:left="16"/>
            </w:pPr>
            <w:r w:rsidRPr="00A452A5">
              <w:rPr>
                <w:color w:val="FFFFFF" w:themeColor="background1"/>
              </w:rPr>
              <w:t>Reporting</w:t>
            </w:r>
          </w:p>
        </w:tc>
        <w:tc>
          <w:tcPr>
            <w:tcW w:w="7371" w:type="dxa"/>
            <w:shd w:val="clear" w:color="auto" w:fill="808080" w:themeFill="background1" w:themeFillShade="80"/>
          </w:tcPr>
          <w:p w14:paraId="3ED86134" w14:textId="77777777" w:rsidR="00A452A5" w:rsidRPr="0005361E" w:rsidRDefault="00A452A5" w:rsidP="005A6EAB">
            <w:pPr>
              <w:pStyle w:val="RECnormal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5361E">
              <w:rPr>
                <w:color w:val="FFFFFF" w:themeColor="background1"/>
              </w:rPr>
              <w:t>Explanation</w:t>
            </w:r>
          </w:p>
        </w:tc>
      </w:tr>
      <w:tr w:rsidR="00A452A5" w14:paraId="4CEF31A7"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7542D9FA" w14:textId="77777777" w:rsidR="00A452A5" w:rsidRPr="00794B31" w:rsidRDefault="00A452A5" w:rsidP="005A6EAB">
            <w:pPr>
              <w:pStyle w:val="RECnumberlist"/>
              <w:numPr>
                <w:ilvl w:val="0"/>
                <w:numId w:val="0"/>
              </w:numPr>
              <w:ind w:left="16"/>
            </w:pPr>
            <w:r w:rsidRPr="003C3E3F">
              <w:t>Est. tonnes</w:t>
            </w:r>
          </w:p>
        </w:tc>
        <w:tc>
          <w:tcPr>
            <w:tcW w:w="7371" w:type="dxa"/>
          </w:tcPr>
          <w:p w14:paraId="20B14D4C"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This is the estimate of the </w:t>
            </w:r>
            <w:r w:rsidRPr="00267977">
              <w:rPr>
                <w:u w:val="single"/>
              </w:rPr>
              <w:t>total</w:t>
            </w:r>
            <w:r>
              <w:t xml:space="preserve"> tonnage of stockpiled or approved long-term on-site stored wastes in Australia or in each state and territory (Appendix B)</w:t>
            </w:r>
          </w:p>
        </w:tc>
      </w:tr>
      <w:tr w:rsidR="00A452A5" w14:paraId="2B1816DF"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0F50B3BB" w14:textId="77777777" w:rsidR="00A452A5" w:rsidRPr="00794B31" w:rsidRDefault="00A452A5" w:rsidP="005A6EAB">
            <w:pPr>
              <w:pStyle w:val="RECnumberlist"/>
              <w:numPr>
                <w:ilvl w:val="0"/>
                <w:numId w:val="0"/>
              </w:numPr>
              <w:ind w:left="16"/>
            </w:pPr>
            <w:r w:rsidRPr="003C3E3F">
              <w:t>Est. average age (years)</w:t>
            </w:r>
          </w:p>
        </w:tc>
        <w:tc>
          <w:tcPr>
            <w:tcW w:w="7371" w:type="dxa"/>
          </w:tcPr>
          <w:p w14:paraId="260BBB2B"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This is the average age in years of all of the stockpiled or stored wastes by waste type.  </w:t>
            </w:r>
          </w:p>
        </w:tc>
      </w:tr>
      <w:tr w:rsidR="00A452A5" w14:paraId="34668A79"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37E1889D" w14:textId="3ACA489C" w:rsidR="00A452A5" w:rsidRPr="00794B31" w:rsidRDefault="00A452A5" w:rsidP="00B5356E">
            <w:pPr>
              <w:pStyle w:val="RECnumberlist"/>
              <w:numPr>
                <w:ilvl w:val="0"/>
                <w:numId w:val="0"/>
              </w:numPr>
              <w:ind w:left="16"/>
            </w:pPr>
            <w:r w:rsidRPr="003C3E3F">
              <w:t>Primary contam. or risk (</w:t>
            </w:r>
            <w:r w:rsidR="00B5356E" w:rsidRPr="003C3E3F">
              <w:t>NE</w:t>
            </w:r>
            <w:r w:rsidR="00B5356E">
              <w:t>PM</w:t>
            </w:r>
            <w:r w:rsidRPr="003C3E3F">
              <w:t>)</w:t>
            </w:r>
          </w:p>
        </w:tc>
        <w:tc>
          <w:tcPr>
            <w:tcW w:w="7371" w:type="dxa"/>
          </w:tcPr>
          <w:p w14:paraId="6242B6AA" w14:textId="17A07B58"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This is the authors</w:t>
            </w:r>
            <w:r w:rsidR="00B5356E">
              <w:t>’</w:t>
            </w:r>
            <w:r>
              <w:t xml:space="preserve"> understanding of the primary contaminant or risk of concern for each stockpile or storage waste type based on the </w:t>
            </w:r>
            <w:r w:rsidRPr="00267977">
              <w:rPr>
                <w:i/>
              </w:rPr>
              <w:t>National Environment Protection (Movement of Controlled Waste between States and Territories) Measure</w:t>
            </w:r>
            <w:r>
              <w:t>,</w:t>
            </w:r>
            <w:r w:rsidRPr="00267977">
              <w:t xml:space="preserve"> </w:t>
            </w:r>
            <w:r>
              <w:br/>
            </w:r>
            <w:r w:rsidRPr="00E020F8">
              <w:rPr>
                <w:i/>
              </w:rPr>
              <w:t>Schedule A List 1: Waste categories</w:t>
            </w:r>
            <w:r w:rsidRPr="00267977">
              <w:rPr>
                <w:i/>
              </w:rPr>
              <w:t>.</w:t>
            </w:r>
          </w:p>
        </w:tc>
      </w:tr>
      <w:tr w:rsidR="00A452A5" w14:paraId="78FFFEE7"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5CDB2151" w14:textId="77777777" w:rsidR="00A452A5" w:rsidRPr="00794B31" w:rsidRDefault="00A452A5" w:rsidP="005A6EAB">
            <w:pPr>
              <w:pStyle w:val="RECnumberlist"/>
              <w:numPr>
                <w:ilvl w:val="0"/>
                <w:numId w:val="0"/>
              </w:numPr>
              <w:ind w:left="16"/>
            </w:pPr>
            <w:r w:rsidRPr="003C3E3F">
              <w:t xml:space="preserve">Second. contam. or risk (NEPM) </w:t>
            </w:r>
          </w:p>
        </w:tc>
        <w:tc>
          <w:tcPr>
            <w:tcW w:w="7371" w:type="dxa"/>
          </w:tcPr>
          <w:p w14:paraId="5D9A06B4" w14:textId="4776FCD3"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This is the authors</w:t>
            </w:r>
            <w:r w:rsidR="00B5356E">
              <w:t>’</w:t>
            </w:r>
            <w:r>
              <w:t xml:space="preserve"> understanding of the secondary contaminant or risk of concern for each stockpile or storage waste type based on the </w:t>
            </w:r>
            <w:r w:rsidRPr="0066434F">
              <w:rPr>
                <w:i/>
              </w:rPr>
              <w:t>National Environment Protection (Movement of Controlled Waste between States and Territories) Measure</w:t>
            </w:r>
            <w:r w:rsidRPr="0066434F">
              <w:t xml:space="preserve"> </w:t>
            </w:r>
            <w:r>
              <w:t xml:space="preserve">(Controlled Waste NEPM) </w:t>
            </w:r>
            <w:r w:rsidRPr="00267977">
              <w:rPr>
                <w:i/>
              </w:rPr>
              <w:t>Schedule A List 1: Waste categories.</w:t>
            </w:r>
            <w:r>
              <w:rPr>
                <w:i/>
              </w:rPr>
              <w:t xml:space="preserve"> </w:t>
            </w:r>
            <w:r>
              <w:t>For reference a list of the NEPM codes is included in Appendix D.</w:t>
            </w:r>
          </w:p>
        </w:tc>
      </w:tr>
      <w:tr w:rsidR="00A452A5" w14:paraId="15898357"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0FE2EA1E" w14:textId="77777777" w:rsidR="00A452A5" w:rsidRPr="00794B31" w:rsidRDefault="00A452A5" w:rsidP="005A6EAB">
            <w:pPr>
              <w:pStyle w:val="RECnumberlist"/>
              <w:numPr>
                <w:ilvl w:val="0"/>
                <w:numId w:val="0"/>
              </w:numPr>
              <w:ind w:left="16"/>
            </w:pPr>
            <w:r w:rsidRPr="003C3E3F">
              <w:t>Hazwaste each state territory? (Y/N)</w:t>
            </w:r>
          </w:p>
        </w:tc>
        <w:tc>
          <w:tcPr>
            <w:tcW w:w="7371" w:type="dxa"/>
          </w:tcPr>
          <w:p w14:paraId="0F3C40AA"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This is a simple ‘yes’ or ‘no’ analysis of the classification as a hazardous waste for each stockpile or storage type. If the waste is a classified as a hazardous waste (or the jurisdictional equivalent) in each state, then it is listed as yes. If any state or territory does not classify the waste as a hazardous waste then it is listed as no. </w:t>
            </w:r>
          </w:p>
        </w:tc>
      </w:tr>
      <w:tr w:rsidR="00A452A5" w14:paraId="7F6BF976"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57806251" w14:textId="77777777" w:rsidR="00A452A5" w:rsidRPr="00794B31" w:rsidRDefault="00A452A5" w:rsidP="005A6EAB">
            <w:pPr>
              <w:pStyle w:val="RECnumberlist"/>
              <w:numPr>
                <w:ilvl w:val="0"/>
                <w:numId w:val="0"/>
              </w:numPr>
              <w:ind w:left="16"/>
            </w:pPr>
            <w:r w:rsidRPr="003C3E3F">
              <w:t>Primary reason for stockpiling or storage (suggested)</w:t>
            </w:r>
          </w:p>
        </w:tc>
        <w:tc>
          <w:tcPr>
            <w:tcW w:w="7371" w:type="dxa"/>
          </w:tcPr>
          <w:p w14:paraId="7348A2BA"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This is a subjective assessment based on research and consultation of the most likely reason for the hazardous waste stockpiling or approved long-term on-site storage. The main reasons that the project has identified are included in </w:t>
            </w:r>
            <w:r w:rsidRPr="00B219C0">
              <w:t>full text below</w:t>
            </w:r>
            <w:r>
              <w:t xml:space="preserve">.  </w:t>
            </w:r>
          </w:p>
          <w:p w14:paraId="4497A997"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1. Financial costs of processing</w:t>
            </w:r>
          </w:p>
          <w:p w14:paraId="0951CE9D"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2. Lack of (or unstable) off-take markets</w:t>
            </w:r>
          </w:p>
          <w:p w14:paraId="22701ED3"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3. Limited technical ability to treat</w:t>
            </w:r>
          </w:p>
          <w:p w14:paraId="425B4A90"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4. Insufficient installed capacity for treatment </w:t>
            </w:r>
          </w:p>
          <w:p w14:paraId="43483BD9"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5. Insufficient regulatory controls</w:t>
            </w:r>
          </w:p>
          <w:p w14:paraId="452CBCE3"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6. Market behaviour of processing companies to secure hazardous wastes and the associated gate fee, with insufficient or capacity to process the hazardous wastes</w:t>
            </w:r>
          </w:p>
          <w:p w14:paraId="60572E20"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7. Historical industrial practices contaminating sites or building a stockpile that require clean up, with limited/no capital set aside to manage the legacy</w:t>
            </w:r>
          </w:p>
          <w:p w14:paraId="0B915D6A"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8. Commodity linked strongly to global market and commodity prices  </w:t>
            </w:r>
          </w:p>
          <w:p w14:paraId="62B9728A"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9. Transport distances to processing facilities.</w:t>
            </w:r>
          </w:p>
        </w:tc>
      </w:tr>
      <w:tr w:rsidR="00A452A5" w14:paraId="0E63918F"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6C4E2232" w14:textId="77777777" w:rsidR="00A452A5" w:rsidRPr="00794B31" w:rsidRDefault="00A452A5" w:rsidP="005A6EAB">
            <w:pPr>
              <w:pStyle w:val="RECnumberlist"/>
              <w:numPr>
                <w:ilvl w:val="0"/>
                <w:numId w:val="0"/>
              </w:numPr>
              <w:ind w:left="16"/>
            </w:pPr>
            <w:r w:rsidRPr="003C3E3F">
              <w:t>Secondary reason for stockpiling or storage (suggested)</w:t>
            </w:r>
          </w:p>
        </w:tc>
        <w:tc>
          <w:tcPr>
            <w:tcW w:w="7371" w:type="dxa"/>
          </w:tcPr>
          <w:p w14:paraId="0C82BB99" w14:textId="77777777" w:rsidR="00A452A5" w:rsidRDefault="00A452A5" w:rsidP="005A6EAB">
            <w:pPr>
              <w:pStyle w:val="RECnormaltext"/>
              <w:tabs>
                <w:tab w:val="left" w:pos="2177"/>
              </w:tabs>
              <w:cnfStyle w:val="000000000000" w:firstRow="0" w:lastRow="0" w:firstColumn="0" w:lastColumn="0" w:oddVBand="0" w:evenVBand="0" w:oddHBand="0" w:evenHBand="0" w:firstRowFirstColumn="0" w:firstRowLastColumn="0" w:lastRowFirstColumn="0" w:lastRowLastColumn="0"/>
            </w:pPr>
            <w:r>
              <w:t>This is a subjective assessment based on research and consultation of the secondary likely reason for the hazardous waste stockpiling or approved long-term on-site storage, based on the same list of reasons as identified above.</w:t>
            </w:r>
            <w:r>
              <w:tab/>
            </w:r>
          </w:p>
        </w:tc>
      </w:tr>
      <w:tr w:rsidR="00A452A5" w14:paraId="6483C752"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1CD3DE89" w14:textId="77777777" w:rsidR="00A452A5" w:rsidDel="00AE4680" w:rsidRDefault="00A452A5" w:rsidP="005A6EAB">
            <w:pPr>
              <w:pStyle w:val="RECnumberlist"/>
              <w:numPr>
                <w:ilvl w:val="0"/>
                <w:numId w:val="0"/>
              </w:numPr>
              <w:ind w:left="16"/>
              <w:rPr>
                <w:rFonts w:cs="Calibri"/>
                <w:b/>
                <w:bCs/>
              </w:rPr>
            </w:pPr>
            <w:r w:rsidRPr="003C3E3F">
              <w:t>ANZISC code/s gen. sector</w:t>
            </w:r>
          </w:p>
        </w:tc>
        <w:tc>
          <w:tcPr>
            <w:tcW w:w="7371" w:type="dxa"/>
          </w:tcPr>
          <w:p w14:paraId="070D0178"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This refers to the </w:t>
            </w:r>
            <w:r w:rsidRPr="00C512B4">
              <w:t>Australian and New Zealand Standard Industrial Classification (ANZSIC)</w:t>
            </w:r>
            <w:r>
              <w:t xml:space="preserve"> for the </w:t>
            </w:r>
            <w:r w:rsidRPr="00267977">
              <w:rPr>
                <w:u w:val="single"/>
              </w:rPr>
              <w:t>generating</w:t>
            </w:r>
            <w:r>
              <w:t xml:space="preserve"> sector of the stockpile or storage.</w:t>
            </w:r>
          </w:p>
          <w:p w14:paraId="18FE07F3" w14:textId="77777777" w:rsidR="00A452A5" w:rsidDel="00AE4680"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p>
        </w:tc>
      </w:tr>
      <w:tr w:rsidR="00A452A5" w14:paraId="0D49221A" w14:textId="77777777" w:rsidTr="00173A98">
        <w:tc>
          <w:tcPr>
            <w:cnfStyle w:val="001000000000" w:firstRow="0" w:lastRow="0" w:firstColumn="1" w:lastColumn="0" w:oddVBand="0" w:evenVBand="0" w:oddHBand="0" w:evenHBand="0" w:firstRowFirstColumn="0" w:firstRowLastColumn="0" w:lastRowFirstColumn="0" w:lastRowLastColumn="0"/>
            <w:tcW w:w="2127" w:type="dxa"/>
            <w:vAlign w:val="center"/>
          </w:tcPr>
          <w:p w14:paraId="2E829106" w14:textId="77777777" w:rsidR="00A452A5" w:rsidRPr="00B219C0" w:rsidRDefault="00A452A5" w:rsidP="005A6EAB">
            <w:pPr>
              <w:pStyle w:val="RECnumberlist"/>
              <w:numPr>
                <w:ilvl w:val="0"/>
                <w:numId w:val="0"/>
              </w:numPr>
              <w:ind w:left="16"/>
              <w:rPr>
                <w:rFonts w:cs="Calibri"/>
                <w:b/>
              </w:rPr>
            </w:pPr>
            <w:r w:rsidRPr="00B219C0">
              <w:rPr>
                <w:b/>
              </w:rPr>
              <w:t xml:space="preserve">Data quality ass. </w:t>
            </w:r>
          </w:p>
        </w:tc>
        <w:tc>
          <w:tcPr>
            <w:tcW w:w="7371" w:type="dxa"/>
          </w:tcPr>
          <w:p w14:paraId="62024CCC" w14:textId="77777777" w:rsidR="00A452A5" w:rsidDel="00AE4680"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t xml:space="preserve">Refers to the quality of the data and information gathered within the scope of this project. The quality is assessed as high, medium or low according to the groupings explained below. Data quality is presented as the percentage of stockpile or storage sites that are high, med or low (totalling 100% for each waste).  </w:t>
            </w:r>
          </w:p>
        </w:tc>
      </w:tr>
      <w:tr w:rsidR="00A452A5" w14:paraId="1722921D"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49ADF9D0" w14:textId="77777777" w:rsidR="00A452A5" w:rsidRPr="00C0654D" w:rsidRDefault="00A452A5" w:rsidP="005A6EAB">
            <w:pPr>
              <w:pStyle w:val="RECnumberlist"/>
              <w:numPr>
                <w:ilvl w:val="0"/>
                <w:numId w:val="0"/>
              </w:numPr>
              <w:ind w:left="16"/>
            </w:pPr>
            <w:r>
              <w:t xml:space="preserve">High </w:t>
            </w:r>
          </w:p>
        </w:tc>
        <w:tc>
          <w:tcPr>
            <w:tcW w:w="7371" w:type="dxa"/>
          </w:tcPr>
          <w:p w14:paraId="32558D82" w14:textId="77777777" w:rsidR="00A452A5" w:rsidRPr="0063023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rsidRPr="00630235">
              <w:t>Most data supplied directly or</w:t>
            </w:r>
            <w:r>
              <w:t xml:space="preserve"> from credible </w:t>
            </w:r>
            <w:r w:rsidRPr="00630235">
              <w:t>published sources</w:t>
            </w:r>
            <w:r>
              <w:t xml:space="preserve"> with no additional estimates or assumptions required.</w:t>
            </w:r>
          </w:p>
        </w:tc>
      </w:tr>
      <w:tr w:rsidR="00A452A5" w14:paraId="5EF334E1"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244C2CDE" w14:textId="77777777" w:rsidR="00A452A5" w:rsidRPr="00C0654D" w:rsidRDefault="00A452A5" w:rsidP="005A6EAB">
            <w:pPr>
              <w:pStyle w:val="RECnumberlist"/>
              <w:numPr>
                <w:ilvl w:val="0"/>
                <w:numId w:val="0"/>
              </w:numPr>
              <w:ind w:left="16"/>
              <w:rPr>
                <w:rFonts w:cs="Calibri"/>
              </w:rPr>
            </w:pPr>
            <w:r w:rsidRPr="00267977">
              <w:t>Med</w:t>
            </w:r>
            <w:r>
              <w:t xml:space="preserve"> </w:t>
            </w:r>
          </w:p>
        </w:tc>
        <w:tc>
          <w:tcPr>
            <w:tcW w:w="7371" w:type="dxa"/>
          </w:tcPr>
          <w:p w14:paraId="1961FB52"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rsidRPr="00630235">
              <w:t xml:space="preserve">Some data provided </w:t>
            </w:r>
            <w:r>
              <w:t>directly</w:t>
            </w:r>
            <w:r w:rsidRPr="00630235">
              <w:t xml:space="preserve"> or </w:t>
            </w:r>
            <w:r>
              <w:t xml:space="preserve">from </w:t>
            </w:r>
            <w:r w:rsidRPr="00630235">
              <w:t xml:space="preserve">published sources and </w:t>
            </w:r>
            <w:r>
              <w:t>s</w:t>
            </w:r>
            <w:r w:rsidRPr="00630235">
              <w:t xml:space="preserve">ome </w:t>
            </w:r>
            <w:r>
              <w:t xml:space="preserve">additional </w:t>
            </w:r>
            <w:r w:rsidRPr="00630235">
              <w:t>data estimate</w:t>
            </w:r>
            <w:r>
              <w:t>s or assumptions required</w:t>
            </w:r>
            <w:r w:rsidRPr="00630235">
              <w:t>.</w:t>
            </w:r>
          </w:p>
        </w:tc>
      </w:tr>
      <w:tr w:rsidR="00A452A5" w14:paraId="52D6403F" w14:textId="77777777" w:rsidTr="005A6EAB">
        <w:tc>
          <w:tcPr>
            <w:cnfStyle w:val="001000000000" w:firstRow="0" w:lastRow="0" w:firstColumn="1" w:lastColumn="0" w:oddVBand="0" w:evenVBand="0" w:oddHBand="0" w:evenHBand="0" w:firstRowFirstColumn="0" w:firstRowLastColumn="0" w:lastRowFirstColumn="0" w:lastRowLastColumn="0"/>
            <w:tcW w:w="2127" w:type="dxa"/>
          </w:tcPr>
          <w:p w14:paraId="33408F81" w14:textId="77777777" w:rsidR="00A452A5" w:rsidRPr="00C0654D" w:rsidRDefault="00A452A5" w:rsidP="005A6EAB">
            <w:pPr>
              <w:pStyle w:val="RECnumberlist"/>
              <w:numPr>
                <w:ilvl w:val="0"/>
                <w:numId w:val="0"/>
              </w:numPr>
              <w:ind w:left="16"/>
              <w:rPr>
                <w:rFonts w:cs="Calibri"/>
              </w:rPr>
            </w:pPr>
            <w:r w:rsidRPr="00267977">
              <w:t>Low</w:t>
            </w:r>
          </w:p>
        </w:tc>
        <w:tc>
          <w:tcPr>
            <w:tcW w:w="7371" w:type="dxa"/>
          </w:tcPr>
          <w:p w14:paraId="4ECE13B1" w14:textId="77777777" w:rsidR="00A452A5" w:rsidRDefault="00A452A5" w:rsidP="005A6EAB">
            <w:pPr>
              <w:pStyle w:val="RECnormaltext"/>
              <w:cnfStyle w:val="000000000000" w:firstRow="0" w:lastRow="0" w:firstColumn="0" w:lastColumn="0" w:oddVBand="0" w:evenVBand="0" w:oddHBand="0" w:evenHBand="0" w:firstRowFirstColumn="0" w:firstRowLastColumn="0" w:lastRowFirstColumn="0" w:lastRowLastColumn="0"/>
            </w:pPr>
            <w:r w:rsidRPr="00630235">
              <w:t>Most data estimat</w:t>
            </w:r>
            <w:r>
              <w:t>ed based on credible references but still requiring significant estimations and assumptions and therefore is of lower quality</w:t>
            </w:r>
            <w:r w:rsidRPr="00630235">
              <w:t>.</w:t>
            </w:r>
            <w:r>
              <w:t xml:space="preserve"> Low quality data estimates need to be used with caution.</w:t>
            </w:r>
          </w:p>
        </w:tc>
      </w:tr>
    </w:tbl>
    <w:p w14:paraId="2F973906" w14:textId="03BC49EA" w:rsidR="00DD09DA" w:rsidRDefault="00DD09DA" w:rsidP="00DD09DA">
      <w:pPr>
        <w:pStyle w:val="RECnormaltext"/>
      </w:pPr>
    </w:p>
    <w:p w14:paraId="264ED608" w14:textId="77777777" w:rsidR="00A452A5" w:rsidRDefault="00A452A5" w:rsidP="00DD09DA">
      <w:pPr>
        <w:pStyle w:val="RECnormaltext"/>
        <w:sectPr w:rsidR="00A452A5" w:rsidSect="00980B4D">
          <w:headerReference w:type="even" r:id="rId17"/>
          <w:headerReference w:type="default" r:id="rId18"/>
          <w:footerReference w:type="default" r:id="rId19"/>
          <w:headerReference w:type="first" r:id="rId20"/>
          <w:pgSz w:w="11906" w:h="16838"/>
          <w:pgMar w:top="1810" w:right="1440" w:bottom="1440" w:left="1440" w:header="708" w:footer="708" w:gutter="0"/>
          <w:pgNumType w:fmt="lowerRoman" w:start="1"/>
          <w:cols w:space="708"/>
          <w:docGrid w:linePitch="360"/>
        </w:sectPr>
      </w:pPr>
    </w:p>
    <w:p w14:paraId="684B2091" w14:textId="6C746693" w:rsidR="0094696B" w:rsidRDefault="00A555B5" w:rsidP="00A452A5">
      <w:pPr>
        <w:pStyle w:val="Caption"/>
        <w:ind w:left="-426" w:firstLine="709"/>
      </w:pPr>
      <w:r w:rsidRPr="00A555B5">
        <w:rPr>
          <w:noProof/>
          <w:lang w:eastAsia="en-AU"/>
        </w:rPr>
        <w:drawing>
          <wp:anchor distT="0" distB="0" distL="114300" distR="114300" simplePos="0" relativeHeight="251695104" behindDoc="0" locked="0" layoutInCell="1" allowOverlap="1" wp14:anchorId="5DA1C7DB" wp14:editId="3BD78E94">
            <wp:simplePos x="0" y="0"/>
            <wp:positionH relativeFrom="column">
              <wp:posOffset>-292735</wp:posOffset>
            </wp:positionH>
            <wp:positionV relativeFrom="paragraph">
              <wp:posOffset>284480</wp:posOffset>
            </wp:positionV>
            <wp:extent cx="9808210" cy="3253740"/>
            <wp:effectExtent l="0" t="0" r="254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808210" cy="3253740"/>
                    </a:xfrm>
                    <a:prstGeom prst="rect">
                      <a:avLst/>
                    </a:prstGeom>
                  </pic:spPr>
                </pic:pic>
              </a:graphicData>
            </a:graphic>
            <wp14:sizeRelH relativeFrom="margin">
              <wp14:pctWidth>0</wp14:pctWidth>
            </wp14:sizeRelH>
            <wp14:sizeRelV relativeFrom="margin">
              <wp14:pctHeight>0</wp14:pctHeight>
            </wp14:sizeRelV>
          </wp:anchor>
        </w:drawing>
      </w:r>
      <w:r w:rsidR="00A452A5">
        <w:rPr>
          <w:noProof/>
          <w:lang w:eastAsia="en-AU"/>
        </w:rPr>
        <mc:AlternateContent>
          <mc:Choice Requires="wps">
            <w:drawing>
              <wp:anchor distT="0" distB="0" distL="114300" distR="114300" simplePos="0" relativeHeight="251679744" behindDoc="0" locked="0" layoutInCell="1" allowOverlap="1" wp14:anchorId="1E12B87F" wp14:editId="6A25113C">
                <wp:simplePos x="0" y="0"/>
                <wp:positionH relativeFrom="column">
                  <wp:posOffset>-126052</wp:posOffset>
                </wp:positionH>
                <wp:positionV relativeFrom="paragraph">
                  <wp:posOffset>4626516</wp:posOffset>
                </wp:positionV>
                <wp:extent cx="9207500" cy="1233170"/>
                <wp:effectExtent l="57150" t="38100" r="50800" b="81280"/>
                <wp:wrapSquare wrapText="bothSides"/>
                <wp:docPr id="21" name="Rectangle: Rounded Corners 21"/>
                <wp:cNvGraphicFramePr/>
                <a:graphic xmlns:a="http://schemas.openxmlformats.org/drawingml/2006/main">
                  <a:graphicData uri="http://schemas.microsoft.com/office/word/2010/wordprocessingShape">
                    <wps:wsp>
                      <wps:cNvSpPr/>
                      <wps:spPr>
                        <a:xfrm>
                          <a:off x="0" y="0"/>
                          <a:ext cx="9207500" cy="123317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358221D0" w14:textId="77777777" w:rsidR="00067AC0" w:rsidRPr="00267977" w:rsidRDefault="00067AC0" w:rsidP="00A452A5">
                            <w:pPr>
                              <w:pStyle w:val="RECnormaltext"/>
                              <w:jc w:val="both"/>
                              <w:rPr>
                                <w:b/>
                                <w:color w:val="FFFFFF" w:themeColor="background1"/>
                              </w:rPr>
                            </w:pPr>
                            <w:r>
                              <w:rPr>
                                <w:b/>
                                <w:color w:val="FFFFFF" w:themeColor="background1"/>
                              </w:rPr>
                              <w:t>Important: b</w:t>
                            </w:r>
                            <w:r w:rsidRPr="00267977">
                              <w:rPr>
                                <w:b/>
                                <w:color w:val="FFFFFF" w:themeColor="background1"/>
                              </w:rPr>
                              <w:t>lan</w:t>
                            </w:r>
                            <w:r>
                              <w:rPr>
                                <w:b/>
                                <w:color w:val="FFFFFF" w:themeColor="background1"/>
                              </w:rPr>
                              <w:t>k</w:t>
                            </w:r>
                            <w:r w:rsidRPr="00267977">
                              <w:rPr>
                                <w:b/>
                                <w:color w:val="FFFFFF" w:themeColor="background1"/>
                              </w:rPr>
                              <w:t xml:space="preserve"> ‘tonnage estimate’ column does not mean zero </w:t>
                            </w:r>
                            <w:r>
                              <w:rPr>
                                <w:b/>
                                <w:color w:val="FFFFFF" w:themeColor="background1"/>
                              </w:rPr>
                              <w:t xml:space="preserve">tonnage </w:t>
                            </w:r>
                            <w:r w:rsidRPr="00267977">
                              <w:rPr>
                                <w:b/>
                                <w:color w:val="FFFFFF" w:themeColor="background1"/>
                              </w:rPr>
                              <w:t>stockpile</w:t>
                            </w:r>
                          </w:p>
                          <w:p w14:paraId="5C57F97C" w14:textId="77777777" w:rsidR="00067AC0" w:rsidRPr="00331B66" w:rsidRDefault="00067AC0" w:rsidP="00A452A5">
                            <w:pPr>
                              <w:pStyle w:val="RECnormaltext"/>
                              <w:rPr>
                                <w:color w:val="FFFFFF" w:themeColor="background1"/>
                              </w:rPr>
                            </w:pPr>
                            <w:r>
                              <w:rPr>
                                <w:color w:val="FFFFFF" w:themeColor="background1"/>
                              </w:rPr>
                              <w:t>The list of stockpile waste types is based on research and consultation that found that there are likely stockpiles of each of these waste types in Australia. However, for some wastes there was insufficient information to provide an estimate. For example, there are significant PFAS contaminated soils sites around Australia that are likely to require clean-up, requiring treatment infrastructure capacity to clear the stocks. There was insufficient data available to provide an estimate for this significant stockpile of contaminated soils. See discussion below for further information about each waste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E12B87F" id="Rectangle: Rounded Corners 21" o:spid="_x0000_s1027" style="position:absolute;left:0;text-align:left;margin-left:-9.95pt;margin-top:364.3pt;width:725pt;height:97.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lpgIAALsFAAAOAAAAZHJzL2Uyb0RvYy54bWysVFtP2zAUfp+0/2D5faQJZYyoKaqKmCYx&#10;QMDEs+vYbTTbx7PdJt2v59hJA2ObkKa9JD7323fO7LzTiuyE8w2YiuZHE0qE4VA3Zl3Rbw+XHz5R&#10;4gMzNVNgREX3wtPz+ft3s9aWooANqFo4gk6ML1tb0U0ItswyzzdCM38EVhgUSnCaBSTdOqsda9G7&#10;VlkxmXzMWnC1dcCF98i96IV0nvxLKXi4kdKLQFRFMbeQvi59V/GbzWesXDtmNw0f0mD/kIVmjcGg&#10;o6sLFhjZuuY3V7rhDjzIcMRBZyBlw0WqAavJJ6+qud8wK1It2Bxvxzb5/+eWX+9uHWnqihY5JYZp&#10;nNEddo2ZtRIluYOtqUVNluAMDpmgEnastb5Ew3t76wbK4zOW30mn4x8LI13q8n7ssugC4cg8Kyan&#10;JxMcBkdZXhwf56dpDtmzuXU+fBagSXxU1MUsYlapxWx35QPGRf2DXgzpQTX1ZaNUIiJ+xFI5smM4&#10;+dDlyVRt9Veoex6mgEmk+SMbUfKKje4TCqOXFOyXAMrEMAZiwD6XyMliZ/pepFfYKxH1lLkTEruM&#10;1feJjJ77oPX31FcMmTSjiUTHo1GRsv+r0aAbzUTC/Gj4RrRRO0UEE0ZD3Rhwb0Tt9Q9V97XGskO3&#10;6hKkRrCsoN4jzBz0++ctv2xwslfMh1vmcOEQDXhEwg1+pIK2ojC8KNmA+/knftTHPUApJS0ucEX9&#10;jy1zghL1xeCGnOXTadz4RExPTgsk3EvJ6qXEbPUSECm4BJhdekb9oA5P6UA/4q1ZxKgoYoZj7Iry&#10;4A7EMvSHBa8VF4tFUsMttyxcmXvLD7OPoH3oHpmzA7wDbsY1HJadla8A3uvGCRlYbAPIJqE/drrv&#10;6zABvBAJp8M1iyfoJZ20nm/u/AkAAP//AwBQSwMEFAAGAAgAAAAhAKQB2f/jAAAADAEAAA8AAABk&#10;cnMvZG93bnJldi54bWxMj0FPg0AQhe8m/ofNmHhrF9BUQJbGVkysMWls9eBtCiMQ2VnCbin+e7cn&#10;PU7el/e+yZaT7sRIg20NKwjnAQji0lQt1wre90+zGIR1yBV2hknBD1lY5pcXGaaVOfEbjTtXC1/C&#10;NkUFjXN9KqUtG9Jo56Yn9tmXGTQ6fw61rAY8+XLdySgIFlJjy36hwZ7WDZXfu6NW8GxfVvsiXJvP&#10;x7Hfbj5ei+0KC6Wur6aHexCOJvcHw1nfq0PunQ7myJUVnYJZmCQeVXAXxQsQZ+L2JghBHBQkURSD&#10;zDP5/4n8FwAA//8DAFBLAQItABQABgAIAAAAIQC2gziS/gAAAOEBAAATAAAAAAAAAAAAAAAAAAAA&#10;AABbQ29udGVudF9UeXBlc10ueG1sUEsBAi0AFAAGAAgAAAAhADj9If/WAAAAlAEAAAsAAAAAAAAA&#10;AAAAAAAALwEAAF9yZWxzLy5yZWxzUEsBAi0AFAAGAAgAAAAhAH0uj6WmAgAAuwUAAA4AAAAAAAAA&#10;AAAAAAAALgIAAGRycy9lMm9Eb2MueG1sUEsBAi0AFAAGAAgAAAAhAKQB2f/jAAAADAEAAA8AAAAA&#10;AAAAAAAAAAAAAAUAAGRycy9kb3ducmV2LnhtbFBLBQYAAAAABAAEAPMAAAAQBgAAAAA=&#10;" fillcolor="gray [1629]" stroked="f">
                <v:shadow on="t" color="black" opacity="24903f" origin=",.5" offset="0,.55556mm"/>
                <v:textbox>
                  <w:txbxContent>
                    <w:p w14:paraId="358221D0" w14:textId="77777777" w:rsidR="00067AC0" w:rsidRPr="00267977" w:rsidRDefault="00067AC0" w:rsidP="00A452A5">
                      <w:pPr>
                        <w:pStyle w:val="RECnormaltext"/>
                        <w:jc w:val="both"/>
                        <w:rPr>
                          <w:b/>
                          <w:color w:val="FFFFFF" w:themeColor="background1"/>
                        </w:rPr>
                      </w:pPr>
                      <w:r>
                        <w:rPr>
                          <w:b/>
                          <w:color w:val="FFFFFF" w:themeColor="background1"/>
                        </w:rPr>
                        <w:t>Important: b</w:t>
                      </w:r>
                      <w:r w:rsidRPr="00267977">
                        <w:rPr>
                          <w:b/>
                          <w:color w:val="FFFFFF" w:themeColor="background1"/>
                        </w:rPr>
                        <w:t>lan</w:t>
                      </w:r>
                      <w:r>
                        <w:rPr>
                          <w:b/>
                          <w:color w:val="FFFFFF" w:themeColor="background1"/>
                        </w:rPr>
                        <w:t>k</w:t>
                      </w:r>
                      <w:r w:rsidRPr="00267977">
                        <w:rPr>
                          <w:b/>
                          <w:color w:val="FFFFFF" w:themeColor="background1"/>
                        </w:rPr>
                        <w:t xml:space="preserve"> ‘tonnage estimate’ column does not mean zero </w:t>
                      </w:r>
                      <w:r>
                        <w:rPr>
                          <w:b/>
                          <w:color w:val="FFFFFF" w:themeColor="background1"/>
                        </w:rPr>
                        <w:t xml:space="preserve">tonnage </w:t>
                      </w:r>
                      <w:r w:rsidRPr="00267977">
                        <w:rPr>
                          <w:b/>
                          <w:color w:val="FFFFFF" w:themeColor="background1"/>
                        </w:rPr>
                        <w:t>stockpile</w:t>
                      </w:r>
                    </w:p>
                    <w:p w14:paraId="5C57F97C" w14:textId="77777777" w:rsidR="00067AC0" w:rsidRPr="00331B66" w:rsidRDefault="00067AC0" w:rsidP="00A452A5">
                      <w:pPr>
                        <w:pStyle w:val="RECnormaltext"/>
                        <w:rPr>
                          <w:color w:val="FFFFFF" w:themeColor="background1"/>
                        </w:rPr>
                      </w:pPr>
                      <w:r>
                        <w:rPr>
                          <w:color w:val="FFFFFF" w:themeColor="background1"/>
                        </w:rPr>
                        <w:t xml:space="preserve">The list of stockpile waste types is based on research and consultation that found that there are likely stockpiles of each of these waste types in Australia. However, for some wastes there was insufficient information to provide an estimate. For example, there are significant </w:t>
                      </w:r>
                      <w:proofErr w:type="spellStart"/>
                      <w:r>
                        <w:rPr>
                          <w:color w:val="FFFFFF" w:themeColor="background1"/>
                        </w:rPr>
                        <w:t>PFAS</w:t>
                      </w:r>
                      <w:proofErr w:type="spellEnd"/>
                      <w:r>
                        <w:rPr>
                          <w:color w:val="FFFFFF" w:themeColor="background1"/>
                        </w:rPr>
                        <w:t xml:space="preserve"> contaminated soils sites around Australia that are likely to require clean-up, requiring treatment infrastructure capacity to clear the stocks. There was insufficient data available to provide an estimate for this significant stockpile of contaminated soils. See discussion below for further information about each waste type.</w:t>
                      </w:r>
                    </w:p>
                  </w:txbxContent>
                </v:textbox>
                <w10:wrap type="square"/>
              </v:roundrect>
            </w:pict>
          </mc:Fallback>
        </mc:AlternateContent>
      </w:r>
      <w:r w:rsidR="00A452A5">
        <w:t xml:space="preserve">Table </w:t>
      </w:r>
      <w:r w:rsidR="00980B4D">
        <w:t xml:space="preserve">E3  </w:t>
      </w:r>
      <w:r w:rsidR="00A452A5">
        <w:t xml:space="preserve"> National hazardous waste stockpiles and approved l</w:t>
      </w:r>
      <w:r w:rsidR="00FD56BC">
        <w:t xml:space="preserve">ong-term on-site storage </w:t>
      </w:r>
    </w:p>
    <w:p w14:paraId="522D4009" w14:textId="7300801F" w:rsidR="00A452A5" w:rsidRDefault="00A452A5" w:rsidP="00173A98">
      <w:pPr>
        <w:pStyle w:val="RECnormaltext"/>
      </w:pPr>
    </w:p>
    <w:p w14:paraId="1B2660E2" w14:textId="77777777" w:rsidR="00173A98" w:rsidRPr="00173A98" w:rsidRDefault="00173A98" w:rsidP="00173A98">
      <w:pPr>
        <w:pStyle w:val="RECnormaltext"/>
      </w:pPr>
    </w:p>
    <w:p w14:paraId="5BD241C1" w14:textId="196036E3" w:rsidR="00173A98" w:rsidRDefault="00173A98" w:rsidP="0094696B">
      <w:pPr>
        <w:pStyle w:val="RECnormaltext"/>
        <w:sectPr w:rsidR="00173A98" w:rsidSect="00980B4D">
          <w:headerReference w:type="even" r:id="rId22"/>
          <w:headerReference w:type="default" r:id="rId23"/>
          <w:footerReference w:type="default" r:id="rId24"/>
          <w:headerReference w:type="first" r:id="rId25"/>
          <w:pgSz w:w="16838" w:h="11906" w:orient="landscape"/>
          <w:pgMar w:top="1440" w:right="1810" w:bottom="851" w:left="1134" w:header="708" w:footer="469" w:gutter="0"/>
          <w:pgNumType w:fmt="lowerRoman"/>
          <w:cols w:space="708"/>
          <w:docGrid w:linePitch="360"/>
        </w:sectPr>
      </w:pPr>
    </w:p>
    <w:p w14:paraId="5F181E2C" w14:textId="2C6CC598" w:rsidR="003A6CD9" w:rsidRDefault="003A6CD9" w:rsidP="00047982">
      <w:pPr>
        <w:pStyle w:val="NonTOCHeading3"/>
      </w:pPr>
      <w:r w:rsidRPr="00047982">
        <w:t>Overall</w:t>
      </w:r>
      <w:r>
        <w:t xml:space="preserve"> </w:t>
      </w:r>
    </w:p>
    <w:p w14:paraId="05D34D92" w14:textId="0C3DAA8A" w:rsidR="00E05358" w:rsidRDefault="00032E99" w:rsidP="00EB1481">
      <w:r>
        <w:t>There are an estimated 6.2 million tonnes of ‘hazardous waste’</w:t>
      </w:r>
      <w:r>
        <w:rPr>
          <w:rStyle w:val="FootnoteReference"/>
        </w:rPr>
        <w:footnoteReference w:id="3"/>
      </w:r>
      <w:r>
        <w:t xml:space="preserve"> in stockpiles around Australia. It should be noted that the stockpile number would likely be significantly higher if data were available for PFAS contaminated soils and groundwater in Australia. When approved long-term on-site storages are included, </w:t>
      </w:r>
      <w:r w:rsidR="00E05358">
        <w:t xml:space="preserve">more than double the tonnages </w:t>
      </w:r>
      <w:r w:rsidR="00E05358" w:rsidRPr="00F54E66">
        <w:rPr>
          <w:shd w:val="clear" w:color="auto" w:fill="FF0000"/>
        </w:rPr>
        <w:t>(</w:t>
      </w:r>
      <w:r w:rsidR="00E05358">
        <w:rPr>
          <w:shd w:val="clear" w:color="auto" w:fill="FF0000"/>
        </w:rPr>
        <w:t>CIC)</w:t>
      </w:r>
      <w:r>
        <w:t xml:space="preserve"> </w:t>
      </w:r>
      <w:r w:rsidR="00EB1481">
        <w:t xml:space="preserve">of hazardous waste </w:t>
      </w:r>
      <w:r w:rsidR="00E70169">
        <w:t>are</w:t>
      </w:r>
      <w:r w:rsidR="00EB1481">
        <w:t xml:space="preserve"> estimated to be either stockpiled or in approved long-term on-site storages in Australia.</w:t>
      </w:r>
      <w:r w:rsidR="00E05358">
        <w:t xml:space="preserve"> </w:t>
      </w:r>
    </w:p>
    <w:p w14:paraId="24EC3E4E" w14:textId="72B6C029" w:rsidR="00E05358" w:rsidRDefault="00E05358" w:rsidP="00EB1481">
      <w:pPr>
        <w:rPr>
          <w:highlight w:val="red"/>
        </w:rPr>
      </w:pPr>
      <w:r>
        <w:rPr>
          <w:highlight w:val="red"/>
        </w:rPr>
        <w:t>CIC</w:t>
      </w:r>
      <w:r w:rsidR="00EB1481" w:rsidRPr="00B219C0">
        <w:rPr>
          <w:highlight w:val="red"/>
        </w:rPr>
        <w:t>.</w:t>
      </w:r>
    </w:p>
    <w:p w14:paraId="039453BA" w14:textId="77777777" w:rsidR="00E05358" w:rsidRPr="00163747" w:rsidRDefault="00E05358" w:rsidP="00EB1481">
      <w:pPr>
        <w:rPr>
          <w:rFonts w:asciiTheme="minorHAnsi" w:eastAsia="Calibri" w:hAnsiTheme="minorHAnsi" w:cs="Arial"/>
          <w:color w:val="auto"/>
          <w:szCs w:val="20"/>
        </w:rPr>
      </w:pPr>
    </w:p>
    <w:p w14:paraId="5DD52851" w14:textId="77777777" w:rsidR="00EB1481" w:rsidRDefault="00EB1481" w:rsidP="00EB1481">
      <w:pPr>
        <w:rPr>
          <w:rFonts w:asciiTheme="minorHAnsi" w:eastAsia="Calibri" w:hAnsiTheme="minorHAnsi" w:cs="Arial"/>
          <w:color w:val="auto"/>
          <w:szCs w:val="20"/>
        </w:rPr>
      </w:pPr>
      <w:r>
        <w:t xml:space="preserve">Reporting and discussion of both </w:t>
      </w:r>
      <w:r w:rsidRPr="00C12A6A">
        <w:rPr>
          <w:rFonts w:asciiTheme="minorHAnsi" w:eastAsia="Calibri" w:hAnsiTheme="minorHAnsi" w:cs="Arial"/>
          <w:color w:val="auto"/>
          <w:szCs w:val="20"/>
        </w:rPr>
        <w:t>stockpile</w:t>
      </w:r>
      <w:r>
        <w:rPr>
          <w:rFonts w:asciiTheme="minorHAnsi" w:eastAsia="Calibri" w:hAnsiTheme="minorHAnsi" w:cs="Arial"/>
          <w:color w:val="auto"/>
          <w:szCs w:val="20"/>
        </w:rPr>
        <w:t>s</w:t>
      </w:r>
      <w:r w:rsidRPr="00C12A6A">
        <w:rPr>
          <w:rFonts w:asciiTheme="minorHAnsi" w:eastAsia="Calibri" w:hAnsiTheme="minorHAnsi" w:cs="Arial"/>
          <w:color w:val="auto"/>
          <w:szCs w:val="20"/>
        </w:rPr>
        <w:t xml:space="preserve"> and approved long-term on-site storage</w:t>
      </w:r>
      <w:r>
        <w:rPr>
          <w:rFonts w:asciiTheme="minorHAnsi" w:eastAsia="Calibri" w:hAnsiTheme="minorHAnsi" w:cs="Arial"/>
          <w:color w:val="auto"/>
          <w:szCs w:val="20"/>
        </w:rPr>
        <w:t>s has merit, but they need to be reported as separate line items and it needs to be recognised that in most instances ‘clearance’ requirements are not applied to</w:t>
      </w:r>
      <w:r w:rsidRPr="00C12A6A">
        <w:rPr>
          <w:rFonts w:asciiTheme="minorHAnsi" w:eastAsia="Calibri" w:hAnsiTheme="minorHAnsi" w:cs="Arial"/>
          <w:color w:val="auto"/>
          <w:szCs w:val="20"/>
        </w:rPr>
        <w:t xml:space="preserve"> approved long-term on-site storage</w:t>
      </w:r>
      <w:r>
        <w:rPr>
          <w:rFonts w:asciiTheme="minorHAnsi" w:eastAsia="Calibri" w:hAnsiTheme="minorHAnsi" w:cs="Arial"/>
          <w:color w:val="auto"/>
          <w:szCs w:val="20"/>
        </w:rPr>
        <w:t>s.</w:t>
      </w:r>
    </w:p>
    <w:p w14:paraId="5578A3E9" w14:textId="31E94B6F" w:rsidR="00EB1481" w:rsidRPr="0064404F" w:rsidRDefault="00EB1481" w:rsidP="00EB1481">
      <w:pPr>
        <w:rPr>
          <w:rFonts w:asciiTheme="minorHAnsi" w:eastAsia="Calibri" w:hAnsiTheme="minorHAnsi" w:cs="Arial"/>
          <w:color w:val="auto"/>
          <w:szCs w:val="20"/>
        </w:rPr>
      </w:pPr>
      <w:r>
        <w:rPr>
          <w:rFonts w:asciiTheme="minorHAnsi" w:eastAsia="Calibri" w:hAnsiTheme="minorHAnsi" w:cs="Arial"/>
          <w:color w:val="auto"/>
          <w:szCs w:val="20"/>
        </w:rPr>
        <w:t xml:space="preserve">The main reasons for reporting </w:t>
      </w:r>
      <w:r w:rsidRPr="00C12A6A">
        <w:rPr>
          <w:rFonts w:asciiTheme="minorHAnsi" w:eastAsia="Calibri" w:hAnsiTheme="minorHAnsi" w:cs="Arial"/>
          <w:color w:val="auto"/>
          <w:szCs w:val="20"/>
        </w:rPr>
        <w:t>approved long-term on-site storage</w:t>
      </w:r>
      <w:r>
        <w:rPr>
          <w:rFonts w:asciiTheme="minorHAnsi" w:eastAsia="Calibri" w:hAnsiTheme="minorHAnsi" w:cs="Arial"/>
          <w:color w:val="auto"/>
          <w:szCs w:val="20"/>
        </w:rPr>
        <w:t>s in the</w:t>
      </w:r>
      <w:r w:rsidRPr="0064404F">
        <w:rPr>
          <w:rFonts w:asciiTheme="minorHAnsi" w:eastAsia="Calibri" w:hAnsiTheme="minorHAnsi" w:cs="Arial"/>
          <w:color w:val="auto"/>
          <w:szCs w:val="20"/>
        </w:rPr>
        <w:t xml:space="preserve"> dataset, reported separately as a sub-total, </w:t>
      </w:r>
      <w:r>
        <w:rPr>
          <w:rFonts w:asciiTheme="minorHAnsi" w:eastAsia="Calibri" w:hAnsiTheme="minorHAnsi" w:cs="Arial"/>
          <w:color w:val="auto"/>
          <w:szCs w:val="20"/>
        </w:rPr>
        <w:t>include</w:t>
      </w:r>
      <w:r w:rsidR="009D71CE">
        <w:rPr>
          <w:rFonts w:asciiTheme="minorHAnsi" w:eastAsia="Calibri" w:hAnsiTheme="minorHAnsi" w:cs="Arial"/>
          <w:color w:val="auto"/>
          <w:szCs w:val="20"/>
        </w:rPr>
        <w:t>:</w:t>
      </w:r>
    </w:p>
    <w:p w14:paraId="1034FE7C" w14:textId="77777777" w:rsidR="00EB1481" w:rsidRPr="0064404F" w:rsidRDefault="00EB1481" w:rsidP="00B219C0">
      <w:pPr>
        <w:pStyle w:val="RECnormaltext"/>
        <w:numPr>
          <w:ilvl w:val="0"/>
          <w:numId w:val="84"/>
        </w:numPr>
        <w:ind w:left="426"/>
      </w:pPr>
      <w:r>
        <w:t xml:space="preserve">As </w:t>
      </w:r>
      <w:r w:rsidRPr="0064404F">
        <w:t xml:space="preserve">these wastes do not leave the site, typically the wastes are not tracked via state waste tracking systems, and there may be </w:t>
      </w:r>
      <w:r>
        <w:t xml:space="preserve">little or </w:t>
      </w:r>
      <w:r w:rsidRPr="0064404F">
        <w:t xml:space="preserve">no reporting of generation and disposal rates to state environment departments </w:t>
      </w:r>
    </w:p>
    <w:p w14:paraId="5C13908B" w14:textId="77777777" w:rsidR="00EB1481" w:rsidRDefault="00EB1481" w:rsidP="00B219C0">
      <w:pPr>
        <w:pStyle w:val="RECnormaltext"/>
        <w:numPr>
          <w:ilvl w:val="0"/>
          <w:numId w:val="84"/>
        </w:numPr>
        <w:ind w:left="426"/>
      </w:pPr>
      <w:r w:rsidRPr="0064404F">
        <w:t>These wastes typically differ from those sent off-site to a licensed landfill (for example) where there is a transfer of the waste ‘ownership’ and liability for the long-term management.</w:t>
      </w:r>
    </w:p>
    <w:p w14:paraId="759D18DB" w14:textId="745A59A9" w:rsidR="00EB1481" w:rsidRPr="003A7298" w:rsidRDefault="00EB1481" w:rsidP="003A7298">
      <w:pPr>
        <w:pStyle w:val="RECnormaltext"/>
        <w:shd w:val="clear" w:color="auto" w:fill="FFFFFF" w:themeFill="background1"/>
      </w:pPr>
      <w:r w:rsidRPr="003A7298">
        <w:t>Of the estimated 6.</w:t>
      </w:r>
      <w:r w:rsidR="003A7298" w:rsidRPr="003A7298">
        <w:t>2</w:t>
      </w:r>
      <w:r w:rsidRPr="003A7298">
        <w:t xml:space="preserve"> million tonnes of stockpiled wastes in Australia some </w:t>
      </w:r>
      <w:r w:rsidR="003A7298" w:rsidRPr="003A7298">
        <w:t>72</w:t>
      </w:r>
      <w:r w:rsidRPr="003A7298">
        <w:t>% of the wastes are asbestos waste and contaminated biosolids. Spent pot lining from aluminium smelting and end-of-life tyres both make up about 10% each and the remaining waste types combine to make up 5% of the 6.</w:t>
      </w:r>
      <w:r w:rsidR="003A7298" w:rsidRPr="003A7298">
        <w:t>2</w:t>
      </w:r>
      <w:r w:rsidRPr="003A7298">
        <w:t xml:space="preserve"> million tonnes. </w:t>
      </w:r>
    </w:p>
    <w:p w14:paraId="26CF8D22" w14:textId="7DF28951" w:rsidR="00EB1481" w:rsidRDefault="00EB1481" w:rsidP="00EB1481">
      <w:pPr>
        <w:pStyle w:val="RECnormaltext"/>
      </w:pPr>
      <w:r w:rsidRPr="003A7298">
        <w:rPr>
          <w:b/>
        </w:rPr>
        <w:t>It is important not to focus too much on the total tonnages of different hazardous wastes</w:t>
      </w:r>
      <w:r w:rsidRPr="003A7298">
        <w:t>. For example, the HCB stockpile at 15,000 tonnes, or just 0.2% of the 6.</w:t>
      </w:r>
      <w:r w:rsidR="003A7298">
        <w:t>2</w:t>
      </w:r>
      <w:r w:rsidRPr="003A7298">
        <w:t xml:space="preserve"> million tonne stockpile, is not a significant proportion. However, </w:t>
      </w:r>
      <w:r w:rsidR="003A7298">
        <w:t xml:space="preserve">this is </w:t>
      </w:r>
      <w:hyperlink r:id="rId26" w:history="1">
        <w:r w:rsidR="003A7298" w:rsidRPr="00BA4B15">
          <w:rPr>
            <w:rStyle w:val="Hyperlink"/>
          </w:rPr>
          <w:t>reportedly</w:t>
        </w:r>
      </w:hyperlink>
      <w:r w:rsidR="003A7298">
        <w:t xml:space="preserve"> the largest stockpile of </w:t>
      </w:r>
      <w:r w:rsidRPr="003A7298">
        <w:t xml:space="preserve">HCB </w:t>
      </w:r>
      <w:r w:rsidR="003A7298">
        <w:t xml:space="preserve">in the world and it </w:t>
      </w:r>
      <w:r w:rsidRPr="003A7298">
        <w:t>is highly hazardous and has been extremely difficult to manage and is likely to be exported for treatment due to a lack of local treatment infrastructure capabilities and development.</w:t>
      </w:r>
    </w:p>
    <w:p w14:paraId="036629B2" w14:textId="77777777" w:rsidR="00EB1481" w:rsidRDefault="00EB1481" w:rsidP="00047982">
      <w:pPr>
        <w:pStyle w:val="NonTOCHeading3"/>
      </w:pPr>
      <w:r w:rsidRPr="00BA4B15">
        <w:t>Average age</w:t>
      </w:r>
    </w:p>
    <w:p w14:paraId="015A4B10" w14:textId="727C1FE6" w:rsidR="00EB1481" w:rsidRDefault="00EB1481" w:rsidP="00EB1481">
      <w:pPr>
        <w:pStyle w:val="RECnormaltext"/>
      </w:pPr>
      <w:r>
        <w:t>The average age for both stockpiles and approved long-term on-site storages is around 28 years. Stockpiles and storages resulting from older industrial development in Australia include contaminated biosolids (70 years), asbestos</w:t>
      </w:r>
      <w:r w:rsidR="004817BF">
        <w:t xml:space="preserve"> and</w:t>
      </w:r>
      <w:r>
        <w:t xml:space="preserve"> HCB (50 years), followed by waste from </w:t>
      </w:r>
      <w:r w:rsidR="00DC7EFA">
        <w:t xml:space="preserve">alumina </w:t>
      </w:r>
      <w:r>
        <w:t xml:space="preserve">and aluminium production at around 40 years. Waste from oil and gas production </w:t>
      </w:r>
      <w:r w:rsidR="00DC7EFA">
        <w:t xml:space="preserve">(in the specific context of the coal seam gas industry) </w:t>
      </w:r>
      <w:r>
        <w:t>have been stockpiled or stored over the past decade or more.</w:t>
      </w:r>
    </w:p>
    <w:p w14:paraId="7FFE5D88" w14:textId="58A41594" w:rsidR="00EB1481" w:rsidRDefault="00EB1481" w:rsidP="00EB1481">
      <w:pPr>
        <w:pStyle w:val="RECnormaltext"/>
      </w:pPr>
      <w:r>
        <w:t>More recently</w:t>
      </w:r>
      <w:r w:rsidR="00DC7EFA">
        <w:t>,</w:t>
      </w:r>
      <w:r>
        <w:t xml:space="preserve"> stockpiling of e-waste has become an issue with the changeover of products such as CRT TVs. </w:t>
      </w:r>
    </w:p>
    <w:p w14:paraId="5C571780" w14:textId="77777777" w:rsidR="00EB1481" w:rsidRDefault="00EB1481" w:rsidP="00EB1481">
      <w:pPr>
        <w:pStyle w:val="RECnormaltext"/>
      </w:pPr>
      <w:r>
        <w:t>The analysis has assumed a limited stockpiling period for some wastes, such as end-of-life tyres and used lead acid batteries. After three years these wastes are assumed to be either recovered or permanently ‘lost’ to an unknown fate (tyres).</w:t>
      </w:r>
    </w:p>
    <w:p w14:paraId="142D80DD" w14:textId="77777777" w:rsidR="00EB1481" w:rsidRPr="00517290" w:rsidRDefault="00EB1481" w:rsidP="00047982">
      <w:pPr>
        <w:pStyle w:val="NonTOCHeading3"/>
      </w:pPr>
      <w:r w:rsidRPr="004817BF">
        <w:t>Contaminant types</w:t>
      </w:r>
      <w:r>
        <w:t xml:space="preserve"> </w:t>
      </w:r>
    </w:p>
    <w:p w14:paraId="30B55F53" w14:textId="77777777" w:rsidR="00EB1481" w:rsidRDefault="00EB1481" w:rsidP="00EB1481">
      <w:pPr>
        <w:pStyle w:val="RECnormaltext"/>
      </w:pPr>
      <w:r>
        <w:t xml:space="preserve">Looking at the Controlled Waste NEPM codes by number of listings, the D codes (inorganics chemicals /metals) dominate making up 50%, followed by M codes (organic chemicals) and N codes (soils and sludges) at 14 % each.   </w:t>
      </w:r>
    </w:p>
    <w:p w14:paraId="3916C01B" w14:textId="77777777" w:rsidR="00EB1481" w:rsidRDefault="00EB1481" w:rsidP="00047982">
      <w:pPr>
        <w:pStyle w:val="NonTOCHeading3"/>
      </w:pPr>
      <w:r w:rsidRPr="004817BF">
        <w:t>Reasons for stockpiling and long-term on-site storage</w:t>
      </w:r>
    </w:p>
    <w:p w14:paraId="38D49431" w14:textId="77777777" w:rsidR="00EB1481" w:rsidRDefault="00EB1481" w:rsidP="00EB1481">
      <w:pPr>
        <w:pStyle w:val="RECnormaltext"/>
      </w:pPr>
      <w:r>
        <w:t>The most frequent primary reason identified for both stockpiling and long-term on-site storage was l</w:t>
      </w:r>
      <w:r w:rsidRPr="00C875D3">
        <w:t>imited technical ability to treat</w:t>
      </w:r>
      <w:r>
        <w:t xml:space="preserve"> the waste type at around 30%. This was listed almost twice as many times as financial costs of processing, lack of/unstable off-take market, or processor market behaviour which were all listed for about 15% of the waste types. </w:t>
      </w:r>
    </w:p>
    <w:p w14:paraId="4E45E11C" w14:textId="77777777" w:rsidR="00EB1481" w:rsidRDefault="00EB1481" w:rsidP="00EB1481">
      <w:pPr>
        <w:pStyle w:val="RECnormaltext"/>
      </w:pPr>
      <w:r>
        <w:t>Interestingly a lack of regulation was listed as the most common secondary reason at almost 30%, followed by financial costs of processing at around 20% and limited technical ability to treat, and processor market behaviour both at around 10%.</w:t>
      </w:r>
    </w:p>
    <w:p w14:paraId="69D9C9AF" w14:textId="6F7CB110" w:rsidR="00EB1481" w:rsidRDefault="00EB1481" w:rsidP="00EB1481">
      <w:pPr>
        <w:pStyle w:val="RECnormaltext"/>
      </w:pPr>
      <w:r>
        <w:t xml:space="preserve">These results suggest that Australia’s waste management industry </w:t>
      </w:r>
      <w:r w:rsidR="004218F4">
        <w:t>is well est</w:t>
      </w:r>
      <w:r w:rsidR="00C70F89">
        <w:t xml:space="preserve">ablished enough </w:t>
      </w:r>
      <w:r>
        <w:t xml:space="preserve">to treat hazardous waste stockpiles, but is often limited by </w:t>
      </w:r>
      <w:r>
        <w:rPr>
          <w:u w:val="single"/>
        </w:rPr>
        <w:t>capabilities</w:t>
      </w:r>
      <w:r>
        <w:t>. More elaborate treatment capabilities typically require significant capital and have high gate fees. The results suggest a lack of regulatory drivers and controls for some waste could be impacting on the waste industries</w:t>
      </w:r>
      <w:r w:rsidR="00200FF7">
        <w:t>’</w:t>
      </w:r>
      <w:r>
        <w:t xml:space="preserve"> investment in additional capabilities. </w:t>
      </w:r>
    </w:p>
    <w:p w14:paraId="631B2899" w14:textId="24D5519D" w:rsidR="00EB1481" w:rsidRDefault="00EB1481" w:rsidP="00047982">
      <w:pPr>
        <w:pStyle w:val="NonTOCHeading3"/>
      </w:pPr>
      <w:r w:rsidRPr="004817BF">
        <w:t>Generating</w:t>
      </w:r>
      <w:r w:rsidR="00200FF7" w:rsidRPr="004817BF">
        <w:t>-</w:t>
      </w:r>
      <w:r w:rsidRPr="004817BF">
        <w:t>industry sectors</w:t>
      </w:r>
    </w:p>
    <w:p w14:paraId="23F1503F" w14:textId="77777777" w:rsidR="00EB1481" w:rsidRPr="009E10A0" w:rsidRDefault="00EB1481" w:rsidP="00EB1481">
      <w:pPr>
        <w:rPr>
          <w:rFonts w:eastAsia="Times New Roman"/>
          <w:color w:val="auto"/>
          <w:lang w:eastAsia="en-AU"/>
        </w:rPr>
      </w:pPr>
      <w:r w:rsidRPr="009E10A0">
        <w:t xml:space="preserve">Around 30% of stockpiles and approved long-term on-site storages listed were generated by ANZSIC code 21 </w:t>
      </w:r>
      <w:r w:rsidRPr="009E10A0">
        <w:rPr>
          <w:rFonts w:eastAsia="Times New Roman"/>
          <w:i/>
          <w:color w:val="auto"/>
          <w:lang w:eastAsia="en-AU"/>
        </w:rPr>
        <w:t xml:space="preserve">Primary Metal and Metal Product Manufacturing </w:t>
      </w:r>
      <w:r w:rsidRPr="009E10A0">
        <w:rPr>
          <w:rFonts w:eastAsia="Times New Roman"/>
          <w:color w:val="auto"/>
          <w:lang w:eastAsia="en-AU"/>
        </w:rPr>
        <w:t xml:space="preserve">reflecting the high rate of NEPM ‘D’ waste type contamination. ANZSIC code 29 </w:t>
      </w:r>
      <w:r w:rsidRPr="009E10A0">
        <w:rPr>
          <w:rFonts w:eastAsia="Times New Roman"/>
          <w:i/>
          <w:color w:val="auto"/>
          <w:lang w:eastAsia="en-AU"/>
        </w:rPr>
        <w:t>Waste Collection, Treatment and Disposal Services</w:t>
      </w:r>
      <w:r w:rsidRPr="009E10A0">
        <w:rPr>
          <w:rFonts w:eastAsia="Times New Roman"/>
          <w:color w:val="auto"/>
          <w:lang w:eastAsia="en-AU"/>
        </w:rPr>
        <w:t xml:space="preserve"> accounted for around 20% of listing and code 7 </w:t>
      </w:r>
      <w:r w:rsidRPr="009E10A0">
        <w:rPr>
          <w:rFonts w:eastAsia="Times New Roman"/>
          <w:i/>
          <w:color w:val="auto"/>
          <w:lang w:eastAsia="en-AU"/>
        </w:rPr>
        <w:t>Oil and Gas Extraction</w:t>
      </w:r>
      <w:r w:rsidRPr="009E10A0">
        <w:rPr>
          <w:rFonts w:eastAsia="Times New Roman"/>
          <w:color w:val="auto"/>
          <w:lang w:eastAsia="en-AU"/>
        </w:rPr>
        <w:t xml:space="preserve"> accounted for around 15% of listing.</w:t>
      </w:r>
    </w:p>
    <w:p w14:paraId="7BA0527B" w14:textId="77777777" w:rsidR="00EB1481" w:rsidRDefault="00EB1481" w:rsidP="00047982">
      <w:pPr>
        <w:pStyle w:val="NonTOCHeading3"/>
      </w:pPr>
      <w:r w:rsidRPr="00F93533">
        <w:t>Missing stockpiles data</w:t>
      </w:r>
    </w:p>
    <w:p w14:paraId="50893178" w14:textId="664B2F54" w:rsidR="00EB1481" w:rsidRDefault="00EB1481" w:rsidP="00EB1481">
      <w:pPr>
        <w:pStyle w:val="RECnormaltext"/>
      </w:pPr>
      <w:r>
        <w:t xml:space="preserve">This project aimed to build a baseline dataset and analysis and it was not expected that all stockpiles listed would have full account. The stockpile number </w:t>
      </w:r>
      <w:r w:rsidR="00AA69A9">
        <w:t xml:space="preserve">and tonnages </w:t>
      </w:r>
      <w:r>
        <w:t>would likely be significantly higher if data were available for:</w:t>
      </w:r>
    </w:p>
    <w:p w14:paraId="3A3B9AF1" w14:textId="77777777" w:rsidR="00EB1481" w:rsidRPr="006F4F5A" w:rsidRDefault="00EB1481" w:rsidP="00EB1481">
      <w:pPr>
        <w:pStyle w:val="RECdotpoint"/>
        <w:rPr>
          <w:rFonts w:eastAsia="Calibri"/>
        </w:rPr>
      </w:pPr>
      <w:r>
        <w:t>PFAS contaminated soils and groundwater in Australia</w:t>
      </w:r>
    </w:p>
    <w:p w14:paraId="74FD3F30" w14:textId="271C0A03" w:rsidR="00EF71D4" w:rsidRDefault="00F93533" w:rsidP="00DC61B4">
      <w:pPr>
        <w:pStyle w:val="RECdotpoint"/>
      </w:pPr>
      <w:r>
        <w:t xml:space="preserve">Other mining and minerals </w:t>
      </w:r>
      <w:r w:rsidR="00E70169">
        <w:t>waste</w:t>
      </w:r>
      <w:r>
        <w:t xml:space="preserve"> that are not reported here</w:t>
      </w:r>
      <w:r w:rsidR="00EB1481">
        <w:t>.</w:t>
      </w:r>
    </w:p>
    <w:p w14:paraId="4B7206B3" w14:textId="77777777" w:rsidR="003A6CD9" w:rsidRDefault="003A6CD9" w:rsidP="00267977"/>
    <w:p w14:paraId="67756595" w14:textId="77777777" w:rsidR="00EF71D4" w:rsidRPr="001E0D50" w:rsidRDefault="00EF71D4" w:rsidP="00267977"/>
    <w:p w14:paraId="750F4754" w14:textId="77777777" w:rsidR="00134A93" w:rsidRPr="001669B4" w:rsidRDefault="00134A93" w:rsidP="00F002A9">
      <w:pPr>
        <w:tabs>
          <w:tab w:val="left" w:pos="7557"/>
        </w:tabs>
        <w:rPr>
          <w:rFonts w:asciiTheme="minorHAnsi" w:hAnsiTheme="minorHAnsi"/>
        </w:rPr>
        <w:sectPr w:rsidR="00134A93" w:rsidRPr="001669B4" w:rsidSect="00980B4D">
          <w:headerReference w:type="even" r:id="rId27"/>
          <w:headerReference w:type="default" r:id="rId28"/>
          <w:footerReference w:type="default" r:id="rId29"/>
          <w:headerReference w:type="first" r:id="rId30"/>
          <w:pgSz w:w="11906" w:h="16838"/>
          <w:pgMar w:top="1810" w:right="1440" w:bottom="993" w:left="1440" w:header="708" w:footer="708" w:gutter="0"/>
          <w:pgNumType w:fmt="lowerRoman"/>
          <w:cols w:space="708"/>
          <w:docGrid w:linePitch="360"/>
        </w:sectPr>
      </w:pPr>
    </w:p>
    <w:p w14:paraId="6E2A43CA" w14:textId="3415D552" w:rsidR="007F0F63" w:rsidRDefault="00B90BA1">
      <w:pPr>
        <w:pStyle w:val="Heading1"/>
      </w:pPr>
      <w:bookmarkStart w:id="2" w:name="_Toc454452462"/>
      <w:bookmarkStart w:id="3" w:name="_Toc454452463"/>
      <w:bookmarkStart w:id="4" w:name="_Ref472435288"/>
      <w:bookmarkStart w:id="5" w:name="_Toc532990214"/>
      <w:bookmarkEnd w:id="2"/>
      <w:bookmarkEnd w:id="3"/>
      <w:r>
        <w:t>Introduction</w:t>
      </w:r>
      <w:bookmarkEnd w:id="4"/>
      <w:bookmarkEnd w:id="5"/>
    </w:p>
    <w:p w14:paraId="75C7D1A4" w14:textId="77777777" w:rsidR="00F93533" w:rsidRDefault="00F93533" w:rsidP="00F93533">
      <w:pPr>
        <w:pStyle w:val="RECnormaltext"/>
        <w:rPr>
          <w:i/>
        </w:rPr>
      </w:pPr>
      <w:bookmarkStart w:id="6" w:name="_Toc471383804"/>
      <w:bookmarkStart w:id="7" w:name="_Toc471403265"/>
      <w:bookmarkStart w:id="8" w:name="_Toc472337956"/>
      <w:bookmarkStart w:id="9" w:name="_Toc472435319"/>
      <w:bookmarkStart w:id="10" w:name="_Toc471383805"/>
      <w:bookmarkStart w:id="11" w:name="_Toc471403266"/>
      <w:bookmarkStart w:id="12" w:name="_Toc472337957"/>
      <w:bookmarkStart w:id="13" w:name="_Toc472435320"/>
      <w:bookmarkEnd w:id="6"/>
      <w:bookmarkEnd w:id="7"/>
      <w:bookmarkEnd w:id="8"/>
      <w:bookmarkEnd w:id="9"/>
      <w:bookmarkEnd w:id="10"/>
      <w:bookmarkEnd w:id="11"/>
      <w:bookmarkEnd w:id="12"/>
      <w:bookmarkEnd w:id="13"/>
      <w:r>
        <w:t xml:space="preserve">The </w:t>
      </w:r>
      <w:r w:rsidRPr="00994D7F">
        <w:t>Department of the Environment</w:t>
      </w:r>
      <w:r>
        <w:t xml:space="preserve"> and Energy (DoEE) engaged Randell Environmental Consulting (REC) in association with Ascend Waste and Environment to complete this report of hazardous waste stockpiles in Australia in 2016/17</w:t>
      </w:r>
      <w:r w:rsidRPr="00994D7F">
        <w:rPr>
          <w:i/>
        </w:rPr>
        <w:t>.</w:t>
      </w:r>
    </w:p>
    <w:p w14:paraId="6E2A43CD" w14:textId="5AE28FC9" w:rsidR="00B90BA1" w:rsidRDefault="00B90BA1">
      <w:pPr>
        <w:pStyle w:val="Heading2"/>
      </w:pPr>
      <w:bookmarkStart w:id="14" w:name="_Toc532990215"/>
      <w:r>
        <w:t>Project scope</w:t>
      </w:r>
      <w:bookmarkEnd w:id="14"/>
    </w:p>
    <w:p w14:paraId="40B2EC75" w14:textId="462F3962" w:rsidR="00166D43" w:rsidRDefault="00B03C72" w:rsidP="00953A6F">
      <w:pPr>
        <w:pStyle w:val="RECnormaltext"/>
      </w:pPr>
      <w:r>
        <w:t xml:space="preserve">DoEE defined the </w:t>
      </w:r>
      <w:r w:rsidR="00EF3AB0">
        <w:t xml:space="preserve">project scope </w:t>
      </w:r>
      <w:r w:rsidR="00BD1A67">
        <w:t>as follows</w:t>
      </w:r>
      <w:r w:rsidR="00EF3AB0">
        <w:t>.</w:t>
      </w:r>
    </w:p>
    <w:p w14:paraId="168BCDB4" w14:textId="77777777" w:rsidR="00E6031A" w:rsidRPr="00326262" w:rsidRDefault="00E6031A" w:rsidP="00B219C0">
      <w:pPr>
        <w:pStyle w:val="RECnumberlist"/>
        <w:numPr>
          <w:ilvl w:val="0"/>
          <w:numId w:val="88"/>
        </w:numPr>
        <w:ind w:left="426"/>
      </w:pPr>
      <w:r>
        <w:t>A</w:t>
      </w:r>
      <w:r w:rsidRPr="00326262">
        <w:t xml:space="preserve">nalyse Australian </w:t>
      </w:r>
      <w:r>
        <w:t xml:space="preserve">and select international policy </w:t>
      </w:r>
      <w:r w:rsidRPr="00326262">
        <w:t>framework</w:t>
      </w:r>
      <w:r>
        <w:t>s</w:t>
      </w:r>
      <w:r w:rsidRPr="00326262">
        <w:t xml:space="preserve"> for </w:t>
      </w:r>
      <w:r w:rsidRPr="00E6031A">
        <w:rPr>
          <w:b/>
        </w:rPr>
        <w:t xml:space="preserve">preventing, managing and clearing </w:t>
      </w:r>
      <w:r w:rsidRPr="00326262">
        <w:t xml:space="preserve">hazardous </w:t>
      </w:r>
      <w:r w:rsidRPr="00E6031A">
        <w:rPr>
          <w:i/>
        </w:rPr>
        <w:t>and</w:t>
      </w:r>
      <w:r>
        <w:t xml:space="preserve"> controlled </w:t>
      </w:r>
      <w:r w:rsidRPr="00326262">
        <w:t>waste</w:t>
      </w:r>
      <w:r>
        <w:rPr>
          <w:rStyle w:val="FootnoteReference"/>
        </w:rPr>
        <w:footnoteReference w:id="4"/>
      </w:r>
      <w:r w:rsidRPr="00326262">
        <w:t xml:space="preserve"> stockpiles. </w:t>
      </w:r>
      <w:r>
        <w:t>In this report hazardous and controlled waste are referred to simply as hazardous waste henceforth.</w:t>
      </w:r>
    </w:p>
    <w:p w14:paraId="0D7ED7A8" w14:textId="448FBBB4" w:rsidR="002A189B" w:rsidRDefault="002A189B" w:rsidP="00326262">
      <w:pPr>
        <w:pStyle w:val="RECnumberlist"/>
      </w:pPr>
      <w:r>
        <w:t>Analyse the United States of America (US</w:t>
      </w:r>
      <w:r w:rsidR="00437FE2">
        <w:t>A</w:t>
      </w:r>
      <w:r>
        <w:t xml:space="preserve">) and the European Union (EU) </w:t>
      </w:r>
      <w:r w:rsidR="00EF1316">
        <w:t xml:space="preserve">frameworks for </w:t>
      </w:r>
      <w:r w:rsidR="00EF1316" w:rsidRPr="00EF1316">
        <w:t>preventing, managing, and clearing</w:t>
      </w:r>
      <w:r w:rsidR="00EF1316">
        <w:t xml:space="preserve"> hazardous waste stockpiles.</w:t>
      </w:r>
    </w:p>
    <w:p w14:paraId="0BB0D3C2" w14:textId="1D1C3A41" w:rsidR="002A189B" w:rsidRDefault="00CD1F45" w:rsidP="00326262">
      <w:pPr>
        <w:pStyle w:val="RECnumberlist"/>
      </w:pPr>
      <w:r>
        <w:t>Based on the above, d</w:t>
      </w:r>
      <w:r w:rsidR="00437FE2">
        <w:t>evelop a d</w:t>
      </w:r>
      <w:r w:rsidR="002A189B">
        <w:t>efinition</w:t>
      </w:r>
      <w:r w:rsidR="00437FE2">
        <w:t xml:space="preserve"> for </w:t>
      </w:r>
      <w:r>
        <w:t>‘</w:t>
      </w:r>
      <w:r w:rsidR="002A189B">
        <w:t>ha</w:t>
      </w:r>
      <w:r w:rsidR="00437FE2">
        <w:t>zardous waste stockpiles’</w:t>
      </w:r>
      <w:r>
        <w:t>.</w:t>
      </w:r>
    </w:p>
    <w:p w14:paraId="73B7DC97" w14:textId="3E8480BB" w:rsidR="00166D43" w:rsidRPr="00AD0782" w:rsidRDefault="00166D43" w:rsidP="00326262">
      <w:pPr>
        <w:pStyle w:val="RECnumberlist"/>
      </w:pPr>
      <w:r>
        <w:t xml:space="preserve">Develop a </w:t>
      </w:r>
      <w:r w:rsidRPr="00267977">
        <w:rPr>
          <w:b/>
        </w:rPr>
        <w:t>baseline</w:t>
      </w:r>
      <w:r w:rsidR="00A77C98">
        <w:rPr>
          <w:rStyle w:val="FootnoteReference"/>
        </w:rPr>
        <w:footnoteReference w:id="5"/>
      </w:r>
      <w:r>
        <w:t xml:space="preserve"> dataset for hazardous waste stockpiles in Australia</w:t>
      </w:r>
      <w:r w:rsidR="00CD1F45">
        <w:t xml:space="preserve"> </w:t>
      </w:r>
      <w:r w:rsidR="00AD0782">
        <w:t xml:space="preserve">based on an agreed </w:t>
      </w:r>
      <w:r w:rsidR="00CD1F45">
        <w:t>definition for hazardous waste stockpile</w:t>
      </w:r>
      <w:r w:rsidR="00AD0782">
        <w:t>s</w:t>
      </w:r>
      <w:r w:rsidR="00CD1F45">
        <w:t>.</w:t>
      </w:r>
      <w:r w:rsidR="00AD0782">
        <w:t xml:space="preserve"> </w:t>
      </w:r>
      <w:r>
        <w:t>The project focus</w:t>
      </w:r>
      <w:r w:rsidR="00286290">
        <w:t>es</w:t>
      </w:r>
      <w:r>
        <w:t xml:space="preserve"> on</w:t>
      </w:r>
      <w:r w:rsidR="000306AF">
        <w:t xml:space="preserve"> building a </w:t>
      </w:r>
      <w:r w:rsidR="000306AF" w:rsidRPr="00D669F8">
        <w:t>baseline</w:t>
      </w:r>
      <w:r>
        <w:t xml:space="preserve"> </w:t>
      </w:r>
      <w:r w:rsidR="000306AF">
        <w:t xml:space="preserve">dataset of </w:t>
      </w:r>
      <w:r>
        <w:t>the known major hazardous waste stockpiles in Australia (standing and recurrent) and describe</w:t>
      </w:r>
      <w:r w:rsidR="00286290">
        <w:t>s</w:t>
      </w:r>
      <w:r>
        <w:t xml:space="preserve"> their </w:t>
      </w:r>
      <w:r w:rsidRPr="00953A6F">
        <w:t>age, location, amount and composition</w:t>
      </w:r>
      <w:r w:rsidRPr="00AD0782">
        <w:t xml:space="preserve">. </w:t>
      </w:r>
    </w:p>
    <w:p w14:paraId="6F967035" w14:textId="196482CC" w:rsidR="00166D43" w:rsidRDefault="00166D43" w:rsidP="00326262">
      <w:pPr>
        <w:pStyle w:val="RECnumberlist"/>
      </w:pPr>
      <w:r>
        <w:t xml:space="preserve">Analyse the most common reasons why hazardous wastes are stockpiled. </w:t>
      </w:r>
      <w:r w:rsidR="00EF3AB0">
        <w:t>Where relevant, t</w:t>
      </w:r>
      <w:r>
        <w:t>his</w:t>
      </w:r>
      <w:r w:rsidR="00EF3AB0">
        <w:t xml:space="preserve"> include</w:t>
      </w:r>
      <w:r w:rsidR="00286290">
        <w:t>s</w:t>
      </w:r>
      <w:r w:rsidR="00EF3AB0">
        <w:t xml:space="preserve"> </w:t>
      </w:r>
      <w:r>
        <w:t>the effect of the stockpile position in</w:t>
      </w:r>
      <w:r w:rsidR="00EF3AB0">
        <w:t xml:space="preserve"> a supply chain and </w:t>
      </w:r>
      <w:r>
        <w:t xml:space="preserve">identifying stockpiles linked to global markets and trends. </w:t>
      </w:r>
    </w:p>
    <w:p w14:paraId="795B9C0F" w14:textId="77777777" w:rsidR="00166D43" w:rsidRPr="009E0B47" w:rsidRDefault="00166D43" w:rsidP="00326262">
      <w:pPr>
        <w:pStyle w:val="RECnumberlist"/>
      </w:pPr>
      <w:r>
        <w:t xml:space="preserve">Where the </w:t>
      </w:r>
      <w:r w:rsidRPr="009E0B47">
        <w:t xml:space="preserve">project analysis supports </w:t>
      </w:r>
      <w:r>
        <w:t xml:space="preserve">it, </w:t>
      </w:r>
      <w:r w:rsidRPr="009E0B47">
        <w:t>making recommendations</w:t>
      </w:r>
      <w:r>
        <w:t xml:space="preserve"> regarding hazardous waste stockpile </w:t>
      </w:r>
      <w:r w:rsidRPr="00BB164D">
        <w:t>preventi</w:t>
      </w:r>
      <w:r>
        <w:t>on</w:t>
      </w:r>
      <w:r w:rsidRPr="00BB164D">
        <w:t>, manag</w:t>
      </w:r>
      <w:r>
        <w:t>ement</w:t>
      </w:r>
      <w:r w:rsidRPr="00BB164D">
        <w:t>, and clear</w:t>
      </w:r>
      <w:r>
        <w:t>ance in Australia.</w:t>
      </w:r>
    </w:p>
    <w:p w14:paraId="109C56F3" w14:textId="57B615FE" w:rsidR="00B97030" w:rsidRDefault="00BD1A67" w:rsidP="00B97030">
      <w:pPr>
        <w:pStyle w:val="RECnormaltext"/>
        <w:spacing w:before="120"/>
      </w:pPr>
      <w:r>
        <w:t>DoEE requested a</w:t>
      </w:r>
      <w:r w:rsidR="00B97030">
        <w:t xml:space="preserve">n expansive definition of ‘hazardous waste stockpile’ </w:t>
      </w:r>
      <w:r>
        <w:t>be</w:t>
      </w:r>
      <w:r w:rsidR="00286290">
        <w:t xml:space="preserve"> </w:t>
      </w:r>
      <w:r w:rsidR="00B97030">
        <w:t xml:space="preserve">considered in this project (including </w:t>
      </w:r>
      <w:r w:rsidR="00B97030" w:rsidRPr="003527EB">
        <w:t>solids, sludges</w:t>
      </w:r>
      <w:r w:rsidR="00B97030">
        <w:t>,</w:t>
      </w:r>
      <w:r w:rsidR="00B97030" w:rsidRPr="003527EB">
        <w:t xml:space="preserve"> and liquid</w:t>
      </w:r>
      <w:r w:rsidR="00B97030">
        <w:t xml:space="preserve">s). For </w:t>
      </w:r>
      <w:r w:rsidR="00B97030" w:rsidRPr="003527EB">
        <w:t>example</w:t>
      </w:r>
      <w:r w:rsidR="00B97030">
        <w:t xml:space="preserve">, the following stockpiles </w:t>
      </w:r>
      <w:r>
        <w:t xml:space="preserve">were </w:t>
      </w:r>
      <w:r w:rsidR="00B97030">
        <w:t>included in project scope: contaminated biosolids</w:t>
      </w:r>
      <w:r w:rsidR="00240673">
        <w:t>, end-of-life tyres (EOLT</w:t>
      </w:r>
      <w:r w:rsidR="00C24188">
        <w:t>s</w:t>
      </w:r>
      <w:r w:rsidR="00240673">
        <w:t>)</w:t>
      </w:r>
      <w:r w:rsidR="00B97030">
        <w:t>, the HCB stockpile, ‘stranded’ wastes connected to company failures, site closures or acquisitions</w:t>
      </w:r>
      <w:r w:rsidR="00151CEB">
        <w:t>.</w:t>
      </w:r>
      <w:r w:rsidR="00B97030">
        <w:t xml:space="preserve"> The project </w:t>
      </w:r>
      <w:r>
        <w:t xml:space="preserve">scope </w:t>
      </w:r>
      <w:r w:rsidR="00B97030">
        <w:t xml:space="preserve">also </w:t>
      </w:r>
      <w:r w:rsidR="00B97030" w:rsidRPr="003527EB">
        <w:rPr>
          <w:u w:val="single"/>
        </w:rPr>
        <w:t>consider</w:t>
      </w:r>
      <w:r w:rsidR="00286290">
        <w:rPr>
          <w:u w:val="single"/>
        </w:rPr>
        <w:t>s</w:t>
      </w:r>
      <w:r w:rsidR="00B97030" w:rsidRPr="003527EB">
        <w:rPr>
          <w:u w:val="single"/>
        </w:rPr>
        <w:t xml:space="preserve"> and discuss</w:t>
      </w:r>
      <w:r w:rsidR="00286290">
        <w:rPr>
          <w:u w:val="single"/>
        </w:rPr>
        <w:t>es</w:t>
      </w:r>
      <w:r w:rsidR="00B97030">
        <w:t xml:space="preserve"> contaminated soil wastes and contaminated </w:t>
      </w:r>
      <w:r w:rsidR="00D669F8">
        <w:t>sites;</w:t>
      </w:r>
      <w:r w:rsidR="00B97030">
        <w:t xml:space="preserve"> </w:t>
      </w:r>
      <w:r w:rsidR="00B97030" w:rsidRPr="00DD0218">
        <w:t>however</w:t>
      </w:r>
      <w:r w:rsidR="00286290">
        <w:t xml:space="preserve">, </w:t>
      </w:r>
      <w:r w:rsidR="00C07ED0">
        <w:t xml:space="preserve">it </w:t>
      </w:r>
      <w:r>
        <w:t>was recognised that it is</w:t>
      </w:r>
      <w:r w:rsidR="00C07ED0">
        <w:t xml:space="preserve"> </w:t>
      </w:r>
      <w:r w:rsidR="00286290">
        <w:t xml:space="preserve">not </w:t>
      </w:r>
      <w:r w:rsidR="00B97030">
        <w:t xml:space="preserve">possible to provide </w:t>
      </w:r>
      <w:r w:rsidR="00286290">
        <w:t>q</w:t>
      </w:r>
      <w:r w:rsidR="00B97030">
        <w:t>uantitative analysis of this ‘stockpile’</w:t>
      </w:r>
      <w:r w:rsidR="00577DEB">
        <w:t xml:space="preserve"> within this project scope</w:t>
      </w:r>
      <w:r w:rsidR="00B97030">
        <w:t xml:space="preserve">. </w:t>
      </w:r>
      <w:r w:rsidR="005F3544">
        <w:t>Where appropriate, m</w:t>
      </w:r>
      <w:r w:rsidR="00B97030">
        <w:t xml:space="preserve">ining and mineral processing wastes </w:t>
      </w:r>
      <w:r w:rsidR="005F3544">
        <w:t>are</w:t>
      </w:r>
      <w:r>
        <w:t xml:space="preserve"> to be</w:t>
      </w:r>
      <w:r w:rsidR="005F3544">
        <w:t xml:space="preserve"> discussed in brief</w:t>
      </w:r>
      <w:r w:rsidR="00B97030">
        <w:t xml:space="preserve"> but not in depth</w:t>
      </w:r>
      <w:r w:rsidR="005F3544">
        <w:t xml:space="preserve"> as these wastes are not the focus of the study</w:t>
      </w:r>
      <w:r w:rsidR="00B97030">
        <w:t>.</w:t>
      </w:r>
    </w:p>
    <w:p w14:paraId="7E40D561" w14:textId="46A1B453" w:rsidR="00BD1A67" w:rsidRDefault="00BD1A67" w:rsidP="00B97030">
      <w:pPr>
        <w:pStyle w:val="RECnormaltext"/>
        <w:spacing w:before="120"/>
      </w:pPr>
      <w:r>
        <w:rPr>
          <w:noProof/>
          <w:lang w:eastAsia="en-AU"/>
        </w:rPr>
        <mc:AlternateContent>
          <mc:Choice Requires="wps">
            <w:drawing>
              <wp:anchor distT="0" distB="0" distL="114300" distR="114300" simplePos="0" relativeHeight="251628544" behindDoc="0" locked="0" layoutInCell="1" allowOverlap="1" wp14:anchorId="4823A92D" wp14:editId="7C4E32FA">
                <wp:simplePos x="0" y="0"/>
                <wp:positionH relativeFrom="column">
                  <wp:posOffset>-40033</wp:posOffset>
                </wp:positionH>
                <wp:positionV relativeFrom="paragraph">
                  <wp:posOffset>16510</wp:posOffset>
                </wp:positionV>
                <wp:extent cx="5645426" cy="1463040"/>
                <wp:effectExtent l="57150" t="38100" r="50800" b="80010"/>
                <wp:wrapNone/>
                <wp:docPr id="2" name="Rectangle: Rounded Corners 2"/>
                <wp:cNvGraphicFramePr/>
                <a:graphic xmlns:a="http://schemas.openxmlformats.org/drawingml/2006/main">
                  <a:graphicData uri="http://schemas.microsoft.com/office/word/2010/wordprocessingShape">
                    <wps:wsp>
                      <wps:cNvSpPr/>
                      <wps:spPr>
                        <a:xfrm>
                          <a:off x="0" y="0"/>
                          <a:ext cx="5645426" cy="146304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5F97AFEE" w14:textId="66343501" w:rsidR="00067AC0" w:rsidRDefault="00067AC0" w:rsidP="00267977">
                            <w:pPr>
                              <w:spacing w:after="120"/>
                              <w:jc w:val="center"/>
                              <w:rPr>
                                <w:b/>
                                <w:color w:val="FFFFFF" w:themeColor="background1"/>
                              </w:rPr>
                            </w:pPr>
                            <w:r w:rsidRPr="00267977">
                              <w:rPr>
                                <w:b/>
                                <w:color w:val="FFFFFF" w:themeColor="background1"/>
                              </w:rPr>
                              <w:t xml:space="preserve">Hazardous waste </w:t>
                            </w:r>
                            <w:r w:rsidRPr="00267977">
                              <w:rPr>
                                <w:b/>
                                <w:i/>
                                <w:color w:val="FFFFFF" w:themeColor="background1"/>
                              </w:rPr>
                              <w:t>stockpile</w:t>
                            </w:r>
                            <w:r w:rsidRPr="00267977">
                              <w:rPr>
                                <w:b/>
                                <w:color w:val="FFFFFF" w:themeColor="background1"/>
                              </w:rPr>
                              <w:t xml:space="preserve"> or</w:t>
                            </w:r>
                            <w:r>
                              <w:rPr>
                                <w:b/>
                                <w:color w:val="FFFFFF" w:themeColor="background1"/>
                              </w:rPr>
                              <w:t xml:space="preserve"> </w:t>
                            </w:r>
                            <w:r>
                              <w:rPr>
                                <w:b/>
                                <w:i/>
                                <w:color w:val="FFFFFF" w:themeColor="background1"/>
                              </w:rPr>
                              <w:t xml:space="preserve">approved long-term on-site </w:t>
                            </w:r>
                            <w:r w:rsidRPr="00267977">
                              <w:rPr>
                                <w:b/>
                                <w:i/>
                                <w:color w:val="FFFFFF" w:themeColor="background1"/>
                              </w:rPr>
                              <w:t>storage</w:t>
                            </w:r>
                            <w:r w:rsidRPr="00267977">
                              <w:rPr>
                                <w:b/>
                                <w:color w:val="FFFFFF" w:themeColor="background1"/>
                              </w:rPr>
                              <w:t>?</w:t>
                            </w:r>
                          </w:p>
                          <w:p w14:paraId="2C85094B" w14:textId="7C414F82" w:rsidR="00067AC0" w:rsidRPr="00267977" w:rsidRDefault="00067AC0">
                            <w:pPr>
                              <w:rPr>
                                <w:b/>
                                <w:color w:val="FFFFFF" w:themeColor="background1"/>
                              </w:rPr>
                            </w:pPr>
                            <w:r>
                              <w:rPr>
                                <w:color w:val="FFFFFF" w:themeColor="background1"/>
                              </w:rPr>
                              <w:t xml:space="preserve">Part of the project scope is to develop a better definition of a hazardous waste stockpile. One of the key findings of the project is that there needs to be a clear distinction between a </w:t>
                            </w:r>
                            <w:r w:rsidRPr="00267977">
                              <w:rPr>
                                <w:i/>
                                <w:color w:val="FFFFFF" w:themeColor="background1"/>
                              </w:rPr>
                              <w:t>stockpile</w:t>
                            </w:r>
                            <w:r>
                              <w:rPr>
                                <w:color w:val="FFFFFF" w:themeColor="background1"/>
                              </w:rPr>
                              <w:t xml:space="preserve"> and an </w:t>
                            </w:r>
                            <w:r w:rsidRPr="00267977">
                              <w:rPr>
                                <w:i/>
                                <w:color w:val="FFFFFF" w:themeColor="background1"/>
                              </w:rPr>
                              <w:t xml:space="preserve">approved </w:t>
                            </w:r>
                            <w:r>
                              <w:rPr>
                                <w:i/>
                                <w:color w:val="FFFFFF" w:themeColor="background1"/>
                              </w:rPr>
                              <w:t xml:space="preserve">long-term on-site </w:t>
                            </w:r>
                            <w:r w:rsidRPr="00267977">
                              <w:rPr>
                                <w:i/>
                                <w:color w:val="FFFFFF" w:themeColor="background1"/>
                              </w:rPr>
                              <w:t>storage</w:t>
                            </w:r>
                            <w:r>
                              <w:rPr>
                                <w:i/>
                                <w:color w:val="FFFFFF" w:themeColor="background1"/>
                              </w:rPr>
                              <w:t>.</w:t>
                            </w:r>
                            <w:r>
                              <w:rPr>
                                <w:color w:val="FFFFFF" w:themeColor="background1"/>
                              </w:rPr>
                              <w:t xml:space="preserve"> Definitions for both are provided in Section </w:t>
                            </w:r>
                            <w:r>
                              <w:rPr>
                                <w:color w:val="FFFFFF" w:themeColor="background1"/>
                              </w:rPr>
                              <w:fldChar w:fldCharType="begin"/>
                            </w:r>
                            <w:r>
                              <w:rPr>
                                <w:color w:val="FFFFFF" w:themeColor="background1"/>
                              </w:rPr>
                              <w:instrText xml:space="preserve"> REF _Ref486587938 \r \h </w:instrText>
                            </w:r>
                            <w:r>
                              <w:rPr>
                                <w:color w:val="FFFFFF" w:themeColor="background1"/>
                              </w:rPr>
                            </w:r>
                            <w:r>
                              <w:rPr>
                                <w:color w:val="FFFFFF" w:themeColor="background1"/>
                              </w:rPr>
                              <w:fldChar w:fldCharType="separate"/>
                            </w:r>
                            <w:r w:rsidR="00F54E66">
                              <w:rPr>
                                <w:color w:val="FFFFFF" w:themeColor="background1"/>
                              </w:rPr>
                              <w:t>2</w:t>
                            </w:r>
                            <w:r>
                              <w:rPr>
                                <w:color w:val="FFFFFF" w:themeColor="background1"/>
                              </w:rPr>
                              <w:fldChar w:fldCharType="end"/>
                            </w:r>
                            <w:r>
                              <w:rPr>
                                <w:color w:val="FFFFFF" w:themeColor="background1"/>
                              </w:rPr>
                              <w:t xml:space="preserve"> and the analysis supporting the definitions is provided in Section 14.  Stockpiles are the focus of this report. For completeness, long-term on-site storages are also discussed. </w:t>
                            </w:r>
                          </w:p>
                          <w:p w14:paraId="60B56EE7" w14:textId="77777777" w:rsidR="00067AC0" w:rsidRPr="00267977" w:rsidRDefault="00067AC0">
                            <w:pP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823A92D" id="Rectangle: Rounded Corners 2" o:spid="_x0000_s1028" style="position:absolute;margin-left:-3.15pt;margin-top:1.3pt;width:444.5pt;height:115.2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SXpgIAALkFAAAOAAAAZHJzL2Uyb0RvYy54bWysVFtv0zAUfkfiP1h+Z2lCWyBaOlWdhpDG&#10;Nm1De3Ydu42wfYztNim/fsdOmo0BmoToQ+pz/c799KzTiuyF8w2YiuYnE0qE4VA3ZlPRb/cX7z5S&#10;4gMzNVNgREUPwtOzxds3p60tRQFbULVwBJ0YX7a2otsQbJllnm+FZv4ErDAolOA0C0i6TVY71qJ3&#10;rbJiMplnLbjaOuDCe+Se90K6SP6lFDxcS+lFIKqiGFtIX5e+6/jNFqes3Dhmtw0fwmD/EIVmjUHQ&#10;0dU5C4zsXPObK91wBx5kOOGgM5Cy4SLlgNnkkxfZ3G2ZFSkXLI63Y5n8/3PLr/Y3jjR1RQtKDNPY&#10;olssGjMbJUpyCztTi5qswBnsMSlivVrrSzS7szduoDw+Y/KddDr+Y1qkSzU+jDUWXSAcmbP5dDYt&#10;5pRwlOXT+fvJNHUhezK3zofPAjSJj4q6GEQMKhWY7S99QFzUP+pFSA+qqS8apRIRp0eslCN7hn0P&#10;XZ5M1U5/hbrnzSb467uPbJyRF2x0n2YweklgvwAoE2EMRMA+lsjJYmX6WqRXOCgR9ZS5FRJrjNn3&#10;gYyee9D6ex4jQcikGU0kOh6NihT9X40G3Wgm0sSPhq+gjdoJEUwYDXVjwL2C2usfs+5zjWmHbt0N&#10;AzWMxxrqAw6Zg377vOUXDXb2kvlwwxyuGy4mnpBwjR+poK0oDC9KtuB+/okf9XELUEpJi+tbUf9j&#10;x5ygRH0xuB+f8inOFQmJmM4+FEi455L1c4nZ6RXgpOR4rCxPz6gf1PEpHegHvDTLiIoiZjhiV5QH&#10;dyRWoT8reKu4WC6TGu64ZeHS3Fl+7H0c2vvugTk7jHfAzbiC46qz8sWA97qxQwaWuwCySdMfK93X&#10;degA3oc0QsMtiwfoOZ20ni7u4hEAAP//AwBQSwMEFAAGAAgAAAAhAMt2Z3LfAAAACAEAAA8AAABk&#10;cnMvZG93bnJldi54bWxMj0FLw0AUhO+C/2F5grd20wRiiNkUWyOoCMVWD9622WcSzL4N2W0a/73P&#10;kx6HGWa+Kdaz7cWEo+8cKVgtIxBItTMdNQreDg+LDIQPmozuHaGCb/SwLi8vCp0bd6ZXnPahEVxC&#10;PtcK2hCGXEpft2i1X7oBib1PN1odWI6NNKM+c7ntZRxFqbS6I15o9YDbFuuv/ckqePTPm0O12rqP&#10;+2nYPb2/VLuNrpS6vprvbkEEnMNfGH7xGR1KZjq6ExkvegWLNOGkgjgFwXaWxTcgjqyTJAJZFvL/&#10;gfIHAAD//wMAUEsBAi0AFAAGAAgAAAAhALaDOJL+AAAA4QEAABMAAAAAAAAAAAAAAAAAAAAAAFtD&#10;b250ZW50X1R5cGVzXS54bWxQSwECLQAUAAYACAAAACEAOP0h/9YAAACUAQAACwAAAAAAAAAAAAAA&#10;AAAvAQAAX3JlbHMvLnJlbHNQSwECLQAUAAYACAAAACEAfXFUl6YCAAC5BQAADgAAAAAAAAAAAAAA&#10;AAAuAgAAZHJzL2Uyb0RvYy54bWxQSwECLQAUAAYACAAAACEAy3Znct8AAAAIAQAADwAAAAAAAAAA&#10;AAAAAAAABQAAZHJzL2Rvd25yZXYueG1sUEsFBgAAAAAEAAQA8wAAAAwGAAAAAA==&#10;" fillcolor="gray [1629]" stroked="f">
                <v:shadow on="t" color="black" opacity="24903f" origin=",.5" offset="0,.55556mm"/>
                <v:textbox>
                  <w:txbxContent>
                    <w:p w14:paraId="5F97AFEE" w14:textId="66343501" w:rsidR="00067AC0" w:rsidRDefault="00067AC0" w:rsidP="00267977">
                      <w:pPr>
                        <w:spacing w:after="120"/>
                        <w:jc w:val="center"/>
                        <w:rPr>
                          <w:b/>
                          <w:color w:val="FFFFFF" w:themeColor="background1"/>
                        </w:rPr>
                      </w:pPr>
                      <w:r w:rsidRPr="00267977">
                        <w:rPr>
                          <w:b/>
                          <w:color w:val="FFFFFF" w:themeColor="background1"/>
                        </w:rPr>
                        <w:t xml:space="preserve">Hazardous waste </w:t>
                      </w:r>
                      <w:r w:rsidRPr="00267977">
                        <w:rPr>
                          <w:b/>
                          <w:i/>
                          <w:color w:val="FFFFFF" w:themeColor="background1"/>
                        </w:rPr>
                        <w:t>stockpile</w:t>
                      </w:r>
                      <w:r w:rsidRPr="00267977">
                        <w:rPr>
                          <w:b/>
                          <w:color w:val="FFFFFF" w:themeColor="background1"/>
                        </w:rPr>
                        <w:t xml:space="preserve"> or</w:t>
                      </w:r>
                      <w:r>
                        <w:rPr>
                          <w:b/>
                          <w:color w:val="FFFFFF" w:themeColor="background1"/>
                        </w:rPr>
                        <w:t xml:space="preserve"> </w:t>
                      </w:r>
                      <w:r>
                        <w:rPr>
                          <w:b/>
                          <w:i/>
                          <w:color w:val="FFFFFF" w:themeColor="background1"/>
                        </w:rPr>
                        <w:t xml:space="preserve">approved long-term on-site </w:t>
                      </w:r>
                      <w:r w:rsidRPr="00267977">
                        <w:rPr>
                          <w:b/>
                          <w:i/>
                          <w:color w:val="FFFFFF" w:themeColor="background1"/>
                        </w:rPr>
                        <w:t>storage</w:t>
                      </w:r>
                      <w:r w:rsidRPr="00267977">
                        <w:rPr>
                          <w:b/>
                          <w:color w:val="FFFFFF" w:themeColor="background1"/>
                        </w:rPr>
                        <w:t>?</w:t>
                      </w:r>
                    </w:p>
                    <w:p w14:paraId="2C85094B" w14:textId="7C414F82" w:rsidR="00067AC0" w:rsidRPr="00267977" w:rsidRDefault="00067AC0">
                      <w:pPr>
                        <w:rPr>
                          <w:b/>
                          <w:color w:val="FFFFFF" w:themeColor="background1"/>
                        </w:rPr>
                      </w:pPr>
                      <w:r>
                        <w:rPr>
                          <w:color w:val="FFFFFF" w:themeColor="background1"/>
                        </w:rPr>
                        <w:t xml:space="preserve">Part of the project scope is to develop a better definition of a hazardous waste stockpile. One of the key findings of the project is that there needs to be a clear distinction between a </w:t>
                      </w:r>
                      <w:r w:rsidRPr="00267977">
                        <w:rPr>
                          <w:i/>
                          <w:color w:val="FFFFFF" w:themeColor="background1"/>
                        </w:rPr>
                        <w:t>stockpile</w:t>
                      </w:r>
                      <w:r>
                        <w:rPr>
                          <w:color w:val="FFFFFF" w:themeColor="background1"/>
                        </w:rPr>
                        <w:t xml:space="preserve"> and an </w:t>
                      </w:r>
                      <w:r w:rsidRPr="00267977">
                        <w:rPr>
                          <w:i/>
                          <w:color w:val="FFFFFF" w:themeColor="background1"/>
                        </w:rPr>
                        <w:t xml:space="preserve">approved </w:t>
                      </w:r>
                      <w:r>
                        <w:rPr>
                          <w:i/>
                          <w:color w:val="FFFFFF" w:themeColor="background1"/>
                        </w:rPr>
                        <w:t xml:space="preserve">long-term on-site </w:t>
                      </w:r>
                      <w:r w:rsidRPr="00267977">
                        <w:rPr>
                          <w:i/>
                          <w:color w:val="FFFFFF" w:themeColor="background1"/>
                        </w:rPr>
                        <w:t>storage</w:t>
                      </w:r>
                      <w:r>
                        <w:rPr>
                          <w:i/>
                          <w:color w:val="FFFFFF" w:themeColor="background1"/>
                        </w:rPr>
                        <w:t>.</w:t>
                      </w:r>
                      <w:r>
                        <w:rPr>
                          <w:color w:val="FFFFFF" w:themeColor="background1"/>
                        </w:rPr>
                        <w:t xml:space="preserve"> Definitions for both are provided in Section </w:t>
                      </w:r>
                      <w:r>
                        <w:rPr>
                          <w:color w:val="FFFFFF" w:themeColor="background1"/>
                        </w:rPr>
                        <w:fldChar w:fldCharType="begin"/>
                      </w:r>
                      <w:r>
                        <w:rPr>
                          <w:color w:val="FFFFFF" w:themeColor="background1"/>
                        </w:rPr>
                        <w:instrText xml:space="preserve"> REF _Ref486587938 \r \h </w:instrText>
                      </w:r>
                      <w:r>
                        <w:rPr>
                          <w:color w:val="FFFFFF" w:themeColor="background1"/>
                        </w:rPr>
                      </w:r>
                      <w:r>
                        <w:rPr>
                          <w:color w:val="FFFFFF" w:themeColor="background1"/>
                        </w:rPr>
                        <w:fldChar w:fldCharType="separate"/>
                      </w:r>
                      <w:r w:rsidR="00F54E66">
                        <w:rPr>
                          <w:color w:val="FFFFFF" w:themeColor="background1"/>
                        </w:rPr>
                        <w:t>2</w:t>
                      </w:r>
                      <w:r>
                        <w:rPr>
                          <w:color w:val="FFFFFF" w:themeColor="background1"/>
                        </w:rPr>
                        <w:fldChar w:fldCharType="end"/>
                      </w:r>
                      <w:r>
                        <w:rPr>
                          <w:color w:val="FFFFFF" w:themeColor="background1"/>
                        </w:rPr>
                        <w:t xml:space="preserve"> and the analysis supporting the definitions is provided in Section 14.  Stockpiles are the focus of this report. For completeness, long-term on-site storages are also discussed. </w:t>
                      </w:r>
                    </w:p>
                    <w:p w14:paraId="60B56EE7" w14:textId="77777777" w:rsidR="00067AC0" w:rsidRPr="00267977" w:rsidRDefault="00067AC0">
                      <w:pPr>
                        <w:rPr>
                          <w:b/>
                          <w:color w:val="FFFFFF" w:themeColor="background1"/>
                        </w:rPr>
                      </w:pPr>
                    </w:p>
                  </w:txbxContent>
                </v:textbox>
              </v:roundrect>
            </w:pict>
          </mc:Fallback>
        </mc:AlternateContent>
      </w:r>
    </w:p>
    <w:p w14:paraId="01E2D02C" w14:textId="36473405" w:rsidR="00BD1A67" w:rsidRDefault="00BD1A67" w:rsidP="00B97030">
      <w:pPr>
        <w:pStyle w:val="RECnormaltext"/>
        <w:spacing w:before="120"/>
      </w:pPr>
    </w:p>
    <w:p w14:paraId="64A37F87" w14:textId="39185CF2" w:rsidR="00BD1A67" w:rsidRDefault="00BD1A67" w:rsidP="00B97030">
      <w:pPr>
        <w:pStyle w:val="RECnormaltext"/>
        <w:spacing w:before="120"/>
      </w:pPr>
    </w:p>
    <w:p w14:paraId="76B286C1" w14:textId="77777777" w:rsidR="00BD1A67" w:rsidRDefault="00BD1A67" w:rsidP="00B97030">
      <w:pPr>
        <w:pStyle w:val="RECnormaltext"/>
        <w:spacing w:before="120"/>
      </w:pPr>
    </w:p>
    <w:p w14:paraId="357A297F" w14:textId="77777777" w:rsidR="00BD1A67" w:rsidRDefault="00BD1A67" w:rsidP="00B97030">
      <w:pPr>
        <w:pStyle w:val="RECnormaltext"/>
        <w:spacing w:before="120"/>
      </w:pPr>
    </w:p>
    <w:p w14:paraId="2B4FE2E3" w14:textId="77777777" w:rsidR="00272DB1" w:rsidRPr="00577DEB" w:rsidRDefault="00272DB1">
      <w:pPr>
        <w:pStyle w:val="Heading2"/>
      </w:pPr>
      <w:bookmarkStart w:id="15" w:name="_Toc532990216"/>
      <w:r w:rsidRPr="00577DEB">
        <w:t>Report structure</w:t>
      </w:r>
      <w:bookmarkEnd w:id="15"/>
    </w:p>
    <w:p w14:paraId="0C074D17" w14:textId="73503E54" w:rsidR="000575C8" w:rsidRDefault="000575C8" w:rsidP="000575C8">
      <w:pPr>
        <w:pStyle w:val="RECnormaltext"/>
      </w:pPr>
      <w:r w:rsidRPr="0007204B">
        <w:rPr>
          <w:b/>
        </w:rPr>
        <w:t xml:space="preserve">Section </w:t>
      </w:r>
      <w:r>
        <w:rPr>
          <w:b/>
        </w:rPr>
        <w:fldChar w:fldCharType="begin"/>
      </w:r>
      <w:r>
        <w:rPr>
          <w:b/>
        </w:rPr>
        <w:instrText xml:space="preserve"> REF _Ref486587938 \r \h </w:instrText>
      </w:r>
      <w:r>
        <w:rPr>
          <w:b/>
        </w:rPr>
      </w:r>
      <w:r>
        <w:rPr>
          <w:b/>
        </w:rPr>
        <w:fldChar w:fldCharType="separate"/>
      </w:r>
      <w:r w:rsidR="00F54E66">
        <w:rPr>
          <w:b/>
        </w:rPr>
        <w:t>2</w:t>
      </w:r>
      <w:r>
        <w:rPr>
          <w:b/>
        </w:rPr>
        <w:fldChar w:fldCharType="end"/>
      </w:r>
      <w:r w:rsidRPr="00577DEB">
        <w:t xml:space="preserve"> </w:t>
      </w:r>
      <w:r>
        <w:t xml:space="preserve">provides a set of key terms and definitions that are used throughout the report. This section is provided in addition to </w:t>
      </w:r>
      <w:r w:rsidRPr="0007204B">
        <w:rPr>
          <w:b/>
        </w:rPr>
        <w:t xml:space="preserve">Section </w:t>
      </w:r>
      <w:r w:rsidRPr="0007204B">
        <w:rPr>
          <w:b/>
        </w:rPr>
        <w:fldChar w:fldCharType="begin"/>
      </w:r>
      <w:r w:rsidRPr="0007204B">
        <w:rPr>
          <w:b/>
        </w:rPr>
        <w:instrText xml:space="preserve"> REF _Ref472671231 \r \h  \* MERGEFORMAT </w:instrText>
      </w:r>
      <w:r w:rsidRPr="0007204B">
        <w:rPr>
          <w:b/>
        </w:rPr>
      </w:r>
      <w:r w:rsidRPr="0007204B">
        <w:rPr>
          <w:b/>
        </w:rPr>
        <w:fldChar w:fldCharType="separate"/>
      </w:r>
      <w:r w:rsidR="00F54E66">
        <w:rPr>
          <w:b/>
        </w:rPr>
        <w:t>14</w:t>
      </w:r>
      <w:r w:rsidRPr="0007204B">
        <w:rPr>
          <w:b/>
        </w:rPr>
        <w:fldChar w:fldCharType="end"/>
      </w:r>
      <w:r>
        <w:rPr>
          <w:b/>
        </w:rPr>
        <w:t xml:space="preserve"> </w:t>
      </w:r>
      <w:r>
        <w:t xml:space="preserve">which </w:t>
      </w:r>
      <w:r w:rsidR="00931DC1">
        <w:t xml:space="preserve">analyses and provides </w:t>
      </w:r>
      <w:r w:rsidR="00D669F8">
        <w:t>the</w:t>
      </w:r>
      <w:r w:rsidR="00931DC1">
        <w:t xml:space="preserve"> definition for </w:t>
      </w:r>
      <w:r w:rsidR="00D669F8">
        <w:t xml:space="preserve">a </w:t>
      </w:r>
      <w:r w:rsidR="00931DC1">
        <w:t>stockpile</w:t>
      </w:r>
      <w:r w:rsidR="003A1A5B">
        <w:t xml:space="preserve"> as discussed below</w:t>
      </w:r>
      <w:r>
        <w:t>.</w:t>
      </w:r>
    </w:p>
    <w:p w14:paraId="32BFF575" w14:textId="6C0CA9D5" w:rsidR="00272DB1" w:rsidRDefault="00272DB1" w:rsidP="00272DB1">
      <w:pPr>
        <w:pStyle w:val="RECnormaltext"/>
      </w:pPr>
      <w:r w:rsidRPr="0007204B">
        <w:rPr>
          <w:b/>
        </w:rPr>
        <w:t xml:space="preserve">Section </w:t>
      </w:r>
      <w:r w:rsidRPr="0007204B">
        <w:rPr>
          <w:b/>
        </w:rPr>
        <w:fldChar w:fldCharType="begin"/>
      </w:r>
      <w:r w:rsidRPr="0007204B">
        <w:rPr>
          <w:b/>
        </w:rPr>
        <w:instrText xml:space="preserve"> REF _Ref473020326 \r \h  \* MERGEFORMAT </w:instrText>
      </w:r>
      <w:r w:rsidRPr="0007204B">
        <w:rPr>
          <w:b/>
        </w:rPr>
      </w:r>
      <w:r w:rsidRPr="0007204B">
        <w:rPr>
          <w:b/>
        </w:rPr>
        <w:fldChar w:fldCharType="separate"/>
      </w:r>
      <w:r w:rsidR="00F54E66">
        <w:rPr>
          <w:b/>
        </w:rPr>
        <w:t>3</w:t>
      </w:r>
      <w:r w:rsidRPr="0007204B">
        <w:rPr>
          <w:b/>
        </w:rPr>
        <w:fldChar w:fldCharType="end"/>
      </w:r>
      <w:r w:rsidRPr="00577DEB">
        <w:t xml:space="preserve"> </w:t>
      </w:r>
      <w:r>
        <w:t xml:space="preserve">provides a summary of the ‘key elements’ this study has identified that </w:t>
      </w:r>
      <w:r w:rsidRPr="00577DEB">
        <w:t xml:space="preserve">make up a comprehensive framework </w:t>
      </w:r>
      <w:r>
        <w:t>for stockpile prevention, management and clearance.</w:t>
      </w:r>
    </w:p>
    <w:p w14:paraId="09385EED" w14:textId="52DEB47E" w:rsidR="00272DB1" w:rsidRPr="00577DEB" w:rsidRDefault="00272DB1" w:rsidP="00272DB1">
      <w:pPr>
        <w:pStyle w:val="RECnormaltext"/>
      </w:pPr>
      <w:r w:rsidRPr="0007204B">
        <w:rPr>
          <w:b/>
        </w:rPr>
        <w:t>Section</w:t>
      </w:r>
      <w:r w:rsidR="00C232A9">
        <w:rPr>
          <w:b/>
        </w:rPr>
        <w:t xml:space="preserve"> </w:t>
      </w:r>
      <w:r w:rsidR="00C232A9">
        <w:rPr>
          <w:b/>
        </w:rPr>
        <w:fldChar w:fldCharType="begin"/>
      </w:r>
      <w:r w:rsidR="00C232A9">
        <w:rPr>
          <w:b/>
        </w:rPr>
        <w:instrText xml:space="preserve"> REF _Ref487103036 \r \h </w:instrText>
      </w:r>
      <w:r w:rsidR="00C232A9">
        <w:rPr>
          <w:b/>
        </w:rPr>
      </w:r>
      <w:r w:rsidR="00C232A9">
        <w:rPr>
          <w:b/>
        </w:rPr>
        <w:fldChar w:fldCharType="separate"/>
      </w:r>
      <w:r w:rsidR="00F54E66">
        <w:rPr>
          <w:b/>
        </w:rPr>
        <w:t>4</w:t>
      </w:r>
      <w:r w:rsidR="00C232A9">
        <w:rPr>
          <w:b/>
        </w:rPr>
        <w:fldChar w:fldCharType="end"/>
      </w:r>
      <w:r w:rsidR="00C232A9">
        <w:rPr>
          <w:b/>
        </w:rPr>
        <w:t xml:space="preserve"> </w:t>
      </w:r>
      <w:r w:rsidRPr="0007204B">
        <w:rPr>
          <w:b/>
        </w:rPr>
        <w:t xml:space="preserve">through to Section </w:t>
      </w:r>
      <w:r w:rsidRPr="0007204B">
        <w:rPr>
          <w:b/>
        </w:rPr>
        <w:fldChar w:fldCharType="begin"/>
      </w:r>
      <w:r w:rsidRPr="0007204B">
        <w:rPr>
          <w:b/>
        </w:rPr>
        <w:instrText xml:space="preserve"> REF _Ref472435438 \r \h  \* MERGEFORMAT </w:instrText>
      </w:r>
      <w:r w:rsidRPr="0007204B">
        <w:rPr>
          <w:b/>
        </w:rPr>
      </w:r>
      <w:r w:rsidRPr="0007204B">
        <w:rPr>
          <w:b/>
        </w:rPr>
        <w:fldChar w:fldCharType="separate"/>
      </w:r>
      <w:r w:rsidR="00F54E66">
        <w:rPr>
          <w:b/>
        </w:rPr>
        <w:t>12</w:t>
      </w:r>
      <w:r w:rsidRPr="0007204B">
        <w:rPr>
          <w:b/>
        </w:rPr>
        <w:fldChar w:fldCharType="end"/>
      </w:r>
      <w:r w:rsidRPr="00577DEB">
        <w:t xml:space="preserve"> provide </w:t>
      </w:r>
      <w:r>
        <w:t xml:space="preserve">detailed </w:t>
      </w:r>
      <w:r w:rsidRPr="00577DEB">
        <w:t xml:space="preserve">analysis of </w:t>
      </w:r>
      <w:r>
        <w:t xml:space="preserve">how </w:t>
      </w:r>
      <w:r w:rsidRPr="00577DEB">
        <w:t>Australian and international framework</w:t>
      </w:r>
      <w:r>
        <w:t>s</w:t>
      </w:r>
      <w:r w:rsidRPr="00577DEB">
        <w:t xml:space="preserve"> </w:t>
      </w:r>
      <w:r>
        <w:t xml:space="preserve">implement the </w:t>
      </w:r>
      <w:r w:rsidR="00FB2D2C">
        <w:t>‘</w:t>
      </w:r>
      <w:r>
        <w:t>key elements</w:t>
      </w:r>
      <w:r w:rsidR="00FB2D2C">
        <w:t>’</w:t>
      </w:r>
      <w:r w:rsidRPr="00577DEB">
        <w:t>. To provide a detailed understanding of these frameworks, th</w:t>
      </w:r>
      <w:r w:rsidR="00D669F8">
        <w:t>ese</w:t>
      </w:r>
      <w:r w:rsidRPr="00577DEB">
        <w:t xml:space="preserve"> section</w:t>
      </w:r>
      <w:r w:rsidR="00D669F8">
        <w:t>s</w:t>
      </w:r>
      <w:r w:rsidRPr="00577DEB">
        <w:t xml:space="preserve"> includes the most relevant extracts from each jurisdiction’s literature.</w:t>
      </w:r>
      <w:r w:rsidRPr="00577DEB">
        <w:rPr>
          <w:rStyle w:val="FootnoteReference"/>
        </w:rPr>
        <w:footnoteReference w:id="6"/>
      </w:r>
      <w:r w:rsidRPr="00577DEB">
        <w:t xml:space="preserve"> </w:t>
      </w:r>
    </w:p>
    <w:p w14:paraId="529E6045" w14:textId="729FC20B" w:rsidR="00272DB1" w:rsidRPr="00577DEB" w:rsidRDefault="00272DB1" w:rsidP="00272DB1">
      <w:pPr>
        <w:pStyle w:val="RECnormaltext"/>
      </w:pPr>
      <w:r w:rsidRPr="0007204B">
        <w:rPr>
          <w:b/>
        </w:rPr>
        <w:t xml:space="preserve">Section </w:t>
      </w:r>
      <w:r w:rsidRPr="0007204B">
        <w:rPr>
          <w:b/>
        </w:rPr>
        <w:fldChar w:fldCharType="begin"/>
      </w:r>
      <w:r w:rsidRPr="0007204B">
        <w:rPr>
          <w:b/>
        </w:rPr>
        <w:instrText xml:space="preserve"> REF _Ref473020424 \r \h  \* MERGEFORMAT </w:instrText>
      </w:r>
      <w:r w:rsidRPr="0007204B">
        <w:rPr>
          <w:b/>
        </w:rPr>
      </w:r>
      <w:r w:rsidRPr="0007204B">
        <w:rPr>
          <w:b/>
        </w:rPr>
        <w:fldChar w:fldCharType="separate"/>
      </w:r>
      <w:r w:rsidR="00F54E66">
        <w:rPr>
          <w:b/>
        </w:rPr>
        <w:t>13</w:t>
      </w:r>
      <w:r w:rsidRPr="0007204B">
        <w:rPr>
          <w:b/>
        </w:rPr>
        <w:fldChar w:fldCharType="end"/>
      </w:r>
      <w:r w:rsidRPr="00577DEB">
        <w:t xml:space="preserve"> </w:t>
      </w:r>
      <w:r>
        <w:t>provides a summary analysis of each jurisdiction’s framework and implementation of the key elements to</w:t>
      </w:r>
      <w:r w:rsidRPr="00577DEB">
        <w:t xml:space="preserve"> prevent, manage and clear</w:t>
      </w:r>
      <w:r>
        <w:t xml:space="preserve"> </w:t>
      </w:r>
      <w:r w:rsidRPr="00577DEB">
        <w:t xml:space="preserve">stockpiles. </w:t>
      </w:r>
    </w:p>
    <w:p w14:paraId="20E01D6C" w14:textId="476727BB" w:rsidR="00272DB1" w:rsidRPr="00577DEB" w:rsidRDefault="00272DB1" w:rsidP="00272DB1">
      <w:pPr>
        <w:pStyle w:val="RECnormaltext"/>
      </w:pPr>
      <w:r w:rsidRPr="0007204B">
        <w:rPr>
          <w:b/>
        </w:rPr>
        <w:t xml:space="preserve">Section </w:t>
      </w:r>
      <w:r w:rsidRPr="0007204B">
        <w:rPr>
          <w:b/>
        </w:rPr>
        <w:fldChar w:fldCharType="begin"/>
      </w:r>
      <w:r w:rsidRPr="0007204B">
        <w:rPr>
          <w:b/>
        </w:rPr>
        <w:instrText xml:space="preserve"> REF _Ref472671231 \r \h  \* MERGEFORMAT </w:instrText>
      </w:r>
      <w:r w:rsidRPr="0007204B">
        <w:rPr>
          <w:b/>
        </w:rPr>
      </w:r>
      <w:r w:rsidRPr="0007204B">
        <w:rPr>
          <w:b/>
        </w:rPr>
        <w:fldChar w:fldCharType="separate"/>
      </w:r>
      <w:r w:rsidR="00F54E66">
        <w:rPr>
          <w:b/>
        </w:rPr>
        <w:t>14</w:t>
      </w:r>
      <w:r w:rsidRPr="0007204B">
        <w:rPr>
          <w:b/>
        </w:rPr>
        <w:fldChar w:fldCharType="end"/>
      </w:r>
      <w:r w:rsidRPr="00577DEB">
        <w:t xml:space="preserve"> analyses and provides</w:t>
      </w:r>
      <w:r w:rsidR="00797A6F">
        <w:t xml:space="preserve"> a</w:t>
      </w:r>
      <w:r w:rsidRPr="00577DEB">
        <w:t xml:space="preserve"> definition </w:t>
      </w:r>
      <w:r w:rsidR="00931DC1">
        <w:t xml:space="preserve">for </w:t>
      </w:r>
      <w:r w:rsidRPr="00577DEB">
        <w:t>hazardous waste stockpiles</w:t>
      </w:r>
      <w:r w:rsidR="009F2699">
        <w:t xml:space="preserve"> </w:t>
      </w:r>
      <w:r w:rsidR="00B65FA8">
        <w:t>that</w:t>
      </w:r>
      <w:r w:rsidR="00797A6F">
        <w:t xml:space="preserve"> is</w:t>
      </w:r>
      <w:r w:rsidR="00931DC1">
        <w:t xml:space="preserve"> based on</w:t>
      </w:r>
      <w:r w:rsidR="00931DC1" w:rsidRPr="00931DC1">
        <w:t xml:space="preserve"> </w:t>
      </w:r>
      <w:r w:rsidR="00797A6F">
        <w:t>the analysis of each j</w:t>
      </w:r>
      <w:r w:rsidR="00931DC1">
        <w:t>urisdiction’s framework</w:t>
      </w:r>
      <w:r w:rsidRPr="00577DEB">
        <w:t>.</w:t>
      </w:r>
      <w:r w:rsidR="00D669F8">
        <w:t xml:space="preserve"> To ensure clear differentiation,</w:t>
      </w:r>
      <w:r w:rsidR="00B65FA8">
        <w:t xml:space="preserve"> this section also provides a definition for approved </w:t>
      </w:r>
      <w:r w:rsidR="00D4217A">
        <w:t>long-term</w:t>
      </w:r>
      <w:r w:rsidR="00B65FA8">
        <w:t xml:space="preserve"> on-site storages. </w:t>
      </w:r>
    </w:p>
    <w:p w14:paraId="23BAD57D" w14:textId="5BA996CE" w:rsidR="00041032" w:rsidRDefault="00272DB1" w:rsidP="00272DB1">
      <w:pPr>
        <w:pStyle w:val="RECnormaltext"/>
      </w:pPr>
      <w:r w:rsidRPr="0007204B">
        <w:rPr>
          <w:b/>
        </w:rPr>
        <w:t>Section</w:t>
      </w:r>
      <w:r w:rsidR="00C51FB9">
        <w:rPr>
          <w:b/>
        </w:rPr>
        <w:t xml:space="preserve"> </w:t>
      </w:r>
      <w:r w:rsidR="00C51FB9">
        <w:rPr>
          <w:b/>
        </w:rPr>
        <w:fldChar w:fldCharType="begin"/>
      </w:r>
      <w:r w:rsidR="00C51FB9">
        <w:rPr>
          <w:b/>
        </w:rPr>
        <w:instrText xml:space="preserve"> REF _Ref487019137 \r \h </w:instrText>
      </w:r>
      <w:r w:rsidR="00C51FB9">
        <w:rPr>
          <w:b/>
        </w:rPr>
      </w:r>
      <w:r w:rsidR="00C51FB9">
        <w:rPr>
          <w:b/>
        </w:rPr>
        <w:fldChar w:fldCharType="separate"/>
      </w:r>
      <w:r w:rsidR="00F54E66">
        <w:rPr>
          <w:b/>
        </w:rPr>
        <w:t>15</w:t>
      </w:r>
      <w:r w:rsidR="00C51FB9">
        <w:rPr>
          <w:b/>
        </w:rPr>
        <w:fldChar w:fldCharType="end"/>
      </w:r>
      <w:r w:rsidRPr="0007204B">
        <w:rPr>
          <w:b/>
        </w:rPr>
        <w:t xml:space="preserve"> </w:t>
      </w:r>
      <w:r w:rsidRPr="00577DEB">
        <w:t xml:space="preserve">provides the </w:t>
      </w:r>
      <w:r w:rsidR="003A1A5B">
        <w:t xml:space="preserve">‘baseline’ </w:t>
      </w:r>
      <w:r>
        <w:t xml:space="preserve">Australian </w:t>
      </w:r>
      <w:r w:rsidRPr="00577DEB">
        <w:t>national stockpiles dataset</w:t>
      </w:r>
      <w:r w:rsidR="007164AB">
        <w:t xml:space="preserve"> including a concise description of each stockpile type and likely </w:t>
      </w:r>
      <w:r w:rsidR="00095D22">
        <w:t>r</w:t>
      </w:r>
      <w:r w:rsidR="007164AB">
        <w:t>easons for</w:t>
      </w:r>
      <w:r w:rsidR="00095D22">
        <w:t xml:space="preserve"> </w:t>
      </w:r>
      <w:r w:rsidR="007164AB" w:rsidRPr="007164AB">
        <w:t>stockpi</w:t>
      </w:r>
      <w:r w:rsidR="00095D22">
        <w:t>ling</w:t>
      </w:r>
      <w:r w:rsidR="007164AB" w:rsidRPr="007164AB">
        <w:t xml:space="preserve">. </w:t>
      </w:r>
      <w:r w:rsidR="003A1A5B">
        <w:t>For completeness,</w:t>
      </w:r>
      <w:r w:rsidR="00C51FB9">
        <w:t xml:space="preserve"> this section also</w:t>
      </w:r>
      <w:r w:rsidR="003A1A5B">
        <w:t xml:space="preserve"> provides a baseline dataset for </w:t>
      </w:r>
      <w:r w:rsidR="00041032">
        <w:t xml:space="preserve">approved </w:t>
      </w:r>
      <w:r w:rsidR="008E64E6">
        <w:t>long-</w:t>
      </w:r>
      <w:r w:rsidR="00041032" w:rsidRPr="00041032">
        <w:t xml:space="preserve">term </w:t>
      </w:r>
      <w:r w:rsidR="00041032">
        <w:t>on-site storages that this project has identified and analysed during project delivery.</w:t>
      </w:r>
    </w:p>
    <w:p w14:paraId="50D5705B" w14:textId="112B6F42" w:rsidR="00272DB1" w:rsidRDefault="00272DB1" w:rsidP="00272DB1">
      <w:pPr>
        <w:pStyle w:val="RECnormaltext"/>
      </w:pPr>
      <w:r w:rsidRPr="00C4475B">
        <w:rPr>
          <w:b/>
        </w:rPr>
        <w:t>Section</w:t>
      </w:r>
      <w:r w:rsidR="00095D22">
        <w:rPr>
          <w:b/>
        </w:rPr>
        <w:t xml:space="preserve"> </w:t>
      </w:r>
      <w:r w:rsidR="00095D22">
        <w:rPr>
          <w:b/>
        </w:rPr>
        <w:fldChar w:fldCharType="begin"/>
      </w:r>
      <w:r w:rsidR="00095D22">
        <w:rPr>
          <w:b/>
        </w:rPr>
        <w:instrText xml:space="preserve"> REF _Ref486606113 \r \h </w:instrText>
      </w:r>
      <w:r w:rsidR="00095D22">
        <w:rPr>
          <w:b/>
        </w:rPr>
      </w:r>
      <w:r w:rsidR="00095D22">
        <w:rPr>
          <w:b/>
        </w:rPr>
        <w:fldChar w:fldCharType="separate"/>
      </w:r>
      <w:r w:rsidR="00F54E66">
        <w:rPr>
          <w:b/>
        </w:rPr>
        <w:t>16</w:t>
      </w:r>
      <w:r w:rsidR="00095D22">
        <w:rPr>
          <w:b/>
        </w:rPr>
        <w:fldChar w:fldCharType="end"/>
      </w:r>
      <w:r w:rsidRPr="00C4475B">
        <w:rPr>
          <w:b/>
        </w:rPr>
        <w:t xml:space="preserve"> </w:t>
      </w:r>
      <w:r w:rsidR="006924DB">
        <w:t xml:space="preserve">provides conclusions and </w:t>
      </w:r>
      <w:r w:rsidR="006924DB" w:rsidRPr="009E0B47">
        <w:t>recommendations</w:t>
      </w:r>
      <w:r w:rsidR="006924DB">
        <w:t xml:space="preserve"> regarding hazardous waste stockpile </w:t>
      </w:r>
      <w:r w:rsidR="006924DB" w:rsidRPr="00BB164D">
        <w:t>preventi</w:t>
      </w:r>
      <w:r w:rsidR="006924DB">
        <w:t>on</w:t>
      </w:r>
      <w:r w:rsidR="006924DB" w:rsidRPr="00BB164D">
        <w:t>, manag</w:t>
      </w:r>
      <w:r w:rsidR="006924DB">
        <w:t>ement</w:t>
      </w:r>
      <w:r w:rsidR="006924DB" w:rsidRPr="00BB164D">
        <w:t>, and clear</w:t>
      </w:r>
      <w:r w:rsidR="006924DB">
        <w:t>ance in Australia.</w:t>
      </w:r>
    </w:p>
    <w:p w14:paraId="77AA57EB" w14:textId="31DCAD36" w:rsidR="00DD18F1" w:rsidRDefault="00DD18F1" w:rsidP="00272DB1">
      <w:pPr>
        <w:pStyle w:val="RECnormaltext"/>
        <w:rPr>
          <w:b/>
        </w:rPr>
      </w:pPr>
      <w:r>
        <w:rPr>
          <w:b/>
        </w:rPr>
        <w:t xml:space="preserve">Appendix A </w:t>
      </w:r>
      <w:r>
        <w:t xml:space="preserve">provides a summary of hazardous waste types that are not ‘tracked’ in </w:t>
      </w:r>
      <w:r w:rsidR="00033A42">
        <w:t>jurisdictional hazardous waste tracking systems (where tracking is required).</w:t>
      </w:r>
    </w:p>
    <w:p w14:paraId="27442EC6" w14:textId="64228454" w:rsidR="00272DB1" w:rsidRDefault="00272DB1" w:rsidP="00272DB1">
      <w:pPr>
        <w:pStyle w:val="RECnormaltext"/>
      </w:pPr>
      <w:r w:rsidRPr="0007204B">
        <w:rPr>
          <w:b/>
        </w:rPr>
        <w:t xml:space="preserve">Appendix </w:t>
      </w:r>
      <w:r w:rsidR="00A30862">
        <w:rPr>
          <w:b/>
        </w:rPr>
        <w:t>B</w:t>
      </w:r>
      <w:r>
        <w:t xml:space="preserve"> </w:t>
      </w:r>
      <w:r w:rsidR="006924DB" w:rsidRPr="00577DEB">
        <w:t>provides the stockpiles dataset</w:t>
      </w:r>
      <w:r w:rsidR="006924DB">
        <w:t xml:space="preserve"> broken down by </w:t>
      </w:r>
      <w:r w:rsidR="006924DB" w:rsidRPr="00577DEB">
        <w:t xml:space="preserve">each </w:t>
      </w:r>
      <w:r w:rsidR="006924DB">
        <w:t>state and territory</w:t>
      </w:r>
      <w:r w:rsidR="006924DB" w:rsidRPr="00577DEB">
        <w:t>.</w:t>
      </w:r>
    </w:p>
    <w:p w14:paraId="7DC321FD" w14:textId="43BD5C52" w:rsidR="007F4353" w:rsidRDefault="00272DB1" w:rsidP="00272DB1">
      <w:pPr>
        <w:pStyle w:val="RECnormaltext"/>
      </w:pPr>
      <w:r w:rsidRPr="0007204B">
        <w:rPr>
          <w:b/>
        </w:rPr>
        <w:t xml:space="preserve">Appendix </w:t>
      </w:r>
      <w:r w:rsidR="00A30862">
        <w:rPr>
          <w:b/>
        </w:rPr>
        <w:t>C</w:t>
      </w:r>
      <w:r>
        <w:t xml:space="preserve"> details of the stockpile</w:t>
      </w:r>
      <w:r w:rsidR="00095D22">
        <w:t xml:space="preserve"> or approved </w:t>
      </w:r>
      <w:r w:rsidR="00D4217A">
        <w:t>long-term</w:t>
      </w:r>
      <w:r w:rsidR="00095D22">
        <w:t xml:space="preserve"> on-site storage</w:t>
      </w:r>
      <w:r>
        <w:t xml:space="preserve"> estimation methods, where required, to explain the assumptions and calculations that the authors have completed in providing the estimation</w:t>
      </w:r>
      <w:r w:rsidR="00095D22">
        <w:t>s</w:t>
      </w:r>
      <w:r>
        <w:t>.</w:t>
      </w:r>
    </w:p>
    <w:p w14:paraId="528B7ED8" w14:textId="0B303C7C" w:rsidR="006D7217" w:rsidRDefault="006D7217" w:rsidP="00272DB1">
      <w:pPr>
        <w:pStyle w:val="RECnormaltext"/>
      </w:pPr>
      <w:r w:rsidRPr="00267977">
        <w:rPr>
          <w:b/>
        </w:rPr>
        <w:t>Appendix D</w:t>
      </w:r>
      <w:r>
        <w:t xml:space="preserve"> includes the list of waste codes from the </w:t>
      </w:r>
      <w:r w:rsidRPr="0066434F">
        <w:rPr>
          <w:i/>
        </w:rPr>
        <w:t>National Environment Protection (Movement of Controlled Waste between States and Territories) Measure</w:t>
      </w:r>
      <w:r>
        <w:t>,</w:t>
      </w:r>
      <w:r w:rsidRPr="0066434F">
        <w:t xml:space="preserve"> </w:t>
      </w:r>
      <w:r w:rsidRPr="005D0727">
        <w:rPr>
          <w:i/>
        </w:rPr>
        <w:t>Schedule A List 1: Waste categories</w:t>
      </w:r>
      <w:r>
        <w:t xml:space="preserve"> which are referenced in the database.</w:t>
      </w:r>
    </w:p>
    <w:p w14:paraId="56170C89" w14:textId="34570E4B" w:rsidR="000306AF" w:rsidRDefault="000306AF" w:rsidP="00272DB1">
      <w:pPr>
        <w:pStyle w:val="RECnormaltext"/>
      </w:pPr>
      <w:r>
        <w:t xml:space="preserve">The report is supported by a Microsoft Excel workbook that includes </w:t>
      </w:r>
      <w:r w:rsidR="00A40686">
        <w:t xml:space="preserve">site specific </w:t>
      </w:r>
      <w:r>
        <w:t>detailed information regarding each</w:t>
      </w:r>
      <w:r w:rsidR="00A40686">
        <w:t xml:space="preserve"> </w:t>
      </w:r>
      <w:r>
        <w:t>stockpile and approved long-term on-site storage</w:t>
      </w:r>
      <w:r w:rsidR="00A40686">
        <w:t>. This database is confidential and is not intended for publication as it includes site specific information that may be confidential.</w:t>
      </w:r>
      <w:r>
        <w:t xml:space="preserve"> </w:t>
      </w:r>
    </w:p>
    <w:p w14:paraId="37325AED" w14:textId="19B7A059" w:rsidR="007F4353" w:rsidRDefault="0001395E">
      <w:pPr>
        <w:rPr>
          <w:rFonts w:asciiTheme="minorHAnsi" w:hAnsiTheme="minorHAnsi" w:cs="Arial"/>
          <w:color w:val="auto"/>
          <w:szCs w:val="20"/>
        </w:rPr>
      </w:pPr>
      <w:r>
        <w:t>Note: there a several instances in the report where t</w:t>
      </w:r>
      <w:r w:rsidRPr="0001395E">
        <w:t xml:space="preserve">he stockpile data </w:t>
      </w:r>
      <w:r>
        <w:t xml:space="preserve">or information </w:t>
      </w:r>
      <w:r w:rsidRPr="0001395E">
        <w:t xml:space="preserve">is redacted (see </w:t>
      </w:r>
      <w:r w:rsidRPr="0001395E">
        <w:rPr>
          <w:shd w:val="clear" w:color="auto" w:fill="FF0000"/>
        </w:rPr>
        <w:t>red blocks</w:t>
      </w:r>
      <w:r w:rsidRPr="0001395E">
        <w:t xml:space="preserve">) where the </w:t>
      </w:r>
      <w:r>
        <w:t>content</w:t>
      </w:r>
      <w:r w:rsidRPr="0001395E">
        <w:t xml:space="preserve"> is commercial-in-confidence </w:t>
      </w:r>
      <w:r>
        <w:t>or confidential.</w:t>
      </w:r>
      <w:r w:rsidR="007F4353">
        <w:br w:type="page"/>
      </w:r>
    </w:p>
    <w:p w14:paraId="2339D75E" w14:textId="0F12C165" w:rsidR="001A7826" w:rsidRDefault="001A7826" w:rsidP="00267977">
      <w:pPr>
        <w:pStyle w:val="Heading1"/>
      </w:pPr>
      <w:bookmarkStart w:id="16" w:name="_Toc486588760"/>
      <w:bookmarkStart w:id="17" w:name="_Toc486603012"/>
      <w:bookmarkStart w:id="18" w:name="_Toc486605849"/>
      <w:bookmarkStart w:id="19" w:name="_Toc486940259"/>
      <w:bookmarkStart w:id="20" w:name="_Toc487045576"/>
      <w:bookmarkStart w:id="21" w:name="_Toc487102470"/>
      <w:bookmarkStart w:id="22" w:name="_Toc487103709"/>
      <w:bookmarkStart w:id="23" w:name="_Toc487103833"/>
      <w:bookmarkStart w:id="24" w:name="_Toc486588761"/>
      <w:bookmarkStart w:id="25" w:name="_Toc486603013"/>
      <w:bookmarkStart w:id="26" w:name="_Toc486605850"/>
      <w:bookmarkStart w:id="27" w:name="_Toc486940260"/>
      <w:bookmarkStart w:id="28" w:name="_Toc487045577"/>
      <w:bookmarkStart w:id="29" w:name="_Toc487102471"/>
      <w:bookmarkStart w:id="30" w:name="_Toc487103710"/>
      <w:bookmarkStart w:id="31" w:name="_Toc487103834"/>
      <w:bookmarkStart w:id="32" w:name="_Toc486588762"/>
      <w:bookmarkStart w:id="33" w:name="_Toc486603014"/>
      <w:bookmarkStart w:id="34" w:name="_Toc486605851"/>
      <w:bookmarkStart w:id="35" w:name="_Toc486940261"/>
      <w:bookmarkStart w:id="36" w:name="_Toc487045578"/>
      <w:bookmarkStart w:id="37" w:name="_Toc487102472"/>
      <w:bookmarkStart w:id="38" w:name="_Toc487103711"/>
      <w:bookmarkStart w:id="39" w:name="_Toc487103835"/>
      <w:bookmarkStart w:id="40" w:name="_Ref486587938"/>
      <w:bookmarkStart w:id="41" w:name="_Toc53299021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1A7826">
        <w:t>Key terms and definitions</w:t>
      </w:r>
      <w:bookmarkEnd w:id="40"/>
      <w:bookmarkEnd w:id="41"/>
    </w:p>
    <w:p w14:paraId="631EFBB0" w14:textId="3846A3A1" w:rsidR="00BB1CF1" w:rsidRPr="003A3C43" w:rsidRDefault="007F4353" w:rsidP="00BB1CF1">
      <w:pPr>
        <w:pStyle w:val="BodyText"/>
      </w:pPr>
      <w:r>
        <w:t xml:space="preserve">This section provides a set of key terms and definitions that are used throughout the report. </w:t>
      </w:r>
      <w:r w:rsidR="00BB1CF1" w:rsidRPr="003A3C43">
        <w:t xml:space="preserve">Terms are listed in alphabetical order. </w:t>
      </w:r>
    </w:p>
    <w:p w14:paraId="64C1057A" w14:textId="77777777" w:rsidR="00BB1CF1" w:rsidRDefault="00BB1CF1" w:rsidP="00047982">
      <w:pPr>
        <w:pStyle w:val="NonTOCHeading3"/>
      </w:pPr>
      <w:r>
        <w:t>Approved long-term on-site storage (of hazardous waste)</w:t>
      </w:r>
    </w:p>
    <w:p w14:paraId="5BFBFB40" w14:textId="5401B534" w:rsidR="00BB1CF1" w:rsidRDefault="00BB1CF1" w:rsidP="00BB1CF1">
      <w:pPr>
        <w:pStyle w:val="RECnormaltext"/>
      </w:pPr>
      <w:r w:rsidRPr="004B2992">
        <w:rPr>
          <w:rFonts w:eastAsia="Calibri"/>
        </w:rPr>
        <w:t>For the purposes of this project,</w:t>
      </w:r>
      <w:r>
        <w:rPr>
          <w:rFonts w:eastAsia="Calibri"/>
        </w:rPr>
        <w:t xml:space="preserve"> approved</w:t>
      </w:r>
      <w:r w:rsidRPr="004B2992">
        <w:rPr>
          <w:rFonts w:eastAsia="Calibri"/>
        </w:rPr>
        <w:t xml:space="preserve"> </w:t>
      </w:r>
      <w:r>
        <w:rPr>
          <w:rFonts w:eastAsia="Calibri"/>
        </w:rPr>
        <w:t>l</w:t>
      </w:r>
      <w:r>
        <w:t>ong-term on-site storage refers to waste storage that is:</w:t>
      </w:r>
    </w:p>
    <w:p w14:paraId="6CE2AF99" w14:textId="77777777" w:rsidR="00BB1CF1" w:rsidRDefault="00BB1CF1" w:rsidP="00BB1CF1">
      <w:pPr>
        <w:pStyle w:val="RECdotpoint"/>
      </w:pPr>
      <w:r>
        <w:t>on-site (or near site)</w:t>
      </w:r>
    </w:p>
    <w:p w14:paraId="4F776942" w14:textId="5BD70475" w:rsidR="00BB1CF1" w:rsidRDefault="00BB1CF1" w:rsidP="00BB1CF1">
      <w:pPr>
        <w:pStyle w:val="RECdotpoint"/>
      </w:pPr>
      <w:r>
        <w:t>long</w:t>
      </w:r>
      <w:r w:rsidR="00974335">
        <w:t>-</w:t>
      </w:r>
      <w:r>
        <w:t>term (greater than 10 years)</w:t>
      </w:r>
    </w:p>
    <w:p w14:paraId="330DD960" w14:textId="77777777" w:rsidR="00BB1CF1" w:rsidRDefault="00BB1CF1" w:rsidP="00BB1CF1">
      <w:pPr>
        <w:pStyle w:val="RECdotpoint"/>
      </w:pPr>
      <w:r>
        <w:t xml:space="preserve">in designated area/s </w:t>
      </w:r>
    </w:p>
    <w:p w14:paraId="35590DE5" w14:textId="77777777" w:rsidR="00BB1CF1" w:rsidRDefault="00BB1CF1" w:rsidP="00BB1CF1">
      <w:pPr>
        <w:pStyle w:val="RECdotpoint"/>
      </w:pPr>
      <w:r>
        <w:t>pre-approved</w:t>
      </w:r>
      <w:r>
        <w:rPr>
          <w:rStyle w:val="FootnoteReference"/>
        </w:rPr>
        <w:footnoteReference w:id="7"/>
      </w:r>
      <w:r>
        <w:t xml:space="preserve"> and has pre-approved management processes in place</w:t>
      </w:r>
    </w:p>
    <w:p w14:paraId="3476D1C0" w14:textId="77777777" w:rsidR="00BB1CF1" w:rsidRDefault="00BB1CF1" w:rsidP="00BB1CF1">
      <w:pPr>
        <w:pStyle w:val="RECdotpoint"/>
      </w:pPr>
      <w:r>
        <w:t>typically, not required to meet stockpiled waste ‘clearance’ requirements</w:t>
      </w:r>
    </w:p>
    <w:p w14:paraId="4D597822" w14:textId="78057867" w:rsidR="00BB1CF1" w:rsidRDefault="00BB1CF1" w:rsidP="00BB1CF1">
      <w:pPr>
        <w:pStyle w:val="RECdotpoint"/>
      </w:pPr>
      <w:r>
        <w:t xml:space="preserve">still under management by waste generator (i.e. liability has not been transferred to a third party/facility such as a hazardous waste landfill or isolation facility). </w:t>
      </w:r>
    </w:p>
    <w:p w14:paraId="7C6291D4" w14:textId="2C091BF3" w:rsidR="00BB1CF1" w:rsidRDefault="00BB1CF1" w:rsidP="00BB1CF1">
      <w:pPr>
        <w:pStyle w:val="RECnormaltext"/>
      </w:pPr>
      <w:r>
        <w:t xml:space="preserve">See </w:t>
      </w:r>
      <w:r w:rsidRPr="009C7CE5">
        <w:t xml:space="preserve">Section </w:t>
      </w:r>
      <w:r w:rsidRPr="009C7CE5">
        <w:fldChar w:fldCharType="begin"/>
      </w:r>
      <w:r w:rsidRPr="009C7CE5">
        <w:instrText xml:space="preserve"> REF _Ref472671231 \r \h  \* MERGEFORMAT </w:instrText>
      </w:r>
      <w:r w:rsidRPr="009C7CE5">
        <w:fldChar w:fldCharType="separate"/>
      </w:r>
      <w:r w:rsidR="00F54E66">
        <w:t>14</w:t>
      </w:r>
      <w:r w:rsidRPr="009C7CE5">
        <w:fldChar w:fldCharType="end"/>
      </w:r>
      <w:r>
        <w:rPr>
          <w:b/>
        </w:rPr>
        <w:t xml:space="preserve"> </w:t>
      </w:r>
      <w:r>
        <w:t xml:space="preserve">for further discussion. </w:t>
      </w:r>
    </w:p>
    <w:p w14:paraId="32801A9F" w14:textId="77777777" w:rsidR="00BB1D00" w:rsidRDefault="00BB1D00" w:rsidP="00047982">
      <w:pPr>
        <w:pStyle w:val="NonTOCHeading3"/>
      </w:pPr>
      <w:r>
        <w:t>Fate (of hazardous waste)</w:t>
      </w:r>
    </w:p>
    <w:p w14:paraId="778A0F30" w14:textId="756CFEFB" w:rsidR="00BB1D00" w:rsidRDefault="00BB1D00" w:rsidP="00BB1D00">
      <w:pPr>
        <w:pStyle w:val="RECnormaltext"/>
      </w:pPr>
      <w:r>
        <w:t xml:space="preserve">Waste fate refers to the ultimate destination of the waste within the management system. Types of fate may include recycling, energy recovery, long-term storage and disposal, each of which can be divided into more specific fates. Treatment, transfer and </w:t>
      </w:r>
      <w:r w:rsidRPr="00267977">
        <w:rPr>
          <w:u w:val="single"/>
        </w:rPr>
        <w:t>short-term</w:t>
      </w:r>
      <w:r>
        <w:t xml:space="preserve"> storage are not fates, but are rather part of the pathway leading to a fate. </w:t>
      </w:r>
    </w:p>
    <w:p w14:paraId="33729EFF" w14:textId="4B616EF4" w:rsidR="00BB1D00" w:rsidRPr="003A3C43" w:rsidRDefault="00BB1D00" w:rsidP="00047982">
      <w:pPr>
        <w:pStyle w:val="NonTOCHeading3"/>
      </w:pPr>
      <w:r w:rsidRPr="003A3C43">
        <w:t>Hazardous waste</w:t>
      </w:r>
    </w:p>
    <w:p w14:paraId="4F4A5B5A" w14:textId="43C0D215" w:rsidR="00BB1D00" w:rsidRPr="003A3C43" w:rsidRDefault="00BB1D00" w:rsidP="00BB1D00">
      <w:pPr>
        <w:pStyle w:val="BodyText"/>
        <w:tabs>
          <w:tab w:val="left" w:pos="1935"/>
        </w:tabs>
        <w:spacing w:after="60"/>
      </w:pPr>
      <w:r>
        <w:t>Waste that,</w:t>
      </w:r>
      <w:r w:rsidRPr="003A3C43">
        <w:t xml:space="preserve"> by its characteristics</w:t>
      </w:r>
      <w:r>
        <w:t>,</w:t>
      </w:r>
      <w:r w:rsidRPr="003A3C43">
        <w:t xml:space="preserve"> poses a threat or risk to public health, safety or to the environment</w:t>
      </w:r>
      <w:r w:rsidRPr="003A3C43">
        <w:rPr>
          <w:rStyle w:val="FootnoteReference"/>
        </w:rPr>
        <w:footnoteReference w:id="8"/>
      </w:r>
      <w:r w:rsidRPr="003A3C43">
        <w:t xml:space="preserve">. In national </w:t>
      </w:r>
      <w:r w:rsidR="00974335" w:rsidRPr="003A3C43">
        <w:t>reporting,</w:t>
      </w:r>
      <w:r w:rsidRPr="003A3C43">
        <w:t xml:space="preserve"> this term is taken to correspond with:</w:t>
      </w:r>
    </w:p>
    <w:p w14:paraId="729F66CE" w14:textId="77777777" w:rsidR="00BB1D00" w:rsidRPr="003A3C43" w:rsidRDefault="00BB1D00" w:rsidP="00267977">
      <w:pPr>
        <w:pStyle w:val="RECdotpoint"/>
        <w:rPr>
          <w:rStyle w:val="Emphasis"/>
          <w:rFonts w:cs="Calibri"/>
          <w:i w:val="0"/>
          <w:iCs w:val="0"/>
          <w:color w:val="000000" w:themeColor="text1"/>
        </w:rPr>
      </w:pPr>
      <w:r w:rsidRPr="003A3C43">
        <w:t xml:space="preserve">wastes that cannot be imported or exported from Australia without a permit under the </w:t>
      </w:r>
      <w:r w:rsidRPr="003A3C43">
        <w:rPr>
          <w:rStyle w:val="Emphasis"/>
        </w:rPr>
        <w:t>Hazardous Waste (Regulation of Exports and Imports) Act 1989</w:t>
      </w:r>
    </w:p>
    <w:p w14:paraId="6837E83E" w14:textId="77777777" w:rsidR="00BB1D00" w:rsidRPr="003A3C43" w:rsidRDefault="00BB1D00" w:rsidP="00267977">
      <w:pPr>
        <w:pStyle w:val="RECdotpoint"/>
      </w:pPr>
      <w:r w:rsidRPr="003A3C43">
        <w:t>wastes that any jurisdiction regulates as requiring particularly high levels of management and control, namely: regulated waste (Queensland); trackable waste (New South Wales); prescribed waste (Victoria); listed waste (South Australia and NT); or controlled waste (ACT, Tasmania and Western Australia)</w:t>
      </w:r>
    </w:p>
    <w:p w14:paraId="43D572A8" w14:textId="77777777" w:rsidR="00BB1D00" w:rsidRPr="003A3C43" w:rsidRDefault="00BB1D00" w:rsidP="00267977">
      <w:pPr>
        <w:pStyle w:val="RECdotpoint"/>
      </w:pPr>
      <w:r w:rsidRPr="003A3C43">
        <w:t>additional wastes nominated as hazardous by the Australian Government</w:t>
      </w:r>
      <w:r w:rsidRPr="003A3C43">
        <w:rPr>
          <w:rStyle w:val="FootnoteReference"/>
        </w:rPr>
        <w:footnoteReference w:id="9"/>
      </w:r>
      <w:r w:rsidRPr="003A3C43">
        <w:t>.</w:t>
      </w:r>
    </w:p>
    <w:p w14:paraId="02E509B7" w14:textId="001982EB" w:rsidR="00BB1D00" w:rsidRPr="003A3C43" w:rsidRDefault="00BB1D00" w:rsidP="00267977">
      <w:pPr>
        <w:pStyle w:val="RECnormaltext"/>
      </w:pPr>
      <w:r>
        <w:t xml:space="preserve">In addition, waste that has </w:t>
      </w:r>
      <w:r w:rsidRPr="003A3C43">
        <w:t xml:space="preserve">hazardous characteristics and </w:t>
      </w:r>
      <w:r>
        <w:t>has been</w:t>
      </w:r>
      <w:r w:rsidRPr="003A3C43">
        <w:t xml:space="preserve"> stored on </w:t>
      </w:r>
      <w:r>
        <w:t>a</w:t>
      </w:r>
      <w:r w:rsidRPr="003A3C43">
        <w:t xml:space="preserve"> site for more than one year </w:t>
      </w:r>
      <w:r>
        <w:t xml:space="preserve">should be </w:t>
      </w:r>
      <w:r w:rsidRPr="003A3C43">
        <w:t xml:space="preserve">considered </w:t>
      </w:r>
      <w:r w:rsidRPr="00472FFF">
        <w:t>hazardous waste</w:t>
      </w:r>
      <w:r w:rsidRPr="003A3C43">
        <w:t>.</w:t>
      </w:r>
    </w:p>
    <w:p w14:paraId="7F14BC7D" w14:textId="77777777" w:rsidR="00BB1D00" w:rsidRDefault="00BB1D00" w:rsidP="00267977">
      <w:pPr>
        <w:pStyle w:val="RECnormaltext"/>
      </w:pPr>
      <w:r>
        <w:t>NSW (along with the ACT</w:t>
      </w:r>
      <w:r w:rsidRPr="003A3C43">
        <w:rPr>
          <w:rStyle w:val="FootnoteReference"/>
        </w:rPr>
        <w:footnoteReference w:id="10"/>
      </w:r>
      <w:r>
        <w:t xml:space="preserve">, due to their adoption of NSW classification procedures) uses the term ‘hazardous waste’ in a specific regulatory sense. The NSW </w:t>
      </w:r>
      <w:r w:rsidRPr="00533FCB">
        <w:rPr>
          <w:i/>
        </w:rPr>
        <w:t>Protection of the Environment Operations (Waste) Regulation 2005</w:t>
      </w:r>
      <w:r>
        <w:t xml:space="preserve"> and associated guidance defines ‘hazardous waste’ as one of six classes of waste – and it typically cannot be disposed at landfill without hazard reduction treatment such as immobilisation. ‘Hazardous waste’ in this strict NSW (ACT) regulatory interpretation is equivalent only to those </w:t>
      </w:r>
      <w:r w:rsidRPr="00BE1001">
        <w:rPr>
          <w:i/>
        </w:rPr>
        <w:t>hazardous wastes</w:t>
      </w:r>
      <w:r>
        <w:t xml:space="preserve"> (in national reporting terminology) that would be categorised at the higher hazard end of the range.</w:t>
      </w:r>
    </w:p>
    <w:p w14:paraId="30094FF6" w14:textId="53FACCDF" w:rsidR="00DF2568" w:rsidRDefault="00DF2568" w:rsidP="00047982">
      <w:pPr>
        <w:pStyle w:val="NonTOCHeading3"/>
      </w:pPr>
      <w:r>
        <w:t>Stockpile (of hazardous waste)</w:t>
      </w:r>
    </w:p>
    <w:p w14:paraId="56D14308" w14:textId="6F7248CE" w:rsidR="008B0A46" w:rsidRPr="004B2992" w:rsidRDefault="008B0A46" w:rsidP="008B0A46">
      <w:pPr>
        <w:spacing w:after="80"/>
        <w:rPr>
          <w:rFonts w:eastAsia="Calibri" w:cs="Arial"/>
          <w:szCs w:val="20"/>
        </w:rPr>
      </w:pPr>
      <w:r w:rsidRPr="004B2992">
        <w:rPr>
          <w:rFonts w:eastAsia="Calibri" w:cs="Arial"/>
          <w:szCs w:val="20"/>
        </w:rPr>
        <w:t>For the purposes of this project, a solid or liquid hazardous waste is defined as a stockpile where all of the following apply:</w:t>
      </w:r>
    </w:p>
    <w:p w14:paraId="35055E34" w14:textId="77777777" w:rsidR="008B0A46" w:rsidRPr="004B2992" w:rsidRDefault="008B0A46" w:rsidP="008B0A46">
      <w:pPr>
        <w:pStyle w:val="RECdotpoint"/>
      </w:pPr>
      <w:r w:rsidRPr="004B2992">
        <w:t xml:space="preserve">it has not been substantially treated or processed </w:t>
      </w:r>
    </w:p>
    <w:p w14:paraId="29FBB1A1" w14:textId="77777777" w:rsidR="008B0A46" w:rsidRPr="004B2992" w:rsidRDefault="008B0A46" w:rsidP="008B0A46">
      <w:pPr>
        <w:pStyle w:val="RECdotpoint"/>
      </w:pPr>
      <w:r w:rsidRPr="004B2992">
        <w:t>a significant proportion has been stored for more than one year</w:t>
      </w:r>
    </w:p>
    <w:p w14:paraId="37DA44EE" w14:textId="624AD045" w:rsidR="008B0A46" w:rsidRPr="004B2992" w:rsidRDefault="008B0A46" w:rsidP="008B0A46">
      <w:pPr>
        <w:pStyle w:val="RECdotpoint"/>
      </w:pPr>
      <w:r>
        <w:t xml:space="preserve">it </w:t>
      </w:r>
      <w:r w:rsidRPr="006828AA">
        <w:t>requires</w:t>
      </w:r>
      <w:r w:rsidRPr="004B2992">
        <w:t xml:space="preserve"> ongoing management or monitoring to pre</w:t>
      </w:r>
      <w:r>
        <w:t>vent impacts to human health or</w:t>
      </w:r>
      <w:r w:rsidRPr="004B2992">
        <w:t xml:space="preserve"> the environment.</w:t>
      </w:r>
    </w:p>
    <w:p w14:paraId="567A6978" w14:textId="77777777" w:rsidR="00BB1CF1" w:rsidRDefault="008B0A46" w:rsidP="008B0A46">
      <w:pPr>
        <w:spacing w:after="80"/>
        <w:rPr>
          <w:rFonts w:eastAsia="Calibri" w:cs="Arial"/>
          <w:szCs w:val="20"/>
        </w:rPr>
      </w:pPr>
      <w:r w:rsidRPr="004B2992">
        <w:rPr>
          <w:rFonts w:eastAsia="Calibri" w:cs="Arial"/>
          <w:szCs w:val="20"/>
        </w:rPr>
        <w:t>A hazardous waste stockpile may be stored above ground or below ground and be located on the site it was generated or elsewhere.</w:t>
      </w:r>
      <w:r w:rsidR="00BB1CF1">
        <w:rPr>
          <w:rFonts w:eastAsia="Calibri" w:cs="Arial"/>
          <w:szCs w:val="20"/>
        </w:rPr>
        <w:t xml:space="preserve"> </w:t>
      </w:r>
    </w:p>
    <w:p w14:paraId="2DF0A977" w14:textId="77777777" w:rsidR="006743D4" w:rsidRDefault="00BB1CF1" w:rsidP="00267977">
      <w:pPr>
        <w:pStyle w:val="RECnormaltext"/>
      </w:pPr>
      <w:r>
        <w:t xml:space="preserve">Unlike </w:t>
      </w:r>
      <w:r w:rsidR="00D154A2">
        <w:t>‘</w:t>
      </w:r>
      <w:r w:rsidR="00FF6D8B">
        <w:t xml:space="preserve">approved </w:t>
      </w:r>
      <w:r>
        <w:t>long-term on-site storages</w:t>
      </w:r>
      <w:r w:rsidR="00D154A2">
        <w:t>’</w:t>
      </w:r>
      <w:r>
        <w:t>,</w:t>
      </w:r>
      <w:r w:rsidR="00FF6D8B">
        <w:t xml:space="preserve"> stockpiles are typically subject to </w:t>
      </w:r>
      <w:r w:rsidRPr="00BB1CF1">
        <w:t>‘clearance’ requirement</w:t>
      </w:r>
      <w:r w:rsidR="00FF6D8B">
        <w:t xml:space="preserve">s and legislation set out by relevant environmental </w:t>
      </w:r>
      <w:r w:rsidR="00D154A2">
        <w:t>legislation</w:t>
      </w:r>
      <w:r w:rsidR="00FF6D8B">
        <w:t>.</w:t>
      </w:r>
    </w:p>
    <w:p w14:paraId="712F3255" w14:textId="3A4A186B" w:rsidR="006743D4" w:rsidRDefault="006743D4" w:rsidP="006743D4">
      <w:pPr>
        <w:pStyle w:val="RECnormaltext"/>
      </w:pPr>
      <w:r>
        <w:t xml:space="preserve">See </w:t>
      </w:r>
      <w:r w:rsidRPr="009C7CE5">
        <w:t xml:space="preserve">Section </w:t>
      </w:r>
      <w:r w:rsidRPr="009C7CE5">
        <w:fldChar w:fldCharType="begin"/>
      </w:r>
      <w:r w:rsidRPr="009C7CE5">
        <w:instrText xml:space="preserve"> REF _Ref472671231 \r \h  \* MERGEFORMAT </w:instrText>
      </w:r>
      <w:r w:rsidRPr="009C7CE5">
        <w:fldChar w:fldCharType="separate"/>
      </w:r>
      <w:r w:rsidR="00F54E66">
        <w:t>14</w:t>
      </w:r>
      <w:r w:rsidRPr="009C7CE5">
        <w:fldChar w:fldCharType="end"/>
      </w:r>
      <w:r>
        <w:rPr>
          <w:b/>
        </w:rPr>
        <w:t xml:space="preserve"> </w:t>
      </w:r>
      <w:r>
        <w:t xml:space="preserve">for further discussion. </w:t>
      </w:r>
    </w:p>
    <w:p w14:paraId="6E2A43D2" w14:textId="77777777" w:rsidR="00B90BA1" w:rsidRPr="00F32C37" w:rsidRDefault="00B90BA1" w:rsidP="00267977">
      <w:pPr>
        <w:pStyle w:val="RECnormaltext"/>
      </w:pPr>
      <w:r>
        <w:br w:type="page"/>
      </w:r>
    </w:p>
    <w:p w14:paraId="6BE0E82E" w14:textId="1480456C" w:rsidR="002C2025" w:rsidRDefault="00A93FB0">
      <w:pPr>
        <w:pStyle w:val="Heading1"/>
      </w:pPr>
      <w:bookmarkStart w:id="42" w:name="_Ref473061629"/>
      <w:bookmarkStart w:id="43" w:name="_Toc532990218"/>
      <w:bookmarkStart w:id="44" w:name="_Ref473020326"/>
      <w:r>
        <w:t>Analysing</w:t>
      </w:r>
      <w:r w:rsidR="006C6C56">
        <w:t xml:space="preserve"> </w:t>
      </w:r>
      <w:r w:rsidR="006C6C56" w:rsidRPr="00B65FA8">
        <w:t>fra</w:t>
      </w:r>
      <w:r w:rsidR="00596F0C" w:rsidRPr="00B65FA8">
        <w:t>meworks</w:t>
      </w:r>
      <w:r w:rsidR="00596F0C">
        <w:t xml:space="preserve"> for stockpiles prevention, management and clearance</w:t>
      </w:r>
      <w:bookmarkEnd w:id="42"/>
      <w:bookmarkEnd w:id="43"/>
    </w:p>
    <w:p w14:paraId="4B09263C" w14:textId="431A049B" w:rsidR="00596F0C" w:rsidRDefault="00596F0C" w:rsidP="00596F0C">
      <w:pPr>
        <w:pStyle w:val="RECnormaltext"/>
      </w:pPr>
      <w:r>
        <w:t>To analyse the frameworks</w:t>
      </w:r>
      <w:r w:rsidR="002A3C59">
        <w:t xml:space="preserve"> </w:t>
      </w:r>
      <w:r>
        <w:t xml:space="preserve">that are in place in Australia, the USA and the </w:t>
      </w:r>
      <w:r w:rsidR="002A3C59">
        <w:t>EU</w:t>
      </w:r>
      <w:r>
        <w:t xml:space="preserve"> </w:t>
      </w:r>
      <w:r w:rsidR="00DB0352">
        <w:t>we have</w:t>
      </w:r>
      <w:r>
        <w:t xml:space="preserve"> identified ‘key elements’ that </w:t>
      </w:r>
      <w:r w:rsidR="002A3C59">
        <w:t xml:space="preserve">provide for stockpile prevention, management </w:t>
      </w:r>
      <w:r w:rsidR="00A93FB0">
        <w:t xml:space="preserve">and </w:t>
      </w:r>
      <w:r w:rsidR="002A3C59">
        <w:t>clearance</w:t>
      </w:r>
      <w:r>
        <w:t xml:space="preserve">. </w:t>
      </w:r>
    </w:p>
    <w:p w14:paraId="4876F63C" w14:textId="28C265CB" w:rsidR="00596F0C" w:rsidRDefault="002A3C59" w:rsidP="00596F0C">
      <w:pPr>
        <w:pStyle w:val="RECnormaltext"/>
      </w:pPr>
      <w:r>
        <w:t>Identifying these key elements allow</w:t>
      </w:r>
      <w:r w:rsidR="00FE6D2B">
        <w:t>s</w:t>
      </w:r>
      <w:r>
        <w:t xml:space="preserve"> for a targeted </w:t>
      </w:r>
      <w:r w:rsidR="00983DD4">
        <w:t>l</w:t>
      </w:r>
      <w:r w:rsidR="00596F0C">
        <w:t xml:space="preserve">iterature review </w:t>
      </w:r>
      <w:r w:rsidR="00983DD4">
        <w:t>and collation of comparable i</w:t>
      </w:r>
      <w:r w:rsidR="00DB0352">
        <w:t>nformation across jurisdictions;</w:t>
      </w:r>
      <w:r w:rsidR="00983DD4">
        <w:t xml:space="preserve"> which </w:t>
      </w:r>
      <w:r w:rsidR="00FE6D2B">
        <w:t>ultimately</w:t>
      </w:r>
      <w:r w:rsidR="00983DD4">
        <w:t xml:space="preserve"> enables the identification </w:t>
      </w:r>
      <w:r w:rsidR="00A93FB0">
        <w:t>of</w:t>
      </w:r>
      <w:r w:rsidR="00983DD4">
        <w:t xml:space="preserve"> opportunities for improvement in how Australia prevents, manages and clears hazardous waste stockpiles.</w:t>
      </w:r>
    </w:p>
    <w:p w14:paraId="39827185" w14:textId="7726137D" w:rsidR="006743D4" w:rsidRDefault="000027DA" w:rsidP="001E0D50">
      <w:pPr>
        <w:pStyle w:val="RECnormaltext"/>
      </w:pPr>
      <w:r w:rsidRPr="00486F54">
        <w:t>Each of the key elements</w:t>
      </w:r>
      <w:r w:rsidR="00A93FB0" w:rsidRPr="00F7790C">
        <w:t xml:space="preserve"> </w:t>
      </w:r>
      <w:r w:rsidR="00DE19E4" w:rsidRPr="00F7790C">
        <w:t>are introduced in the table below and the relevance of each is also provided.</w:t>
      </w:r>
      <w:r w:rsidR="00A93FB0" w:rsidRPr="00A43B11">
        <w:t xml:space="preserve"> How each of the</w:t>
      </w:r>
      <w:r w:rsidR="00BD00B5" w:rsidRPr="00A43B11">
        <w:t>se</w:t>
      </w:r>
      <w:r w:rsidR="00A93FB0" w:rsidRPr="003A491F">
        <w:t xml:space="preserve"> elements </w:t>
      </w:r>
      <w:r w:rsidR="00BD00B5" w:rsidRPr="003A491F">
        <w:t>are</w:t>
      </w:r>
      <w:r w:rsidR="00A93FB0" w:rsidRPr="009B095E">
        <w:t xml:space="preserve"> utilised is then detailed in the </w:t>
      </w:r>
      <w:r w:rsidR="00DE19E4" w:rsidRPr="005F0975">
        <w:t xml:space="preserve">jurisdictional </w:t>
      </w:r>
      <w:r w:rsidR="00A93FB0" w:rsidRPr="005F0975">
        <w:t>sections that follow.</w:t>
      </w:r>
    </w:p>
    <w:p w14:paraId="0B4D177B" w14:textId="0598019C" w:rsidR="002D6A42" w:rsidRDefault="002D6A42" w:rsidP="001E0D50">
      <w:pPr>
        <w:pStyle w:val="RECnormaltext"/>
      </w:pPr>
      <w:r w:rsidRPr="002D6A42">
        <w:rPr>
          <w:b/>
          <w:noProof/>
          <w:lang w:eastAsia="en-AU"/>
        </w:rPr>
        <mc:AlternateContent>
          <mc:Choice Requires="wps">
            <w:drawing>
              <wp:anchor distT="0" distB="0" distL="114300" distR="114300" simplePos="0" relativeHeight="251620352" behindDoc="0" locked="0" layoutInCell="1" allowOverlap="1" wp14:anchorId="38E6DEA5" wp14:editId="7E9332A6">
                <wp:simplePos x="0" y="0"/>
                <wp:positionH relativeFrom="margin">
                  <wp:align>right</wp:align>
                </wp:positionH>
                <wp:positionV relativeFrom="paragraph">
                  <wp:posOffset>465383</wp:posOffset>
                </wp:positionV>
                <wp:extent cx="5814060" cy="3609975"/>
                <wp:effectExtent l="57150" t="38100" r="53340" b="85725"/>
                <wp:wrapSquare wrapText="bothSides"/>
                <wp:docPr id="20" name="Rectangle: Rounded Corners 20"/>
                <wp:cNvGraphicFramePr/>
                <a:graphic xmlns:a="http://schemas.openxmlformats.org/drawingml/2006/main">
                  <a:graphicData uri="http://schemas.microsoft.com/office/word/2010/wordprocessingShape">
                    <wps:wsp>
                      <wps:cNvSpPr/>
                      <wps:spPr>
                        <a:xfrm>
                          <a:off x="0" y="0"/>
                          <a:ext cx="5814060" cy="3609975"/>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54E01F94" w14:textId="6B5D293A" w:rsidR="00067AC0" w:rsidRDefault="00067AC0" w:rsidP="00267977">
                            <w:pPr>
                              <w:spacing w:after="0"/>
                              <w:rPr>
                                <w:b/>
                                <w:color w:val="FFFFFF" w:themeColor="background1"/>
                              </w:rPr>
                            </w:pPr>
                            <w:r>
                              <w:rPr>
                                <w:b/>
                                <w:color w:val="FFFFFF" w:themeColor="background1"/>
                              </w:rPr>
                              <w:t>Scope of framework analysis</w:t>
                            </w:r>
                          </w:p>
                          <w:p w14:paraId="1F9219E5" w14:textId="77777777" w:rsidR="00067AC0" w:rsidRPr="00E01489" w:rsidRDefault="00067AC0" w:rsidP="00267977">
                            <w:pPr>
                              <w:spacing w:after="0"/>
                              <w:rPr>
                                <w:b/>
                                <w:color w:val="FFFFFF" w:themeColor="background1"/>
                              </w:rPr>
                            </w:pPr>
                          </w:p>
                          <w:p w14:paraId="321B547F" w14:textId="0FCD7A2B" w:rsidR="00067AC0" w:rsidRDefault="00067AC0" w:rsidP="00267977">
                            <w:pPr>
                              <w:spacing w:after="0"/>
                              <w:rPr>
                                <w:color w:val="FFFFFF" w:themeColor="background1"/>
                              </w:rPr>
                            </w:pPr>
                            <w:r w:rsidRPr="00267977">
                              <w:rPr>
                                <w:color w:val="FFFFFF" w:themeColor="background1"/>
                              </w:rPr>
                              <w:t xml:space="preserve">The </w:t>
                            </w:r>
                            <w:r>
                              <w:rPr>
                                <w:color w:val="FFFFFF" w:themeColor="background1"/>
                              </w:rPr>
                              <w:t>report</w:t>
                            </w:r>
                            <w:r w:rsidRPr="00267977">
                              <w:rPr>
                                <w:color w:val="FFFFFF" w:themeColor="background1"/>
                              </w:rPr>
                              <w:t xml:space="preserve"> focuses on stockpiling of waste rather than illegal dumping, although we recognise that there is some connection between illegal dumping and stockpiling. In some jurisdictions, there are significant programs in place for the prevention of illegal dumping in particular that are not the focus of this study. For example, a jurisdiction</w:t>
                            </w:r>
                            <w:r>
                              <w:rPr>
                                <w:color w:val="FFFFFF" w:themeColor="background1"/>
                              </w:rPr>
                              <w:t>’</w:t>
                            </w:r>
                            <w:r w:rsidRPr="00267977">
                              <w:rPr>
                                <w:color w:val="FFFFFF" w:themeColor="background1"/>
                              </w:rPr>
                              <w:t>s programmes to catch illegal dumping offenders is not the focus of this study.</w:t>
                            </w:r>
                          </w:p>
                          <w:p w14:paraId="1AE49149" w14:textId="77777777" w:rsidR="00067AC0" w:rsidRPr="00267977" w:rsidRDefault="00067AC0" w:rsidP="00267977">
                            <w:pPr>
                              <w:spacing w:after="0"/>
                              <w:rPr>
                                <w:color w:val="FFFFFF" w:themeColor="background1"/>
                              </w:rPr>
                            </w:pPr>
                          </w:p>
                          <w:p w14:paraId="35285BB0" w14:textId="2CB767F0" w:rsidR="00067AC0" w:rsidRPr="00267977" w:rsidRDefault="00067AC0" w:rsidP="00267977">
                            <w:pPr>
                              <w:spacing w:after="0"/>
                              <w:rPr>
                                <w:b/>
                                <w:color w:val="FFFFFF" w:themeColor="background1"/>
                              </w:rPr>
                            </w:pPr>
                            <w:bookmarkStart w:id="45" w:name="_Hlk486871863"/>
                            <w:r>
                              <w:rPr>
                                <w:color w:val="FFFFFF" w:themeColor="background1"/>
                              </w:rPr>
                              <w:t>Also, it</w:t>
                            </w:r>
                            <w:r w:rsidRPr="00267977">
                              <w:rPr>
                                <w:color w:val="FFFFFF" w:themeColor="background1"/>
                              </w:rPr>
                              <w:t xml:space="preserve"> </w:t>
                            </w:r>
                            <w:r>
                              <w:rPr>
                                <w:color w:val="FFFFFF" w:themeColor="background1"/>
                              </w:rPr>
                              <w:t xml:space="preserve">is </w:t>
                            </w:r>
                            <w:r w:rsidRPr="00267977">
                              <w:rPr>
                                <w:color w:val="FFFFFF" w:themeColor="background1"/>
                              </w:rPr>
                              <w:t xml:space="preserve">important to note that the key elements identified in Table 1 are focused on waste management policies, regulations, programs and market settings that are </w:t>
                            </w:r>
                            <w:r w:rsidRPr="00267977">
                              <w:rPr>
                                <w:color w:val="FFFFFF" w:themeColor="background1"/>
                                <w:u w:val="single"/>
                              </w:rPr>
                              <w:t>targeted</w:t>
                            </w:r>
                            <w:r w:rsidRPr="00267977">
                              <w:rPr>
                                <w:color w:val="FFFFFF" w:themeColor="background1"/>
                              </w:rPr>
                              <w:t xml:space="preserve"> to stockpile prevention, management and clearance. In every jurisdiction in Australia</w:t>
                            </w:r>
                            <w:r>
                              <w:rPr>
                                <w:color w:val="FFFFFF" w:themeColor="background1"/>
                              </w:rPr>
                              <w:t>,</w:t>
                            </w:r>
                            <w:r w:rsidRPr="00267977">
                              <w:rPr>
                                <w:color w:val="FFFFFF" w:themeColor="background1"/>
                              </w:rPr>
                              <w:t xml:space="preserve"> and in most developed countries</w:t>
                            </w:r>
                            <w:r>
                              <w:rPr>
                                <w:color w:val="FFFFFF" w:themeColor="background1"/>
                              </w:rPr>
                              <w:t>,</w:t>
                            </w:r>
                            <w:r w:rsidRPr="00267977">
                              <w:rPr>
                                <w:color w:val="FFFFFF" w:themeColor="background1"/>
                              </w:rPr>
                              <w:t xml:space="preserve"> there are generic enforcement </w:t>
                            </w:r>
                            <w:r>
                              <w:rPr>
                                <w:color w:val="FFFFFF" w:themeColor="background1"/>
                              </w:rPr>
                              <w:t xml:space="preserve">powers </w:t>
                            </w:r>
                            <w:r w:rsidRPr="00267977">
                              <w:rPr>
                                <w:color w:val="FFFFFF" w:themeColor="background1"/>
                              </w:rPr>
                              <w:t>to manage and clear stockpiles of hazardous waste</w:t>
                            </w:r>
                            <w:r>
                              <w:rPr>
                                <w:color w:val="FFFFFF" w:themeColor="background1"/>
                              </w:rPr>
                              <w:t>. F</w:t>
                            </w:r>
                            <w:r w:rsidRPr="00267977">
                              <w:rPr>
                                <w:color w:val="FFFFFF" w:themeColor="background1"/>
                              </w:rPr>
                              <w:t>or example</w:t>
                            </w:r>
                            <w:r>
                              <w:rPr>
                                <w:color w:val="FFFFFF" w:themeColor="background1"/>
                              </w:rPr>
                              <w:t>,</w:t>
                            </w:r>
                            <w:r w:rsidRPr="00267977">
                              <w:rPr>
                                <w:color w:val="FFFFFF" w:themeColor="background1"/>
                              </w:rPr>
                              <w:t xml:space="preserve"> legislation prohibiting the pollution of land and water that enables prosecution and clearance</w:t>
                            </w:r>
                            <w:r>
                              <w:rPr>
                                <w:color w:val="FFFFFF" w:themeColor="background1"/>
                              </w:rPr>
                              <w:t xml:space="preserve"> of a hazardous waste stockpile</w:t>
                            </w:r>
                            <w:r w:rsidRPr="00267977">
                              <w:rPr>
                                <w:color w:val="FFFFFF" w:themeColor="background1"/>
                              </w:rPr>
                              <w:t>. Generic environmental protection legislation and i</w:t>
                            </w:r>
                            <w:r>
                              <w:rPr>
                                <w:color w:val="FFFFFF" w:themeColor="background1"/>
                              </w:rPr>
                              <w:t>ts</w:t>
                            </w:r>
                            <w:r w:rsidRPr="00267977">
                              <w:rPr>
                                <w:color w:val="FFFFFF" w:themeColor="background1"/>
                              </w:rPr>
                              <w:t xml:space="preserve"> use for stockpiles management and clearance is not the focus of this report.</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8E6DEA5" id="Rectangle: Rounded Corners 20" o:spid="_x0000_s1029" style="position:absolute;margin-left:406.6pt;margin-top:36.65pt;width:457.8pt;height:284.25pt;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rXpwIAALsFAAAOAAAAZHJzL2Uyb0RvYy54bWysVFtP2zAUfp+0/2D5fSQpLYOIFFVFTJMY&#10;IGDi2XXsNprt49luk+7X79hJA2ObkKblwbHP/fKdc37RaUV2wvkGTEWLo5wSYTjUjVlX9Ovj1YdT&#10;SnxgpmYKjKjoXnh6MX//7ry1pZjABlQtHEEjxpetregmBFtmmecboZk/AisMMiU4zQI+3TqrHWvR&#10;ulbZJM9PshZcbR1w4T1SL3smnSf7UgoebqX0IhBVUYwtpNOlcxXPbH7OyrVjdtPwIQz2D1Fo1hh0&#10;Opq6ZIGRrWt+M6Ub7sCDDEccdAZSNlykHDCbIn+VzcOGWZFyweJ4O5bJ/z+z/GZ350hTV3SC5TFM&#10;Y4/usWrMrJUoyT1sTS1qsgRnsMkEhbBirfUlKj7YOze8PF5j+p10Ov4xMdKlKu/HKosuEI7E2Wkx&#10;zU/QG0fe8Ul+dvZxFq1mz+rW+fBJgCbxUlEXo4hRpRKz3bUPvfxBLrr0oJr6qlEqPSJ+xFI5smPY&#10;+dAVSVVt9Reoe9osx6/vP5IRJa/IGE5CYbSSgvvFgTLRjYHosI8lUrJYmb4W6Rb2SkQ5Ze6FxCpj&#10;9n0go+Xeaf2tGCqQJKOKRMOj0iRF/1elQTaqiYT5UfENb6N08ggmjIq6MeDe8NrLH7Luc41ph27V&#10;JUgdx6QiZQX1HmHmoJ8/b/lVg529Zj7cMYcDh2jAJRJu8ZAK2orCcKNkA+7Hn+hRHucAuZS0OMAV&#10;9d+3zAlK1GeDE3JWTKdx4tNjOvsY8e1eclYvOWarl4BIKXBdWZ6uUT6ow1U60E+4axbRK7KY4ei7&#10;ojy4w2MZ+sWC24qLxSKJ4ZRbFq7Ng+WH3kfQPnZPzNkB3gEn4wYOw87KVwDvZWOHDCy2AWST0P9c&#10;16EDuCESTodtFlfQy3eSet65858AAAD//wMAUEsDBBQABgAIAAAAIQCL4yh44AAAAAcBAAAPAAAA&#10;ZHJzL2Rvd25yZXYueG1sTI/BTsMwEETvSPyDtUjcqBMKaQnZVLQEqaBKFS0cuLnxkkTE6yh20/D3&#10;mBMcRzOaeZMtRtOKgXrXWEaIJxEI4tLqhiuEt/3T1RyE84q1ai0Twjc5WOTnZ5lKtT3xKw07X4lQ&#10;wi5VCLX3XSqlK2syyk1sRxy8T9sb5YPsK6l7dQrlppXXUZRIoxoOC7XqaFVT+bU7GoS1e1nui3hl&#10;Px6Hbvv8vim2S1UgXl6MD/cgPI3+Lwy/+AEd8sB0sEfWTrQI4YhHmE2nIIJ7F98mIA4IyU08B5ln&#10;8j9//gMAAP//AwBQSwECLQAUAAYACAAAACEAtoM4kv4AAADhAQAAEwAAAAAAAAAAAAAAAAAAAAAA&#10;W0NvbnRlbnRfVHlwZXNdLnhtbFBLAQItABQABgAIAAAAIQA4/SH/1gAAAJQBAAALAAAAAAAAAAAA&#10;AAAAAC8BAABfcmVscy8ucmVsc1BLAQItABQABgAIAAAAIQD4hirXpwIAALsFAAAOAAAAAAAAAAAA&#10;AAAAAC4CAABkcnMvZTJvRG9jLnhtbFBLAQItABQABgAIAAAAIQCL4yh44AAAAAcBAAAPAAAAAAAA&#10;AAAAAAAAAAEFAABkcnMvZG93bnJldi54bWxQSwUGAAAAAAQABADzAAAADgYAAAAA&#10;" fillcolor="gray [1629]" stroked="f">
                <v:shadow on="t" color="black" opacity="24903f" origin=",.5" offset="0,.55556mm"/>
                <v:textbox>
                  <w:txbxContent>
                    <w:p w14:paraId="54E01F94" w14:textId="6B5D293A" w:rsidR="00067AC0" w:rsidRDefault="00067AC0" w:rsidP="00267977">
                      <w:pPr>
                        <w:spacing w:after="0"/>
                        <w:rPr>
                          <w:b/>
                          <w:color w:val="FFFFFF" w:themeColor="background1"/>
                        </w:rPr>
                      </w:pPr>
                      <w:r>
                        <w:rPr>
                          <w:b/>
                          <w:color w:val="FFFFFF" w:themeColor="background1"/>
                        </w:rPr>
                        <w:t>Scope of framework analysis</w:t>
                      </w:r>
                    </w:p>
                    <w:p w14:paraId="1F9219E5" w14:textId="77777777" w:rsidR="00067AC0" w:rsidRPr="00E01489" w:rsidRDefault="00067AC0" w:rsidP="00267977">
                      <w:pPr>
                        <w:spacing w:after="0"/>
                        <w:rPr>
                          <w:b/>
                          <w:color w:val="FFFFFF" w:themeColor="background1"/>
                        </w:rPr>
                      </w:pPr>
                    </w:p>
                    <w:p w14:paraId="321B547F" w14:textId="0FCD7A2B" w:rsidR="00067AC0" w:rsidRDefault="00067AC0" w:rsidP="00267977">
                      <w:pPr>
                        <w:spacing w:after="0"/>
                        <w:rPr>
                          <w:color w:val="FFFFFF" w:themeColor="background1"/>
                        </w:rPr>
                      </w:pPr>
                      <w:r w:rsidRPr="00267977">
                        <w:rPr>
                          <w:color w:val="FFFFFF" w:themeColor="background1"/>
                        </w:rPr>
                        <w:t xml:space="preserve">The </w:t>
                      </w:r>
                      <w:r>
                        <w:rPr>
                          <w:color w:val="FFFFFF" w:themeColor="background1"/>
                        </w:rPr>
                        <w:t>report</w:t>
                      </w:r>
                      <w:r w:rsidRPr="00267977">
                        <w:rPr>
                          <w:color w:val="FFFFFF" w:themeColor="background1"/>
                        </w:rPr>
                        <w:t xml:space="preserve"> focuses on stockpiling of waste rather than illegal dumping, although we recognise that there is some connection between illegal dumping and stockpiling. In some jurisdictions, there are significant programs in place for the prevention of illegal dumping in particular that are not the focus of this study. For example, a jurisdiction</w:t>
                      </w:r>
                      <w:r>
                        <w:rPr>
                          <w:color w:val="FFFFFF" w:themeColor="background1"/>
                        </w:rPr>
                        <w:t>’</w:t>
                      </w:r>
                      <w:r w:rsidRPr="00267977">
                        <w:rPr>
                          <w:color w:val="FFFFFF" w:themeColor="background1"/>
                        </w:rPr>
                        <w:t>s programmes to catch illegal dumping offenders is not the focus of this study.</w:t>
                      </w:r>
                    </w:p>
                    <w:p w14:paraId="1AE49149" w14:textId="77777777" w:rsidR="00067AC0" w:rsidRPr="00267977" w:rsidRDefault="00067AC0" w:rsidP="00267977">
                      <w:pPr>
                        <w:spacing w:after="0"/>
                        <w:rPr>
                          <w:color w:val="FFFFFF" w:themeColor="background1"/>
                        </w:rPr>
                      </w:pPr>
                    </w:p>
                    <w:p w14:paraId="35285BB0" w14:textId="2CB767F0" w:rsidR="00067AC0" w:rsidRPr="00267977" w:rsidRDefault="00067AC0" w:rsidP="00267977">
                      <w:pPr>
                        <w:spacing w:after="0"/>
                        <w:rPr>
                          <w:b/>
                          <w:color w:val="FFFFFF" w:themeColor="background1"/>
                        </w:rPr>
                      </w:pPr>
                      <w:bookmarkStart w:id="46" w:name="_Hlk486871863"/>
                      <w:r>
                        <w:rPr>
                          <w:color w:val="FFFFFF" w:themeColor="background1"/>
                        </w:rPr>
                        <w:t>Also, it</w:t>
                      </w:r>
                      <w:r w:rsidRPr="00267977">
                        <w:rPr>
                          <w:color w:val="FFFFFF" w:themeColor="background1"/>
                        </w:rPr>
                        <w:t xml:space="preserve"> </w:t>
                      </w:r>
                      <w:r>
                        <w:rPr>
                          <w:color w:val="FFFFFF" w:themeColor="background1"/>
                        </w:rPr>
                        <w:t xml:space="preserve">is </w:t>
                      </w:r>
                      <w:r w:rsidRPr="00267977">
                        <w:rPr>
                          <w:color w:val="FFFFFF" w:themeColor="background1"/>
                        </w:rPr>
                        <w:t xml:space="preserve">important to note that the key elements identified in Table 1 are focused on waste management policies, regulations, programs and market settings that are </w:t>
                      </w:r>
                      <w:r w:rsidRPr="00267977">
                        <w:rPr>
                          <w:color w:val="FFFFFF" w:themeColor="background1"/>
                          <w:u w:val="single"/>
                        </w:rPr>
                        <w:t>targeted</w:t>
                      </w:r>
                      <w:r w:rsidRPr="00267977">
                        <w:rPr>
                          <w:color w:val="FFFFFF" w:themeColor="background1"/>
                        </w:rPr>
                        <w:t xml:space="preserve"> to stockpile prevention, management and clearance. In every jurisdiction in Australia</w:t>
                      </w:r>
                      <w:r>
                        <w:rPr>
                          <w:color w:val="FFFFFF" w:themeColor="background1"/>
                        </w:rPr>
                        <w:t>,</w:t>
                      </w:r>
                      <w:r w:rsidRPr="00267977">
                        <w:rPr>
                          <w:color w:val="FFFFFF" w:themeColor="background1"/>
                        </w:rPr>
                        <w:t xml:space="preserve"> and in most developed countries</w:t>
                      </w:r>
                      <w:r>
                        <w:rPr>
                          <w:color w:val="FFFFFF" w:themeColor="background1"/>
                        </w:rPr>
                        <w:t>,</w:t>
                      </w:r>
                      <w:r w:rsidRPr="00267977">
                        <w:rPr>
                          <w:color w:val="FFFFFF" w:themeColor="background1"/>
                        </w:rPr>
                        <w:t xml:space="preserve"> there are generic enforcement </w:t>
                      </w:r>
                      <w:r>
                        <w:rPr>
                          <w:color w:val="FFFFFF" w:themeColor="background1"/>
                        </w:rPr>
                        <w:t xml:space="preserve">powers </w:t>
                      </w:r>
                      <w:r w:rsidRPr="00267977">
                        <w:rPr>
                          <w:color w:val="FFFFFF" w:themeColor="background1"/>
                        </w:rPr>
                        <w:t>to manage and clear stockpiles of hazardous waste</w:t>
                      </w:r>
                      <w:r>
                        <w:rPr>
                          <w:color w:val="FFFFFF" w:themeColor="background1"/>
                        </w:rPr>
                        <w:t>. F</w:t>
                      </w:r>
                      <w:r w:rsidRPr="00267977">
                        <w:rPr>
                          <w:color w:val="FFFFFF" w:themeColor="background1"/>
                        </w:rPr>
                        <w:t>or example</w:t>
                      </w:r>
                      <w:r>
                        <w:rPr>
                          <w:color w:val="FFFFFF" w:themeColor="background1"/>
                        </w:rPr>
                        <w:t>,</w:t>
                      </w:r>
                      <w:r w:rsidRPr="00267977">
                        <w:rPr>
                          <w:color w:val="FFFFFF" w:themeColor="background1"/>
                        </w:rPr>
                        <w:t xml:space="preserve"> legislation prohibiting the pollution of land and water that enables prosecution and clearance</w:t>
                      </w:r>
                      <w:r>
                        <w:rPr>
                          <w:color w:val="FFFFFF" w:themeColor="background1"/>
                        </w:rPr>
                        <w:t xml:space="preserve"> of a hazardous waste stockpile</w:t>
                      </w:r>
                      <w:r w:rsidRPr="00267977">
                        <w:rPr>
                          <w:color w:val="FFFFFF" w:themeColor="background1"/>
                        </w:rPr>
                        <w:t>. Generic environmental protection legislation and i</w:t>
                      </w:r>
                      <w:r>
                        <w:rPr>
                          <w:color w:val="FFFFFF" w:themeColor="background1"/>
                        </w:rPr>
                        <w:t>ts</w:t>
                      </w:r>
                      <w:r w:rsidRPr="00267977">
                        <w:rPr>
                          <w:color w:val="FFFFFF" w:themeColor="background1"/>
                        </w:rPr>
                        <w:t xml:space="preserve"> use for stockpiles management and clearance is not the focus of this report.</w:t>
                      </w:r>
                      <w:bookmarkEnd w:id="46"/>
                    </w:p>
                  </w:txbxContent>
                </v:textbox>
                <w10:wrap type="square" anchorx="margin"/>
              </v:roundrect>
            </w:pict>
          </mc:Fallback>
        </mc:AlternateContent>
      </w:r>
      <w:r w:rsidRPr="002D6A42">
        <w:rPr>
          <w:b/>
        </w:rPr>
        <w:t>Note:</w:t>
      </w:r>
      <w:r>
        <w:t xml:space="preserve"> the analysis presented below was </w:t>
      </w:r>
      <w:r w:rsidRPr="002D6A42">
        <w:rPr>
          <w:b/>
        </w:rPr>
        <w:t>current for the 2016/17 period</w:t>
      </w:r>
      <w:r>
        <w:t xml:space="preserve"> and changes that have occurred since then are not presented.</w:t>
      </w:r>
    </w:p>
    <w:p w14:paraId="0243CF86" w14:textId="56A130DA" w:rsidR="00FD7F25" w:rsidRDefault="00FD7F25" w:rsidP="00267977">
      <w:pPr>
        <w:pStyle w:val="RECnormaltext"/>
        <w:spacing w:after="0"/>
      </w:pPr>
      <w:bookmarkStart w:id="46" w:name="_Ref486788026"/>
    </w:p>
    <w:p w14:paraId="288FC343" w14:textId="1EB70A23" w:rsidR="001D5C3B" w:rsidRPr="001D5C3B" w:rsidRDefault="00A93FB0" w:rsidP="001D5C3B">
      <w:pPr>
        <w:pStyle w:val="Caption"/>
      </w:pPr>
      <w:bookmarkStart w:id="47" w:name="_Toc532990268"/>
      <w:r>
        <w:t xml:space="preserve">Table </w:t>
      </w:r>
      <w:r w:rsidR="00B219C0">
        <w:rPr>
          <w:noProof/>
        </w:rPr>
        <w:fldChar w:fldCharType="begin"/>
      </w:r>
      <w:r w:rsidR="00B219C0">
        <w:rPr>
          <w:noProof/>
        </w:rPr>
        <w:instrText xml:space="preserve"> SEQ Table \* ARABIC </w:instrText>
      </w:r>
      <w:r w:rsidR="00B219C0">
        <w:rPr>
          <w:noProof/>
        </w:rPr>
        <w:fldChar w:fldCharType="separate"/>
      </w:r>
      <w:r w:rsidR="00F54E66">
        <w:rPr>
          <w:noProof/>
        </w:rPr>
        <w:t>1</w:t>
      </w:r>
      <w:r w:rsidR="00B219C0">
        <w:rPr>
          <w:noProof/>
        </w:rPr>
        <w:fldChar w:fldCharType="end"/>
      </w:r>
      <w:bookmarkEnd w:id="46"/>
      <w:r>
        <w:t xml:space="preserve"> </w:t>
      </w:r>
      <w:r w:rsidR="00DE19E4">
        <w:t>Key elements of f</w:t>
      </w:r>
      <w:r>
        <w:t>ramework</w:t>
      </w:r>
      <w:r w:rsidR="00DE19E4">
        <w:t>s</w:t>
      </w:r>
      <w:r>
        <w:t xml:space="preserve"> provid</w:t>
      </w:r>
      <w:r w:rsidR="00DE19E4">
        <w:t xml:space="preserve">ing </w:t>
      </w:r>
      <w:r>
        <w:t>for stockpile prevention, management and clearance</w:t>
      </w:r>
      <w:bookmarkEnd w:id="47"/>
    </w:p>
    <w:tbl>
      <w:tblPr>
        <w:tblStyle w:val="BETable13"/>
        <w:tblW w:w="9356" w:type="dxa"/>
        <w:tblLook w:val="04A0" w:firstRow="1" w:lastRow="0" w:firstColumn="1" w:lastColumn="0" w:noHBand="0" w:noVBand="1"/>
      </w:tblPr>
      <w:tblGrid>
        <w:gridCol w:w="2552"/>
        <w:gridCol w:w="6804"/>
      </w:tblGrid>
      <w:tr w:rsidR="00C77989" w14:paraId="27AF56DE" w14:textId="77777777" w:rsidTr="00C779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38CF9C02" w14:textId="213A25BC" w:rsidR="00A93FB0" w:rsidRPr="00556906" w:rsidRDefault="00DE19E4" w:rsidP="00596F0C">
            <w:pPr>
              <w:pStyle w:val="RECnormaltext"/>
            </w:pPr>
            <w:r>
              <w:t>K</w:t>
            </w:r>
            <w:r w:rsidR="00A93FB0" w:rsidRPr="00556906">
              <w:t>ey element</w:t>
            </w:r>
          </w:p>
        </w:tc>
        <w:tc>
          <w:tcPr>
            <w:tcW w:w="6804" w:type="dxa"/>
            <w:shd w:val="clear" w:color="auto" w:fill="FFFFFF" w:themeFill="background1"/>
          </w:tcPr>
          <w:p w14:paraId="0FA0D245" w14:textId="0C50390D" w:rsidR="00A93FB0" w:rsidRPr="00556906" w:rsidRDefault="00A93FB0" w:rsidP="00596F0C">
            <w:pPr>
              <w:pStyle w:val="RECnormaltext"/>
              <w:cnfStyle w:val="100000000000" w:firstRow="1" w:lastRow="0" w:firstColumn="0" w:lastColumn="0" w:oddVBand="0" w:evenVBand="0" w:oddHBand="0" w:evenHBand="0" w:firstRowFirstColumn="0" w:firstRowLastColumn="0" w:lastRowFirstColumn="0" w:lastRowLastColumn="0"/>
            </w:pPr>
            <w:r w:rsidRPr="00556906">
              <w:t>Relevance</w:t>
            </w:r>
          </w:p>
        </w:tc>
      </w:tr>
      <w:tr w:rsidR="00556906" w14:paraId="2F75309A" w14:textId="77777777" w:rsidTr="00C77989">
        <w:tc>
          <w:tcPr>
            <w:cnfStyle w:val="001000000000" w:firstRow="0" w:lastRow="0" w:firstColumn="1" w:lastColumn="0" w:oddVBand="0" w:evenVBand="0" w:oddHBand="0" w:evenHBand="0" w:firstRowFirstColumn="0" w:firstRowLastColumn="0" w:lastRowFirstColumn="0" w:lastRowLastColumn="0"/>
            <w:tcW w:w="9355" w:type="dxa"/>
            <w:gridSpan w:val="2"/>
            <w:shd w:val="clear" w:color="auto" w:fill="7F7F7F" w:themeFill="text1" w:themeFillTint="80"/>
          </w:tcPr>
          <w:p w14:paraId="15245FA0" w14:textId="05ABE0B1" w:rsidR="00556906" w:rsidRPr="00556906" w:rsidRDefault="00556906" w:rsidP="00556906">
            <w:pPr>
              <w:pStyle w:val="RECnormaltext"/>
              <w:jc w:val="center"/>
              <w:rPr>
                <w:color w:val="FFFFFF" w:themeColor="background1"/>
              </w:rPr>
            </w:pPr>
            <w:r w:rsidRPr="00556906">
              <w:rPr>
                <w:b/>
                <w:color w:val="FFFFFF" w:themeColor="background1"/>
              </w:rPr>
              <w:t>Prevention</w:t>
            </w:r>
          </w:p>
        </w:tc>
      </w:tr>
      <w:tr w:rsidR="00A04134" w14:paraId="185D7E9C"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3DD6559E" w14:textId="56C6F37B" w:rsidR="00A04134" w:rsidRPr="003D7F29" w:rsidRDefault="00A04134" w:rsidP="00CC1642">
            <w:pPr>
              <w:pStyle w:val="RECnumberlist"/>
              <w:numPr>
                <w:ilvl w:val="0"/>
                <w:numId w:val="89"/>
              </w:numPr>
              <w:ind w:left="425" w:hanging="357"/>
            </w:pPr>
            <w:r w:rsidRPr="003D7F29">
              <w:t>Generator hazardous waste minimisation reporting required</w:t>
            </w:r>
          </w:p>
        </w:tc>
        <w:tc>
          <w:tcPr>
            <w:tcW w:w="6804" w:type="dxa"/>
          </w:tcPr>
          <w:p w14:paraId="629F67C9" w14:textId="1FD92478" w:rsidR="00A04134" w:rsidRDefault="007845C3" w:rsidP="00A04134">
            <w:pPr>
              <w:pStyle w:val="RECnormaltext"/>
              <w:cnfStyle w:val="000000000000" w:firstRow="0" w:lastRow="0" w:firstColumn="0" w:lastColumn="0" w:oddVBand="0" w:evenVBand="0" w:oddHBand="0" w:evenHBand="0" w:firstRowFirstColumn="0" w:firstRowLastColumn="0" w:lastRowFirstColumn="0" w:lastRowLastColumn="0"/>
            </w:pPr>
            <w:r>
              <w:t xml:space="preserve">Arguably the most effective way to prevent hazardous waste stockpiles is to prevent the generation of the waste in the first instance. Refers to requirements to </w:t>
            </w:r>
            <w:r w:rsidRPr="007845C3">
              <w:rPr>
                <w:u w:val="single"/>
              </w:rPr>
              <w:t>report on</w:t>
            </w:r>
            <w:r>
              <w:t xml:space="preserve"> how generation is being minimised.</w:t>
            </w:r>
          </w:p>
        </w:tc>
      </w:tr>
      <w:tr w:rsidR="00A04134" w14:paraId="7DC3E748"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55CEF26C" w14:textId="2977A94D" w:rsidR="00A04134" w:rsidRDefault="00A04134" w:rsidP="00CC1642">
            <w:pPr>
              <w:pStyle w:val="RECnumberlist"/>
              <w:ind w:left="425" w:hanging="357"/>
            </w:pPr>
            <w:r w:rsidRPr="005A13ED">
              <w:t>Licence/permit required to stockpile hazardous waste</w:t>
            </w:r>
          </w:p>
        </w:tc>
        <w:tc>
          <w:tcPr>
            <w:tcW w:w="6804" w:type="dxa"/>
          </w:tcPr>
          <w:p w14:paraId="7F370B92" w14:textId="2D0A2445" w:rsidR="00A04134" w:rsidRDefault="007845C3" w:rsidP="00A04134">
            <w:pPr>
              <w:pStyle w:val="RECnormaltext"/>
              <w:cnfStyle w:val="000000000000" w:firstRow="0" w:lastRow="0" w:firstColumn="0" w:lastColumn="0" w:oddVBand="0" w:evenVBand="0" w:oddHBand="0" w:evenHBand="0" w:firstRowFirstColumn="0" w:firstRowLastColumn="0" w:lastRowFirstColumn="0" w:lastRowLastColumn="0"/>
            </w:pPr>
            <w:r>
              <w:t xml:space="preserve">Having a licensing/permitting requirement in place to store or stockpile hazardous wastes </w:t>
            </w:r>
            <w:r w:rsidR="00FA5564">
              <w:t xml:space="preserve">can </w:t>
            </w:r>
            <w:r w:rsidRPr="00FA5564">
              <w:rPr>
                <w:b/>
              </w:rPr>
              <w:t>both</w:t>
            </w:r>
            <w:r>
              <w:t xml:space="preserve"> </w:t>
            </w:r>
            <w:r w:rsidR="00FA5564">
              <w:t>deter</w:t>
            </w:r>
            <w:r>
              <w:t xml:space="preserve"> (prevent) stockpiling and </w:t>
            </w:r>
            <w:r w:rsidR="00FA5564">
              <w:t>p</w:t>
            </w:r>
            <w:r>
              <w:t>rovide for the management elements that are discussed below.</w:t>
            </w:r>
            <w:r w:rsidR="00FA5564">
              <w:br/>
            </w:r>
            <w:r>
              <w:t>The thresholds for site licensing are</w:t>
            </w:r>
            <w:r w:rsidR="00CA1C50">
              <w:t xml:space="preserve"> a key element to any framework and they may be set for specific waste types such as </w:t>
            </w:r>
            <w:r w:rsidR="001264DF">
              <w:t>end of life tyres (</w:t>
            </w:r>
            <w:r w:rsidR="00CA1C50">
              <w:t>EOLT</w:t>
            </w:r>
            <w:r w:rsidR="00C24188">
              <w:t>s</w:t>
            </w:r>
            <w:r w:rsidR="001264DF">
              <w:t>)</w:t>
            </w:r>
            <w:r w:rsidR="00CA1C50">
              <w:t>.</w:t>
            </w:r>
          </w:p>
        </w:tc>
      </w:tr>
      <w:tr w:rsidR="00A04134" w14:paraId="2FE6FC1D"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0BBBD63B" w14:textId="4193ABE7" w:rsidR="00A04134" w:rsidRDefault="00A04134" w:rsidP="00326262">
            <w:pPr>
              <w:pStyle w:val="RECnumberlist"/>
            </w:pPr>
            <w:r>
              <w:t>Hazardous waste tracking (transport and receipt)</w:t>
            </w:r>
          </w:p>
        </w:tc>
        <w:tc>
          <w:tcPr>
            <w:tcW w:w="6804" w:type="dxa"/>
          </w:tcPr>
          <w:p w14:paraId="40163B1F" w14:textId="1C1CBC9F" w:rsidR="00A04134" w:rsidRDefault="001F73FA" w:rsidP="00F7790C">
            <w:pPr>
              <w:pStyle w:val="RECnormaltext"/>
              <w:cnfStyle w:val="000000000000" w:firstRow="0" w:lastRow="0" w:firstColumn="0" w:lastColumn="0" w:oddVBand="0" w:evenVBand="0" w:oddHBand="0" w:evenHBand="0" w:firstRowFirstColumn="0" w:firstRowLastColumn="0" w:lastRowFirstColumn="0" w:lastRowLastColumn="0"/>
            </w:pPr>
            <w:r>
              <w:t xml:space="preserve">The tracking of hazardous waste </w:t>
            </w:r>
            <w:r w:rsidR="00D22360">
              <w:t>transport and receipt ensures that wastes are only taken to a facility that is licensed to receive the waste</w:t>
            </w:r>
            <w:r w:rsidR="00F7790C">
              <w:t>,</w:t>
            </w:r>
            <w:r w:rsidR="00D22360">
              <w:t xml:space="preserve"> which ensures appropriate management. Tracking systems help to prevent illegal dumping and illegal stockpiling.</w:t>
            </w:r>
          </w:p>
        </w:tc>
      </w:tr>
      <w:tr w:rsidR="00280C5F" w14:paraId="0A5EF543"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5A6EEA8F" w14:textId="4DD1D0FB" w:rsidR="00280C5F" w:rsidRDefault="00280C5F" w:rsidP="00326262">
            <w:pPr>
              <w:pStyle w:val="RECnumberlist"/>
            </w:pPr>
            <w:r>
              <w:t xml:space="preserve">Enforcement against illegal dumping </w:t>
            </w:r>
          </w:p>
        </w:tc>
        <w:tc>
          <w:tcPr>
            <w:tcW w:w="6804" w:type="dxa"/>
          </w:tcPr>
          <w:p w14:paraId="67329630" w14:textId="52B4EC9B" w:rsidR="00264B5E" w:rsidRDefault="009F1816" w:rsidP="00A04134">
            <w:pPr>
              <w:pStyle w:val="RECnormaltext"/>
              <w:cnfStyle w:val="000000000000" w:firstRow="0" w:lastRow="0" w:firstColumn="0" w:lastColumn="0" w:oddVBand="0" w:evenVBand="0" w:oddHBand="0" w:evenHBand="0" w:firstRowFirstColumn="0" w:firstRowLastColumn="0" w:lastRowFirstColumn="0" w:lastRowLastColumn="0"/>
            </w:pPr>
            <w:r>
              <w:t xml:space="preserve">Illegal dumping of hazardous waste can lead to the development of stockpiles of hazardous waste, as illustrated in Section </w:t>
            </w:r>
            <w:r>
              <w:fldChar w:fldCharType="begin"/>
            </w:r>
            <w:r>
              <w:instrText xml:space="preserve"> REF _Ref472671231 \r \h </w:instrText>
            </w:r>
            <w:r w:rsidR="008B3454">
              <w:instrText xml:space="preserve"> \* MERGEFORMAT </w:instrText>
            </w:r>
            <w:r>
              <w:fldChar w:fldCharType="separate"/>
            </w:r>
            <w:r w:rsidR="00F54E66">
              <w:t>14</w:t>
            </w:r>
            <w:r>
              <w:fldChar w:fldCharType="end"/>
            </w:r>
            <w:r>
              <w:t xml:space="preserve">, </w:t>
            </w:r>
            <w:r>
              <w:fldChar w:fldCharType="begin"/>
            </w:r>
            <w:r>
              <w:instrText xml:space="preserve"> REF _Ref473031608 \h </w:instrText>
            </w:r>
            <w:r w:rsidR="008B3454">
              <w:instrText xml:space="preserve"> \* MERGEFORMAT </w:instrText>
            </w:r>
            <w:r>
              <w:fldChar w:fldCharType="separate"/>
            </w:r>
            <w:r w:rsidR="00F54E66">
              <w:t xml:space="preserve">Figure </w:t>
            </w:r>
            <w:r w:rsidR="00F54E66">
              <w:rPr>
                <w:noProof/>
              </w:rPr>
              <w:t>1</w:t>
            </w:r>
            <w:r>
              <w:fldChar w:fldCharType="end"/>
            </w:r>
            <w:r>
              <w:t xml:space="preserve">. </w:t>
            </w:r>
            <w:r w:rsidR="00264B5E">
              <w:t>Stockpiles which result from illegal dumping can be particularly problematic as there is often</w:t>
            </w:r>
            <w:r w:rsidR="005419DA">
              <w:t xml:space="preserve"> no</w:t>
            </w:r>
            <w:r w:rsidR="00264B5E">
              <w:t xml:space="preserve"> opportunity for regulators to recover funds for the stockpile clean-up.</w:t>
            </w:r>
          </w:p>
          <w:p w14:paraId="6C296044" w14:textId="5E4CA250" w:rsidR="00280C5F" w:rsidRDefault="009F1816" w:rsidP="00A04134">
            <w:pPr>
              <w:pStyle w:val="RECnormaltext"/>
              <w:cnfStyle w:val="000000000000" w:firstRow="0" w:lastRow="0" w:firstColumn="0" w:lastColumn="0" w:oddVBand="0" w:evenVBand="0" w:oddHBand="0" w:evenHBand="0" w:firstRowFirstColumn="0" w:firstRowLastColumn="0" w:lastRowFirstColumn="0" w:lastRowLastColumn="0"/>
            </w:pPr>
            <w:r>
              <w:t>Resources and programs are required to prevent illegal dumping</w:t>
            </w:r>
            <w:r w:rsidR="005419DA">
              <w:t xml:space="preserve"> of hazardous wastes</w:t>
            </w:r>
            <w:r>
              <w:t xml:space="preserve">, especially in jurisdictions where the disposal options for hazardous waste are limited </w:t>
            </w:r>
            <w:r w:rsidR="00D37741">
              <w:t xml:space="preserve">and </w:t>
            </w:r>
            <w:r>
              <w:t>or expensive.</w:t>
            </w:r>
          </w:p>
        </w:tc>
      </w:tr>
      <w:tr w:rsidR="00280C5F" w14:paraId="63B18930"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701E4F78" w14:textId="79725577" w:rsidR="00280C5F" w:rsidRDefault="00280C5F" w:rsidP="00326262">
            <w:pPr>
              <w:pStyle w:val="RECnumberlist"/>
            </w:pPr>
            <w:r>
              <w:t>Landfill levy settings</w:t>
            </w:r>
          </w:p>
        </w:tc>
        <w:tc>
          <w:tcPr>
            <w:tcW w:w="6804" w:type="dxa"/>
          </w:tcPr>
          <w:p w14:paraId="55DB935F" w14:textId="157CDB7C" w:rsidR="00280C5F" w:rsidRDefault="009F1816" w:rsidP="00BE0A33">
            <w:pPr>
              <w:pStyle w:val="RECnormaltext"/>
              <w:cnfStyle w:val="000000000000" w:firstRow="0" w:lastRow="0" w:firstColumn="0" w:lastColumn="0" w:oddVBand="0" w:evenVBand="0" w:oddHBand="0" w:evenHBand="0" w:firstRowFirstColumn="0" w:firstRowLastColumn="0" w:lastRowFirstColumn="0" w:lastRowLastColumn="0"/>
            </w:pPr>
            <w:r>
              <w:t>Landfill levies are indirectly relevant to this study. As the cost of licensed landfill</w:t>
            </w:r>
            <w:r w:rsidR="005419DA">
              <w:t xml:space="preserve"> disposal</w:t>
            </w:r>
            <w:r>
              <w:t xml:space="preserve"> increases, so does the financial driver for </w:t>
            </w:r>
            <w:r w:rsidR="00264B5E">
              <w:t xml:space="preserve">hazardous waste </w:t>
            </w:r>
            <w:r>
              <w:t xml:space="preserve">illegal dumping and </w:t>
            </w:r>
            <w:r w:rsidR="00BE0A33">
              <w:t xml:space="preserve">with it </w:t>
            </w:r>
            <w:r>
              <w:t xml:space="preserve">the </w:t>
            </w:r>
            <w:r w:rsidR="00264B5E">
              <w:t>risk of hazardous waste stockpil</w:t>
            </w:r>
            <w:r w:rsidR="00BE0A33">
              <w:t>e formation</w:t>
            </w:r>
            <w:r w:rsidR="00264B5E">
              <w:t>.</w:t>
            </w:r>
          </w:p>
        </w:tc>
      </w:tr>
      <w:tr w:rsidR="00556906" w14:paraId="163F8DAC" w14:textId="77777777" w:rsidTr="00DB0352">
        <w:tc>
          <w:tcPr>
            <w:cnfStyle w:val="001000000000" w:firstRow="0" w:lastRow="0" w:firstColumn="1" w:lastColumn="0" w:oddVBand="0" w:evenVBand="0" w:oddHBand="0" w:evenHBand="0" w:firstRowFirstColumn="0" w:firstRowLastColumn="0" w:lastRowFirstColumn="0" w:lastRowLastColumn="0"/>
            <w:tcW w:w="9355" w:type="dxa"/>
            <w:gridSpan w:val="2"/>
            <w:shd w:val="clear" w:color="auto" w:fill="7F7F7F" w:themeFill="text1" w:themeFillTint="80"/>
          </w:tcPr>
          <w:p w14:paraId="1617485B" w14:textId="1C24E047" w:rsidR="00556906" w:rsidRPr="00B219C0" w:rsidRDefault="00556906" w:rsidP="00B219C0">
            <w:pPr>
              <w:pStyle w:val="RECnumberlist"/>
              <w:numPr>
                <w:ilvl w:val="0"/>
                <w:numId w:val="0"/>
              </w:numPr>
              <w:ind w:left="376"/>
              <w:jc w:val="center"/>
              <w:rPr>
                <w:b/>
              </w:rPr>
            </w:pPr>
            <w:r w:rsidRPr="00B219C0">
              <w:rPr>
                <w:b/>
                <w:color w:val="FFFFFF" w:themeColor="background1"/>
              </w:rPr>
              <w:t>Management</w:t>
            </w:r>
          </w:p>
        </w:tc>
      </w:tr>
      <w:tr w:rsidR="00A04134" w14:paraId="766252D2"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7E9DAC14" w14:textId="3510481D" w:rsidR="00A04134" w:rsidRPr="008B3454" w:rsidRDefault="00A04134" w:rsidP="00326262">
            <w:pPr>
              <w:pStyle w:val="RECnumberlist"/>
            </w:pPr>
            <w:r w:rsidRPr="008B3454">
              <w:t>Stockpile quantity limits set for all sites</w:t>
            </w:r>
          </w:p>
        </w:tc>
        <w:tc>
          <w:tcPr>
            <w:tcW w:w="6804" w:type="dxa"/>
          </w:tcPr>
          <w:p w14:paraId="01DF80F1" w14:textId="65CA8E4A" w:rsidR="00A04134" w:rsidRDefault="00F31807" w:rsidP="00A04134">
            <w:pPr>
              <w:pStyle w:val="RECnormaltext"/>
              <w:cnfStyle w:val="000000000000" w:firstRow="0" w:lastRow="0" w:firstColumn="0" w:lastColumn="0" w:oddVBand="0" w:evenVBand="0" w:oddHBand="0" w:evenHBand="0" w:firstRowFirstColumn="0" w:firstRowLastColumn="0" w:lastRowFirstColumn="0" w:lastRowLastColumn="0"/>
            </w:pPr>
            <w:r>
              <w:t>Limiting the amount of hazardous waste allowed onsite is fundamental to being able to regulate the stockpile</w:t>
            </w:r>
            <w:r w:rsidR="00BE0A33">
              <w:t>’s</w:t>
            </w:r>
            <w:r>
              <w:t xml:space="preserve"> management.</w:t>
            </w:r>
          </w:p>
        </w:tc>
      </w:tr>
      <w:tr w:rsidR="00F31807" w14:paraId="2012128F"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64DEAC53" w14:textId="705EC4F9" w:rsidR="00F31807" w:rsidRDefault="00F31807" w:rsidP="00326262">
            <w:pPr>
              <w:pStyle w:val="RECnumberlist"/>
            </w:pPr>
            <w:r w:rsidRPr="00C24D71">
              <w:t xml:space="preserve">Stockpiling time limits set for </w:t>
            </w:r>
            <w:r>
              <w:t xml:space="preserve">all </w:t>
            </w:r>
            <w:r w:rsidRPr="00C24D71">
              <w:t>site</w:t>
            </w:r>
            <w:r>
              <w:t>s</w:t>
            </w:r>
          </w:p>
        </w:tc>
        <w:tc>
          <w:tcPr>
            <w:tcW w:w="6804" w:type="dxa"/>
          </w:tcPr>
          <w:p w14:paraId="4D85C637" w14:textId="71FCCE9A" w:rsidR="00F31807" w:rsidRDefault="00F31807" w:rsidP="00F31807">
            <w:pPr>
              <w:pStyle w:val="RECnormaltext"/>
              <w:cnfStyle w:val="000000000000" w:firstRow="0" w:lastRow="0" w:firstColumn="0" w:lastColumn="0" w:oddVBand="0" w:evenVBand="0" w:oddHBand="0" w:evenHBand="0" w:firstRowFirstColumn="0" w:firstRowLastColumn="0" w:lastRowFirstColumn="0" w:lastRowLastColumn="0"/>
            </w:pPr>
            <w:r>
              <w:t xml:space="preserve">Limiting the time hazardous waste </w:t>
            </w:r>
            <w:r w:rsidR="00BE0A33">
              <w:t xml:space="preserve">can remain </w:t>
            </w:r>
            <w:r>
              <w:t>onsite is arguably the more effective management control for stockpiling, assuming the time of stockpiling can be effectively proven.</w:t>
            </w:r>
          </w:p>
        </w:tc>
      </w:tr>
      <w:tr w:rsidR="00F31807" w14:paraId="7DC48E1A"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497471D1" w14:textId="788C7221" w:rsidR="00F31807" w:rsidRPr="00C24D71" w:rsidRDefault="00F31807" w:rsidP="00326262">
            <w:pPr>
              <w:pStyle w:val="RECnumberlist"/>
            </w:pPr>
            <w:r w:rsidRPr="00C24D71">
              <w:t>Reporting</w:t>
            </w:r>
            <w:r>
              <w:t xml:space="preserve"> required on stockpile status and change</w:t>
            </w:r>
          </w:p>
        </w:tc>
        <w:tc>
          <w:tcPr>
            <w:tcW w:w="6804" w:type="dxa"/>
          </w:tcPr>
          <w:p w14:paraId="133F4847" w14:textId="42495DC4" w:rsidR="00F31807" w:rsidRDefault="00F61CC8" w:rsidP="00F31807">
            <w:pPr>
              <w:pStyle w:val="RECnormaltext"/>
              <w:cnfStyle w:val="000000000000" w:firstRow="0" w:lastRow="0" w:firstColumn="0" w:lastColumn="0" w:oddVBand="0" w:evenVBand="0" w:oddHBand="0" w:evenHBand="0" w:firstRowFirstColumn="0" w:firstRowLastColumn="0" w:lastRowFirstColumn="0" w:lastRowLastColumn="0"/>
            </w:pPr>
            <w:r>
              <w:t xml:space="preserve">Reporting to regulators on an annual basis, for example, ensures that licensing limits are monitored by the site owner and </w:t>
            </w:r>
            <w:r w:rsidR="001E325E">
              <w:t>helps regulators in monitoring high risk sites.</w:t>
            </w:r>
          </w:p>
        </w:tc>
      </w:tr>
      <w:tr w:rsidR="00F31807" w14:paraId="6BA33482"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007E6BF7" w14:textId="6F225E7D" w:rsidR="00F31807" w:rsidRPr="00C24D71" w:rsidRDefault="00F31807" w:rsidP="00326262">
            <w:pPr>
              <w:pStyle w:val="RECnumberlist"/>
            </w:pPr>
            <w:r w:rsidRPr="00C24D71">
              <w:t xml:space="preserve">Stockpile </w:t>
            </w:r>
            <w:r>
              <w:t xml:space="preserve">site controls </w:t>
            </w:r>
            <w:r w:rsidRPr="00C24D71">
              <w:t>required</w:t>
            </w:r>
          </w:p>
        </w:tc>
        <w:tc>
          <w:tcPr>
            <w:tcW w:w="6804" w:type="dxa"/>
          </w:tcPr>
          <w:p w14:paraId="0D009D67" w14:textId="4200ABDD" w:rsidR="00F31807" w:rsidRDefault="001E325E" w:rsidP="00F31807">
            <w:pPr>
              <w:pStyle w:val="RECnormaltext"/>
              <w:cnfStyle w:val="000000000000" w:firstRow="0" w:lastRow="0" w:firstColumn="0" w:lastColumn="0" w:oddVBand="0" w:evenVBand="0" w:oddHBand="0" w:evenHBand="0" w:firstRowFirstColumn="0" w:firstRowLastColumn="0" w:lastRowFirstColumn="0" w:lastRowLastColumn="0"/>
            </w:pPr>
            <w:r>
              <w:t>These are the practical, onsite requirements that are put in place specifically to control stockpiles</w:t>
            </w:r>
            <w:r w:rsidR="00BE0A33">
              <w:t>’</w:t>
            </w:r>
            <w:r w:rsidR="00C054A3">
              <w:t xml:space="preserve"> impacts on the environment</w:t>
            </w:r>
            <w:r>
              <w:t xml:space="preserve">. They include requirements such as bunding, shedding, dust suppression, odour management, etc. </w:t>
            </w:r>
            <w:r w:rsidR="00C054A3">
              <w:t xml:space="preserve">This key element refers to specific and published requirements to have </w:t>
            </w:r>
            <w:r w:rsidR="00462BE6">
              <w:t>site controls in place</w:t>
            </w:r>
            <w:r w:rsidR="00C054A3">
              <w:t>.</w:t>
            </w:r>
          </w:p>
        </w:tc>
      </w:tr>
      <w:tr w:rsidR="00F31807" w14:paraId="4D4664C4"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68439CEB" w14:textId="209493CA" w:rsidR="00F31807" w:rsidRPr="00C24D71" w:rsidRDefault="00F31807" w:rsidP="00326262">
            <w:pPr>
              <w:pStyle w:val="RECnumberlist"/>
            </w:pPr>
            <w:r w:rsidRPr="00C24D71">
              <w:t xml:space="preserve">Emergency </w:t>
            </w:r>
            <w:r>
              <w:t xml:space="preserve">plan </w:t>
            </w:r>
            <w:r w:rsidRPr="00C24D71">
              <w:t>required</w:t>
            </w:r>
            <w:r>
              <w:t xml:space="preserve"> for stockpiles</w:t>
            </w:r>
          </w:p>
        </w:tc>
        <w:tc>
          <w:tcPr>
            <w:tcW w:w="6804" w:type="dxa"/>
          </w:tcPr>
          <w:p w14:paraId="04E7D797" w14:textId="3CA79EBA" w:rsidR="00F31807" w:rsidRDefault="00C054A3" w:rsidP="005419DA">
            <w:pPr>
              <w:pStyle w:val="RECnormaltext"/>
              <w:cnfStyle w:val="000000000000" w:firstRow="0" w:lastRow="0" w:firstColumn="0" w:lastColumn="0" w:oddVBand="0" w:evenVBand="0" w:oddHBand="0" w:evenHBand="0" w:firstRowFirstColumn="0" w:firstRowLastColumn="0" w:lastRowFirstColumn="0" w:lastRowLastColumn="0"/>
            </w:pPr>
            <w:r>
              <w:t>Stockpiles of hazardous waste are likely</w:t>
            </w:r>
            <w:r w:rsidR="00975E04">
              <w:t xml:space="preserve"> to</w:t>
            </w:r>
            <w:r>
              <w:t xml:space="preserve"> present a significant environmental and potentially human health risk in the event of an emergency such as a fire or flood. This key element refers to specific and published requirements to </w:t>
            </w:r>
            <w:r w:rsidR="00975E04">
              <w:t>have an emergency plan in place for hazardous waste stockpiles.</w:t>
            </w:r>
          </w:p>
        </w:tc>
      </w:tr>
      <w:tr w:rsidR="00F31807" w14:paraId="7BD483EC" w14:textId="77777777" w:rsidTr="00DB0352">
        <w:tc>
          <w:tcPr>
            <w:cnfStyle w:val="001000000000" w:firstRow="0" w:lastRow="0" w:firstColumn="1" w:lastColumn="0" w:oddVBand="0" w:evenVBand="0" w:oddHBand="0" w:evenHBand="0" w:firstRowFirstColumn="0" w:firstRowLastColumn="0" w:lastRowFirstColumn="0" w:lastRowLastColumn="0"/>
            <w:tcW w:w="9355" w:type="dxa"/>
            <w:gridSpan w:val="2"/>
            <w:shd w:val="clear" w:color="auto" w:fill="7F7F7F" w:themeFill="text1" w:themeFillTint="80"/>
          </w:tcPr>
          <w:p w14:paraId="6F6B20C1" w14:textId="567CC336" w:rsidR="00F31807" w:rsidRPr="00B219C0" w:rsidRDefault="00F31807" w:rsidP="00B219C0">
            <w:pPr>
              <w:pStyle w:val="RECnumberlist"/>
              <w:numPr>
                <w:ilvl w:val="0"/>
                <w:numId w:val="0"/>
              </w:numPr>
              <w:ind w:left="376"/>
              <w:jc w:val="center"/>
              <w:rPr>
                <w:b/>
              </w:rPr>
            </w:pPr>
            <w:r w:rsidRPr="00B219C0">
              <w:rPr>
                <w:b/>
                <w:color w:val="FFFFFF" w:themeColor="background1"/>
              </w:rPr>
              <w:t>Clearance</w:t>
            </w:r>
          </w:p>
        </w:tc>
      </w:tr>
      <w:tr w:rsidR="00F31807" w14:paraId="61110D6D"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1323F499" w14:textId="5186F2BF" w:rsidR="00F31807" w:rsidRPr="00B219C0" w:rsidRDefault="00F31807" w:rsidP="00326262">
            <w:pPr>
              <w:pStyle w:val="RECnumberlist"/>
            </w:pPr>
            <w:r w:rsidRPr="00816CE0">
              <w:t>Financial assurance</w:t>
            </w:r>
            <w:r w:rsidR="00E50CE4" w:rsidRPr="00816CE0">
              <w:t xml:space="preserve"> (FA)</w:t>
            </w:r>
            <w:r w:rsidRPr="00816CE0">
              <w:t xml:space="preserve"> for site clean-up</w:t>
            </w:r>
          </w:p>
        </w:tc>
        <w:tc>
          <w:tcPr>
            <w:tcW w:w="6804" w:type="dxa"/>
          </w:tcPr>
          <w:p w14:paraId="656B510B" w14:textId="2ECE0D9C" w:rsidR="00F31807" w:rsidRDefault="00E50CE4" w:rsidP="00F31807">
            <w:pPr>
              <w:pStyle w:val="RECnormaltext"/>
              <w:cnfStyle w:val="000000000000" w:firstRow="0" w:lastRow="0" w:firstColumn="0" w:lastColumn="0" w:oddVBand="0" w:evenVBand="0" w:oddHBand="0" w:evenHBand="0" w:firstRowFirstColumn="0" w:firstRowLastColumn="0" w:lastRowFirstColumn="0" w:lastRowLastColumn="0"/>
            </w:pPr>
            <w:r>
              <w:t xml:space="preserve">Financial assurance legislation allows for regulators to access </w:t>
            </w:r>
            <w:r w:rsidR="00975E04">
              <w:t xml:space="preserve">site owner </w:t>
            </w:r>
            <w:r>
              <w:t>funds</w:t>
            </w:r>
            <w:r w:rsidR="00975E04">
              <w:t>,</w:t>
            </w:r>
            <w:r>
              <w:t xml:space="preserve"> typically available via </w:t>
            </w:r>
            <w:r w:rsidRPr="00E50CE4">
              <w:t>bank guarantee, bond, or insurance policy</w:t>
            </w:r>
            <w:r w:rsidR="00975E04">
              <w:t>,</w:t>
            </w:r>
            <w:r>
              <w:t xml:space="preserve"> to clean-up a hazardous waste stockpile. Where effectively implemented</w:t>
            </w:r>
            <w:r w:rsidR="00BE0A33">
              <w:t>,</w:t>
            </w:r>
            <w:r>
              <w:t xml:space="preserve"> FA’s can provide effective means of funding stockpile clearance.</w:t>
            </w:r>
          </w:p>
        </w:tc>
      </w:tr>
      <w:tr w:rsidR="00F31807" w14:paraId="1E588C56" w14:textId="77777777" w:rsidTr="00DB0352">
        <w:tc>
          <w:tcPr>
            <w:cnfStyle w:val="001000000000" w:firstRow="0" w:lastRow="0" w:firstColumn="1" w:lastColumn="0" w:oddVBand="0" w:evenVBand="0" w:oddHBand="0" w:evenHBand="0" w:firstRowFirstColumn="0" w:firstRowLastColumn="0" w:lastRowFirstColumn="0" w:lastRowLastColumn="0"/>
            <w:tcW w:w="2552" w:type="dxa"/>
          </w:tcPr>
          <w:p w14:paraId="077DB8ED" w14:textId="4F2703AB" w:rsidR="00F31807" w:rsidRPr="00C24D71" w:rsidRDefault="00F31807" w:rsidP="00326262">
            <w:pPr>
              <w:pStyle w:val="RECnumberlist"/>
            </w:pPr>
            <w:r>
              <w:t>Government trust or f</w:t>
            </w:r>
            <w:r w:rsidRPr="00C24D71">
              <w:t>unds to deal with abandoned stockpiles</w:t>
            </w:r>
          </w:p>
        </w:tc>
        <w:tc>
          <w:tcPr>
            <w:tcW w:w="6804" w:type="dxa"/>
          </w:tcPr>
          <w:p w14:paraId="7599A914" w14:textId="77777777" w:rsidR="00F31807" w:rsidRDefault="00D25834" w:rsidP="00F31807">
            <w:pPr>
              <w:pStyle w:val="RECnormaltext"/>
              <w:cnfStyle w:val="000000000000" w:firstRow="0" w:lastRow="0" w:firstColumn="0" w:lastColumn="0" w:oddVBand="0" w:evenVBand="0" w:oddHBand="0" w:evenHBand="0" w:firstRowFirstColumn="0" w:firstRowLastColumn="0" w:lastRowFirstColumn="0" w:lastRowLastColumn="0"/>
            </w:pPr>
            <w:r>
              <w:t xml:space="preserve">Government trusts or funds are usually funded by governments setting aside revenue from sites licensing fees or landfill levies. The funds are held in a central account and are able to be made available for clean-up of sites where there is no other funding option available. </w:t>
            </w:r>
          </w:p>
          <w:p w14:paraId="7D2C0F6C" w14:textId="023087E0" w:rsidR="001445BE" w:rsidRDefault="001445BE" w:rsidP="00F31807">
            <w:pPr>
              <w:pStyle w:val="RECnormaltext"/>
              <w:cnfStyle w:val="000000000000" w:firstRow="0" w:lastRow="0" w:firstColumn="0" w:lastColumn="0" w:oddVBand="0" w:evenVBand="0" w:oddHBand="0" w:evenHBand="0" w:firstRowFirstColumn="0" w:firstRowLastColumn="0" w:lastRowFirstColumn="0" w:lastRowLastColumn="0"/>
            </w:pPr>
            <w:r>
              <w:t xml:space="preserve">These funds typically are set-up specifically to fund contaminated sites/stockpile clean-up and are additional to more generic environment trust funds that typically focus on improving and protecting </w:t>
            </w:r>
            <w:r w:rsidR="003A524E">
              <w:t xml:space="preserve">the environment and </w:t>
            </w:r>
            <w:r>
              <w:t xml:space="preserve">biodiversity. </w:t>
            </w:r>
          </w:p>
        </w:tc>
      </w:tr>
    </w:tbl>
    <w:p w14:paraId="5853B8AD" w14:textId="3151C8E3" w:rsidR="00CC310C" w:rsidRDefault="00F32709">
      <w:pPr>
        <w:pStyle w:val="Heading1"/>
      </w:pPr>
      <w:bookmarkStart w:id="48" w:name="_Ref474316410"/>
      <w:bookmarkStart w:id="49" w:name="_Ref487103036"/>
      <w:bookmarkStart w:id="50" w:name="_Toc532990219"/>
      <w:r>
        <w:t>ACT</w:t>
      </w:r>
      <w:r w:rsidR="000F667A">
        <w:t xml:space="preserve"> framework for hazardous waste stockpiles</w:t>
      </w:r>
      <w:bookmarkEnd w:id="44"/>
      <w:bookmarkEnd w:id="48"/>
      <w:bookmarkEnd w:id="49"/>
      <w:bookmarkEnd w:id="50"/>
    </w:p>
    <w:p w14:paraId="60841F4E" w14:textId="308448AE" w:rsidR="00F32709" w:rsidRDefault="00706047">
      <w:pPr>
        <w:pStyle w:val="Heading2"/>
      </w:pPr>
      <w:bookmarkStart w:id="51" w:name="_Toc532990220"/>
      <w:r>
        <w:t>P</w:t>
      </w:r>
      <w:r w:rsidR="00F32709">
        <w:t>revention</w:t>
      </w:r>
      <w:bookmarkEnd w:id="51"/>
    </w:p>
    <w:p w14:paraId="5DE51AF8" w14:textId="0C6EA466" w:rsidR="008722E7" w:rsidRDefault="00C77989" w:rsidP="00047982">
      <w:pPr>
        <w:pStyle w:val="NonTOCHeading3"/>
      </w:pPr>
      <w:r>
        <w:t>H</w:t>
      </w:r>
      <w:r w:rsidR="008722E7" w:rsidRPr="008722E7">
        <w:t>azardous waste minimisation reporting</w:t>
      </w:r>
      <w:r>
        <w:t xml:space="preserve"> for generators</w:t>
      </w:r>
    </w:p>
    <w:p w14:paraId="6AEE0076" w14:textId="230C0541" w:rsidR="008722E7" w:rsidRDefault="008722E7" w:rsidP="008722E7">
      <w:pPr>
        <w:pStyle w:val="RECnormaltext"/>
      </w:pPr>
      <w:r>
        <w:t xml:space="preserve">No reporting requirements were </w:t>
      </w:r>
      <w:r w:rsidRPr="00E45B05">
        <w:t>identified</w:t>
      </w:r>
      <w:r>
        <w:t xml:space="preserve"> that specifically </w:t>
      </w:r>
      <w:r w:rsidR="00723C83">
        <w:t>require waste generators to report on minimising hazardous waste generation</w:t>
      </w:r>
      <w:r>
        <w:t>.</w:t>
      </w:r>
    </w:p>
    <w:p w14:paraId="1F325160" w14:textId="05BC9528" w:rsidR="007238E0" w:rsidRPr="00DE7710" w:rsidRDefault="007238E0" w:rsidP="008722E7">
      <w:pPr>
        <w:pStyle w:val="RECnormaltext"/>
      </w:pPr>
      <w:r>
        <w:t xml:space="preserve">It’s worth noting that </w:t>
      </w:r>
      <w:r w:rsidRPr="007238E0">
        <w:t>the ACT do</w:t>
      </w:r>
      <w:r>
        <w:t xml:space="preserve">es not </w:t>
      </w:r>
      <w:r w:rsidRPr="007238E0">
        <w:t>generate significant volumes of hazardous waste because of a lack of industry</w:t>
      </w:r>
      <w:r>
        <w:t xml:space="preserve"> in the ACT</w:t>
      </w:r>
      <w:r w:rsidRPr="007238E0">
        <w:t>.</w:t>
      </w:r>
    </w:p>
    <w:p w14:paraId="2D8DCCA5" w14:textId="7B1A17C9" w:rsidR="00F07259" w:rsidRDefault="00B07C64" w:rsidP="00047982">
      <w:pPr>
        <w:pStyle w:val="NonTOCHeading3"/>
      </w:pPr>
      <w:r>
        <w:t>Site permits</w:t>
      </w:r>
      <w:r w:rsidR="00C77989">
        <w:t xml:space="preserve"> to receive and store hazardous waste</w:t>
      </w:r>
    </w:p>
    <w:p w14:paraId="3F7D8AFB" w14:textId="63B3BA00" w:rsidR="00ED2CD7" w:rsidRDefault="00ED2CD7" w:rsidP="00ED2CD7">
      <w:pPr>
        <w:pStyle w:val="RECnormaltext"/>
        <w:rPr>
          <w:rFonts w:eastAsia="Calibri"/>
        </w:rPr>
      </w:pPr>
      <w:r>
        <w:t xml:space="preserve">Schedule 1 of the ACT </w:t>
      </w:r>
      <w:hyperlink r:id="rId31" w:history="1">
        <w:r w:rsidRPr="007C0A57">
          <w:rPr>
            <w:rFonts w:eastAsia="Calibri"/>
            <w:color w:val="0000FF" w:themeColor="hyperlink"/>
            <w:u w:val="single"/>
          </w:rPr>
          <w:t>Environment Protection Act 1997</w:t>
        </w:r>
      </w:hyperlink>
      <w:r>
        <w:rPr>
          <w:rFonts w:eastAsia="Calibri"/>
        </w:rPr>
        <w:t xml:space="preserve"> </w:t>
      </w:r>
      <w:r w:rsidR="007E6D85">
        <w:rPr>
          <w:rFonts w:eastAsia="Calibri"/>
        </w:rPr>
        <w:t>details a</w:t>
      </w:r>
      <w:r w:rsidR="007E6D85" w:rsidRPr="007E6D85">
        <w:rPr>
          <w:rFonts w:eastAsia="Calibri"/>
        </w:rPr>
        <w:t>ctivities requiring environmental authorisation</w:t>
      </w:r>
      <w:r w:rsidR="007E6D85">
        <w:rPr>
          <w:rFonts w:eastAsia="Calibri"/>
        </w:rPr>
        <w:t>.</w:t>
      </w:r>
      <w:r w:rsidR="00CC1972">
        <w:rPr>
          <w:rFonts w:eastAsia="Calibri"/>
        </w:rPr>
        <w:t xml:space="preserve"> The following </w:t>
      </w:r>
      <w:r w:rsidR="00F41465">
        <w:rPr>
          <w:rFonts w:eastAsia="Calibri"/>
        </w:rPr>
        <w:t>extracts are</w:t>
      </w:r>
      <w:r w:rsidR="00CC1972">
        <w:rPr>
          <w:rFonts w:eastAsia="Calibri"/>
        </w:rPr>
        <w:t xml:space="preserve"> relevant:</w:t>
      </w:r>
      <w:r>
        <w:rPr>
          <w:rFonts w:eastAsia="Calibri"/>
        </w:rPr>
        <w:t xml:space="preserve"> </w:t>
      </w:r>
    </w:p>
    <w:p w14:paraId="0BDAF098" w14:textId="064D0C73" w:rsidR="00286E6B" w:rsidRPr="009C1FDF" w:rsidRDefault="009C1FDF" w:rsidP="009C1FDF">
      <w:pPr>
        <w:pStyle w:val="RECnormaltext"/>
        <w:numPr>
          <w:ilvl w:val="0"/>
          <w:numId w:val="33"/>
        </w:numPr>
        <w:ind w:left="709" w:right="804"/>
      </w:pPr>
      <w:r>
        <w:t>‘</w:t>
      </w:r>
      <w:r w:rsidR="00286E6B" w:rsidRPr="009C1FDF">
        <w:t>the treatment (other than by incineration), storage or handling of more than 1</w:t>
      </w:r>
      <w:r w:rsidR="00462615" w:rsidRPr="009C1FDF">
        <w:t>,</w:t>
      </w:r>
      <w:r w:rsidR="00286E6B" w:rsidRPr="009C1FDF">
        <w:t>000m</w:t>
      </w:r>
      <w:r w:rsidR="00286E6B" w:rsidRPr="00092342">
        <w:rPr>
          <w:vertAlign w:val="superscript"/>
        </w:rPr>
        <w:t>3</w:t>
      </w:r>
      <w:r w:rsidR="00286E6B" w:rsidRPr="009C1FDF">
        <w:t xml:space="preserve"> of contaminated soil from land outside the parcel of land where the contaminated soil is treated, stored or handled</w:t>
      </w:r>
    </w:p>
    <w:p w14:paraId="70C6228E" w14:textId="00B81031" w:rsidR="007C0A57" w:rsidRDefault="00286E6B" w:rsidP="00267977">
      <w:pPr>
        <w:pStyle w:val="RECdotpoint"/>
        <w:rPr>
          <w:rFonts w:eastAsia="Calibri"/>
        </w:rPr>
      </w:pPr>
      <w:r w:rsidRPr="009C1FDF">
        <w:t>the treatment (other than by incineration), storage or handling of more than 10</w:t>
      </w:r>
      <w:r w:rsidR="00462615" w:rsidRPr="009C1FDF">
        <w:t>,</w:t>
      </w:r>
      <w:r w:rsidRPr="009C1FDF">
        <w:t>000m</w:t>
      </w:r>
      <w:r w:rsidRPr="002F1951">
        <w:rPr>
          <w:vertAlign w:val="superscript"/>
        </w:rPr>
        <w:t>3</w:t>
      </w:r>
      <w:r w:rsidRPr="009C1FDF">
        <w:t xml:space="preserve"> of contaminated soil from land</w:t>
      </w:r>
      <w:r w:rsidR="009C1FDF">
        <w:rPr>
          <w:rFonts w:eastAsia="Calibri"/>
        </w:rPr>
        <w:t>’.</w:t>
      </w:r>
    </w:p>
    <w:p w14:paraId="6C049E09" w14:textId="77777777" w:rsidR="002F1951" w:rsidRDefault="002F1951" w:rsidP="007238E0">
      <w:pPr>
        <w:pStyle w:val="RECnormaltext"/>
        <w:ind w:right="804"/>
        <w:rPr>
          <w:rFonts w:eastAsia="Calibri"/>
        </w:rPr>
      </w:pPr>
      <w:r>
        <w:rPr>
          <w:rFonts w:eastAsia="Calibri"/>
        </w:rPr>
        <w:t>ACT EPA also commented that the following require authorisation:</w:t>
      </w:r>
    </w:p>
    <w:p w14:paraId="07203FD8" w14:textId="2B977231" w:rsidR="007238E0" w:rsidRPr="007238E0" w:rsidRDefault="007238E0" w:rsidP="00267977">
      <w:pPr>
        <w:pStyle w:val="RECdotpoint"/>
      </w:pPr>
      <w:r w:rsidRPr="007238E0">
        <w:t>the operation of a facility that recovers, processes or disposes, or is intended by the operator to recover, process or dispose, of more than 20t of waste petroleum products per year</w:t>
      </w:r>
    </w:p>
    <w:p w14:paraId="7B3DFCCF" w14:textId="5DA43A49" w:rsidR="007238E0" w:rsidRPr="007238E0" w:rsidRDefault="007238E0" w:rsidP="00267977">
      <w:pPr>
        <w:pStyle w:val="RECdotpoint"/>
      </w:pPr>
      <w:r w:rsidRPr="007238E0">
        <w:t>the operation of a waste transfer station receiving 30</w:t>
      </w:r>
      <w:r w:rsidR="002F1951">
        <w:t>,</w:t>
      </w:r>
      <w:r w:rsidRPr="007238E0">
        <w:t>000t or more of waste each year</w:t>
      </w:r>
    </w:p>
    <w:p w14:paraId="38F65EA6" w14:textId="2508AAD6" w:rsidR="007238E0" w:rsidRDefault="007238E0" w:rsidP="00267977">
      <w:pPr>
        <w:pStyle w:val="RECdotpoint"/>
      </w:pPr>
      <w:r w:rsidRPr="007238E0">
        <w:t>the operation of a commercial facility for the treatment of the hazardous components of electronic waste</w:t>
      </w:r>
      <w:r w:rsidR="002F1951">
        <w:t>.</w:t>
      </w:r>
    </w:p>
    <w:p w14:paraId="07C6BE31" w14:textId="77777777" w:rsidR="00B07C64" w:rsidRDefault="00B07C64" w:rsidP="00047982">
      <w:pPr>
        <w:pStyle w:val="NonTOCHeading3"/>
      </w:pPr>
      <w:r>
        <w:t>Hazardous waste tracking</w:t>
      </w:r>
    </w:p>
    <w:p w14:paraId="3D8BF9A3" w14:textId="08E4B870" w:rsidR="00B07C64" w:rsidRDefault="0066551C" w:rsidP="0066551C">
      <w:pPr>
        <w:pStyle w:val="RECnormaltext"/>
      </w:pPr>
      <w:r>
        <w:t xml:space="preserve">There is no hazardous waste tracking system in place in the ACT for hazardous waste movements within the jurisdiction. </w:t>
      </w:r>
    </w:p>
    <w:p w14:paraId="4C8D3CFA" w14:textId="2E00B12E" w:rsidR="00B07C64" w:rsidRDefault="00280C5F" w:rsidP="00047982">
      <w:pPr>
        <w:pStyle w:val="NonTOCHeading3"/>
      </w:pPr>
      <w:r>
        <w:t xml:space="preserve">Enforcement against illegal dumping </w:t>
      </w:r>
    </w:p>
    <w:p w14:paraId="62CB7228" w14:textId="00F36EB1" w:rsidR="00FF5CA7" w:rsidRDefault="002F1951" w:rsidP="009C1FDF">
      <w:r w:rsidRPr="002F1951">
        <w:t>The ACT Government (via Access Canberra and Transport Canberra and City Services) encourage public</w:t>
      </w:r>
      <w:r w:rsidR="00BC5F6D">
        <w:t xml:space="preserve"> </w:t>
      </w:r>
      <w:r w:rsidR="00FF5CA7" w:rsidRPr="007C0A57">
        <w:t xml:space="preserve">reporting of illegal dumping activities (not specifically focused on hazardous waste) and have significant monetary penalties for successful convictions against the relevant provisions of their legislation. The ACT has penalties – up to $1 million – for convictions of the relevant offence under the </w:t>
      </w:r>
      <w:hyperlink r:id="rId32" w:history="1">
        <w:r w:rsidR="00FF5CA7" w:rsidRPr="00FF5CA7">
          <w:rPr>
            <w:rStyle w:val="Hyperlink"/>
            <w:rFonts w:ascii="Calibri" w:hAnsi="Calibri"/>
          </w:rPr>
          <w:t>Dangerous Substances Act 2004</w:t>
        </w:r>
      </w:hyperlink>
      <w:r w:rsidR="00FF5CA7" w:rsidRPr="007C0A57">
        <w:t>, relevant for dumping of hazardous wastes.</w:t>
      </w:r>
    </w:p>
    <w:p w14:paraId="79C92D3A" w14:textId="78AF7B45" w:rsidR="004478E5" w:rsidRDefault="004478E5" w:rsidP="004478E5">
      <w:pPr>
        <w:rPr>
          <w:rFonts w:eastAsia="Calibri" w:cs="Arial"/>
        </w:rPr>
      </w:pPr>
      <w:r w:rsidRPr="007C0A57">
        <w:t xml:space="preserve">ACT and bordering NSW council areas such as Palerang, Yass Valley, Cooma-Monaro and Queanbeyan are part of the ACT–NSW Cross Border Program, one of NSW’s levy-funded </w:t>
      </w:r>
      <w:r w:rsidRPr="007C0A57">
        <w:rPr>
          <w:rFonts w:eastAsia="Calibri" w:cs="Arial"/>
        </w:rPr>
        <w:t>Regional Illegal Dumping (RID) Squads. These are typically focused on wastes that may not be hazardous waste.</w:t>
      </w:r>
    </w:p>
    <w:p w14:paraId="7F18F58E" w14:textId="7DF8879E" w:rsidR="00BC5F6D" w:rsidRDefault="00BC5F6D" w:rsidP="004478E5">
      <w:pPr>
        <w:rPr>
          <w:rFonts w:eastAsia="Calibri" w:cs="Arial"/>
        </w:rPr>
      </w:pPr>
    </w:p>
    <w:p w14:paraId="4277A352" w14:textId="77777777" w:rsidR="00BC5F6D" w:rsidRDefault="00BC5F6D" w:rsidP="004478E5">
      <w:pPr>
        <w:rPr>
          <w:rFonts w:eastAsia="Calibri" w:cs="Arial"/>
        </w:rPr>
      </w:pPr>
    </w:p>
    <w:p w14:paraId="705DE8BF" w14:textId="5B577BB5" w:rsidR="0026556C" w:rsidRDefault="0026556C" w:rsidP="00047982">
      <w:pPr>
        <w:pStyle w:val="NonTOCHeading3"/>
      </w:pPr>
      <w:r>
        <w:t>Landfill levy settings</w:t>
      </w:r>
    </w:p>
    <w:p w14:paraId="36837B01" w14:textId="15EA23DE" w:rsidR="00144F80" w:rsidRDefault="00BC5F6D" w:rsidP="00144F80">
      <w:pPr>
        <w:pStyle w:val="RECnormaltext"/>
        <w:spacing w:after="120"/>
      </w:pPr>
      <w:r w:rsidRPr="00BC5F6D">
        <w:t xml:space="preserve">ACT does not have specific </w:t>
      </w:r>
      <w:r>
        <w:t xml:space="preserve">‘landfill </w:t>
      </w:r>
      <w:r w:rsidRPr="00BC5F6D">
        <w:t>levy</w:t>
      </w:r>
      <w:r>
        <w:t>’ as ACT government operate the only landfills in the ACT</w:t>
      </w:r>
      <w:r w:rsidRPr="00BC5F6D">
        <w:t xml:space="preserve">. </w:t>
      </w:r>
      <w:r>
        <w:t>The</w:t>
      </w:r>
      <w:r w:rsidRPr="00BC5F6D">
        <w:t xml:space="preserve"> </w:t>
      </w:r>
      <w:hyperlink r:id="rId33" w:history="1">
        <w:r w:rsidR="00B67B01" w:rsidRPr="00B67B01">
          <w:rPr>
            <w:rStyle w:val="Hyperlink"/>
          </w:rPr>
          <w:t>Waste Minimisation (Fees) Determination 2016</w:t>
        </w:r>
      </w:hyperlink>
      <w:r w:rsidR="00B67B01">
        <w:t xml:space="preserve"> details the </w:t>
      </w:r>
      <w:r w:rsidR="00144F80">
        <w:t>ACT landfill fees</w:t>
      </w:r>
      <w:r w:rsidR="00B67B01">
        <w:t>, which are relevant to this study as the cost of landfil</w:t>
      </w:r>
      <w:r w:rsidR="00C1272B">
        <w:t xml:space="preserve">l at a </w:t>
      </w:r>
      <w:r w:rsidR="00B67B01">
        <w:t>licensed site impacts on the amount of illegal dumping.</w:t>
      </w:r>
      <w:r w:rsidR="00C1272B">
        <w:t xml:space="preserve"> </w:t>
      </w:r>
      <w:r w:rsidR="00144F80">
        <w:br/>
      </w:r>
      <w:r w:rsidR="00C1272B">
        <w:t xml:space="preserve">Schedule 1 of regulations sets out the landfill fees payable. The relevant </w:t>
      </w:r>
      <w:r w:rsidR="00144F80">
        <w:t xml:space="preserve">extract </w:t>
      </w:r>
      <w:r w:rsidR="00C1272B">
        <w:t>is included below.</w:t>
      </w:r>
    </w:p>
    <w:tbl>
      <w:tblPr>
        <w:tblW w:w="7796" w:type="dxa"/>
        <w:tblInd w:w="456" w:type="dxa"/>
        <w:tblLayout w:type="fixed"/>
        <w:tblCellMar>
          <w:left w:w="30" w:type="dxa"/>
          <w:right w:w="30" w:type="dxa"/>
        </w:tblCellMar>
        <w:tblLook w:val="0000" w:firstRow="0" w:lastRow="0" w:firstColumn="0" w:lastColumn="0" w:noHBand="0" w:noVBand="0"/>
      </w:tblPr>
      <w:tblGrid>
        <w:gridCol w:w="950"/>
        <w:gridCol w:w="5570"/>
        <w:gridCol w:w="1276"/>
      </w:tblGrid>
      <w:tr w:rsidR="00C1272B" w:rsidRPr="009C1FDF" w14:paraId="4693E5EF" w14:textId="77777777" w:rsidTr="009C1FDF">
        <w:trPr>
          <w:trHeight w:val="312"/>
        </w:trPr>
        <w:tc>
          <w:tcPr>
            <w:tcW w:w="950" w:type="dxa"/>
            <w:tcBorders>
              <w:top w:val="single" w:sz="4" w:space="0" w:color="auto"/>
              <w:left w:val="nil"/>
              <w:bottom w:val="single" w:sz="4" w:space="0" w:color="auto"/>
              <w:right w:val="nil"/>
            </w:tcBorders>
          </w:tcPr>
          <w:p w14:paraId="22A97B0D" w14:textId="3F8E3ABB" w:rsidR="00C1272B" w:rsidRPr="009C1FDF" w:rsidRDefault="009C1FDF" w:rsidP="009C1FDF">
            <w:pPr>
              <w:pStyle w:val="RECnormaltext"/>
              <w:spacing w:after="0"/>
              <w:rPr>
                <w:sz w:val="20"/>
              </w:rPr>
            </w:pPr>
            <w:r>
              <w:rPr>
                <w:sz w:val="20"/>
              </w:rPr>
              <w:t>‘</w:t>
            </w:r>
            <w:r w:rsidR="00C1272B" w:rsidRPr="009C1FDF">
              <w:rPr>
                <w:sz w:val="20"/>
              </w:rPr>
              <w:t>3.1.</w:t>
            </w:r>
          </w:p>
        </w:tc>
        <w:tc>
          <w:tcPr>
            <w:tcW w:w="5570" w:type="dxa"/>
            <w:tcBorders>
              <w:top w:val="single" w:sz="4" w:space="0" w:color="auto"/>
              <w:left w:val="nil"/>
              <w:bottom w:val="single" w:sz="4" w:space="0" w:color="auto"/>
              <w:right w:val="nil"/>
            </w:tcBorders>
          </w:tcPr>
          <w:p w14:paraId="3C692378" w14:textId="3D625B80" w:rsidR="00C1272B" w:rsidRPr="009C1FDF" w:rsidRDefault="00C1272B" w:rsidP="009C1FDF">
            <w:pPr>
              <w:pStyle w:val="RECnormaltext"/>
              <w:spacing w:after="0"/>
              <w:rPr>
                <w:sz w:val="20"/>
              </w:rPr>
            </w:pPr>
            <w:r w:rsidRPr="009C1FDF">
              <w:rPr>
                <w:sz w:val="20"/>
              </w:rPr>
              <w:t>Commercial industrial and other waste not dealt with elsewhere in this instrument- less than 0.25 tonne</w:t>
            </w:r>
          </w:p>
        </w:tc>
        <w:tc>
          <w:tcPr>
            <w:tcW w:w="1276" w:type="dxa"/>
            <w:tcBorders>
              <w:top w:val="single" w:sz="4" w:space="0" w:color="auto"/>
              <w:left w:val="nil"/>
              <w:bottom w:val="single" w:sz="4" w:space="0" w:color="auto"/>
              <w:right w:val="nil"/>
            </w:tcBorders>
          </w:tcPr>
          <w:p w14:paraId="336F0EB4" w14:textId="77777777" w:rsidR="00C1272B" w:rsidRPr="009C1FDF" w:rsidRDefault="00C1272B" w:rsidP="009C1FDF">
            <w:pPr>
              <w:pStyle w:val="RECnormaltext"/>
              <w:spacing w:after="0"/>
              <w:rPr>
                <w:sz w:val="20"/>
              </w:rPr>
            </w:pPr>
            <w:r w:rsidRPr="009C1FDF">
              <w:rPr>
                <w:sz w:val="20"/>
              </w:rPr>
              <w:t>$36.50</w:t>
            </w:r>
            <w:r w:rsidRPr="009C1FDF">
              <w:rPr>
                <w:sz w:val="20"/>
              </w:rPr>
              <w:br/>
              <w:t>per load</w:t>
            </w:r>
          </w:p>
        </w:tc>
      </w:tr>
      <w:tr w:rsidR="00C1272B" w:rsidRPr="009C1FDF" w14:paraId="45DAB85C" w14:textId="77777777" w:rsidTr="009C1FDF">
        <w:trPr>
          <w:trHeight w:val="312"/>
        </w:trPr>
        <w:tc>
          <w:tcPr>
            <w:tcW w:w="950" w:type="dxa"/>
            <w:tcBorders>
              <w:top w:val="single" w:sz="4" w:space="0" w:color="auto"/>
              <w:left w:val="nil"/>
              <w:bottom w:val="single" w:sz="4" w:space="0" w:color="auto"/>
              <w:right w:val="nil"/>
            </w:tcBorders>
          </w:tcPr>
          <w:p w14:paraId="32E8D3CC" w14:textId="77777777" w:rsidR="00C1272B" w:rsidRPr="009C1FDF" w:rsidRDefault="00C1272B" w:rsidP="009C1FDF">
            <w:pPr>
              <w:pStyle w:val="RECnormaltext"/>
              <w:spacing w:after="0"/>
              <w:rPr>
                <w:sz w:val="20"/>
              </w:rPr>
            </w:pPr>
            <w:r w:rsidRPr="009C1FDF">
              <w:rPr>
                <w:sz w:val="20"/>
              </w:rPr>
              <w:t>3.2.</w:t>
            </w:r>
          </w:p>
        </w:tc>
        <w:tc>
          <w:tcPr>
            <w:tcW w:w="5570" w:type="dxa"/>
            <w:tcBorders>
              <w:top w:val="single" w:sz="4" w:space="0" w:color="auto"/>
              <w:left w:val="nil"/>
              <w:bottom w:val="single" w:sz="4" w:space="0" w:color="auto"/>
              <w:right w:val="nil"/>
            </w:tcBorders>
          </w:tcPr>
          <w:p w14:paraId="33CA18D5" w14:textId="4EC5B201" w:rsidR="00C1272B" w:rsidRPr="009C1FDF" w:rsidRDefault="00C1272B" w:rsidP="009C1FDF">
            <w:pPr>
              <w:pStyle w:val="RECnormaltext"/>
              <w:spacing w:after="0"/>
              <w:rPr>
                <w:iCs/>
                <w:sz w:val="20"/>
              </w:rPr>
            </w:pPr>
            <w:r w:rsidRPr="009C1FDF">
              <w:rPr>
                <w:sz w:val="20"/>
              </w:rPr>
              <w:t xml:space="preserve">Commercial industrial and other waste not dealt with elsewhere in this instrument- 0.25 tonne or more               </w:t>
            </w:r>
          </w:p>
        </w:tc>
        <w:tc>
          <w:tcPr>
            <w:tcW w:w="1276" w:type="dxa"/>
            <w:tcBorders>
              <w:top w:val="single" w:sz="4" w:space="0" w:color="auto"/>
              <w:left w:val="nil"/>
              <w:bottom w:val="single" w:sz="4" w:space="0" w:color="auto"/>
              <w:right w:val="nil"/>
            </w:tcBorders>
          </w:tcPr>
          <w:p w14:paraId="6318B4BE" w14:textId="77777777" w:rsidR="00C1272B" w:rsidRPr="009C1FDF" w:rsidRDefault="00C1272B" w:rsidP="009C1FDF">
            <w:pPr>
              <w:pStyle w:val="RECnormaltext"/>
              <w:spacing w:after="0"/>
              <w:rPr>
                <w:sz w:val="20"/>
              </w:rPr>
            </w:pPr>
            <w:r w:rsidRPr="009C1FDF">
              <w:rPr>
                <w:sz w:val="20"/>
              </w:rPr>
              <w:t>$146.20</w:t>
            </w:r>
            <w:r w:rsidRPr="009C1FDF">
              <w:rPr>
                <w:sz w:val="20"/>
              </w:rPr>
              <w:br/>
              <w:t>per tonne</w:t>
            </w:r>
          </w:p>
        </w:tc>
      </w:tr>
      <w:tr w:rsidR="009758D6" w:rsidRPr="009C1FDF" w14:paraId="18ECE1B3" w14:textId="77777777" w:rsidTr="009C1FDF">
        <w:trPr>
          <w:trHeight w:val="312"/>
        </w:trPr>
        <w:tc>
          <w:tcPr>
            <w:tcW w:w="950" w:type="dxa"/>
            <w:tcBorders>
              <w:top w:val="single" w:sz="4" w:space="0" w:color="auto"/>
              <w:left w:val="nil"/>
              <w:bottom w:val="single" w:sz="4" w:space="0" w:color="auto"/>
              <w:right w:val="nil"/>
            </w:tcBorders>
          </w:tcPr>
          <w:p w14:paraId="358A2B00" w14:textId="7609FC26" w:rsidR="009758D6" w:rsidRPr="009C1FDF" w:rsidRDefault="009758D6" w:rsidP="009C1FDF">
            <w:pPr>
              <w:pStyle w:val="RECnormaltext"/>
              <w:spacing w:after="0"/>
              <w:rPr>
                <w:sz w:val="20"/>
              </w:rPr>
            </w:pPr>
            <w:r w:rsidRPr="009C1FDF">
              <w:rPr>
                <w:sz w:val="20"/>
              </w:rPr>
              <w:t>4.1.</w:t>
            </w:r>
          </w:p>
        </w:tc>
        <w:tc>
          <w:tcPr>
            <w:tcW w:w="5570" w:type="dxa"/>
            <w:tcBorders>
              <w:top w:val="single" w:sz="4" w:space="0" w:color="auto"/>
              <w:left w:val="nil"/>
              <w:bottom w:val="single" w:sz="4" w:space="0" w:color="auto"/>
              <w:right w:val="nil"/>
            </w:tcBorders>
          </w:tcPr>
          <w:p w14:paraId="10A07984" w14:textId="62AECA52" w:rsidR="009758D6" w:rsidRPr="009C1FDF" w:rsidRDefault="009758D6" w:rsidP="009C1FDF">
            <w:pPr>
              <w:pStyle w:val="RECnormaltext"/>
              <w:spacing w:after="0"/>
              <w:rPr>
                <w:sz w:val="20"/>
              </w:rPr>
            </w:pPr>
            <w:r w:rsidRPr="009C1FDF">
              <w:rPr>
                <w:sz w:val="20"/>
              </w:rPr>
              <w:t>Asbestos or products containing asbestos (by arrangement) – from commercial</w:t>
            </w:r>
            <w:r w:rsidR="00D33CB7">
              <w:rPr>
                <w:sz w:val="20"/>
              </w:rPr>
              <w:t xml:space="preserve"> services less than 0.25 tonne</w:t>
            </w:r>
          </w:p>
        </w:tc>
        <w:tc>
          <w:tcPr>
            <w:tcW w:w="1276" w:type="dxa"/>
            <w:tcBorders>
              <w:top w:val="single" w:sz="4" w:space="0" w:color="auto"/>
              <w:left w:val="nil"/>
              <w:bottom w:val="single" w:sz="4" w:space="0" w:color="auto"/>
              <w:right w:val="nil"/>
            </w:tcBorders>
          </w:tcPr>
          <w:p w14:paraId="7762809C" w14:textId="6B3BF3EF" w:rsidR="009758D6" w:rsidRPr="009C1FDF" w:rsidRDefault="009758D6" w:rsidP="009C1FDF">
            <w:pPr>
              <w:pStyle w:val="RECnormaltext"/>
              <w:spacing w:after="0"/>
              <w:rPr>
                <w:b/>
                <w:sz w:val="20"/>
              </w:rPr>
            </w:pPr>
            <w:r w:rsidRPr="009C1FDF">
              <w:rPr>
                <w:sz w:val="20"/>
              </w:rPr>
              <w:t>$41.00</w:t>
            </w:r>
            <w:r w:rsidRPr="009C1FDF">
              <w:rPr>
                <w:sz w:val="20"/>
              </w:rPr>
              <w:br/>
              <w:t>per load</w:t>
            </w:r>
          </w:p>
        </w:tc>
      </w:tr>
      <w:tr w:rsidR="009758D6" w:rsidRPr="009C1FDF" w14:paraId="5B2B4A88" w14:textId="77777777" w:rsidTr="009C1FDF">
        <w:trPr>
          <w:trHeight w:val="312"/>
        </w:trPr>
        <w:tc>
          <w:tcPr>
            <w:tcW w:w="950" w:type="dxa"/>
            <w:tcBorders>
              <w:top w:val="single" w:sz="4" w:space="0" w:color="auto"/>
              <w:left w:val="nil"/>
              <w:bottom w:val="single" w:sz="4" w:space="0" w:color="auto"/>
              <w:right w:val="nil"/>
            </w:tcBorders>
          </w:tcPr>
          <w:p w14:paraId="189FD3E6" w14:textId="517E0969" w:rsidR="009758D6" w:rsidRPr="009C1FDF" w:rsidRDefault="009758D6" w:rsidP="009C1FDF">
            <w:pPr>
              <w:pStyle w:val="RECnormaltext"/>
              <w:spacing w:after="0"/>
              <w:rPr>
                <w:sz w:val="20"/>
              </w:rPr>
            </w:pPr>
            <w:r w:rsidRPr="009C1FDF">
              <w:rPr>
                <w:sz w:val="20"/>
              </w:rPr>
              <w:t>4.2.</w:t>
            </w:r>
          </w:p>
        </w:tc>
        <w:tc>
          <w:tcPr>
            <w:tcW w:w="5570" w:type="dxa"/>
            <w:tcBorders>
              <w:top w:val="single" w:sz="4" w:space="0" w:color="auto"/>
              <w:left w:val="nil"/>
              <w:bottom w:val="single" w:sz="4" w:space="0" w:color="auto"/>
              <w:right w:val="nil"/>
            </w:tcBorders>
          </w:tcPr>
          <w:p w14:paraId="4690D3D4" w14:textId="5954FDAC" w:rsidR="009758D6" w:rsidRPr="009C1FDF" w:rsidRDefault="009758D6" w:rsidP="009C1FDF">
            <w:pPr>
              <w:pStyle w:val="RECnormaltext"/>
              <w:spacing w:after="0"/>
              <w:rPr>
                <w:sz w:val="20"/>
              </w:rPr>
            </w:pPr>
            <w:r w:rsidRPr="009C1FDF">
              <w:rPr>
                <w:sz w:val="20"/>
              </w:rPr>
              <w:t>Asbestos or products containing asbestos (by arrangement) – 0.25 tonne or more; or arriving at the landfill in a pac</w:t>
            </w:r>
            <w:r w:rsidR="00D33CB7">
              <w:rPr>
                <w:sz w:val="20"/>
              </w:rPr>
              <w:t>kage larger than 80 cm x 80 cm</w:t>
            </w:r>
          </w:p>
        </w:tc>
        <w:tc>
          <w:tcPr>
            <w:tcW w:w="1276" w:type="dxa"/>
            <w:tcBorders>
              <w:top w:val="single" w:sz="4" w:space="0" w:color="auto"/>
              <w:left w:val="nil"/>
              <w:bottom w:val="single" w:sz="4" w:space="0" w:color="auto"/>
              <w:right w:val="nil"/>
            </w:tcBorders>
          </w:tcPr>
          <w:p w14:paraId="3D1B4B7A" w14:textId="2C1F8D57" w:rsidR="009758D6" w:rsidRPr="009C1FDF" w:rsidRDefault="009758D6" w:rsidP="009C1FDF">
            <w:pPr>
              <w:pStyle w:val="RECnormaltext"/>
              <w:spacing w:after="0"/>
              <w:rPr>
                <w:b/>
                <w:sz w:val="20"/>
              </w:rPr>
            </w:pPr>
            <w:r w:rsidRPr="009C1FDF">
              <w:rPr>
                <w:sz w:val="20"/>
              </w:rPr>
              <w:t>$164.10</w:t>
            </w:r>
            <w:r w:rsidRPr="009C1FDF">
              <w:rPr>
                <w:sz w:val="20"/>
              </w:rPr>
              <w:br/>
              <w:t>per tonne</w:t>
            </w:r>
          </w:p>
        </w:tc>
      </w:tr>
      <w:tr w:rsidR="002172C7" w:rsidRPr="009C1FDF" w14:paraId="31384A35" w14:textId="77777777" w:rsidTr="009C1FDF">
        <w:trPr>
          <w:trHeight w:val="312"/>
        </w:trPr>
        <w:tc>
          <w:tcPr>
            <w:tcW w:w="950" w:type="dxa"/>
            <w:tcBorders>
              <w:top w:val="single" w:sz="4" w:space="0" w:color="auto"/>
              <w:left w:val="nil"/>
              <w:bottom w:val="single" w:sz="4" w:space="0" w:color="auto"/>
              <w:right w:val="nil"/>
            </w:tcBorders>
          </w:tcPr>
          <w:p w14:paraId="26A39097" w14:textId="646639F6" w:rsidR="002172C7" w:rsidRPr="009C1FDF" w:rsidRDefault="002172C7" w:rsidP="009C1FDF">
            <w:pPr>
              <w:pStyle w:val="RECnormaltext"/>
              <w:spacing w:after="0"/>
              <w:rPr>
                <w:sz w:val="20"/>
              </w:rPr>
            </w:pPr>
            <w:r w:rsidRPr="009C1FDF">
              <w:rPr>
                <w:snapToGrid w:val="0"/>
                <w:color w:val="000000" w:themeColor="text1"/>
                <w:sz w:val="20"/>
              </w:rPr>
              <w:t>6.3.</w:t>
            </w:r>
          </w:p>
        </w:tc>
        <w:tc>
          <w:tcPr>
            <w:tcW w:w="5570" w:type="dxa"/>
            <w:tcBorders>
              <w:top w:val="single" w:sz="4" w:space="0" w:color="auto"/>
              <w:left w:val="nil"/>
              <w:bottom w:val="single" w:sz="4" w:space="0" w:color="auto"/>
              <w:right w:val="nil"/>
            </w:tcBorders>
          </w:tcPr>
          <w:p w14:paraId="6BEEA767" w14:textId="2E837E5F" w:rsidR="002172C7" w:rsidRPr="009C1FDF" w:rsidRDefault="002172C7" w:rsidP="009C1FDF">
            <w:pPr>
              <w:spacing w:after="0"/>
              <w:ind w:hanging="30"/>
              <w:rPr>
                <w:sz w:val="20"/>
                <w:szCs w:val="20"/>
              </w:rPr>
            </w:pPr>
            <w:r w:rsidRPr="009C1FDF">
              <w:rPr>
                <w:sz w:val="20"/>
                <w:szCs w:val="20"/>
              </w:rPr>
              <w:t>Receipt and Recycling of whole tyres from vehicles: clean and without rim (more than 0.25 tonne)</w:t>
            </w:r>
          </w:p>
        </w:tc>
        <w:tc>
          <w:tcPr>
            <w:tcW w:w="1276" w:type="dxa"/>
            <w:tcBorders>
              <w:top w:val="single" w:sz="4" w:space="0" w:color="auto"/>
              <w:left w:val="nil"/>
              <w:bottom w:val="single" w:sz="4" w:space="0" w:color="auto"/>
              <w:right w:val="nil"/>
            </w:tcBorders>
          </w:tcPr>
          <w:p w14:paraId="3D98FD40" w14:textId="0718FB1D" w:rsidR="002172C7" w:rsidRPr="009C1FDF" w:rsidRDefault="002172C7" w:rsidP="009C1FDF">
            <w:pPr>
              <w:pStyle w:val="RECnormaltext"/>
              <w:spacing w:after="0"/>
              <w:rPr>
                <w:sz w:val="20"/>
              </w:rPr>
            </w:pPr>
            <w:r w:rsidRPr="009C1FDF">
              <w:rPr>
                <w:snapToGrid w:val="0"/>
                <w:color w:val="000000" w:themeColor="text1"/>
                <w:sz w:val="20"/>
              </w:rPr>
              <w:t>$341.75</w:t>
            </w:r>
            <w:r w:rsidRPr="009C1FDF">
              <w:rPr>
                <w:snapToGrid w:val="0"/>
                <w:color w:val="000000" w:themeColor="text1"/>
                <w:sz w:val="20"/>
              </w:rPr>
              <w:br/>
              <w:t>per tonne</w:t>
            </w:r>
          </w:p>
        </w:tc>
      </w:tr>
      <w:tr w:rsidR="002172C7" w:rsidRPr="009C1FDF" w14:paraId="2235C938" w14:textId="77777777" w:rsidTr="009C1FDF">
        <w:trPr>
          <w:trHeight w:val="753"/>
        </w:trPr>
        <w:tc>
          <w:tcPr>
            <w:tcW w:w="950" w:type="dxa"/>
            <w:tcBorders>
              <w:top w:val="single" w:sz="4" w:space="0" w:color="auto"/>
              <w:left w:val="nil"/>
              <w:bottom w:val="single" w:sz="4" w:space="0" w:color="auto"/>
              <w:right w:val="nil"/>
            </w:tcBorders>
          </w:tcPr>
          <w:p w14:paraId="382787E1" w14:textId="0989D0B9" w:rsidR="002172C7" w:rsidRPr="009C1FDF" w:rsidRDefault="002172C7" w:rsidP="009C1FDF">
            <w:pPr>
              <w:pStyle w:val="RECnormaltext"/>
              <w:spacing w:after="0"/>
              <w:rPr>
                <w:sz w:val="20"/>
              </w:rPr>
            </w:pPr>
            <w:r w:rsidRPr="009C1FDF">
              <w:rPr>
                <w:snapToGrid w:val="0"/>
                <w:color w:val="000000" w:themeColor="text1"/>
                <w:sz w:val="20"/>
              </w:rPr>
              <w:t>6.4.</w:t>
            </w:r>
          </w:p>
        </w:tc>
        <w:tc>
          <w:tcPr>
            <w:tcW w:w="5570" w:type="dxa"/>
            <w:tcBorders>
              <w:top w:val="single" w:sz="4" w:space="0" w:color="auto"/>
              <w:left w:val="nil"/>
              <w:bottom w:val="single" w:sz="4" w:space="0" w:color="auto"/>
              <w:right w:val="nil"/>
            </w:tcBorders>
          </w:tcPr>
          <w:p w14:paraId="5F949DD9" w14:textId="3731CB54" w:rsidR="002172C7" w:rsidRPr="009C1FDF" w:rsidRDefault="002172C7" w:rsidP="009C1FDF">
            <w:pPr>
              <w:spacing w:after="0"/>
              <w:ind w:hanging="30"/>
              <w:rPr>
                <w:sz w:val="20"/>
                <w:szCs w:val="20"/>
              </w:rPr>
            </w:pPr>
            <w:r w:rsidRPr="009C1FDF">
              <w:rPr>
                <w:sz w:val="20"/>
                <w:szCs w:val="20"/>
              </w:rPr>
              <w:t xml:space="preserve">Receipt and Recycling of whole tyres from vehicles: dirty or with rim (more than 0.25 tonne) </w:t>
            </w:r>
            <w:r w:rsidRPr="009C1FDF">
              <w:rPr>
                <w:iCs/>
                <w:sz w:val="20"/>
                <w:szCs w:val="20"/>
              </w:rPr>
              <w:t>Note: Appointment required for 10 or more tyres</w:t>
            </w:r>
            <w:r w:rsidR="009C1FDF">
              <w:rPr>
                <w:iCs/>
                <w:sz w:val="20"/>
                <w:szCs w:val="20"/>
              </w:rPr>
              <w:t>’</w:t>
            </w:r>
          </w:p>
        </w:tc>
        <w:tc>
          <w:tcPr>
            <w:tcW w:w="1276" w:type="dxa"/>
            <w:tcBorders>
              <w:top w:val="single" w:sz="4" w:space="0" w:color="auto"/>
              <w:left w:val="nil"/>
              <w:bottom w:val="single" w:sz="4" w:space="0" w:color="auto"/>
              <w:right w:val="nil"/>
            </w:tcBorders>
          </w:tcPr>
          <w:p w14:paraId="6378893D" w14:textId="23E4547C" w:rsidR="002172C7" w:rsidRPr="009C1FDF" w:rsidRDefault="002172C7" w:rsidP="009C1FDF">
            <w:pPr>
              <w:pStyle w:val="RECnormaltext"/>
              <w:spacing w:after="0"/>
              <w:rPr>
                <w:sz w:val="20"/>
              </w:rPr>
            </w:pPr>
            <w:r w:rsidRPr="009C1FDF">
              <w:rPr>
                <w:snapToGrid w:val="0"/>
                <w:color w:val="000000" w:themeColor="text1"/>
                <w:sz w:val="20"/>
              </w:rPr>
              <w:t>$477.90</w:t>
            </w:r>
            <w:r w:rsidRPr="009C1FDF">
              <w:rPr>
                <w:snapToGrid w:val="0"/>
                <w:color w:val="000000" w:themeColor="text1"/>
                <w:sz w:val="20"/>
              </w:rPr>
              <w:br/>
              <w:t>per tonne</w:t>
            </w:r>
          </w:p>
        </w:tc>
      </w:tr>
    </w:tbl>
    <w:p w14:paraId="0C49F37F" w14:textId="7AB74201" w:rsidR="00BC5F6D" w:rsidRDefault="00BC5F6D" w:rsidP="00267977">
      <w:pPr>
        <w:pStyle w:val="RECnormaltext"/>
        <w:spacing w:after="120"/>
      </w:pPr>
      <w:r w:rsidRPr="00BC5F6D">
        <w:t>Note</w:t>
      </w:r>
      <w:r>
        <w:t>:</w:t>
      </w:r>
      <w:r w:rsidRPr="00BC5F6D">
        <w:t xml:space="preserve"> that from 1 July </w:t>
      </w:r>
      <w:r>
        <w:t xml:space="preserve">2017 </w:t>
      </w:r>
      <w:r w:rsidRPr="00BC5F6D">
        <w:t xml:space="preserve">the </w:t>
      </w:r>
      <w:hyperlink r:id="rId34" w:history="1">
        <w:r w:rsidRPr="00267977">
          <w:rPr>
            <w:rStyle w:val="Hyperlink"/>
          </w:rPr>
          <w:t>Waste Minimisation Act 2001</w:t>
        </w:r>
      </w:hyperlink>
      <w:r w:rsidRPr="00BC5F6D">
        <w:t xml:space="preserve"> will be replaced by </w:t>
      </w:r>
      <w:hyperlink r:id="rId35" w:history="1">
        <w:r w:rsidRPr="00267977">
          <w:rPr>
            <w:rStyle w:val="Hyperlink"/>
          </w:rPr>
          <w:t>Waste Management and Resource Recovery Act 2016</w:t>
        </w:r>
        <w:r w:rsidRPr="00BC5F6D">
          <w:rPr>
            <w:rStyle w:val="Hyperlink"/>
          </w:rPr>
          <w:t>.</w:t>
        </w:r>
        <w:r w:rsidR="00B67B01" w:rsidRPr="00BC5F6D" w:rsidDel="00BC5F6D">
          <w:rPr>
            <w:rStyle w:val="Hyperlink"/>
          </w:rPr>
          <w:t xml:space="preserve"> </w:t>
        </w:r>
      </w:hyperlink>
    </w:p>
    <w:p w14:paraId="1CC646AB" w14:textId="45A2A969" w:rsidR="00F32709" w:rsidRDefault="00F32709" w:rsidP="00267977">
      <w:pPr>
        <w:pStyle w:val="Heading2"/>
      </w:pPr>
      <w:bookmarkStart w:id="52" w:name="_Toc532990221"/>
      <w:r>
        <w:t>Management</w:t>
      </w:r>
      <w:bookmarkEnd w:id="52"/>
      <w:r>
        <w:t xml:space="preserve"> </w:t>
      </w:r>
    </w:p>
    <w:p w14:paraId="7DCC6BB9" w14:textId="1075008B" w:rsidR="00F32709" w:rsidRDefault="00B07C64" w:rsidP="00047982">
      <w:pPr>
        <w:pStyle w:val="NonTOCHeading3"/>
      </w:pPr>
      <w:r>
        <w:t xml:space="preserve">Stockpile </w:t>
      </w:r>
      <w:r w:rsidR="00C77989">
        <w:t xml:space="preserve">quantity and time </w:t>
      </w:r>
      <w:r>
        <w:t xml:space="preserve">restrictions </w:t>
      </w:r>
    </w:p>
    <w:p w14:paraId="5BCA3C71" w14:textId="4B1F0FAA" w:rsidR="007C0A57" w:rsidRDefault="00DE7710" w:rsidP="00E45B05">
      <w:pPr>
        <w:pStyle w:val="RECnormaltext"/>
      </w:pPr>
      <w:r>
        <w:t xml:space="preserve">Examples were found in site </w:t>
      </w:r>
      <w:r w:rsidR="004C3105">
        <w:t xml:space="preserve">licences </w:t>
      </w:r>
      <w:r>
        <w:t xml:space="preserve">where </w:t>
      </w:r>
      <w:r w:rsidRPr="00E45B05">
        <w:t>s</w:t>
      </w:r>
      <w:r w:rsidRPr="007C0A57">
        <w:t xml:space="preserve">torage </w:t>
      </w:r>
      <w:r w:rsidR="004E5965">
        <w:t>o</w:t>
      </w:r>
      <w:r>
        <w:t xml:space="preserve">f EOLT </w:t>
      </w:r>
      <w:r w:rsidRPr="007C0A57">
        <w:t>is limited to 25 tonnes and areas must be clearly marked and segregated.</w:t>
      </w:r>
    </w:p>
    <w:p w14:paraId="01A8BCEF" w14:textId="6DBB3173" w:rsidR="00BC5F6D" w:rsidRDefault="00BC5F6D" w:rsidP="00E45B05">
      <w:pPr>
        <w:pStyle w:val="RECnormaltext"/>
      </w:pPr>
      <w:r>
        <w:t>ACT EPA noted that the</w:t>
      </w:r>
      <w:r w:rsidR="00D33000">
        <w:t xml:space="preserve">y have </w:t>
      </w:r>
      <w:r>
        <w:t>few issues with stockpiles management due to the lack of generating industry in the territory.</w:t>
      </w:r>
    </w:p>
    <w:p w14:paraId="2B332368" w14:textId="61666B70" w:rsidR="00B07C64" w:rsidRDefault="00B07C64" w:rsidP="00047982">
      <w:pPr>
        <w:pStyle w:val="NonTOCHeading3"/>
      </w:pPr>
      <w:r>
        <w:t>Stockpile reporting</w:t>
      </w:r>
    </w:p>
    <w:p w14:paraId="313492E9" w14:textId="5C688311" w:rsidR="00DE7710" w:rsidRPr="00DE7710" w:rsidRDefault="00DE7710" w:rsidP="00E45B05">
      <w:pPr>
        <w:pStyle w:val="RECnormaltext"/>
      </w:pPr>
      <w:r>
        <w:t xml:space="preserve">No </w:t>
      </w:r>
      <w:r w:rsidR="00C95359">
        <w:t xml:space="preserve">reporting requirements were </w:t>
      </w:r>
      <w:r w:rsidR="00C95359" w:rsidRPr="00E45B05">
        <w:t>identified</w:t>
      </w:r>
      <w:r w:rsidR="00C95359">
        <w:t xml:space="preserve"> </w:t>
      </w:r>
      <w:r w:rsidR="00CA0C2F">
        <w:t>that specifically relate to</w:t>
      </w:r>
      <w:r w:rsidR="00C95359">
        <w:t xml:space="preserve"> hazardous waste </w:t>
      </w:r>
      <w:r>
        <w:t>stockpile</w:t>
      </w:r>
      <w:r w:rsidR="00C95359">
        <w:t>s.</w:t>
      </w:r>
    </w:p>
    <w:p w14:paraId="1F2E8805" w14:textId="77777777" w:rsidR="00B07C64" w:rsidRDefault="00B07C64" w:rsidP="00047982">
      <w:pPr>
        <w:pStyle w:val="NonTOCHeading3"/>
      </w:pPr>
      <w:r>
        <w:t xml:space="preserve">Stockpile controls </w:t>
      </w:r>
    </w:p>
    <w:p w14:paraId="2EC39E46" w14:textId="7D9C8AAE" w:rsidR="00B07C64" w:rsidRDefault="00C95359" w:rsidP="00CA0C2F">
      <w:pPr>
        <w:pStyle w:val="RECnormaltext"/>
      </w:pPr>
      <w:r>
        <w:t xml:space="preserve">No controls were identified </w:t>
      </w:r>
      <w:r w:rsidR="00CA0C2F">
        <w:t xml:space="preserve">that specifically relate to hazardous waste stockpiles. </w:t>
      </w:r>
    </w:p>
    <w:p w14:paraId="0899F331" w14:textId="55C7372C" w:rsidR="00B07C64" w:rsidRDefault="00BE1629" w:rsidP="00047982">
      <w:pPr>
        <w:pStyle w:val="NonTOCHeading3"/>
      </w:pPr>
      <w:r>
        <w:t xml:space="preserve">Emergency </w:t>
      </w:r>
      <w:r w:rsidR="003B5364">
        <w:t>planning</w:t>
      </w:r>
    </w:p>
    <w:p w14:paraId="74857E3C" w14:textId="0896B183" w:rsidR="003B5364" w:rsidRDefault="003B5364" w:rsidP="00E45B05">
      <w:pPr>
        <w:pStyle w:val="RECnormaltext"/>
      </w:pPr>
      <w:r>
        <w:t>No specific emergency planning requirements were identified for hazardous waste stockpiles.</w:t>
      </w:r>
    </w:p>
    <w:p w14:paraId="43BA3E2F" w14:textId="0C5AC2C8" w:rsidR="00F32709" w:rsidRDefault="007C0A57">
      <w:pPr>
        <w:pStyle w:val="Heading2"/>
      </w:pPr>
      <w:bookmarkStart w:id="53" w:name="_Toc532990222"/>
      <w:r>
        <w:t>Clearance</w:t>
      </w:r>
      <w:bookmarkEnd w:id="53"/>
      <w:r>
        <w:t xml:space="preserve"> </w:t>
      </w:r>
    </w:p>
    <w:p w14:paraId="00A6B4B9" w14:textId="42894399" w:rsidR="004478E5" w:rsidRDefault="004478E5" w:rsidP="00047982">
      <w:pPr>
        <w:pStyle w:val="NonTOCHeading3"/>
      </w:pPr>
      <w:r>
        <w:t>Financial assurance</w:t>
      </w:r>
    </w:p>
    <w:p w14:paraId="7908A2E7" w14:textId="636C0E5B" w:rsidR="008F3C0B" w:rsidRDefault="008F3C0B" w:rsidP="00E45B05">
      <w:pPr>
        <w:pStyle w:val="RECnormaltext"/>
      </w:pPr>
      <w:r>
        <w:t xml:space="preserve">The ACT EPA </w:t>
      </w:r>
      <w:hyperlink r:id="rId36" w:history="1">
        <w:r w:rsidRPr="008F3C0B">
          <w:rPr>
            <w:rStyle w:val="Hyperlink"/>
          </w:rPr>
          <w:t>General environment protection policy</w:t>
        </w:r>
      </w:hyperlink>
      <w:r>
        <w:t xml:space="preserve"> details the </w:t>
      </w:r>
      <w:r w:rsidRPr="00E45B05">
        <w:t>requirements</w:t>
      </w:r>
      <w:r>
        <w:t xml:space="preserve"> for financial assurance.</w:t>
      </w:r>
    </w:p>
    <w:p w14:paraId="33301886" w14:textId="3A38C68B" w:rsidR="008F3C0B" w:rsidRPr="00E45B05" w:rsidRDefault="008F3C0B" w:rsidP="00E45B05">
      <w:pPr>
        <w:pStyle w:val="RECnormaltext"/>
      </w:pPr>
      <w:r>
        <w:t>The following content is relevant to this study.</w:t>
      </w:r>
    </w:p>
    <w:p w14:paraId="3911ADD1" w14:textId="1C920ED1" w:rsidR="007C0A57" w:rsidRPr="00DB0352" w:rsidRDefault="00DB0352" w:rsidP="00DB0352">
      <w:pPr>
        <w:pStyle w:val="RECnormaltext"/>
        <w:ind w:left="284" w:right="804"/>
      </w:pPr>
      <w:r>
        <w:t>‘</w:t>
      </w:r>
      <w:r w:rsidR="007C0A57" w:rsidRPr="00DB0352">
        <w:t>What is a financial</w:t>
      </w:r>
      <w:r w:rsidR="008F3C0B" w:rsidRPr="00DB0352">
        <w:t xml:space="preserve"> </w:t>
      </w:r>
      <w:r w:rsidR="007C0A57" w:rsidRPr="00DB0352">
        <w:t>assurance?</w:t>
      </w:r>
    </w:p>
    <w:p w14:paraId="763D4FDD" w14:textId="64D5202A" w:rsidR="007C0A57" w:rsidRPr="00DB0352" w:rsidRDefault="007C0A57" w:rsidP="00DB0352">
      <w:pPr>
        <w:pStyle w:val="RECnormaltext"/>
        <w:ind w:left="284" w:right="804"/>
      </w:pPr>
      <w:r w:rsidRPr="00DB0352">
        <w:t>A financial assurance is a type of bond or security and acts as a financial guarantee that certain environmental harm will not result from the actions of the activity manager. An assurance can take several forms, including</w:t>
      </w:r>
      <w:r w:rsidR="008F3C0B" w:rsidRPr="00DB0352">
        <w:t xml:space="preserve"> </w:t>
      </w:r>
      <w:r w:rsidRPr="00DB0352">
        <w:t>a bank guarantee, bond, or insurance policy (see Section 85). Financial assurances are held by the EPA and are only claimed in circumstances where the EPA has incurred certain costs in remedying serious or material environmental harm caused by the activities concerned (see Section 88).</w:t>
      </w:r>
    </w:p>
    <w:p w14:paraId="5E7CB223" w14:textId="3DE96152" w:rsidR="007C0A57" w:rsidRPr="00DB0352" w:rsidRDefault="007C0A57" w:rsidP="00DB0352">
      <w:pPr>
        <w:pStyle w:val="RECnormaltext"/>
        <w:ind w:left="284" w:right="804"/>
      </w:pPr>
      <w:r w:rsidRPr="00DB0352">
        <w:t>When can the EPA require a financial</w:t>
      </w:r>
      <w:r w:rsidR="008F3C0B" w:rsidRPr="00DB0352">
        <w:t xml:space="preserve"> </w:t>
      </w:r>
      <w:r w:rsidRPr="00DB0352">
        <w:t>assurance?</w:t>
      </w:r>
    </w:p>
    <w:p w14:paraId="70CAD61C" w14:textId="12EE7687" w:rsidR="007C0A57" w:rsidRPr="00DB0352" w:rsidRDefault="007C0A57" w:rsidP="00DB0352">
      <w:pPr>
        <w:pStyle w:val="RECnormaltext"/>
        <w:ind w:left="284" w:right="804"/>
      </w:pPr>
      <w:r w:rsidRPr="00DB0352">
        <w:t xml:space="preserve">Under Section 85 of the Act, the EPA can require a financial assurance as a condition of an </w:t>
      </w:r>
      <w:r w:rsidR="008F3C0B" w:rsidRPr="00DB0352">
        <w:t>e</w:t>
      </w:r>
      <w:r w:rsidRPr="00DB0352">
        <w:t>nvironmental authorisation if, after considering:</w:t>
      </w:r>
    </w:p>
    <w:p w14:paraId="3084D181" w14:textId="77777777" w:rsidR="007C0A57" w:rsidRPr="00DB0352" w:rsidRDefault="007C0A57" w:rsidP="00DB0352">
      <w:pPr>
        <w:pStyle w:val="RECdotpoint"/>
        <w:ind w:right="804"/>
      </w:pPr>
      <w:r w:rsidRPr="00DB0352">
        <w:t>the likelihood of the activity causing serious or material environmental harm</w:t>
      </w:r>
    </w:p>
    <w:p w14:paraId="726619E7" w14:textId="77777777" w:rsidR="007C0A57" w:rsidRPr="00DB0352" w:rsidRDefault="007C0A57" w:rsidP="00DB0352">
      <w:pPr>
        <w:pStyle w:val="RECdotpoint"/>
        <w:ind w:right="804"/>
      </w:pPr>
      <w:r w:rsidRPr="00DB0352">
        <w:t>the likelihood of action being needed to remedy such harm</w:t>
      </w:r>
    </w:p>
    <w:p w14:paraId="51FC9D2A" w14:textId="74871F48" w:rsidR="007C0A57" w:rsidRPr="00DB0352" w:rsidRDefault="007C0A57" w:rsidP="00DB0352">
      <w:pPr>
        <w:pStyle w:val="RECdotpoint"/>
        <w:ind w:right="804"/>
      </w:pPr>
      <w:r w:rsidRPr="00DB0352">
        <w:t>the activity manager’s environmental record.</w:t>
      </w:r>
    </w:p>
    <w:p w14:paraId="03B55472" w14:textId="43957833" w:rsidR="008F3C0B" w:rsidRPr="00DB0352" w:rsidRDefault="007C0A57" w:rsidP="00DB0352">
      <w:pPr>
        <w:pStyle w:val="RECnormaltext"/>
        <w:ind w:left="284" w:right="804"/>
      </w:pPr>
      <w:r w:rsidRPr="00DB0352">
        <w:t>What is the EPA’s approach to financial</w:t>
      </w:r>
      <w:r w:rsidR="00DB0352">
        <w:t xml:space="preserve"> </w:t>
      </w:r>
      <w:r w:rsidRPr="00DB0352">
        <w:t>assurances?</w:t>
      </w:r>
    </w:p>
    <w:p w14:paraId="08CEFB94" w14:textId="7A6DAE18" w:rsidR="007C0A57" w:rsidRPr="00DB0352" w:rsidRDefault="007C0A57" w:rsidP="00DB0352">
      <w:pPr>
        <w:pStyle w:val="RECnormaltext"/>
        <w:ind w:left="284" w:right="804"/>
      </w:pPr>
      <w:r w:rsidRPr="00DB0352">
        <w:t>The EPA takes the view that financial assurances will be required in relatively unusual situations, involving a fine balancing of risks, benefits, rights and interests. One example would be where the activity manager had a poor environmental record, but not poor enough to justify rejecting the application for authorisation. Another example would be where a proposed activity offered significant public benefits, but also entailed atypically high risks of serious or material environmental harm. Note that the Act provides the usual procedural protections such as a requirement for “show cause” notice, together with appeal rights</w:t>
      </w:r>
      <w:r w:rsidR="00DB0352">
        <w:t xml:space="preserve">’ </w:t>
      </w:r>
      <w:r w:rsidR="003A491F">
        <w:t>(</w:t>
      </w:r>
      <w:r w:rsidR="00DB0352">
        <w:t>page 14</w:t>
      </w:r>
      <w:r w:rsidR="003A491F">
        <w:t>)</w:t>
      </w:r>
      <w:r w:rsidR="00DB0352">
        <w:t>.</w:t>
      </w:r>
    </w:p>
    <w:p w14:paraId="26CD0F24" w14:textId="50A81112" w:rsidR="00C77989" w:rsidRDefault="00C77989" w:rsidP="00047982">
      <w:pPr>
        <w:pStyle w:val="NonTOCHeading3"/>
      </w:pPr>
      <w:r>
        <w:t>Government trust or f</w:t>
      </w:r>
      <w:r w:rsidRPr="00C24D71">
        <w:t xml:space="preserve">unds </w:t>
      </w:r>
      <w:r>
        <w:t xml:space="preserve">for </w:t>
      </w:r>
      <w:r w:rsidRPr="00C24D71">
        <w:t>abandoned stockpiles</w:t>
      </w:r>
    </w:p>
    <w:p w14:paraId="7C80B588" w14:textId="4D148867" w:rsidR="00C77989" w:rsidRDefault="00C77989" w:rsidP="00C77989">
      <w:pPr>
        <w:pStyle w:val="RECnormaltext"/>
      </w:pPr>
      <w:r>
        <w:t>No g</w:t>
      </w:r>
      <w:r w:rsidRPr="00C77989">
        <w:t>overnment trust or funds for abandoned stockpiles</w:t>
      </w:r>
      <w:r>
        <w:t xml:space="preserve"> were </w:t>
      </w:r>
      <w:r w:rsidRPr="00E45B05">
        <w:t>identified</w:t>
      </w:r>
      <w:r>
        <w:t>.</w:t>
      </w:r>
    </w:p>
    <w:p w14:paraId="773A2B02" w14:textId="77777777" w:rsidR="004A6971" w:rsidRDefault="004A6971" w:rsidP="00C77989">
      <w:pPr>
        <w:pStyle w:val="RECnormaltext"/>
      </w:pPr>
    </w:p>
    <w:p w14:paraId="095F1651" w14:textId="77777777" w:rsidR="004A6971" w:rsidRDefault="004A6971">
      <w:pPr>
        <w:rPr>
          <w:rFonts w:asciiTheme="minorHAnsi" w:hAnsiTheme="minorHAnsi" w:cs="Arial"/>
          <w:color w:val="auto"/>
          <w:szCs w:val="20"/>
        </w:rPr>
      </w:pPr>
      <w:r>
        <w:br w:type="page"/>
      </w:r>
    </w:p>
    <w:p w14:paraId="3F91BD9F" w14:textId="78B820F3" w:rsidR="008F3C0B" w:rsidRDefault="008F3C0B">
      <w:pPr>
        <w:pStyle w:val="Heading1"/>
      </w:pPr>
      <w:bookmarkStart w:id="54" w:name="_Toc532990223"/>
      <w:r>
        <w:t>NSW framework for hazardous waste stockpiles</w:t>
      </w:r>
      <w:bookmarkEnd w:id="54"/>
    </w:p>
    <w:p w14:paraId="55243FE6" w14:textId="4A51A082" w:rsidR="008F3C0B" w:rsidRDefault="008F3C0B">
      <w:pPr>
        <w:pStyle w:val="Heading2"/>
      </w:pPr>
      <w:bookmarkStart w:id="55" w:name="_Toc532990224"/>
      <w:r>
        <w:t>Stockpile prevention</w:t>
      </w:r>
      <w:bookmarkEnd w:id="55"/>
    </w:p>
    <w:p w14:paraId="22D8D766" w14:textId="77777777" w:rsidR="004A6971" w:rsidRDefault="004A6971" w:rsidP="00047982">
      <w:pPr>
        <w:pStyle w:val="NonTOCHeading3"/>
      </w:pPr>
      <w:r>
        <w:t>H</w:t>
      </w:r>
      <w:r w:rsidRPr="008722E7">
        <w:t>azardous waste minimisation reporting</w:t>
      </w:r>
      <w:r>
        <w:t xml:space="preserve"> for generators</w:t>
      </w:r>
    </w:p>
    <w:p w14:paraId="73CC2EE8" w14:textId="77777777" w:rsidR="004A6971" w:rsidRPr="00DE7710" w:rsidRDefault="004A6971" w:rsidP="004A6971">
      <w:pPr>
        <w:pStyle w:val="RECnormaltext"/>
      </w:pPr>
      <w:r>
        <w:t xml:space="preserve">No reporting requirements were </w:t>
      </w:r>
      <w:r w:rsidRPr="00E45B05">
        <w:t>identified</w:t>
      </w:r>
      <w:r>
        <w:t xml:space="preserve"> that specifically require waste generators to report on minimising hazardous waste generation.</w:t>
      </w:r>
    </w:p>
    <w:p w14:paraId="38B32B1C" w14:textId="77777777" w:rsidR="004A6971" w:rsidRDefault="004A6971" w:rsidP="00047982">
      <w:pPr>
        <w:pStyle w:val="NonTOCHeading3"/>
      </w:pPr>
      <w:r>
        <w:t>Site permits to receive and store hazardous waste</w:t>
      </w:r>
    </w:p>
    <w:p w14:paraId="075AF9CB" w14:textId="436FABC6" w:rsidR="00DC35CF" w:rsidRDefault="00060B3D" w:rsidP="00E45B05">
      <w:pPr>
        <w:pStyle w:val="RECnormaltext"/>
      </w:pPr>
      <w:r>
        <w:rPr>
          <w:noProof/>
          <w:lang w:eastAsia="en-AU"/>
        </w:rPr>
        <mc:AlternateContent>
          <mc:Choice Requires="wps">
            <w:drawing>
              <wp:anchor distT="0" distB="0" distL="114300" distR="114300" simplePos="0" relativeHeight="251616256" behindDoc="0" locked="0" layoutInCell="1" allowOverlap="1" wp14:anchorId="40926092" wp14:editId="194E581B">
                <wp:simplePos x="0" y="0"/>
                <wp:positionH relativeFrom="margin">
                  <wp:posOffset>-34925</wp:posOffset>
                </wp:positionH>
                <wp:positionV relativeFrom="margin">
                  <wp:posOffset>4046542</wp:posOffset>
                </wp:positionV>
                <wp:extent cx="5814060" cy="749935"/>
                <wp:effectExtent l="57150" t="38100" r="53340" b="69215"/>
                <wp:wrapSquare wrapText="bothSides"/>
                <wp:docPr id="24" name="Rectangle: Rounded Corners 24"/>
                <wp:cNvGraphicFramePr/>
                <a:graphic xmlns:a="http://schemas.openxmlformats.org/drawingml/2006/main">
                  <a:graphicData uri="http://schemas.microsoft.com/office/word/2010/wordprocessingShape">
                    <wps:wsp>
                      <wps:cNvSpPr/>
                      <wps:spPr>
                        <a:xfrm>
                          <a:off x="0" y="0"/>
                          <a:ext cx="5814060" cy="749935"/>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648D690D" w14:textId="74DF8EE8" w:rsidR="00067AC0" w:rsidRPr="00267977" w:rsidRDefault="00067AC0" w:rsidP="00267977">
                            <w:pPr>
                              <w:spacing w:after="0"/>
                              <w:rPr>
                                <w:color w:val="FFFFFF" w:themeColor="background1"/>
                              </w:rPr>
                            </w:pPr>
                            <w:r w:rsidRPr="00267977">
                              <w:rPr>
                                <w:color w:val="FFFFFF" w:themeColor="background1"/>
                              </w:rPr>
                              <w:t>NSW is the only Australian jurisdiction that sets out different licensing thresholds for urban areas and more remote rural areas, allowing two and a half time the waste storage without licensing outside of the NSW ‘regulated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0926092" id="Rectangle: Rounded Corners 24" o:spid="_x0000_s1030" style="position:absolute;margin-left:-2.75pt;margin-top:318.65pt;width:457.8pt;height:59.05pt;z-index:25161625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TPpgIAALoFAAAOAAAAZHJzL2Uyb0RvYy54bWysVFtv0zAUfkfiP1h+Z2lKu0u0dKo6DSGN&#10;bdqG9uw6dhth+xjbbVN+Pcd2mo0BmoToQ+pzv33nnF90WpGtcL4FU9PyaESJMBya1qxq+vXx6sMp&#10;JT4w0zAFRtR0Lzy9mL1/d76zlRjDGlQjHEEnxlc7W9N1CLYqCs/XQjN/BFYYFEpwmgUk3apoHNuh&#10;d62K8Wh0XOzANdYBF94j9zIL6Sz5l1LwcCulF4GommJuIX1d+i7jt5ids2rlmF23vE+D/UMWmrUG&#10;gw6uLllgZOPa31zpljvwIMMRB12AlC0XqQasphy9quZhzaxItWBzvB3a5P+fW36zvXOkbWo6nlBi&#10;mMYZ3WPXmFkpUZF72JhGNGQBzuCQCSphx3bWV2j4YO9cT3l8xvI76XT8x8JIl7q8H7osukA4Mqen&#10;5WR0jMPgKDuZnJ19nEanxbO1dT58EqBJfNTUxSRiUqnDbHvtQ9Y/6MWIHlTbXLVKJSLCRyyUI1uG&#10;gw9dmUzVRn+BJvOmI/zl8SMbQfKKjekkEEYvKblfAigTwxiIAXMukVPExuRWpFfYKxH1lLkXEpuM&#10;xedEBs85aPOt7DuQNKOJRMeD0Thl/1ejXjeaiQT5wfCNaIN2iggmDIa6NeDeiJr1D1XnWmPZoVt2&#10;CVEDVpbQ7BFlDvL6ecuvWpzsNfPhjjncNwQD3pBwix+pYFdT6F+UrMH9+BM/6uMaoJSSHe5vTf33&#10;DXOCEvXZ4IKclZNJXPhETKYnYyTcS8nypcRs9AIQKSVeK8vTM+oHdXhKB/oJT808RkURMxxj15QH&#10;dyAWId8VPFZczOdJDZfcsnBtHiw/zD6C9rF7Ys728A64GDdw2HVWvQJ41o0TMjDfBJBtQn/sdO5r&#10;PwE8EAmn/TGLF+glnbSeT+7sJwAAAP//AwBQSwMEFAAGAAgAAAAhAAgW77DjAAAACgEAAA8AAABk&#10;cnMvZG93bnJldi54bWxMj8FOwzAQRO9I/IO1SNxaJ5S0EOJUtASpIKSKFg7ctvGSRMTrKHbT8PeY&#10;ExxX8zTzNluOphUD9a6xrCCeRiCIS6sbrhS87R8nNyCcR9bYWiYF3+RgmZ+fZZhqe+JXGna+EqGE&#10;XYoKau+7VEpX1mTQTW1HHLJP2xv04ewrqXs8hXLTyqsomkuDDYeFGjta11R+7Y5GwcY9r/ZFvLYf&#10;D0O3fXp/KbYrLJS6vBjv70B4Gv0fDL/6QR3y4HSwR9ZOtAomSRJIBfPZYgYiALdxFIM4KFgkyTXI&#10;PJP/X8h/AAAA//8DAFBLAQItABQABgAIAAAAIQC2gziS/gAAAOEBAAATAAAAAAAAAAAAAAAAAAAA&#10;AABbQ29udGVudF9UeXBlc10ueG1sUEsBAi0AFAAGAAgAAAAhADj9If/WAAAAlAEAAAsAAAAAAAAA&#10;AAAAAAAALwEAAF9yZWxzLy5yZWxzUEsBAi0AFAAGAAgAAAAhAP049M+mAgAAugUAAA4AAAAAAAAA&#10;AAAAAAAALgIAAGRycy9lMm9Eb2MueG1sUEsBAi0AFAAGAAgAAAAhAAgW77DjAAAACgEAAA8AAAAA&#10;AAAAAAAAAAAAAAUAAGRycy9kb3ducmV2LnhtbFBLBQYAAAAABAAEAPMAAAAQBgAAAAA=&#10;" fillcolor="gray [1629]" stroked="f">
                <v:shadow on="t" color="black" opacity="24903f" origin=",.5" offset="0,.55556mm"/>
                <v:textbox>
                  <w:txbxContent>
                    <w:p w14:paraId="648D690D" w14:textId="74DF8EE8" w:rsidR="00067AC0" w:rsidRPr="00267977" w:rsidRDefault="00067AC0" w:rsidP="00267977">
                      <w:pPr>
                        <w:spacing w:after="0"/>
                        <w:rPr>
                          <w:color w:val="FFFFFF" w:themeColor="background1"/>
                        </w:rPr>
                      </w:pPr>
                      <w:r w:rsidRPr="00267977">
                        <w:rPr>
                          <w:color w:val="FFFFFF" w:themeColor="background1"/>
                        </w:rPr>
                        <w:t>NSW is the only Australian jurisdiction that sets out different licensing thresholds for urban areas and more remote rural areas, allowing two and a half time the waste storage without licensing outside of the NSW ‘regulated area’.</w:t>
                      </w:r>
                    </w:p>
                  </w:txbxContent>
                </v:textbox>
                <w10:wrap type="square" anchorx="margin" anchory="margin"/>
              </v:roundrect>
            </w:pict>
          </mc:Fallback>
        </mc:AlternateContent>
      </w:r>
      <w:r w:rsidR="00DC35CF" w:rsidRPr="00DC35CF">
        <w:t>Schedule 1 (Part 1)</w:t>
      </w:r>
      <w:r w:rsidR="00DC35CF">
        <w:t xml:space="preserve"> of the </w:t>
      </w:r>
      <w:hyperlink r:id="rId37" w:anchor="/view/act/1997/156" w:history="1">
        <w:r w:rsidR="00DC35CF" w:rsidRPr="00DC35CF">
          <w:rPr>
            <w:rStyle w:val="Hyperlink"/>
            <w:rFonts w:ascii="Calibri" w:eastAsia="Calibri" w:hAnsi="Calibri"/>
          </w:rPr>
          <w:t>Protection of the Environment Operations Act 1997</w:t>
        </w:r>
      </w:hyperlink>
      <w:r w:rsidR="00DC35CF">
        <w:t xml:space="preserve"> (POEO Act) sets out the licensing requirement for NSW, including the following relevant thresholds.</w:t>
      </w:r>
    </w:p>
    <w:tbl>
      <w:tblPr>
        <w:tblW w:w="4141" w:type="pct"/>
        <w:tblInd w:w="534" w:type="dxa"/>
        <w:tblBorders>
          <w:top w:val="single" w:sz="4" w:space="0" w:color="7F7F7F" w:themeColor="text1" w:themeTint="80"/>
          <w:bottom w:val="single" w:sz="4" w:space="0" w:color="7F7F7F" w:themeColor="text1" w:themeTint="80"/>
          <w:insideH w:val="single" w:sz="4" w:space="0" w:color="7F7F7F" w:themeColor="text1" w:themeTint="80"/>
        </w:tblBorders>
        <w:tblLook w:val="0000" w:firstRow="0" w:lastRow="0" w:firstColumn="0" w:lastColumn="0" w:noHBand="0" w:noVBand="0"/>
      </w:tblPr>
      <w:tblGrid>
        <w:gridCol w:w="2633"/>
        <w:gridCol w:w="4842"/>
      </w:tblGrid>
      <w:tr w:rsidR="00DC35CF" w:rsidRPr="00DB0352" w14:paraId="4E83328A" w14:textId="77777777" w:rsidTr="00092342">
        <w:trPr>
          <w:trHeight w:val="123"/>
        </w:trPr>
        <w:tc>
          <w:tcPr>
            <w:tcW w:w="1761" w:type="pct"/>
          </w:tcPr>
          <w:p w14:paraId="55EBC584" w14:textId="262767BB" w:rsidR="00DC35CF" w:rsidRPr="00DB0352" w:rsidRDefault="00DC35CF">
            <w:pPr>
              <w:pStyle w:val="Pa4"/>
              <w:rPr>
                <w:rFonts w:asciiTheme="minorHAnsi" w:hAnsiTheme="minorHAnsi" w:cstheme="minorHAnsi"/>
                <w:color w:val="000000"/>
                <w:sz w:val="20"/>
                <w:szCs w:val="20"/>
              </w:rPr>
            </w:pPr>
            <w:r w:rsidRPr="00DB0352">
              <w:rPr>
                <w:rFonts w:asciiTheme="minorHAnsi" w:hAnsiTheme="minorHAnsi" w:cstheme="minorHAnsi"/>
                <w:sz w:val="20"/>
                <w:szCs w:val="20"/>
              </w:rPr>
              <w:t xml:space="preserve"> </w:t>
            </w:r>
            <w:r w:rsidR="00DB0352">
              <w:rPr>
                <w:rFonts w:asciiTheme="minorHAnsi" w:hAnsiTheme="minorHAnsi" w:cstheme="minorHAnsi"/>
                <w:sz w:val="20"/>
                <w:szCs w:val="20"/>
              </w:rPr>
              <w:t>‘</w:t>
            </w:r>
            <w:r w:rsidRPr="00DB0352">
              <w:rPr>
                <w:rFonts w:asciiTheme="minorHAnsi" w:hAnsiTheme="minorHAnsi" w:cstheme="minorHAnsi"/>
                <w:b/>
                <w:bCs/>
                <w:color w:val="000000"/>
                <w:sz w:val="20"/>
                <w:szCs w:val="20"/>
              </w:rPr>
              <w:t xml:space="preserve">Activity </w:t>
            </w:r>
          </w:p>
        </w:tc>
        <w:tc>
          <w:tcPr>
            <w:tcW w:w="3239" w:type="pct"/>
          </w:tcPr>
          <w:p w14:paraId="51052C59" w14:textId="77777777" w:rsidR="00DC35CF" w:rsidRPr="00DB0352" w:rsidRDefault="00DC35CF">
            <w:pPr>
              <w:pStyle w:val="Pa4"/>
              <w:rPr>
                <w:rFonts w:asciiTheme="minorHAnsi" w:hAnsiTheme="minorHAnsi" w:cstheme="minorHAnsi"/>
                <w:color w:val="000000"/>
                <w:sz w:val="20"/>
                <w:szCs w:val="20"/>
              </w:rPr>
            </w:pPr>
            <w:r w:rsidRPr="00DB0352">
              <w:rPr>
                <w:rFonts w:asciiTheme="minorHAnsi" w:hAnsiTheme="minorHAnsi" w:cstheme="minorHAnsi"/>
                <w:b/>
                <w:bCs/>
                <w:color w:val="000000"/>
                <w:sz w:val="20"/>
                <w:szCs w:val="20"/>
              </w:rPr>
              <w:t xml:space="preserve">Licensing thresholds </w:t>
            </w:r>
          </w:p>
        </w:tc>
      </w:tr>
      <w:tr w:rsidR="00DC35CF" w:rsidRPr="00DB0352" w14:paraId="538BAB59" w14:textId="77777777" w:rsidTr="00092342">
        <w:trPr>
          <w:trHeight w:val="376"/>
        </w:trPr>
        <w:tc>
          <w:tcPr>
            <w:tcW w:w="1761" w:type="pct"/>
          </w:tcPr>
          <w:p w14:paraId="40A3E021" w14:textId="77777777" w:rsidR="00DC35CF" w:rsidRPr="00A43B11" w:rsidRDefault="00DC35CF" w:rsidP="00092342">
            <w:pPr>
              <w:pStyle w:val="Pa4"/>
              <w:rPr>
                <w:rFonts w:asciiTheme="minorHAnsi" w:hAnsiTheme="minorHAnsi" w:cstheme="minorHAnsi"/>
                <w:sz w:val="20"/>
                <w:szCs w:val="20"/>
              </w:rPr>
            </w:pPr>
            <w:r w:rsidRPr="00A43B11">
              <w:rPr>
                <w:rFonts w:asciiTheme="minorHAnsi" w:hAnsiTheme="minorHAnsi" w:cstheme="minorHAnsi"/>
                <w:color w:val="000000"/>
                <w:sz w:val="20"/>
                <w:szCs w:val="20"/>
              </w:rPr>
              <w:t xml:space="preserve">Waste resource recovery (recycling) </w:t>
            </w:r>
          </w:p>
          <w:p w14:paraId="69DA19B1" w14:textId="77777777" w:rsidR="00DC35CF" w:rsidRPr="00A43B11" w:rsidRDefault="00DC35CF" w:rsidP="00092342">
            <w:pPr>
              <w:pStyle w:val="Pa4"/>
              <w:rPr>
                <w:rFonts w:asciiTheme="minorHAnsi" w:hAnsiTheme="minorHAnsi" w:cstheme="minorHAnsi"/>
                <w:sz w:val="20"/>
                <w:szCs w:val="20"/>
              </w:rPr>
            </w:pPr>
            <w:r w:rsidRPr="00A43B11">
              <w:rPr>
                <w:rFonts w:asciiTheme="minorHAnsi" w:hAnsiTheme="minorHAnsi" w:cstheme="minorHAnsi"/>
                <w:color w:val="000000"/>
                <w:sz w:val="20"/>
                <w:szCs w:val="20"/>
              </w:rPr>
              <w:t xml:space="preserve">Waste processing </w:t>
            </w:r>
          </w:p>
          <w:p w14:paraId="1D1860CA" w14:textId="56C593E8" w:rsidR="00DC35CF" w:rsidRPr="00A43B11" w:rsidRDefault="00DC35CF" w:rsidP="00092342">
            <w:pPr>
              <w:pStyle w:val="Pa4"/>
              <w:rPr>
                <w:rFonts w:asciiTheme="minorHAnsi" w:hAnsiTheme="minorHAnsi" w:cstheme="minorHAnsi"/>
                <w:sz w:val="20"/>
                <w:szCs w:val="20"/>
              </w:rPr>
            </w:pPr>
            <w:r w:rsidRPr="00A43B11">
              <w:rPr>
                <w:rFonts w:asciiTheme="minorHAnsi" w:hAnsiTheme="minorHAnsi" w:cstheme="minorHAnsi"/>
                <w:color w:val="000000"/>
                <w:sz w:val="20"/>
                <w:szCs w:val="20"/>
              </w:rPr>
              <w:t xml:space="preserve">Waste storage </w:t>
            </w:r>
          </w:p>
        </w:tc>
        <w:tc>
          <w:tcPr>
            <w:tcW w:w="3239" w:type="pct"/>
          </w:tcPr>
          <w:p w14:paraId="4B45E5BF" w14:textId="77777777" w:rsidR="00DC35CF" w:rsidRPr="00DB0352" w:rsidRDefault="00DC35CF">
            <w:pPr>
              <w:pStyle w:val="Pa4"/>
              <w:rPr>
                <w:rFonts w:asciiTheme="minorHAnsi" w:hAnsiTheme="minorHAnsi" w:cstheme="minorHAnsi"/>
                <w:color w:val="000000"/>
                <w:sz w:val="20"/>
                <w:szCs w:val="20"/>
              </w:rPr>
            </w:pPr>
            <w:r w:rsidRPr="00DB0352">
              <w:rPr>
                <w:rFonts w:asciiTheme="minorHAnsi" w:hAnsiTheme="minorHAnsi" w:cstheme="minorHAnsi"/>
                <w:color w:val="000000"/>
                <w:sz w:val="20"/>
                <w:szCs w:val="20"/>
              </w:rPr>
              <w:t>1000 tonnes or 1000 m</w:t>
            </w:r>
            <w:r w:rsidRPr="00DB0352">
              <w:rPr>
                <w:rFonts w:asciiTheme="minorHAnsi" w:hAnsiTheme="minorHAnsi" w:cstheme="minorHAnsi"/>
                <w:color w:val="000000"/>
                <w:position w:val="7"/>
                <w:sz w:val="20"/>
                <w:szCs w:val="20"/>
                <w:vertAlign w:val="superscript"/>
              </w:rPr>
              <w:t xml:space="preserve">3 </w:t>
            </w:r>
            <w:r w:rsidRPr="00DB0352">
              <w:rPr>
                <w:rFonts w:asciiTheme="minorHAnsi" w:hAnsiTheme="minorHAnsi" w:cstheme="minorHAnsi"/>
                <w:color w:val="000000"/>
                <w:sz w:val="20"/>
                <w:szCs w:val="20"/>
              </w:rPr>
              <w:t xml:space="preserve">on-site at any one time (2500 tonnes for facilities outside regulated area); or processing more than 6000 tonnes a year (12,000 tonnes for facilities outside the regulated area). </w:t>
            </w:r>
          </w:p>
        </w:tc>
      </w:tr>
      <w:tr w:rsidR="00DC35CF" w:rsidRPr="00DB0352" w14:paraId="2D1F0A3A" w14:textId="77777777" w:rsidTr="00092342">
        <w:trPr>
          <w:trHeight w:val="362"/>
        </w:trPr>
        <w:tc>
          <w:tcPr>
            <w:tcW w:w="1761" w:type="pct"/>
          </w:tcPr>
          <w:p w14:paraId="303962CE" w14:textId="767AA30E" w:rsidR="00DC35CF" w:rsidRPr="00DB0352" w:rsidRDefault="00DC35CF">
            <w:pPr>
              <w:pStyle w:val="Pa4"/>
              <w:rPr>
                <w:rFonts w:asciiTheme="minorHAnsi" w:hAnsiTheme="minorHAnsi" w:cstheme="minorHAnsi"/>
                <w:color w:val="000000"/>
                <w:sz w:val="20"/>
                <w:szCs w:val="20"/>
              </w:rPr>
            </w:pPr>
            <w:r w:rsidRPr="00DB0352">
              <w:rPr>
                <w:rFonts w:asciiTheme="minorHAnsi" w:hAnsiTheme="minorHAnsi" w:cstheme="minorHAnsi"/>
                <w:color w:val="000000"/>
                <w:sz w:val="20"/>
                <w:szCs w:val="20"/>
              </w:rPr>
              <w:t xml:space="preserve">Waste disposal </w:t>
            </w:r>
          </w:p>
        </w:tc>
        <w:tc>
          <w:tcPr>
            <w:tcW w:w="3239" w:type="pct"/>
          </w:tcPr>
          <w:p w14:paraId="4C2B91C6" w14:textId="77777777" w:rsidR="00DC35CF" w:rsidRPr="00A43B11" w:rsidRDefault="00DC35CF" w:rsidP="00092342">
            <w:pPr>
              <w:pStyle w:val="Pa4"/>
              <w:rPr>
                <w:rFonts w:asciiTheme="minorHAnsi" w:hAnsiTheme="minorHAnsi" w:cstheme="minorHAnsi"/>
                <w:sz w:val="20"/>
                <w:szCs w:val="20"/>
              </w:rPr>
            </w:pPr>
            <w:r w:rsidRPr="00A43B11">
              <w:rPr>
                <w:rFonts w:asciiTheme="minorHAnsi" w:hAnsiTheme="minorHAnsi" w:cstheme="minorHAnsi"/>
                <w:color w:val="000000"/>
                <w:sz w:val="20"/>
                <w:szCs w:val="20"/>
              </w:rPr>
              <w:t xml:space="preserve">Zero threshold for most waste types; or </w:t>
            </w:r>
          </w:p>
          <w:p w14:paraId="7215104B" w14:textId="44E12FA8" w:rsidR="00DC35CF" w:rsidRPr="00A43B11" w:rsidRDefault="00DC35CF" w:rsidP="00092342">
            <w:pPr>
              <w:pStyle w:val="Pa4"/>
              <w:rPr>
                <w:rFonts w:asciiTheme="minorHAnsi" w:hAnsiTheme="minorHAnsi" w:cstheme="minorHAnsi"/>
                <w:sz w:val="20"/>
                <w:szCs w:val="20"/>
              </w:rPr>
            </w:pPr>
            <w:r w:rsidRPr="00A43B11">
              <w:rPr>
                <w:rFonts w:asciiTheme="minorHAnsi" w:hAnsiTheme="minorHAnsi" w:cstheme="minorHAnsi"/>
                <w:color w:val="000000"/>
                <w:sz w:val="20"/>
                <w:szCs w:val="20"/>
              </w:rPr>
              <w:t xml:space="preserve">Building and demolition waste: 200 tonnes (20,000 tonnes for waste generated outside the regulated area) </w:t>
            </w:r>
          </w:p>
        </w:tc>
      </w:tr>
      <w:tr w:rsidR="00DC35CF" w:rsidRPr="00DB0352" w14:paraId="3151EBBA" w14:textId="77777777" w:rsidTr="00092342">
        <w:trPr>
          <w:trHeight w:val="348"/>
        </w:trPr>
        <w:tc>
          <w:tcPr>
            <w:tcW w:w="1761" w:type="pct"/>
          </w:tcPr>
          <w:p w14:paraId="1AD82C03" w14:textId="55047050" w:rsidR="00DC35CF" w:rsidRPr="00DB0352" w:rsidRDefault="00DC35CF">
            <w:pPr>
              <w:pStyle w:val="Pa4"/>
              <w:rPr>
                <w:rFonts w:asciiTheme="minorHAnsi" w:hAnsiTheme="minorHAnsi" w:cstheme="minorHAnsi"/>
                <w:color w:val="000000"/>
                <w:sz w:val="20"/>
                <w:szCs w:val="20"/>
              </w:rPr>
            </w:pPr>
            <w:r w:rsidRPr="00DB0352">
              <w:rPr>
                <w:rFonts w:asciiTheme="minorHAnsi" w:hAnsiTheme="minorHAnsi" w:cstheme="minorHAnsi"/>
                <w:color w:val="000000"/>
                <w:sz w:val="20"/>
                <w:szCs w:val="20"/>
              </w:rPr>
              <w:t xml:space="preserve">Waste tyres: </w:t>
            </w:r>
          </w:p>
          <w:p w14:paraId="721D39DE" w14:textId="77777777" w:rsidR="00DC35CF" w:rsidRPr="00DB0352" w:rsidRDefault="00DC35CF" w:rsidP="00E45B05">
            <w:pPr>
              <w:pStyle w:val="Default"/>
              <w:numPr>
                <w:ilvl w:val="0"/>
                <w:numId w:val="25"/>
              </w:numPr>
              <w:ind w:hanging="360"/>
              <w:rPr>
                <w:rFonts w:asciiTheme="minorHAnsi" w:hAnsiTheme="minorHAnsi" w:cstheme="minorHAnsi"/>
                <w:sz w:val="20"/>
                <w:szCs w:val="20"/>
              </w:rPr>
            </w:pPr>
            <w:r w:rsidRPr="00DB0352">
              <w:rPr>
                <w:rFonts w:asciiTheme="minorHAnsi" w:hAnsiTheme="minorHAnsi" w:cstheme="minorHAnsi"/>
                <w:sz w:val="20"/>
                <w:szCs w:val="20"/>
              </w:rPr>
              <w:t xml:space="preserve">storage </w:t>
            </w:r>
          </w:p>
          <w:p w14:paraId="07F361CC" w14:textId="055F5563" w:rsidR="00DC35CF" w:rsidRPr="00DB0352" w:rsidRDefault="00DC35CF" w:rsidP="002F5F89">
            <w:pPr>
              <w:pStyle w:val="Default"/>
              <w:numPr>
                <w:ilvl w:val="0"/>
                <w:numId w:val="25"/>
              </w:numPr>
              <w:ind w:hanging="360"/>
              <w:rPr>
                <w:rFonts w:asciiTheme="minorHAnsi" w:hAnsiTheme="minorHAnsi" w:cstheme="minorHAnsi"/>
                <w:sz w:val="20"/>
                <w:szCs w:val="20"/>
              </w:rPr>
            </w:pPr>
            <w:r w:rsidRPr="00DB0352">
              <w:rPr>
                <w:rFonts w:asciiTheme="minorHAnsi" w:hAnsiTheme="minorHAnsi" w:cstheme="minorHAnsi"/>
                <w:sz w:val="20"/>
                <w:szCs w:val="20"/>
              </w:rPr>
              <w:t xml:space="preserve">processing </w:t>
            </w:r>
          </w:p>
        </w:tc>
        <w:tc>
          <w:tcPr>
            <w:tcW w:w="3239" w:type="pct"/>
          </w:tcPr>
          <w:p w14:paraId="1EFB7F5E" w14:textId="5B6BC252" w:rsidR="00DC35CF" w:rsidRPr="00DB0352" w:rsidRDefault="00DC35CF">
            <w:pPr>
              <w:pStyle w:val="Pa4"/>
              <w:rPr>
                <w:rFonts w:asciiTheme="minorHAnsi" w:hAnsiTheme="minorHAnsi" w:cstheme="minorHAnsi"/>
                <w:color w:val="000000"/>
                <w:sz w:val="20"/>
                <w:szCs w:val="20"/>
              </w:rPr>
            </w:pPr>
            <w:r w:rsidRPr="00DB0352">
              <w:rPr>
                <w:rFonts w:asciiTheme="minorHAnsi" w:hAnsiTheme="minorHAnsi" w:cstheme="minorHAnsi"/>
                <w:color w:val="000000"/>
                <w:sz w:val="20"/>
                <w:szCs w:val="20"/>
              </w:rPr>
              <w:t>More than 5 tonnes of waste tyres or 500 waste tyres stored on-site at any one time; or processing more than 5000 tonnes of waste tyres per year.</w:t>
            </w:r>
            <w:r w:rsidR="00DB0352">
              <w:rPr>
                <w:rFonts w:asciiTheme="minorHAnsi" w:hAnsiTheme="minorHAnsi" w:cstheme="minorHAnsi"/>
                <w:color w:val="000000"/>
                <w:sz w:val="20"/>
                <w:szCs w:val="20"/>
              </w:rPr>
              <w:t>’</w:t>
            </w:r>
            <w:r w:rsidRPr="00DB0352">
              <w:rPr>
                <w:rFonts w:asciiTheme="minorHAnsi" w:hAnsiTheme="minorHAnsi" w:cstheme="minorHAnsi"/>
                <w:color w:val="000000"/>
                <w:sz w:val="20"/>
                <w:szCs w:val="20"/>
              </w:rPr>
              <w:t xml:space="preserve"> </w:t>
            </w:r>
          </w:p>
        </w:tc>
      </w:tr>
    </w:tbl>
    <w:p w14:paraId="19B4E9DC" w14:textId="2E1DA84B" w:rsidR="00E45B05" w:rsidRDefault="001F2D48" w:rsidP="00082CF3">
      <w:pPr>
        <w:pStyle w:val="RECnormaltext"/>
        <w:spacing w:before="120"/>
        <w:rPr>
          <w:rFonts w:eastAsia="Calibri"/>
        </w:rPr>
      </w:pPr>
      <w:r w:rsidRPr="001F2D48">
        <w:rPr>
          <w:rFonts w:eastAsia="Calibri"/>
        </w:rPr>
        <w:t>Changes to the POEO Act and Waste Regs introduced in 2015</w:t>
      </w:r>
      <w:r w:rsidR="002F5F89">
        <w:rPr>
          <w:rFonts w:eastAsia="Calibri"/>
        </w:rPr>
        <w:t>,</w:t>
      </w:r>
      <w:r w:rsidR="00DC35CF">
        <w:rPr>
          <w:rFonts w:eastAsia="Calibri"/>
        </w:rPr>
        <w:t xml:space="preserve"> </w:t>
      </w:r>
      <w:r w:rsidR="00DC35CF" w:rsidRPr="006A4816">
        <w:t xml:space="preserve">described in </w:t>
      </w:r>
      <w:hyperlink r:id="rId38" w:history="1">
        <w:r w:rsidR="00DC35CF" w:rsidRPr="00DA61EF">
          <w:rPr>
            <w:rStyle w:val="Hyperlink"/>
            <w:rFonts w:ascii="Calibri" w:hAnsi="Calibri"/>
          </w:rPr>
          <w:t>Changes to the NSW waste levy for resource recovery facilities – Fact Sheet</w:t>
        </w:r>
      </w:hyperlink>
      <w:r w:rsidR="002F5F89">
        <w:rPr>
          <w:rStyle w:val="Hyperlink"/>
          <w:rFonts w:ascii="Calibri" w:hAnsi="Calibri"/>
        </w:rPr>
        <w:t>,</w:t>
      </w:r>
      <w:r w:rsidRPr="001F2D48">
        <w:rPr>
          <w:rFonts w:eastAsia="Calibri"/>
        </w:rPr>
        <w:t xml:space="preserve"> discourage stockpiling (of any waste) by waste receival facilities for longer than 12 months through triggering payment of levy liabili</w:t>
      </w:r>
      <w:r w:rsidR="00E45B05">
        <w:rPr>
          <w:rFonts w:eastAsia="Calibri"/>
        </w:rPr>
        <w:t>ty.</w:t>
      </w:r>
      <w:r w:rsidR="0033222D">
        <w:rPr>
          <w:rFonts w:eastAsia="Calibri"/>
        </w:rPr>
        <w:t xml:space="preserve"> The system operates via a ‘mass balance’ approach, where the amount of material in the site gate and out of the site gate is reported.</w:t>
      </w:r>
      <w:r w:rsidR="00E45B05">
        <w:rPr>
          <w:rFonts w:eastAsia="Calibri"/>
        </w:rPr>
        <w:t xml:space="preserve"> </w:t>
      </w:r>
      <w:r w:rsidRPr="001F2D48">
        <w:rPr>
          <w:rFonts w:eastAsia="Calibri"/>
        </w:rPr>
        <w:t>Operators of scheduled waste facilities hold a levy liability on all waste received at their facility, but this liability is extinguished once the waste is transported off-site for lawful re-use or disposal.</w:t>
      </w:r>
      <w:r w:rsidR="00E45B05">
        <w:rPr>
          <w:rFonts w:eastAsia="Calibri"/>
        </w:rPr>
        <w:t xml:space="preserve"> </w:t>
      </w:r>
    </w:p>
    <w:p w14:paraId="5795CB5F" w14:textId="423C2DC6" w:rsidR="00E45B05" w:rsidRDefault="001F2D48" w:rsidP="00E45B05">
      <w:pPr>
        <w:pStyle w:val="RECnormaltext"/>
      </w:pPr>
      <w:r w:rsidRPr="001F2D48">
        <w:t>Paymen</w:t>
      </w:r>
      <w:r w:rsidR="00E45B05">
        <w:t>t of the levy is triggered when:</w:t>
      </w:r>
    </w:p>
    <w:p w14:paraId="4E30B762" w14:textId="368CAEAC" w:rsidR="001F2D48" w:rsidRPr="001F2D48" w:rsidRDefault="001F2D48" w:rsidP="00E45B05">
      <w:pPr>
        <w:pStyle w:val="RECdotpoint"/>
      </w:pPr>
      <w:r w:rsidRPr="001F2D48">
        <w:t>waste is stockpiled on-site for more than 12 months, unless the waste has been processed at the facility to a standard required by a resource recovery order</w:t>
      </w:r>
    </w:p>
    <w:p w14:paraId="3DF80B56" w14:textId="5E40BDC4" w:rsidR="001F2D48" w:rsidRPr="001F2D48" w:rsidRDefault="001F2D48" w:rsidP="001F2D48">
      <w:pPr>
        <w:pStyle w:val="RECdotpoint"/>
      </w:pPr>
      <w:r w:rsidRPr="001F2D48">
        <w:t>waste is stockpiled above lawful limits</w:t>
      </w:r>
    </w:p>
    <w:p w14:paraId="6FD7A8D2" w14:textId="13715B89" w:rsidR="001F2D48" w:rsidRDefault="00A55725" w:rsidP="001F2D48">
      <w:pPr>
        <w:pStyle w:val="RECdotpoint"/>
      </w:pPr>
      <w:r>
        <w:rPr>
          <w:noProof/>
          <w:lang w:eastAsia="en-AU"/>
        </w:rPr>
        <mc:AlternateContent>
          <mc:Choice Requires="wps">
            <w:drawing>
              <wp:anchor distT="0" distB="0" distL="114300" distR="114300" simplePos="0" relativeHeight="251652096" behindDoc="0" locked="0" layoutInCell="1" allowOverlap="1" wp14:anchorId="0850460E" wp14:editId="6D96C631">
                <wp:simplePos x="0" y="0"/>
                <wp:positionH relativeFrom="margin">
                  <wp:posOffset>53975</wp:posOffset>
                </wp:positionH>
                <wp:positionV relativeFrom="margin">
                  <wp:posOffset>7721600</wp:posOffset>
                </wp:positionV>
                <wp:extent cx="5814060" cy="586740"/>
                <wp:effectExtent l="57150" t="38100" r="53340" b="80010"/>
                <wp:wrapSquare wrapText="bothSides"/>
                <wp:docPr id="18" name="Rectangle: Rounded Corners 18"/>
                <wp:cNvGraphicFramePr/>
                <a:graphic xmlns:a="http://schemas.openxmlformats.org/drawingml/2006/main">
                  <a:graphicData uri="http://schemas.microsoft.com/office/word/2010/wordprocessingShape">
                    <wps:wsp>
                      <wps:cNvSpPr/>
                      <wps:spPr>
                        <a:xfrm>
                          <a:off x="0" y="0"/>
                          <a:ext cx="5814060" cy="58674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49230A53" w14:textId="6A00E470" w:rsidR="00067AC0" w:rsidRPr="00267977" w:rsidRDefault="00067AC0" w:rsidP="00267977">
                            <w:pPr>
                              <w:spacing w:after="0"/>
                              <w:rPr>
                                <w:color w:val="FFFFFF" w:themeColor="background1"/>
                              </w:rPr>
                            </w:pPr>
                            <w:r w:rsidRPr="00267977">
                              <w:rPr>
                                <w:color w:val="FFFFFF" w:themeColor="background1"/>
                              </w:rPr>
                              <w:t xml:space="preserve">NSW is the only Australian jurisdiction that </w:t>
                            </w:r>
                            <w:r>
                              <w:rPr>
                                <w:color w:val="FFFFFF" w:themeColor="background1"/>
                              </w:rPr>
                              <w:t>has implemented ‘mass balance’ reporting and levy liability for wastes that are unprocessed or stockpiled above the licence limits.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850460E" id="Rectangle: Rounded Corners 18" o:spid="_x0000_s1031" style="position:absolute;left:0;text-align:left;margin-left:4.25pt;margin-top:608pt;width:457.8pt;height:46.2pt;z-index:2516520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X4pwIAALoFAAAOAAAAZHJzL2Uyb0RvYy54bWysVFtP2zAUfp+0/2D5faSpWmARKaqKmCYx&#10;qICJZ9ex22i2j2e7Tbpfv2PnAmObkKb1IfW5375zLi5brchBOF+DKWl+MqFEGA5VbbYl/fp4/eGc&#10;Eh+YqZgCI0p6FJ5eLt6/u2hsIaawA1UJR9CJ8UVjS7oLwRZZ5vlOaOZPwAqDQglOs4Ck22aVYw16&#10;1yqbTianWQOusg648B65V52QLpJ/KQUPd1J6EYgqKeYW0tel7yZ+s8UFK7aO2V3N+zTYP2ShWW0w&#10;6OjqigVG9q7+zZWuuQMPMpxw0BlIWXORasBq8smrah52zIpUCzbH27FN/v+55beHtSN1hbPDSRmm&#10;cUb32DVmtkoU5B72phIVWYEzOGSCStixxvoCDR/s2vWUx2csv5VOx38sjLSpy8exy6INhCNzfp7P&#10;Jqc4DI6y+fnp2SyNIXu2ts6HTwI0iY+SuphETCp1mB1ufMCwqD/oxYgeVF1d10olIsJHrJQjB4aD&#10;D22eTNVef4Gq480n+OvGj2wEySs2uk8gjF5SsF8CKBPDGIgBu1wiJ4uN6VqRXuGoRNRT5l5IbDIW&#10;3yUyeu6CVt/ymAmGTJrRRKLj0Wiasv+rUa8bzUSC/Gj4RrRRO0UEE0ZDXRtwb0Tt9Iequ1pj2aHd&#10;tAlR8wErG6iOiDIH3fp5y69rnOwN82HNHO4bggFvSLjDj1TQlBT6FyU7cD/+xI/6uAYopaTB/S2p&#10;/75nTlCiPhtckI/5DHFFQiJm87MpEu6lZPNSYvZ6BYiUHK+V5ekZ9YMantKBfsJTs4xRUcQMx9gl&#10;5cENxCp0dwWPFRfLZVLDJbcs3JgHy4fZR9A+tk/M2R7eARfjFoZdZ8UrgHe6cUIGlvsAsk7oj53u&#10;+tpPAA9EglB/zOIFekknreeTu/gJAAD//wMAUEsDBBQABgAIAAAAIQCkkd/d4gAAAAsBAAAPAAAA&#10;ZHJzL2Rvd25yZXYueG1sTI9NT4NAEIbvJv6HzZh4swtYG0SWxlZMrDFpbPXgbcquQGRnCbul+O8d&#10;T3qcd568H/lysp0YzeBbRwriWQTCUOV0S7WCt/3jVQrCBySNnSOj4Nt4WBbnZzlm2p3o1Yy7UAs2&#10;IZ+hgiaEPpPSV42x6GeuN8S/TzdYDHwOtdQDntjcdjKJooW02BInNNibdWOqr93RKnjyz6t9Ga/d&#10;x8PYbzfvL+V2haVSlxfT/R2IYKbwB8Nvfa4OBXc6uCNpLzoF6Q2DLCfxgjcxcJvMYxAHlq6jdA6y&#10;yOX/DcUPAAAA//8DAFBLAQItABQABgAIAAAAIQC2gziS/gAAAOEBAAATAAAAAAAAAAAAAAAAAAAA&#10;AABbQ29udGVudF9UeXBlc10ueG1sUEsBAi0AFAAGAAgAAAAhADj9If/WAAAAlAEAAAsAAAAAAAAA&#10;AAAAAAAALwEAAF9yZWxzLy5yZWxzUEsBAi0AFAAGAAgAAAAhAAbZVfinAgAAugUAAA4AAAAAAAAA&#10;AAAAAAAALgIAAGRycy9lMm9Eb2MueG1sUEsBAi0AFAAGAAgAAAAhAKSR393iAAAACwEAAA8AAAAA&#10;AAAAAAAAAAAAAQUAAGRycy9kb3ducmV2LnhtbFBLBQYAAAAABAAEAPMAAAAQBgAAAAA=&#10;" fillcolor="gray [1629]" stroked="f">
                <v:shadow on="t" color="black" opacity="24903f" origin=",.5" offset="0,.55556mm"/>
                <v:textbox>
                  <w:txbxContent>
                    <w:p w14:paraId="49230A53" w14:textId="6A00E470" w:rsidR="00067AC0" w:rsidRPr="00267977" w:rsidRDefault="00067AC0" w:rsidP="00267977">
                      <w:pPr>
                        <w:spacing w:after="0"/>
                        <w:rPr>
                          <w:color w:val="FFFFFF" w:themeColor="background1"/>
                        </w:rPr>
                      </w:pPr>
                      <w:r w:rsidRPr="00267977">
                        <w:rPr>
                          <w:color w:val="FFFFFF" w:themeColor="background1"/>
                        </w:rPr>
                        <w:t xml:space="preserve">NSW is the only Australian jurisdiction that </w:t>
                      </w:r>
                      <w:r>
                        <w:rPr>
                          <w:color w:val="FFFFFF" w:themeColor="background1"/>
                        </w:rPr>
                        <w:t>has implemented ‘mass balance’ reporting and levy liability for wastes that are unprocessed or stockpiled above the licence limits.</w:t>
                      </w:r>
                    </w:p>
                  </w:txbxContent>
                </v:textbox>
                <w10:wrap type="square" anchorx="margin" anchory="margin"/>
              </v:roundrect>
            </w:pict>
          </mc:Fallback>
        </mc:AlternateContent>
      </w:r>
      <w:r w:rsidR="001F2D48" w:rsidRPr="001F2D48">
        <w:t>waste is transported for unlawful disposal.</w:t>
      </w:r>
    </w:p>
    <w:p w14:paraId="1AFE8EE3" w14:textId="04360018" w:rsidR="00A55725" w:rsidRDefault="00A55725" w:rsidP="00047982">
      <w:pPr>
        <w:pStyle w:val="NonTOCHeading3"/>
      </w:pPr>
    </w:p>
    <w:p w14:paraId="26AE4621" w14:textId="77777777" w:rsidR="00D36103" w:rsidRPr="001E0D50" w:rsidRDefault="00D36103" w:rsidP="00267977">
      <w:pPr>
        <w:pStyle w:val="RECnormaltext"/>
      </w:pPr>
    </w:p>
    <w:p w14:paraId="7CD3986C" w14:textId="0D2D395E" w:rsidR="008F3C0B" w:rsidRDefault="008F3C0B" w:rsidP="00047982">
      <w:pPr>
        <w:pStyle w:val="NonTOCHeading3"/>
      </w:pPr>
      <w:r>
        <w:t>Hazardous waste tracking</w:t>
      </w:r>
    </w:p>
    <w:p w14:paraId="321AE6CC" w14:textId="074A4636" w:rsidR="00082CF3" w:rsidRDefault="00082CF3" w:rsidP="00082CF3">
      <w:pPr>
        <w:pStyle w:val="RECnormaltext"/>
      </w:pPr>
      <w:r>
        <w:t xml:space="preserve">There is </w:t>
      </w:r>
      <w:r w:rsidR="00C43C3C">
        <w:t xml:space="preserve">a </w:t>
      </w:r>
      <w:r>
        <w:t xml:space="preserve">hazardous waste tracking system in place in </w:t>
      </w:r>
      <w:r w:rsidR="00C43C3C">
        <w:t xml:space="preserve">NSW </w:t>
      </w:r>
      <w:r>
        <w:t xml:space="preserve">for hazardous waste movements within the jurisdiction. </w:t>
      </w:r>
      <w:r w:rsidR="00C43C3C">
        <w:t xml:space="preserve">Hazardous waste </w:t>
      </w:r>
      <w:r w:rsidR="00C43C3C" w:rsidRPr="00C43C3C">
        <w:t>must be tracked when transported into, within or out of NSW. The waste consignor, transporter and receiving facility all have obligations to ensure that the waste is properly tracked.</w:t>
      </w:r>
      <w:r w:rsidR="00DD18F1">
        <w:t xml:space="preserve"> </w:t>
      </w:r>
      <w:r w:rsidR="002A4BCE">
        <w:t>The</w:t>
      </w:r>
      <w:r w:rsidR="00CF7E1A">
        <w:t xml:space="preserve">re are </w:t>
      </w:r>
      <w:r w:rsidR="00D52281">
        <w:t xml:space="preserve">several tracking exemptions in place in NSW, that are detailed in </w:t>
      </w:r>
      <w:r w:rsidR="002A4BCE">
        <w:t>Appendix A</w:t>
      </w:r>
      <w:r w:rsidR="00D52281">
        <w:t xml:space="preserve">. </w:t>
      </w:r>
    </w:p>
    <w:p w14:paraId="19CD9D22" w14:textId="42CE0529" w:rsidR="00082CF3" w:rsidRDefault="00C43C3C" w:rsidP="00082CF3">
      <w:pPr>
        <w:pStyle w:val="RECnormaltext"/>
      </w:pPr>
      <w:r>
        <w:t>In addition</w:t>
      </w:r>
      <w:r w:rsidR="002C05BA">
        <w:t xml:space="preserve"> to waste tracking</w:t>
      </w:r>
      <w:r>
        <w:t>, t</w:t>
      </w:r>
      <w:r w:rsidR="00082CF3" w:rsidRPr="00EE7666">
        <w:t>hose</w:t>
      </w:r>
      <w:r w:rsidR="00082CF3" w:rsidRPr="001F2D48">
        <w:t xml:space="preserve"> involved in the </w:t>
      </w:r>
      <w:r w:rsidR="00082CF3">
        <w:t>EOLT</w:t>
      </w:r>
      <w:r w:rsidR="00082CF3" w:rsidRPr="001F2D48">
        <w:t xml:space="preserve"> tyre value chain </w:t>
      </w:r>
      <w:r w:rsidR="00082CF3">
        <w:t xml:space="preserve">and waste asbestos management </w:t>
      </w:r>
      <w:r w:rsidR="002C05BA">
        <w:t xml:space="preserve">in NSW </w:t>
      </w:r>
      <w:r w:rsidR="00082CF3" w:rsidRPr="001F2D48">
        <w:t xml:space="preserve">are required to register and report through </w:t>
      </w:r>
      <w:r w:rsidR="00FD2C42">
        <w:t xml:space="preserve">the </w:t>
      </w:r>
      <w:r>
        <w:t xml:space="preserve">mobile application </w:t>
      </w:r>
      <w:hyperlink r:id="rId39" w:history="1">
        <w:r w:rsidR="00082CF3" w:rsidRPr="00205196">
          <w:rPr>
            <w:rStyle w:val="Hyperlink"/>
            <w:rFonts w:ascii="Calibri" w:hAnsi="Calibri"/>
          </w:rPr>
          <w:t>WasteLocate</w:t>
        </w:r>
      </w:hyperlink>
      <w:r w:rsidR="00082CF3" w:rsidRPr="00205196">
        <w:t xml:space="preserve"> </w:t>
      </w:r>
      <w:r w:rsidR="00082CF3" w:rsidRPr="001F2D48">
        <w:t>system</w:t>
      </w:r>
      <w:r w:rsidR="00E94CB2">
        <w:t>, which provides live tracking of the movement and locations of the collected wastes</w:t>
      </w:r>
      <w:r w:rsidR="00082CF3" w:rsidRPr="001F2D48">
        <w:t xml:space="preserve">. This system allows the tracking of EOLT </w:t>
      </w:r>
      <w:r w:rsidR="00082CF3">
        <w:t xml:space="preserve">and waste asbestos </w:t>
      </w:r>
      <w:r w:rsidR="00082CF3" w:rsidRPr="001F2D48">
        <w:t xml:space="preserve">consignments from the </w:t>
      </w:r>
      <w:r w:rsidR="00082CF3">
        <w:t>consigner, transporter and receiver.</w:t>
      </w:r>
    </w:p>
    <w:p w14:paraId="2B7AE172" w14:textId="77777777" w:rsidR="00770B30" w:rsidRDefault="00770B30" w:rsidP="00047982">
      <w:pPr>
        <w:pStyle w:val="NonTOCHeading3"/>
      </w:pPr>
      <w:r>
        <w:t xml:space="preserve">Enforcement against illegal dumping </w:t>
      </w:r>
    </w:p>
    <w:p w14:paraId="7FE76ED2" w14:textId="77777777" w:rsidR="009C69A4" w:rsidRPr="001F2D48" w:rsidRDefault="009C69A4" w:rsidP="009C69A4">
      <w:pPr>
        <w:pStyle w:val="RECnormaltext"/>
      </w:pPr>
      <w:r w:rsidRPr="001F2D48">
        <w:t>Through landfill levy funding, EPA NSW has established dedicated Regional Illegal Dumping (RID) Squads. There are four RID Squads in operation in the following areas: Western Sydney (the longest-running at 15 years), Sydney, Southern Councils and Hunter/Central Coast, plus a specific cross- border program with the ACT.</w:t>
      </w:r>
    </w:p>
    <w:p w14:paraId="179131D6" w14:textId="41D713A5" w:rsidR="001F2D48" w:rsidRPr="001F2D48" w:rsidRDefault="001F2D48" w:rsidP="009C69A4">
      <w:pPr>
        <w:pStyle w:val="RECnormaltext"/>
      </w:pPr>
      <w:r w:rsidRPr="001F2D48">
        <w:t>Education, engagement and awareness raising focuse</w:t>
      </w:r>
      <w:r w:rsidR="00FD2C42">
        <w:t>s</w:t>
      </w:r>
      <w:r w:rsidRPr="001F2D48">
        <w:t xml:space="preserve"> mainly on illegal dumping and its impacts.</w:t>
      </w:r>
    </w:p>
    <w:p w14:paraId="09002F71" w14:textId="46FBB5FD" w:rsidR="008F3C0B" w:rsidRDefault="008F3C0B" w:rsidP="00047982">
      <w:pPr>
        <w:pStyle w:val="NonTOCHeading3"/>
      </w:pPr>
      <w:r>
        <w:t>Landfill levy settings</w:t>
      </w:r>
    </w:p>
    <w:p w14:paraId="56C35D35" w14:textId="74A8CD68" w:rsidR="008F1FDA" w:rsidRDefault="008A6897" w:rsidP="00A82D75">
      <w:pPr>
        <w:pStyle w:val="RECnormaltext"/>
      </w:pPr>
      <w:r>
        <w:t>NSW has a range of</w:t>
      </w:r>
      <w:r w:rsidR="00DB0352">
        <w:t xml:space="preserve"> levies for different wastes. </w:t>
      </w:r>
      <w:hyperlink r:id="rId40" w:history="1">
        <w:r w:rsidR="00DB0352" w:rsidRPr="00520DA5">
          <w:rPr>
            <w:rStyle w:val="Hyperlink"/>
          </w:rPr>
          <w:t>NSW EPA website</w:t>
        </w:r>
      </w:hyperlink>
      <w:r w:rsidR="00DB0352">
        <w:t xml:space="preserve"> details levy is</w:t>
      </w:r>
      <w:r>
        <w:t xml:space="preserve"> currently set at:</w:t>
      </w:r>
    </w:p>
    <w:p w14:paraId="5711BEC8" w14:textId="77777777" w:rsidR="008A6897" w:rsidRPr="008A6897" w:rsidRDefault="008A6897" w:rsidP="00A82D75">
      <w:pPr>
        <w:pStyle w:val="RECnormaltext"/>
        <w:rPr>
          <w:b/>
        </w:rPr>
      </w:pPr>
      <w:r w:rsidRPr="008A6897">
        <w:rPr>
          <w:b/>
        </w:rPr>
        <w:t>Solid waste disposal to landfill</w:t>
      </w:r>
    </w:p>
    <w:p w14:paraId="0694BD1C" w14:textId="60708100" w:rsidR="00A82D75" w:rsidRDefault="00A82D75" w:rsidP="008A6897">
      <w:pPr>
        <w:pStyle w:val="RECdotpoint"/>
      </w:pPr>
      <w:r>
        <w:t>Metropolitan levy area $135.70/t</w:t>
      </w:r>
    </w:p>
    <w:p w14:paraId="773516D3" w14:textId="37F4F2DD" w:rsidR="008A6897" w:rsidRDefault="00A82D75" w:rsidP="006E6421">
      <w:pPr>
        <w:pStyle w:val="RECdotpoint"/>
      </w:pPr>
      <w:r>
        <w:t xml:space="preserve">Regional levy </w:t>
      </w:r>
      <w:r w:rsidR="008A6897">
        <w:t>area $78.20/t</w:t>
      </w:r>
    </w:p>
    <w:p w14:paraId="4AD85F31" w14:textId="0BD97DE5" w:rsidR="008A6897" w:rsidRDefault="00A82D75" w:rsidP="006E6421">
      <w:pPr>
        <w:pStyle w:val="RECdotpoint"/>
      </w:pPr>
      <w:r>
        <w:t>Virgin excavated natural material $122.13/t</w:t>
      </w:r>
      <w:r w:rsidR="00C20362">
        <w:t xml:space="preserve"> (metropolitan levy area) $70.38/t (regional levy area)</w:t>
      </w:r>
    </w:p>
    <w:p w14:paraId="0590CF09" w14:textId="731973F6" w:rsidR="008A6897" w:rsidRDefault="00A82D75" w:rsidP="006E6421">
      <w:pPr>
        <w:pStyle w:val="RECdotpoint"/>
      </w:pPr>
      <w:r>
        <w:t xml:space="preserve">Shredder floc - $67.85/t </w:t>
      </w:r>
      <w:r w:rsidR="00C20362">
        <w:t>(metropolitan levy area) $39.10/t (regional levy area)</w:t>
      </w:r>
    </w:p>
    <w:p w14:paraId="41817610" w14:textId="50486D2A" w:rsidR="003A5D9C" w:rsidRDefault="00A82D75" w:rsidP="006E6421">
      <w:pPr>
        <w:pStyle w:val="RECdotpoint"/>
      </w:pPr>
      <w:r>
        <w:t>Coal washery rejects - $14.20</w:t>
      </w:r>
    </w:p>
    <w:p w14:paraId="0CCABDD2" w14:textId="1A5B1BB5" w:rsidR="008A6897" w:rsidRDefault="008A6897" w:rsidP="00A82D75">
      <w:pPr>
        <w:pStyle w:val="RECnormaltext"/>
      </w:pPr>
      <w:r>
        <w:rPr>
          <w:b/>
        </w:rPr>
        <w:t xml:space="preserve">‘Trackable’ </w:t>
      </w:r>
      <w:r w:rsidR="00C20362">
        <w:rPr>
          <w:b/>
        </w:rPr>
        <w:t xml:space="preserve">liquid </w:t>
      </w:r>
      <w:r>
        <w:rPr>
          <w:b/>
        </w:rPr>
        <w:t xml:space="preserve">wastes disposal to a treatment facility </w:t>
      </w:r>
    </w:p>
    <w:p w14:paraId="6AAA73A4" w14:textId="40C8280E" w:rsidR="008A6897" w:rsidRPr="003A5D9C" w:rsidRDefault="00D430D5" w:rsidP="00267977">
      <w:pPr>
        <w:pStyle w:val="RECdotpoint"/>
      </w:pPr>
      <w:r>
        <w:rPr>
          <w:noProof/>
          <w:lang w:eastAsia="en-AU"/>
        </w:rPr>
        <mc:AlternateContent>
          <mc:Choice Requires="wps">
            <w:drawing>
              <wp:anchor distT="0" distB="0" distL="114300" distR="114300" simplePos="0" relativeHeight="251648000" behindDoc="0" locked="0" layoutInCell="1" allowOverlap="1" wp14:anchorId="2202D693" wp14:editId="4C3E4375">
                <wp:simplePos x="0" y="0"/>
                <wp:positionH relativeFrom="column">
                  <wp:posOffset>53975</wp:posOffset>
                </wp:positionH>
                <wp:positionV relativeFrom="paragraph">
                  <wp:posOffset>396297</wp:posOffset>
                </wp:positionV>
                <wp:extent cx="5731510" cy="589915"/>
                <wp:effectExtent l="57150" t="38100" r="59690" b="76835"/>
                <wp:wrapSquare wrapText="bothSides"/>
                <wp:docPr id="28" name="Rectangle: Rounded Corners 28"/>
                <wp:cNvGraphicFramePr/>
                <a:graphic xmlns:a="http://schemas.openxmlformats.org/drawingml/2006/main">
                  <a:graphicData uri="http://schemas.microsoft.com/office/word/2010/wordprocessingShape">
                    <wps:wsp>
                      <wps:cNvSpPr/>
                      <wps:spPr>
                        <a:xfrm>
                          <a:off x="0" y="0"/>
                          <a:ext cx="5731510" cy="589915"/>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52F147C2" w14:textId="537C6ECE" w:rsidR="00067AC0" w:rsidRPr="000D7852" w:rsidRDefault="00067AC0" w:rsidP="00D430D5">
                            <w:pPr>
                              <w:spacing w:after="0"/>
                              <w:rPr>
                                <w:color w:val="FFFFFF" w:themeColor="background1"/>
                              </w:rPr>
                            </w:pPr>
                            <w:r w:rsidRPr="00395A6A">
                              <w:t xml:space="preserve"> </w:t>
                            </w:r>
                            <w:r w:rsidRPr="00395A6A">
                              <w:rPr>
                                <w:color w:val="FFFFFF" w:themeColor="background1"/>
                              </w:rPr>
                              <w:t>NSW and SA are the only jurisdictions that have a levy on liquid waste facilities receiving trackable or hazardous liquid wastes in Australia</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202D693" id="Rectangle: Rounded Corners 28" o:spid="_x0000_s1032" style="position:absolute;left:0;text-align:left;margin-left:4.25pt;margin-top:31.2pt;width:451.3pt;height:46.4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xWpgIAALoFAAAOAAAAZHJzL2Uyb0RvYy54bWysVN1P2zAQf5+0/8Hy+0jTUaARKaqKmCYx&#10;qICJZ9ex22i2z7PdJt1fv7OTBtZtQprWh9R397vvj8urViuyE87XYEqan4woEYZDVZt1Sb8+3Xy4&#10;oMQHZiqmwIiS7oWnV7P37y4bW4gxbEBVwhE0YnzR2JJuQrBFlnm+EZr5E7DCoFCC0ywg6dZZ5ViD&#10;1rXKxqPRWdaAq6wDLrxH7nUnpLNkX0rBw72UXgSiSoqxhfR16buK32x2yYq1Y3ZT8z4M9g9RaFYb&#10;dDqYumaBka2rfzOla+7AgwwnHHQGUtZcpBwwm3x0lM3jhlmRcsHieDuUyf8/s/xut3Skrko6xk4Z&#10;prFHD1g1ZtZKFOQBtqYSFVmAM9hkgiCsWGN9gYqPdul6yuMzpt9Kp+M/JkbaVOX9UGXRBsKROTn/&#10;mE9ybAZH2eRiOs0n0Wj2om2dD58EaBIfJXUxiBhUqjDb3frQ4Q+46NGDqqubWqlExPERC+XIjmHj&#10;Q5snVbXVX6DqeJMR/rr2IxuH5IiN4aQhjFZScL84UCa6MRAddrFEThYL05UivcJeiYhT5kFILDIm&#10;3wUyWO6cVt/yvgIJGVUkGh6Uxin6vyr12Kgm0sgPim94G9DJI5gwKOragHvDa4c/ZN3lGtMO7apN&#10;E3UWk4qcFVR7nDIH3fp5y29q7Owt82HJHO4bDgPekHCPH6mgKSn0L0o24H78iR/xuAYopaTB/S2p&#10;/75lTlCiPhtckGl+ehoXPhGnk/MxEu61ZPVaYrZ6ATgpOV4ry9Mz4oM6PKUD/YynZh69oogZjr5L&#10;yoM7EIvQ3RU8VlzM5wmGS25ZuDWPlh96H4f2qX1mzvbjHXAx7uCw66w4GvAOGztkYL4NIOs0/S91&#10;7TuAByLNaX/M4gV6TSfUy8md/QQAAP//AwBQSwMEFAAGAAgAAAAhAHggnhHhAAAACAEAAA8AAABk&#10;cnMvZG93bnJldi54bWxMj0FLw0AQhe+C/2EZwZvdbDWlxmyKrRGsFEpbPXibJmMSzM6G7DaN/971&#10;pMfhfbz3TboYTSsG6l1jWYOaRCCIC1s2XGl4OzzfzEE4j1xia5k0fJODRXZ5kWJS2jPvaNj7SoQS&#10;dglqqL3vEildUZNBN7Edccg+bW/Qh7OvZNnjOZSbVk6jaCYNNhwWauxoVVPxtT8ZDS/udXnI1cp+&#10;PA3ddv2+ybdLzLW+vhofH0B4Gv0fDL/6QR2y4HS0Jy6daDXM4wBqmE3vQIT4XikF4hi4OL4FmaXy&#10;/wPZDwAAAP//AwBQSwECLQAUAAYACAAAACEAtoM4kv4AAADhAQAAEwAAAAAAAAAAAAAAAAAAAAAA&#10;W0NvbnRlbnRfVHlwZXNdLnhtbFBLAQItABQABgAIAAAAIQA4/SH/1gAAAJQBAAALAAAAAAAAAAAA&#10;AAAAAC8BAABfcmVscy8ucmVsc1BLAQItABQABgAIAAAAIQC424xWpgIAALoFAAAOAAAAAAAAAAAA&#10;AAAAAC4CAABkcnMvZTJvRG9jLnhtbFBLAQItABQABgAIAAAAIQB4IJ4R4QAAAAgBAAAPAAAAAAAA&#10;AAAAAAAAAAAFAABkcnMvZG93bnJldi54bWxQSwUGAAAAAAQABADzAAAADgYAAAAA&#10;" fillcolor="gray [1629]" stroked="f">
                <v:shadow on="t" color="black" opacity="24903f" origin=",.5" offset="0,.55556mm"/>
                <v:textbox>
                  <w:txbxContent>
                    <w:p w14:paraId="52F147C2" w14:textId="537C6ECE" w:rsidR="00067AC0" w:rsidRPr="000D7852" w:rsidRDefault="00067AC0" w:rsidP="00D430D5">
                      <w:pPr>
                        <w:spacing w:after="0"/>
                        <w:rPr>
                          <w:color w:val="FFFFFF" w:themeColor="background1"/>
                        </w:rPr>
                      </w:pPr>
                      <w:r w:rsidRPr="00395A6A">
                        <w:t xml:space="preserve"> </w:t>
                      </w:r>
                      <w:r w:rsidRPr="00395A6A">
                        <w:rPr>
                          <w:color w:val="FFFFFF" w:themeColor="background1"/>
                        </w:rPr>
                        <w:t>NSW and SA are the only jurisdictions that have a levy on liquid waste facilities receiving trackable or hazardous liquid wastes in Australia</w:t>
                      </w:r>
                      <w:r>
                        <w:rPr>
                          <w:color w:val="FFFFFF" w:themeColor="background1"/>
                        </w:rPr>
                        <w:t>.</w:t>
                      </w:r>
                    </w:p>
                  </w:txbxContent>
                </v:textbox>
                <w10:wrap type="square"/>
              </v:roundrect>
            </w:pict>
          </mc:Fallback>
        </mc:AlternateContent>
      </w:r>
      <w:r w:rsidR="008F1FDA" w:rsidRPr="008F1FDA">
        <w:t>$72.20</w:t>
      </w:r>
      <w:r w:rsidR="008A6897">
        <w:t>/t</w:t>
      </w:r>
      <w:r w:rsidR="008F1FDA" w:rsidRPr="008F1FDA">
        <w:t>.</w:t>
      </w:r>
      <w:r w:rsidRPr="00D430D5">
        <w:rPr>
          <w:noProof/>
        </w:rPr>
        <w:t xml:space="preserve"> </w:t>
      </w:r>
    </w:p>
    <w:p w14:paraId="5A6F36D0" w14:textId="6F71893B" w:rsidR="008F3C0B" w:rsidRDefault="008F3C0B">
      <w:pPr>
        <w:pStyle w:val="Heading2"/>
      </w:pPr>
      <w:bookmarkStart w:id="56" w:name="_Toc532990225"/>
      <w:r>
        <w:t>Management</w:t>
      </w:r>
      <w:bookmarkEnd w:id="56"/>
      <w:r>
        <w:t xml:space="preserve"> </w:t>
      </w:r>
    </w:p>
    <w:p w14:paraId="7796A68C" w14:textId="1B1164B9" w:rsidR="008F3C0B" w:rsidRDefault="008F3C0B" w:rsidP="00047982">
      <w:pPr>
        <w:pStyle w:val="NonTOCHeading3"/>
      </w:pPr>
      <w:r>
        <w:t xml:space="preserve">Stockpile restrictions </w:t>
      </w:r>
    </w:p>
    <w:p w14:paraId="698032A8" w14:textId="715A5F6C" w:rsidR="008F3C0B" w:rsidRDefault="0033222D" w:rsidP="008F3C0B">
      <w:pPr>
        <w:pStyle w:val="RECnormaltext"/>
        <w:rPr>
          <w:rFonts w:eastAsia="Calibri"/>
        </w:rPr>
      </w:pPr>
      <w:r w:rsidRPr="0033222D">
        <w:rPr>
          <w:rFonts w:eastAsia="Calibri"/>
        </w:rPr>
        <w:t xml:space="preserve">NSW </w:t>
      </w:r>
      <w:r w:rsidR="0041796C">
        <w:rPr>
          <w:rFonts w:eastAsia="Calibri"/>
        </w:rPr>
        <w:t xml:space="preserve">EPA </w:t>
      </w:r>
      <w:r w:rsidR="00FA549E">
        <w:rPr>
          <w:rFonts w:eastAsia="Calibri"/>
        </w:rPr>
        <w:t>sets site stockpile</w:t>
      </w:r>
      <w:r w:rsidRPr="0033222D">
        <w:rPr>
          <w:rFonts w:eastAsia="Calibri"/>
        </w:rPr>
        <w:t xml:space="preserve"> limits on a case by case bas</w:t>
      </w:r>
      <w:r>
        <w:rPr>
          <w:rFonts w:eastAsia="Calibri"/>
        </w:rPr>
        <w:t xml:space="preserve">is, depending on the waste type. The </w:t>
      </w:r>
      <w:r w:rsidR="0041796C">
        <w:rPr>
          <w:rFonts w:eastAsia="Calibri"/>
        </w:rPr>
        <w:t>‘</w:t>
      </w:r>
      <w:r>
        <w:rPr>
          <w:rFonts w:eastAsia="Calibri"/>
        </w:rPr>
        <w:t>mass balance</w:t>
      </w:r>
      <w:r w:rsidR="0041796C">
        <w:rPr>
          <w:rFonts w:eastAsia="Calibri"/>
        </w:rPr>
        <w:t>’</w:t>
      </w:r>
      <w:r>
        <w:rPr>
          <w:rFonts w:eastAsia="Calibri"/>
        </w:rPr>
        <w:t xml:space="preserve"> levy system </w:t>
      </w:r>
      <w:r w:rsidR="0041796C">
        <w:rPr>
          <w:rFonts w:eastAsia="Calibri"/>
        </w:rPr>
        <w:t xml:space="preserve">approach </w:t>
      </w:r>
      <w:r>
        <w:rPr>
          <w:rFonts w:eastAsia="Calibri"/>
        </w:rPr>
        <w:t>enable</w:t>
      </w:r>
      <w:r w:rsidR="00FA549E">
        <w:rPr>
          <w:rFonts w:eastAsia="Calibri"/>
        </w:rPr>
        <w:t>s</w:t>
      </w:r>
      <w:r>
        <w:rPr>
          <w:rFonts w:eastAsia="Calibri"/>
        </w:rPr>
        <w:t xml:space="preserve"> the triggering of levy payment after 12 months or once a site tonnage limit is breached. This </w:t>
      </w:r>
      <w:r w:rsidR="0041796C">
        <w:rPr>
          <w:rFonts w:eastAsia="Calibri"/>
        </w:rPr>
        <w:t xml:space="preserve">system places </w:t>
      </w:r>
      <w:r w:rsidR="00023D38">
        <w:rPr>
          <w:rFonts w:eastAsia="Calibri"/>
        </w:rPr>
        <w:t>strong financial pressure on sites to control stockpiling</w:t>
      </w:r>
      <w:r w:rsidR="008F3C0B" w:rsidRPr="007C0A57">
        <w:rPr>
          <w:rFonts w:eastAsia="Calibri"/>
        </w:rPr>
        <w:t>.</w:t>
      </w:r>
    </w:p>
    <w:p w14:paraId="0DCBA0B3" w14:textId="48A0144D" w:rsidR="00FA549E" w:rsidRDefault="00FA549E" w:rsidP="008F3C0B">
      <w:pPr>
        <w:pStyle w:val="RECnormaltext"/>
        <w:rPr>
          <w:rFonts w:eastAsia="Calibri"/>
        </w:rPr>
      </w:pPr>
      <w:r>
        <w:rPr>
          <w:rFonts w:eastAsia="Calibri"/>
        </w:rPr>
        <w:t>Once a site has stockpiled the material for more than 12 months there is a landfill levy liability and presumably the stockpile material is also considered a waste and that requires disposal to a licensed landfill facility, which would enable EPA to prosecute the site for illegal stockpiling of waste.</w:t>
      </w:r>
    </w:p>
    <w:p w14:paraId="76244326" w14:textId="77777777" w:rsidR="008F3C0B" w:rsidRDefault="008F3C0B" w:rsidP="00047982">
      <w:pPr>
        <w:pStyle w:val="NonTOCHeading3"/>
      </w:pPr>
      <w:r>
        <w:t>Stockpile reporting</w:t>
      </w:r>
    </w:p>
    <w:p w14:paraId="68310D20" w14:textId="5CEB763E" w:rsidR="008F3C0B" w:rsidRDefault="00EE4447" w:rsidP="008F3C0B">
      <w:pPr>
        <w:pStyle w:val="RECnormaltext"/>
      </w:pPr>
      <w:r>
        <w:t>The NSW mass balance levy system requires annual reporting of wastes received, wastes processed into fit-for-purpose materials, waste or materials removed from site</w:t>
      </w:r>
      <w:r w:rsidR="008F3C0B">
        <w:t>.</w:t>
      </w:r>
      <w:r w:rsidR="00A20159">
        <w:t xml:space="preserve"> The remainder is the amount of waste stockpiled onsite.</w:t>
      </w:r>
    </w:p>
    <w:p w14:paraId="12C62A74" w14:textId="0ADD14FB" w:rsidR="00343DA7" w:rsidRDefault="005F2283" w:rsidP="008F3C0B">
      <w:pPr>
        <w:pStyle w:val="RECnormaltext"/>
      </w:pPr>
      <w:hyperlink r:id="rId41" w:history="1">
        <w:r w:rsidR="0035194C" w:rsidRPr="0035194C">
          <w:rPr>
            <w:rStyle w:val="Hyperlink"/>
          </w:rPr>
          <w:t>NSW EPA</w:t>
        </w:r>
      </w:hyperlink>
      <w:r w:rsidR="0035194C">
        <w:t xml:space="preserve"> website also notes:</w:t>
      </w:r>
    </w:p>
    <w:p w14:paraId="0A44D428" w14:textId="217D53DC" w:rsidR="0035194C" w:rsidRDefault="00520DA5" w:rsidP="00520DA5">
      <w:pPr>
        <w:pStyle w:val="RECnormaltext"/>
        <w:ind w:left="284" w:right="946"/>
      </w:pPr>
      <w:r>
        <w:t>‘</w:t>
      </w:r>
      <w:r w:rsidR="0035194C" w:rsidRPr="00520DA5">
        <w:t>Regardless of the method of stockpiling, each stockpile must be given a unique stockpile identification number and the amount and type of waste added to or removed from the stockpile each day must be recorded. Each stockpile will be surveyed at least twice a year in accordance with Waste Levy Guideline 5 – Topographical and Volumetric Surveys in the </w:t>
      </w:r>
      <w:hyperlink r:id="rId42" w:history="1">
        <w:r w:rsidR="0035194C" w:rsidRPr="00520DA5">
          <w:rPr>
            <w:rStyle w:val="Hyperlink"/>
          </w:rPr>
          <w:t>Waste Levy Guidelines (PDF 509KB)</w:t>
        </w:r>
      </w:hyperlink>
      <w:r w:rsidR="0035194C" w:rsidRPr="00520DA5">
        <w:t>. Also refer to the </w:t>
      </w:r>
      <w:hyperlink r:id="rId43" w:history="1">
        <w:r w:rsidR="0035194C" w:rsidRPr="00520DA5">
          <w:rPr>
            <w:rStyle w:val="Hyperlink"/>
          </w:rPr>
          <w:t>volumetric surveys</w:t>
        </w:r>
      </w:hyperlink>
      <w:r w:rsidR="0035194C" w:rsidRPr="00520DA5">
        <w:t> webpage.</w:t>
      </w:r>
      <w:r>
        <w:t>’</w:t>
      </w:r>
    </w:p>
    <w:p w14:paraId="3CD17C70" w14:textId="77777777" w:rsidR="008F3C0B" w:rsidRDefault="008F3C0B" w:rsidP="00047982">
      <w:pPr>
        <w:pStyle w:val="NonTOCHeading3"/>
      </w:pPr>
      <w:r>
        <w:t xml:space="preserve">Stockpile controls </w:t>
      </w:r>
    </w:p>
    <w:p w14:paraId="32F19D8B" w14:textId="7A0D11A1" w:rsidR="001F2D48" w:rsidRPr="001F2D48" w:rsidRDefault="008F3C0B" w:rsidP="001F2D48">
      <w:pPr>
        <w:rPr>
          <w:rFonts w:eastAsia="Calibri" w:cs="Arial"/>
        </w:rPr>
      </w:pPr>
      <w:r>
        <w:t>No specific controls were identified for hazardous waste stockpile controls.</w:t>
      </w:r>
      <w:r w:rsidR="001F2D48">
        <w:t xml:space="preserve"> </w:t>
      </w:r>
      <w:r w:rsidR="001F2D48" w:rsidRPr="001F2D48">
        <w:rPr>
          <w:rFonts w:eastAsia="Calibri" w:cs="Arial"/>
        </w:rPr>
        <w:t>Management of emissions from or other impacts as a consequence of stockpiled waste are governed by NSW’s Environm</w:t>
      </w:r>
      <w:r w:rsidR="001906A6">
        <w:rPr>
          <w:rFonts w:eastAsia="Calibri" w:cs="Arial"/>
        </w:rPr>
        <w:t>ent Protection Licensing system, which may put in place site specific controls.</w:t>
      </w:r>
    </w:p>
    <w:p w14:paraId="44C40793" w14:textId="77777777" w:rsidR="008F3C0B" w:rsidRDefault="008F3C0B" w:rsidP="00047982">
      <w:pPr>
        <w:pStyle w:val="NonTOCHeading3"/>
      </w:pPr>
      <w:r>
        <w:t>Emergency planning</w:t>
      </w:r>
    </w:p>
    <w:p w14:paraId="685747A2" w14:textId="573F94FD" w:rsidR="001906A6" w:rsidRDefault="008F3C0B" w:rsidP="001906A6">
      <w:pPr>
        <w:pStyle w:val="RECnormaltext"/>
      </w:pPr>
      <w:r>
        <w:t>No specific emergency planning requirements were identified</w:t>
      </w:r>
      <w:r w:rsidR="001906A6">
        <w:t xml:space="preserve"> for hazardous waste stockpiles.</w:t>
      </w:r>
      <w:r w:rsidR="00A07A70">
        <w:t xml:space="preserve"> NSW EPA noted that for licensed site</w:t>
      </w:r>
      <w:r w:rsidR="00A07AD1">
        <w:t>s</w:t>
      </w:r>
      <w:r w:rsidR="00A07A70">
        <w:t xml:space="preserve"> with higher risk profiles, such as waste treatment facilities, there are standard license conditions for emergency planning.</w:t>
      </w:r>
      <w:r w:rsidR="001906A6">
        <w:t xml:space="preserve"> </w:t>
      </w:r>
    </w:p>
    <w:p w14:paraId="572934F2" w14:textId="6006E0A2" w:rsidR="001F2D48" w:rsidRPr="001F2D48" w:rsidRDefault="001F2D48" w:rsidP="001906A6">
      <w:pPr>
        <w:pStyle w:val="RECnormaltext"/>
        <w:rPr>
          <w:rFonts w:eastAsia="Calibri"/>
        </w:rPr>
      </w:pPr>
      <w:r w:rsidRPr="001F2D48">
        <w:rPr>
          <w:rFonts w:eastAsia="Calibri"/>
        </w:rPr>
        <w:t xml:space="preserve">NSW Fire Brigade </w:t>
      </w:r>
      <w:hyperlink r:id="rId44" w:history="1">
        <w:r w:rsidR="00EE7B49" w:rsidRPr="009A5CC0">
          <w:rPr>
            <w:rStyle w:val="Hyperlink"/>
            <w:rFonts w:ascii="Calibri" w:hAnsi="Calibri"/>
          </w:rPr>
          <w:t>Guidelines for Bulk Storage of Rubber Tyres</w:t>
        </w:r>
      </w:hyperlink>
      <w:r w:rsidRPr="001F2D48">
        <w:rPr>
          <w:rFonts w:eastAsia="Calibri"/>
        </w:rPr>
        <w:t xml:space="preserve"> set requirements for open and indoor storage of waste tyres.</w:t>
      </w:r>
    </w:p>
    <w:p w14:paraId="11F4D274" w14:textId="77777777" w:rsidR="008F3C0B" w:rsidRDefault="008F3C0B">
      <w:pPr>
        <w:pStyle w:val="Heading2"/>
      </w:pPr>
      <w:bookmarkStart w:id="57" w:name="_Toc532990226"/>
      <w:r>
        <w:t>Clearance</w:t>
      </w:r>
      <w:bookmarkEnd w:id="57"/>
      <w:r>
        <w:t xml:space="preserve"> </w:t>
      </w:r>
    </w:p>
    <w:p w14:paraId="783A57BF" w14:textId="77777777" w:rsidR="008F3C0B" w:rsidRDefault="008F3C0B" w:rsidP="00047982">
      <w:pPr>
        <w:pStyle w:val="NonTOCHeading3"/>
      </w:pPr>
      <w:r>
        <w:t>Financial assurance</w:t>
      </w:r>
    </w:p>
    <w:p w14:paraId="3B5149DB" w14:textId="02E48C29" w:rsidR="001F2D48" w:rsidRPr="001F2D48" w:rsidRDefault="001756CE" w:rsidP="001F2D48">
      <w:pPr>
        <w:rPr>
          <w:rFonts w:eastAsia="Calibri" w:cs="Arial"/>
        </w:rPr>
      </w:pPr>
      <w:r>
        <w:rPr>
          <w:rFonts w:eastAsia="Calibri" w:cs="Arial"/>
        </w:rPr>
        <w:t xml:space="preserve">The NSW EPA require financial assurances to be in place. The </w:t>
      </w:r>
      <w:hyperlink r:id="rId45" w:history="1">
        <w:r w:rsidR="001F2D48" w:rsidRPr="001756CE">
          <w:rPr>
            <w:rStyle w:val="Hyperlink"/>
            <w:rFonts w:ascii="Calibri" w:eastAsia="Calibri" w:hAnsi="Calibri" w:cs="Arial"/>
          </w:rPr>
          <w:t>Guide to licensing for the waste industry</w:t>
        </w:r>
      </w:hyperlink>
      <w:r>
        <w:rPr>
          <w:rFonts w:eastAsia="Calibri" w:cs="Arial"/>
        </w:rPr>
        <w:t xml:space="preserve"> states:</w:t>
      </w:r>
    </w:p>
    <w:p w14:paraId="4B85307D" w14:textId="041964D6" w:rsidR="001F2D48" w:rsidRDefault="00520DA5" w:rsidP="00520DA5">
      <w:pPr>
        <w:ind w:left="284" w:right="804"/>
        <w:rPr>
          <w:rFonts w:eastAsia="Calibri" w:cs="Arial"/>
        </w:rPr>
      </w:pPr>
      <w:r>
        <w:rPr>
          <w:rFonts w:eastAsia="Calibri" w:cs="Arial"/>
        </w:rPr>
        <w:t>‘</w:t>
      </w:r>
      <w:r w:rsidR="001F2D48" w:rsidRPr="00520DA5">
        <w:rPr>
          <w:rFonts w:eastAsia="Calibri" w:cs="Arial"/>
        </w:rPr>
        <w:t>Most waste facilities must provide a financial assurance or bank guarantee. This ensures funds are available to the EPA for remedial works and post-closure care if licensees are unwilling or unable to pay. The amount and terms of this guarantee will depend on the size of your business, its potential environmental impacts, and your compliance history</w:t>
      </w:r>
      <w:r>
        <w:rPr>
          <w:rFonts w:eastAsia="Calibri" w:cs="Arial"/>
        </w:rPr>
        <w:t>’</w:t>
      </w:r>
      <w:r w:rsidR="001756CE" w:rsidRPr="00520DA5">
        <w:rPr>
          <w:rFonts w:eastAsia="Calibri" w:cs="Arial"/>
        </w:rPr>
        <w:t>.</w:t>
      </w:r>
    </w:p>
    <w:p w14:paraId="0EF8E6F0" w14:textId="6C00CA59" w:rsidR="006743D4" w:rsidRDefault="005258E5">
      <w:pPr>
        <w:ind w:right="804"/>
        <w:rPr>
          <w:rFonts w:eastAsia="Calibri" w:cs="Arial"/>
        </w:rPr>
      </w:pPr>
      <w:r>
        <w:rPr>
          <w:rFonts w:eastAsia="Calibri" w:cs="Arial"/>
        </w:rPr>
        <w:t>During consultation NSW EPA commented that licence holders are not able to surrender their licence until all stockpiles have been cleared and this is another means of EPA enforcing stockpile clearance, due to the costs of maintaining a license (</w:t>
      </w:r>
      <w:r w:rsidRPr="005258E5">
        <w:rPr>
          <w:rFonts w:eastAsia="Calibri" w:cs="Arial"/>
        </w:rPr>
        <w:t>annual reporting, fees and mon</w:t>
      </w:r>
      <w:r>
        <w:rPr>
          <w:rFonts w:eastAsia="Calibri" w:cs="Arial"/>
        </w:rPr>
        <w:t>i</w:t>
      </w:r>
      <w:r w:rsidRPr="005258E5">
        <w:rPr>
          <w:rFonts w:eastAsia="Calibri" w:cs="Arial"/>
        </w:rPr>
        <w:t>toring</w:t>
      </w:r>
      <w:r>
        <w:rPr>
          <w:rFonts w:eastAsia="Calibri" w:cs="Arial"/>
        </w:rPr>
        <w:t>).</w:t>
      </w:r>
    </w:p>
    <w:p w14:paraId="755FB9E1" w14:textId="75119516" w:rsidR="00D77DDF" w:rsidRDefault="00D77DDF">
      <w:pPr>
        <w:ind w:right="804"/>
        <w:rPr>
          <w:rFonts w:eastAsia="Calibri" w:cs="Arial"/>
        </w:rPr>
      </w:pPr>
    </w:p>
    <w:p w14:paraId="3E915B36" w14:textId="77777777" w:rsidR="00D77DDF" w:rsidRDefault="00D77DDF">
      <w:pPr>
        <w:ind w:right="804"/>
        <w:rPr>
          <w:rFonts w:eastAsia="Calibri" w:cs="Arial"/>
        </w:rPr>
      </w:pPr>
    </w:p>
    <w:p w14:paraId="06E99A0F" w14:textId="66855577" w:rsidR="00E14B7E" w:rsidRDefault="00E14B7E" w:rsidP="00047982">
      <w:pPr>
        <w:pStyle w:val="NonTOCHeading3"/>
      </w:pPr>
      <w:r>
        <w:t>Government trust or f</w:t>
      </w:r>
      <w:r w:rsidRPr="00C24D71">
        <w:t>unds to deal with abandoned stockpiles</w:t>
      </w:r>
    </w:p>
    <w:p w14:paraId="4D20D2F5" w14:textId="6D8B5DED" w:rsidR="00D77DDF" w:rsidRDefault="00D77DDF" w:rsidP="00D77DDF">
      <w:pPr>
        <w:pStyle w:val="RECnormaltext"/>
      </w:pPr>
      <w:r>
        <w:t xml:space="preserve">The NSW Environmental Trust is an independent statutory body established by the NSW government to fund a broad range of organisations to undertake projects that enhance the environment of NSW. </w:t>
      </w:r>
    </w:p>
    <w:p w14:paraId="42E06D10" w14:textId="14E1A430" w:rsidR="00D77DDF" w:rsidRDefault="00D77DDF" w:rsidP="00D77DDF">
      <w:pPr>
        <w:pStyle w:val="RECnormaltext"/>
      </w:pPr>
      <w:r>
        <w:t xml:space="preserve">The Environment Trust </w:t>
      </w:r>
      <w:hyperlink r:id="rId46" w:history="1">
        <w:r w:rsidRPr="00542CBB">
          <w:rPr>
            <w:rStyle w:val="Hyperlink"/>
          </w:rPr>
          <w:t>website</w:t>
        </w:r>
      </w:hyperlink>
      <w:r>
        <w:t xml:space="preserve"> states the following objectives:</w:t>
      </w:r>
    </w:p>
    <w:p w14:paraId="7B9AF524" w14:textId="6F488D8C" w:rsidR="00542CBB" w:rsidRDefault="00D77DDF" w:rsidP="00542CBB">
      <w:pPr>
        <w:pStyle w:val="RECnormaltext"/>
        <w:ind w:left="567" w:right="237"/>
      </w:pPr>
      <w:r>
        <w:t>‘</w:t>
      </w:r>
      <w:r w:rsidR="00542CBB" w:rsidRPr="00267977">
        <w:rPr>
          <w:b/>
        </w:rPr>
        <w:t>Objectives</w:t>
      </w:r>
    </w:p>
    <w:p w14:paraId="13EFBE00" w14:textId="02BB5E7E" w:rsidR="00542CBB" w:rsidRDefault="00542CBB" w:rsidP="00542CBB">
      <w:pPr>
        <w:pStyle w:val="RECnormaltext"/>
        <w:ind w:left="567" w:right="237"/>
      </w:pPr>
      <w:r>
        <w:t>The objectives of the NSW Environmental Trust are:</w:t>
      </w:r>
    </w:p>
    <w:p w14:paraId="5CA3138F" w14:textId="45C439F1" w:rsidR="00D77DDF" w:rsidRDefault="00D77DDF" w:rsidP="00267977">
      <w:pPr>
        <w:pStyle w:val="RECdotnotlist"/>
        <w:ind w:left="851"/>
      </w:pPr>
      <w:r>
        <w:t>encourage and support restoration and rehabilitation projects in both the public and private sectors that will, or are likely to, prevent or reduce pollution, the waste stream or environmental degradation, of any kind, within any part of NSW</w:t>
      </w:r>
    </w:p>
    <w:p w14:paraId="77323CA6" w14:textId="77777777" w:rsidR="00D77DDF" w:rsidRDefault="00D77DDF" w:rsidP="00267977">
      <w:pPr>
        <w:pStyle w:val="RECdotnotlist"/>
        <w:ind w:left="851"/>
      </w:pPr>
      <w:r>
        <w:t>promote research in both the public and private sectors into environmental problems of any kind and, in particular, to encourage and support:</w:t>
      </w:r>
    </w:p>
    <w:p w14:paraId="5D4D9521" w14:textId="77777777" w:rsidR="00D77DDF" w:rsidRDefault="00D77DDF" w:rsidP="00267977">
      <w:pPr>
        <w:pStyle w:val="RECdotnotlist"/>
        <w:numPr>
          <w:ilvl w:val="1"/>
          <w:numId w:val="4"/>
        </w:numPr>
      </w:pPr>
      <w:r>
        <w:t>research into and development of local solutions to environmental problems</w:t>
      </w:r>
    </w:p>
    <w:p w14:paraId="045EF154" w14:textId="77777777" w:rsidR="00D77DDF" w:rsidRDefault="00D77DDF" w:rsidP="00267977">
      <w:pPr>
        <w:pStyle w:val="RECdotnotlist"/>
        <w:numPr>
          <w:ilvl w:val="1"/>
          <w:numId w:val="4"/>
        </w:numPr>
      </w:pPr>
      <w:r>
        <w:t>discovery of new methods of operation for NSW industries that are less harmful to the environment</w:t>
      </w:r>
    </w:p>
    <w:p w14:paraId="495CCAED" w14:textId="77777777" w:rsidR="00D77DDF" w:rsidRDefault="00D77DDF" w:rsidP="00267977">
      <w:pPr>
        <w:pStyle w:val="RECdotnotlist"/>
        <w:numPr>
          <w:ilvl w:val="1"/>
          <w:numId w:val="4"/>
        </w:numPr>
      </w:pPr>
      <w:r>
        <w:t>research into general environmental problems</w:t>
      </w:r>
    </w:p>
    <w:p w14:paraId="07E1D4C5" w14:textId="77777777" w:rsidR="00D77DDF" w:rsidRDefault="00D77DDF" w:rsidP="00267977">
      <w:pPr>
        <w:pStyle w:val="RECdotnotlist"/>
        <w:numPr>
          <w:ilvl w:val="1"/>
          <w:numId w:val="4"/>
        </w:numPr>
      </w:pPr>
      <w:r>
        <w:t>assessment of environmental degradation</w:t>
      </w:r>
    </w:p>
    <w:p w14:paraId="7DAC47E7" w14:textId="77777777" w:rsidR="00D77DDF" w:rsidRDefault="00D77DDF" w:rsidP="00267977">
      <w:pPr>
        <w:pStyle w:val="RECdotnotlist"/>
        <w:ind w:left="851"/>
      </w:pPr>
      <w:r>
        <w:t>promote environmental education and, in particular, to encourage the development of educational programs in both the public and private sectors that will increase public awareness of environmental issues of any kind</w:t>
      </w:r>
    </w:p>
    <w:p w14:paraId="554F6DEA" w14:textId="77777777" w:rsidR="00D77DDF" w:rsidRDefault="00D77DDF" w:rsidP="00267977">
      <w:pPr>
        <w:pStyle w:val="RECdotnotlist"/>
        <w:ind w:left="851"/>
      </w:pPr>
      <w:r>
        <w:t>fund the acquisition of land for national parks and other categories of dedicated and reserved land for the national parks estate</w:t>
      </w:r>
    </w:p>
    <w:p w14:paraId="633893BB" w14:textId="77777777" w:rsidR="00D77DDF" w:rsidRDefault="00D77DDF" w:rsidP="00267977">
      <w:pPr>
        <w:pStyle w:val="RECdotnotlist"/>
        <w:ind w:left="851"/>
      </w:pPr>
      <w:r>
        <w:t>fund the declaration of areas for marine parks and related purposes</w:t>
      </w:r>
    </w:p>
    <w:p w14:paraId="0C885217" w14:textId="77777777" w:rsidR="00D77DDF" w:rsidRDefault="00D77DDF" w:rsidP="00267977">
      <w:pPr>
        <w:pStyle w:val="RECdotnotlist"/>
        <w:ind w:left="851"/>
      </w:pPr>
      <w:r>
        <w:t>promote waste avoidance, resource recovery and waste management (including funding enforcement and regulation, and local government programs)</w:t>
      </w:r>
    </w:p>
    <w:p w14:paraId="64C1F812" w14:textId="77777777" w:rsidR="00D77DDF" w:rsidRDefault="00D77DDF" w:rsidP="00267977">
      <w:pPr>
        <w:pStyle w:val="RECdotnotlist"/>
        <w:ind w:left="851"/>
      </w:pPr>
      <w:r>
        <w:t>fund environmental community groups</w:t>
      </w:r>
    </w:p>
    <w:p w14:paraId="0056C1D4" w14:textId="5DA51A0A" w:rsidR="00D77DDF" w:rsidRDefault="00D77DDF" w:rsidP="00267977">
      <w:pPr>
        <w:pStyle w:val="RECdotnotlist"/>
        <w:ind w:left="851"/>
      </w:pPr>
      <w:r>
        <w:t>fund the purchase of water entitlements for the purposes of increasing environmental flows for the state's rivers, and restoring or rehabilitating major wetlands</w:t>
      </w:r>
      <w:r w:rsidR="00542CBB">
        <w:t>’.</w:t>
      </w:r>
    </w:p>
    <w:p w14:paraId="5495148C" w14:textId="1D0B8C8B" w:rsidR="006743D4" w:rsidRDefault="00E21498" w:rsidP="00267977">
      <w:pPr>
        <w:pStyle w:val="RECnormaltext"/>
      </w:pPr>
      <w:r>
        <w:t>Some of the above objective</w:t>
      </w:r>
      <w:r w:rsidR="003A524E">
        <w:t>s</w:t>
      </w:r>
      <w:r>
        <w:t xml:space="preserve"> could be relevant to hazardous waste stockpile clearance. However, review of funding grants available did not identify specific funds for contaminated site clean-up or stockpile clearance.  </w:t>
      </w:r>
      <w:r w:rsidR="006743D4">
        <w:br w:type="page"/>
      </w:r>
    </w:p>
    <w:p w14:paraId="337213D2" w14:textId="79B8359B" w:rsidR="0055071B" w:rsidRDefault="0055071B">
      <w:pPr>
        <w:pStyle w:val="Heading1"/>
      </w:pPr>
      <w:bookmarkStart w:id="58" w:name="_Toc486940272"/>
      <w:bookmarkStart w:id="59" w:name="_Toc487045589"/>
      <w:bookmarkStart w:id="60" w:name="_Toc487102483"/>
      <w:bookmarkStart w:id="61" w:name="_Toc487103722"/>
      <w:bookmarkStart w:id="62" w:name="_Toc487103846"/>
      <w:bookmarkStart w:id="63" w:name="_Toc532990227"/>
      <w:bookmarkEnd w:id="58"/>
      <w:bookmarkEnd w:id="59"/>
      <w:bookmarkEnd w:id="60"/>
      <w:bookmarkEnd w:id="61"/>
      <w:bookmarkEnd w:id="62"/>
      <w:r>
        <w:t>NT framework for hazardous waste stockpiles</w:t>
      </w:r>
      <w:bookmarkEnd w:id="63"/>
    </w:p>
    <w:p w14:paraId="3A6F287F" w14:textId="77777777" w:rsidR="0055071B" w:rsidRDefault="0055071B">
      <w:pPr>
        <w:pStyle w:val="Heading2"/>
      </w:pPr>
      <w:bookmarkStart w:id="64" w:name="_Toc532990228"/>
      <w:r>
        <w:t>Stockpile prevention</w:t>
      </w:r>
      <w:bookmarkEnd w:id="64"/>
    </w:p>
    <w:p w14:paraId="7FDAB66D" w14:textId="77777777" w:rsidR="004A6971" w:rsidRDefault="004A6971" w:rsidP="00047982">
      <w:pPr>
        <w:pStyle w:val="NonTOCHeading3"/>
      </w:pPr>
      <w:r>
        <w:t>H</w:t>
      </w:r>
      <w:r w:rsidRPr="008722E7">
        <w:t>azardous waste minimisation reporting</w:t>
      </w:r>
      <w:r>
        <w:t xml:space="preserve"> for generators</w:t>
      </w:r>
    </w:p>
    <w:p w14:paraId="0495753A" w14:textId="77777777" w:rsidR="004A6971" w:rsidRPr="00DE7710" w:rsidRDefault="004A6971" w:rsidP="004A6971">
      <w:pPr>
        <w:pStyle w:val="RECnormaltext"/>
      </w:pPr>
      <w:r>
        <w:t xml:space="preserve">No reporting requirements were </w:t>
      </w:r>
      <w:r w:rsidRPr="00E45B05">
        <w:t>identified</w:t>
      </w:r>
      <w:r>
        <w:t xml:space="preserve"> that specifically require waste generators to report on minimising hazardous waste generation.</w:t>
      </w:r>
    </w:p>
    <w:p w14:paraId="74BEEED6" w14:textId="77777777" w:rsidR="004A6971" w:rsidRDefault="004A6971" w:rsidP="00047982">
      <w:pPr>
        <w:pStyle w:val="NonTOCHeading3"/>
      </w:pPr>
      <w:r>
        <w:t>Site permits to receive and store hazardous waste</w:t>
      </w:r>
    </w:p>
    <w:p w14:paraId="328CCC81" w14:textId="3FAD0D15" w:rsidR="00E048B2" w:rsidRPr="00E65D35" w:rsidRDefault="004A6971" w:rsidP="004A6971">
      <w:r w:rsidRPr="00E65D35">
        <w:t xml:space="preserve"> </w:t>
      </w:r>
      <w:r w:rsidR="00103E59" w:rsidRPr="00E65D35">
        <w:t xml:space="preserve">The NT </w:t>
      </w:r>
      <w:hyperlink r:id="rId47" w:history="1">
        <w:r w:rsidR="00103E59" w:rsidRPr="00E65D35">
          <w:rPr>
            <w:rStyle w:val="Hyperlink"/>
            <w:rFonts w:ascii="Calibri" w:hAnsi="Calibri"/>
          </w:rPr>
          <w:t>Waste Management and Pollution Control Act</w:t>
        </w:r>
      </w:hyperlink>
      <w:r w:rsidR="00103E59" w:rsidRPr="00E65D35">
        <w:t xml:space="preserve"> </w:t>
      </w:r>
      <w:r w:rsidR="00E65D35" w:rsidRPr="00E65D35">
        <w:t xml:space="preserve">and </w:t>
      </w:r>
      <w:hyperlink r:id="rId48" w:history="1">
        <w:r w:rsidR="00E65D35" w:rsidRPr="00E65D35">
          <w:rPr>
            <w:rStyle w:val="Hyperlink"/>
            <w:rFonts w:ascii="Calibri" w:hAnsi="Calibri"/>
          </w:rPr>
          <w:t>Waste Management and Pollution Control (Administration) Regulations</w:t>
        </w:r>
      </w:hyperlink>
      <w:r w:rsidR="00E65D35">
        <w:t xml:space="preserve"> </w:t>
      </w:r>
      <w:r w:rsidR="00E65D35" w:rsidRPr="00E65D35">
        <w:t xml:space="preserve">requires an environmental protection licence for sites that are </w:t>
      </w:r>
      <w:r w:rsidR="00103E59" w:rsidRPr="00E65D35">
        <w:t>r</w:t>
      </w:r>
      <w:r w:rsidR="00E048B2" w:rsidRPr="00E65D35">
        <w:t xml:space="preserve">ecycling, treating or disposing of </w:t>
      </w:r>
      <w:r w:rsidR="006E2D45">
        <w:t>‘</w:t>
      </w:r>
      <w:r w:rsidR="00E65D35">
        <w:t>l</w:t>
      </w:r>
      <w:r w:rsidR="00E048B2" w:rsidRPr="00E65D35">
        <w:t>isted waste</w:t>
      </w:r>
      <w:r w:rsidR="00E65D35">
        <w:t>s</w:t>
      </w:r>
      <w:r w:rsidR="006E2D45">
        <w:t>’(which includes a comprehensive range of hazardous wastes and includes EOLT and waste asbestos). No threshold for licensing was identified.</w:t>
      </w:r>
      <w:r w:rsidR="00E65D35" w:rsidRPr="00E65D35">
        <w:t xml:space="preserve"> </w:t>
      </w:r>
    </w:p>
    <w:p w14:paraId="4E5CF1CC" w14:textId="77777777" w:rsidR="0055071B" w:rsidRDefault="0055071B" w:rsidP="00047982">
      <w:pPr>
        <w:pStyle w:val="NonTOCHeading3"/>
      </w:pPr>
      <w:r>
        <w:t>Hazardous waste tracking</w:t>
      </w:r>
    </w:p>
    <w:p w14:paraId="5EB5060F" w14:textId="23CF75E2" w:rsidR="0055071B" w:rsidRDefault="0055071B" w:rsidP="0055071B">
      <w:pPr>
        <w:pStyle w:val="RECnormaltext"/>
      </w:pPr>
      <w:r>
        <w:t xml:space="preserve">There is no hazardous waste tracking system in place in the NT for hazardous waste movements within the jurisdiction. </w:t>
      </w:r>
    </w:p>
    <w:p w14:paraId="05477C57" w14:textId="77777777" w:rsidR="00770B30" w:rsidRDefault="00770B30" w:rsidP="00047982">
      <w:pPr>
        <w:pStyle w:val="NonTOCHeading3"/>
      </w:pPr>
      <w:r>
        <w:t xml:space="preserve">Enforcement against illegal dumping </w:t>
      </w:r>
    </w:p>
    <w:p w14:paraId="64605BF3" w14:textId="64533EEC" w:rsidR="00520DA5" w:rsidRPr="00E048B2" w:rsidRDefault="00CA4E22" w:rsidP="00CA4E22">
      <w:r w:rsidRPr="00E048B2">
        <w:t xml:space="preserve">NT does not have a waste levy, and consequently does not have dedicated compliance and enforcement teams. However, they encourage public reporting of illegal dumping activities (not specifically focused on hazardous waste) through their reporting hotline, and are developing stronger enforcement mechanisms. </w:t>
      </w:r>
    </w:p>
    <w:p w14:paraId="57CA9E98" w14:textId="5E408934" w:rsidR="0055071B" w:rsidRDefault="0055071B" w:rsidP="00047982">
      <w:pPr>
        <w:pStyle w:val="NonTOCHeading3"/>
      </w:pPr>
      <w:r>
        <w:t>Landfill levy settings</w:t>
      </w:r>
    </w:p>
    <w:p w14:paraId="6CDC806E" w14:textId="7A6866E9" w:rsidR="0055071B" w:rsidRDefault="00CA4E22" w:rsidP="0055071B">
      <w:pPr>
        <w:pStyle w:val="RECnormaltext"/>
      </w:pPr>
      <w:r>
        <w:t>No landfill levy is in place in the NT.</w:t>
      </w:r>
    </w:p>
    <w:p w14:paraId="5F523BFA" w14:textId="27DE4724" w:rsidR="0055071B" w:rsidRDefault="0055071B">
      <w:pPr>
        <w:pStyle w:val="Heading2"/>
      </w:pPr>
      <w:bookmarkStart w:id="65" w:name="_Toc532990229"/>
      <w:r>
        <w:t>Management</w:t>
      </w:r>
      <w:bookmarkEnd w:id="65"/>
      <w:r>
        <w:t xml:space="preserve"> </w:t>
      </w:r>
    </w:p>
    <w:p w14:paraId="70D3C8A6" w14:textId="698A6013" w:rsidR="0055071B" w:rsidRDefault="0055071B" w:rsidP="00047982">
      <w:pPr>
        <w:pStyle w:val="NonTOCHeading3"/>
      </w:pPr>
      <w:r>
        <w:t xml:space="preserve">Stockpile restrictions </w:t>
      </w:r>
    </w:p>
    <w:p w14:paraId="7C94B2A8" w14:textId="32D25DCC" w:rsidR="0055071B" w:rsidRPr="0055071B" w:rsidRDefault="00375D6A" w:rsidP="0055071B">
      <w:pPr>
        <w:pStyle w:val="RECnormaltext"/>
      </w:pPr>
      <w:r>
        <w:t xml:space="preserve">No specific stockpiling restrictions were </w:t>
      </w:r>
      <w:r w:rsidRPr="00E45B05">
        <w:t>identified</w:t>
      </w:r>
      <w:r>
        <w:t>.</w:t>
      </w:r>
    </w:p>
    <w:p w14:paraId="3DAE7098" w14:textId="77777777" w:rsidR="0055071B" w:rsidRDefault="0055071B" w:rsidP="00047982">
      <w:pPr>
        <w:pStyle w:val="NonTOCHeading3"/>
      </w:pPr>
      <w:r>
        <w:t>Stockpile reporting</w:t>
      </w:r>
    </w:p>
    <w:p w14:paraId="682259F9" w14:textId="77777777" w:rsidR="0055071B" w:rsidRPr="00DE7710" w:rsidRDefault="0055071B" w:rsidP="0055071B">
      <w:pPr>
        <w:pStyle w:val="RECnormaltext"/>
      </w:pPr>
      <w:r>
        <w:t xml:space="preserve">No specific reporting requirements were </w:t>
      </w:r>
      <w:r w:rsidRPr="00E45B05">
        <w:t>identified</w:t>
      </w:r>
      <w:r>
        <w:t xml:space="preserve"> for hazardous waste stockpiles.</w:t>
      </w:r>
    </w:p>
    <w:p w14:paraId="08E28EBC" w14:textId="77777777" w:rsidR="0055071B" w:rsidRDefault="0055071B" w:rsidP="00047982">
      <w:pPr>
        <w:pStyle w:val="NonTOCHeading3"/>
      </w:pPr>
      <w:r>
        <w:t xml:space="preserve">Stockpile controls </w:t>
      </w:r>
    </w:p>
    <w:p w14:paraId="768A7DA3" w14:textId="77777777" w:rsidR="0055071B" w:rsidRDefault="0055071B" w:rsidP="0055071B">
      <w:pPr>
        <w:pStyle w:val="RECnormaltext"/>
      </w:pPr>
      <w:r>
        <w:t xml:space="preserve">No specific controls were identified for </w:t>
      </w:r>
      <w:r w:rsidRPr="00E45B05">
        <w:t>hazardous</w:t>
      </w:r>
      <w:r>
        <w:t xml:space="preserve"> waste stockpile controls.</w:t>
      </w:r>
    </w:p>
    <w:p w14:paraId="3A02D106" w14:textId="77777777" w:rsidR="0055071B" w:rsidRDefault="0055071B" w:rsidP="00047982">
      <w:pPr>
        <w:pStyle w:val="NonTOCHeading3"/>
      </w:pPr>
      <w:r>
        <w:t>Emergency planning</w:t>
      </w:r>
    </w:p>
    <w:p w14:paraId="1919A1EF" w14:textId="77777777" w:rsidR="0055071B" w:rsidRDefault="0055071B" w:rsidP="0055071B">
      <w:pPr>
        <w:pStyle w:val="RECnormaltext"/>
      </w:pPr>
      <w:r>
        <w:t>No specific emergency planning requirements were identified for hazardous waste stockpiles.</w:t>
      </w:r>
    </w:p>
    <w:p w14:paraId="0765FDA2" w14:textId="77777777" w:rsidR="0055071B" w:rsidRDefault="0055071B">
      <w:pPr>
        <w:pStyle w:val="Heading2"/>
      </w:pPr>
      <w:bookmarkStart w:id="66" w:name="_Toc532990230"/>
      <w:r>
        <w:t>Clearance</w:t>
      </w:r>
      <w:bookmarkEnd w:id="66"/>
      <w:r>
        <w:t xml:space="preserve"> </w:t>
      </w:r>
    </w:p>
    <w:p w14:paraId="6EBFDEFB" w14:textId="77777777" w:rsidR="0055071B" w:rsidRDefault="0055071B" w:rsidP="00047982">
      <w:pPr>
        <w:pStyle w:val="NonTOCHeading3"/>
      </w:pPr>
      <w:r>
        <w:t>Financial assurance</w:t>
      </w:r>
    </w:p>
    <w:p w14:paraId="7686B2A2" w14:textId="77777777" w:rsidR="00E048B2" w:rsidRPr="0055071B" w:rsidRDefault="00E048B2" w:rsidP="00375D6A">
      <w:pPr>
        <w:pStyle w:val="RECnormaltext"/>
      </w:pPr>
      <w:r w:rsidRPr="0055071B">
        <w:t>Holders of Waste Discharge Licences, Environment Protection Licences and/or Environment Protection Approvals may be directed to clean up or improve management of onsite stockpiles of waste.</w:t>
      </w:r>
    </w:p>
    <w:p w14:paraId="2DFDFE96" w14:textId="6CDBC5F4" w:rsidR="0055071B" w:rsidRPr="0055071B" w:rsidRDefault="00892043" w:rsidP="0055071B">
      <w:pPr>
        <w:rPr>
          <w:i/>
        </w:rPr>
      </w:pPr>
      <w:r>
        <w:t xml:space="preserve">The NT </w:t>
      </w:r>
      <w:hyperlink r:id="rId49" w:history="1">
        <w:r>
          <w:rPr>
            <w:rStyle w:val="Hyperlink"/>
            <w:rFonts w:ascii="Calibri" w:hAnsi="Calibri"/>
          </w:rPr>
          <w:t>W</w:t>
        </w:r>
        <w:r w:rsidRPr="00892043">
          <w:rPr>
            <w:rStyle w:val="Hyperlink"/>
            <w:rFonts w:ascii="Calibri" w:hAnsi="Calibri"/>
          </w:rPr>
          <w:t>aste management and pollution control act - sect 103</w:t>
        </w:r>
      </w:hyperlink>
      <w:r>
        <w:rPr>
          <w:i/>
        </w:rPr>
        <w:t xml:space="preserve"> </w:t>
      </w:r>
      <w:r>
        <w:t>includes the following regarding financial assurance requirement:</w:t>
      </w:r>
    </w:p>
    <w:p w14:paraId="58707F84" w14:textId="1A1A0490" w:rsidR="0055071B" w:rsidRPr="00520DA5" w:rsidRDefault="00520DA5" w:rsidP="00520DA5">
      <w:pPr>
        <w:ind w:left="284"/>
        <w:rPr>
          <w:b/>
        </w:rPr>
      </w:pPr>
      <w:r>
        <w:rPr>
          <w:b/>
        </w:rPr>
        <w:t>‘</w:t>
      </w:r>
      <w:r w:rsidR="0055071B" w:rsidRPr="00520DA5">
        <w:rPr>
          <w:b/>
        </w:rPr>
        <w:t>Claims against financial assurances</w:t>
      </w:r>
    </w:p>
    <w:p w14:paraId="6ED8C9BC" w14:textId="54F7A8C1" w:rsidR="0055071B" w:rsidRPr="00520DA5" w:rsidRDefault="0055071B" w:rsidP="00520DA5">
      <w:pPr>
        <w:ind w:left="284" w:right="804"/>
      </w:pPr>
      <w:r w:rsidRPr="00520DA5">
        <w:t>(1)    The NT EPA or a person authorised by the NT EPA may take action necessary to prevent, minimise or make good environmental damage that results from or may result from a contravention of or a failure to comply with an environment protection approval or a licence, where it is a condition of the approval or licence that a financial assurance is to be provided.</w:t>
      </w:r>
    </w:p>
    <w:p w14:paraId="1FED3C0C" w14:textId="401CBFE7" w:rsidR="0055071B" w:rsidRPr="00520DA5" w:rsidRDefault="0055071B" w:rsidP="00520DA5">
      <w:pPr>
        <w:ind w:left="284" w:right="804"/>
      </w:pPr>
      <w:r w:rsidRPr="00520DA5">
        <w:t>(2)   The cost of performing an action under subsection (1) may be recovered by the NT EPA by making a claim on, utilising or realising the financial assurance in relation to the environment protection approval or the licence.</w:t>
      </w:r>
    </w:p>
    <w:p w14:paraId="10EF1799" w14:textId="27B1DCC6" w:rsidR="007C0A57" w:rsidRDefault="0055071B" w:rsidP="00520DA5">
      <w:pPr>
        <w:ind w:left="284" w:right="804"/>
      </w:pPr>
      <w:r w:rsidRPr="00520DA5">
        <w:t xml:space="preserve">(3)  </w:t>
      </w:r>
      <w:r w:rsidR="00892043" w:rsidRPr="00520DA5">
        <w:t xml:space="preserve"> </w:t>
      </w:r>
      <w:r w:rsidRPr="00520DA5">
        <w:t>Costs may be recovered in accordance with subsection (2) even though the costs, or part of the costs, can be attributed to actions taken, or a failure to take action, at a time before the financial assurance was provided to the NT EPA</w:t>
      </w:r>
      <w:r w:rsidR="00470187" w:rsidRPr="00520DA5">
        <w:t>.</w:t>
      </w:r>
      <w:r w:rsidR="00520DA5">
        <w:t>’</w:t>
      </w:r>
      <w:r w:rsidR="001F2D48" w:rsidRPr="00520DA5">
        <w:t xml:space="preserve"> </w:t>
      </w:r>
    </w:p>
    <w:p w14:paraId="60AA81F1" w14:textId="6B165700" w:rsidR="006B4F4E" w:rsidRDefault="006B4F4E">
      <w:pPr>
        <w:pStyle w:val="Heading1"/>
      </w:pPr>
      <w:bookmarkStart w:id="67" w:name="_Toc486940277"/>
      <w:bookmarkStart w:id="68" w:name="_Toc487045594"/>
      <w:bookmarkStart w:id="69" w:name="_Toc487102488"/>
      <w:bookmarkStart w:id="70" w:name="_Toc487103727"/>
      <w:bookmarkStart w:id="71" w:name="_Toc487103851"/>
      <w:bookmarkStart w:id="72" w:name="_Toc486940278"/>
      <w:bookmarkStart w:id="73" w:name="_Toc487045595"/>
      <w:bookmarkStart w:id="74" w:name="_Toc487102489"/>
      <w:bookmarkStart w:id="75" w:name="_Toc487103728"/>
      <w:bookmarkStart w:id="76" w:name="_Toc487103852"/>
      <w:bookmarkStart w:id="77" w:name="_Toc486940279"/>
      <w:bookmarkStart w:id="78" w:name="_Toc487045596"/>
      <w:bookmarkStart w:id="79" w:name="_Toc487102490"/>
      <w:bookmarkStart w:id="80" w:name="_Toc487103729"/>
      <w:bookmarkStart w:id="81" w:name="_Toc487103853"/>
      <w:bookmarkStart w:id="82" w:name="_Toc486940280"/>
      <w:bookmarkStart w:id="83" w:name="_Toc487045597"/>
      <w:bookmarkStart w:id="84" w:name="_Toc487102491"/>
      <w:bookmarkStart w:id="85" w:name="_Toc487103730"/>
      <w:bookmarkStart w:id="86" w:name="_Toc487103854"/>
      <w:bookmarkStart w:id="87" w:name="_Toc53299023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Qld framework for hazardous waste stockpiles</w:t>
      </w:r>
      <w:bookmarkEnd w:id="87"/>
    </w:p>
    <w:p w14:paraId="0847D79E" w14:textId="77777777" w:rsidR="006B4F4E" w:rsidRDefault="006B4F4E">
      <w:pPr>
        <w:pStyle w:val="Heading2"/>
      </w:pPr>
      <w:bookmarkStart w:id="88" w:name="_Toc532990232"/>
      <w:r>
        <w:t>Stockpile prevention</w:t>
      </w:r>
      <w:bookmarkEnd w:id="88"/>
    </w:p>
    <w:p w14:paraId="40531D40" w14:textId="77777777" w:rsidR="004A6971" w:rsidRDefault="004A6971" w:rsidP="00047982">
      <w:pPr>
        <w:pStyle w:val="NonTOCHeading3"/>
      </w:pPr>
      <w:r>
        <w:t>H</w:t>
      </w:r>
      <w:r w:rsidRPr="008722E7">
        <w:t>azardous waste minimisation reporting</w:t>
      </w:r>
      <w:r>
        <w:t xml:space="preserve"> for generators</w:t>
      </w:r>
    </w:p>
    <w:p w14:paraId="4F95F3CB" w14:textId="77777777" w:rsidR="004A6971" w:rsidRPr="00DE7710" w:rsidRDefault="004A6971" w:rsidP="004A6971">
      <w:pPr>
        <w:pStyle w:val="RECnormaltext"/>
      </w:pPr>
      <w:r>
        <w:t xml:space="preserve">No reporting requirements were </w:t>
      </w:r>
      <w:r w:rsidRPr="00E45B05">
        <w:t>identified</w:t>
      </w:r>
      <w:r>
        <w:t xml:space="preserve"> that specifically require waste generators to report on minimising hazardous waste generation.</w:t>
      </w:r>
    </w:p>
    <w:p w14:paraId="46B6A0E4" w14:textId="77777777" w:rsidR="004A6971" w:rsidRDefault="004A6971" w:rsidP="00047982">
      <w:pPr>
        <w:pStyle w:val="NonTOCHeading3"/>
      </w:pPr>
      <w:r>
        <w:t>Site permits to receive and store hazardous waste</w:t>
      </w:r>
    </w:p>
    <w:p w14:paraId="7FC7728C" w14:textId="08936F91" w:rsidR="00B7695B" w:rsidRDefault="004A6971" w:rsidP="00520DA5">
      <w:pPr>
        <w:spacing w:after="120"/>
        <w:rPr>
          <w:rFonts w:asciiTheme="minorHAnsi" w:hAnsiTheme="minorHAnsi" w:cs="Arial"/>
        </w:rPr>
      </w:pPr>
      <w:r>
        <w:rPr>
          <w:rFonts w:eastAsia="Calibri" w:cs="Arial"/>
        </w:rPr>
        <w:t xml:space="preserve"> </w:t>
      </w:r>
      <w:r w:rsidR="00E64E01">
        <w:rPr>
          <w:rFonts w:eastAsia="Calibri" w:cs="Arial"/>
        </w:rPr>
        <w:t>In Qld t</w:t>
      </w:r>
      <w:r w:rsidR="00D43D86">
        <w:rPr>
          <w:rFonts w:eastAsia="Calibri" w:cs="Arial"/>
        </w:rPr>
        <w:t>he</w:t>
      </w:r>
      <w:r w:rsidR="00D43D86" w:rsidRPr="009556EA">
        <w:rPr>
          <w:rFonts w:eastAsia="Calibri" w:cs="Arial"/>
        </w:rPr>
        <w:t xml:space="preserve"> </w:t>
      </w:r>
      <w:hyperlink r:id="rId50" w:history="1">
        <w:r w:rsidR="00D43D86" w:rsidRPr="00E64E01">
          <w:rPr>
            <w:rStyle w:val="Hyperlink"/>
            <w:rFonts w:ascii="Calibri" w:eastAsia="Calibri" w:hAnsi="Calibri" w:cs="Arial"/>
          </w:rPr>
          <w:t>Environmental Protection Act 1994</w:t>
        </w:r>
      </w:hyperlink>
      <w:r w:rsidR="00D43D86" w:rsidRPr="009556EA">
        <w:rPr>
          <w:rFonts w:eastAsia="Calibri" w:cs="Arial"/>
        </w:rPr>
        <w:t xml:space="preserve"> (EP Act)</w:t>
      </w:r>
      <w:r w:rsidR="00E64E01">
        <w:rPr>
          <w:rFonts w:eastAsia="Calibri" w:cs="Arial"/>
        </w:rPr>
        <w:t xml:space="preserve"> and </w:t>
      </w:r>
      <w:r w:rsidR="005C0283" w:rsidRPr="00092342">
        <w:rPr>
          <w:rFonts w:eastAsia="Calibri" w:cs="Arial"/>
          <w:i/>
        </w:rPr>
        <w:t>Schedule 2 Prescribed ERAs and aggregate environmental scores</w:t>
      </w:r>
      <w:r w:rsidR="005C0283" w:rsidRPr="005C0283">
        <w:rPr>
          <w:rFonts w:eastAsia="Calibri" w:cs="Arial"/>
        </w:rPr>
        <w:t xml:space="preserve"> </w:t>
      </w:r>
      <w:r w:rsidR="005C0283">
        <w:rPr>
          <w:rFonts w:eastAsia="Calibri" w:cs="Arial"/>
        </w:rPr>
        <w:t xml:space="preserve">of </w:t>
      </w:r>
      <w:r w:rsidR="00E64E01">
        <w:rPr>
          <w:rFonts w:eastAsia="Calibri" w:cs="Arial"/>
        </w:rPr>
        <w:t xml:space="preserve">the </w:t>
      </w:r>
      <w:hyperlink r:id="rId51" w:history="1">
        <w:r w:rsidR="00D43D86" w:rsidRPr="00D43D86">
          <w:rPr>
            <w:rStyle w:val="Hyperlink"/>
            <w:rFonts w:cs="Arial"/>
          </w:rPr>
          <w:t>Environmental Protection Regulation 2008</w:t>
        </w:r>
      </w:hyperlink>
      <w:r w:rsidR="00D43D86" w:rsidRPr="00D43D86">
        <w:rPr>
          <w:rFonts w:asciiTheme="minorHAnsi" w:hAnsiTheme="minorHAnsi" w:cs="Arial"/>
        </w:rPr>
        <w:t xml:space="preserve"> </w:t>
      </w:r>
      <w:r w:rsidR="00E64E01">
        <w:rPr>
          <w:rFonts w:asciiTheme="minorHAnsi" w:hAnsiTheme="minorHAnsi" w:cs="Arial"/>
        </w:rPr>
        <w:t xml:space="preserve">detail the licensing thresholds for a range of </w:t>
      </w:r>
      <w:r w:rsidR="00650038">
        <w:rPr>
          <w:rFonts w:asciiTheme="minorHAnsi" w:hAnsiTheme="minorHAnsi" w:cs="Arial"/>
        </w:rPr>
        <w:t xml:space="preserve">‘environmentally relevant </w:t>
      </w:r>
      <w:r w:rsidR="00E64E01">
        <w:rPr>
          <w:rFonts w:asciiTheme="minorHAnsi" w:hAnsiTheme="minorHAnsi" w:cs="Arial"/>
        </w:rPr>
        <w:t>activities</w:t>
      </w:r>
      <w:r w:rsidR="00650038">
        <w:rPr>
          <w:rFonts w:asciiTheme="minorHAnsi" w:hAnsiTheme="minorHAnsi" w:cs="Arial"/>
        </w:rPr>
        <w:t>’ (ERAs)</w:t>
      </w:r>
      <w:r w:rsidR="00E64E01">
        <w:rPr>
          <w:rFonts w:asciiTheme="minorHAnsi" w:hAnsiTheme="minorHAnsi" w:cs="Arial"/>
        </w:rPr>
        <w:t xml:space="preserve"> including hazardous waste </w:t>
      </w:r>
      <w:r w:rsidR="00A07FD5">
        <w:rPr>
          <w:rFonts w:asciiTheme="minorHAnsi" w:hAnsiTheme="minorHAnsi" w:cs="Arial"/>
        </w:rPr>
        <w:t xml:space="preserve">(‘regulated waste’) </w:t>
      </w:r>
      <w:r w:rsidR="00E64E01">
        <w:rPr>
          <w:rFonts w:asciiTheme="minorHAnsi" w:hAnsiTheme="minorHAnsi" w:cs="Arial"/>
        </w:rPr>
        <w:t>storage. The most relevant</w:t>
      </w:r>
      <w:r w:rsidR="001C2F58">
        <w:rPr>
          <w:rFonts w:asciiTheme="minorHAnsi" w:hAnsiTheme="minorHAnsi" w:cs="Arial"/>
        </w:rPr>
        <w:t xml:space="preserve"> content</w:t>
      </w:r>
      <w:r w:rsidR="00E64E01">
        <w:rPr>
          <w:rFonts w:asciiTheme="minorHAnsi" w:hAnsiTheme="minorHAnsi" w:cs="Arial"/>
        </w:rPr>
        <w:t xml:space="preserve"> </w:t>
      </w:r>
      <w:r w:rsidR="005C0283">
        <w:rPr>
          <w:rFonts w:asciiTheme="minorHAnsi" w:hAnsiTheme="minorHAnsi" w:cs="Arial"/>
        </w:rPr>
        <w:t xml:space="preserve">is Section 56 </w:t>
      </w:r>
      <w:r w:rsidR="00345596">
        <w:rPr>
          <w:rFonts w:asciiTheme="minorHAnsi" w:hAnsiTheme="minorHAnsi" w:cs="Arial"/>
        </w:rPr>
        <w:t xml:space="preserve">Regulated waste storage which includes </w:t>
      </w:r>
      <w:r w:rsidR="00E64E01">
        <w:rPr>
          <w:rFonts w:asciiTheme="minorHAnsi" w:hAnsiTheme="minorHAnsi" w:cs="Arial"/>
        </w:rPr>
        <w:t>the extract below.</w:t>
      </w:r>
      <w:bookmarkStart w:id="89" w:name="_Toc404948611"/>
      <w:bookmarkStart w:id="90" w:name="_Toc418071497"/>
      <w:bookmarkStart w:id="91" w:name="_Toc418071613"/>
      <w:bookmarkStart w:id="92" w:name="_Toc427922737"/>
      <w:bookmarkStart w:id="93" w:name="_Toc455137850"/>
    </w:p>
    <w:bookmarkEnd w:id="89"/>
    <w:bookmarkEnd w:id="90"/>
    <w:bookmarkEnd w:id="91"/>
    <w:bookmarkEnd w:id="92"/>
    <w:bookmarkEnd w:id="93"/>
    <w:p w14:paraId="2BA572DE" w14:textId="0C49D5C6" w:rsidR="005C0283" w:rsidRPr="00092342" w:rsidRDefault="00345596" w:rsidP="00345596">
      <w:pPr>
        <w:autoSpaceDE w:val="0"/>
        <w:autoSpaceDN w:val="0"/>
        <w:adjustRightInd w:val="0"/>
        <w:spacing w:after="0" w:line="240" w:lineRule="auto"/>
        <w:ind w:left="284" w:right="946"/>
        <w:rPr>
          <w:rFonts w:asciiTheme="minorHAnsi" w:hAnsiTheme="minorHAnsi" w:cstheme="minorHAnsi"/>
          <w:b/>
          <w:bCs/>
          <w:color w:val="auto"/>
        </w:rPr>
      </w:pPr>
      <w:r>
        <w:rPr>
          <w:b/>
        </w:rPr>
        <w:t>‘56</w:t>
      </w:r>
      <w:r>
        <w:rPr>
          <w:b/>
        </w:rPr>
        <w:tab/>
      </w:r>
      <w:r w:rsidR="006B4F4E">
        <w:t xml:space="preserve"> </w:t>
      </w:r>
      <w:r w:rsidR="005C0283" w:rsidRPr="00092342">
        <w:rPr>
          <w:rFonts w:asciiTheme="minorHAnsi" w:hAnsiTheme="minorHAnsi" w:cstheme="minorHAnsi"/>
          <w:b/>
          <w:bCs/>
          <w:color w:val="auto"/>
        </w:rPr>
        <w:t>Regulated waste storage</w:t>
      </w:r>
    </w:p>
    <w:p w14:paraId="79EECA98" w14:textId="48F536A5" w:rsidR="005C0283" w:rsidRPr="00092342" w:rsidRDefault="005C0283" w:rsidP="00345596">
      <w:pPr>
        <w:autoSpaceDE w:val="0"/>
        <w:autoSpaceDN w:val="0"/>
        <w:adjustRightInd w:val="0"/>
        <w:spacing w:after="0" w:line="240" w:lineRule="auto"/>
        <w:ind w:left="284" w:right="946"/>
        <w:rPr>
          <w:rFonts w:asciiTheme="minorHAnsi" w:hAnsiTheme="minorHAnsi" w:cstheme="minorHAnsi"/>
          <w:color w:val="auto"/>
        </w:rPr>
      </w:pPr>
      <w:r w:rsidRPr="00092342">
        <w:rPr>
          <w:rFonts w:asciiTheme="minorHAnsi" w:hAnsiTheme="minorHAnsi" w:cstheme="minorHAnsi"/>
          <w:color w:val="auto"/>
        </w:rPr>
        <w:t xml:space="preserve">(1) Regulated waste storage (the </w:t>
      </w:r>
      <w:r w:rsidRPr="00092342">
        <w:rPr>
          <w:rFonts w:asciiTheme="minorHAnsi" w:hAnsiTheme="minorHAnsi" w:cstheme="minorHAnsi"/>
          <w:b/>
          <w:bCs/>
          <w:i/>
          <w:iCs/>
          <w:color w:val="auto"/>
        </w:rPr>
        <w:t>relevant activity</w:t>
      </w:r>
      <w:r w:rsidRPr="00092342">
        <w:rPr>
          <w:rFonts w:asciiTheme="minorHAnsi" w:hAnsiTheme="minorHAnsi" w:cstheme="minorHAnsi"/>
          <w:color w:val="auto"/>
        </w:rPr>
        <w:t>) consists of</w:t>
      </w:r>
      <w:r w:rsidR="00345596">
        <w:rPr>
          <w:rFonts w:asciiTheme="minorHAnsi" w:hAnsiTheme="minorHAnsi" w:cstheme="minorHAnsi"/>
          <w:color w:val="auto"/>
        </w:rPr>
        <w:t xml:space="preserve"> </w:t>
      </w:r>
      <w:r w:rsidRPr="00092342">
        <w:rPr>
          <w:rFonts w:asciiTheme="minorHAnsi" w:hAnsiTheme="minorHAnsi" w:cstheme="minorHAnsi"/>
          <w:color w:val="auto"/>
        </w:rPr>
        <w:t xml:space="preserve">operating a facility for </w:t>
      </w:r>
      <w:r w:rsidR="00345596">
        <w:rPr>
          <w:rFonts w:asciiTheme="minorHAnsi" w:hAnsiTheme="minorHAnsi" w:cstheme="minorHAnsi"/>
          <w:color w:val="auto"/>
        </w:rPr>
        <w:t>r</w:t>
      </w:r>
      <w:r w:rsidRPr="00092342">
        <w:rPr>
          <w:rFonts w:asciiTheme="minorHAnsi" w:hAnsiTheme="minorHAnsi" w:cstheme="minorHAnsi"/>
          <w:color w:val="auto"/>
        </w:rPr>
        <w:t>eceiving and storing regulated waste</w:t>
      </w:r>
      <w:r w:rsidR="00345596">
        <w:rPr>
          <w:rFonts w:asciiTheme="minorHAnsi" w:hAnsiTheme="minorHAnsi" w:cstheme="minorHAnsi"/>
          <w:color w:val="auto"/>
        </w:rPr>
        <w:t xml:space="preserve"> </w:t>
      </w:r>
      <w:r w:rsidRPr="00092342">
        <w:rPr>
          <w:rFonts w:asciiTheme="minorHAnsi" w:hAnsiTheme="minorHAnsi" w:cstheme="minorHAnsi"/>
          <w:color w:val="auto"/>
        </w:rPr>
        <w:t>for more than 24 hours.</w:t>
      </w:r>
    </w:p>
    <w:p w14:paraId="58DF17A9" w14:textId="77777777" w:rsidR="005C0283" w:rsidRPr="00092342" w:rsidRDefault="005C0283" w:rsidP="00345596">
      <w:pPr>
        <w:autoSpaceDE w:val="0"/>
        <w:autoSpaceDN w:val="0"/>
        <w:adjustRightInd w:val="0"/>
        <w:spacing w:after="0" w:line="240" w:lineRule="auto"/>
        <w:ind w:left="284" w:right="946"/>
        <w:rPr>
          <w:rFonts w:asciiTheme="minorHAnsi" w:hAnsiTheme="minorHAnsi" w:cstheme="minorHAnsi"/>
          <w:color w:val="auto"/>
        </w:rPr>
      </w:pPr>
      <w:r w:rsidRPr="00092342">
        <w:rPr>
          <w:rFonts w:asciiTheme="minorHAnsi" w:hAnsiTheme="minorHAnsi" w:cstheme="minorHAnsi"/>
          <w:color w:val="auto"/>
        </w:rPr>
        <w:t xml:space="preserve">(2) The relevant activity does </w:t>
      </w:r>
      <w:r w:rsidRPr="00092342">
        <w:rPr>
          <w:rFonts w:asciiTheme="minorHAnsi" w:hAnsiTheme="minorHAnsi" w:cstheme="minorHAnsi"/>
          <w:b/>
          <w:i/>
          <w:color w:val="auto"/>
        </w:rPr>
        <w:t xml:space="preserve">not </w:t>
      </w:r>
      <w:r w:rsidRPr="00092342">
        <w:rPr>
          <w:rFonts w:asciiTheme="minorHAnsi" w:hAnsiTheme="minorHAnsi" w:cstheme="minorHAnsi"/>
          <w:color w:val="auto"/>
        </w:rPr>
        <w:t>include—</w:t>
      </w:r>
    </w:p>
    <w:p w14:paraId="019BA4B6" w14:textId="77777777" w:rsidR="005C0283" w:rsidRPr="00092342" w:rsidRDefault="005C0283" w:rsidP="00092342">
      <w:pPr>
        <w:autoSpaceDE w:val="0"/>
        <w:autoSpaceDN w:val="0"/>
        <w:adjustRightInd w:val="0"/>
        <w:spacing w:after="0" w:line="240" w:lineRule="auto"/>
        <w:ind w:left="720" w:right="946"/>
        <w:rPr>
          <w:rFonts w:asciiTheme="minorHAnsi" w:hAnsiTheme="minorHAnsi" w:cstheme="minorHAnsi"/>
          <w:color w:val="auto"/>
        </w:rPr>
      </w:pPr>
      <w:r w:rsidRPr="00092342">
        <w:rPr>
          <w:rFonts w:asciiTheme="minorHAnsi" w:hAnsiTheme="minorHAnsi" w:cstheme="minorHAnsi"/>
          <w:color w:val="auto"/>
        </w:rPr>
        <w:t>(a) storing tyres or parts of tyres; or</w:t>
      </w:r>
    </w:p>
    <w:p w14:paraId="4B0A8653" w14:textId="77777777" w:rsidR="005C0283" w:rsidRPr="00092342" w:rsidRDefault="005C0283" w:rsidP="00092342">
      <w:pPr>
        <w:autoSpaceDE w:val="0"/>
        <w:autoSpaceDN w:val="0"/>
        <w:adjustRightInd w:val="0"/>
        <w:spacing w:after="0" w:line="240" w:lineRule="auto"/>
        <w:ind w:left="720" w:right="946"/>
        <w:rPr>
          <w:rFonts w:asciiTheme="minorHAnsi" w:hAnsiTheme="minorHAnsi" w:cstheme="minorHAnsi"/>
          <w:color w:val="auto"/>
        </w:rPr>
      </w:pPr>
      <w:r w:rsidRPr="00092342">
        <w:rPr>
          <w:rFonts w:asciiTheme="minorHAnsi" w:hAnsiTheme="minorHAnsi" w:cstheme="minorHAnsi"/>
          <w:color w:val="auto"/>
        </w:rPr>
        <w:t>(b) storing regulated waste in transit; or</w:t>
      </w:r>
    </w:p>
    <w:p w14:paraId="22162831" w14:textId="6C217DBB" w:rsidR="005C0283" w:rsidRPr="00092342" w:rsidRDefault="005C0283" w:rsidP="00092342">
      <w:pPr>
        <w:autoSpaceDE w:val="0"/>
        <w:autoSpaceDN w:val="0"/>
        <w:adjustRightInd w:val="0"/>
        <w:spacing w:after="0" w:line="240" w:lineRule="auto"/>
        <w:ind w:left="720" w:right="946"/>
        <w:rPr>
          <w:rFonts w:asciiTheme="minorHAnsi" w:hAnsiTheme="minorHAnsi" w:cstheme="minorHAnsi"/>
          <w:color w:val="auto"/>
        </w:rPr>
      </w:pPr>
      <w:r w:rsidRPr="00092342">
        <w:rPr>
          <w:rFonts w:asciiTheme="minorHAnsi" w:hAnsiTheme="minorHAnsi" w:cstheme="minorHAnsi"/>
          <w:color w:val="auto"/>
        </w:rPr>
        <w:t>(c) storing at a facility, for no more than 28 days, any of the</w:t>
      </w:r>
      <w:r w:rsidR="00345596">
        <w:rPr>
          <w:rFonts w:asciiTheme="minorHAnsi" w:hAnsiTheme="minorHAnsi" w:cstheme="minorHAnsi"/>
          <w:color w:val="auto"/>
        </w:rPr>
        <w:t xml:space="preserve"> </w:t>
      </w:r>
      <w:r w:rsidRPr="00092342">
        <w:rPr>
          <w:rFonts w:asciiTheme="minorHAnsi" w:hAnsiTheme="minorHAnsi" w:cstheme="minorHAnsi"/>
          <w:color w:val="auto"/>
        </w:rPr>
        <w:t xml:space="preserve">following, awaiting </w:t>
      </w:r>
      <w:r w:rsidR="00345596">
        <w:rPr>
          <w:rFonts w:asciiTheme="minorHAnsi" w:hAnsiTheme="minorHAnsi" w:cstheme="minorHAnsi"/>
          <w:color w:val="auto"/>
        </w:rPr>
        <w:t>r</w:t>
      </w:r>
      <w:r w:rsidRPr="00092342">
        <w:rPr>
          <w:rFonts w:asciiTheme="minorHAnsi" w:hAnsiTheme="minorHAnsi" w:cstheme="minorHAnsi"/>
          <w:color w:val="auto"/>
        </w:rPr>
        <w:t>emoval from the facility for</w:t>
      </w:r>
      <w:r w:rsidR="00345596">
        <w:rPr>
          <w:rFonts w:asciiTheme="minorHAnsi" w:hAnsiTheme="minorHAnsi" w:cstheme="minorHAnsi"/>
          <w:color w:val="auto"/>
        </w:rPr>
        <w:t xml:space="preserve"> </w:t>
      </w:r>
      <w:r w:rsidRPr="00092342">
        <w:rPr>
          <w:rFonts w:asciiTheme="minorHAnsi" w:hAnsiTheme="minorHAnsi" w:cstheme="minorHAnsi"/>
          <w:color w:val="auto"/>
        </w:rPr>
        <w:t>recycling, reprocessing, treatment or disposal—</w:t>
      </w:r>
    </w:p>
    <w:p w14:paraId="47109E24" w14:textId="77777777" w:rsidR="005C0283" w:rsidRPr="00092342" w:rsidRDefault="005C0283" w:rsidP="00092342">
      <w:pPr>
        <w:autoSpaceDE w:val="0"/>
        <w:autoSpaceDN w:val="0"/>
        <w:adjustRightInd w:val="0"/>
        <w:spacing w:after="0" w:line="240" w:lineRule="auto"/>
        <w:ind w:left="1440" w:right="946"/>
        <w:rPr>
          <w:rFonts w:asciiTheme="minorHAnsi" w:hAnsiTheme="minorHAnsi" w:cstheme="minorHAnsi"/>
          <w:color w:val="auto"/>
        </w:rPr>
      </w:pPr>
      <w:r w:rsidRPr="00092342">
        <w:rPr>
          <w:rFonts w:asciiTheme="minorHAnsi" w:hAnsiTheme="minorHAnsi" w:cstheme="minorHAnsi"/>
          <w:color w:val="auto"/>
        </w:rPr>
        <w:t>(i) pharmaceuticals;</w:t>
      </w:r>
    </w:p>
    <w:p w14:paraId="638FA9B6" w14:textId="77777777" w:rsidR="005C0283" w:rsidRPr="00092342" w:rsidRDefault="005C0283" w:rsidP="00092342">
      <w:pPr>
        <w:autoSpaceDE w:val="0"/>
        <w:autoSpaceDN w:val="0"/>
        <w:adjustRightInd w:val="0"/>
        <w:spacing w:after="0" w:line="240" w:lineRule="auto"/>
        <w:ind w:left="1440" w:right="946"/>
        <w:rPr>
          <w:rFonts w:asciiTheme="minorHAnsi" w:hAnsiTheme="minorHAnsi" w:cstheme="minorHAnsi"/>
          <w:color w:val="auto"/>
        </w:rPr>
      </w:pPr>
      <w:r w:rsidRPr="00092342">
        <w:rPr>
          <w:rFonts w:asciiTheme="minorHAnsi" w:hAnsiTheme="minorHAnsi" w:cstheme="minorHAnsi"/>
          <w:color w:val="auto"/>
        </w:rPr>
        <w:t>(ii) body parts;</w:t>
      </w:r>
    </w:p>
    <w:p w14:paraId="4598192B" w14:textId="097EB10F" w:rsidR="005C0283" w:rsidRPr="00092342" w:rsidRDefault="005C0283" w:rsidP="00092342">
      <w:pPr>
        <w:autoSpaceDE w:val="0"/>
        <w:autoSpaceDN w:val="0"/>
        <w:adjustRightInd w:val="0"/>
        <w:spacing w:after="0" w:line="240" w:lineRule="auto"/>
        <w:ind w:left="1440" w:right="946"/>
        <w:rPr>
          <w:rFonts w:asciiTheme="minorHAnsi" w:hAnsiTheme="minorHAnsi" w:cstheme="minorHAnsi"/>
          <w:color w:val="auto"/>
        </w:rPr>
      </w:pPr>
      <w:r w:rsidRPr="00092342">
        <w:rPr>
          <w:rFonts w:asciiTheme="minorHAnsi" w:hAnsiTheme="minorHAnsi" w:cstheme="minorHAnsi"/>
          <w:color w:val="auto"/>
        </w:rPr>
        <w:t>(iii) clinical waste consisting only of sharps in sharps</w:t>
      </w:r>
      <w:r w:rsidR="00345596">
        <w:rPr>
          <w:rFonts w:asciiTheme="minorHAnsi" w:hAnsiTheme="minorHAnsi" w:cstheme="minorHAnsi"/>
          <w:color w:val="auto"/>
        </w:rPr>
        <w:t xml:space="preserve"> </w:t>
      </w:r>
      <w:r w:rsidRPr="00092342">
        <w:rPr>
          <w:rFonts w:asciiTheme="minorHAnsi" w:hAnsiTheme="minorHAnsi" w:cstheme="minorHAnsi"/>
          <w:color w:val="auto"/>
        </w:rPr>
        <w:t>containers that comply with AS 4031 or AS/NZS4261; or</w:t>
      </w:r>
    </w:p>
    <w:p w14:paraId="659BA9DC" w14:textId="68AFD406" w:rsidR="00345596" w:rsidRPr="00FB60A8" w:rsidRDefault="00345596" w:rsidP="00092342">
      <w:pPr>
        <w:autoSpaceDE w:val="0"/>
        <w:autoSpaceDN w:val="0"/>
        <w:adjustRightInd w:val="0"/>
        <w:spacing w:after="0" w:line="240" w:lineRule="auto"/>
        <w:ind w:left="720" w:right="946"/>
        <w:rPr>
          <w:rFonts w:asciiTheme="minorHAnsi" w:hAnsiTheme="minorHAnsi" w:cstheme="minorHAnsi"/>
          <w:color w:val="auto"/>
        </w:rPr>
      </w:pPr>
      <w:r w:rsidRPr="00FB60A8">
        <w:rPr>
          <w:rFonts w:asciiTheme="minorHAnsi" w:hAnsiTheme="minorHAnsi" w:cstheme="minorHAnsi"/>
          <w:color w:val="auto"/>
        </w:rPr>
        <w:t>d) storing at a facility chemically treated power poles</w:t>
      </w:r>
      <w:r>
        <w:rPr>
          <w:rFonts w:asciiTheme="minorHAnsi" w:hAnsiTheme="minorHAnsi" w:cstheme="minorHAnsi"/>
          <w:color w:val="auto"/>
        </w:rPr>
        <w:t xml:space="preserve"> </w:t>
      </w:r>
      <w:r w:rsidRPr="00FB60A8">
        <w:rPr>
          <w:rFonts w:asciiTheme="minorHAnsi" w:hAnsiTheme="minorHAnsi" w:cstheme="minorHAnsi"/>
          <w:color w:val="auto"/>
        </w:rPr>
        <w:t>awaiting removal from the facility for recycling,</w:t>
      </w:r>
      <w:r>
        <w:rPr>
          <w:rFonts w:asciiTheme="minorHAnsi" w:hAnsiTheme="minorHAnsi" w:cstheme="minorHAnsi"/>
          <w:color w:val="auto"/>
        </w:rPr>
        <w:t xml:space="preserve"> </w:t>
      </w:r>
      <w:r w:rsidRPr="00FB60A8">
        <w:rPr>
          <w:rFonts w:asciiTheme="minorHAnsi" w:hAnsiTheme="minorHAnsi" w:cstheme="minorHAnsi"/>
          <w:color w:val="auto"/>
        </w:rPr>
        <w:t>reprocessing or treatment; or</w:t>
      </w:r>
    </w:p>
    <w:p w14:paraId="368BD6AE" w14:textId="74D78F32" w:rsidR="00345596" w:rsidRPr="00FB60A8" w:rsidRDefault="00345596" w:rsidP="00092342">
      <w:pPr>
        <w:autoSpaceDE w:val="0"/>
        <w:autoSpaceDN w:val="0"/>
        <w:adjustRightInd w:val="0"/>
        <w:spacing w:after="0" w:line="240" w:lineRule="auto"/>
        <w:ind w:left="720" w:right="946"/>
        <w:rPr>
          <w:rFonts w:asciiTheme="minorHAnsi" w:hAnsiTheme="minorHAnsi" w:cstheme="minorHAnsi"/>
          <w:color w:val="auto"/>
        </w:rPr>
      </w:pPr>
      <w:r w:rsidRPr="00FB60A8">
        <w:rPr>
          <w:rFonts w:asciiTheme="minorHAnsi" w:hAnsiTheme="minorHAnsi" w:cstheme="minorHAnsi"/>
          <w:color w:val="auto"/>
        </w:rPr>
        <w:t>(e) storing at a facility any of the following, awaiting</w:t>
      </w:r>
      <w:r>
        <w:rPr>
          <w:rFonts w:asciiTheme="minorHAnsi" w:hAnsiTheme="minorHAnsi" w:cstheme="minorHAnsi"/>
          <w:color w:val="auto"/>
        </w:rPr>
        <w:t xml:space="preserve"> </w:t>
      </w:r>
      <w:r w:rsidRPr="00FB60A8">
        <w:rPr>
          <w:rFonts w:asciiTheme="minorHAnsi" w:hAnsiTheme="minorHAnsi" w:cstheme="minorHAnsi"/>
          <w:color w:val="auto"/>
        </w:rPr>
        <w:t>removal from the facility for recycling, reprocessing or</w:t>
      </w:r>
      <w:r>
        <w:rPr>
          <w:rFonts w:asciiTheme="minorHAnsi" w:hAnsiTheme="minorHAnsi" w:cstheme="minorHAnsi"/>
          <w:color w:val="auto"/>
        </w:rPr>
        <w:t xml:space="preserve"> </w:t>
      </w:r>
      <w:r w:rsidRPr="00FB60A8">
        <w:rPr>
          <w:rFonts w:asciiTheme="minorHAnsi" w:hAnsiTheme="minorHAnsi" w:cstheme="minorHAnsi"/>
          <w:color w:val="auto"/>
        </w:rPr>
        <w:t>treatment—</w:t>
      </w:r>
    </w:p>
    <w:p w14:paraId="79D0C767" w14:textId="502168BC" w:rsidR="00345596" w:rsidRPr="00FB60A8" w:rsidRDefault="00345596" w:rsidP="00092342">
      <w:pPr>
        <w:autoSpaceDE w:val="0"/>
        <w:autoSpaceDN w:val="0"/>
        <w:adjustRightInd w:val="0"/>
        <w:spacing w:after="0" w:line="240" w:lineRule="auto"/>
        <w:ind w:left="1440" w:right="946"/>
        <w:rPr>
          <w:rFonts w:asciiTheme="minorHAnsi" w:hAnsiTheme="minorHAnsi" w:cstheme="minorHAnsi"/>
          <w:color w:val="auto"/>
        </w:rPr>
      </w:pPr>
      <w:r w:rsidRPr="00FB60A8">
        <w:rPr>
          <w:rFonts w:asciiTheme="minorHAnsi" w:hAnsiTheme="minorHAnsi" w:cstheme="minorHAnsi"/>
          <w:color w:val="auto"/>
        </w:rPr>
        <w:t>(i) not more than 3000 used lead-acid batteries, up to</w:t>
      </w:r>
      <w:r>
        <w:rPr>
          <w:rFonts w:asciiTheme="minorHAnsi" w:hAnsiTheme="minorHAnsi" w:cstheme="minorHAnsi"/>
          <w:color w:val="auto"/>
        </w:rPr>
        <w:t xml:space="preserve"> </w:t>
      </w:r>
      <w:r w:rsidRPr="00FB60A8">
        <w:rPr>
          <w:rFonts w:asciiTheme="minorHAnsi" w:hAnsiTheme="minorHAnsi" w:cstheme="minorHAnsi"/>
          <w:color w:val="auto"/>
        </w:rPr>
        <w:t>a total mass of 45t;</w:t>
      </w:r>
    </w:p>
    <w:p w14:paraId="597EA078" w14:textId="77777777" w:rsidR="00345596" w:rsidRPr="00FB60A8" w:rsidRDefault="00345596" w:rsidP="00092342">
      <w:pPr>
        <w:autoSpaceDE w:val="0"/>
        <w:autoSpaceDN w:val="0"/>
        <w:adjustRightInd w:val="0"/>
        <w:spacing w:after="0" w:line="240" w:lineRule="auto"/>
        <w:ind w:left="1440" w:right="946"/>
        <w:rPr>
          <w:rFonts w:asciiTheme="minorHAnsi" w:hAnsiTheme="minorHAnsi" w:cstheme="minorHAnsi"/>
          <w:color w:val="auto"/>
        </w:rPr>
      </w:pPr>
      <w:r w:rsidRPr="00FB60A8">
        <w:rPr>
          <w:rFonts w:asciiTheme="minorHAnsi" w:hAnsiTheme="minorHAnsi" w:cstheme="minorHAnsi"/>
          <w:color w:val="auto"/>
        </w:rPr>
        <w:t>(ii) not more than 5000L of waste oil; or</w:t>
      </w:r>
    </w:p>
    <w:p w14:paraId="3A0395B9" w14:textId="049715A3" w:rsidR="00345596" w:rsidRPr="00FB60A8" w:rsidRDefault="00345596" w:rsidP="00092342">
      <w:pPr>
        <w:autoSpaceDE w:val="0"/>
        <w:autoSpaceDN w:val="0"/>
        <w:adjustRightInd w:val="0"/>
        <w:spacing w:after="0" w:line="240" w:lineRule="auto"/>
        <w:ind w:left="720" w:right="946"/>
        <w:rPr>
          <w:rFonts w:asciiTheme="minorHAnsi" w:hAnsiTheme="minorHAnsi" w:cstheme="minorHAnsi"/>
          <w:color w:val="auto"/>
        </w:rPr>
      </w:pPr>
      <w:r w:rsidRPr="00FB60A8">
        <w:rPr>
          <w:rFonts w:asciiTheme="minorHAnsi" w:hAnsiTheme="minorHAnsi" w:cstheme="minorHAnsi"/>
          <w:color w:val="auto"/>
        </w:rPr>
        <w:t>(f) carrying out an activity to which section 20, 25, 27, 53,</w:t>
      </w:r>
      <w:r>
        <w:rPr>
          <w:rFonts w:asciiTheme="minorHAnsi" w:hAnsiTheme="minorHAnsi" w:cstheme="minorHAnsi"/>
          <w:color w:val="auto"/>
        </w:rPr>
        <w:t xml:space="preserve"> </w:t>
      </w:r>
      <w:r w:rsidRPr="00FB60A8">
        <w:rPr>
          <w:rFonts w:asciiTheme="minorHAnsi" w:hAnsiTheme="minorHAnsi" w:cstheme="minorHAnsi"/>
          <w:color w:val="auto"/>
        </w:rPr>
        <w:t>60, 61 or 62 would apply if the activity were carried out</w:t>
      </w:r>
      <w:r>
        <w:rPr>
          <w:rFonts w:asciiTheme="minorHAnsi" w:hAnsiTheme="minorHAnsi" w:cstheme="minorHAnsi"/>
          <w:color w:val="auto"/>
        </w:rPr>
        <w:t xml:space="preserve"> </w:t>
      </w:r>
      <w:r w:rsidRPr="00FB60A8">
        <w:rPr>
          <w:rFonts w:asciiTheme="minorHAnsi" w:hAnsiTheme="minorHAnsi" w:cstheme="minorHAnsi"/>
          <w:color w:val="auto"/>
        </w:rPr>
        <w:t>within a stated threshold under the section; or</w:t>
      </w:r>
    </w:p>
    <w:p w14:paraId="59A5F698" w14:textId="5235F24C" w:rsidR="00345596" w:rsidRDefault="00345596" w:rsidP="00092342">
      <w:pPr>
        <w:autoSpaceDE w:val="0"/>
        <w:autoSpaceDN w:val="0"/>
        <w:adjustRightInd w:val="0"/>
        <w:spacing w:after="0" w:line="240" w:lineRule="auto"/>
        <w:ind w:left="720" w:right="946"/>
        <w:rPr>
          <w:rFonts w:asciiTheme="minorHAnsi" w:hAnsiTheme="minorHAnsi" w:cstheme="minorHAnsi"/>
          <w:color w:val="auto"/>
        </w:rPr>
      </w:pPr>
      <w:r w:rsidRPr="00FB60A8">
        <w:rPr>
          <w:rFonts w:asciiTheme="minorHAnsi" w:hAnsiTheme="minorHAnsi" w:cstheme="minorHAnsi"/>
          <w:color w:val="auto"/>
        </w:rPr>
        <w:t>(g) carrying out an activity to which section 55 or 58</w:t>
      </w:r>
      <w:r>
        <w:rPr>
          <w:rFonts w:asciiTheme="minorHAnsi" w:hAnsiTheme="minorHAnsi" w:cstheme="minorHAnsi"/>
          <w:color w:val="auto"/>
        </w:rPr>
        <w:t xml:space="preserve"> </w:t>
      </w:r>
      <w:r w:rsidRPr="00FB60A8">
        <w:rPr>
          <w:rFonts w:asciiTheme="minorHAnsi" w:hAnsiTheme="minorHAnsi" w:cstheme="minorHAnsi"/>
          <w:color w:val="auto"/>
        </w:rPr>
        <w:t>applies.</w:t>
      </w:r>
    </w:p>
    <w:p w14:paraId="7A9D31C9" w14:textId="77777777" w:rsidR="00345596" w:rsidRPr="00FB60A8" w:rsidRDefault="00345596" w:rsidP="00092342">
      <w:pPr>
        <w:autoSpaceDE w:val="0"/>
        <w:autoSpaceDN w:val="0"/>
        <w:adjustRightInd w:val="0"/>
        <w:spacing w:after="0" w:line="240" w:lineRule="auto"/>
        <w:ind w:left="720" w:right="946"/>
        <w:rPr>
          <w:rFonts w:asciiTheme="minorHAnsi" w:hAnsiTheme="minorHAnsi" w:cstheme="minorHAnsi"/>
          <w:color w:val="auto"/>
        </w:rPr>
      </w:pPr>
    </w:p>
    <w:p w14:paraId="25F55CD4" w14:textId="71A7CDD5" w:rsidR="00345596" w:rsidRDefault="00345596" w:rsidP="00345596">
      <w:pPr>
        <w:autoSpaceDE w:val="0"/>
        <w:autoSpaceDN w:val="0"/>
        <w:adjustRightInd w:val="0"/>
        <w:spacing w:after="0" w:line="240" w:lineRule="auto"/>
        <w:ind w:left="284" w:right="946"/>
        <w:rPr>
          <w:rFonts w:asciiTheme="minorHAnsi" w:hAnsiTheme="minorHAnsi" w:cstheme="minorHAnsi"/>
          <w:color w:val="auto"/>
        </w:rPr>
      </w:pPr>
      <w:r w:rsidRPr="00FB60A8">
        <w:rPr>
          <w:rFonts w:asciiTheme="minorHAnsi" w:hAnsiTheme="minorHAnsi" w:cstheme="minorHAnsi"/>
          <w:color w:val="auto"/>
        </w:rPr>
        <w:t>(3) In the following table, the aggregate environmental score for</w:t>
      </w:r>
      <w:r>
        <w:rPr>
          <w:rFonts w:asciiTheme="minorHAnsi" w:hAnsiTheme="minorHAnsi" w:cstheme="minorHAnsi"/>
          <w:color w:val="auto"/>
        </w:rPr>
        <w:t xml:space="preserve"> </w:t>
      </w:r>
      <w:r w:rsidRPr="00FB60A8">
        <w:rPr>
          <w:rFonts w:asciiTheme="minorHAnsi" w:hAnsiTheme="minorHAnsi" w:cstheme="minorHAnsi"/>
          <w:color w:val="auto"/>
        </w:rPr>
        <w:t>the relevant activity is the score stated opposite the threshold</w:t>
      </w:r>
      <w:r>
        <w:rPr>
          <w:rFonts w:asciiTheme="minorHAnsi" w:hAnsiTheme="minorHAnsi" w:cstheme="minorHAnsi"/>
          <w:color w:val="auto"/>
        </w:rPr>
        <w:t xml:space="preserve"> </w:t>
      </w:r>
      <w:r w:rsidRPr="00FB60A8">
        <w:rPr>
          <w:rFonts w:asciiTheme="minorHAnsi" w:hAnsiTheme="minorHAnsi" w:cstheme="minorHAnsi"/>
          <w:color w:val="auto"/>
        </w:rPr>
        <w:t>within which the relevant activity is carried out.</w:t>
      </w:r>
    </w:p>
    <w:p w14:paraId="4D905119" w14:textId="3C3B48A4" w:rsidR="00345596" w:rsidRDefault="00345596" w:rsidP="00092342">
      <w:pPr>
        <w:autoSpaceDE w:val="0"/>
        <w:autoSpaceDN w:val="0"/>
        <w:adjustRightInd w:val="0"/>
        <w:spacing w:after="0" w:line="240" w:lineRule="auto"/>
        <w:ind w:left="284" w:right="946"/>
        <w:jc w:val="center"/>
        <w:rPr>
          <w:rFonts w:asciiTheme="minorHAnsi" w:hAnsiTheme="minorHAnsi" w:cstheme="minorHAnsi"/>
          <w:color w:val="auto"/>
        </w:rPr>
      </w:pPr>
      <w:r w:rsidRPr="00345596">
        <w:rPr>
          <w:rFonts w:asciiTheme="minorHAnsi" w:hAnsiTheme="minorHAnsi" w:cstheme="minorHAnsi"/>
          <w:noProof/>
          <w:color w:val="auto"/>
          <w:lang w:eastAsia="en-AU"/>
        </w:rPr>
        <w:drawing>
          <wp:inline distT="0" distB="0" distL="0" distR="0" wp14:anchorId="5B7B468E" wp14:editId="0BAEAA83">
            <wp:extent cx="4514850" cy="775822"/>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31434" cy="778672"/>
                    </a:xfrm>
                    <a:prstGeom prst="rect">
                      <a:avLst/>
                    </a:prstGeom>
                    <a:noFill/>
                    <a:ln>
                      <a:noFill/>
                    </a:ln>
                  </pic:spPr>
                </pic:pic>
              </a:graphicData>
            </a:graphic>
          </wp:inline>
        </w:drawing>
      </w:r>
    </w:p>
    <w:p w14:paraId="053D0662" w14:textId="5480664B" w:rsidR="00345596" w:rsidRPr="00FB60A8" w:rsidRDefault="00345596" w:rsidP="00345596">
      <w:pPr>
        <w:autoSpaceDE w:val="0"/>
        <w:autoSpaceDN w:val="0"/>
        <w:adjustRightInd w:val="0"/>
        <w:spacing w:after="0" w:line="240" w:lineRule="auto"/>
        <w:ind w:left="284" w:right="946"/>
        <w:rPr>
          <w:rFonts w:asciiTheme="minorHAnsi" w:hAnsiTheme="minorHAnsi" w:cstheme="minorHAnsi"/>
          <w:color w:val="auto"/>
        </w:rPr>
      </w:pPr>
      <w:r w:rsidRPr="00FB60A8">
        <w:rPr>
          <w:rFonts w:asciiTheme="minorHAnsi" w:hAnsiTheme="minorHAnsi" w:cstheme="minorHAnsi"/>
          <w:color w:val="auto"/>
        </w:rPr>
        <w:t>(4) In this section—</w:t>
      </w:r>
    </w:p>
    <w:p w14:paraId="4B52661E" w14:textId="37DF1404" w:rsidR="00345596" w:rsidRPr="00FB60A8" w:rsidRDefault="00345596" w:rsidP="00345596">
      <w:pPr>
        <w:autoSpaceDE w:val="0"/>
        <w:autoSpaceDN w:val="0"/>
        <w:adjustRightInd w:val="0"/>
        <w:spacing w:after="0" w:line="240" w:lineRule="auto"/>
        <w:ind w:left="284" w:right="946"/>
        <w:rPr>
          <w:rFonts w:asciiTheme="minorHAnsi" w:hAnsiTheme="minorHAnsi" w:cstheme="minorHAnsi"/>
          <w:color w:val="auto"/>
        </w:rPr>
      </w:pPr>
      <w:r w:rsidRPr="00FB60A8">
        <w:rPr>
          <w:rFonts w:asciiTheme="minorHAnsi" w:hAnsiTheme="minorHAnsi" w:cstheme="minorHAnsi"/>
          <w:b/>
          <w:bCs/>
          <w:i/>
          <w:iCs/>
          <w:color w:val="auto"/>
        </w:rPr>
        <w:t xml:space="preserve">AS 4031 </w:t>
      </w:r>
      <w:r w:rsidRPr="00FB60A8">
        <w:rPr>
          <w:rFonts w:asciiTheme="minorHAnsi" w:hAnsiTheme="minorHAnsi" w:cstheme="minorHAnsi"/>
          <w:color w:val="auto"/>
        </w:rPr>
        <w:t>means ‘AS 4031:1992—Non-reusable containers for</w:t>
      </w:r>
      <w:r>
        <w:rPr>
          <w:rFonts w:asciiTheme="minorHAnsi" w:hAnsiTheme="minorHAnsi" w:cstheme="minorHAnsi"/>
          <w:color w:val="auto"/>
        </w:rPr>
        <w:t xml:space="preserve"> </w:t>
      </w:r>
      <w:r w:rsidRPr="00FB60A8">
        <w:rPr>
          <w:rFonts w:asciiTheme="minorHAnsi" w:hAnsiTheme="minorHAnsi" w:cstheme="minorHAnsi"/>
          <w:color w:val="auto"/>
        </w:rPr>
        <w:t>the collection of sharp medical items used in health care</w:t>
      </w:r>
      <w:r>
        <w:rPr>
          <w:rFonts w:asciiTheme="minorHAnsi" w:hAnsiTheme="minorHAnsi" w:cstheme="minorHAnsi"/>
          <w:color w:val="auto"/>
        </w:rPr>
        <w:t xml:space="preserve"> </w:t>
      </w:r>
      <w:r w:rsidRPr="00FB60A8">
        <w:rPr>
          <w:rFonts w:asciiTheme="minorHAnsi" w:hAnsiTheme="minorHAnsi" w:cstheme="minorHAnsi"/>
          <w:color w:val="auto"/>
        </w:rPr>
        <w:t>areas’.</w:t>
      </w:r>
    </w:p>
    <w:p w14:paraId="68AABBA3" w14:textId="5CC3D768" w:rsidR="00345596" w:rsidRPr="00FB60A8" w:rsidRDefault="00345596" w:rsidP="00345596">
      <w:pPr>
        <w:autoSpaceDE w:val="0"/>
        <w:autoSpaceDN w:val="0"/>
        <w:adjustRightInd w:val="0"/>
        <w:spacing w:after="0" w:line="240" w:lineRule="auto"/>
        <w:ind w:left="284" w:right="946"/>
        <w:rPr>
          <w:rFonts w:asciiTheme="minorHAnsi" w:hAnsiTheme="minorHAnsi" w:cstheme="minorHAnsi"/>
          <w:color w:val="auto"/>
        </w:rPr>
      </w:pPr>
      <w:r w:rsidRPr="00FB60A8">
        <w:rPr>
          <w:rFonts w:asciiTheme="minorHAnsi" w:hAnsiTheme="minorHAnsi" w:cstheme="minorHAnsi"/>
          <w:b/>
          <w:bCs/>
          <w:i/>
          <w:iCs/>
          <w:color w:val="auto"/>
        </w:rPr>
        <w:t xml:space="preserve">AS/NZS 4261 </w:t>
      </w:r>
      <w:r w:rsidRPr="00FB60A8">
        <w:rPr>
          <w:rFonts w:asciiTheme="minorHAnsi" w:hAnsiTheme="minorHAnsi" w:cstheme="minorHAnsi"/>
          <w:color w:val="auto"/>
        </w:rPr>
        <w:t>means ‘AS/NZS 4261:1994—Reusable</w:t>
      </w:r>
      <w:r>
        <w:rPr>
          <w:rFonts w:asciiTheme="minorHAnsi" w:hAnsiTheme="minorHAnsi" w:cstheme="minorHAnsi"/>
          <w:color w:val="auto"/>
        </w:rPr>
        <w:t xml:space="preserve"> </w:t>
      </w:r>
      <w:r w:rsidRPr="00FB60A8">
        <w:rPr>
          <w:rFonts w:asciiTheme="minorHAnsi" w:hAnsiTheme="minorHAnsi" w:cstheme="minorHAnsi"/>
          <w:color w:val="auto"/>
        </w:rPr>
        <w:t>containers for the collection of sharp items used in human and</w:t>
      </w:r>
      <w:r>
        <w:rPr>
          <w:rFonts w:asciiTheme="minorHAnsi" w:hAnsiTheme="minorHAnsi" w:cstheme="minorHAnsi"/>
          <w:color w:val="auto"/>
        </w:rPr>
        <w:t xml:space="preserve"> </w:t>
      </w:r>
      <w:r w:rsidRPr="00FB60A8">
        <w:rPr>
          <w:rFonts w:asciiTheme="minorHAnsi" w:hAnsiTheme="minorHAnsi" w:cstheme="minorHAnsi"/>
          <w:color w:val="auto"/>
        </w:rPr>
        <w:t>animal medical applications’.</w:t>
      </w:r>
    </w:p>
    <w:p w14:paraId="596CAFC8" w14:textId="7A185881" w:rsidR="00345596" w:rsidRDefault="00345596" w:rsidP="00345596">
      <w:pPr>
        <w:autoSpaceDE w:val="0"/>
        <w:autoSpaceDN w:val="0"/>
        <w:adjustRightInd w:val="0"/>
        <w:spacing w:after="0" w:line="240" w:lineRule="auto"/>
        <w:ind w:left="284" w:right="946"/>
        <w:rPr>
          <w:rFonts w:asciiTheme="minorHAnsi" w:hAnsiTheme="minorHAnsi" w:cstheme="minorHAnsi"/>
          <w:color w:val="auto"/>
        </w:rPr>
      </w:pPr>
      <w:r w:rsidRPr="00FB60A8">
        <w:rPr>
          <w:rFonts w:asciiTheme="minorHAnsi" w:hAnsiTheme="minorHAnsi" w:cstheme="minorHAnsi"/>
          <w:b/>
          <w:bCs/>
          <w:i/>
          <w:iCs/>
          <w:color w:val="auto"/>
        </w:rPr>
        <w:t>in-transit</w:t>
      </w:r>
      <w:r w:rsidRPr="00FB60A8">
        <w:rPr>
          <w:rFonts w:asciiTheme="minorHAnsi" w:hAnsiTheme="minorHAnsi" w:cstheme="minorHAnsi"/>
          <w:color w:val="auto"/>
        </w:rPr>
        <w:t>, in relation to storing regulated waste, means</w:t>
      </w:r>
      <w:r>
        <w:rPr>
          <w:rFonts w:asciiTheme="minorHAnsi" w:hAnsiTheme="minorHAnsi" w:cstheme="minorHAnsi"/>
          <w:color w:val="auto"/>
        </w:rPr>
        <w:t xml:space="preserve"> </w:t>
      </w:r>
      <w:r w:rsidRPr="00FB60A8">
        <w:rPr>
          <w:rFonts w:asciiTheme="minorHAnsi" w:hAnsiTheme="minorHAnsi" w:cstheme="minorHAnsi"/>
          <w:color w:val="auto"/>
        </w:rPr>
        <w:t>storing the waste for no more than 5 days, including, for</w:t>
      </w:r>
      <w:r>
        <w:rPr>
          <w:rFonts w:asciiTheme="minorHAnsi" w:hAnsiTheme="minorHAnsi" w:cstheme="minorHAnsi"/>
          <w:color w:val="auto"/>
        </w:rPr>
        <w:t xml:space="preserve"> </w:t>
      </w:r>
      <w:r w:rsidRPr="00FB60A8">
        <w:rPr>
          <w:rFonts w:asciiTheme="minorHAnsi" w:hAnsiTheme="minorHAnsi" w:cstheme="minorHAnsi"/>
          <w:color w:val="auto"/>
        </w:rPr>
        <w:t>example, while transporting the waste or because of an unavoidable delay in transporting the waste</w:t>
      </w:r>
      <w:r>
        <w:rPr>
          <w:rFonts w:asciiTheme="minorHAnsi" w:hAnsiTheme="minorHAnsi" w:cstheme="minorHAnsi"/>
          <w:color w:val="auto"/>
        </w:rPr>
        <w:t>’</w:t>
      </w:r>
      <w:r w:rsidR="007F662D">
        <w:rPr>
          <w:rFonts w:asciiTheme="minorHAnsi" w:hAnsiTheme="minorHAnsi" w:cstheme="minorHAnsi"/>
          <w:color w:val="auto"/>
        </w:rPr>
        <w:t xml:space="preserve"> (page 199)</w:t>
      </w:r>
      <w:r w:rsidRPr="00FB60A8">
        <w:rPr>
          <w:rFonts w:asciiTheme="minorHAnsi" w:hAnsiTheme="minorHAnsi" w:cstheme="minorHAnsi"/>
          <w:color w:val="auto"/>
        </w:rPr>
        <w:t>.</w:t>
      </w:r>
    </w:p>
    <w:p w14:paraId="13084DAB" w14:textId="77777777" w:rsidR="00C83EFB" w:rsidRPr="00FB60A8" w:rsidRDefault="00C83EFB" w:rsidP="00345596">
      <w:pPr>
        <w:autoSpaceDE w:val="0"/>
        <w:autoSpaceDN w:val="0"/>
        <w:adjustRightInd w:val="0"/>
        <w:spacing w:after="0" w:line="240" w:lineRule="auto"/>
        <w:ind w:left="284" w:right="946"/>
        <w:rPr>
          <w:rFonts w:asciiTheme="minorHAnsi" w:hAnsiTheme="minorHAnsi" w:cstheme="minorHAnsi"/>
        </w:rPr>
      </w:pPr>
    </w:p>
    <w:p w14:paraId="7CF1F188" w14:textId="5F1037F0" w:rsidR="00B0758B" w:rsidRDefault="00B0758B" w:rsidP="00267977">
      <w:pPr>
        <w:pStyle w:val="RECnormaltext"/>
      </w:pPr>
      <w:r>
        <w:t>The ‘</w:t>
      </w:r>
      <w:r w:rsidRPr="00267977">
        <w:rPr>
          <w:b/>
        </w:rPr>
        <w:t>aggregate environmental score</w:t>
      </w:r>
      <w:r>
        <w:t xml:space="preserve">’ </w:t>
      </w:r>
      <w:r w:rsidR="00596C05">
        <w:t>for each environmentally relevant activity is used in Qld to allocate a scale to the level of environmental risk/s. The higher the score, the higher licensing fees (for example).</w:t>
      </w:r>
    </w:p>
    <w:p w14:paraId="28E701A9" w14:textId="4123293D" w:rsidR="00B06C3B" w:rsidRDefault="00B06C3B" w:rsidP="00047982">
      <w:pPr>
        <w:pStyle w:val="NonTOCHeading3"/>
      </w:pPr>
      <w:r>
        <w:t>Hazardous waste tracking</w:t>
      </w:r>
    </w:p>
    <w:p w14:paraId="36AF7DC2" w14:textId="3D3BF082" w:rsidR="007A4A07" w:rsidRDefault="007A4A07" w:rsidP="007A4A07">
      <w:pPr>
        <w:pStyle w:val="RECnormaltext"/>
      </w:pPr>
      <w:r>
        <w:t xml:space="preserve">There is a </w:t>
      </w:r>
      <w:r w:rsidR="00B06C3B">
        <w:t xml:space="preserve">hazardous waste tracking system in place in Qld for hazardous waste movements within the jurisdiction. Hazardous waste </w:t>
      </w:r>
      <w:r w:rsidR="00B06C3B" w:rsidRPr="00C43C3C">
        <w:t>must be tracked when transp</w:t>
      </w:r>
      <w:r w:rsidR="00B06C3B">
        <w:t>orted into, within or out of Qld</w:t>
      </w:r>
      <w:r w:rsidR="00B06C3B" w:rsidRPr="00C43C3C">
        <w:t>. The waste consignor, transporter and receiving facility all have obligations to ensure that the waste is properly tracked.</w:t>
      </w:r>
      <w:r w:rsidR="00B06C3B">
        <w:t xml:space="preserve"> </w:t>
      </w:r>
      <w:r>
        <w:t xml:space="preserve">There are several tracking exemptions in place in Qld, that are detailed in </w:t>
      </w:r>
      <w:r w:rsidR="009A55D7">
        <w:br/>
      </w:r>
      <w:r>
        <w:t xml:space="preserve">Appendix A. </w:t>
      </w:r>
    </w:p>
    <w:p w14:paraId="6FBB04CC" w14:textId="77777777" w:rsidR="00770B30" w:rsidRDefault="00770B30" w:rsidP="00047982">
      <w:pPr>
        <w:pStyle w:val="NonTOCHeading3"/>
      </w:pPr>
      <w:r>
        <w:t xml:space="preserve">Enforcement against illegal dumping </w:t>
      </w:r>
    </w:p>
    <w:p w14:paraId="2C847DC9" w14:textId="77777777" w:rsidR="000122D4" w:rsidRDefault="000122D4" w:rsidP="000122D4">
      <w:pPr>
        <w:spacing w:after="80"/>
        <w:rPr>
          <w:rFonts w:eastAsia="Calibri" w:cs="Arial"/>
        </w:rPr>
      </w:pPr>
      <w:r w:rsidRPr="009556EA">
        <w:rPr>
          <w:rFonts w:eastAsia="Calibri" w:cs="Arial"/>
        </w:rPr>
        <w:t>Queensland’s DEHP established the Litter and Illegal Dumping Unit (LIDU) in 2012. There is also opportunity to publicly report littering and illegal dumping using the online littering and illegal dumping reporting system.</w:t>
      </w:r>
    </w:p>
    <w:p w14:paraId="6A302CFF" w14:textId="36694742" w:rsidR="000122D4" w:rsidRDefault="000122D4" w:rsidP="00D43D86">
      <w:pPr>
        <w:pStyle w:val="RECnormaltext"/>
      </w:pPr>
      <w:r w:rsidRPr="006A4816">
        <w:rPr>
          <w:rFonts w:eastAsia="Calibri"/>
        </w:rPr>
        <w:t xml:space="preserve">Given the program delivery link between illegal dumping and littering, Queensland’s approach appears to be less targeted at illegal corporate activity </w:t>
      </w:r>
      <w:r w:rsidR="003A491F">
        <w:rPr>
          <w:rFonts w:eastAsia="Calibri"/>
        </w:rPr>
        <w:t>(representing</w:t>
      </w:r>
      <w:r w:rsidRPr="006A4816">
        <w:rPr>
          <w:rFonts w:eastAsia="Calibri"/>
        </w:rPr>
        <w:t xml:space="preserve"> the more hazardous end of the waste spectrum</w:t>
      </w:r>
      <w:r w:rsidR="003A491F">
        <w:rPr>
          <w:rFonts w:eastAsia="Calibri"/>
        </w:rPr>
        <w:t>) and more targeted at domestic litter.</w:t>
      </w:r>
    </w:p>
    <w:p w14:paraId="0401814E" w14:textId="77777777" w:rsidR="006B4F4E" w:rsidRDefault="006B4F4E" w:rsidP="00047982">
      <w:pPr>
        <w:pStyle w:val="NonTOCHeading3"/>
      </w:pPr>
      <w:r>
        <w:t>Landfill levy settings</w:t>
      </w:r>
    </w:p>
    <w:p w14:paraId="48CA509F" w14:textId="4E75C1F7" w:rsidR="006B4F4E" w:rsidRDefault="006B4F4E" w:rsidP="006B4F4E">
      <w:pPr>
        <w:pStyle w:val="RECnormaltext"/>
      </w:pPr>
      <w:r>
        <w:t>No lan</w:t>
      </w:r>
      <w:r w:rsidR="00D43D86">
        <w:t>dfill levy is in place in the Qld</w:t>
      </w:r>
      <w:r>
        <w:t>.</w:t>
      </w:r>
    </w:p>
    <w:p w14:paraId="1483C1F3" w14:textId="77777777" w:rsidR="006B4F4E" w:rsidRDefault="006B4F4E">
      <w:pPr>
        <w:pStyle w:val="Heading2"/>
      </w:pPr>
      <w:bookmarkStart w:id="94" w:name="_Toc532990233"/>
      <w:r>
        <w:t>Management</w:t>
      </w:r>
      <w:bookmarkEnd w:id="94"/>
      <w:r>
        <w:t xml:space="preserve"> </w:t>
      </w:r>
    </w:p>
    <w:p w14:paraId="1DB4471E" w14:textId="77777777" w:rsidR="006B4F4E" w:rsidRDefault="006B4F4E" w:rsidP="00047982">
      <w:pPr>
        <w:pStyle w:val="NonTOCHeading3"/>
      </w:pPr>
      <w:r>
        <w:t xml:space="preserve">Stockpile restrictions </w:t>
      </w:r>
    </w:p>
    <w:p w14:paraId="28191A73" w14:textId="77777777" w:rsidR="006B4F4E" w:rsidRPr="0055071B" w:rsidRDefault="006B4F4E" w:rsidP="006B4F4E">
      <w:pPr>
        <w:pStyle w:val="RECnormaltext"/>
      </w:pPr>
      <w:r>
        <w:t xml:space="preserve">No specific stockpiling restrictions were </w:t>
      </w:r>
      <w:r w:rsidRPr="00E45B05">
        <w:t>identified</w:t>
      </w:r>
      <w:r>
        <w:t>.</w:t>
      </w:r>
    </w:p>
    <w:p w14:paraId="66186B5E" w14:textId="77777777" w:rsidR="006B4F4E" w:rsidRDefault="006B4F4E" w:rsidP="00047982">
      <w:pPr>
        <w:pStyle w:val="NonTOCHeading3"/>
      </w:pPr>
      <w:r>
        <w:t>Stockpile reporting</w:t>
      </w:r>
    </w:p>
    <w:p w14:paraId="51DBDAD3" w14:textId="77777777" w:rsidR="006B4F4E" w:rsidRPr="00DE7710" w:rsidRDefault="006B4F4E" w:rsidP="006B4F4E">
      <w:pPr>
        <w:pStyle w:val="RECnormaltext"/>
      </w:pPr>
      <w:r>
        <w:t xml:space="preserve">No specific reporting requirements were </w:t>
      </w:r>
      <w:r w:rsidRPr="00E45B05">
        <w:t>identified</w:t>
      </w:r>
      <w:r>
        <w:t xml:space="preserve"> for hazardous waste stockpiles.</w:t>
      </w:r>
    </w:p>
    <w:p w14:paraId="7A66BD25" w14:textId="77777777" w:rsidR="006B4F4E" w:rsidRDefault="006B4F4E" w:rsidP="00047982">
      <w:pPr>
        <w:pStyle w:val="NonTOCHeading3"/>
      </w:pPr>
      <w:r>
        <w:t xml:space="preserve">Stockpile controls </w:t>
      </w:r>
    </w:p>
    <w:p w14:paraId="5273353E" w14:textId="77777777" w:rsidR="006B4F4E" w:rsidRDefault="006B4F4E" w:rsidP="006B4F4E">
      <w:pPr>
        <w:pStyle w:val="RECnormaltext"/>
      </w:pPr>
      <w:r>
        <w:t xml:space="preserve">No specific controls were identified for </w:t>
      </w:r>
      <w:r w:rsidRPr="00E45B05">
        <w:t>hazardous</w:t>
      </w:r>
      <w:r>
        <w:t xml:space="preserve"> waste stockpile controls.</w:t>
      </w:r>
    </w:p>
    <w:p w14:paraId="28CE6EA8" w14:textId="77777777" w:rsidR="006B4F4E" w:rsidRDefault="006B4F4E" w:rsidP="00047982">
      <w:pPr>
        <w:pStyle w:val="NonTOCHeading3"/>
      </w:pPr>
      <w:r>
        <w:t>Emergency planning</w:t>
      </w:r>
    </w:p>
    <w:p w14:paraId="3FC53A2F" w14:textId="77777777" w:rsidR="000122D4" w:rsidRDefault="006B4F4E" w:rsidP="000122D4">
      <w:r>
        <w:t>No specific emergency planning requirements were identified for hazardous waste stockpiles.</w:t>
      </w:r>
      <w:r w:rsidR="000122D4" w:rsidRPr="000122D4">
        <w:t xml:space="preserve"> </w:t>
      </w:r>
    </w:p>
    <w:p w14:paraId="2CA73AA0" w14:textId="1B2BBA30" w:rsidR="000122D4" w:rsidRPr="009556EA" w:rsidRDefault="005F2283" w:rsidP="000122D4">
      <w:pPr>
        <w:rPr>
          <w:rFonts w:eastAsia="Calibri" w:cs="Arial"/>
        </w:rPr>
      </w:pPr>
      <w:hyperlink r:id="rId53" w:history="1">
        <w:r w:rsidR="000122D4" w:rsidRPr="009556EA">
          <w:rPr>
            <w:rStyle w:val="Hyperlink"/>
            <w:rFonts w:ascii="Calibri" w:hAnsi="Calibri"/>
          </w:rPr>
          <w:t>Fire and Rescue Service Act 1990 (Requisition 1) 2011</w:t>
        </w:r>
      </w:hyperlink>
      <w:r w:rsidR="000122D4" w:rsidRPr="009556EA">
        <w:t xml:space="preserve"> requires any person who stores more than 500 tyres to take steps to minimise the risk of fire, including pile size and separation distances.  </w:t>
      </w:r>
    </w:p>
    <w:p w14:paraId="1C361657" w14:textId="77777777" w:rsidR="006B4F4E" w:rsidRDefault="006B4F4E">
      <w:pPr>
        <w:pStyle w:val="Heading2"/>
      </w:pPr>
      <w:bookmarkStart w:id="95" w:name="_Toc532990234"/>
      <w:r>
        <w:t>Clearance</w:t>
      </w:r>
      <w:bookmarkEnd w:id="95"/>
      <w:r>
        <w:t xml:space="preserve"> </w:t>
      </w:r>
    </w:p>
    <w:p w14:paraId="6203B78F" w14:textId="77777777" w:rsidR="006B4F4E" w:rsidRDefault="006B4F4E" w:rsidP="00047982">
      <w:pPr>
        <w:pStyle w:val="NonTOCHeading3"/>
      </w:pPr>
      <w:r>
        <w:t>Financial assurance</w:t>
      </w:r>
    </w:p>
    <w:p w14:paraId="6D3DB403" w14:textId="779272DD" w:rsidR="00165118" w:rsidRDefault="001524AA" w:rsidP="000122D4">
      <w:r>
        <w:t xml:space="preserve">Qld sets out financial assurance requirements in the guideline </w:t>
      </w:r>
      <w:hyperlink r:id="rId54" w:history="1">
        <w:r w:rsidR="00165118" w:rsidRPr="001524AA">
          <w:rPr>
            <w:rStyle w:val="Hyperlink"/>
            <w:rFonts w:ascii="Calibri" w:hAnsi="Calibri"/>
          </w:rPr>
          <w:t>Financial assurance under the Environmental Protection Act 1994</w:t>
        </w:r>
      </w:hyperlink>
      <w:r>
        <w:t>. The guideline states:</w:t>
      </w:r>
    </w:p>
    <w:p w14:paraId="732FBF9D" w14:textId="71A53CB8" w:rsidR="00165118" w:rsidRPr="00DE2405" w:rsidRDefault="00DE2405" w:rsidP="00DE2405">
      <w:pPr>
        <w:spacing w:after="80"/>
        <w:ind w:left="426" w:right="804"/>
      </w:pPr>
      <w:r>
        <w:t>‘</w:t>
      </w:r>
      <w:r w:rsidR="00165118" w:rsidRPr="00DE2405">
        <w:t>Prescribed Environmentally Relevant Activities FA may be required for any prescribed Environmentally Relevant Activities (ERA) where the activity will result in ‘significantly disturbed land’. However, if a prescribed ERA is an authorised ancillary activity under an EA for a resource activity the FA is taken to be calculated under the resource EA and it is not required again. The following prescribed ERAs are likely to require</w:t>
      </w:r>
      <w:r w:rsidR="001524AA" w:rsidRPr="00DE2405">
        <w:t xml:space="preserve"> </w:t>
      </w:r>
      <w:r w:rsidR="00165118" w:rsidRPr="00DE2405">
        <w:t>FA</w:t>
      </w:r>
      <w:r w:rsidR="001524AA" w:rsidRPr="00DE2405">
        <w:t>...</w:t>
      </w:r>
    </w:p>
    <w:p w14:paraId="1445E479" w14:textId="63D26305" w:rsidR="001524AA" w:rsidRPr="00DE2405" w:rsidRDefault="001524AA" w:rsidP="00DE2405">
      <w:pPr>
        <w:pStyle w:val="RECdotpoint"/>
        <w:ind w:left="709" w:right="804"/>
      </w:pPr>
      <w:r w:rsidRPr="00DE2405">
        <w:t>… Regulated waste recycling or reprocessing ERA 55(2)</w:t>
      </w:r>
    </w:p>
    <w:p w14:paraId="585AAFBA" w14:textId="77777777" w:rsidR="001524AA" w:rsidRPr="00DE2405" w:rsidRDefault="001524AA" w:rsidP="00DE2405">
      <w:pPr>
        <w:pStyle w:val="RECdotpoint"/>
        <w:ind w:left="709" w:right="804"/>
      </w:pPr>
      <w:r w:rsidRPr="00DE2405">
        <w:t>Regulated waste storage ERA 56</w:t>
      </w:r>
    </w:p>
    <w:p w14:paraId="2A144E22" w14:textId="77777777" w:rsidR="001524AA" w:rsidRPr="00DE2405" w:rsidRDefault="001524AA" w:rsidP="00DE2405">
      <w:pPr>
        <w:pStyle w:val="RECdotpoint"/>
        <w:ind w:left="709" w:right="804"/>
      </w:pPr>
      <w:r w:rsidRPr="00DE2405">
        <w:t>Regulated waste treatment ERA 58</w:t>
      </w:r>
    </w:p>
    <w:p w14:paraId="680646D7" w14:textId="77777777" w:rsidR="001524AA" w:rsidRPr="00DE2405" w:rsidRDefault="001524AA" w:rsidP="00DE2405">
      <w:pPr>
        <w:pStyle w:val="RECdotpoint"/>
        <w:ind w:left="709" w:right="804"/>
      </w:pPr>
      <w:r w:rsidRPr="00DE2405">
        <w:t>Waste disposal ERA 60(1a to 1d) and ERA 60(2d to 2h)</w:t>
      </w:r>
    </w:p>
    <w:p w14:paraId="21181D6F" w14:textId="6F2F5E45" w:rsidR="004773FB" w:rsidRPr="00DE2405" w:rsidRDefault="001524AA" w:rsidP="00DE2405">
      <w:pPr>
        <w:pStyle w:val="RECdotpoint"/>
        <w:ind w:left="709" w:right="804"/>
      </w:pPr>
      <w:r w:rsidRPr="00DE2405">
        <w:t>Clinical and regulated waste incineration and thermal treatment ERA 61(3a) and ERA 61(3b).</w:t>
      </w:r>
      <w:r w:rsidR="00DE2405">
        <w:t>’</w:t>
      </w:r>
      <w:r w:rsidR="006B4F4E" w:rsidRPr="00DE2405">
        <w:t xml:space="preserve"> </w:t>
      </w:r>
    </w:p>
    <w:p w14:paraId="0A5DDFE5" w14:textId="77777777" w:rsidR="00AA2C20" w:rsidRDefault="00AA2C20" w:rsidP="00047982">
      <w:pPr>
        <w:pStyle w:val="NonTOCHeading3"/>
      </w:pPr>
      <w:r>
        <w:t>Government trust or f</w:t>
      </w:r>
      <w:r w:rsidRPr="00C24D71">
        <w:t xml:space="preserve">unds </w:t>
      </w:r>
      <w:r>
        <w:t xml:space="preserve">for </w:t>
      </w:r>
      <w:r w:rsidRPr="00C24D71">
        <w:t>abandoned stockpiles</w:t>
      </w:r>
    </w:p>
    <w:p w14:paraId="4E630053" w14:textId="55097CC9" w:rsidR="00AA2C20" w:rsidRDefault="00AA2C20" w:rsidP="00AA2C20">
      <w:pPr>
        <w:pStyle w:val="RECnormaltext"/>
      </w:pPr>
      <w:r>
        <w:t>No g</w:t>
      </w:r>
      <w:r w:rsidRPr="00C77989">
        <w:t>overnment trust or funds for abandoned stockpiles</w:t>
      </w:r>
      <w:r>
        <w:t xml:space="preserve"> were </w:t>
      </w:r>
      <w:r w:rsidRPr="00E45B05">
        <w:t>identified</w:t>
      </w:r>
      <w:r>
        <w:t>.</w:t>
      </w:r>
    </w:p>
    <w:p w14:paraId="2E86A5B6" w14:textId="77777777" w:rsidR="006743D4" w:rsidRDefault="006743D4" w:rsidP="00AA2C20">
      <w:pPr>
        <w:pStyle w:val="RECnormaltext"/>
      </w:pPr>
    </w:p>
    <w:p w14:paraId="74A5BE2D" w14:textId="77777777" w:rsidR="006743D4" w:rsidRDefault="006743D4">
      <w:pPr>
        <w:rPr>
          <w:rFonts w:asciiTheme="minorHAnsi" w:hAnsiTheme="minorHAnsi" w:cs="Arial"/>
          <w:color w:val="auto"/>
          <w:szCs w:val="20"/>
        </w:rPr>
      </w:pPr>
      <w:r>
        <w:br w:type="page"/>
      </w:r>
    </w:p>
    <w:p w14:paraId="07C87900" w14:textId="77777777" w:rsidR="00A25707" w:rsidRDefault="004773FB">
      <w:pPr>
        <w:pStyle w:val="Heading1"/>
        <w:rPr>
          <w:rFonts w:eastAsia="Calibri" w:cs="Arial"/>
        </w:rPr>
      </w:pPr>
      <w:bookmarkStart w:id="96" w:name="_Toc486940285"/>
      <w:bookmarkStart w:id="97" w:name="_Toc487045602"/>
      <w:bookmarkStart w:id="98" w:name="_Toc487102496"/>
      <w:bookmarkStart w:id="99" w:name="_Toc487103735"/>
      <w:bookmarkStart w:id="100" w:name="_Toc487103859"/>
      <w:bookmarkStart w:id="101" w:name="_Toc532990235"/>
      <w:bookmarkEnd w:id="96"/>
      <w:bookmarkEnd w:id="97"/>
      <w:bookmarkEnd w:id="98"/>
      <w:bookmarkEnd w:id="99"/>
      <w:bookmarkEnd w:id="100"/>
      <w:r>
        <w:t>SA framework for hazardous waste stockpiles</w:t>
      </w:r>
      <w:bookmarkEnd w:id="101"/>
      <w:r w:rsidR="00A25707" w:rsidRPr="00A25707">
        <w:rPr>
          <w:rFonts w:eastAsia="Calibri" w:cs="Arial"/>
        </w:rPr>
        <w:t xml:space="preserve"> </w:t>
      </w:r>
    </w:p>
    <w:p w14:paraId="3A51E13B" w14:textId="2C237DDA" w:rsidR="00133AC7" w:rsidRDefault="00133AC7" w:rsidP="00133AC7">
      <w:pPr>
        <w:pStyle w:val="RECnormaltext"/>
      </w:pPr>
      <w:r>
        <w:t>SA is currently looking to implement significant reforms that will result in significant change to the current framework for hazardous waste stockpiles prevention, management and clearance.</w:t>
      </w:r>
    </w:p>
    <w:p w14:paraId="6215F2A7" w14:textId="484D87AA" w:rsidR="00A25707" w:rsidRPr="006A4816" w:rsidRDefault="00133AC7" w:rsidP="00B85040">
      <w:pPr>
        <w:pStyle w:val="RECnormaltext"/>
      </w:pPr>
      <w:r>
        <w:t xml:space="preserve">The </w:t>
      </w:r>
      <w:hyperlink r:id="rId55" w:history="1">
        <w:r w:rsidR="00A25707" w:rsidRPr="00133AC7">
          <w:rPr>
            <w:rStyle w:val="Hyperlink"/>
            <w:rFonts w:ascii="Calibri" w:eastAsia="Calibri" w:hAnsi="Calibri"/>
          </w:rPr>
          <w:t>Explanatory paper: consultation draft Environment Protection (Waste Reform) Amendment Bill 2016</w:t>
        </w:r>
      </w:hyperlink>
      <w:r>
        <w:t xml:space="preserve"> </w:t>
      </w:r>
      <w:r w:rsidR="00B85040">
        <w:t>details the re</w:t>
      </w:r>
      <w:r w:rsidR="003A491F">
        <w:t>forms</w:t>
      </w:r>
      <w:r w:rsidR="00B85040">
        <w:t xml:space="preserve">. </w:t>
      </w:r>
      <w:r w:rsidR="00A25707" w:rsidRPr="006A4816">
        <w:t>The current draft Waste Reform Amendment Bill would introduce significant changes to stockpiles governance in South Australia. The Act amendments will implement a range of changes for stockpiles management including:</w:t>
      </w:r>
    </w:p>
    <w:p w14:paraId="7F0ACFC0" w14:textId="77777777" w:rsidR="00A25707" w:rsidRPr="00953A6F" w:rsidRDefault="00A25707" w:rsidP="00B85040">
      <w:pPr>
        <w:pStyle w:val="RECdotpoint"/>
      </w:pPr>
      <w:bookmarkStart w:id="102" w:name="_Hlk486891581"/>
      <w:r w:rsidRPr="00953A6F">
        <w:t>Mass balance reporting and upfront levy payment (similar to the NSW model).</w:t>
      </w:r>
    </w:p>
    <w:p w14:paraId="5CD0E5D8" w14:textId="77777777" w:rsidR="00A25707" w:rsidRPr="00953A6F" w:rsidRDefault="00A25707" w:rsidP="00B85040">
      <w:pPr>
        <w:pStyle w:val="RECdotpoint"/>
      </w:pPr>
      <w:r w:rsidRPr="00953A6F">
        <w:t>Improving licence controls including limits on tonnages and the use of audits.</w:t>
      </w:r>
    </w:p>
    <w:p w14:paraId="550E7B4A" w14:textId="77777777" w:rsidR="00A25707" w:rsidRPr="00953A6F" w:rsidRDefault="00A25707" w:rsidP="00B85040">
      <w:pPr>
        <w:pStyle w:val="RECdotpoint"/>
      </w:pPr>
      <w:r w:rsidRPr="00953A6F">
        <w:t>Requiring financial assurances from sites that stockpile.</w:t>
      </w:r>
    </w:p>
    <w:p w14:paraId="279CAE56" w14:textId="065D3591" w:rsidR="00A25707" w:rsidRPr="00A25707" w:rsidRDefault="00A25707" w:rsidP="00B85040">
      <w:pPr>
        <w:pStyle w:val="RECdotpoint"/>
      </w:pPr>
      <w:r w:rsidRPr="00953A6F">
        <w:t>The ‘recovery of illegally obtained economic benefit’.</w:t>
      </w:r>
    </w:p>
    <w:bookmarkEnd w:id="102"/>
    <w:p w14:paraId="0FF78207" w14:textId="55E00588" w:rsidR="00A25707" w:rsidRPr="006A4816" w:rsidRDefault="00A25707" w:rsidP="00E25512">
      <w:pPr>
        <w:pStyle w:val="RECnormaltext"/>
      </w:pPr>
      <w:r w:rsidRPr="006A4816">
        <w:t xml:space="preserve">The explanatory paper states: </w:t>
      </w:r>
    </w:p>
    <w:p w14:paraId="2ED6E037" w14:textId="4C7F6F30" w:rsidR="00B85040" w:rsidRPr="00E25512" w:rsidRDefault="00E25512" w:rsidP="00E25512">
      <w:pPr>
        <w:ind w:left="426" w:right="946"/>
        <w:rPr>
          <w:rFonts w:eastAsia="Calibri" w:cs="Arial"/>
        </w:rPr>
      </w:pPr>
      <w:r>
        <w:rPr>
          <w:rFonts w:eastAsia="Calibri" w:cs="Arial"/>
        </w:rPr>
        <w:t>‘</w:t>
      </w:r>
      <w:r w:rsidR="00A25707" w:rsidRPr="00E25512">
        <w:rPr>
          <w:rFonts w:eastAsia="Calibri" w:cs="Arial"/>
        </w:rPr>
        <w:t>Through its reforms, the EPA seeks to material flows with no excessive stockpiling. The EPA recognises that this is not a ‘one-size fits all’ solution as different waste types will need to be considered on their own merits to ensure the most cost effective and appropriate management approach is established for industry participants.</w:t>
      </w:r>
      <w:r w:rsidR="00B85040" w:rsidRPr="00E25512">
        <w:rPr>
          <w:rFonts w:eastAsia="Calibri" w:cs="Arial"/>
        </w:rPr>
        <w:t xml:space="preserve"> </w:t>
      </w:r>
    </w:p>
    <w:p w14:paraId="306E7801" w14:textId="64DCEBE7" w:rsidR="00A25707" w:rsidRPr="00E25512" w:rsidRDefault="00A25707" w:rsidP="00E25512">
      <w:pPr>
        <w:ind w:left="426" w:right="946"/>
        <w:rPr>
          <w:rFonts w:eastAsia="Calibri" w:cs="Arial"/>
        </w:rPr>
      </w:pPr>
      <w:r w:rsidRPr="00E25512">
        <w:rPr>
          <w:rFonts w:eastAsia="Calibri" w:cs="Arial"/>
        </w:rPr>
        <w:t>The amendment Act will empower the EPA to achieve balanced material flows, most particularly through proposed amendments to the Objects of the EP Act to explicitly allow the EPA to promote material flow in the waste industry, revising the circumstances when financial assurances can be used (including insurance) and enhancing the its ability to readily act on licence condition breaches. The changes from the Bill will support the development of strengthened administrative policies and licence conditions, and also lead to enable further regulatory changes for the improved monitoring of material flows in the waste industry and to influence the financial drivers applying to waste material flows</w:t>
      </w:r>
      <w:r w:rsidR="00E25512">
        <w:rPr>
          <w:rFonts w:eastAsia="Calibri" w:cs="Arial"/>
        </w:rPr>
        <w:t>’</w:t>
      </w:r>
      <w:r w:rsidRPr="00E25512">
        <w:rPr>
          <w:rFonts w:eastAsia="Calibri" w:cs="Arial"/>
        </w:rPr>
        <w:t xml:space="preserve"> (page 10).</w:t>
      </w:r>
    </w:p>
    <w:p w14:paraId="278976A5" w14:textId="2BBF3921" w:rsidR="00B06C3B" w:rsidRDefault="00B06C3B" w:rsidP="00A25707">
      <w:pPr>
        <w:rPr>
          <w:rFonts w:eastAsia="Calibri" w:cs="Arial"/>
        </w:rPr>
      </w:pPr>
      <w:r>
        <w:rPr>
          <w:rFonts w:eastAsia="Calibri" w:cs="Arial"/>
        </w:rPr>
        <w:t>The proposed reforms are discussed further in the subsections that follow.</w:t>
      </w:r>
    </w:p>
    <w:p w14:paraId="09D388AB" w14:textId="77777777" w:rsidR="004773FB" w:rsidRDefault="004773FB">
      <w:pPr>
        <w:pStyle w:val="Heading2"/>
      </w:pPr>
      <w:bookmarkStart w:id="103" w:name="_Toc486940287"/>
      <w:bookmarkStart w:id="104" w:name="_Toc487045604"/>
      <w:bookmarkStart w:id="105" w:name="_Toc487102498"/>
      <w:bookmarkStart w:id="106" w:name="_Toc487103737"/>
      <w:bookmarkStart w:id="107" w:name="_Toc487103861"/>
      <w:bookmarkStart w:id="108" w:name="_Toc486940288"/>
      <w:bookmarkStart w:id="109" w:name="_Toc487045605"/>
      <w:bookmarkStart w:id="110" w:name="_Toc487102499"/>
      <w:bookmarkStart w:id="111" w:name="_Toc487103738"/>
      <w:bookmarkStart w:id="112" w:name="_Toc487103862"/>
      <w:bookmarkStart w:id="113" w:name="_Toc532990236"/>
      <w:bookmarkEnd w:id="103"/>
      <w:bookmarkEnd w:id="104"/>
      <w:bookmarkEnd w:id="105"/>
      <w:bookmarkEnd w:id="106"/>
      <w:bookmarkEnd w:id="107"/>
      <w:bookmarkEnd w:id="108"/>
      <w:bookmarkEnd w:id="109"/>
      <w:bookmarkEnd w:id="110"/>
      <w:bookmarkEnd w:id="111"/>
      <w:bookmarkEnd w:id="112"/>
      <w:r>
        <w:t>Stockpile prevention</w:t>
      </w:r>
      <w:bookmarkEnd w:id="113"/>
    </w:p>
    <w:p w14:paraId="0D4EF110" w14:textId="77777777" w:rsidR="002E0DEC" w:rsidRPr="006A4816" w:rsidRDefault="002E0DEC" w:rsidP="002E0DEC">
      <w:pPr>
        <w:rPr>
          <w:rFonts w:eastAsia="Calibri" w:cs="Arial"/>
          <w:b/>
        </w:rPr>
      </w:pPr>
      <w:r>
        <w:rPr>
          <w:rFonts w:eastAsia="Calibri" w:cs="Arial"/>
          <w:b/>
        </w:rPr>
        <w:t xml:space="preserve">Waste reform bill: prevention </w:t>
      </w:r>
    </w:p>
    <w:p w14:paraId="2882AE9B" w14:textId="77777777" w:rsidR="002E0DEC" w:rsidRPr="00D1651E" w:rsidRDefault="002E0DEC" w:rsidP="002E0DEC">
      <w:pPr>
        <w:pStyle w:val="RECnormaltext"/>
      </w:pPr>
      <w:r w:rsidRPr="00D1651E">
        <w:t>Amendment of section 10 Objects of Act</w:t>
      </w:r>
      <w:r>
        <w:t xml:space="preserve">. </w:t>
      </w:r>
      <w:r w:rsidRPr="00D1651E">
        <w:t>The amendment specifically refers to regulating the stockpiling of waste</w:t>
      </w:r>
      <w:r>
        <w:rPr>
          <w:i/>
        </w:rPr>
        <w:t xml:space="preserve"> </w:t>
      </w:r>
      <w:r>
        <w:t>and includes:</w:t>
      </w:r>
    </w:p>
    <w:p w14:paraId="38714833" w14:textId="358ABB4E" w:rsidR="002E0DEC" w:rsidRDefault="002E0DEC" w:rsidP="002E0DEC">
      <w:pPr>
        <w:pStyle w:val="RECnormaltext"/>
        <w:ind w:left="426" w:right="804"/>
      </w:pPr>
      <w:r>
        <w:t>‘</w:t>
      </w:r>
      <w:r w:rsidRPr="00E25512">
        <w:t xml:space="preserve">The objective of this amendment is to ensure the EPA is able to impose maximum stockpile limits as a licence condition on material stored at waste or recycling depots listed in clause 3(3) of Schedule 1 of the EP Act </w:t>
      </w:r>
      <w:r w:rsidRPr="00E25512">
        <w:rPr>
          <w:b/>
        </w:rPr>
        <w:t>and</w:t>
      </w:r>
      <w:r w:rsidRPr="00E25512">
        <w:t xml:space="preserve"> implement controls on material flows to prevent excessive accumulation of material, irrespective of direct environmental harm risks and whether or not material meets the physical and chemical criteria of a product</w:t>
      </w:r>
      <w:r>
        <w:t>’</w:t>
      </w:r>
      <w:r w:rsidRPr="00E25512">
        <w:t xml:space="preserve"> (page 15).</w:t>
      </w:r>
    </w:p>
    <w:p w14:paraId="5A6523D3" w14:textId="44F5B479" w:rsidR="006743D4" w:rsidRDefault="006743D4" w:rsidP="002E0DEC">
      <w:pPr>
        <w:pStyle w:val="RECnormaltext"/>
        <w:ind w:left="426" w:right="804"/>
      </w:pPr>
    </w:p>
    <w:p w14:paraId="7091D415" w14:textId="50DC9D4F" w:rsidR="004A6971" w:rsidRDefault="006743D4" w:rsidP="00047982">
      <w:pPr>
        <w:pStyle w:val="NonTOCHeading3"/>
      </w:pPr>
      <w:r>
        <w:rPr>
          <w:noProof/>
          <w:lang w:eastAsia="en-AU"/>
        </w:rPr>
        <mc:AlternateContent>
          <mc:Choice Requires="wps">
            <w:drawing>
              <wp:anchor distT="0" distB="0" distL="114300" distR="114300" simplePos="0" relativeHeight="251636736" behindDoc="0" locked="0" layoutInCell="1" allowOverlap="1" wp14:anchorId="29919850" wp14:editId="46D0103F">
                <wp:simplePos x="0" y="0"/>
                <wp:positionH relativeFrom="margin">
                  <wp:posOffset>-130810</wp:posOffset>
                </wp:positionH>
                <wp:positionV relativeFrom="margin">
                  <wp:posOffset>38100</wp:posOffset>
                </wp:positionV>
                <wp:extent cx="5814060" cy="1697990"/>
                <wp:effectExtent l="57150" t="38100" r="53340" b="73660"/>
                <wp:wrapSquare wrapText="bothSides"/>
                <wp:docPr id="30" name="Rectangle: Rounded Corners 30"/>
                <wp:cNvGraphicFramePr/>
                <a:graphic xmlns:a="http://schemas.openxmlformats.org/drawingml/2006/main">
                  <a:graphicData uri="http://schemas.microsoft.com/office/word/2010/wordprocessingShape">
                    <wps:wsp>
                      <wps:cNvSpPr/>
                      <wps:spPr>
                        <a:xfrm>
                          <a:off x="0" y="0"/>
                          <a:ext cx="5814060" cy="169799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313801CC" w14:textId="7B507282" w:rsidR="00067AC0" w:rsidRPr="001E0D50" w:rsidRDefault="00067AC0" w:rsidP="00267977">
                            <w:pPr>
                              <w:pStyle w:val="RECnormaltext"/>
                              <w:rPr>
                                <w:color w:val="FFFFFF" w:themeColor="background1"/>
                              </w:rPr>
                            </w:pPr>
                            <w:r>
                              <w:rPr>
                                <w:color w:val="FFFFFF" w:themeColor="background1"/>
                              </w:rPr>
                              <w:t>The SA proposed framework of legislation to enforce m</w:t>
                            </w:r>
                            <w:r w:rsidRPr="001D47E8">
                              <w:rPr>
                                <w:color w:val="FFFFFF" w:themeColor="background1"/>
                              </w:rPr>
                              <w:t>ass balance reporting</w:t>
                            </w:r>
                            <w:r>
                              <w:rPr>
                                <w:color w:val="FFFFFF" w:themeColor="background1"/>
                              </w:rPr>
                              <w:t xml:space="preserve"> and material flows goes beyond the application of landfill levy liabilities and prevention of contamination of land and attempts to ensure that </w:t>
                            </w:r>
                            <w:r w:rsidRPr="00267977">
                              <w:rPr>
                                <w:color w:val="FFFFFF" w:themeColor="background1"/>
                                <w:u w:val="single"/>
                              </w:rPr>
                              <w:t>processed</w:t>
                            </w:r>
                            <w:r>
                              <w:rPr>
                                <w:color w:val="FFFFFF" w:themeColor="background1"/>
                              </w:rPr>
                              <w:t xml:space="preserve"> materials are moved through the economy without significant delay. Issues of stockpiling can arise post-processing of wastes where there are poor ‘off-take’ markets for the processed materials.  The SA model of enforcing material flows of processed materials could ensure that reprocessors do not stockpile materials for extended periods due to poor product quality or unfavourable market conditions.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9919850" id="Rectangle: Rounded Corners 30" o:spid="_x0000_s1033" style="position:absolute;margin-left:-10.3pt;margin-top:3pt;width:457.8pt;height:133.7pt;z-index:2516367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XsqAIAALsFAAAOAAAAZHJzL2Uyb0RvYy54bWysVFtP2zAUfp+0/2D5faTpyqURKaqKmCYx&#10;QMDEs+vYbTTbx7PdJt2v37FzgbFNSNP6kPpcv3M/v2i1InvhfA2mpPnRhBJhOFS12ZT06+PVhzNK&#10;fGCmYgqMKOlBeHqxeP/uvLGFmMIWVCUcQSfGF40t6TYEW2SZ51uhmT8CKwwKJTjNApJuk1WONehd&#10;q2w6mZxkDbjKOuDCe+RedkK6SP6lFDzcSulFIKqkGFtIX5e+6/jNFues2DhmtzXvw2D/EIVmtUHQ&#10;0dUlC4zsXP2bK11zBx5kOOKgM5Cy5iLlgNnkk1fZPGyZFSkXLI63Y5n8/3PLb/Z3jtRVST9ieQzT&#10;2KN7rBozGyUKcg87U4mKrMAZbDJBJaxYY32Bhg/2zvWUx2dMv5VOx39MjLSpyoexyqINhCPz+Cyf&#10;TU4QjaMsP5mfzufJa/Zsbp0PnwRoEh8ldTGKGFUqMdtf+4C4qD/oRUgPqq6uaqUSEedHrJQje4ad&#10;D22eTNVOf4Gq4x1P8Nf1H9k4Ja/Y6D5NYfSSwH4BUCbCGIiAXSyRk8XKdLVIr3BQIuopcy8kVhmz&#10;7wIZPXeg1bc8RoKQSTOaSHQ8Gk1T9H816nWjmUgzPxq+gTZqJ0QwYTTUtQH3BmqnP2Td5RrTDu26&#10;TSN1OgzLGqoDjpmDbv+85Vc1dvaa+XDHHC4cTgMekXCLH6mgKSn0L0q24H78iR/1cQ9QSkmDC1xS&#10;/33HnKBEfTa4IfN8Nosbn4jZ8ekUCfdSsn4pMTu9ApyUHM+V5ekZ9YMantKBfsJbs4yoKGKGI3ZJ&#10;eXADsQrdYcFrxcVymdRwyy0L1+bB8qH3cWgf2yfmbD/eATfjBoZlZ8WrAe90Y4cMLHcBZJ2mP1a6&#10;q2vfAbwQaYT6axZP0Es6aT3f3MVPAAAA//8DAFBLAwQUAAYACAAAACEABZiL0OIAAAAJAQAADwAA&#10;AGRycy9kb3ducmV2LnhtbEyPwU7DMBBE70j8g7VI3FqnAdISsqloCRIgpKotHLi5sUki4nUUu2n4&#10;e5YT3HY0o9k32XK0rRhM7xtHCLNpBMJQ6XRDFcLb/nGyAOGDIq1aRwbh23hY5udnmUq1O9HWDLtQ&#10;CS4hnyqEOoQuldKXtbHKT11niL1P11sVWPaV1L06cbltZRxFibSqIf5Qq86sa1N+7Y4W4cm/rPbF&#10;bO0+HoZu8/z+WmxWqkC8vBjv70AEM4a/MPziMzrkzHRwR9JetAiTOEo4ipDwJPYXtzd8HBDi+dU1&#10;yDyT/xfkPwAAAP//AwBQSwECLQAUAAYACAAAACEAtoM4kv4AAADhAQAAEwAAAAAAAAAAAAAAAAAA&#10;AAAAW0NvbnRlbnRfVHlwZXNdLnhtbFBLAQItABQABgAIAAAAIQA4/SH/1gAAAJQBAAALAAAAAAAA&#10;AAAAAAAAAC8BAABfcmVscy8ucmVsc1BLAQItABQABgAIAAAAIQAATNXsqAIAALsFAAAOAAAAAAAA&#10;AAAAAAAAAC4CAABkcnMvZTJvRG9jLnhtbFBLAQItABQABgAIAAAAIQAFmIvQ4gAAAAkBAAAPAAAA&#10;AAAAAAAAAAAAAAIFAABkcnMvZG93bnJldi54bWxQSwUGAAAAAAQABADzAAAAEQYAAAAA&#10;" fillcolor="gray [1629]" stroked="f">
                <v:shadow on="t" color="black" opacity="24903f" origin=",.5" offset="0,.55556mm"/>
                <v:textbox>
                  <w:txbxContent>
                    <w:p w14:paraId="313801CC" w14:textId="7B507282" w:rsidR="00067AC0" w:rsidRPr="001E0D50" w:rsidRDefault="00067AC0" w:rsidP="00267977">
                      <w:pPr>
                        <w:pStyle w:val="RECnormaltext"/>
                        <w:rPr>
                          <w:color w:val="FFFFFF" w:themeColor="background1"/>
                        </w:rPr>
                      </w:pPr>
                      <w:r>
                        <w:rPr>
                          <w:color w:val="FFFFFF" w:themeColor="background1"/>
                        </w:rPr>
                        <w:t>The SA proposed framework of legislation to enforce m</w:t>
                      </w:r>
                      <w:r w:rsidRPr="001D47E8">
                        <w:rPr>
                          <w:color w:val="FFFFFF" w:themeColor="background1"/>
                        </w:rPr>
                        <w:t>ass balance reporting</w:t>
                      </w:r>
                      <w:r>
                        <w:rPr>
                          <w:color w:val="FFFFFF" w:themeColor="background1"/>
                        </w:rPr>
                        <w:t xml:space="preserve"> and material flows goes beyond the application of landfill levy liabilities and prevention of contamination of land and attempts to ensure that </w:t>
                      </w:r>
                      <w:r w:rsidRPr="00267977">
                        <w:rPr>
                          <w:color w:val="FFFFFF" w:themeColor="background1"/>
                          <w:u w:val="single"/>
                        </w:rPr>
                        <w:t>processed</w:t>
                      </w:r>
                      <w:r>
                        <w:rPr>
                          <w:color w:val="FFFFFF" w:themeColor="background1"/>
                        </w:rPr>
                        <w:t xml:space="preserve"> materials are moved through the economy without significant delay. Issues of stockpiling can arise post-processing of wastes where there are poor ‘off-take’ markets for the processed materials.  The SA model of enforcing material flows of processed materials could ensure that </w:t>
                      </w:r>
                      <w:proofErr w:type="spellStart"/>
                      <w:r>
                        <w:rPr>
                          <w:color w:val="FFFFFF" w:themeColor="background1"/>
                        </w:rPr>
                        <w:t>reprocessors</w:t>
                      </w:r>
                      <w:proofErr w:type="spellEnd"/>
                      <w:r>
                        <w:rPr>
                          <w:color w:val="FFFFFF" w:themeColor="background1"/>
                        </w:rPr>
                        <w:t xml:space="preserve"> do not stockpile materials for extended periods due to poor product quality or unfavourable market conditions.  </w:t>
                      </w:r>
                    </w:p>
                  </w:txbxContent>
                </v:textbox>
                <w10:wrap type="square" anchorx="margin" anchory="margin"/>
              </v:roundrect>
            </w:pict>
          </mc:Fallback>
        </mc:AlternateContent>
      </w:r>
      <w:r w:rsidR="004A6971">
        <w:t>H</w:t>
      </w:r>
      <w:r w:rsidR="004A6971" w:rsidRPr="008722E7">
        <w:t>azardous waste minimisation reporting</w:t>
      </w:r>
      <w:r w:rsidR="004A6971">
        <w:t xml:space="preserve"> for generators</w:t>
      </w:r>
    </w:p>
    <w:p w14:paraId="25822856" w14:textId="588AD93A" w:rsidR="004A6971" w:rsidRPr="00DE7710" w:rsidRDefault="004A6971" w:rsidP="004A6971">
      <w:pPr>
        <w:pStyle w:val="RECnormaltext"/>
      </w:pPr>
      <w:r>
        <w:t xml:space="preserve">No reporting requirements were </w:t>
      </w:r>
      <w:r w:rsidRPr="00E45B05">
        <w:t>identified</w:t>
      </w:r>
      <w:r>
        <w:t xml:space="preserve"> that specifically require waste generators to report on minimising hazardous waste generation.</w:t>
      </w:r>
    </w:p>
    <w:p w14:paraId="0D5224B7" w14:textId="066FB912" w:rsidR="004A6971" w:rsidRDefault="004A6971" w:rsidP="00047982">
      <w:pPr>
        <w:pStyle w:val="NonTOCHeading3"/>
      </w:pPr>
      <w:r>
        <w:t>Site permits to receive and store hazardous waste</w:t>
      </w:r>
    </w:p>
    <w:p w14:paraId="1E485559" w14:textId="615A5681" w:rsidR="009D1148" w:rsidRDefault="005F2283" w:rsidP="00E25512">
      <w:pPr>
        <w:pStyle w:val="RECnormaltext"/>
      </w:pPr>
      <w:hyperlink r:id="rId56" w:history="1">
        <w:r w:rsidR="00D1651E" w:rsidRPr="00A82BDA">
          <w:rPr>
            <w:rStyle w:val="Hyperlink"/>
            <w:rFonts w:ascii="Calibri" w:hAnsi="Calibri"/>
          </w:rPr>
          <w:t>Environment Protection Act 1993</w:t>
        </w:r>
      </w:hyperlink>
      <w:r w:rsidR="00A25707" w:rsidRPr="006A4816">
        <w:t xml:space="preserve"> (EP Act)</w:t>
      </w:r>
      <w:r w:rsidR="00D1651E">
        <w:t xml:space="preserve"> </w:t>
      </w:r>
      <w:r w:rsidR="000C58E2">
        <w:t>Schedule 1—Prescribed activities of environmental significance, Part A—Activities defines the sites requiring licensing in SA. The relevant inclusion</w:t>
      </w:r>
      <w:r w:rsidR="00E34C56">
        <w:t>s</w:t>
      </w:r>
      <w:r w:rsidR="000C58E2">
        <w:t xml:space="preserve"> </w:t>
      </w:r>
      <w:r w:rsidR="00B46CC9">
        <w:t xml:space="preserve">requiring a licence </w:t>
      </w:r>
      <w:r w:rsidR="00E34C56">
        <w:t xml:space="preserve">are for </w:t>
      </w:r>
      <w:r w:rsidR="00B46CC9">
        <w:t>the following</w:t>
      </w:r>
      <w:r w:rsidR="00E34C56">
        <w:t xml:space="preserve"> activities</w:t>
      </w:r>
      <w:r w:rsidR="00E25512">
        <w:t>:</w:t>
      </w:r>
    </w:p>
    <w:p w14:paraId="2D22A119" w14:textId="609DC563" w:rsidR="00195F2C" w:rsidRDefault="00195F2C" w:rsidP="00195F2C">
      <w:pPr>
        <w:pStyle w:val="RECnormaltext"/>
      </w:pPr>
      <w:r>
        <w:t xml:space="preserve">Receival, storage, </w:t>
      </w:r>
      <w:r w:rsidR="00E25512">
        <w:t>reuse, recycling, treatment of –</w:t>
      </w:r>
    </w:p>
    <w:p w14:paraId="099F4C64" w14:textId="478D4969" w:rsidR="00195F2C" w:rsidRDefault="00195F2C" w:rsidP="00195F2C">
      <w:pPr>
        <w:pStyle w:val="RECdotpoint"/>
      </w:pPr>
      <w:r>
        <w:t xml:space="preserve">any substances </w:t>
      </w:r>
      <w:r w:rsidRPr="00D66587">
        <w:t xml:space="preserve">listed in </w:t>
      </w:r>
      <w:r w:rsidRPr="00195F2C">
        <w:rPr>
          <w:rFonts w:ascii="Calibri" w:hAnsi="Calibri"/>
        </w:rPr>
        <w:t>Part B</w:t>
      </w:r>
      <w:r w:rsidRPr="00D66587">
        <w:t xml:space="preserve"> of th</w:t>
      </w:r>
      <w:r>
        <w:t>e</w:t>
      </w:r>
      <w:r w:rsidRPr="00D66587">
        <w:t xml:space="preserve"> Schedule</w:t>
      </w:r>
      <w:r>
        <w:t xml:space="preserve"> (which includes a broad range of hazardous wastes)</w:t>
      </w:r>
    </w:p>
    <w:p w14:paraId="563E788C" w14:textId="513464C7" w:rsidR="00195F2C" w:rsidRDefault="00195F2C" w:rsidP="00195F2C">
      <w:pPr>
        <w:pStyle w:val="RECdotpoint"/>
      </w:pPr>
      <w:r>
        <w:t>more than 5,000 litres per year of waste oil</w:t>
      </w:r>
    </w:p>
    <w:p w14:paraId="5C6C1FF9" w14:textId="77777777" w:rsidR="00195F2C" w:rsidRDefault="00195F2C" w:rsidP="006E6421">
      <w:pPr>
        <w:pStyle w:val="RECdotpoint"/>
      </w:pPr>
      <w:r>
        <w:t xml:space="preserve">more than 500 </w:t>
      </w:r>
      <w:r w:rsidRPr="00D66587">
        <w:t>waste lead acid batteries per year</w:t>
      </w:r>
    </w:p>
    <w:p w14:paraId="0E4B4697" w14:textId="4CE99970" w:rsidR="00195F2C" w:rsidRDefault="00195F2C" w:rsidP="006E6421">
      <w:pPr>
        <w:pStyle w:val="RECdotpoint"/>
      </w:pPr>
      <w:r>
        <w:t xml:space="preserve">more than 5 tonne of </w:t>
      </w:r>
      <w:r w:rsidRPr="00D66587">
        <w:t>waste tyres or tyre pieces per year</w:t>
      </w:r>
      <w:r>
        <w:t>.</w:t>
      </w:r>
    </w:p>
    <w:p w14:paraId="5BAA004B" w14:textId="7FC56C0B" w:rsidR="00D1651E" w:rsidRDefault="00D1651E" w:rsidP="00047982">
      <w:pPr>
        <w:pStyle w:val="NonTOCHeading3"/>
      </w:pPr>
      <w:r>
        <w:t>Hazardous waste tracking</w:t>
      </w:r>
    </w:p>
    <w:p w14:paraId="564F4B5D" w14:textId="5BB2365E" w:rsidR="00F51332" w:rsidRDefault="00D1651E" w:rsidP="00F51332">
      <w:pPr>
        <w:pStyle w:val="RECnormaltext"/>
      </w:pPr>
      <w:r>
        <w:t xml:space="preserve">There is a comprehensive hazardous waste tracking system in place in SA for hazardous waste movements within the jurisdiction. Hazardous waste </w:t>
      </w:r>
      <w:r w:rsidRPr="00C43C3C">
        <w:t>must be tracked when transp</w:t>
      </w:r>
      <w:r>
        <w:t>orted into, within or out of SA</w:t>
      </w:r>
      <w:r w:rsidRPr="00C43C3C">
        <w:t>. The waste consignor, transporter and receiving facility all have obligations to ensure that the waste is properly tracked.</w:t>
      </w:r>
      <w:r>
        <w:t xml:space="preserve"> </w:t>
      </w:r>
      <w:r w:rsidR="00CA0D5F">
        <w:t xml:space="preserve">Organic and putrescible waste are exempt from </w:t>
      </w:r>
      <w:r w:rsidR="00F51332">
        <w:t xml:space="preserve">tracking in </w:t>
      </w:r>
      <w:r w:rsidR="00CA0D5F">
        <w:t>SA</w:t>
      </w:r>
      <w:r w:rsidR="00F51332">
        <w:t xml:space="preserve">, </w:t>
      </w:r>
      <w:r w:rsidR="00CA0D5F">
        <w:t xml:space="preserve">see </w:t>
      </w:r>
      <w:r w:rsidR="00F51332">
        <w:t xml:space="preserve">Appendix A. </w:t>
      </w:r>
    </w:p>
    <w:p w14:paraId="5455D25B" w14:textId="77777777" w:rsidR="00770B30" w:rsidRDefault="00770B30" w:rsidP="00047982">
      <w:pPr>
        <w:pStyle w:val="NonTOCHeading3"/>
      </w:pPr>
      <w:r>
        <w:t xml:space="preserve">Enforcement against illegal dumping </w:t>
      </w:r>
    </w:p>
    <w:p w14:paraId="4B85EBF9" w14:textId="62D57E99" w:rsidR="00A439E5" w:rsidRPr="006A4816" w:rsidRDefault="00A439E5" w:rsidP="00A439E5">
      <w:pPr>
        <w:rPr>
          <w:rFonts w:eastAsia="Calibri" w:cs="Arial"/>
          <w:b/>
        </w:rPr>
      </w:pPr>
      <w:r>
        <w:rPr>
          <w:rFonts w:eastAsia="Calibri" w:cs="Arial"/>
          <w:b/>
        </w:rPr>
        <w:t xml:space="preserve">Waste reform bill: recovery of illegally obtained economic benefits </w:t>
      </w:r>
    </w:p>
    <w:p w14:paraId="6EA16065" w14:textId="1C55DAE6" w:rsidR="00A439E5" w:rsidRDefault="00A439E5" w:rsidP="00A439E5">
      <w:pPr>
        <w:pStyle w:val="RECnormaltext"/>
      </w:pPr>
      <w:r>
        <w:t>The amendment also discusses</w:t>
      </w:r>
      <w:r w:rsidRPr="00D1651E">
        <w:t xml:space="preserve"> the “effective recovery of illegally obtained economic benefits” and suggest that this will be a major deterrent for stockpiling.</w:t>
      </w:r>
      <w:r>
        <w:t xml:space="preserve"> </w:t>
      </w:r>
    </w:p>
    <w:p w14:paraId="3FFBF675" w14:textId="61B57338" w:rsidR="00A439E5" w:rsidRDefault="00A439E5" w:rsidP="00A439E5">
      <w:pPr>
        <w:pStyle w:val="RECnormaltext"/>
      </w:pPr>
      <w:r>
        <w:t xml:space="preserve">SA EPA have detailed the intention of their proposed policy for </w:t>
      </w:r>
      <w:r w:rsidRPr="00D1651E">
        <w:t>recovery of illegally obtained economic benefits</w:t>
      </w:r>
      <w:r>
        <w:t xml:space="preserve"> in </w:t>
      </w:r>
      <w:hyperlink r:id="rId57" w:history="1">
        <w:r w:rsidRPr="00842360">
          <w:rPr>
            <w:rStyle w:val="Hyperlink"/>
          </w:rPr>
          <w:t>Reforming waste management – Creating certainty for an industry to grow</w:t>
        </w:r>
      </w:hyperlink>
      <w:r>
        <w:rPr>
          <w:i/>
        </w:rPr>
        <w:t xml:space="preserve"> </w:t>
      </w:r>
      <w:r>
        <w:t>including the following extract</w:t>
      </w:r>
      <w:r>
        <w:rPr>
          <w:i/>
        </w:rPr>
        <w:t>.</w:t>
      </w:r>
      <w:r>
        <w:t xml:space="preserve"> </w:t>
      </w:r>
    </w:p>
    <w:p w14:paraId="402ABDF2" w14:textId="77777777" w:rsidR="00A439E5" w:rsidRPr="00842360" w:rsidRDefault="00A439E5" w:rsidP="00A439E5">
      <w:pPr>
        <w:pStyle w:val="RECnormaltext"/>
        <w:ind w:left="426" w:right="1088"/>
        <w:rPr>
          <w:b/>
        </w:rPr>
      </w:pPr>
      <w:r w:rsidRPr="00842360">
        <w:rPr>
          <w:b/>
        </w:rPr>
        <w:t>‘5.11.2 Overview of the proposed policy</w:t>
      </w:r>
    </w:p>
    <w:p w14:paraId="42C5C5C7" w14:textId="77777777" w:rsidR="00A439E5" w:rsidRDefault="00A439E5" w:rsidP="00A439E5">
      <w:pPr>
        <w:pStyle w:val="RECnormaltext"/>
        <w:ind w:left="426" w:right="1088"/>
      </w:pPr>
      <w:r>
        <w:t>The EPA has commenced working with other jurisdictions to develop policy that will promote a nationally consistent approach in recovering illegally obtained economic benefits. It is proposed that South Australia’s policy will address the following matters:</w:t>
      </w:r>
    </w:p>
    <w:p w14:paraId="38414D78" w14:textId="77777777" w:rsidR="00A439E5" w:rsidRDefault="00A439E5" w:rsidP="00A439E5">
      <w:pPr>
        <w:pStyle w:val="RECnormaltext"/>
        <w:ind w:left="426" w:right="1088"/>
      </w:pPr>
      <w:r w:rsidRPr="00842360">
        <w:rPr>
          <w:b/>
        </w:rPr>
        <w:t>1</w:t>
      </w:r>
      <w:r w:rsidRPr="00842360">
        <w:rPr>
          <w:b/>
        </w:rPr>
        <w:tab/>
        <w:t xml:space="preserve"> Principles of recovering illegally obtained economic benefit</w:t>
      </w:r>
    </w:p>
    <w:p w14:paraId="3C45B6D5" w14:textId="77777777" w:rsidR="00A439E5" w:rsidRDefault="00A439E5" w:rsidP="00A439E5">
      <w:pPr>
        <w:pStyle w:val="RECnormaltext"/>
        <w:ind w:left="1440" w:right="1088" w:hanging="720"/>
      </w:pPr>
      <w:r>
        <w:t>−</w:t>
      </w:r>
      <w:r>
        <w:tab/>
        <w:t>Remove competitive advantage of non-compliance: the removal of economic benefit from offenders will appropriately penalise offenders, deter future non-compliance and assist compliant operators who are currently disadvantaged by investing in compliant operation while non-compliant competitors are gaining economic benefits.</w:t>
      </w:r>
      <w:r>
        <w:tab/>
      </w:r>
    </w:p>
    <w:p w14:paraId="5983D2BC" w14:textId="0AAEA95E" w:rsidR="00A439E5" w:rsidRDefault="00A439E5" w:rsidP="00A439E5">
      <w:pPr>
        <w:pStyle w:val="RECnormaltext"/>
        <w:ind w:left="1440" w:right="1088" w:hanging="720"/>
      </w:pPr>
      <w:r>
        <w:t>−</w:t>
      </w:r>
      <w:r>
        <w:tab/>
        <w:t>Promote compliance: currently, those businesses that avoid complying with environmental obligations gain an economic benefit from the use of the avoided costs of compliance. The policy will ensure that this benefit is measured during the enforcement process and recovered where possible. This in turn will act as a better general deterrent to contravene environmental laws.</w:t>
      </w:r>
    </w:p>
    <w:p w14:paraId="31384978" w14:textId="360EAF0B" w:rsidR="00A439E5" w:rsidRDefault="00A439E5" w:rsidP="00A439E5">
      <w:pPr>
        <w:pStyle w:val="RECnormaltext"/>
        <w:ind w:left="426" w:right="1088"/>
      </w:pPr>
      <w:r w:rsidRPr="00842360">
        <w:rPr>
          <w:b/>
        </w:rPr>
        <w:t>2</w:t>
      </w:r>
      <w:r w:rsidRPr="00842360">
        <w:rPr>
          <w:b/>
        </w:rPr>
        <w:tab/>
        <w:t xml:space="preserve"> Methods used to calculate illegally obtained economic benefit</w:t>
      </w:r>
    </w:p>
    <w:p w14:paraId="57674BE5" w14:textId="21CA7E3F" w:rsidR="00A439E5" w:rsidRDefault="00A439E5" w:rsidP="00A439E5">
      <w:pPr>
        <w:pStyle w:val="RECnormaltext"/>
        <w:ind w:left="426" w:right="1088"/>
      </w:pPr>
      <w:r>
        <w:t>The policy will outline the process used to quantify the economic benefit that may accrue to a business from delayed or avoided compliance with environmental laws. It will also outline the evidence that might be gathered and used to provide the basis of quantifying economic benefit.</w:t>
      </w:r>
    </w:p>
    <w:p w14:paraId="30D77F16" w14:textId="77777777" w:rsidR="00A439E5" w:rsidRPr="00842360" w:rsidRDefault="00A439E5" w:rsidP="00A439E5">
      <w:pPr>
        <w:pStyle w:val="RECnormaltext"/>
        <w:ind w:left="426" w:right="1088"/>
        <w:rPr>
          <w:b/>
        </w:rPr>
      </w:pPr>
      <w:r w:rsidRPr="00842360">
        <w:rPr>
          <w:b/>
        </w:rPr>
        <w:t>3</w:t>
      </w:r>
      <w:r w:rsidRPr="00842360">
        <w:rPr>
          <w:b/>
        </w:rPr>
        <w:tab/>
        <w:t xml:space="preserve"> Process of recovering illegally obtained economic benefit</w:t>
      </w:r>
    </w:p>
    <w:p w14:paraId="5633423D" w14:textId="2373CAE4" w:rsidR="00A439E5" w:rsidRDefault="00A439E5" w:rsidP="00A439E5">
      <w:pPr>
        <w:pStyle w:val="RECnormaltext"/>
        <w:ind w:left="426" w:right="1088"/>
      </w:pPr>
      <w:r>
        <w:t>The policy will provide an explanation of when the EPA will seek the recovery of economic benefit in conjunction with an offence under the Act and how this will be presented to a court or judicial body.</w:t>
      </w:r>
    </w:p>
    <w:p w14:paraId="0780F06F" w14:textId="77777777" w:rsidR="00A439E5" w:rsidRPr="00842360" w:rsidRDefault="00A439E5" w:rsidP="00A439E5">
      <w:pPr>
        <w:pStyle w:val="RECnormaltext"/>
        <w:ind w:left="426" w:right="1088"/>
        <w:rPr>
          <w:b/>
        </w:rPr>
      </w:pPr>
      <w:r w:rsidRPr="00842360">
        <w:rPr>
          <w:b/>
        </w:rPr>
        <w:t>5.11.3 Key discussion points</w:t>
      </w:r>
    </w:p>
    <w:p w14:paraId="789496BB" w14:textId="66D6B9AE" w:rsidR="00A439E5" w:rsidRDefault="00A439E5" w:rsidP="00A439E5">
      <w:pPr>
        <w:pStyle w:val="RECnormaltext"/>
        <w:ind w:left="426" w:right="1088"/>
      </w:pPr>
      <w:r>
        <w:t>Within the waste and resource recovery sector, significant economic benefits can accrue from contraventions of the EP Act. Within the waste sector, due to the costs associated with the safe handling and lawful disposal of waste, the benefits of illegal dumping, excessive stockpiling and promotion of waste as ‘product’ can significantly outweigh the likely penalties available upon successful prosecution for matters such as a contravention of a condition of licence or even causing environmental harm.</w:t>
      </w:r>
    </w:p>
    <w:p w14:paraId="77677DEA" w14:textId="33E2070E" w:rsidR="00A439E5" w:rsidRPr="00D1651E" w:rsidRDefault="004D4040" w:rsidP="00A439E5">
      <w:pPr>
        <w:pStyle w:val="RECnormaltext"/>
        <w:ind w:left="426" w:right="1088"/>
      </w:pPr>
      <w:r>
        <w:rPr>
          <w:noProof/>
          <w:lang w:eastAsia="en-AU"/>
        </w:rPr>
        <mc:AlternateContent>
          <mc:Choice Requires="wps">
            <w:drawing>
              <wp:anchor distT="0" distB="0" distL="114300" distR="114300" simplePos="0" relativeHeight="251624448" behindDoc="0" locked="0" layoutInCell="1" allowOverlap="1" wp14:anchorId="42E6F3F4" wp14:editId="370C249E">
                <wp:simplePos x="0" y="0"/>
                <wp:positionH relativeFrom="margin">
                  <wp:posOffset>-10491</wp:posOffset>
                </wp:positionH>
                <wp:positionV relativeFrom="margin">
                  <wp:posOffset>7678420</wp:posOffset>
                </wp:positionV>
                <wp:extent cx="5814060" cy="1219200"/>
                <wp:effectExtent l="57150" t="38100" r="53340" b="76200"/>
                <wp:wrapSquare wrapText="bothSides"/>
                <wp:docPr id="29" name="Rectangle: Rounded Corners 29"/>
                <wp:cNvGraphicFramePr/>
                <a:graphic xmlns:a="http://schemas.openxmlformats.org/drawingml/2006/main">
                  <a:graphicData uri="http://schemas.microsoft.com/office/word/2010/wordprocessingShape">
                    <wps:wsp>
                      <wps:cNvSpPr/>
                      <wps:spPr>
                        <a:xfrm>
                          <a:off x="0" y="0"/>
                          <a:ext cx="5814060" cy="121920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601C0270" w14:textId="6F7F0083" w:rsidR="00067AC0" w:rsidRPr="00842360" w:rsidRDefault="00067AC0" w:rsidP="00FD3226">
                            <w:pPr>
                              <w:pStyle w:val="RECnormaltext"/>
                              <w:rPr>
                                <w:color w:val="FFFFFF" w:themeColor="background1"/>
                              </w:rPr>
                            </w:pPr>
                            <w:r>
                              <w:rPr>
                                <w:color w:val="FFFFFF" w:themeColor="background1"/>
                              </w:rPr>
                              <w:t>L</w:t>
                            </w:r>
                            <w:r w:rsidRPr="00842360">
                              <w:rPr>
                                <w:color w:val="FFFFFF" w:themeColor="background1"/>
                              </w:rPr>
                              <w:t xml:space="preserve">egislation that </w:t>
                            </w:r>
                            <w:r>
                              <w:rPr>
                                <w:color w:val="FFFFFF" w:themeColor="background1"/>
                              </w:rPr>
                              <w:t>allows</w:t>
                            </w:r>
                            <w:r w:rsidRPr="00842360">
                              <w:rPr>
                                <w:color w:val="FFFFFF" w:themeColor="background1"/>
                              </w:rPr>
                              <w:t xml:space="preserve"> the recovery of funds</w:t>
                            </w:r>
                            <w:r>
                              <w:rPr>
                                <w:color w:val="FFFFFF" w:themeColor="background1"/>
                              </w:rPr>
                              <w:t xml:space="preserve"> </w:t>
                            </w:r>
                            <w:r w:rsidRPr="00842360">
                              <w:rPr>
                                <w:color w:val="FFFFFF" w:themeColor="background1"/>
                              </w:rPr>
                              <w:t xml:space="preserve">obtained </w:t>
                            </w:r>
                            <w:r>
                              <w:rPr>
                                <w:color w:val="FFFFFF" w:themeColor="background1"/>
                              </w:rPr>
                              <w:t>by illegal activities</w:t>
                            </w:r>
                            <w:r w:rsidRPr="00842360">
                              <w:rPr>
                                <w:color w:val="FFFFFF" w:themeColor="background1"/>
                              </w:rPr>
                              <w:t xml:space="preserve"> is not unique and exists in many jurisdictions</w:t>
                            </w:r>
                            <w:r>
                              <w:rPr>
                                <w:color w:val="FFFFFF" w:themeColor="background1"/>
                              </w:rPr>
                              <w:t xml:space="preserve">. However, </w:t>
                            </w:r>
                            <w:r w:rsidRPr="00842360">
                              <w:rPr>
                                <w:color w:val="FFFFFF" w:themeColor="background1"/>
                              </w:rPr>
                              <w:t xml:space="preserve">SA was the only jurisdiction identified </w:t>
                            </w:r>
                            <w:r>
                              <w:rPr>
                                <w:color w:val="FFFFFF" w:themeColor="background1"/>
                              </w:rPr>
                              <w:t>with policy that will outline</w:t>
                            </w:r>
                            <w:r w:rsidRPr="00842360">
                              <w:rPr>
                                <w:color w:val="FFFFFF" w:themeColor="background1"/>
                              </w:rPr>
                              <w:t xml:space="preserve"> the </w:t>
                            </w:r>
                            <w:r>
                              <w:rPr>
                                <w:color w:val="FFFFFF" w:themeColor="background1"/>
                              </w:rPr>
                              <w:t xml:space="preserve">specific circumstances, method and process </w:t>
                            </w:r>
                            <w:r w:rsidRPr="00842360">
                              <w:rPr>
                                <w:color w:val="FFFFFF" w:themeColor="background1"/>
                              </w:rPr>
                              <w:t>for the recovery of</w:t>
                            </w:r>
                            <w:r>
                              <w:rPr>
                                <w:color w:val="FFFFFF" w:themeColor="background1"/>
                              </w:rPr>
                              <w:t xml:space="preserve"> funds from illegal</w:t>
                            </w:r>
                            <w:r w:rsidRPr="00842360">
                              <w:rPr>
                                <w:color w:val="FFFFFF" w:themeColor="background1"/>
                              </w:rPr>
                              <w:t xml:space="preserve"> stockpiling</w:t>
                            </w:r>
                            <w:r>
                              <w:rPr>
                                <w:color w:val="FFFFFF" w:themeColor="background1"/>
                              </w:rPr>
                              <w:t>.</w:t>
                            </w:r>
                            <w:r w:rsidRPr="00842360">
                              <w:rPr>
                                <w:color w:val="FFFFFF" w:themeColor="background1"/>
                              </w:rPr>
                              <w:t xml:space="preserve"> This should be</w:t>
                            </w:r>
                            <w:r>
                              <w:rPr>
                                <w:color w:val="FFFFFF" w:themeColor="background1"/>
                              </w:rPr>
                              <w:t xml:space="preserve"> a</w:t>
                            </w:r>
                            <w:r w:rsidRPr="00842360">
                              <w:rPr>
                                <w:color w:val="FFFFFF" w:themeColor="background1"/>
                              </w:rPr>
                              <w:t xml:space="preserve"> more effective deterrent </w:t>
                            </w:r>
                            <w:r>
                              <w:rPr>
                                <w:color w:val="FFFFFF" w:themeColor="background1"/>
                              </w:rPr>
                              <w:t xml:space="preserve">than </w:t>
                            </w:r>
                            <w:r w:rsidRPr="00842360">
                              <w:rPr>
                                <w:color w:val="FFFFFF" w:themeColor="background1"/>
                              </w:rPr>
                              <w:t xml:space="preserve">a general head of power to recover </w:t>
                            </w:r>
                            <w:r>
                              <w:rPr>
                                <w:color w:val="FFFFFF" w:themeColor="background1"/>
                              </w:rPr>
                              <w:t>profits made from ‘</w:t>
                            </w:r>
                            <w:r w:rsidRPr="00842360">
                              <w:rPr>
                                <w:color w:val="FFFFFF" w:themeColor="background1"/>
                              </w:rPr>
                              <w:t>breaking the law</w:t>
                            </w:r>
                            <w:r>
                              <w:rPr>
                                <w:color w:val="FFFFFF" w:themeColor="background1"/>
                              </w:rPr>
                              <w:t>’.</w:t>
                            </w:r>
                            <w:r w:rsidRPr="00842360">
                              <w:rPr>
                                <w:color w:val="FFFFFF" w:themeColor="background1"/>
                              </w:rPr>
                              <w:t xml:space="preserve"> </w:t>
                            </w:r>
                          </w:p>
                          <w:p w14:paraId="2D9664B2" w14:textId="77777777" w:rsidR="00067AC0" w:rsidRPr="00842360" w:rsidRDefault="00067AC0" w:rsidP="00FD3226">
                            <w:pPr>
                              <w:spacing w:after="0"/>
                              <w:rPr>
                                <w:color w:val="FFFFFF" w:themeColor="background1"/>
                              </w:rPr>
                            </w:pPr>
                            <w:r w:rsidRPr="00842360">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2E6F3F4" id="Rectangle: Rounded Corners 29" o:spid="_x0000_s1034" style="position:absolute;left:0;text-align:left;margin-left:-.85pt;margin-top:604.6pt;width:457.8pt;height:96pt;z-index:25162444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ApgIAALsFAAAOAAAAZHJzL2Uyb0RvYy54bWysVN1P2zAQf5+0/8Hy+0hTFQYRKaqKmCYx&#10;QMDEs+vYrTXb59luk+6v39lJA2ObkKb1IfXd/e774/yiM5rshA8KbE3LowklwnJolF3X9Ovj1YdT&#10;SkJktmEarKjpXgR6MX//7rx1lZjCBnQjPEEjNlStq+kmRlcVReAbYVg4AicsCiV4wyKSfl00nrVo&#10;3ehiOpmcFC34xnngIgTkXvZCOs/2pRQ83koZRCS6phhbzF+fv6v0LebnrFp75jaKD2Gwf4jCMGXR&#10;6WjqkkVGtl79Zsoo7iGAjEccTAFSKi5yDphNOXmVzcOGOZFzweIEN5Yp/D+z/GZ354lqajo9o8Qy&#10;gz26x6oxu9aiIvewtY1oyBK8xSYTBGHFWhcqVHxwd36gAj5T+p30Jv1jYqTLVd6PVRZdJByZx6fl&#10;bHKCzeAoK6flGfYxWS2e1Z0P8ZMAQ9Kjpj5FkaLKJWa76xB7/AGXXAbQqrlSWmcizY9Yak92DDsf&#10;uzKr6q35Ak3PO57gr+8/snFKXrExnDyFyUoO7hcH2iY3FpLDPpbEKVJl+lrkV9xrkXDa3guJVcbs&#10;+0BGy73T5ls5VCAjk4pEw6PSNEf/V6UBm9REnvlR8Q1vIzp7BBtHRaMs+De89vhD1n2uKe3Yrbo8&#10;UqcpqcRZQbPHMfPQ719w/EphZ69ZiHfM48LhNOARibf4kRramsLwomQD/sef+AmPe4BSSlpc4JqG&#10;71vmBSX6s8UNOStns7TxmZgdf5wi4V9KVi8ldmuWgJNS4rlyPD8TPurDU3owT3hrFskripjl6Lum&#10;PPoDsYz9YcFrxcVikWG45Y7Fa/vg+KH3aWgfuyfm3TDeETfjBg7LzqpXA95jU4csLLYRpMrT/1zX&#10;oQN4IfKcDtcsnaCXdEY939z5TwAAAP//AwBQSwMEFAAGAAgAAAAhAClA5V/jAAAADAEAAA8AAABk&#10;cnMvZG93bnJldi54bWxMj8tOwzAQRfdI/IM1SOxa2wEBCXEqWoIECKnqgwU7NzZJRDyOYjcNf8+w&#10;guXcObpzJl9MrmOjHULrUYGcC2AWK29arBXsd0+zO2AhajS682gVfNsAi+L8LNeZ8Sfc2HEba0Yl&#10;GDKtoImxzzgPVWOdDnPfW6Tdpx+cjjQONTeDPlG563gixA13ukW60OjerhpbfW2PTsFzeF3uSrny&#10;H49jv355fyvXS10qdXkxPdwDi3aKfzD86pM6FOR08Ec0gXUKZvKWSMoTkSbAiEjlVQrsQNG1kAnw&#10;Iuf/nyh+AAAA//8DAFBLAQItABQABgAIAAAAIQC2gziS/gAAAOEBAAATAAAAAAAAAAAAAAAAAAAA&#10;AABbQ29udGVudF9UeXBlc10ueG1sUEsBAi0AFAAGAAgAAAAhADj9If/WAAAAlAEAAAsAAAAAAAAA&#10;AAAAAAAALwEAAF9yZWxzLy5yZWxzUEsBAi0AFAAGAAgAAAAhAJ79b0CmAgAAuwUAAA4AAAAAAAAA&#10;AAAAAAAALgIAAGRycy9lMm9Eb2MueG1sUEsBAi0AFAAGAAgAAAAhAClA5V/jAAAADAEAAA8AAAAA&#10;AAAAAAAAAAAAAAUAAGRycy9kb3ducmV2LnhtbFBLBQYAAAAABAAEAPMAAAAQBgAAAAA=&#10;" fillcolor="gray [1629]" stroked="f">
                <v:shadow on="t" color="black" opacity="24903f" origin=",.5" offset="0,.55556mm"/>
                <v:textbox>
                  <w:txbxContent>
                    <w:p w14:paraId="601C0270" w14:textId="6F7F0083" w:rsidR="00067AC0" w:rsidRPr="00842360" w:rsidRDefault="00067AC0" w:rsidP="00FD3226">
                      <w:pPr>
                        <w:pStyle w:val="RECnormaltext"/>
                        <w:rPr>
                          <w:color w:val="FFFFFF" w:themeColor="background1"/>
                        </w:rPr>
                      </w:pPr>
                      <w:r>
                        <w:rPr>
                          <w:color w:val="FFFFFF" w:themeColor="background1"/>
                        </w:rPr>
                        <w:t>L</w:t>
                      </w:r>
                      <w:r w:rsidRPr="00842360">
                        <w:rPr>
                          <w:color w:val="FFFFFF" w:themeColor="background1"/>
                        </w:rPr>
                        <w:t xml:space="preserve">egislation that </w:t>
                      </w:r>
                      <w:r>
                        <w:rPr>
                          <w:color w:val="FFFFFF" w:themeColor="background1"/>
                        </w:rPr>
                        <w:t>allows</w:t>
                      </w:r>
                      <w:r w:rsidRPr="00842360">
                        <w:rPr>
                          <w:color w:val="FFFFFF" w:themeColor="background1"/>
                        </w:rPr>
                        <w:t xml:space="preserve"> the recovery of funds</w:t>
                      </w:r>
                      <w:r>
                        <w:rPr>
                          <w:color w:val="FFFFFF" w:themeColor="background1"/>
                        </w:rPr>
                        <w:t xml:space="preserve"> </w:t>
                      </w:r>
                      <w:r w:rsidRPr="00842360">
                        <w:rPr>
                          <w:color w:val="FFFFFF" w:themeColor="background1"/>
                        </w:rPr>
                        <w:t xml:space="preserve">obtained </w:t>
                      </w:r>
                      <w:r>
                        <w:rPr>
                          <w:color w:val="FFFFFF" w:themeColor="background1"/>
                        </w:rPr>
                        <w:t>by illegal activities</w:t>
                      </w:r>
                      <w:r w:rsidRPr="00842360">
                        <w:rPr>
                          <w:color w:val="FFFFFF" w:themeColor="background1"/>
                        </w:rPr>
                        <w:t xml:space="preserve"> is not unique and exists in many jurisdictions</w:t>
                      </w:r>
                      <w:r>
                        <w:rPr>
                          <w:color w:val="FFFFFF" w:themeColor="background1"/>
                        </w:rPr>
                        <w:t xml:space="preserve">. However, </w:t>
                      </w:r>
                      <w:r w:rsidRPr="00842360">
                        <w:rPr>
                          <w:color w:val="FFFFFF" w:themeColor="background1"/>
                        </w:rPr>
                        <w:t xml:space="preserve">SA was the only jurisdiction identified </w:t>
                      </w:r>
                      <w:r>
                        <w:rPr>
                          <w:color w:val="FFFFFF" w:themeColor="background1"/>
                        </w:rPr>
                        <w:t>with policy that will outline</w:t>
                      </w:r>
                      <w:r w:rsidRPr="00842360">
                        <w:rPr>
                          <w:color w:val="FFFFFF" w:themeColor="background1"/>
                        </w:rPr>
                        <w:t xml:space="preserve"> the </w:t>
                      </w:r>
                      <w:r>
                        <w:rPr>
                          <w:color w:val="FFFFFF" w:themeColor="background1"/>
                        </w:rPr>
                        <w:t xml:space="preserve">specific circumstances, method and process </w:t>
                      </w:r>
                      <w:r w:rsidRPr="00842360">
                        <w:rPr>
                          <w:color w:val="FFFFFF" w:themeColor="background1"/>
                        </w:rPr>
                        <w:t>for the recovery of</w:t>
                      </w:r>
                      <w:r>
                        <w:rPr>
                          <w:color w:val="FFFFFF" w:themeColor="background1"/>
                        </w:rPr>
                        <w:t xml:space="preserve"> funds from illegal</w:t>
                      </w:r>
                      <w:r w:rsidRPr="00842360">
                        <w:rPr>
                          <w:color w:val="FFFFFF" w:themeColor="background1"/>
                        </w:rPr>
                        <w:t xml:space="preserve"> stockpiling</w:t>
                      </w:r>
                      <w:r>
                        <w:rPr>
                          <w:color w:val="FFFFFF" w:themeColor="background1"/>
                        </w:rPr>
                        <w:t>.</w:t>
                      </w:r>
                      <w:r w:rsidRPr="00842360">
                        <w:rPr>
                          <w:color w:val="FFFFFF" w:themeColor="background1"/>
                        </w:rPr>
                        <w:t xml:space="preserve"> This should be</w:t>
                      </w:r>
                      <w:r>
                        <w:rPr>
                          <w:color w:val="FFFFFF" w:themeColor="background1"/>
                        </w:rPr>
                        <w:t xml:space="preserve"> a</w:t>
                      </w:r>
                      <w:r w:rsidRPr="00842360">
                        <w:rPr>
                          <w:color w:val="FFFFFF" w:themeColor="background1"/>
                        </w:rPr>
                        <w:t xml:space="preserve"> more effective deterrent </w:t>
                      </w:r>
                      <w:r>
                        <w:rPr>
                          <w:color w:val="FFFFFF" w:themeColor="background1"/>
                        </w:rPr>
                        <w:t xml:space="preserve">than </w:t>
                      </w:r>
                      <w:r w:rsidRPr="00842360">
                        <w:rPr>
                          <w:color w:val="FFFFFF" w:themeColor="background1"/>
                        </w:rPr>
                        <w:t xml:space="preserve">a general head of power to recover </w:t>
                      </w:r>
                      <w:r>
                        <w:rPr>
                          <w:color w:val="FFFFFF" w:themeColor="background1"/>
                        </w:rPr>
                        <w:t>profits made from ‘</w:t>
                      </w:r>
                      <w:r w:rsidRPr="00842360">
                        <w:rPr>
                          <w:color w:val="FFFFFF" w:themeColor="background1"/>
                        </w:rPr>
                        <w:t>breaking the law</w:t>
                      </w:r>
                      <w:r>
                        <w:rPr>
                          <w:color w:val="FFFFFF" w:themeColor="background1"/>
                        </w:rPr>
                        <w:t>’.</w:t>
                      </w:r>
                      <w:r w:rsidRPr="00842360">
                        <w:rPr>
                          <w:color w:val="FFFFFF" w:themeColor="background1"/>
                        </w:rPr>
                        <w:t xml:space="preserve"> </w:t>
                      </w:r>
                    </w:p>
                    <w:p w14:paraId="2D9664B2" w14:textId="77777777" w:rsidR="00067AC0" w:rsidRPr="00842360" w:rsidRDefault="00067AC0" w:rsidP="00FD3226">
                      <w:pPr>
                        <w:spacing w:after="0"/>
                        <w:rPr>
                          <w:color w:val="FFFFFF" w:themeColor="background1"/>
                        </w:rPr>
                      </w:pPr>
                      <w:r w:rsidRPr="00842360">
                        <w:rPr>
                          <w:color w:val="FFFFFF" w:themeColor="background1"/>
                        </w:rPr>
                        <w:t>.</w:t>
                      </w:r>
                    </w:p>
                  </w:txbxContent>
                </v:textbox>
                <w10:wrap type="square" anchorx="margin" anchory="margin"/>
              </v:roundrect>
            </w:pict>
          </mc:Fallback>
        </mc:AlternateContent>
      </w:r>
      <w:r w:rsidR="00A439E5">
        <w:t>The policy will assist the EPA to create a level playing field for business between those who comply with environmental laws and those who do not by removing the benefits of offending and promoting greater compliance with environmental laws. The policy can be expected to also benefit licensees and the courts by providing a transparent and consistent basis for action’ (page 67).</w:t>
      </w:r>
    </w:p>
    <w:p w14:paraId="14FD7059" w14:textId="6DD8DEA3" w:rsidR="00FE12BE" w:rsidRPr="006A4816" w:rsidRDefault="00FE12BE" w:rsidP="00FE12BE">
      <w:pPr>
        <w:spacing w:after="80"/>
        <w:rPr>
          <w:rFonts w:eastAsia="Calibri" w:cs="Arial"/>
        </w:rPr>
      </w:pPr>
      <w:r w:rsidRPr="006A4816">
        <w:rPr>
          <w:rFonts w:eastAsia="Calibri" w:cs="Arial"/>
        </w:rPr>
        <w:t>SA EPA has a dedicated Illegal Dumping Unit (IDU), which targets illegal waste activities such as illegal landfilling, dumping of hazardous wastes, commercial quantities of demolition and industrial waste, liquid waste, and waste businesses and transporters operating without an EPA licence.</w:t>
      </w:r>
    </w:p>
    <w:p w14:paraId="59CBCF29" w14:textId="640D1927" w:rsidR="00FE12BE" w:rsidRPr="00953A6F" w:rsidRDefault="00FE12BE" w:rsidP="00FE12BE">
      <w:pPr>
        <w:spacing w:after="80"/>
        <w:rPr>
          <w:rFonts w:eastAsia="Calibri" w:cs="Arial"/>
        </w:rPr>
      </w:pPr>
      <w:r w:rsidRPr="006A4816">
        <w:rPr>
          <w:rFonts w:eastAsia="Calibri" w:cs="Arial"/>
        </w:rPr>
        <w:t>SA also provides a hotline for members of the public to report suspicious activity.</w:t>
      </w:r>
    </w:p>
    <w:p w14:paraId="43811604" w14:textId="1E6464F2" w:rsidR="004773FB" w:rsidRDefault="004773FB" w:rsidP="00047982">
      <w:pPr>
        <w:pStyle w:val="NonTOCHeading3"/>
      </w:pPr>
      <w:r>
        <w:t>Landfill levy settings</w:t>
      </w:r>
    </w:p>
    <w:p w14:paraId="726E2A55" w14:textId="09121BD1" w:rsidR="00227F9A" w:rsidRPr="00227F9A" w:rsidRDefault="00FE12BE" w:rsidP="00227F9A">
      <w:pPr>
        <w:pStyle w:val="RECnormaltext"/>
      </w:pPr>
      <w:r>
        <w:rPr>
          <w:iCs/>
        </w:rPr>
        <w:t xml:space="preserve">The </w:t>
      </w:r>
      <w:hyperlink r:id="rId58" w:history="1">
        <w:r w:rsidRPr="00FE12BE">
          <w:rPr>
            <w:rStyle w:val="Hyperlink"/>
          </w:rPr>
          <w:t>SA EPA</w:t>
        </w:r>
      </w:hyperlink>
      <w:r>
        <w:rPr>
          <w:iCs/>
        </w:rPr>
        <w:t xml:space="preserve"> website publishes the current information regarding levy settings in SA as follows.</w:t>
      </w:r>
    </w:p>
    <w:p w14:paraId="165F1DA9" w14:textId="34D2521E" w:rsidR="007D354D" w:rsidRPr="00267977" w:rsidRDefault="003E2A9A" w:rsidP="007D354D">
      <w:pPr>
        <w:pStyle w:val="RECnormaltext"/>
        <w:ind w:left="426" w:right="804"/>
        <w:rPr>
          <w:b/>
        </w:rPr>
      </w:pPr>
      <w:r>
        <w:t>‘</w:t>
      </w:r>
      <w:r w:rsidRPr="007D354D">
        <w:t>Waste</w:t>
      </w:r>
      <w:r w:rsidR="007D354D" w:rsidRPr="00267977">
        <w:rPr>
          <w:b/>
        </w:rPr>
        <w:t xml:space="preserve"> levy rates 2017–18</w:t>
      </w:r>
    </w:p>
    <w:p w14:paraId="084417D6" w14:textId="77777777" w:rsidR="007D354D" w:rsidRDefault="007D354D" w:rsidP="007D354D">
      <w:pPr>
        <w:pStyle w:val="RECnormaltext"/>
        <w:ind w:left="426" w:right="804"/>
      </w:pPr>
      <w:r>
        <w:t>New levy rates apply from 1 July 2017–18 as foreshadowed in previous information about future levy rates.</w:t>
      </w:r>
    </w:p>
    <w:p w14:paraId="09A0862F" w14:textId="77777777" w:rsidR="007D354D" w:rsidRDefault="007D354D" w:rsidP="007D354D">
      <w:pPr>
        <w:pStyle w:val="RECnormaltext"/>
        <w:ind w:left="426" w:right="804"/>
      </w:pPr>
      <w:r>
        <w:t>The solid waste depot levy for waste produced in metropolitan Adelaide is:</w:t>
      </w:r>
    </w:p>
    <w:p w14:paraId="6E487C82" w14:textId="63636C31" w:rsidR="007D354D" w:rsidRDefault="007D354D" w:rsidP="00267977">
      <w:pPr>
        <w:pStyle w:val="RECnormaltext"/>
        <w:numPr>
          <w:ilvl w:val="0"/>
          <w:numId w:val="33"/>
        </w:numPr>
        <w:ind w:right="804"/>
      </w:pPr>
      <w:r>
        <w:t>1 July 2017–30 June 2018: $87 per tonne</w:t>
      </w:r>
    </w:p>
    <w:p w14:paraId="6DDD7358" w14:textId="77777777" w:rsidR="007D354D" w:rsidRDefault="007D354D" w:rsidP="007D354D">
      <w:pPr>
        <w:pStyle w:val="RECnormaltext"/>
        <w:ind w:left="426" w:right="804"/>
      </w:pPr>
      <w:r>
        <w:t>The solid waste depot levy for relevant waste produced in non-metropolitan Adelaide is:</w:t>
      </w:r>
    </w:p>
    <w:p w14:paraId="639EFB5D" w14:textId="77777777" w:rsidR="007D354D" w:rsidRDefault="007D354D" w:rsidP="00267977">
      <w:pPr>
        <w:pStyle w:val="RECnormaltext"/>
        <w:numPr>
          <w:ilvl w:val="0"/>
          <w:numId w:val="33"/>
        </w:numPr>
        <w:ind w:right="804"/>
      </w:pPr>
      <w:r>
        <w:t>1 July 2017–30 June 2018: $43.50 per tonne</w:t>
      </w:r>
    </w:p>
    <w:p w14:paraId="651E1D7D" w14:textId="77777777" w:rsidR="007D354D" w:rsidRDefault="007D354D" w:rsidP="007D354D">
      <w:pPr>
        <w:pStyle w:val="RECnormaltext"/>
        <w:ind w:left="426" w:right="804"/>
      </w:pPr>
      <w:r>
        <w:t>The liquid waste levy for 2017–18 is $35.81 per kilolitre.</w:t>
      </w:r>
    </w:p>
    <w:p w14:paraId="16857532" w14:textId="2DF4A0F0" w:rsidR="004F0095" w:rsidRDefault="007D354D" w:rsidP="007D354D">
      <w:pPr>
        <w:pStyle w:val="RECnormaltext"/>
        <w:ind w:left="426" w:right="804"/>
        <w:rPr>
          <w:b/>
        </w:rPr>
      </w:pPr>
      <w:r w:rsidRPr="00267977">
        <w:rPr>
          <w:b/>
        </w:rPr>
        <w:t>Reduced levy for asbestos</w:t>
      </w:r>
    </w:p>
    <w:p w14:paraId="7C8A3A7C" w14:textId="796799D5" w:rsidR="007D354D" w:rsidRDefault="007D354D" w:rsidP="007D354D">
      <w:pPr>
        <w:pStyle w:val="RECnormaltext"/>
        <w:ind w:left="426" w:right="804"/>
      </w:pPr>
      <w:r>
        <w:t>Building on the reduced rates introduced for asbestos waste in 2016–17, the State Government has announced that from 1 July 2017, no levy will apply for the disposal of packaged asbestos waste*, that is:</w:t>
      </w:r>
    </w:p>
    <w:p w14:paraId="3DF9372D" w14:textId="77777777" w:rsidR="007D354D" w:rsidRDefault="007D354D" w:rsidP="00267977">
      <w:pPr>
        <w:pStyle w:val="RECnormaltext"/>
        <w:numPr>
          <w:ilvl w:val="0"/>
          <w:numId w:val="33"/>
        </w:numPr>
        <w:ind w:right="804"/>
      </w:pPr>
      <w:r>
        <w:t>Metropolitan Adelaide: $0 per tonne</w:t>
      </w:r>
    </w:p>
    <w:p w14:paraId="1CC67BBD" w14:textId="77777777" w:rsidR="007D354D" w:rsidRDefault="007D354D" w:rsidP="00267977">
      <w:pPr>
        <w:pStyle w:val="RECnormaltext"/>
        <w:numPr>
          <w:ilvl w:val="0"/>
          <w:numId w:val="33"/>
        </w:numPr>
        <w:ind w:right="804"/>
      </w:pPr>
      <w:r>
        <w:t>Non-metropolitan Adelaide: $0 per tonne</w:t>
      </w:r>
    </w:p>
    <w:p w14:paraId="0585B298" w14:textId="77777777" w:rsidR="007D354D" w:rsidRDefault="007D354D" w:rsidP="007D354D">
      <w:pPr>
        <w:pStyle w:val="RECnormaltext"/>
        <w:ind w:left="426" w:right="804"/>
      </w:pPr>
      <w:r>
        <w:t>Under these requirements, asbestos waste needs to be presented appropriately packaged, secured and labelled to support its safe disposal at an appropriate facility.</w:t>
      </w:r>
    </w:p>
    <w:p w14:paraId="114D8C13" w14:textId="77777777" w:rsidR="007D354D" w:rsidRDefault="007D354D" w:rsidP="007D354D">
      <w:pPr>
        <w:pStyle w:val="RECnormaltext"/>
        <w:ind w:left="426" w:right="804"/>
      </w:pPr>
      <w:r>
        <w:t>* Meaning the disposal of asbestos waste that is packaged and disposed in accordance with:</w:t>
      </w:r>
    </w:p>
    <w:p w14:paraId="7CA5E17A" w14:textId="6E20648C" w:rsidR="007D354D" w:rsidRDefault="007D354D" w:rsidP="00267977">
      <w:pPr>
        <w:pStyle w:val="RECnormaltext"/>
        <w:numPr>
          <w:ilvl w:val="0"/>
          <w:numId w:val="70"/>
        </w:numPr>
        <w:ind w:right="804"/>
      </w:pPr>
      <w:r>
        <w:t>Chapter 8 of the Work, Health and Safety Regulations 2012, or the requirements for lawful unlicensed removalists as set out from time to time in the legislation and excluding asbestos-contaminated soil.</w:t>
      </w:r>
    </w:p>
    <w:p w14:paraId="02C7F39E" w14:textId="69969DA1" w:rsidR="007D354D" w:rsidRDefault="007D354D" w:rsidP="007D354D">
      <w:pPr>
        <w:pStyle w:val="RECnormaltext"/>
        <w:ind w:left="426" w:right="804"/>
      </w:pPr>
      <w:r>
        <w:t xml:space="preserve">'Asbestos waste' is any asbestos or ACM removed and disposable items used during asbestos removal work including plastic sheeting and disposal tools where asbestos containing material (ACM) mans any material or thing that, as part of its design, contains asbestos. </w:t>
      </w:r>
    </w:p>
    <w:p w14:paraId="289B3BAB" w14:textId="77777777" w:rsidR="007D354D" w:rsidRPr="00267977" w:rsidRDefault="007D354D" w:rsidP="007D354D">
      <w:pPr>
        <w:pStyle w:val="RECnormaltext"/>
        <w:ind w:left="426" w:right="804"/>
        <w:rPr>
          <w:b/>
        </w:rPr>
      </w:pPr>
      <w:r w:rsidRPr="00267977">
        <w:rPr>
          <w:b/>
        </w:rPr>
        <w:t>Future levy rates</w:t>
      </w:r>
    </w:p>
    <w:p w14:paraId="4CCB597E" w14:textId="22D7C51A" w:rsidR="004D4040" w:rsidRDefault="007D354D" w:rsidP="007D354D">
      <w:pPr>
        <w:pStyle w:val="RECnormaltext"/>
        <w:ind w:left="426" w:right="804"/>
      </w:pPr>
      <w:r>
        <w:t>In future years, the Government has announced that solid waste levy is intended to rise to the following rates per tonne.</w:t>
      </w:r>
    </w:p>
    <w:p w14:paraId="5A5807B9" w14:textId="078D65E4" w:rsidR="007D354D" w:rsidRPr="00267977" w:rsidRDefault="007D354D" w:rsidP="007D354D">
      <w:pPr>
        <w:pStyle w:val="RECnormaltext"/>
        <w:ind w:left="426" w:right="804"/>
        <w:rPr>
          <w:b/>
        </w:rPr>
      </w:pPr>
      <w:r>
        <w:t xml:space="preserve"> </w:t>
      </w:r>
      <w:r>
        <w:tab/>
      </w:r>
      <w:r>
        <w:tab/>
      </w:r>
      <w:r>
        <w:tab/>
      </w:r>
      <w:r w:rsidRPr="00267977">
        <w:rPr>
          <w:b/>
        </w:rPr>
        <w:t>2018–19</w:t>
      </w:r>
      <w:r w:rsidRPr="00267977">
        <w:rPr>
          <w:b/>
        </w:rPr>
        <w:tab/>
        <w:t>2019–20</w:t>
      </w:r>
    </w:p>
    <w:p w14:paraId="7E2D1AD2" w14:textId="6105D3B1" w:rsidR="007D354D" w:rsidRPr="00267977" w:rsidRDefault="007D354D" w:rsidP="007D354D">
      <w:pPr>
        <w:pStyle w:val="RECnormaltext"/>
        <w:ind w:left="426" w:right="804"/>
        <w:rPr>
          <w:u w:val="single"/>
        </w:rPr>
      </w:pPr>
      <w:r w:rsidRPr="00267977">
        <w:rPr>
          <w:u w:val="single"/>
        </w:rPr>
        <w:t>Metro</w:t>
      </w:r>
      <w:r w:rsidRPr="00267977">
        <w:rPr>
          <w:u w:val="single"/>
        </w:rPr>
        <w:tab/>
      </w:r>
      <w:r w:rsidRPr="00267977">
        <w:rPr>
          <w:u w:val="single"/>
        </w:rPr>
        <w:tab/>
        <w:t>$100</w:t>
      </w:r>
      <w:r w:rsidRPr="00267977">
        <w:rPr>
          <w:u w:val="single"/>
        </w:rPr>
        <w:tab/>
      </w:r>
      <w:r w:rsidRPr="00267977">
        <w:rPr>
          <w:u w:val="single"/>
        </w:rPr>
        <w:tab/>
        <w:t>$103</w:t>
      </w:r>
    </w:p>
    <w:p w14:paraId="241FD4B6" w14:textId="524836AB" w:rsidR="00227F9A" w:rsidRPr="00267977" w:rsidRDefault="007D354D">
      <w:pPr>
        <w:pStyle w:val="RECnormaltext"/>
        <w:ind w:left="426" w:right="804"/>
        <w:rPr>
          <w:i/>
          <w:u w:val="single"/>
        </w:rPr>
      </w:pPr>
      <w:r w:rsidRPr="00267977">
        <w:rPr>
          <w:u w:val="single"/>
        </w:rPr>
        <w:t>Non-metro</w:t>
      </w:r>
      <w:r w:rsidRPr="00267977">
        <w:rPr>
          <w:u w:val="single"/>
        </w:rPr>
        <w:tab/>
      </w:r>
      <w:r w:rsidRPr="00267977">
        <w:rPr>
          <w:u w:val="single"/>
        </w:rPr>
        <w:tab/>
        <w:t>$50</w:t>
      </w:r>
      <w:r w:rsidRPr="00267977">
        <w:rPr>
          <w:u w:val="single"/>
        </w:rPr>
        <w:tab/>
      </w:r>
      <w:r w:rsidRPr="00267977">
        <w:rPr>
          <w:u w:val="single"/>
        </w:rPr>
        <w:tab/>
        <w:t>$51.50</w:t>
      </w:r>
      <w:r w:rsidR="00227F9A" w:rsidRPr="00267977">
        <w:rPr>
          <w:u w:val="single"/>
        </w:rPr>
        <w:t>.</w:t>
      </w:r>
      <w:r w:rsidR="00A258E3" w:rsidRPr="00267977">
        <w:rPr>
          <w:u w:val="single"/>
        </w:rPr>
        <w:t>’</w:t>
      </w:r>
      <w:r w:rsidR="00227F9A" w:rsidRPr="00267977">
        <w:rPr>
          <w:i/>
          <w:u w:val="single"/>
        </w:rPr>
        <w:t> </w:t>
      </w:r>
    </w:p>
    <w:p w14:paraId="2329D880" w14:textId="77777777" w:rsidR="004773FB" w:rsidRDefault="004773FB">
      <w:pPr>
        <w:pStyle w:val="Heading2"/>
      </w:pPr>
      <w:bookmarkStart w:id="114" w:name="_Toc486940290"/>
      <w:bookmarkStart w:id="115" w:name="_Toc487045607"/>
      <w:bookmarkStart w:id="116" w:name="_Toc487102501"/>
      <w:bookmarkStart w:id="117" w:name="_Toc487103740"/>
      <w:bookmarkStart w:id="118" w:name="_Toc487103864"/>
      <w:bookmarkStart w:id="119" w:name="_Toc532990237"/>
      <w:bookmarkEnd w:id="114"/>
      <w:bookmarkEnd w:id="115"/>
      <w:bookmarkEnd w:id="116"/>
      <w:bookmarkEnd w:id="117"/>
      <w:bookmarkEnd w:id="118"/>
      <w:r>
        <w:t>Management</w:t>
      </w:r>
      <w:bookmarkEnd w:id="119"/>
      <w:r>
        <w:t xml:space="preserve"> </w:t>
      </w:r>
    </w:p>
    <w:p w14:paraId="176375ED" w14:textId="77777777" w:rsidR="004773FB" w:rsidRDefault="004773FB" w:rsidP="00047982">
      <w:pPr>
        <w:pStyle w:val="NonTOCHeading3"/>
      </w:pPr>
      <w:r>
        <w:t xml:space="preserve">Stockpile restrictions </w:t>
      </w:r>
    </w:p>
    <w:p w14:paraId="6E2D288D" w14:textId="16C1C6B1" w:rsidR="00FA60A0" w:rsidRPr="00A258E3" w:rsidRDefault="00A25707" w:rsidP="00FA60A0">
      <w:pPr>
        <w:spacing w:after="80"/>
        <w:rPr>
          <w:rFonts w:eastAsia="Calibri" w:cs="Arial"/>
        </w:rPr>
      </w:pPr>
      <w:r w:rsidRPr="006A4816">
        <w:t xml:space="preserve">EPA SA </w:t>
      </w:r>
      <w:hyperlink r:id="rId59" w:history="1">
        <w:r w:rsidRPr="00FA60A0">
          <w:rPr>
            <w:rStyle w:val="Hyperlink"/>
            <w:rFonts w:ascii="Calibri" w:hAnsi="Calibri"/>
          </w:rPr>
          <w:t>Guideline for stockpile management</w:t>
        </w:r>
      </w:hyperlink>
      <w:r w:rsidRPr="006A4816">
        <w:rPr>
          <w:i/>
        </w:rPr>
        <w:t>: Waste and waste derived products for recycling and reuse</w:t>
      </w:r>
      <w:r w:rsidR="00FA60A0">
        <w:t xml:space="preserve"> </w:t>
      </w:r>
      <w:r w:rsidRPr="006A4816">
        <w:t>publication focuses mainly on stockpile management issues such as location within a site, height, stability, end market opportunities and suggested stockpile life</w:t>
      </w:r>
      <w:r w:rsidR="00FA60A0">
        <w:t xml:space="preserve">. </w:t>
      </w:r>
      <w:r w:rsidR="00FA60A0" w:rsidRPr="006A4816">
        <w:rPr>
          <w:rFonts w:eastAsia="Calibri" w:cs="Arial"/>
        </w:rPr>
        <w:t xml:space="preserve">The </w:t>
      </w:r>
      <w:r w:rsidR="00FA60A0">
        <w:rPr>
          <w:rFonts w:eastAsia="Calibri" w:cs="Arial"/>
        </w:rPr>
        <w:t>g</w:t>
      </w:r>
      <w:r w:rsidR="00FA60A0" w:rsidRPr="006A4816">
        <w:rPr>
          <w:rFonts w:eastAsia="Calibri" w:cs="Arial"/>
        </w:rPr>
        <w:t xml:space="preserve">uideline </w:t>
      </w:r>
      <w:r w:rsidR="00FA60A0">
        <w:rPr>
          <w:rFonts w:eastAsia="Calibri" w:cs="Arial"/>
        </w:rPr>
        <w:t>s</w:t>
      </w:r>
      <w:r w:rsidR="00FA60A0" w:rsidRPr="006A4816">
        <w:rPr>
          <w:rFonts w:eastAsia="Calibri" w:cs="Arial"/>
        </w:rPr>
        <w:t>tates:</w:t>
      </w:r>
      <w:r w:rsidR="00FA60A0">
        <w:rPr>
          <w:rFonts w:eastAsia="Calibri" w:cs="Arial"/>
        </w:rPr>
        <w:t xml:space="preserve"> </w:t>
      </w:r>
      <w:r w:rsidR="00FA60A0" w:rsidRPr="006A4816">
        <w:rPr>
          <w:rFonts w:eastAsia="Calibri" w:cs="Arial"/>
          <w:i/>
        </w:rPr>
        <w:t xml:space="preserve">“… </w:t>
      </w:r>
      <w:r w:rsidR="00FA60A0" w:rsidRPr="00A258E3">
        <w:rPr>
          <w:rFonts w:eastAsia="Calibri" w:cs="Arial"/>
        </w:rPr>
        <w:t>the EPA does not generally support storage or stockpiling of materials awaiting recycling or reuse for longer than six months in order to reduce potential abandonments or speculative indefinite stockpiling.”</w:t>
      </w:r>
    </w:p>
    <w:p w14:paraId="7AF7C7BE" w14:textId="296432E0" w:rsidR="00A25707" w:rsidRDefault="00322CCD" w:rsidP="00A25707">
      <w:pPr>
        <w:rPr>
          <w:rFonts w:eastAsia="Calibri" w:cs="Arial"/>
          <w:b/>
        </w:rPr>
      </w:pPr>
      <w:r>
        <w:rPr>
          <w:rFonts w:eastAsia="Calibri" w:cs="Arial"/>
          <w:b/>
        </w:rPr>
        <w:t>Waste reform bill: m</w:t>
      </w:r>
      <w:r w:rsidR="00A25707" w:rsidRPr="00953A6F">
        <w:rPr>
          <w:rFonts w:eastAsia="Calibri" w:cs="Arial"/>
          <w:b/>
        </w:rPr>
        <w:t>anagement</w:t>
      </w:r>
    </w:p>
    <w:p w14:paraId="0400790C" w14:textId="2C69DB69" w:rsidR="00322CCD" w:rsidRDefault="00DF414D" w:rsidP="00DF414D">
      <w:pPr>
        <w:pStyle w:val="RECnormaltext"/>
      </w:pPr>
      <w:r>
        <w:t>As discussed above the SA reforms will bring into action a m</w:t>
      </w:r>
      <w:r w:rsidRPr="00DF414D">
        <w:t xml:space="preserve">ass balance reporting and upfront levy payment </w:t>
      </w:r>
      <w:r>
        <w:t xml:space="preserve">systems that is </w:t>
      </w:r>
      <w:r w:rsidRPr="00DF414D">
        <w:t>similar to the NSW mode</w:t>
      </w:r>
      <w:r>
        <w:t>l</w:t>
      </w:r>
      <w:r w:rsidRPr="00DF414D">
        <w:t>.</w:t>
      </w:r>
      <w:r>
        <w:t xml:space="preserve"> It will also i</w:t>
      </w:r>
      <w:r w:rsidRPr="00DF414D">
        <w:t>mprov</w:t>
      </w:r>
      <w:r>
        <w:t xml:space="preserve">e </w:t>
      </w:r>
      <w:r w:rsidRPr="00DF414D">
        <w:t>licence controls including limits on tonnages and the use of audits.</w:t>
      </w:r>
      <w:r>
        <w:t xml:space="preserve"> </w:t>
      </w:r>
      <w:r w:rsidRPr="006A4816">
        <w:rPr>
          <w:rFonts w:eastAsia="Calibri"/>
        </w:rPr>
        <w:t>The explanatory paper states</w:t>
      </w:r>
      <w:r>
        <w:rPr>
          <w:rFonts w:eastAsia="Calibri"/>
        </w:rPr>
        <w:t>:</w:t>
      </w:r>
    </w:p>
    <w:p w14:paraId="0EB6BDA3" w14:textId="65FBD48C" w:rsidR="00A25707" w:rsidRPr="00A258E3" w:rsidRDefault="00A258E3" w:rsidP="00A258E3">
      <w:pPr>
        <w:spacing w:after="80"/>
        <w:ind w:left="426" w:right="804"/>
        <w:rPr>
          <w:rFonts w:eastAsia="Calibri" w:cs="Arial"/>
        </w:rPr>
      </w:pPr>
      <w:r>
        <w:rPr>
          <w:rFonts w:eastAsia="Calibri" w:cs="Arial"/>
        </w:rPr>
        <w:t>‘</w:t>
      </w:r>
      <w:r w:rsidR="00A25707" w:rsidRPr="00A258E3">
        <w:rPr>
          <w:rFonts w:eastAsia="Calibri" w:cs="Arial"/>
        </w:rPr>
        <w:t>Amendment of section 45 Conditions</w:t>
      </w:r>
    </w:p>
    <w:p w14:paraId="1395C233" w14:textId="437509CF" w:rsidR="00A25707" w:rsidRDefault="00A25707" w:rsidP="00A258E3">
      <w:pPr>
        <w:spacing w:after="80"/>
        <w:ind w:left="426" w:right="804"/>
        <w:rPr>
          <w:rFonts w:eastAsia="Calibri" w:cs="Arial"/>
        </w:rPr>
      </w:pPr>
      <w:r w:rsidRPr="00A258E3">
        <w:rPr>
          <w:rFonts w:eastAsia="Calibri" w:cs="Arial"/>
        </w:rPr>
        <w:t>The proposed new subsection 45(3)(c) of the EP Act allows the EPA to impose or vary a condition of an environmental authorisation (such as a licence condition) imposing a maximum allowable stockpile limit at any time if the EPA considers it necessary to promote the circulation of materials through the waste management process</w:t>
      </w:r>
      <w:r w:rsidR="00A258E3">
        <w:rPr>
          <w:rFonts w:eastAsia="Calibri" w:cs="Arial"/>
        </w:rPr>
        <w:t>’</w:t>
      </w:r>
      <w:r w:rsidR="00322CCD" w:rsidRPr="00A258E3">
        <w:rPr>
          <w:rFonts w:eastAsia="Calibri" w:cs="Arial"/>
        </w:rPr>
        <w:t xml:space="preserve"> </w:t>
      </w:r>
      <w:r w:rsidRPr="00A258E3">
        <w:rPr>
          <w:rFonts w:eastAsia="Calibri" w:cs="Arial"/>
        </w:rPr>
        <w:t xml:space="preserve">(page 16). </w:t>
      </w:r>
    </w:p>
    <w:p w14:paraId="3C620D61" w14:textId="77777777" w:rsidR="004773FB" w:rsidRDefault="004773FB" w:rsidP="00047982">
      <w:pPr>
        <w:pStyle w:val="NonTOCHeading3"/>
      </w:pPr>
      <w:r>
        <w:t>Stockpile reporting</w:t>
      </w:r>
    </w:p>
    <w:p w14:paraId="18A8291E" w14:textId="006F3DED" w:rsidR="004773FB" w:rsidRPr="00DE7710" w:rsidRDefault="00530191" w:rsidP="004773FB">
      <w:pPr>
        <w:pStyle w:val="RECnormaltext"/>
      </w:pPr>
      <w:r>
        <w:t xml:space="preserve">No specific reporting requirements were </w:t>
      </w:r>
      <w:r w:rsidRPr="00E45B05">
        <w:t>identified</w:t>
      </w:r>
      <w:r>
        <w:t xml:space="preserve"> for hazardous waste stockpiles.</w:t>
      </w:r>
      <w:r w:rsidR="00ED14D6">
        <w:t xml:space="preserve"> </w:t>
      </w:r>
      <w:r w:rsidR="0001208B">
        <w:t>However,</w:t>
      </w:r>
      <w:r>
        <w:t xml:space="preserve"> this will change under the proposed reforms. It is not yet clear how reporting will work under the reforms, however, it may be similar to the NSW EPA reporting requirements for stockpile tonnages on site each year and the amount of stockpile drawdown or growth.</w:t>
      </w:r>
    </w:p>
    <w:p w14:paraId="063E2670" w14:textId="77777777" w:rsidR="004773FB" w:rsidRDefault="004773FB" w:rsidP="00047982">
      <w:pPr>
        <w:pStyle w:val="NonTOCHeading3"/>
      </w:pPr>
      <w:r>
        <w:t xml:space="preserve">Stockpile controls </w:t>
      </w:r>
    </w:p>
    <w:p w14:paraId="1955558E" w14:textId="22F03CC2" w:rsidR="004773FB" w:rsidRDefault="009C6DE6" w:rsidP="004773FB">
      <w:pPr>
        <w:pStyle w:val="RECnormaltext"/>
      </w:pPr>
      <w:r w:rsidRPr="006A4816">
        <w:t xml:space="preserve">EPA SA </w:t>
      </w:r>
      <w:hyperlink r:id="rId60" w:history="1">
        <w:r w:rsidRPr="00FA60A0">
          <w:rPr>
            <w:rStyle w:val="Hyperlink"/>
            <w:rFonts w:ascii="Calibri" w:hAnsi="Calibri"/>
          </w:rPr>
          <w:t>Guideline for stockpile management</w:t>
        </w:r>
      </w:hyperlink>
      <w:r w:rsidRPr="006A4816">
        <w:rPr>
          <w:i/>
        </w:rPr>
        <w:t>: Waste and waste derived products for recycling and reuse</w:t>
      </w:r>
      <w:r>
        <w:t xml:space="preserve"> </w:t>
      </w:r>
      <w:r w:rsidRPr="006A4816">
        <w:t xml:space="preserve">publication </w:t>
      </w:r>
      <w:r>
        <w:t xml:space="preserve">provides detailed guidance </w:t>
      </w:r>
      <w:r w:rsidRPr="006A4816">
        <w:t>focuses mainly on stockpile management issues such as location within a site, height, stability, end market opportunities and suggested stockpile life</w:t>
      </w:r>
      <w:r>
        <w:t>.</w:t>
      </w:r>
    </w:p>
    <w:p w14:paraId="79BFEB45" w14:textId="77777777" w:rsidR="004773FB" w:rsidRDefault="004773FB" w:rsidP="00047982">
      <w:pPr>
        <w:pStyle w:val="NonTOCHeading3"/>
      </w:pPr>
      <w:r>
        <w:t>Emergency planning</w:t>
      </w:r>
    </w:p>
    <w:p w14:paraId="52B1A93B" w14:textId="2FD14607" w:rsidR="004773FB" w:rsidRDefault="004773FB" w:rsidP="004773FB">
      <w:r>
        <w:t>No specific emergency planning requirements were identified for hazardous waste stockpiles.</w:t>
      </w:r>
      <w:r w:rsidRPr="000122D4">
        <w:t xml:space="preserve"> </w:t>
      </w:r>
    </w:p>
    <w:p w14:paraId="5568FF0F" w14:textId="7557AAC0" w:rsidR="00B60A99" w:rsidRDefault="00B60A99" w:rsidP="00B60A99">
      <w:pPr>
        <w:spacing w:after="80"/>
        <w:rPr>
          <w:rFonts w:eastAsia="Calibri" w:cs="Arial"/>
        </w:rPr>
      </w:pPr>
      <w:r w:rsidRPr="00A82BDA">
        <w:rPr>
          <w:rFonts w:eastAsia="Calibri" w:cs="Arial"/>
        </w:rPr>
        <w:t xml:space="preserve">The </w:t>
      </w:r>
      <w:hyperlink r:id="rId61" w:history="1">
        <w:r w:rsidRPr="00A82BDA">
          <w:rPr>
            <w:rStyle w:val="Hyperlink"/>
            <w:rFonts w:ascii="Calibri" w:eastAsia="Calibri" w:hAnsi="Calibri" w:cs="Arial"/>
          </w:rPr>
          <w:t>General Guidelines for Rubber Tyre Storage</w:t>
        </w:r>
      </w:hyperlink>
      <w:r w:rsidRPr="00A82BDA">
        <w:rPr>
          <w:rFonts w:eastAsia="Calibri" w:cs="Arial"/>
        </w:rPr>
        <w:t xml:space="preserve"> developed by the SA Fire Authorities provide guidance for indoor and outdoor storage of waste tyres.</w:t>
      </w:r>
    </w:p>
    <w:p w14:paraId="598F80F2" w14:textId="77777777" w:rsidR="004773FB" w:rsidRDefault="004773FB">
      <w:pPr>
        <w:pStyle w:val="Heading2"/>
      </w:pPr>
      <w:bookmarkStart w:id="120" w:name="_Toc486940292"/>
      <w:bookmarkStart w:id="121" w:name="_Toc487045609"/>
      <w:bookmarkStart w:id="122" w:name="_Toc487102503"/>
      <w:bookmarkStart w:id="123" w:name="_Toc487103742"/>
      <w:bookmarkStart w:id="124" w:name="_Toc487103866"/>
      <w:bookmarkStart w:id="125" w:name="_Toc532990238"/>
      <w:bookmarkEnd w:id="120"/>
      <w:bookmarkEnd w:id="121"/>
      <w:bookmarkEnd w:id="122"/>
      <w:bookmarkEnd w:id="123"/>
      <w:bookmarkEnd w:id="124"/>
      <w:r>
        <w:t>Clearance</w:t>
      </w:r>
      <w:bookmarkEnd w:id="125"/>
      <w:r>
        <w:t xml:space="preserve"> </w:t>
      </w:r>
    </w:p>
    <w:p w14:paraId="7152998E" w14:textId="6A3880A8" w:rsidR="004773FB" w:rsidRDefault="004773FB" w:rsidP="00047982">
      <w:pPr>
        <w:pStyle w:val="NonTOCHeading3"/>
      </w:pPr>
      <w:r>
        <w:t>Financial assurance</w:t>
      </w:r>
    </w:p>
    <w:p w14:paraId="13AD6C4D" w14:textId="3F3E8482" w:rsidR="003871EB" w:rsidRDefault="0007002F" w:rsidP="003871EB">
      <w:pPr>
        <w:pStyle w:val="RECnormaltext"/>
      </w:pPr>
      <w:r>
        <w:rPr>
          <w:rFonts w:eastAsia="Calibri"/>
        </w:rPr>
        <w:t>It is unclear if SA EPA currently require financial assurances for sites stockpiling hazardous wastes. It is clear, however, that the proposed reforms intend to put in place requirements for financial assurance for waste stockpiling in SA</w:t>
      </w:r>
      <w:r w:rsidR="003871EB">
        <w:rPr>
          <w:rFonts w:eastAsia="Calibri"/>
        </w:rPr>
        <w:t xml:space="preserve"> where there is risk of environmental harm. </w:t>
      </w:r>
      <w:r w:rsidR="003871EB" w:rsidRPr="003871EB">
        <w:t xml:space="preserve"> </w:t>
      </w:r>
      <w:r w:rsidR="003871EB">
        <w:t xml:space="preserve">The </w:t>
      </w:r>
      <w:hyperlink r:id="rId62" w:history="1">
        <w:r w:rsidR="003871EB" w:rsidRPr="00133AC7">
          <w:rPr>
            <w:rStyle w:val="Hyperlink"/>
            <w:rFonts w:ascii="Calibri" w:eastAsia="Calibri" w:hAnsi="Calibri"/>
          </w:rPr>
          <w:t>Explanatory paper: consultation draft Environment Protection (Waste Reform) Amendment Bill 2016</w:t>
        </w:r>
      </w:hyperlink>
      <w:r w:rsidR="003871EB">
        <w:t xml:space="preserve"> explains that:</w:t>
      </w:r>
    </w:p>
    <w:p w14:paraId="6A54E1DC" w14:textId="28B560E4" w:rsidR="00A25707" w:rsidRDefault="003871EB" w:rsidP="003871EB">
      <w:pPr>
        <w:pStyle w:val="RECnormaltext"/>
        <w:ind w:left="426" w:right="1088"/>
        <w:rPr>
          <w:rFonts w:eastAsia="Calibri"/>
        </w:rPr>
      </w:pPr>
      <w:r>
        <w:t>‘</w:t>
      </w:r>
      <w:r w:rsidRPr="003871EB">
        <w:rPr>
          <w:rFonts w:eastAsia="Calibri"/>
        </w:rPr>
        <w:t>the substitution of section 51 of the EP Act that sets out the provisions around financial</w:t>
      </w:r>
      <w:r>
        <w:rPr>
          <w:rFonts w:eastAsia="Calibri"/>
        </w:rPr>
        <w:t xml:space="preserve"> </w:t>
      </w:r>
      <w:r w:rsidRPr="003871EB">
        <w:rPr>
          <w:rFonts w:eastAsia="Calibri"/>
        </w:rPr>
        <w:t>assurances that may be required as a condition of an environmental authorisation. The proposed new section 51 sets out</w:t>
      </w:r>
      <w:r>
        <w:rPr>
          <w:rFonts w:eastAsia="Calibri"/>
        </w:rPr>
        <w:t xml:space="preserve"> </w:t>
      </w:r>
      <w:r w:rsidRPr="003871EB">
        <w:rPr>
          <w:rFonts w:eastAsia="Calibri"/>
        </w:rPr>
        <w:t>the kinds of financial assurances that may be required and clarifies the purposes for which a financial assurance may be</w:t>
      </w:r>
      <w:r>
        <w:rPr>
          <w:rFonts w:eastAsia="Calibri"/>
        </w:rPr>
        <w:t xml:space="preserve"> </w:t>
      </w:r>
      <w:r w:rsidRPr="003871EB">
        <w:rPr>
          <w:rFonts w:eastAsia="Calibri"/>
        </w:rPr>
        <w:t>sought to include any costs associated with making good any environmental damage as a result of a contravention. The</w:t>
      </w:r>
      <w:r>
        <w:rPr>
          <w:rFonts w:eastAsia="Calibri"/>
        </w:rPr>
        <w:t xml:space="preserve"> </w:t>
      </w:r>
      <w:r w:rsidRPr="003871EB">
        <w:rPr>
          <w:rFonts w:eastAsia="Calibri"/>
        </w:rPr>
        <w:t>proposed new subsection 51(1)(c) specifies that a financial assurance may take the form of a policy of insurance and</w:t>
      </w:r>
      <w:r>
        <w:rPr>
          <w:rFonts w:eastAsia="Calibri"/>
        </w:rPr>
        <w:t xml:space="preserve"> </w:t>
      </w:r>
      <w:r w:rsidRPr="003871EB">
        <w:rPr>
          <w:rFonts w:eastAsia="Calibri"/>
        </w:rPr>
        <w:t>subsection 51(6) outlines the provisions applying to a policy of insurance.</w:t>
      </w:r>
      <w:r>
        <w:rPr>
          <w:rFonts w:eastAsia="Calibri"/>
        </w:rPr>
        <w:t xml:space="preserve"> </w:t>
      </w:r>
      <w:r w:rsidRPr="003871EB">
        <w:rPr>
          <w:rFonts w:eastAsia="Calibri"/>
        </w:rPr>
        <w:t>Clause 18 also allows the EPA to amend a licence condition at any time to require a financial assurance. The clause also</w:t>
      </w:r>
      <w:r>
        <w:rPr>
          <w:rFonts w:eastAsia="Calibri"/>
        </w:rPr>
        <w:t xml:space="preserve"> </w:t>
      </w:r>
      <w:r w:rsidRPr="003871EB">
        <w:rPr>
          <w:rFonts w:eastAsia="Calibri"/>
        </w:rPr>
        <w:t>provides that the EPA may require a financial assurance as part of an application for an environmental authorisation and</w:t>
      </w:r>
      <w:r>
        <w:rPr>
          <w:rFonts w:eastAsia="Calibri"/>
        </w:rPr>
        <w:t xml:space="preserve"> </w:t>
      </w:r>
      <w:r w:rsidRPr="003871EB">
        <w:rPr>
          <w:rFonts w:eastAsia="Calibri"/>
        </w:rPr>
        <w:t>that the financial assurance can extend to when no clean up or remediation is required even following cessation of the</w:t>
      </w:r>
      <w:r>
        <w:rPr>
          <w:rFonts w:eastAsia="Calibri"/>
        </w:rPr>
        <w:t xml:space="preserve"> </w:t>
      </w:r>
      <w:r w:rsidRPr="003871EB">
        <w:rPr>
          <w:rFonts w:eastAsia="Calibri"/>
        </w:rPr>
        <w:t>activity</w:t>
      </w:r>
      <w:r>
        <w:rPr>
          <w:rFonts w:eastAsia="Calibri"/>
        </w:rPr>
        <w:t>’ (page 17)</w:t>
      </w:r>
      <w:r w:rsidRPr="003871EB">
        <w:rPr>
          <w:rFonts w:eastAsia="Calibri"/>
        </w:rPr>
        <w:t>.</w:t>
      </w:r>
    </w:p>
    <w:p w14:paraId="5AF75583" w14:textId="77777777" w:rsidR="00AA2C20" w:rsidRDefault="00AA2C20" w:rsidP="00047982">
      <w:pPr>
        <w:pStyle w:val="NonTOCHeading3"/>
      </w:pPr>
      <w:r>
        <w:t>Government trust or f</w:t>
      </w:r>
      <w:r w:rsidRPr="00C24D71">
        <w:t xml:space="preserve">unds </w:t>
      </w:r>
      <w:r>
        <w:t xml:space="preserve">for </w:t>
      </w:r>
      <w:r w:rsidRPr="00C24D71">
        <w:t>abandoned stockpiles</w:t>
      </w:r>
    </w:p>
    <w:p w14:paraId="5D987B73" w14:textId="77777777" w:rsidR="00AA2C20" w:rsidRDefault="00AA2C20" w:rsidP="00AA2C20">
      <w:pPr>
        <w:pStyle w:val="RECnormaltext"/>
      </w:pPr>
      <w:r>
        <w:t>No g</w:t>
      </w:r>
      <w:r w:rsidRPr="00C77989">
        <w:t>overnment trust or funds for abandoned stockpiles</w:t>
      </w:r>
      <w:r>
        <w:t xml:space="preserve"> were </w:t>
      </w:r>
      <w:r w:rsidRPr="00E45B05">
        <w:t>identified</w:t>
      </w:r>
      <w:r>
        <w:t>.</w:t>
      </w:r>
    </w:p>
    <w:p w14:paraId="2BF258B3" w14:textId="5152D8AE" w:rsidR="009950FA" w:rsidRDefault="00FB64F2">
      <w:pPr>
        <w:pStyle w:val="Heading1"/>
      </w:pPr>
      <w:bookmarkStart w:id="126" w:name="_Toc532990239"/>
      <w:r>
        <w:t>Tasmania</w:t>
      </w:r>
      <w:r w:rsidR="009950FA">
        <w:t xml:space="preserve"> framework for hazardous waste stockpiles</w:t>
      </w:r>
      <w:bookmarkEnd w:id="126"/>
    </w:p>
    <w:p w14:paraId="0B41A6F8" w14:textId="77777777" w:rsidR="009950FA" w:rsidRDefault="009950FA">
      <w:pPr>
        <w:pStyle w:val="Heading2"/>
      </w:pPr>
      <w:bookmarkStart w:id="127" w:name="_Toc532990240"/>
      <w:r>
        <w:t>Stockpile prevention</w:t>
      </w:r>
      <w:bookmarkEnd w:id="127"/>
    </w:p>
    <w:p w14:paraId="1171B02B" w14:textId="77777777" w:rsidR="004A6971" w:rsidRDefault="004A6971" w:rsidP="00047982">
      <w:pPr>
        <w:pStyle w:val="NonTOCHeading3"/>
      </w:pPr>
      <w:r>
        <w:t>H</w:t>
      </w:r>
      <w:r w:rsidRPr="008722E7">
        <w:t>azardous waste minimisation reporting</w:t>
      </w:r>
      <w:r>
        <w:t xml:space="preserve"> for generators</w:t>
      </w:r>
    </w:p>
    <w:p w14:paraId="51802056" w14:textId="573B3960" w:rsidR="004A6971" w:rsidRDefault="004A6971" w:rsidP="004A6971">
      <w:pPr>
        <w:pStyle w:val="RECnormaltext"/>
      </w:pPr>
      <w:r>
        <w:t xml:space="preserve">No reporting requirements were </w:t>
      </w:r>
      <w:r w:rsidRPr="00E45B05">
        <w:t>identified</w:t>
      </w:r>
      <w:r>
        <w:t xml:space="preserve"> that specifically require waste generators to report on minimising hazardous waste generation.</w:t>
      </w:r>
    </w:p>
    <w:p w14:paraId="3B655E5B" w14:textId="77777777" w:rsidR="004A6971" w:rsidRDefault="004A6971" w:rsidP="00047982">
      <w:pPr>
        <w:pStyle w:val="NonTOCHeading3"/>
      </w:pPr>
      <w:r>
        <w:t>Site permits to receive and store hazardous waste</w:t>
      </w:r>
    </w:p>
    <w:p w14:paraId="588C819C" w14:textId="5C6E3356" w:rsidR="002D124C" w:rsidRDefault="004A6971" w:rsidP="004A6971">
      <w:pPr>
        <w:pStyle w:val="RECnormaltext"/>
      </w:pPr>
      <w:r>
        <w:rPr>
          <w:rFonts w:eastAsia="Calibri"/>
        </w:rPr>
        <w:t xml:space="preserve"> </w:t>
      </w:r>
      <w:r w:rsidR="00391938">
        <w:rPr>
          <w:rFonts w:eastAsia="Calibri"/>
        </w:rPr>
        <w:t xml:space="preserve">The </w:t>
      </w:r>
      <w:r w:rsidR="00FB64F2">
        <w:rPr>
          <w:rFonts w:eastAsia="Calibri"/>
        </w:rPr>
        <w:t>Tasmania</w:t>
      </w:r>
      <w:r w:rsidR="00934174">
        <w:rPr>
          <w:rFonts w:eastAsia="Calibri"/>
        </w:rPr>
        <w:t xml:space="preserve"> EPA </w:t>
      </w:r>
      <w:hyperlink r:id="rId63" w:history="1">
        <w:r w:rsidR="002D124C" w:rsidRPr="00934174">
          <w:rPr>
            <w:rStyle w:val="Hyperlink"/>
          </w:rPr>
          <w:t>Environmental Management and Pollution Control (Waste Management) Regulations 2010</w:t>
        </w:r>
      </w:hyperlink>
      <w:r w:rsidR="00934174">
        <w:t xml:space="preserve"> includes general requirements related to hazardous waste </w:t>
      </w:r>
      <w:r w:rsidR="00526EA2">
        <w:t xml:space="preserve">(‘controlled waste’) </w:t>
      </w:r>
      <w:r w:rsidR="00934174">
        <w:t>stor</w:t>
      </w:r>
      <w:r w:rsidR="00B31BA3">
        <w:t xml:space="preserve">age </w:t>
      </w:r>
      <w:r w:rsidR="00934174">
        <w:t>including:</w:t>
      </w:r>
    </w:p>
    <w:p w14:paraId="25A641A9" w14:textId="64D731CC" w:rsidR="00934174" w:rsidRPr="006A0B65" w:rsidRDefault="006A0B65" w:rsidP="006A0B65">
      <w:pPr>
        <w:pStyle w:val="RECnormaltext"/>
        <w:ind w:left="426" w:right="946"/>
      </w:pPr>
      <w:r>
        <w:t>‘</w:t>
      </w:r>
      <w:r w:rsidR="00934174" w:rsidRPr="006A0B65">
        <w:t>6. General responsibilities</w:t>
      </w:r>
    </w:p>
    <w:p w14:paraId="7631C43C" w14:textId="77777777" w:rsidR="00934174" w:rsidRPr="006A0B65" w:rsidRDefault="00934174" w:rsidP="006A0B65">
      <w:pPr>
        <w:pStyle w:val="RECnormaltext"/>
        <w:ind w:left="426" w:right="946"/>
      </w:pPr>
      <w:r w:rsidRPr="006A0B65">
        <w:t>(1) A person must not remove from a site, arrange for the removal from a site, receive, store, reuse, recycle, reprocess, salvage, incinerate, treat, dispose of, or use for energy recovery, a controlled waste except –</w:t>
      </w:r>
    </w:p>
    <w:p w14:paraId="6E423BD0" w14:textId="77777777" w:rsidR="00934174" w:rsidRPr="006A0B65" w:rsidRDefault="00934174" w:rsidP="006A0B65">
      <w:pPr>
        <w:pStyle w:val="RECnormaltext"/>
        <w:ind w:left="426" w:right="946" w:firstLine="284"/>
      </w:pPr>
      <w:r w:rsidRPr="006A0B65">
        <w:t>(a) as approved; or</w:t>
      </w:r>
    </w:p>
    <w:p w14:paraId="02C5BE5F" w14:textId="77777777" w:rsidR="00934174" w:rsidRPr="006A0B65" w:rsidRDefault="00934174" w:rsidP="006A0B65">
      <w:pPr>
        <w:pStyle w:val="RECnormaltext"/>
        <w:ind w:left="426" w:right="946" w:firstLine="284"/>
      </w:pPr>
      <w:r w:rsidRPr="006A0B65">
        <w:t>(b) in accordance with –</w:t>
      </w:r>
    </w:p>
    <w:p w14:paraId="5FAD4034" w14:textId="77777777" w:rsidR="00934174" w:rsidRPr="006A0B65" w:rsidRDefault="00934174" w:rsidP="006A0B65">
      <w:pPr>
        <w:pStyle w:val="RECnormaltext"/>
        <w:ind w:left="426" w:right="946" w:firstLine="284"/>
      </w:pPr>
      <w:r w:rsidRPr="006A0B65">
        <w:t>(i) an environmental approval; or</w:t>
      </w:r>
    </w:p>
    <w:p w14:paraId="12430DBD" w14:textId="58A6B8D5" w:rsidR="00934174" w:rsidRPr="006A0B65" w:rsidRDefault="00934174" w:rsidP="006A0B65">
      <w:pPr>
        <w:pStyle w:val="RECnormaltext"/>
        <w:ind w:left="426" w:right="946" w:firstLine="284"/>
      </w:pPr>
      <w:r w:rsidRPr="006A0B65">
        <w:t>(ii) an approved management method.</w:t>
      </w:r>
    </w:p>
    <w:p w14:paraId="0F0DAE61" w14:textId="1FDBA4D5" w:rsidR="00934174" w:rsidRPr="006A0B65" w:rsidRDefault="00934174" w:rsidP="006A0B65">
      <w:pPr>
        <w:pStyle w:val="RECnormaltext"/>
        <w:ind w:left="426" w:right="946"/>
      </w:pPr>
      <w:r w:rsidRPr="006A0B65">
        <w:t>Section 7 also includes the following relevant content:</w:t>
      </w:r>
    </w:p>
    <w:p w14:paraId="3EC287C2" w14:textId="77777777" w:rsidR="00934174" w:rsidRPr="006A0B65" w:rsidRDefault="00934174" w:rsidP="006A0B65">
      <w:pPr>
        <w:pStyle w:val="RECnormaltext"/>
        <w:ind w:left="426" w:right="946"/>
      </w:pPr>
      <w:r w:rsidRPr="006A0B65">
        <w:t>7. Production, storage and treatment of controlled waste</w:t>
      </w:r>
    </w:p>
    <w:p w14:paraId="47DF0660" w14:textId="77777777" w:rsidR="00934174" w:rsidRPr="006A0B65" w:rsidRDefault="00934174" w:rsidP="006A0B65">
      <w:pPr>
        <w:pStyle w:val="RECnormaltext"/>
        <w:ind w:left="426" w:right="946"/>
      </w:pPr>
      <w:r w:rsidRPr="006A0B65">
        <w:t>(1) A person must not cause or permit a controlled waste to be produced, received, stored, reused, recycled, reprocessed, salvaged, incinerated, treated, disposed of, or used for energy recovery, in such a manner that it is reasonably likely that the controlled waste will –</w:t>
      </w:r>
    </w:p>
    <w:p w14:paraId="5204761A" w14:textId="77777777" w:rsidR="00934174" w:rsidRPr="006A0B65" w:rsidRDefault="00934174" w:rsidP="006A0B65">
      <w:pPr>
        <w:pStyle w:val="RECnormaltext"/>
        <w:ind w:left="426" w:right="946" w:firstLine="284"/>
      </w:pPr>
      <w:r w:rsidRPr="006A0B65">
        <w:t>(a) leak, spill or escape into the environment; or</w:t>
      </w:r>
    </w:p>
    <w:p w14:paraId="21552620" w14:textId="2029E7E8" w:rsidR="002D124C" w:rsidRPr="006A0B65" w:rsidRDefault="00934174" w:rsidP="006A0B65">
      <w:pPr>
        <w:pStyle w:val="RECnormaltext"/>
        <w:ind w:left="720" w:right="946"/>
      </w:pPr>
      <w:r w:rsidRPr="006A0B65">
        <w:t>(b) cause serious environmental harm, material environmental harm or environmental nuisance.</w:t>
      </w:r>
      <w:r w:rsidR="006A0B65">
        <w:t>’</w:t>
      </w:r>
    </w:p>
    <w:p w14:paraId="6D5F6268" w14:textId="36B405B1" w:rsidR="002D124C" w:rsidRDefault="002D124C" w:rsidP="002D124C">
      <w:r w:rsidRPr="006A4816">
        <w:rPr>
          <w:rFonts w:eastAsia="Calibri" w:cs="Arial"/>
        </w:rPr>
        <w:t xml:space="preserve">References in official Tasmanian EPA communications routinely refer to stockpiles but these are </w:t>
      </w:r>
      <w:r w:rsidR="00B31BA3">
        <w:rPr>
          <w:rFonts w:eastAsia="Calibri" w:cs="Arial"/>
        </w:rPr>
        <w:t xml:space="preserve">often referring to </w:t>
      </w:r>
      <w:r w:rsidRPr="006A4816">
        <w:rPr>
          <w:rFonts w:eastAsia="Calibri" w:cs="Arial"/>
        </w:rPr>
        <w:t xml:space="preserve">mining and quarrying references and are not </w:t>
      </w:r>
      <w:r w:rsidR="00B31BA3">
        <w:rPr>
          <w:rFonts w:eastAsia="Calibri" w:cs="Arial"/>
        </w:rPr>
        <w:t xml:space="preserve">often not </w:t>
      </w:r>
      <w:r w:rsidRPr="006A4816">
        <w:rPr>
          <w:rFonts w:eastAsia="Calibri" w:cs="Arial"/>
        </w:rPr>
        <w:t>related to hazardous wastes.</w:t>
      </w:r>
    </w:p>
    <w:p w14:paraId="7F4F20B2" w14:textId="72C77033" w:rsidR="002D124C" w:rsidRDefault="002D124C" w:rsidP="002D124C">
      <w:pPr>
        <w:rPr>
          <w:rFonts w:eastAsia="Calibri" w:cs="Arial"/>
        </w:rPr>
      </w:pPr>
      <w:r w:rsidRPr="00F0707B">
        <w:rPr>
          <w:rFonts w:eastAsia="Calibri" w:cs="Arial"/>
        </w:rPr>
        <w:t xml:space="preserve">There are no tyre storage requirements </w:t>
      </w:r>
      <w:r>
        <w:rPr>
          <w:rFonts w:eastAsia="Calibri" w:cs="Arial"/>
        </w:rPr>
        <w:t xml:space="preserve">for EOLT </w:t>
      </w:r>
      <w:r w:rsidRPr="00F0707B">
        <w:rPr>
          <w:rFonts w:eastAsia="Calibri" w:cs="Arial"/>
        </w:rPr>
        <w:t xml:space="preserve">except for landfill operators who must not openly store more than 200 EPUs under the </w:t>
      </w:r>
      <w:r w:rsidR="00B31BA3">
        <w:rPr>
          <w:rFonts w:eastAsia="Calibri" w:cs="Arial"/>
        </w:rPr>
        <w:t xml:space="preserve">regulations. </w:t>
      </w:r>
    </w:p>
    <w:p w14:paraId="0B2C294A" w14:textId="25FDDE84" w:rsidR="009950FA" w:rsidRDefault="009950FA" w:rsidP="00047982">
      <w:pPr>
        <w:pStyle w:val="NonTOCHeading3"/>
      </w:pPr>
      <w:r>
        <w:t>Hazardous waste tracking</w:t>
      </w:r>
    </w:p>
    <w:p w14:paraId="11238947" w14:textId="0AB4485B" w:rsidR="00B31BA3" w:rsidRDefault="003C21D9" w:rsidP="00B31BA3">
      <w:pPr>
        <w:rPr>
          <w:rFonts w:eastAsia="Calibri" w:cs="Arial"/>
        </w:rPr>
      </w:pPr>
      <w:r>
        <w:rPr>
          <w:rFonts w:eastAsia="Calibri" w:cs="Arial"/>
        </w:rPr>
        <w:t>U</w:t>
      </w:r>
      <w:r w:rsidR="00B31BA3" w:rsidRPr="00F0707B">
        <w:rPr>
          <w:rFonts w:eastAsia="Calibri" w:cs="Arial"/>
        </w:rPr>
        <w:t xml:space="preserve">nder the </w:t>
      </w:r>
      <w:hyperlink r:id="rId64" w:history="1">
        <w:r w:rsidR="00B31BA3" w:rsidRPr="00F0707B">
          <w:rPr>
            <w:rStyle w:val="Hyperlink"/>
            <w:rFonts w:ascii="Calibri" w:eastAsia="Calibri" w:hAnsi="Calibri" w:cs="Arial"/>
          </w:rPr>
          <w:t>Environmental Management and Pollution Control (Controlled Waste Tracking) Regulations 2010</w:t>
        </w:r>
      </w:hyperlink>
      <w:r w:rsidR="00B31BA3" w:rsidRPr="00F0707B">
        <w:rPr>
          <w:rFonts w:eastAsia="Calibri" w:cs="Arial"/>
        </w:rPr>
        <w:t xml:space="preserve"> operators involved in the production, transportation and receival of </w:t>
      </w:r>
      <w:r w:rsidR="00DA57EC">
        <w:rPr>
          <w:rFonts w:eastAsia="Calibri" w:cs="Arial"/>
        </w:rPr>
        <w:t>h</w:t>
      </w:r>
      <w:r>
        <w:rPr>
          <w:rFonts w:eastAsia="Calibri" w:cs="Arial"/>
        </w:rPr>
        <w:t xml:space="preserve">azardous waste (or controlled </w:t>
      </w:r>
      <w:r w:rsidRPr="00F0707B">
        <w:rPr>
          <w:rFonts w:eastAsia="Calibri" w:cs="Arial"/>
        </w:rPr>
        <w:t>waste</w:t>
      </w:r>
      <w:r>
        <w:rPr>
          <w:rFonts w:eastAsia="Calibri" w:cs="Arial"/>
        </w:rPr>
        <w:t>s)</w:t>
      </w:r>
      <w:r w:rsidRPr="00F0707B">
        <w:rPr>
          <w:rFonts w:eastAsia="Calibri" w:cs="Arial"/>
        </w:rPr>
        <w:t xml:space="preserve"> </w:t>
      </w:r>
      <w:r w:rsidR="00B31BA3" w:rsidRPr="00F0707B">
        <w:rPr>
          <w:rFonts w:eastAsia="Calibri" w:cs="Arial"/>
        </w:rPr>
        <w:t>must be registered.</w:t>
      </w:r>
    </w:p>
    <w:p w14:paraId="3838C28A" w14:textId="75D68D93" w:rsidR="009950FA" w:rsidRDefault="00B31BA3" w:rsidP="009950FA">
      <w:pPr>
        <w:pStyle w:val="RECnormaltext"/>
      </w:pPr>
      <w:r>
        <w:t xml:space="preserve">However, there is </w:t>
      </w:r>
      <w:r w:rsidR="009950FA">
        <w:t xml:space="preserve">no hazardous waste </w:t>
      </w:r>
      <w:r w:rsidR="007F3984">
        <w:t xml:space="preserve">tracking system in place in </w:t>
      </w:r>
      <w:r w:rsidR="00FB64F2">
        <w:t>Tasmania</w:t>
      </w:r>
      <w:r w:rsidR="009950FA">
        <w:t xml:space="preserve"> for hazardous waste movements within the jurisdiction. </w:t>
      </w:r>
    </w:p>
    <w:p w14:paraId="0A018C1C" w14:textId="77777777" w:rsidR="00770B30" w:rsidRDefault="00770B30" w:rsidP="00047982">
      <w:pPr>
        <w:pStyle w:val="NonTOCHeading3"/>
      </w:pPr>
      <w:r>
        <w:t xml:space="preserve">Enforcement against illegal dumping </w:t>
      </w:r>
    </w:p>
    <w:p w14:paraId="6FABE891" w14:textId="77777777" w:rsidR="002D124C" w:rsidRDefault="002D124C" w:rsidP="002D124C">
      <w:r w:rsidRPr="006A4816">
        <w:t xml:space="preserve">Tasmania does not have a waste levy, and consequently does not have dedicated compliance and enforcement teams. However, they encourage public reporting of illegal dumping activities (not specifically focused on hazardous waste) through their Pollution Incidents and Complaints Hotline. </w:t>
      </w:r>
    </w:p>
    <w:p w14:paraId="6BAF2F1D" w14:textId="723E7DE4" w:rsidR="009950FA" w:rsidRDefault="009950FA" w:rsidP="00047982">
      <w:pPr>
        <w:pStyle w:val="NonTOCHeading3"/>
      </w:pPr>
      <w:r>
        <w:t>Landfill levy settings</w:t>
      </w:r>
    </w:p>
    <w:p w14:paraId="63ABA174" w14:textId="430244F3" w:rsidR="00B31BA3" w:rsidRDefault="00B31BA3" w:rsidP="00B31BA3">
      <w:pPr>
        <w:pStyle w:val="RECnormaltext"/>
      </w:pPr>
      <w:r>
        <w:t>No l</w:t>
      </w:r>
      <w:r w:rsidR="007F3984">
        <w:t xml:space="preserve">andfill levy is in place in </w:t>
      </w:r>
      <w:r w:rsidR="00FB64F2">
        <w:t>Tasmania</w:t>
      </w:r>
      <w:r w:rsidR="007F3984">
        <w:t>.</w:t>
      </w:r>
    </w:p>
    <w:p w14:paraId="51E25975" w14:textId="7128A553" w:rsidR="009950FA" w:rsidRDefault="009950FA">
      <w:pPr>
        <w:pStyle w:val="Heading2"/>
      </w:pPr>
      <w:bookmarkStart w:id="128" w:name="_Toc532990241"/>
      <w:r>
        <w:t>Management</w:t>
      </w:r>
      <w:bookmarkEnd w:id="128"/>
      <w:r>
        <w:t xml:space="preserve"> </w:t>
      </w:r>
    </w:p>
    <w:p w14:paraId="738ECBA5" w14:textId="77777777" w:rsidR="009950FA" w:rsidRDefault="009950FA" w:rsidP="00047982">
      <w:pPr>
        <w:pStyle w:val="NonTOCHeading3"/>
      </w:pPr>
      <w:r>
        <w:t xml:space="preserve">Stockpile restrictions </w:t>
      </w:r>
    </w:p>
    <w:p w14:paraId="3498D4AB" w14:textId="77777777" w:rsidR="009D269E" w:rsidRPr="0055071B" w:rsidRDefault="009D269E" w:rsidP="009D269E">
      <w:pPr>
        <w:pStyle w:val="RECnormaltext"/>
      </w:pPr>
      <w:r>
        <w:t xml:space="preserve">No specific stockpiling restrictions were </w:t>
      </w:r>
      <w:r w:rsidRPr="00E45B05">
        <w:t>identified</w:t>
      </w:r>
      <w:r>
        <w:t>.</w:t>
      </w:r>
    </w:p>
    <w:p w14:paraId="2D70916A" w14:textId="3F9D49BE" w:rsidR="009950FA" w:rsidRDefault="009950FA" w:rsidP="00047982">
      <w:pPr>
        <w:pStyle w:val="NonTOCHeading3"/>
      </w:pPr>
      <w:r>
        <w:t>Stockpile reporting</w:t>
      </w:r>
    </w:p>
    <w:p w14:paraId="52875723" w14:textId="77777777" w:rsidR="009950FA" w:rsidRPr="00DE7710" w:rsidRDefault="009950FA" w:rsidP="009950FA">
      <w:pPr>
        <w:pStyle w:val="RECnormaltext"/>
      </w:pPr>
      <w:r>
        <w:t xml:space="preserve">No specific reporting requirements were </w:t>
      </w:r>
      <w:r w:rsidRPr="00E45B05">
        <w:t>identified</w:t>
      </w:r>
      <w:r>
        <w:t xml:space="preserve"> for hazardous waste stockpiles.</w:t>
      </w:r>
    </w:p>
    <w:p w14:paraId="2D26CC6E" w14:textId="77777777" w:rsidR="009950FA" w:rsidRDefault="009950FA" w:rsidP="00047982">
      <w:pPr>
        <w:pStyle w:val="NonTOCHeading3"/>
      </w:pPr>
      <w:r>
        <w:t xml:space="preserve">Stockpile controls </w:t>
      </w:r>
    </w:p>
    <w:p w14:paraId="447D7552" w14:textId="77777777" w:rsidR="009950FA" w:rsidRDefault="009950FA" w:rsidP="009950FA">
      <w:pPr>
        <w:pStyle w:val="RECnormaltext"/>
      </w:pPr>
      <w:r>
        <w:t xml:space="preserve">No specific controls were identified for </w:t>
      </w:r>
      <w:r w:rsidRPr="00E45B05">
        <w:t>hazardous</w:t>
      </w:r>
      <w:r>
        <w:t xml:space="preserve"> waste stockpile controls.</w:t>
      </w:r>
    </w:p>
    <w:p w14:paraId="1C0AB112" w14:textId="77777777" w:rsidR="009950FA" w:rsidRDefault="009950FA" w:rsidP="00047982">
      <w:pPr>
        <w:pStyle w:val="NonTOCHeading3"/>
      </w:pPr>
      <w:r>
        <w:t>Emergency planning</w:t>
      </w:r>
    </w:p>
    <w:p w14:paraId="6137B0B1" w14:textId="182E7D4D" w:rsidR="009950FA" w:rsidRDefault="009950FA" w:rsidP="009950FA">
      <w:pPr>
        <w:pStyle w:val="RECnormaltext"/>
      </w:pPr>
      <w:r>
        <w:t>No specific emergency planning requirements were identified for hazardous waste stockpiles.</w:t>
      </w:r>
    </w:p>
    <w:p w14:paraId="70A909DB" w14:textId="414883EE" w:rsidR="002D124C" w:rsidRDefault="002D124C" w:rsidP="002D124C">
      <w:r>
        <w:t>For EOLT, t</w:t>
      </w:r>
      <w:r w:rsidRPr="00F0707B">
        <w:t xml:space="preserve">here are no specific requirements or guidance notes for fire safety, however the </w:t>
      </w:r>
      <w:hyperlink r:id="rId65" w:history="1">
        <w:r w:rsidRPr="00F0707B">
          <w:rPr>
            <w:rStyle w:val="Hyperlink"/>
            <w:rFonts w:ascii="Calibri" w:hAnsi="Calibri"/>
          </w:rPr>
          <w:t>General Fire Regulations 2010</w:t>
        </w:r>
      </w:hyperlink>
      <w:r w:rsidRPr="00F0707B">
        <w:t xml:space="preserve"> provide provisions for general site requirements.</w:t>
      </w:r>
    </w:p>
    <w:p w14:paraId="6D3D4666" w14:textId="4ABB9368" w:rsidR="003910EE" w:rsidRDefault="003910EE" w:rsidP="002D124C"/>
    <w:p w14:paraId="1912DDF8" w14:textId="03169582" w:rsidR="003910EE" w:rsidRDefault="003910EE" w:rsidP="002D124C"/>
    <w:p w14:paraId="14724A03" w14:textId="77777777" w:rsidR="003910EE" w:rsidRDefault="003910EE" w:rsidP="002D124C"/>
    <w:p w14:paraId="30825623" w14:textId="77777777" w:rsidR="009950FA" w:rsidRDefault="009950FA">
      <w:pPr>
        <w:pStyle w:val="Heading2"/>
      </w:pPr>
      <w:bookmarkStart w:id="129" w:name="_Toc532990242"/>
      <w:r>
        <w:t>Clearance</w:t>
      </w:r>
      <w:bookmarkEnd w:id="129"/>
      <w:r>
        <w:t xml:space="preserve"> </w:t>
      </w:r>
    </w:p>
    <w:p w14:paraId="132F3C68" w14:textId="77777777" w:rsidR="009950FA" w:rsidRDefault="009950FA" w:rsidP="00047982">
      <w:pPr>
        <w:pStyle w:val="NonTOCHeading3"/>
      </w:pPr>
      <w:r>
        <w:t>Financial assurance</w:t>
      </w:r>
    </w:p>
    <w:p w14:paraId="005D8EBA" w14:textId="776647EE" w:rsidR="002D124C" w:rsidRDefault="002D124C" w:rsidP="002D124C">
      <w:r w:rsidRPr="006A4816">
        <w:t>Tasmanian EPA may direct facilities to clean up or improve management of onsite stockpiles of waste.</w:t>
      </w:r>
    </w:p>
    <w:p w14:paraId="5192D477" w14:textId="15FA1622" w:rsidR="00A26B7A" w:rsidRDefault="00B4059D" w:rsidP="002D124C">
      <w:pPr>
        <w:rPr>
          <w:rFonts w:ascii="Times New Roman" w:hAnsi="Times New Roman" w:cs="Times New Roman"/>
          <w:color w:val="000000"/>
        </w:rPr>
      </w:pPr>
      <w:r>
        <w:t xml:space="preserve">The </w:t>
      </w:r>
      <w:hyperlink r:id="rId66" w:history="1">
        <w:r>
          <w:rPr>
            <w:rStyle w:val="Hyperlink"/>
            <w:rFonts w:ascii="Calibri" w:hAnsi="Calibri"/>
          </w:rPr>
          <w:t>E</w:t>
        </w:r>
        <w:r w:rsidRPr="00B4059D">
          <w:rPr>
            <w:rStyle w:val="Hyperlink"/>
            <w:rFonts w:ascii="Calibri" w:hAnsi="Calibri"/>
          </w:rPr>
          <w:t>nvironmental management and pollution control act 1994 - sect 35</w:t>
        </w:r>
      </w:hyperlink>
      <w:r>
        <w:rPr>
          <w:color w:val="000000"/>
        </w:rPr>
        <w:t xml:space="preserve"> outlines EPA requirement on financial assurances and includes the following content.</w:t>
      </w:r>
    </w:p>
    <w:p w14:paraId="08EDAE34" w14:textId="04CBB97B" w:rsidR="00A26B7A" w:rsidRPr="006A0B65" w:rsidRDefault="006A0B65" w:rsidP="006A0B65">
      <w:pPr>
        <w:pStyle w:val="RECnormaltext"/>
        <w:tabs>
          <w:tab w:val="left" w:pos="8080"/>
        </w:tabs>
        <w:ind w:left="284" w:right="521"/>
      </w:pPr>
      <w:r>
        <w:t>‘</w:t>
      </w:r>
      <w:r w:rsidR="00B4059D" w:rsidRPr="006A0B65">
        <w:t>D</w:t>
      </w:r>
      <w:r w:rsidR="00A26B7A" w:rsidRPr="006A0B65">
        <w:t>ivision 6 - Financial assurances 35. Financial assurance to secure compliance with Act</w:t>
      </w:r>
    </w:p>
    <w:p w14:paraId="2140B39F" w14:textId="77777777" w:rsidR="00A26B7A" w:rsidRPr="006A0B65" w:rsidRDefault="00A26B7A" w:rsidP="006A0B65">
      <w:pPr>
        <w:pStyle w:val="RECnormaltext"/>
        <w:tabs>
          <w:tab w:val="left" w:pos="8080"/>
        </w:tabs>
        <w:ind w:left="284" w:right="521"/>
      </w:pPr>
      <w:r w:rsidRPr="006A0B65">
        <w:t>(1) Subject to this section, the Board may by notice in writing served on the person responsible for an environmentally relevant activity, or a site in respect of which a notice issued under Part 5A has been issued, require that person to lodge with the Board a financial assurance in the form of a bond (supported by a guarantee, insurance policy or other security approved by the Board), or a specified pecuniary sum, the discharge or repayment of which is conditional on that person–</w:t>
      </w:r>
    </w:p>
    <w:p w14:paraId="4A378D1D" w14:textId="77777777" w:rsidR="00A26B7A" w:rsidRPr="006A0B65" w:rsidRDefault="00A26B7A" w:rsidP="006A0B65">
      <w:pPr>
        <w:pStyle w:val="RECnormaltext"/>
        <w:tabs>
          <w:tab w:val="left" w:pos="8080"/>
        </w:tabs>
        <w:ind w:left="284" w:right="521"/>
      </w:pPr>
      <w:r w:rsidRPr="006A0B65">
        <w:t>(a) not committing any contravention of this Act of a specified kind during a specified period; or</w:t>
      </w:r>
    </w:p>
    <w:p w14:paraId="502D6DC5" w14:textId="77777777" w:rsidR="00A26B7A" w:rsidRPr="006A0B65" w:rsidRDefault="00A26B7A" w:rsidP="006A0B65">
      <w:pPr>
        <w:pStyle w:val="RECnormaltext"/>
        <w:tabs>
          <w:tab w:val="left" w:pos="8080"/>
        </w:tabs>
        <w:ind w:left="284" w:right="521"/>
      </w:pPr>
      <w:r w:rsidRPr="006A0B65">
        <w:t>(b) taking specified action within a specified period to achieve compliance with this Act; or</w:t>
      </w:r>
    </w:p>
    <w:p w14:paraId="79D90F68" w14:textId="77777777" w:rsidR="00A26B7A" w:rsidRPr="006A0B65" w:rsidRDefault="00A26B7A" w:rsidP="006A0B65">
      <w:pPr>
        <w:pStyle w:val="RECnormaltext"/>
        <w:tabs>
          <w:tab w:val="left" w:pos="8080"/>
        </w:tabs>
        <w:ind w:left="284" w:right="521"/>
      </w:pPr>
      <w:r w:rsidRPr="006A0B65">
        <w:t>(c) complying with any conditions or restrictions requiring the person to take action for the purposes of remediation, site clean-up, site decommissioning or infrastructure decommissioning and which –</w:t>
      </w:r>
    </w:p>
    <w:p w14:paraId="1730F7C1" w14:textId="63D44AE0" w:rsidR="00A26B7A" w:rsidRPr="006A0B65" w:rsidRDefault="00A26B7A" w:rsidP="006A0B65">
      <w:pPr>
        <w:pStyle w:val="RECnormaltext"/>
        <w:tabs>
          <w:tab w:val="left" w:pos="8080"/>
        </w:tabs>
        <w:ind w:left="284" w:right="521"/>
      </w:pPr>
      <w:r w:rsidRPr="006A0B65">
        <w:t>(i) have been required by the Board under</w:t>
      </w:r>
      <w:r w:rsidRPr="006A0B65">
        <w:rPr>
          <w:rStyle w:val="apple-converted-space"/>
        </w:rPr>
        <w:t> </w:t>
      </w:r>
      <w:hyperlink r:id="rId67" w:history="1">
        <w:r w:rsidRPr="006A0B65">
          <w:rPr>
            <w:rStyle w:val="Hyperlink"/>
            <w:color w:val="auto"/>
            <w:u w:val="none"/>
          </w:rPr>
          <w:t>section 25</w:t>
        </w:r>
      </w:hyperlink>
      <w:r w:rsidRPr="006A0B65">
        <w:rPr>
          <w:rStyle w:val="apple-converted-space"/>
        </w:rPr>
        <w:t> </w:t>
      </w:r>
      <w:r w:rsidRPr="006A0B65">
        <w:t>to be contained in a permit or under</w:t>
      </w:r>
      <w:r w:rsidRPr="006A0B65">
        <w:rPr>
          <w:rStyle w:val="apple-converted-space"/>
        </w:rPr>
        <w:t> </w:t>
      </w:r>
      <w:hyperlink r:id="rId68" w:history="1">
        <w:r w:rsidRPr="006A0B65">
          <w:rPr>
            <w:rStyle w:val="Hyperlink"/>
            <w:color w:val="auto"/>
            <w:u w:val="none"/>
          </w:rPr>
          <w:t>section 27</w:t>
        </w:r>
      </w:hyperlink>
      <w:r w:rsidRPr="006A0B65">
        <w:rPr>
          <w:rStyle w:val="apple-converted-space"/>
        </w:rPr>
        <w:t> </w:t>
      </w:r>
      <w:r w:rsidRPr="006A0B65">
        <w:t>to be contained in an environment protection notice; or</w:t>
      </w:r>
    </w:p>
    <w:p w14:paraId="4C9D5B0A" w14:textId="62494E1D" w:rsidR="00A26B7A" w:rsidRPr="006A0B65" w:rsidRDefault="00A26B7A" w:rsidP="006A0B65">
      <w:pPr>
        <w:pStyle w:val="RECnormaltext"/>
        <w:tabs>
          <w:tab w:val="left" w:pos="8080"/>
        </w:tabs>
        <w:ind w:left="284" w:right="521"/>
      </w:pPr>
      <w:r w:rsidRPr="006A0B65">
        <w:t>(ii) are contained in an environment protection notice issued and served by the Director under</w:t>
      </w:r>
      <w:r w:rsidRPr="006A0B65">
        <w:rPr>
          <w:rStyle w:val="apple-converted-space"/>
        </w:rPr>
        <w:t> </w:t>
      </w:r>
      <w:hyperlink r:id="rId69" w:history="1">
        <w:r w:rsidRPr="006A0B65">
          <w:rPr>
            <w:rStyle w:val="Hyperlink"/>
            <w:color w:val="auto"/>
            <w:u w:val="none"/>
          </w:rPr>
          <w:t>section 44</w:t>
        </w:r>
      </w:hyperlink>
      <w:r w:rsidRPr="006A0B65">
        <w:t>; or</w:t>
      </w:r>
    </w:p>
    <w:p w14:paraId="4BBA63C0" w14:textId="77777777" w:rsidR="00A26B7A" w:rsidRPr="006A0B65" w:rsidRDefault="00A26B7A" w:rsidP="006A0B65">
      <w:pPr>
        <w:pStyle w:val="RECnormaltext"/>
        <w:tabs>
          <w:tab w:val="left" w:pos="8080"/>
        </w:tabs>
        <w:ind w:left="284" w:right="521"/>
      </w:pPr>
      <w:r w:rsidRPr="006A0B65">
        <w:t>(d) in the case of a notice issued under Part 5A, complying with any requirements specified in the notice; or</w:t>
      </w:r>
    </w:p>
    <w:p w14:paraId="4891A3C7" w14:textId="79B9BEBE" w:rsidR="00A26B7A" w:rsidRDefault="00A26B7A" w:rsidP="006A0B65">
      <w:pPr>
        <w:pStyle w:val="RECnormaltext"/>
        <w:tabs>
          <w:tab w:val="left" w:pos="8080"/>
        </w:tabs>
        <w:ind w:left="284" w:right="521"/>
      </w:pPr>
      <w:r w:rsidRPr="006A0B65">
        <w:t>(e) complying with any conditions or restrictions required by the Board under</w:t>
      </w:r>
      <w:r w:rsidRPr="006A0B65">
        <w:rPr>
          <w:rStyle w:val="apple-converted-space"/>
        </w:rPr>
        <w:t> </w:t>
      </w:r>
      <w:hyperlink r:id="rId70" w:history="1">
        <w:r w:rsidRPr="006A0B65">
          <w:rPr>
            <w:rStyle w:val="Hyperlink"/>
            <w:color w:val="auto"/>
            <w:u w:val="none"/>
          </w:rPr>
          <w:t>section 60L(8)</w:t>
        </w:r>
      </w:hyperlink>
      <w:r w:rsidRPr="006A0B65">
        <w:rPr>
          <w:rStyle w:val="apple-converted-space"/>
        </w:rPr>
        <w:t> </w:t>
      </w:r>
      <w:r w:rsidRPr="006A0B65">
        <w:t>of the</w:t>
      </w:r>
      <w:r w:rsidRPr="006A0B65">
        <w:rPr>
          <w:rStyle w:val="apple-converted-space"/>
        </w:rPr>
        <w:t> </w:t>
      </w:r>
      <w:hyperlink r:id="rId71" w:history="1">
        <w:r w:rsidRPr="006A0B65">
          <w:rPr>
            <w:rStyle w:val="Hyperlink"/>
            <w:color w:val="auto"/>
            <w:u w:val="none"/>
          </w:rPr>
          <w:t>Land Use Planning and Approvals Act 1993</w:t>
        </w:r>
      </w:hyperlink>
      <w:r w:rsidRPr="006A0B65">
        <w:rPr>
          <w:rStyle w:val="apple-converted-space"/>
        </w:rPr>
        <w:t> </w:t>
      </w:r>
      <w:r w:rsidRPr="006A0B65">
        <w:t>to be contained in a special permit granted under section 60T of that Act.</w:t>
      </w:r>
      <w:r w:rsidR="006A0B65">
        <w:t>’</w:t>
      </w:r>
    </w:p>
    <w:p w14:paraId="26EB12EC" w14:textId="77777777" w:rsidR="00AA2C20" w:rsidRDefault="00AA2C20" w:rsidP="00047982">
      <w:pPr>
        <w:pStyle w:val="NonTOCHeading3"/>
      </w:pPr>
      <w:r>
        <w:t>Government trust or f</w:t>
      </w:r>
      <w:r w:rsidRPr="00C24D71">
        <w:t xml:space="preserve">unds </w:t>
      </w:r>
      <w:r>
        <w:t xml:space="preserve">for </w:t>
      </w:r>
      <w:r w:rsidRPr="00C24D71">
        <w:t>abandoned stockpiles</w:t>
      </w:r>
    </w:p>
    <w:p w14:paraId="2341B643" w14:textId="5379E044" w:rsidR="00AA2C20" w:rsidRDefault="00AA2C20" w:rsidP="00AA2C20">
      <w:pPr>
        <w:pStyle w:val="RECnormaltext"/>
      </w:pPr>
      <w:r>
        <w:t>No g</w:t>
      </w:r>
      <w:r w:rsidRPr="00C77989">
        <w:t>overnment trust or funds for abandoned stockpiles</w:t>
      </w:r>
      <w:r>
        <w:t xml:space="preserve"> were </w:t>
      </w:r>
      <w:r w:rsidRPr="00E45B05">
        <w:t>identified</w:t>
      </w:r>
      <w:r>
        <w:t>.</w:t>
      </w:r>
    </w:p>
    <w:p w14:paraId="585244AB" w14:textId="77777777" w:rsidR="004D4040" w:rsidRDefault="004D4040" w:rsidP="00AA2C20">
      <w:pPr>
        <w:pStyle w:val="RECnormaltext"/>
      </w:pPr>
    </w:p>
    <w:p w14:paraId="001DBA56" w14:textId="77777777" w:rsidR="004D4040" w:rsidRDefault="004D4040">
      <w:pPr>
        <w:rPr>
          <w:rFonts w:asciiTheme="minorHAnsi" w:hAnsiTheme="minorHAnsi" w:cs="Arial"/>
          <w:color w:val="auto"/>
          <w:szCs w:val="20"/>
        </w:rPr>
      </w:pPr>
      <w:r>
        <w:br w:type="page"/>
      </w:r>
    </w:p>
    <w:p w14:paraId="41D77260" w14:textId="77777777" w:rsidR="00827A0F" w:rsidRDefault="00097A3C">
      <w:pPr>
        <w:pStyle w:val="Heading1"/>
      </w:pPr>
      <w:bookmarkStart w:id="130" w:name="_Toc486940298"/>
      <w:bookmarkStart w:id="131" w:name="_Toc487045615"/>
      <w:bookmarkStart w:id="132" w:name="_Toc487102509"/>
      <w:bookmarkStart w:id="133" w:name="_Toc487103748"/>
      <w:bookmarkStart w:id="134" w:name="_Toc487103872"/>
      <w:bookmarkStart w:id="135" w:name="_Toc532990243"/>
      <w:bookmarkEnd w:id="130"/>
      <w:bookmarkEnd w:id="131"/>
      <w:bookmarkEnd w:id="132"/>
      <w:bookmarkEnd w:id="133"/>
      <w:bookmarkEnd w:id="134"/>
      <w:r>
        <w:t>Vic framework for hazardous waste stockpiles</w:t>
      </w:r>
      <w:bookmarkEnd w:id="135"/>
      <w:r w:rsidR="00827A0F" w:rsidRPr="00827A0F">
        <w:t xml:space="preserve"> </w:t>
      </w:r>
    </w:p>
    <w:p w14:paraId="742050D7" w14:textId="0719F7CE" w:rsidR="00827A0F" w:rsidRPr="006A4816" w:rsidRDefault="00827A0F" w:rsidP="00827A0F">
      <w:r>
        <w:t xml:space="preserve">The </w:t>
      </w:r>
      <w:hyperlink r:id="rId72" w:history="1">
        <w:r w:rsidRPr="00827A0F">
          <w:rPr>
            <w:rStyle w:val="Hyperlink"/>
            <w:rFonts w:ascii="Calibri" w:eastAsia="Calibri" w:hAnsi="Calibri" w:cs="Arial"/>
          </w:rPr>
          <w:t>Environment Protection Act 1970 (EP Act)</w:t>
        </w:r>
      </w:hyperlink>
      <w:r>
        <w:rPr>
          <w:rFonts w:eastAsia="Calibri" w:cs="Arial"/>
        </w:rPr>
        <w:t xml:space="preserve">, </w:t>
      </w:r>
      <w:hyperlink r:id="rId73" w:history="1">
        <w:r w:rsidRPr="006F0183">
          <w:rPr>
            <w:rStyle w:val="Hyperlink"/>
            <w:rFonts w:ascii="Calibri" w:eastAsia="Calibri" w:hAnsi="Calibri" w:cs="Arial"/>
          </w:rPr>
          <w:t>Environment Protection (Industrial Waste Resource) Regulations 2009</w:t>
        </w:r>
      </w:hyperlink>
      <w:r w:rsidRPr="006A4816">
        <w:rPr>
          <w:rFonts w:eastAsia="Calibri" w:cs="Arial"/>
          <w:i/>
        </w:rPr>
        <w:t xml:space="preserve"> </w:t>
      </w:r>
      <w:r w:rsidRPr="006A4816">
        <w:rPr>
          <w:rFonts w:eastAsia="Calibri" w:cs="Arial"/>
        </w:rPr>
        <w:t>(IWR Regs)</w:t>
      </w:r>
      <w:r>
        <w:rPr>
          <w:rFonts w:eastAsia="Calibri" w:cs="Arial"/>
        </w:rPr>
        <w:t xml:space="preserve">, and the </w:t>
      </w:r>
      <w:hyperlink r:id="rId74" w:history="1">
        <w:r w:rsidRPr="006F0183">
          <w:rPr>
            <w:rStyle w:val="Hyperlink"/>
            <w:rFonts w:ascii="Calibri" w:hAnsi="Calibri"/>
          </w:rPr>
          <w:t>Environment Protection (Scheduled Premises and Exemptions) Regulations 2007</w:t>
        </w:r>
      </w:hyperlink>
      <w:r w:rsidRPr="006A4816">
        <w:t xml:space="preserve"> (Scheduled Premises Regs)</w:t>
      </w:r>
      <w:r>
        <w:t xml:space="preserve"> set out the Victorian framework for stockpiles.</w:t>
      </w:r>
    </w:p>
    <w:p w14:paraId="5FC83520" w14:textId="77777777" w:rsidR="00097A3C" w:rsidRDefault="00097A3C">
      <w:pPr>
        <w:pStyle w:val="Heading2"/>
      </w:pPr>
      <w:bookmarkStart w:id="136" w:name="_Toc532990244"/>
      <w:r>
        <w:t>Stockpile prevention</w:t>
      </w:r>
      <w:bookmarkEnd w:id="136"/>
    </w:p>
    <w:p w14:paraId="09B53090" w14:textId="77777777" w:rsidR="004A6971" w:rsidRDefault="004A6971" w:rsidP="00047982">
      <w:pPr>
        <w:pStyle w:val="NonTOCHeading3"/>
      </w:pPr>
      <w:r>
        <w:t>H</w:t>
      </w:r>
      <w:r w:rsidRPr="008722E7">
        <w:t>azardous waste minimisation reporting</w:t>
      </w:r>
      <w:r>
        <w:t xml:space="preserve"> for generators</w:t>
      </w:r>
    </w:p>
    <w:p w14:paraId="0714AA28" w14:textId="77777777" w:rsidR="004A6971" w:rsidRPr="00DE7710" w:rsidRDefault="004A6971" w:rsidP="004A6971">
      <w:pPr>
        <w:pStyle w:val="RECnormaltext"/>
      </w:pPr>
      <w:r>
        <w:t xml:space="preserve">No reporting requirements were </w:t>
      </w:r>
      <w:r w:rsidRPr="00E45B05">
        <w:t>identified</w:t>
      </w:r>
      <w:r>
        <w:t xml:space="preserve"> that specifically require waste generators to report on minimising hazardous waste generation.</w:t>
      </w:r>
    </w:p>
    <w:p w14:paraId="3ED06998" w14:textId="77777777" w:rsidR="004A6971" w:rsidRDefault="004A6971" w:rsidP="00047982">
      <w:pPr>
        <w:pStyle w:val="NonTOCHeading3"/>
      </w:pPr>
      <w:r>
        <w:t>Site permits to receive and store hazardous waste</w:t>
      </w:r>
    </w:p>
    <w:p w14:paraId="3AD45BF9" w14:textId="7123223A" w:rsidR="00097A3C" w:rsidRPr="00097A3C" w:rsidRDefault="00097A3C" w:rsidP="004A6971">
      <w:pPr>
        <w:pStyle w:val="RECnormaltext"/>
      </w:pPr>
      <w:r w:rsidRPr="00097A3C">
        <w:t xml:space="preserve">Management of emissions from or other impacts as a consequence of stockpiled waste are governed by EPA Victoria’s system of licensing ‘scheduled premises’, those industrial facilities identified in the </w:t>
      </w:r>
      <w:r w:rsidRPr="006A4816">
        <w:t>Scheduled Premises Regs</w:t>
      </w:r>
      <w:r w:rsidRPr="00097A3C">
        <w:rPr>
          <w:i/>
        </w:rPr>
        <w:t xml:space="preserve"> </w:t>
      </w:r>
      <w:r w:rsidRPr="006A4816">
        <w:t>to pose the most significant risk to the environment</w:t>
      </w:r>
      <w:r w:rsidRPr="00097A3C">
        <w:t>. EPA licences aim to control the operation of scheduled premises so that there is no adverse impact on the environment.</w:t>
      </w:r>
    </w:p>
    <w:p w14:paraId="7FD921C4" w14:textId="1D1566EE" w:rsidR="00097A3C" w:rsidRPr="006A4816" w:rsidRDefault="00097A3C" w:rsidP="00827A0F">
      <w:pPr>
        <w:pStyle w:val="RECnormaltext"/>
      </w:pPr>
      <w:r w:rsidRPr="00097A3C">
        <w:rPr>
          <w:rFonts w:eastAsia="Calibri"/>
        </w:rPr>
        <w:t xml:space="preserve">Recent changes to the </w:t>
      </w:r>
      <w:r w:rsidRPr="006A4816">
        <w:t>Scheduled Premises Regs put in place management requirements for stockpiles o</w:t>
      </w:r>
      <w:r w:rsidR="001C5B52">
        <w:t>f tyres</w:t>
      </w:r>
      <w:r w:rsidRPr="006A4816">
        <w:t xml:space="preserve">. </w:t>
      </w:r>
    </w:p>
    <w:p w14:paraId="0E4910BE" w14:textId="61CCA6A2" w:rsidR="00097A3C" w:rsidRPr="00097A3C" w:rsidRDefault="00097A3C" w:rsidP="00827A0F">
      <w:pPr>
        <w:pStyle w:val="RECnormaltext"/>
      </w:pPr>
      <w:r w:rsidRPr="00097A3C">
        <w:t xml:space="preserve">Complementary to licensing is a range of statutory tools such as clean up notices, which can be served on licensed or unlicensed premises, and have been frequently used to direct actions such as the removal of stockpiled wastes that pose a threat to segments of the environment. Such notices have been repeatedly served in relation to </w:t>
      </w:r>
      <w:r w:rsidR="001C5B52">
        <w:t xml:space="preserve">EOLT </w:t>
      </w:r>
      <w:r w:rsidRPr="00097A3C">
        <w:t>stockpiles in recent years.</w:t>
      </w:r>
      <w:r w:rsidR="001C5B52">
        <w:t xml:space="preserve"> Understandably, Vic EPA’s current</w:t>
      </w:r>
      <w:r w:rsidRPr="00097A3C">
        <w:t xml:space="preserve"> referencing of stockpiling in regulation and official communications is almost entirely in relati</w:t>
      </w:r>
      <w:r w:rsidR="001C5B52">
        <w:t>on to stockpiling of EOLT</w:t>
      </w:r>
      <w:r w:rsidRPr="00097A3C">
        <w:t>.</w:t>
      </w:r>
    </w:p>
    <w:p w14:paraId="2D6310D4" w14:textId="7F1EE56B" w:rsidR="00097A3C" w:rsidRPr="001C5B52" w:rsidRDefault="00097A3C" w:rsidP="00827A0F">
      <w:pPr>
        <w:pStyle w:val="RECnormaltext"/>
        <w:rPr>
          <w:i/>
        </w:rPr>
      </w:pPr>
      <w:r w:rsidRPr="00097A3C">
        <w:t xml:space="preserve">Recent regulation of </w:t>
      </w:r>
      <w:r w:rsidR="001C5B52">
        <w:rPr>
          <w:u w:val="single"/>
        </w:rPr>
        <w:t xml:space="preserve">EOLT </w:t>
      </w:r>
      <w:r w:rsidRPr="00097A3C">
        <w:t xml:space="preserve">storage in Victoria via the </w:t>
      </w:r>
      <w:r w:rsidRPr="00097A3C">
        <w:rPr>
          <w:i/>
        </w:rPr>
        <w:t>Environment Protection (Scheduled Premises and Exemptions) Regulations 2007</w:t>
      </w:r>
      <w:r w:rsidRPr="00097A3C">
        <w:t xml:space="preserve">, requires </w:t>
      </w:r>
      <w:r w:rsidR="001C5B52">
        <w:t xml:space="preserve">EOLT </w:t>
      </w:r>
      <w:r w:rsidRPr="00097A3C">
        <w:t xml:space="preserve">storages &gt;40 tonnes to be licensed. </w:t>
      </w:r>
      <w:r w:rsidR="001C5B52">
        <w:t xml:space="preserve">EPA has also developed a standard licence </w:t>
      </w:r>
      <w:r w:rsidRPr="00097A3C">
        <w:t xml:space="preserve">(LI_WM1.6) </w:t>
      </w:r>
      <w:r w:rsidR="001C5B52">
        <w:t xml:space="preserve">for sites receiving EOLT which </w:t>
      </w:r>
      <w:r w:rsidRPr="00097A3C">
        <w:t>reads</w:t>
      </w:r>
      <w:r w:rsidR="006A0B65">
        <w:t xml:space="preserve"> </w:t>
      </w:r>
      <w:r w:rsidRPr="001C5B52">
        <w:rPr>
          <w:i/>
        </w:rPr>
        <w:t>“</w:t>
      </w:r>
      <w:r w:rsidR="006A0B65">
        <w:rPr>
          <w:i/>
        </w:rPr>
        <w:t>t</w:t>
      </w:r>
      <w:r w:rsidRPr="001C5B52">
        <w:rPr>
          <w:i/>
        </w:rPr>
        <w:t>he maximum size of a pile of tyres stored outdoors does not exceed 20m long, by 6m wide, by 3m high”</w:t>
      </w:r>
    </w:p>
    <w:p w14:paraId="74715C53" w14:textId="49575CE0" w:rsidR="001C5B52" w:rsidRDefault="001C5B52" w:rsidP="006F0183">
      <w:pPr>
        <w:pStyle w:val="RECnormaltext"/>
      </w:pPr>
      <w:r>
        <w:t xml:space="preserve">Whilst these changes should help prevent some EOLT stockpiles in Vic, it is worth noting that the threshold for licensing, at 40 tonnes, is eight times higher than comparable jurisdictions (NSW and SA).  </w:t>
      </w:r>
    </w:p>
    <w:p w14:paraId="6581A553" w14:textId="01A18775" w:rsidR="006F0183" w:rsidRDefault="006F0183" w:rsidP="006F0183">
      <w:pPr>
        <w:pStyle w:val="RECnormaltext"/>
      </w:pPr>
      <w:r w:rsidRPr="006A4816">
        <w:t>The Scheduled Premises Regs were under review at the time of writing, however, the proposed changes do not put in place additional requirements for stockpiles prevention, management or clearance.</w:t>
      </w:r>
    </w:p>
    <w:p w14:paraId="77608F71" w14:textId="70FB26BC" w:rsidR="006F0183" w:rsidRDefault="001C5B52" w:rsidP="00827A0F">
      <w:pPr>
        <w:pStyle w:val="RECnormaltext"/>
      </w:pPr>
      <w:r>
        <w:t xml:space="preserve">The relevant extracts from Schedule 1 of the Scheduled Premises Regs </w:t>
      </w:r>
      <w:r w:rsidR="00C82151">
        <w:t>are includes below for reference.</w:t>
      </w:r>
    </w:p>
    <w:p w14:paraId="6E09EF2F" w14:textId="77777777" w:rsidR="004D4040" w:rsidRDefault="004D4040" w:rsidP="00827A0F">
      <w:pPr>
        <w:pStyle w:val="RECnormaltext"/>
      </w:pPr>
    </w:p>
    <w:p w14:paraId="6CAC08F1" w14:textId="1F97F1F6" w:rsidR="007B7F85" w:rsidRDefault="007B7F85" w:rsidP="00827A0F">
      <w:pPr>
        <w:pStyle w:val="RECnormaltext"/>
      </w:pPr>
    </w:p>
    <w:p w14:paraId="232A2470" w14:textId="36D71736" w:rsidR="007234D5" w:rsidRDefault="007234D5" w:rsidP="00827A0F">
      <w:pPr>
        <w:pStyle w:val="RECnormaltext"/>
      </w:pPr>
    </w:p>
    <w:p w14:paraId="74A236B9" w14:textId="59F10660" w:rsidR="007234D5" w:rsidRDefault="007234D5" w:rsidP="00827A0F">
      <w:pPr>
        <w:pStyle w:val="RECnormaltext"/>
      </w:pPr>
    </w:p>
    <w:p w14:paraId="0E8E7AC1" w14:textId="7D911995" w:rsidR="007234D5" w:rsidRDefault="007234D5" w:rsidP="00827A0F">
      <w:pPr>
        <w:pStyle w:val="RECnormaltext"/>
      </w:pPr>
    </w:p>
    <w:p w14:paraId="428F600A" w14:textId="7B2C560F" w:rsidR="007234D5" w:rsidRDefault="007234D5" w:rsidP="00827A0F">
      <w:pPr>
        <w:pStyle w:val="RECnormaltext"/>
      </w:pPr>
    </w:p>
    <w:p w14:paraId="3153CA7E" w14:textId="77777777" w:rsidR="007234D5" w:rsidRDefault="007234D5" w:rsidP="00827A0F">
      <w:pPr>
        <w:pStyle w:val="RECnormaltext"/>
      </w:pPr>
    </w:p>
    <w:tbl>
      <w:tblPr>
        <w:tblStyle w:val="TableGrid"/>
        <w:tblW w:w="771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2835"/>
        <w:gridCol w:w="1971"/>
        <w:gridCol w:w="1063"/>
      </w:tblGrid>
      <w:tr w:rsidR="00C82151" w:rsidRPr="006A0B65" w14:paraId="12453AB5" w14:textId="77777777" w:rsidTr="00267977">
        <w:trPr>
          <w:tblHeader/>
        </w:trPr>
        <w:tc>
          <w:tcPr>
            <w:tcW w:w="1843" w:type="dxa"/>
            <w:tcBorders>
              <w:top w:val="single" w:sz="4" w:space="0" w:color="auto"/>
              <w:bottom w:val="single" w:sz="4" w:space="0" w:color="auto"/>
            </w:tcBorders>
          </w:tcPr>
          <w:p w14:paraId="6EE35E7A" w14:textId="430E37CD" w:rsidR="00C82151" w:rsidRPr="00267977" w:rsidRDefault="006A0B65" w:rsidP="00991691">
            <w:pPr>
              <w:pStyle w:val="Normal-Schedule"/>
              <w:spacing w:before="60"/>
              <w:rPr>
                <w:rFonts w:asciiTheme="minorHAnsi" w:hAnsiTheme="minorHAnsi"/>
                <w:b/>
                <w:sz w:val="18"/>
              </w:rPr>
            </w:pPr>
            <w:r w:rsidRPr="00267977">
              <w:rPr>
                <w:rFonts w:asciiTheme="minorHAnsi" w:hAnsiTheme="minorHAnsi"/>
                <w:b/>
                <w:sz w:val="18"/>
              </w:rPr>
              <w:t>‘</w:t>
            </w:r>
            <w:r w:rsidR="00C82151" w:rsidRPr="00267977">
              <w:rPr>
                <w:rFonts w:asciiTheme="minorHAnsi" w:hAnsiTheme="minorHAnsi"/>
                <w:b/>
                <w:sz w:val="18"/>
              </w:rPr>
              <w:t>Column 1</w:t>
            </w:r>
          </w:p>
          <w:p w14:paraId="23AC6FA6" w14:textId="7B435414" w:rsidR="00C82151" w:rsidRPr="00267977" w:rsidRDefault="00C82151" w:rsidP="00991691">
            <w:pPr>
              <w:pStyle w:val="Normal-Schedule"/>
              <w:spacing w:before="60" w:after="60"/>
              <w:rPr>
                <w:rFonts w:asciiTheme="minorHAnsi" w:hAnsiTheme="minorHAnsi"/>
                <w:b/>
                <w:sz w:val="18"/>
              </w:rPr>
            </w:pPr>
            <w:r w:rsidRPr="00267977">
              <w:rPr>
                <w:rFonts w:asciiTheme="minorHAnsi" w:hAnsiTheme="minorHAnsi"/>
                <w:b/>
                <w:sz w:val="18"/>
              </w:rPr>
              <w:t>Type Number and Summary Description</w:t>
            </w:r>
          </w:p>
        </w:tc>
        <w:tc>
          <w:tcPr>
            <w:tcW w:w="2835" w:type="dxa"/>
            <w:tcBorders>
              <w:top w:val="single" w:sz="4" w:space="0" w:color="auto"/>
              <w:bottom w:val="single" w:sz="4" w:space="0" w:color="auto"/>
            </w:tcBorders>
          </w:tcPr>
          <w:p w14:paraId="2943FA90" w14:textId="77777777" w:rsidR="00C82151" w:rsidRPr="00267977" w:rsidRDefault="00C82151" w:rsidP="00991691">
            <w:pPr>
              <w:pStyle w:val="Normal-Schedule"/>
              <w:spacing w:before="60"/>
              <w:rPr>
                <w:rFonts w:asciiTheme="minorHAnsi" w:hAnsiTheme="minorHAnsi"/>
                <w:b/>
                <w:sz w:val="18"/>
              </w:rPr>
            </w:pPr>
            <w:r w:rsidRPr="00267977">
              <w:rPr>
                <w:rFonts w:asciiTheme="minorHAnsi" w:hAnsiTheme="minorHAnsi"/>
                <w:b/>
                <w:sz w:val="18"/>
              </w:rPr>
              <w:t>Column 2</w:t>
            </w:r>
          </w:p>
          <w:p w14:paraId="2FF03630" w14:textId="60FD85B7" w:rsidR="00C82151" w:rsidRPr="00267977" w:rsidRDefault="00C82151" w:rsidP="00991691">
            <w:pPr>
              <w:pStyle w:val="Normal-Schedule"/>
              <w:spacing w:before="60" w:after="60"/>
              <w:rPr>
                <w:rFonts w:asciiTheme="minorHAnsi" w:hAnsiTheme="minorHAnsi"/>
                <w:b/>
                <w:sz w:val="18"/>
              </w:rPr>
            </w:pPr>
            <w:r w:rsidRPr="00267977">
              <w:rPr>
                <w:rFonts w:asciiTheme="minorHAnsi" w:hAnsiTheme="minorHAnsi"/>
                <w:b/>
                <w:sz w:val="18"/>
              </w:rPr>
              <w:t>Description of Scheduled Premises*</w:t>
            </w:r>
          </w:p>
        </w:tc>
        <w:tc>
          <w:tcPr>
            <w:tcW w:w="1971" w:type="dxa"/>
            <w:tcBorders>
              <w:top w:val="single" w:sz="4" w:space="0" w:color="auto"/>
              <w:bottom w:val="single" w:sz="4" w:space="0" w:color="auto"/>
            </w:tcBorders>
          </w:tcPr>
          <w:p w14:paraId="2D5B9B0B" w14:textId="77777777" w:rsidR="00C82151" w:rsidRPr="00267977" w:rsidRDefault="00C82151" w:rsidP="00991691">
            <w:pPr>
              <w:pStyle w:val="Normal-Schedule"/>
              <w:spacing w:before="60"/>
              <w:rPr>
                <w:rFonts w:asciiTheme="minorHAnsi" w:hAnsiTheme="minorHAnsi"/>
                <w:b/>
                <w:sz w:val="18"/>
              </w:rPr>
            </w:pPr>
            <w:r w:rsidRPr="00267977">
              <w:rPr>
                <w:rFonts w:asciiTheme="minorHAnsi" w:hAnsiTheme="minorHAnsi"/>
                <w:b/>
                <w:sz w:val="18"/>
              </w:rPr>
              <w:t>Column 3</w:t>
            </w:r>
          </w:p>
          <w:p w14:paraId="2E57B30A" w14:textId="65DF4992" w:rsidR="00C82151" w:rsidRPr="00267977" w:rsidRDefault="00C82151" w:rsidP="00991691">
            <w:pPr>
              <w:pStyle w:val="Normal-Schedule"/>
              <w:spacing w:before="60" w:after="60"/>
              <w:rPr>
                <w:rFonts w:asciiTheme="minorHAnsi" w:hAnsiTheme="minorHAnsi"/>
                <w:b/>
                <w:sz w:val="18"/>
              </w:rPr>
            </w:pPr>
            <w:r w:rsidRPr="00267977">
              <w:rPr>
                <w:rFonts w:asciiTheme="minorHAnsi" w:hAnsiTheme="minorHAnsi"/>
                <w:b/>
                <w:sz w:val="18"/>
              </w:rPr>
              <w:t>Does a category specific exemption from works approval under section 19A or licensing under section 20(1) apply?</w:t>
            </w:r>
            <w:r w:rsidRPr="00267977">
              <w:rPr>
                <w:rFonts w:asciiTheme="minorHAnsi" w:hAnsiTheme="minorHAnsi"/>
                <w:b/>
                <w:iCs/>
                <w:sz w:val="18"/>
              </w:rPr>
              <w:t>†</w:t>
            </w:r>
          </w:p>
        </w:tc>
        <w:tc>
          <w:tcPr>
            <w:tcW w:w="1063" w:type="dxa"/>
            <w:tcBorders>
              <w:top w:val="single" w:sz="4" w:space="0" w:color="auto"/>
              <w:bottom w:val="single" w:sz="4" w:space="0" w:color="auto"/>
            </w:tcBorders>
          </w:tcPr>
          <w:p w14:paraId="757C4964" w14:textId="77777777" w:rsidR="00C82151" w:rsidRPr="00267977" w:rsidRDefault="00C82151" w:rsidP="00991691">
            <w:pPr>
              <w:pStyle w:val="Normal-Schedule"/>
              <w:spacing w:before="60"/>
              <w:rPr>
                <w:rFonts w:asciiTheme="minorHAnsi" w:hAnsiTheme="minorHAnsi"/>
                <w:b/>
                <w:sz w:val="18"/>
              </w:rPr>
            </w:pPr>
            <w:r w:rsidRPr="00267977">
              <w:rPr>
                <w:rFonts w:asciiTheme="minorHAnsi" w:hAnsiTheme="minorHAnsi"/>
                <w:b/>
                <w:sz w:val="18"/>
              </w:rPr>
              <w:t>Column 4</w:t>
            </w:r>
          </w:p>
          <w:p w14:paraId="3C187B76" w14:textId="270F570B" w:rsidR="00C82151" w:rsidRPr="00267977" w:rsidRDefault="00C82151" w:rsidP="00991691">
            <w:pPr>
              <w:pStyle w:val="Normal-Schedule"/>
              <w:spacing w:before="60" w:after="60"/>
              <w:rPr>
                <w:rFonts w:asciiTheme="minorHAnsi" w:hAnsiTheme="minorHAnsi"/>
                <w:b/>
                <w:sz w:val="18"/>
              </w:rPr>
            </w:pPr>
            <w:r w:rsidRPr="00267977">
              <w:rPr>
                <w:rFonts w:asciiTheme="minorHAnsi" w:hAnsiTheme="minorHAnsi"/>
                <w:b/>
                <w:sz w:val="18"/>
              </w:rPr>
              <w:t>Is a Financial Assurance Required?</w:t>
            </w:r>
          </w:p>
        </w:tc>
      </w:tr>
      <w:tr w:rsidR="00A25367" w:rsidRPr="006A0B65" w14:paraId="3E59E7D4" w14:textId="77777777" w:rsidTr="00C22D18">
        <w:tc>
          <w:tcPr>
            <w:tcW w:w="4678" w:type="dxa"/>
            <w:gridSpan w:val="2"/>
            <w:tcBorders>
              <w:top w:val="single" w:sz="4" w:space="0" w:color="auto"/>
            </w:tcBorders>
          </w:tcPr>
          <w:p w14:paraId="1C59769E" w14:textId="27D89713" w:rsidR="00A25367" w:rsidRPr="006A0B65" w:rsidRDefault="00A25367" w:rsidP="00991691">
            <w:pPr>
              <w:pStyle w:val="Normal-Schedule"/>
              <w:spacing w:before="60" w:after="60"/>
              <w:rPr>
                <w:rFonts w:asciiTheme="minorHAnsi" w:hAnsiTheme="minorHAnsi"/>
                <w:sz w:val="18"/>
              </w:rPr>
            </w:pPr>
            <w:r w:rsidRPr="006A0B65">
              <w:rPr>
                <w:rFonts w:asciiTheme="minorHAnsi" w:hAnsiTheme="minorHAnsi"/>
                <w:b/>
                <w:sz w:val="18"/>
              </w:rPr>
              <w:t>A: Waste treatment, disposal and recycling</w:t>
            </w:r>
          </w:p>
        </w:tc>
        <w:tc>
          <w:tcPr>
            <w:tcW w:w="1971" w:type="dxa"/>
            <w:tcBorders>
              <w:top w:val="single" w:sz="4" w:space="0" w:color="auto"/>
            </w:tcBorders>
          </w:tcPr>
          <w:p w14:paraId="2F28423F" w14:textId="77777777" w:rsidR="00A25367" w:rsidRPr="006A0B65" w:rsidRDefault="00A25367" w:rsidP="00991691">
            <w:pPr>
              <w:pStyle w:val="Normal-Schedule"/>
              <w:spacing w:before="60" w:after="60"/>
              <w:rPr>
                <w:rFonts w:asciiTheme="minorHAnsi" w:hAnsiTheme="minorHAnsi"/>
                <w:sz w:val="18"/>
              </w:rPr>
            </w:pPr>
          </w:p>
        </w:tc>
        <w:tc>
          <w:tcPr>
            <w:tcW w:w="1063" w:type="dxa"/>
            <w:tcBorders>
              <w:top w:val="single" w:sz="4" w:space="0" w:color="auto"/>
            </w:tcBorders>
          </w:tcPr>
          <w:p w14:paraId="3682433A" w14:textId="77777777" w:rsidR="00A25367" w:rsidRPr="006A0B65" w:rsidRDefault="00A25367" w:rsidP="00991691">
            <w:pPr>
              <w:pStyle w:val="Normal-Schedule"/>
              <w:spacing w:before="60" w:after="60"/>
              <w:rPr>
                <w:rFonts w:asciiTheme="minorHAnsi" w:hAnsiTheme="minorHAnsi"/>
                <w:sz w:val="18"/>
              </w:rPr>
            </w:pPr>
          </w:p>
        </w:tc>
      </w:tr>
      <w:tr w:rsidR="00C82151" w:rsidRPr="006A0B65" w14:paraId="2565DB53" w14:textId="77777777" w:rsidTr="006A0B65">
        <w:tc>
          <w:tcPr>
            <w:tcW w:w="1843" w:type="dxa"/>
          </w:tcPr>
          <w:p w14:paraId="1A1F8F1A"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A01</w:t>
            </w:r>
            <w:r w:rsidRPr="006A0B65">
              <w:rPr>
                <w:rFonts w:asciiTheme="minorHAnsi" w:hAnsiTheme="minorHAnsi"/>
                <w:sz w:val="18"/>
              </w:rPr>
              <w:br/>
              <w:t>(PIW management)</w:t>
            </w:r>
          </w:p>
        </w:tc>
        <w:tc>
          <w:tcPr>
            <w:tcW w:w="2835" w:type="dxa"/>
          </w:tcPr>
          <w:p w14:paraId="47C19F2D"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Storage, treatment, reprocessing, containment or disposal facilities handling any prescribed industrial waste not generated at the premises.</w:t>
            </w:r>
          </w:p>
        </w:tc>
        <w:tc>
          <w:tcPr>
            <w:tcW w:w="1971" w:type="dxa"/>
          </w:tcPr>
          <w:p w14:paraId="6A046D2B"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No</w:t>
            </w:r>
          </w:p>
        </w:tc>
        <w:tc>
          <w:tcPr>
            <w:tcW w:w="1063" w:type="dxa"/>
          </w:tcPr>
          <w:p w14:paraId="46DCF312"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Yes</w:t>
            </w:r>
          </w:p>
        </w:tc>
      </w:tr>
      <w:tr w:rsidR="00C82151" w:rsidRPr="006A0B65" w14:paraId="0B2195E4" w14:textId="77777777" w:rsidTr="006A0B65">
        <w:tc>
          <w:tcPr>
            <w:tcW w:w="1843" w:type="dxa"/>
          </w:tcPr>
          <w:p w14:paraId="4F9BB433"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 xml:space="preserve">A02 </w:t>
            </w:r>
            <w:r w:rsidRPr="006A0B65">
              <w:rPr>
                <w:rFonts w:asciiTheme="minorHAnsi" w:hAnsiTheme="minorHAnsi"/>
                <w:sz w:val="18"/>
              </w:rPr>
              <w:br/>
              <w:t>(Other waste treatment)</w:t>
            </w:r>
          </w:p>
        </w:tc>
        <w:tc>
          <w:tcPr>
            <w:tcW w:w="2835" w:type="dxa"/>
          </w:tcPr>
          <w:p w14:paraId="235CF972"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Waste treatment works engaged in the immobilisation, thermal degradation, incineration or other treatment of waste.</w:t>
            </w:r>
          </w:p>
        </w:tc>
        <w:tc>
          <w:tcPr>
            <w:tcW w:w="1971" w:type="dxa"/>
          </w:tcPr>
          <w:p w14:paraId="40DA59FD"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No</w:t>
            </w:r>
          </w:p>
        </w:tc>
        <w:tc>
          <w:tcPr>
            <w:tcW w:w="1063" w:type="dxa"/>
          </w:tcPr>
          <w:p w14:paraId="13BB1501" w14:textId="77777777" w:rsidR="00C82151" w:rsidRPr="006A0B65" w:rsidRDefault="00C82151" w:rsidP="00991691">
            <w:pPr>
              <w:pStyle w:val="Normal-Schedule"/>
              <w:spacing w:before="60" w:after="60"/>
              <w:rPr>
                <w:rFonts w:asciiTheme="minorHAnsi" w:hAnsiTheme="minorHAnsi"/>
                <w:sz w:val="18"/>
              </w:rPr>
            </w:pPr>
            <w:r w:rsidRPr="006A0B65">
              <w:rPr>
                <w:rFonts w:asciiTheme="minorHAnsi" w:hAnsiTheme="minorHAnsi"/>
                <w:sz w:val="18"/>
              </w:rPr>
              <w:t>No</w:t>
            </w:r>
          </w:p>
        </w:tc>
      </w:tr>
      <w:tr w:rsidR="00C82151" w:rsidRPr="006A0B65" w14:paraId="5C5E7AF3" w14:textId="77777777" w:rsidTr="006A0B65">
        <w:tc>
          <w:tcPr>
            <w:tcW w:w="1843" w:type="dxa"/>
          </w:tcPr>
          <w:p w14:paraId="0677E281" w14:textId="2BCEF047"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A06</w:t>
            </w:r>
            <w:r w:rsidRPr="006A0B65">
              <w:rPr>
                <w:rFonts w:asciiTheme="minorHAnsi" w:hAnsiTheme="minorHAnsi"/>
                <w:sz w:val="18"/>
              </w:rPr>
              <w:br/>
              <w:t>(Land disposal)</w:t>
            </w:r>
          </w:p>
        </w:tc>
        <w:tc>
          <w:tcPr>
            <w:tcW w:w="2835" w:type="dxa"/>
          </w:tcPr>
          <w:p w14:paraId="40392C88" w14:textId="3CE4932F"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Land disposal facilities for the disposal of nightsoil, septic tank sludge or sewage treatment plant sludge.</w:t>
            </w:r>
          </w:p>
        </w:tc>
        <w:tc>
          <w:tcPr>
            <w:tcW w:w="1971" w:type="dxa"/>
          </w:tcPr>
          <w:p w14:paraId="6C6E23B0" w14:textId="27EF3F2D"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No</w:t>
            </w:r>
          </w:p>
        </w:tc>
        <w:tc>
          <w:tcPr>
            <w:tcW w:w="1063" w:type="dxa"/>
          </w:tcPr>
          <w:p w14:paraId="585BFF50" w14:textId="205777AB"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No</w:t>
            </w:r>
          </w:p>
        </w:tc>
      </w:tr>
      <w:tr w:rsidR="00C82151" w:rsidRPr="006A0B65" w14:paraId="4378EE5D" w14:textId="77777777" w:rsidTr="006A0B65">
        <w:tc>
          <w:tcPr>
            <w:tcW w:w="1843" w:type="dxa"/>
          </w:tcPr>
          <w:p w14:paraId="3C6D2D8C" w14:textId="7645C002"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A09</w:t>
            </w:r>
            <w:r w:rsidRPr="006A0B65">
              <w:rPr>
                <w:rFonts w:asciiTheme="minorHAnsi" w:hAnsiTheme="minorHAnsi"/>
                <w:sz w:val="18"/>
              </w:rPr>
              <w:br/>
              <w:t>(Waste tyre storage)</w:t>
            </w:r>
          </w:p>
        </w:tc>
        <w:tc>
          <w:tcPr>
            <w:tcW w:w="2835" w:type="dxa"/>
          </w:tcPr>
          <w:p w14:paraId="43792A1A" w14:textId="6CE40E80"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Premises with more than 40 tonnes or 5000 EPU of waste tyres at any time.</w:t>
            </w:r>
          </w:p>
        </w:tc>
        <w:tc>
          <w:tcPr>
            <w:tcW w:w="1971" w:type="dxa"/>
          </w:tcPr>
          <w:p w14:paraId="1A5103E9" w14:textId="040D356C"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No</w:t>
            </w:r>
          </w:p>
        </w:tc>
        <w:tc>
          <w:tcPr>
            <w:tcW w:w="1063" w:type="dxa"/>
          </w:tcPr>
          <w:p w14:paraId="310FBAAB" w14:textId="09C71986"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No</w:t>
            </w:r>
          </w:p>
        </w:tc>
      </w:tr>
      <w:tr w:rsidR="00C82151" w:rsidRPr="006A0B65" w14:paraId="34F48261" w14:textId="77777777" w:rsidTr="006A0B65">
        <w:tc>
          <w:tcPr>
            <w:tcW w:w="1843" w:type="dxa"/>
          </w:tcPr>
          <w:p w14:paraId="61F39C0E" w14:textId="59C58ED8"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L02</w:t>
            </w:r>
            <w:r w:rsidRPr="006A0B65">
              <w:rPr>
                <w:rFonts w:asciiTheme="minorHAnsi" w:hAnsiTheme="minorHAnsi"/>
                <w:sz w:val="18"/>
              </w:rPr>
              <w:br/>
              <w:t>(Contaminated sites—onsite soil containment)</w:t>
            </w:r>
          </w:p>
        </w:tc>
        <w:tc>
          <w:tcPr>
            <w:tcW w:w="2835" w:type="dxa"/>
          </w:tcPr>
          <w:p w14:paraId="59B6BE05" w14:textId="0B05D3B5"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On-site retention of contaminated soil on premises that are designed to or have a capacity to hold at least 1000m³ in an engineered facility.</w:t>
            </w:r>
          </w:p>
        </w:tc>
        <w:tc>
          <w:tcPr>
            <w:tcW w:w="1971" w:type="dxa"/>
          </w:tcPr>
          <w:p w14:paraId="52A4A619" w14:textId="7997750E"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These premises are exempt from licensing under section 20(1) of the Act.</w:t>
            </w:r>
          </w:p>
        </w:tc>
        <w:tc>
          <w:tcPr>
            <w:tcW w:w="1063" w:type="dxa"/>
          </w:tcPr>
          <w:p w14:paraId="1184F696" w14:textId="4272A407"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Yes</w:t>
            </w:r>
          </w:p>
        </w:tc>
      </w:tr>
      <w:tr w:rsidR="00C82151" w:rsidRPr="006A0B65" w14:paraId="15331376" w14:textId="77777777" w:rsidTr="006A0B65">
        <w:tc>
          <w:tcPr>
            <w:tcW w:w="1843" w:type="dxa"/>
            <w:tcBorders>
              <w:bottom w:val="single" w:sz="4" w:space="0" w:color="auto"/>
            </w:tcBorders>
          </w:tcPr>
          <w:p w14:paraId="1203746A" w14:textId="7D9DF4B7"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L04</w:t>
            </w:r>
            <w:r w:rsidRPr="006A0B65">
              <w:rPr>
                <w:rFonts w:asciiTheme="minorHAnsi" w:hAnsiTheme="minorHAnsi"/>
                <w:sz w:val="18"/>
              </w:rPr>
              <w:br/>
              <w:t>(Contaminated sites—long term management)</w:t>
            </w:r>
          </w:p>
        </w:tc>
        <w:tc>
          <w:tcPr>
            <w:tcW w:w="2835" w:type="dxa"/>
            <w:tcBorders>
              <w:bottom w:val="single" w:sz="4" w:space="0" w:color="auto"/>
            </w:tcBorders>
          </w:tcPr>
          <w:p w14:paraId="2995B63D" w14:textId="2FC21076"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Premises on which there is soil or groundwater contamination in respect of which a notice has been issued under the Act requiring long term management.</w:t>
            </w:r>
          </w:p>
        </w:tc>
        <w:tc>
          <w:tcPr>
            <w:tcW w:w="1971" w:type="dxa"/>
            <w:tcBorders>
              <w:bottom w:val="single" w:sz="4" w:space="0" w:color="auto"/>
            </w:tcBorders>
          </w:tcPr>
          <w:p w14:paraId="6F7D10AF" w14:textId="42FE3BA2"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These premises are exempt from works approval under section 19A of the Act and licensing under section 20(1) of the Act.</w:t>
            </w:r>
          </w:p>
        </w:tc>
        <w:tc>
          <w:tcPr>
            <w:tcW w:w="1063" w:type="dxa"/>
            <w:tcBorders>
              <w:bottom w:val="single" w:sz="4" w:space="0" w:color="auto"/>
            </w:tcBorders>
          </w:tcPr>
          <w:p w14:paraId="2BF5F134" w14:textId="2E429B9B" w:rsidR="00C82151" w:rsidRPr="006A0B65" w:rsidRDefault="00C82151" w:rsidP="00C82151">
            <w:pPr>
              <w:pStyle w:val="Normal-Schedule"/>
              <w:spacing w:before="60" w:after="60"/>
              <w:rPr>
                <w:rFonts w:asciiTheme="minorHAnsi" w:hAnsiTheme="minorHAnsi"/>
                <w:sz w:val="18"/>
              </w:rPr>
            </w:pPr>
            <w:r w:rsidRPr="006A0B65">
              <w:rPr>
                <w:rFonts w:asciiTheme="minorHAnsi" w:hAnsiTheme="minorHAnsi"/>
                <w:sz w:val="18"/>
              </w:rPr>
              <w:t>Yes</w:t>
            </w:r>
          </w:p>
        </w:tc>
      </w:tr>
    </w:tbl>
    <w:p w14:paraId="5CA9C352" w14:textId="77777777" w:rsidR="00C82151" w:rsidRPr="00384ED7" w:rsidRDefault="00C82151" w:rsidP="00384ED7">
      <w:pPr>
        <w:pStyle w:val="RECnormaltext"/>
        <w:ind w:left="567"/>
        <w:rPr>
          <w:iCs/>
          <w:sz w:val="20"/>
        </w:rPr>
      </w:pPr>
      <w:r w:rsidRPr="00384ED7">
        <w:rPr>
          <w:sz w:val="20"/>
        </w:rPr>
        <w:t>*</w:t>
      </w:r>
      <w:r w:rsidRPr="00384ED7">
        <w:rPr>
          <w:iCs/>
          <w:sz w:val="20"/>
        </w:rPr>
        <w:t>(</w:t>
      </w:r>
      <w:r w:rsidRPr="00384ED7">
        <w:rPr>
          <w:sz w:val="20"/>
        </w:rPr>
        <w:t>Note—these premises require works approvals or licences</w:t>
      </w:r>
      <w:r w:rsidRPr="00384ED7">
        <w:rPr>
          <w:iCs/>
          <w:sz w:val="20"/>
        </w:rPr>
        <w:t>)</w:t>
      </w:r>
    </w:p>
    <w:p w14:paraId="2A1358A1" w14:textId="288A443C" w:rsidR="00C82151" w:rsidRPr="00384ED7" w:rsidRDefault="00C82151" w:rsidP="00384ED7">
      <w:pPr>
        <w:pStyle w:val="RECnormaltext"/>
        <w:ind w:left="567"/>
        <w:rPr>
          <w:iCs/>
          <w:sz w:val="20"/>
        </w:rPr>
      </w:pPr>
      <w:r w:rsidRPr="00384ED7">
        <w:rPr>
          <w:iCs/>
          <w:sz w:val="20"/>
        </w:rPr>
        <w:t>†(</w:t>
      </w:r>
      <w:r w:rsidRPr="00384ED7">
        <w:rPr>
          <w:sz w:val="20"/>
        </w:rPr>
        <w:t>Note that a general exemption may also apply under regulations 9 to 12</w:t>
      </w:r>
      <w:r w:rsidRPr="00384ED7">
        <w:rPr>
          <w:iCs/>
          <w:sz w:val="20"/>
        </w:rPr>
        <w:t>)</w:t>
      </w:r>
      <w:r w:rsidR="006A0B65" w:rsidRPr="00384ED7">
        <w:rPr>
          <w:iCs/>
          <w:sz w:val="20"/>
        </w:rPr>
        <w:t>’</w:t>
      </w:r>
    </w:p>
    <w:p w14:paraId="0F64D207" w14:textId="4DEB91D9" w:rsidR="00097A3C" w:rsidRDefault="00097A3C" w:rsidP="00047982">
      <w:pPr>
        <w:pStyle w:val="NonTOCHeading3"/>
      </w:pPr>
      <w:r>
        <w:t>Hazardous waste tracking</w:t>
      </w:r>
    </w:p>
    <w:p w14:paraId="2D7ABB3A" w14:textId="35C9B702" w:rsidR="007B7F85" w:rsidRDefault="00F078E9">
      <w:pPr>
        <w:pStyle w:val="RECnormaltext"/>
      </w:pPr>
      <w:r>
        <w:rPr>
          <w:noProof/>
          <w:lang w:eastAsia="en-AU"/>
        </w:rPr>
        <mc:AlternateContent>
          <mc:Choice Requires="wps">
            <w:drawing>
              <wp:anchor distT="0" distB="0" distL="114300" distR="114300" simplePos="0" relativeHeight="251656192" behindDoc="0" locked="0" layoutInCell="1" allowOverlap="1" wp14:anchorId="38A7CC66" wp14:editId="67E5922B">
                <wp:simplePos x="0" y="0"/>
                <wp:positionH relativeFrom="margin">
                  <wp:posOffset>-44450</wp:posOffset>
                </wp:positionH>
                <wp:positionV relativeFrom="margin">
                  <wp:posOffset>7622540</wp:posOffset>
                </wp:positionV>
                <wp:extent cx="5814060" cy="1219200"/>
                <wp:effectExtent l="57150" t="38100" r="53340" b="76200"/>
                <wp:wrapSquare wrapText="bothSides"/>
                <wp:docPr id="34" name="Rectangle: Rounded Corners 34"/>
                <wp:cNvGraphicFramePr/>
                <a:graphic xmlns:a="http://schemas.openxmlformats.org/drawingml/2006/main">
                  <a:graphicData uri="http://schemas.microsoft.com/office/word/2010/wordprocessingShape">
                    <wps:wsp>
                      <wps:cNvSpPr/>
                      <wps:spPr>
                        <a:xfrm>
                          <a:off x="0" y="0"/>
                          <a:ext cx="5814060" cy="121920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261905F4" w14:textId="6E912F4D" w:rsidR="00067AC0" w:rsidRPr="00842360" w:rsidRDefault="00067AC0" w:rsidP="00F078E9">
                            <w:pPr>
                              <w:pStyle w:val="RECnormaltext"/>
                              <w:rPr>
                                <w:color w:val="FFFFFF" w:themeColor="background1"/>
                              </w:rPr>
                            </w:pPr>
                            <w:r w:rsidRPr="00F078E9">
                              <w:t xml:space="preserve"> </w:t>
                            </w:r>
                            <w:r w:rsidRPr="00F078E9">
                              <w:rPr>
                                <w:color w:val="FFFFFF" w:themeColor="background1"/>
                              </w:rPr>
                              <w:t xml:space="preserve">A notable exclusion from the Vic tracking system is EOLTs, because they are not deemed to be ‘prescribed industrial waste’. Vic does not report movements of EOLTs within the state but does report export of EOLTs other states, as they are a ‘controlled waste’ required to be managed under the Controlled Waste NEPM. With NSW implementing </w:t>
                            </w:r>
                            <w:hyperlink r:id="rId75" w:history="1">
                              <w:r w:rsidRPr="00205196">
                                <w:rPr>
                                  <w:rStyle w:val="Hyperlink"/>
                                  <w:rFonts w:ascii="Calibri" w:hAnsi="Calibri"/>
                                </w:rPr>
                                <w:t>WasteLocate</w:t>
                              </w:r>
                            </w:hyperlink>
                            <w:r w:rsidRPr="00F078E9">
                              <w:rPr>
                                <w:color w:val="FFFFFF" w:themeColor="background1"/>
                              </w:rPr>
                              <w:t>, Vic is the only jurisdiction with a tracking system that does not track EOLTs</w:t>
                            </w:r>
                            <w:r>
                              <w:rPr>
                                <w:color w:val="FFFFFF" w:themeColor="background1"/>
                              </w:rPr>
                              <w:t>.</w:t>
                            </w:r>
                          </w:p>
                          <w:p w14:paraId="2906225F" w14:textId="77777777" w:rsidR="00067AC0" w:rsidRPr="00842360" w:rsidRDefault="00067AC0" w:rsidP="00F078E9">
                            <w:pPr>
                              <w:spacing w:after="0"/>
                              <w:rPr>
                                <w:color w:val="FFFFFF" w:themeColor="background1"/>
                              </w:rPr>
                            </w:pPr>
                            <w:r w:rsidRPr="00842360">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8A7CC66" id="Rectangle: Rounded Corners 34" o:spid="_x0000_s1035" style="position:absolute;margin-left:-3.5pt;margin-top:600.2pt;width:457.8pt;height:96pt;z-index:2516561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EVpgIAALsFAAAOAAAAZHJzL2Uyb0RvYy54bWysVN1v0zAQf0fif7D8ztKUbmzR0qnqNIQ0&#10;2LQN7dl17DbC9hnbbVL+es52mo0BmoToQ+q7+933x/lFrxXZCedbMDUtjyaUCMOhac26pl8frt6d&#10;UuIDMw1TYERN98LTi/nbN+edrcQUNqAa4QgaMb7qbE03IdiqKDzfCM38EVhhUCjBaRaQdOuicaxD&#10;61oV08nkpOjANdYBF94j9zIL6TzZl1LwcCOlF4GommJsIX1d+q7it5ifs2rtmN20fAiD/UMUmrUG&#10;nY6mLllgZOva30zpljvwIMMRB12AlC0XKQfMppy8yOZ+w6xIuWBxvB3L5P+fWf5ld+tI29T0/YwS&#10;wzT26A6rxsxaiYrcwdY0oiFLcAabTBCEFeusr1Dx3t66gfL4jOn30un4j4mRPlV5P1ZZ9IFwZB6f&#10;lrPJCTaDo6yclmfYx2i1eFK3zoePAjSJj5q6GEWMKpWY7a59yPgDLrr0oNrmqlUqEXF+xFI5smPY&#10;+dCXSVVt9WdoMu94gr/cf2TjlLxgYzhpCqOVFNwvDpSJbgxEhzmWyCliZXIt0ivslYg4Ze6ExCpj&#10;9jmQ0XJ22nwrhwokZFSRaHhUmqbo/6o0YKOaSDM/Kr7ibUQnj2DCqKhbA+4Vrxl/yDrnGtMO/apP&#10;I3UWk4qcFTR7HDMHef+85Vctdvaa+XDLHC4cTgMekXCDH6mgqykML0o24H78iR/xuAcopaTDBa6p&#10;/75lTlCiPhnckLNyNosbn4jZ8YcpEu65ZPVcYrZ6CTgpJZ4ry9Mz4oM6PKUD/Yi3ZhG9oogZjr5r&#10;yoM7EMuQDwteKy4WiwTDLbcsXJt7yw+9j0P70D8yZ4fxDrgZX+Cw7Kx6MeAZGztkYLENINs0/U91&#10;HTqAFyLN6XDN4gl6TifU082d/wQAAP//AwBQSwMEFAAGAAgAAAAhAJ+ZTnXjAAAADAEAAA8AAABk&#10;cnMvZG93bnJldi54bWxMj0FPwkAQhe8m/ofNmHiDLUgQardEsCZiTIigB29DO7aN3dmmu5T67x1P&#10;epw3L+99L1kNtlE9db52bGAyjkAR566ouTTwdngcLUD5gFxg45gMfJOHVXp5kWBcuDO/Ur8PpZIQ&#10;9jEaqEJoY619XpFFP3Ytsfw+XWcxyNmVuujwLOG20dMommuLNUtDhS1tKsq/9idr4Mk/rw/ZZOM+&#10;Hvp2t31/yXZrzIy5vhru70AFGsKfGX7xBR1SYTq6ExdeNQZGtzIliC41M1DiWEaLOaijSDfL6Qx0&#10;muj/I9IfAAAA//8DAFBLAQItABQABgAIAAAAIQC2gziS/gAAAOEBAAATAAAAAAAAAAAAAAAAAAAA&#10;AABbQ29udGVudF9UeXBlc10ueG1sUEsBAi0AFAAGAAgAAAAhADj9If/WAAAAlAEAAAsAAAAAAAAA&#10;AAAAAAAALwEAAF9yZWxzLy5yZWxzUEsBAi0AFAAGAAgAAAAhAHPNIRWmAgAAuwUAAA4AAAAAAAAA&#10;AAAAAAAALgIAAGRycy9lMm9Eb2MueG1sUEsBAi0AFAAGAAgAAAAhAJ+ZTnXjAAAADAEAAA8AAAAA&#10;AAAAAAAAAAAAAAUAAGRycy9kb3ducmV2LnhtbFBLBQYAAAAABAAEAPMAAAAQBgAAAAA=&#10;" fillcolor="gray [1629]" stroked="f">
                <v:shadow on="t" color="black" opacity="24903f" origin=",.5" offset="0,.55556mm"/>
                <v:textbox>
                  <w:txbxContent>
                    <w:p w14:paraId="261905F4" w14:textId="6E912F4D" w:rsidR="00067AC0" w:rsidRPr="00842360" w:rsidRDefault="00067AC0" w:rsidP="00F078E9">
                      <w:pPr>
                        <w:pStyle w:val="RECnormaltext"/>
                        <w:rPr>
                          <w:color w:val="FFFFFF" w:themeColor="background1"/>
                        </w:rPr>
                      </w:pPr>
                      <w:r w:rsidRPr="00F078E9">
                        <w:t xml:space="preserve"> </w:t>
                      </w:r>
                      <w:r w:rsidRPr="00F078E9">
                        <w:rPr>
                          <w:color w:val="FFFFFF" w:themeColor="background1"/>
                        </w:rPr>
                        <w:t xml:space="preserve">A notable exclusion from the Vic tracking system is </w:t>
                      </w:r>
                      <w:proofErr w:type="spellStart"/>
                      <w:r w:rsidRPr="00F078E9">
                        <w:rPr>
                          <w:color w:val="FFFFFF" w:themeColor="background1"/>
                        </w:rPr>
                        <w:t>EOLTs</w:t>
                      </w:r>
                      <w:proofErr w:type="spellEnd"/>
                      <w:r w:rsidRPr="00F078E9">
                        <w:rPr>
                          <w:color w:val="FFFFFF" w:themeColor="background1"/>
                        </w:rPr>
                        <w:t xml:space="preserve">, because they are not deemed to be ‘prescribed industrial waste’. Vic does not report movements of </w:t>
                      </w:r>
                      <w:proofErr w:type="spellStart"/>
                      <w:r w:rsidRPr="00F078E9">
                        <w:rPr>
                          <w:color w:val="FFFFFF" w:themeColor="background1"/>
                        </w:rPr>
                        <w:t>EOLTs</w:t>
                      </w:r>
                      <w:proofErr w:type="spellEnd"/>
                      <w:r w:rsidRPr="00F078E9">
                        <w:rPr>
                          <w:color w:val="FFFFFF" w:themeColor="background1"/>
                        </w:rPr>
                        <w:t xml:space="preserve"> within the state but does report export of </w:t>
                      </w:r>
                      <w:proofErr w:type="spellStart"/>
                      <w:r w:rsidRPr="00F078E9">
                        <w:rPr>
                          <w:color w:val="FFFFFF" w:themeColor="background1"/>
                        </w:rPr>
                        <w:t>EOLTs</w:t>
                      </w:r>
                      <w:proofErr w:type="spellEnd"/>
                      <w:r w:rsidRPr="00F078E9">
                        <w:rPr>
                          <w:color w:val="FFFFFF" w:themeColor="background1"/>
                        </w:rPr>
                        <w:t xml:space="preserve"> other states, as they are a ‘controlled waste’ required to be managed under the Controlled Waste </w:t>
                      </w:r>
                      <w:proofErr w:type="spellStart"/>
                      <w:r w:rsidRPr="00F078E9">
                        <w:rPr>
                          <w:color w:val="FFFFFF" w:themeColor="background1"/>
                        </w:rPr>
                        <w:t>NEPM</w:t>
                      </w:r>
                      <w:proofErr w:type="spellEnd"/>
                      <w:r w:rsidRPr="00F078E9">
                        <w:rPr>
                          <w:color w:val="FFFFFF" w:themeColor="background1"/>
                        </w:rPr>
                        <w:t xml:space="preserve">. With NSW implementing </w:t>
                      </w:r>
                      <w:hyperlink r:id="rId76" w:history="1">
                        <w:proofErr w:type="spellStart"/>
                        <w:r w:rsidRPr="00205196">
                          <w:rPr>
                            <w:rStyle w:val="Hyperlink"/>
                            <w:rFonts w:ascii="Calibri" w:hAnsi="Calibri"/>
                          </w:rPr>
                          <w:t>WasteLocate</w:t>
                        </w:r>
                        <w:proofErr w:type="spellEnd"/>
                      </w:hyperlink>
                      <w:r w:rsidRPr="00F078E9">
                        <w:rPr>
                          <w:color w:val="FFFFFF" w:themeColor="background1"/>
                        </w:rPr>
                        <w:t xml:space="preserve">, Vic is the only jurisdiction with a tracking system that does not track </w:t>
                      </w:r>
                      <w:proofErr w:type="spellStart"/>
                      <w:r w:rsidRPr="00F078E9">
                        <w:rPr>
                          <w:color w:val="FFFFFF" w:themeColor="background1"/>
                        </w:rPr>
                        <w:t>EOLTs</w:t>
                      </w:r>
                      <w:proofErr w:type="spellEnd"/>
                      <w:r>
                        <w:rPr>
                          <w:color w:val="FFFFFF" w:themeColor="background1"/>
                        </w:rPr>
                        <w:t>.</w:t>
                      </w:r>
                    </w:p>
                    <w:p w14:paraId="2906225F" w14:textId="77777777" w:rsidR="00067AC0" w:rsidRPr="00842360" w:rsidRDefault="00067AC0" w:rsidP="00F078E9">
                      <w:pPr>
                        <w:spacing w:after="0"/>
                        <w:rPr>
                          <w:color w:val="FFFFFF" w:themeColor="background1"/>
                        </w:rPr>
                      </w:pPr>
                      <w:r w:rsidRPr="00842360">
                        <w:rPr>
                          <w:color w:val="FFFFFF" w:themeColor="background1"/>
                        </w:rPr>
                        <w:t>.</w:t>
                      </w:r>
                    </w:p>
                  </w:txbxContent>
                </v:textbox>
                <w10:wrap type="square" anchorx="margin" anchory="margin"/>
              </v:roundrect>
            </w:pict>
          </mc:Fallback>
        </mc:AlternateContent>
      </w:r>
      <w:r w:rsidR="007A302C">
        <w:t xml:space="preserve">There hazardous waste tracking system in place in Vic for hazardous waste movements within the jurisdiction. Hazardous waste </w:t>
      </w:r>
      <w:r w:rsidR="007A302C" w:rsidRPr="00C43C3C">
        <w:t>must be tracked when transp</w:t>
      </w:r>
      <w:r w:rsidR="007A302C">
        <w:t xml:space="preserve">orted into, within or out of </w:t>
      </w:r>
      <w:r w:rsidR="00157CFA">
        <w:t>Vic</w:t>
      </w:r>
      <w:r w:rsidR="007A302C" w:rsidRPr="00C43C3C">
        <w:t>. The waste consignor, transporter and receiving facility all have obligations to ensure that the waste is properly tracked.</w:t>
      </w:r>
      <w:r w:rsidR="007A302C">
        <w:t xml:space="preserve"> </w:t>
      </w:r>
      <w:r w:rsidR="00337D10">
        <w:t xml:space="preserve">There are several tracking exemptions in place in Vic, that are detailed in </w:t>
      </w:r>
      <w:r w:rsidR="00337D10">
        <w:br/>
        <w:t xml:space="preserve">Appendix A. </w:t>
      </w:r>
    </w:p>
    <w:p w14:paraId="3613CE88" w14:textId="77777777" w:rsidR="00770B30" w:rsidRDefault="00770B30" w:rsidP="00047982">
      <w:pPr>
        <w:pStyle w:val="NonTOCHeading3"/>
      </w:pPr>
      <w:r>
        <w:t xml:space="preserve">Enforcement against illegal dumping </w:t>
      </w:r>
    </w:p>
    <w:p w14:paraId="530FF3FC" w14:textId="0500D524" w:rsidR="00097A3C" w:rsidRPr="006A4816" w:rsidRDefault="00097A3C" w:rsidP="004E488F">
      <w:pPr>
        <w:pStyle w:val="RECnormaltext"/>
      </w:pPr>
      <w:r w:rsidRPr="006A4816">
        <w:t>Through landfill levy funding, EPA Victoria has established a dedicated Illegal Dumping Strike Force team. Th</w:t>
      </w:r>
      <w:r w:rsidR="004E488F">
        <w:t xml:space="preserve">e </w:t>
      </w:r>
      <w:r w:rsidRPr="006A4816">
        <w:t>team is:</w:t>
      </w:r>
    </w:p>
    <w:p w14:paraId="260FDB19" w14:textId="77777777" w:rsidR="00097A3C" w:rsidRPr="006A4816" w:rsidRDefault="00097A3C" w:rsidP="004E488F">
      <w:pPr>
        <w:pStyle w:val="RECdotpoint"/>
      </w:pPr>
      <w:r w:rsidRPr="006A4816">
        <w:t>supporting businesses to understand their legal requirements for managing waste and recyclable material</w:t>
      </w:r>
    </w:p>
    <w:p w14:paraId="49550BAC" w14:textId="77777777" w:rsidR="00097A3C" w:rsidRPr="006A4816" w:rsidRDefault="00097A3C" w:rsidP="004E488F">
      <w:pPr>
        <w:pStyle w:val="RECdotpoint"/>
      </w:pPr>
      <w:r w:rsidRPr="006A4816">
        <w:t>working with its council partners and other government agencies to share intelligence about dumping offences and hotspots</w:t>
      </w:r>
    </w:p>
    <w:p w14:paraId="5EADAB29" w14:textId="77777777" w:rsidR="00097A3C" w:rsidRPr="006A4816" w:rsidRDefault="00097A3C" w:rsidP="004E488F">
      <w:pPr>
        <w:pStyle w:val="RECdotpoint"/>
      </w:pPr>
      <w:r w:rsidRPr="006A4816">
        <w:t>investigating and enforcing against incidents of large-scale industrial waste dumping.</w:t>
      </w:r>
    </w:p>
    <w:p w14:paraId="478C3064" w14:textId="77777777" w:rsidR="00097A3C" w:rsidRPr="006A4816" w:rsidRDefault="00097A3C" w:rsidP="004E488F">
      <w:pPr>
        <w:pStyle w:val="RECnormaltext"/>
      </w:pPr>
      <w:r w:rsidRPr="006A4816">
        <w:t>Public reporting of illegal dumping activity in Victoria includes specifically targeting intelligence from the community of suspicious activity or sites, to help direct compliance activity.</w:t>
      </w:r>
    </w:p>
    <w:p w14:paraId="682946C4" w14:textId="77777777" w:rsidR="00097A3C" w:rsidRPr="006A4816" w:rsidRDefault="00097A3C" w:rsidP="004E488F">
      <w:pPr>
        <w:pStyle w:val="RECnormaltext"/>
      </w:pPr>
      <w:r w:rsidRPr="006A4816">
        <w:t>More specifically, section 27(A) of the EPA Act makes it an indictable offence (with significant penalties attached) to dump, deposit, discard or abandon ‘industrial waste’ at a place not a licensed to accept that waste.</w:t>
      </w:r>
    </w:p>
    <w:p w14:paraId="584F72E5" w14:textId="7326F197" w:rsidR="00097A3C" w:rsidRDefault="006F0183" w:rsidP="004E488F">
      <w:pPr>
        <w:pStyle w:val="RECnormaltext"/>
      </w:pPr>
      <w:r w:rsidRPr="00827A0F">
        <w:t xml:space="preserve">It is notable in Victoria </w:t>
      </w:r>
      <w:r w:rsidR="00522F5B">
        <w:t xml:space="preserve">that </w:t>
      </w:r>
      <w:r w:rsidRPr="00827A0F">
        <w:t xml:space="preserve">enforcement regarding littering specifically excludes industrial premises such as </w:t>
      </w:r>
      <w:r w:rsidRPr="004E488F">
        <w:t>those</w:t>
      </w:r>
      <w:r w:rsidRPr="00827A0F">
        <w:t xml:space="preserve"> engaging in manufacturing or mining. Consequentially, while relevant to illegal waste dumping, littering is not related to stockpiling of hazardous waste per se in Victoria.</w:t>
      </w:r>
      <w:r w:rsidR="00097A3C" w:rsidRPr="006A4816">
        <w:t xml:space="preserve"> </w:t>
      </w:r>
    </w:p>
    <w:p w14:paraId="7AF7A4E9" w14:textId="77777777" w:rsidR="00097A3C" w:rsidRDefault="00097A3C" w:rsidP="00047982">
      <w:pPr>
        <w:pStyle w:val="NonTOCHeading3"/>
      </w:pPr>
      <w:r>
        <w:t>Landfill levy settings</w:t>
      </w:r>
    </w:p>
    <w:p w14:paraId="5CE82C52" w14:textId="0A444479" w:rsidR="004C48D5" w:rsidRDefault="004C48D5" w:rsidP="004C48D5">
      <w:pPr>
        <w:pStyle w:val="RECnormaltext"/>
      </w:pPr>
      <w:r>
        <w:t xml:space="preserve">The current landfill levy rates </w:t>
      </w:r>
      <w:r w:rsidR="00384ED7">
        <w:t xml:space="preserve">are published on </w:t>
      </w:r>
      <w:hyperlink r:id="rId77" w:history="1">
        <w:r w:rsidR="00384ED7" w:rsidRPr="00384ED7">
          <w:rPr>
            <w:rStyle w:val="Hyperlink"/>
          </w:rPr>
          <w:t>EPA Vic website</w:t>
        </w:r>
      </w:hyperlink>
      <w:r w:rsidR="00384ED7">
        <w:t xml:space="preserve"> and are </w:t>
      </w:r>
      <w:r>
        <w:t>detailed below.</w:t>
      </w:r>
    </w:p>
    <w:p w14:paraId="6B3E27CD" w14:textId="26DF3B06" w:rsidR="004C48D5" w:rsidRDefault="004C48D5" w:rsidP="004C48D5">
      <w:pPr>
        <w:pStyle w:val="RECdotnotlist"/>
      </w:pPr>
      <w:r>
        <w:t>Metro &amp; regional: MSW $62/t; C&amp;I and C&amp;D $62/t.</w:t>
      </w:r>
    </w:p>
    <w:p w14:paraId="4A89C794" w14:textId="77777777" w:rsidR="004C48D5" w:rsidRDefault="004C48D5" w:rsidP="004C48D5">
      <w:pPr>
        <w:pStyle w:val="RECdotnotlist"/>
      </w:pPr>
      <w:r>
        <w:t>Rural: MSW $31.10/t; C&amp;I and C&amp;D $53.35/t.</w:t>
      </w:r>
    </w:p>
    <w:p w14:paraId="097E8A2A" w14:textId="0DF7EE44" w:rsidR="00097A3C" w:rsidRDefault="004C48D5" w:rsidP="00991691">
      <w:pPr>
        <w:pStyle w:val="RECdotnotlist"/>
      </w:pPr>
      <w:r>
        <w:t>Prescribed industrial waste: Cat B $250/t; Cat C $70/t; Asbestos $30/t</w:t>
      </w:r>
      <w:r w:rsidR="00384ED7">
        <w:t>.</w:t>
      </w:r>
    </w:p>
    <w:p w14:paraId="56872920" w14:textId="77777777" w:rsidR="00097A3C" w:rsidRDefault="00097A3C">
      <w:pPr>
        <w:pStyle w:val="Heading2"/>
      </w:pPr>
      <w:bookmarkStart w:id="137" w:name="_Toc532990245"/>
      <w:r>
        <w:t>Management</w:t>
      </w:r>
      <w:bookmarkEnd w:id="137"/>
      <w:r>
        <w:t xml:space="preserve"> </w:t>
      </w:r>
    </w:p>
    <w:p w14:paraId="1A418F7D" w14:textId="77777777" w:rsidR="00097A3C" w:rsidRDefault="00097A3C" w:rsidP="00047982">
      <w:pPr>
        <w:pStyle w:val="NonTOCHeading3"/>
      </w:pPr>
      <w:r>
        <w:t xml:space="preserve">Stockpile restrictions </w:t>
      </w:r>
    </w:p>
    <w:p w14:paraId="602A603C" w14:textId="77777777" w:rsidR="00097A3C" w:rsidRPr="0055071B" w:rsidRDefault="00097A3C" w:rsidP="00097A3C">
      <w:pPr>
        <w:pStyle w:val="RECnormaltext"/>
      </w:pPr>
      <w:r>
        <w:t xml:space="preserve">No specific stockpiling restrictions were </w:t>
      </w:r>
      <w:r w:rsidRPr="00E45B05">
        <w:t>identified</w:t>
      </w:r>
      <w:r>
        <w:t>.</w:t>
      </w:r>
    </w:p>
    <w:p w14:paraId="54BAD5FB" w14:textId="77777777" w:rsidR="00097A3C" w:rsidRDefault="00097A3C" w:rsidP="00047982">
      <w:pPr>
        <w:pStyle w:val="NonTOCHeading3"/>
      </w:pPr>
      <w:r>
        <w:t>Stockpile reporting</w:t>
      </w:r>
    </w:p>
    <w:p w14:paraId="1EAFE583" w14:textId="77777777" w:rsidR="00097A3C" w:rsidRPr="00DE7710" w:rsidRDefault="00097A3C" w:rsidP="00097A3C">
      <w:pPr>
        <w:pStyle w:val="RECnormaltext"/>
      </w:pPr>
      <w:r>
        <w:t xml:space="preserve">No specific reporting requirements were </w:t>
      </w:r>
      <w:r w:rsidRPr="00E45B05">
        <w:t>identified</w:t>
      </w:r>
      <w:r>
        <w:t xml:space="preserve"> for hazardous waste stockpiles.</w:t>
      </w:r>
    </w:p>
    <w:p w14:paraId="5D049892" w14:textId="77777777" w:rsidR="00097A3C" w:rsidRDefault="00097A3C" w:rsidP="00047982">
      <w:pPr>
        <w:pStyle w:val="NonTOCHeading3"/>
      </w:pPr>
      <w:r>
        <w:t xml:space="preserve">Stockpile controls </w:t>
      </w:r>
    </w:p>
    <w:p w14:paraId="145E0BE8" w14:textId="77777777" w:rsidR="00097A3C" w:rsidRDefault="00097A3C" w:rsidP="00097A3C">
      <w:pPr>
        <w:pStyle w:val="RECnormaltext"/>
      </w:pPr>
      <w:r>
        <w:t xml:space="preserve">No specific controls were identified for </w:t>
      </w:r>
      <w:r w:rsidRPr="00E45B05">
        <w:t>hazardous</w:t>
      </w:r>
      <w:r>
        <w:t xml:space="preserve"> waste stockpile controls.</w:t>
      </w:r>
    </w:p>
    <w:p w14:paraId="76FB8836" w14:textId="77777777" w:rsidR="00097A3C" w:rsidRDefault="00097A3C" w:rsidP="00047982">
      <w:pPr>
        <w:pStyle w:val="NonTOCHeading3"/>
      </w:pPr>
      <w:r>
        <w:t>Emergency planning</w:t>
      </w:r>
    </w:p>
    <w:p w14:paraId="5D9CBBC3" w14:textId="77777777" w:rsidR="00827A0F" w:rsidRPr="00827A0F" w:rsidRDefault="00097A3C" w:rsidP="00827A0F">
      <w:pPr>
        <w:pStyle w:val="RECnormaltext"/>
        <w:rPr>
          <w:rFonts w:eastAsia="Calibri"/>
        </w:rPr>
      </w:pPr>
      <w:r>
        <w:t>No specific emergency planning requirements were identified for hazardous waste stockpiles.</w:t>
      </w:r>
    </w:p>
    <w:p w14:paraId="6D780944" w14:textId="3CC48197" w:rsidR="00827A0F" w:rsidRDefault="00827A0F" w:rsidP="00827A0F">
      <w:pPr>
        <w:pStyle w:val="RECnormaltext"/>
      </w:pPr>
      <w:r w:rsidRPr="00133753">
        <w:t xml:space="preserve">Guidelines for </w:t>
      </w:r>
      <w:r w:rsidRPr="00827A0F">
        <w:t>the</w:t>
      </w:r>
      <w:r w:rsidRPr="00133753">
        <w:t xml:space="preserve"> safe storage of tyres </w:t>
      </w:r>
      <w:hyperlink r:id="rId78" w:history="1">
        <w:r w:rsidRPr="00097A3C">
          <w:rPr>
            <w:rStyle w:val="Hyperlink"/>
            <w:rFonts w:ascii="Calibri" w:hAnsi="Calibri"/>
          </w:rPr>
          <w:t>indoor</w:t>
        </w:r>
      </w:hyperlink>
      <w:r w:rsidRPr="00133753">
        <w:t xml:space="preserve"> and </w:t>
      </w:r>
      <w:hyperlink r:id="rId79" w:history="1">
        <w:r w:rsidRPr="00097A3C">
          <w:rPr>
            <w:rStyle w:val="Hyperlink"/>
            <w:rFonts w:ascii="Calibri" w:hAnsi="Calibri"/>
          </w:rPr>
          <w:t>outdoor</w:t>
        </w:r>
      </w:hyperlink>
      <w:r w:rsidRPr="00133753">
        <w:t xml:space="preserve"> have been published by the Metropolitan Fire Brigade (MFB) and Country Fire Authority (CFA)</w:t>
      </w:r>
      <w:r>
        <w:t>.</w:t>
      </w:r>
    </w:p>
    <w:p w14:paraId="1E392C05" w14:textId="6D2E4B4C" w:rsidR="004D4040" w:rsidRDefault="004D4040" w:rsidP="00827A0F">
      <w:pPr>
        <w:pStyle w:val="RECnormaltext"/>
      </w:pPr>
    </w:p>
    <w:p w14:paraId="240BA1FD" w14:textId="6FC62605" w:rsidR="004D4040" w:rsidRDefault="004D4040" w:rsidP="00827A0F">
      <w:pPr>
        <w:pStyle w:val="RECnormaltext"/>
      </w:pPr>
    </w:p>
    <w:p w14:paraId="1FAD70E0" w14:textId="3F20F0B2" w:rsidR="004D4040" w:rsidRDefault="004D4040" w:rsidP="00827A0F">
      <w:pPr>
        <w:pStyle w:val="RECnormaltext"/>
      </w:pPr>
    </w:p>
    <w:p w14:paraId="183BFC82" w14:textId="77777777" w:rsidR="00097A3C" w:rsidRDefault="00097A3C">
      <w:pPr>
        <w:pStyle w:val="Heading2"/>
      </w:pPr>
      <w:bookmarkStart w:id="138" w:name="_Toc486940302"/>
      <w:bookmarkStart w:id="139" w:name="_Toc487045619"/>
      <w:bookmarkStart w:id="140" w:name="_Toc487102513"/>
      <w:bookmarkStart w:id="141" w:name="_Toc487103752"/>
      <w:bookmarkStart w:id="142" w:name="_Toc487103876"/>
      <w:bookmarkStart w:id="143" w:name="_Toc486940303"/>
      <w:bookmarkStart w:id="144" w:name="_Toc487045620"/>
      <w:bookmarkStart w:id="145" w:name="_Toc487102514"/>
      <w:bookmarkStart w:id="146" w:name="_Toc487103753"/>
      <w:bookmarkStart w:id="147" w:name="_Toc487103877"/>
      <w:bookmarkStart w:id="148" w:name="_Toc486940304"/>
      <w:bookmarkStart w:id="149" w:name="_Toc487045621"/>
      <w:bookmarkStart w:id="150" w:name="_Toc487102515"/>
      <w:bookmarkStart w:id="151" w:name="_Toc487103754"/>
      <w:bookmarkStart w:id="152" w:name="_Toc487103878"/>
      <w:bookmarkStart w:id="153" w:name="_Toc486940305"/>
      <w:bookmarkStart w:id="154" w:name="_Toc487045622"/>
      <w:bookmarkStart w:id="155" w:name="_Toc487102516"/>
      <w:bookmarkStart w:id="156" w:name="_Toc487103755"/>
      <w:bookmarkStart w:id="157" w:name="_Toc487103879"/>
      <w:bookmarkStart w:id="158" w:name="_Toc53299024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t>Clearance</w:t>
      </w:r>
      <w:bookmarkEnd w:id="158"/>
      <w:r>
        <w:t xml:space="preserve"> </w:t>
      </w:r>
    </w:p>
    <w:p w14:paraId="0DA45F23" w14:textId="6300568D" w:rsidR="00A25707" w:rsidRDefault="00097A3C" w:rsidP="00047982">
      <w:pPr>
        <w:pStyle w:val="NonTOCHeading3"/>
      </w:pPr>
      <w:r>
        <w:t>Financial assurance</w:t>
      </w:r>
    </w:p>
    <w:p w14:paraId="1F0542CE" w14:textId="36C482AF" w:rsidR="00F20C85" w:rsidRDefault="00A12057" w:rsidP="00A12057">
      <w:pPr>
        <w:pStyle w:val="RECnormaltext"/>
      </w:pPr>
      <w:r>
        <w:t xml:space="preserve">EPA’s publication </w:t>
      </w:r>
      <w:r w:rsidRPr="00A12057">
        <w:rPr>
          <w:i/>
        </w:rPr>
        <w:t>Financial assurance for licences and works approvals</w:t>
      </w:r>
      <w:r w:rsidRPr="00A12057">
        <w:t xml:space="preserve"> </w:t>
      </w:r>
      <w:r>
        <w:t xml:space="preserve">details </w:t>
      </w:r>
      <w:r w:rsidRPr="00A12057">
        <w:t xml:space="preserve">how financial assurances </w:t>
      </w:r>
      <w:r>
        <w:t xml:space="preserve">are </w:t>
      </w:r>
      <w:r w:rsidRPr="00A12057">
        <w:t>applied to licences and works approvals. Section 67B of the Environment Protection Act and associated regulations provide for financial assurances.</w:t>
      </w:r>
    </w:p>
    <w:p w14:paraId="2BD64D57" w14:textId="0893401F" w:rsidR="00A12057" w:rsidRDefault="00A12057" w:rsidP="00A12057">
      <w:pPr>
        <w:pStyle w:val="RECnormaltext"/>
      </w:pPr>
      <w:r>
        <w:t xml:space="preserve">As detailed in the extracts from the Scheduled Premises Regs, financial assurances are required for any site storing hazardous wastes and also for contaminated sites, where the stockpile of soils remains onsite. </w:t>
      </w:r>
    </w:p>
    <w:p w14:paraId="60CD1A46" w14:textId="77777777" w:rsidR="00AA2C20" w:rsidRDefault="00AA2C20" w:rsidP="00047982">
      <w:pPr>
        <w:pStyle w:val="NonTOCHeading3"/>
      </w:pPr>
      <w:r>
        <w:t>Government trust or f</w:t>
      </w:r>
      <w:r w:rsidRPr="00C24D71">
        <w:t xml:space="preserve">unds </w:t>
      </w:r>
      <w:r>
        <w:t xml:space="preserve">for </w:t>
      </w:r>
      <w:r w:rsidRPr="00C24D71">
        <w:t>abandoned stockpiles</w:t>
      </w:r>
    </w:p>
    <w:p w14:paraId="3775E3A5" w14:textId="77777777" w:rsidR="00AA2C20" w:rsidRDefault="00AA2C20" w:rsidP="00AA2C20">
      <w:pPr>
        <w:pStyle w:val="RECnormaltext"/>
      </w:pPr>
      <w:r>
        <w:t>No g</w:t>
      </w:r>
      <w:r w:rsidRPr="00C77989">
        <w:t>overnment trust or funds for abandoned stockpiles</w:t>
      </w:r>
      <w:r>
        <w:t xml:space="preserve"> were </w:t>
      </w:r>
      <w:r w:rsidRPr="00E45B05">
        <w:t>identified</w:t>
      </w:r>
      <w:r>
        <w:t>.</w:t>
      </w:r>
    </w:p>
    <w:p w14:paraId="5F22A74F" w14:textId="3C371D29" w:rsidR="00B7695B" w:rsidRDefault="00B7695B">
      <w:pPr>
        <w:pStyle w:val="Heading1"/>
      </w:pPr>
      <w:bookmarkStart w:id="159" w:name="_Toc532990247"/>
      <w:r>
        <w:t>WA framework for hazardous waste stockpiles</w:t>
      </w:r>
      <w:bookmarkEnd w:id="159"/>
      <w:r w:rsidRPr="00827A0F">
        <w:t xml:space="preserve"> </w:t>
      </w:r>
    </w:p>
    <w:p w14:paraId="4F796C8C" w14:textId="72E1DAFF" w:rsidR="00B7695B" w:rsidRDefault="00B7695B" w:rsidP="009614DA">
      <w:pPr>
        <w:pStyle w:val="RECnormaltext"/>
      </w:pPr>
      <w:r>
        <w:t xml:space="preserve">The </w:t>
      </w:r>
      <w:hyperlink r:id="rId80" w:history="1">
        <w:r w:rsidR="00984D87" w:rsidRPr="009614DA">
          <w:rPr>
            <w:rStyle w:val="Hyperlink"/>
          </w:rPr>
          <w:t>Environmental Protection Act 1986</w:t>
        </w:r>
      </w:hyperlink>
      <w:r w:rsidR="00984D87" w:rsidRPr="00984D87">
        <w:t xml:space="preserve"> (EP Act)</w:t>
      </w:r>
      <w:r w:rsidR="009614DA">
        <w:t xml:space="preserve">, </w:t>
      </w:r>
      <w:hyperlink r:id="rId81" w:history="1">
        <w:r w:rsidR="00984D87" w:rsidRPr="009614DA">
          <w:rPr>
            <w:rStyle w:val="Hyperlink"/>
          </w:rPr>
          <w:t>Environmental Protection Regulations 1987</w:t>
        </w:r>
      </w:hyperlink>
      <w:r w:rsidR="009614DA">
        <w:rPr>
          <w:i/>
        </w:rPr>
        <w:t xml:space="preserve">, </w:t>
      </w:r>
      <w:hyperlink r:id="rId82" w:history="1">
        <w:r w:rsidR="00984D87" w:rsidRPr="009614DA">
          <w:rPr>
            <w:rStyle w:val="Hyperlink"/>
          </w:rPr>
          <w:t>Environmental Protection (Controlled Waste) Regulations 2004</w:t>
        </w:r>
      </w:hyperlink>
      <w:r w:rsidR="009614DA">
        <w:rPr>
          <w:i/>
        </w:rPr>
        <w:t xml:space="preserve"> </w:t>
      </w:r>
      <w:r w:rsidR="009614DA">
        <w:t xml:space="preserve">set out </w:t>
      </w:r>
      <w:r>
        <w:t>WA’s framework for stockpiles.</w:t>
      </w:r>
    </w:p>
    <w:p w14:paraId="2D8FF410" w14:textId="5D9B5309" w:rsidR="007C7BF1" w:rsidRPr="006E5B44" w:rsidRDefault="00DF4E43" w:rsidP="007C7BF1">
      <w:pPr>
        <w:spacing w:before="120" w:after="120"/>
        <w:rPr>
          <w:rFonts w:cs="Arial"/>
        </w:rPr>
      </w:pPr>
      <w:r>
        <w:t>In addition, the Department and Environment Regulation (</w:t>
      </w:r>
      <w:r w:rsidR="007C7BF1" w:rsidRPr="003C49C8">
        <w:rPr>
          <w:rFonts w:cs="Arial"/>
        </w:rPr>
        <w:t>DER</w:t>
      </w:r>
      <w:r>
        <w:rPr>
          <w:rFonts w:cs="Arial"/>
        </w:rPr>
        <w:t>)</w:t>
      </w:r>
      <w:r w:rsidR="007C7BF1" w:rsidRPr="003C49C8">
        <w:rPr>
          <w:rFonts w:cs="Arial"/>
        </w:rPr>
        <w:t xml:space="preserve"> published </w:t>
      </w:r>
      <w:hyperlink r:id="rId83" w:history="1">
        <w:r w:rsidR="007C7BF1" w:rsidRPr="003C49C8">
          <w:rPr>
            <w:rFonts w:cs="Arial"/>
            <w:i/>
            <w:iCs/>
          </w:rPr>
          <w:t>Guidance statement: Regulatory Principles</w:t>
        </w:r>
      </w:hyperlink>
      <w:r w:rsidR="007C7BF1" w:rsidRPr="003C49C8">
        <w:rPr>
          <w:rFonts w:cs="Arial"/>
        </w:rPr>
        <w:t xml:space="preserve"> clarifies how </w:t>
      </w:r>
      <w:r w:rsidR="007C7BF1">
        <w:rPr>
          <w:rFonts w:cs="Arial"/>
        </w:rPr>
        <w:t>the Department</w:t>
      </w:r>
      <w:r w:rsidR="007C7BF1" w:rsidRPr="003C49C8">
        <w:rPr>
          <w:rFonts w:cs="Arial"/>
        </w:rPr>
        <w:t xml:space="preserve"> carries out its regulatory functions</w:t>
      </w:r>
      <w:r w:rsidR="007C7BF1">
        <w:rPr>
          <w:rFonts w:cs="Arial"/>
        </w:rPr>
        <w:t xml:space="preserve">, which is </w:t>
      </w:r>
      <w:r w:rsidR="007C7BF1" w:rsidRPr="003C49C8">
        <w:rPr>
          <w:rFonts w:cs="Arial"/>
        </w:rPr>
        <w:t xml:space="preserve">supported by a series of Guidance Statements and process improvements to provide for efficient, effective, transparent, consistent and accountable </w:t>
      </w:r>
      <w:r w:rsidR="007C7BF1">
        <w:rPr>
          <w:rFonts w:cs="Arial"/>
        </w:rPr>
        <w:t>environmental regulation in Western Australia. Published documents to date include:</w:t>
      </w:r>
    </w:p>
    <w:p w14:paraId="0692E2C2" w14:textId="77777777" w:rsidR="007C7BF1" w:rsidRPr="006E5B44" w:rsidRDefault="007C7BF1" w:rsidP="007C7BF1">
      <w:pPr>
        <w:numPr>
          <w:ilvl w:val="0"/>
          <w:numId w:val="71"/>
        </w:numPr>
        <w:spacing w:after="0" w:line="240" w:lineRule="auto"/>
        <w:ind w:left="714" w:hanging="357"/>
        <w:jc w:val="both"/>
        <w:rPr>
          <w:rFonts w:cs="Arial"/>
        </w:rPr>
      </w:pPr>
      <w:r w:rsidRPr="004E7441">
        <w:rPr>
          <w:rFonts w:cs="Arial"/>
          <w:i/>
        </w:rPr>
        <w:t>Guidance Statement: Regulatory Principles</w:t>
      </w:r>
      <w:r w:rsidRPr="006E5B44">
        <w:rPr>
          <w:rFonts w:cs="Arial"/>
        </w:rPr>
        <w:t xml:space="preserve"> (July 2015)</w:t>
      </w:r>
      <w:r>
        <w:rPr>
          <w:rFonts w:cs="Arial"/>
        </w:rPr>
        <w:t>;</w:t>
      </w:r>
    </w:p>
    <w:p w14:paraId="4C11D0E4" w14:textId="77777777" w:rsidR="007C7BF1" w:rsidRPr="006E5B44" w:rsidRDefault="007C7BF1" w:rsidP="007C7BF1">
      <w:pPr>
        <w:numPr>
          <w:ilvl w:val="0"/>
          <w:numId w:val="71"/>
        </w:numPr>
        <w:spacing w:after="0" w:line="240" w:lineRule="auto"/>
        <w:ind w:left="714" w:hanging="357"/>
        <w:jc w:val="both"/>
        <w:rPr>
          <w:rFonts w:cs="Arial"/>
        </w:rPr>
      </w:pPr>
      <w:r w:rsidRPr="004E7441">
        <w:rPr>
          <w:rFonts w:cs="Arial"/>
          <w:i/>
        </w:rPr>
        <w:t>Guidance Statement: Decision Making</w:t>
      </w:r>
      <w:r w:rsidRPr="006E5B44">
        <w:rPr>
          <w:rFonts w:cs="Arial"/>
        </w:rPr>
        <w:t xml:space="preserve"> (</w:t>
      </w:r>
      <w:r>
        <w:rPr>
          <w:rFonts w:cs="Arial"/>
        </w:rPr>
        <w:t>February 2017</w:t>
      </w:r>
      <w:r w:rsidRPr="006E5B44">
        <w:rPr>
          <w:rFonts w:cs="Arial"/>
        </w:rPr>
        <w:t>)</w:t>
      </w:r>
      <w:r>
        <w:rPr>
          <w:rFonts w:cs="Arial"/>
        </w:rPr>
        <w:t>;</w:t>
      </w:r>
    </w:p>
    <w:p w14:paraId="62879F4E" w14:textId="77777777" w:rsidR="007C7BF1" w:rsidRPr="006E5B44" w:rsidRDefault="007C7BF1" w:rsidP="007C7BF1">
      <w:pPr>
        <w:numPr>
          <w:ilvl w:val="0"/>
          <w:numId w:val="71"/>
        </w:numPr>
        <w:spacing w:after="0" w:line="240" w:lineRule="auto"/>
        <w:ind w:left="714" w:hanging="357"/>
        <w:jc w:val="both"/>
        <w:rPr>
          <w:rFonts w:cs="Arial"/>
        </w:rPr>
      </w:pPr>
      <w:r w:rsidRPr="004E7441">
        <w:rPr>
          <w:rFonts w:cs="Arial"/>
          <w:i/>
        </w:rPr>
        <w:t>Guidance Statement: Land Use Planning</w:t>
      </w:r>
      <w:r w:rsidRPr="006E5B44">
        <w:rPr>
          <w:rFonts w:cs="Arial"/>
        </w:rPr>
        <w:t xml:space="preserve"> (February 2017)</w:t>
      </w:r>
      <w:r>
        <w:rPr>
          <w:rFonts w:cs="Arial"/>
        </w:rPr>
        <w:t>;</w:t>
      </w:r>
    </w:p>
    <w:p w14:paraId="07F7636F" w14:textId="77777777" w:rsidR="007C7BF1" w:rsidRPr="006E5B44" w:rsidRDefault="007C7BF1" w:rsidP="007C7BF1">
      <w:pPr>
        <w:numPr>
          <w:ilvl w:val="0"/>
          <w:numId w:val="71"/>
        </w:numPr>
        <w:spacing w:after="0" w:line="240" w:lineRule="auto"/>
        <w:ind w:left="714" w:hanging="357"/>
        <w:jc w:val="both"/>
        <w:rPr>
          <w:rFonts w:cs="Arial"/>
        </w:rPr>
      </w:pPr>
      <w:r w:rsidRPr="004E7441">
        <w:rPr>
          <w:rFonts w:cs="Arial"/>
          <w:i/>
        </w:rPr>
        <w:t>Guidance Statement: Risk Assessments</w:t>
      </w:r>
      <w:r w:rsidRPr="006E5B44">
        <w:rPr>
          <w:rFonts w:cs="Arial"/>
        </w:rPr>
        <w:t xml:space="preserve"> (</w:t>
      </w:r>
      <w:r>
        <w:rPr>
          <w:rFonts w:cs="Arial"/>
        </w:rPr>
        <w:t>February 2017</w:t>
      </w:r>
      <w:r w:rsidRPr="006E5B44">
        <w:rPr>
          <w:rFonts w:cs="Arial"/>
        </w:rPr>
        <w:t>)</w:t>
      </w:r>
      <w:r>
        <w:rPr>
          <w:rFonts w:cs="Arial"/>
        </w:rPr>
        <w:t>;</w:t>
      </w:r>
    </w:p>
    <w:p w14:paraId="38AE429C" w14:textId="77777777" w:rsidR="007C7BF1" w:rsidRDefault="007C7BF1" w:rsidP="007C7BF1">
      <w:pPr>
        <w:numPr>
          <w:ilvl w:val="0"/>
          <w:numId w:val="71"/>
        </w:numPr>
        <w:spacing w:after="0" w:line="240" w:lineRule="auto"/>
        <w:ind w:left="714" w:hanging="357"/>
        <w:jc w:val="both"/>
        <w:rPr>
          <w:rFonts w:cs="Arial"/>
        </w:rPr>
      </w:pPr>
      <w:r w:rsidRPr="004E7441">
        <w:rPr>
          <w:rFonts w:cs="Arial"/>
          <w:i/>
        </w:rPr>
        <w:t>Guidance Statement: Environmental Siting</w:t>
      </w:r>
      <w:r w:rsidRPr="006E5B44">
        <w:rPr>
          <w:rFonts w:cs="Arial"/>
        </w:rPr>
        <w:t xml:space="preserve"> (November 2016)</w:t>
      </w:r>
      <w:r>
        <w:rPr>
          <w:rFonts w:cs="Arial"/>
        </w:rPr>
        <w:t>;</w:t>
      </w:r>
    </w:p>
    <w:p w14:paraId="103E37BC" w14:textId="77777777" w:rsidR="007C7BF1" w:rsidRPr="006E5B44" w:rsidRDefault="007C7BF1" w:rsidP="007C7BF1">
      <w:pPr>
        <w:numPr>
          <w:ilvl w:val="0"/>
          <w:numId w:val="71"/>
        </w:numPr>
        <w:spacing w:after="0" w:line="240" w:lineRule="auto"/>
        <w:ind w:left="714" w:hanging="357"/>
        <w:jc w:val="both"/>
        <w:rPr>
          <w:rFonts w:cs="Arial"/>
        </w:rPr>
      </w:pPr>
      <w:r w:rsidRPr="004E7441">
        <w:rPr>
          <w:rFonts w:cs="Arial"/>
          <w:i/>
        </w:rPr>
        <w:t>Guidance Statement: Setting Conditions</w:t>
      </w:r>
      <w:r w:rsidRPr="006E5B44">
        <w:rPr>
          <w:rFonts w:cs="Arial"/>
        </w:rPr>
        <w:t xml:space="preserve"> (October 2015)</w:t>
      </w:r>
      <w:r>
        <w:rPr>
          <w:rFonts w:cs="Arial"/>
        </w:rPr>
        <w:t>;</w:t>
      </w:r>
    </w:p>
    <w:p w14:paraId="3DECF1B3" w14:textId="77777777" w:rsidR="007C7BF1" w:rsidRDefault="007C7BF1" w:rsidP="007C7BF1">
      <w:pPr>
        <w:numPr>
          <w:ilvl w:val="0"/>
          <w:numId w:val="71"/>
        </w:numPr>
        <w:spacing w:after="0" w:line="240" w:lineRule="auto"/>
        <w:ind w:left="714" w:hanging="357"/>
        <w:jc w:val="both"/>
        <w:rPr>
          <w:rFonts w:cs="Arial"/>
        </w:rPr>
      </w:pPr>
      <w:r w:rsidRPr="004E7441">
        <w:rPr>
          <w:rFonts w:cs="Arial"/>
          <w:i/>
        </w:rPr>
        <w:t>Guidance Statement: Licence Duration</w:t>
      </w:r>
      <w:r w:rsidRPr="006E5B44">
        <w:rPr>
          <w:rFonts w:cs="Arial"/>
        </w:rPr>
        <w:t xml:space="preserve"> (August 2016)</w:t>
      </w:r>
      <w:r>
        <w:rPr>
          <w:rFonts w:cs="Arial"/>
        </w:rPr>
        <w:t>;</w:t>
      </w:r>
    </w:p>
    <w:p w14:paraId="46014807" w14:textId="77777777" w:rsidR="007C7BF1" w:rsidRPr="006E5B44" w:rsidRDefault="007C7BF1" w:rsidP="007C7BF1">
      <w:pPr>
        <w:numPr>
          <w:ilvl w:val="0"/>
          <w:numId w:val="71"/>
        </w:numPr>
        <w:spacing w:after="0" w:line="240" w:lineRule="auto"/>
        <w:ind w:left="714" w:hanging="357"/>
        <w:jc w:val="both"/>
        <w:rPr>
          <w:rFonts w:cs="Arial"/>
        </w:rPr>
      </w:pPr>
      <w:r w:rsidRPr="004E7441">
        <w:rPr>
          <w:rFonts w:cs="Arial"/>
          <w:i/>
        </w:rPr>
        <w:t>Guidance Statement: Environmental Standards</w:t>
      </w:r>
      <w:r>
        <w:rPr>
          <w:rFonts w:cs="Arial"/>
        </w:rPr>
        <w:t xml:space="preserve"> (September 2016); and</w:t>
      </w:r>
    </w:p>
    <w:p w14:paraId="21220F84" w14:textId="66368F11" w:rsidR="007C7BF1" w:rsidRPr="00DF4E43" w:rsidRDefault="007C7BF1" w:rsidP="00267977">
      <w:pPr>
        <w:numPr>
          <w:ilvl w:val="0"/>
          <w:numId w:val="71"/>
        </w:numPr>
        <w:spacing w:after="0" w:line="240" w:lineRule="auto"/>
        <w:ind w:left="714" w:hanging="357"/>
        <w:jc w:val="both"/>
        <w:rPr>
          <w:rFonts w:cs="Arial"/>
        </w:rPr>
      </w:pPr>
      <w:r w:rsidRPr="004E7441">
        <w:rPr>
          <w:rFonts w:cs="Arial"/>
          <w:i/>
        </w:rPr>
        <w:t>Guidance Statement: Publication of Annual Audit Compliance</w:t>
      </w:r>
      <w:r w:rsidRPr="006E5B44">
        <w:rPr>
          <w:rFonts w:cs="Arial"/>
        </w:rPr>
        <w:t xml:space="preserve"> Reports (May 2016)</w:t>
      </w:r>
      <w:r>
        <w:rPr>
          <w:rFonts w:cs="Arial"/>
        </w:rPr>
        <w:t>.</w:t>
      </w:r>
    </w:p>
    <w:p w14:paraId="3960F4D9" w14:textId="26FF6890" w:rsidR="007C7BF1" w:rsidRDefault="007C7BF1" w:rsidP="00267977">
      <w:pPr>
        <w:pStyle w:val="RECnormaltext"/>
        <w:spacing w:before="120"/>
      </w:pPr>
      <w:r w:rsidRPr="00AE4D9E">
        <w:t xml:space="preserve">The definition of hazardous waste in WA is included within the </w:t>
      </w:r>
      <w:r w:rsidRPr="00267977">
        <w:rPr>
          <w:i/>
        </w:rPr>
        <w:t>Landfill Waste Classification and Waste Definitions 1996</w:t>
      </w:r>
      <w:r w:rsidRPr="00AE4D9E">
        <w:t xml:space="preserve"> (as amended December 2009) (LWCWD)</w:t>
      </w:r>
      <w:r w:rsidR="00DF4E43">
        <w:t xml:space="preserve"> as:</w:t>
      </w:r>
      <w:r w:rsidRPr="00AE4D9E">
        <w:t xml:space="preserve"> </w:t>
      </w:r>
    </w:p>
    <w:p w14:paraId="579DEC1E" w14:textId="5E5C50AE" w:rsidR="007C7BF1" w:rsidRPr="005F124B" w:rsidRDefault="007C7BF1" w:rsidP="00267977">
      <w:pPr>
        <w:spacing w:after="120"/>
        <w:ind w:left="794"/>
      </w:pPr>
      <w:r>
        <w:rPr>
          <w:i/>
        </w:rPr>
        <w:t>‘</w:t>
      </w:r>
      <w:r w:rsidRPr="00267977">
        <w:t>Component of the waste stream which by its characteristics poses a threat or risk to public health, safety or the environment (includes substances which are toxic, infectious, mutagenic, carcinogenic, teratogenic, explosive, flammable, corrosive, oxidising and radioactive)</w:t>
      </w:r>
      <w:r>
        <w:rPr>
          <w:i/>
        </w:rPr>
        <w:t xml:space="preserve">’ </w:t>
      </w:r>
      <w:r>
        <w:t>(page 4)</w:t>
      </w:r>
      <w:r w:rsidR="004B65C8">
        <w:t>.</w:t>
      </w:r>
    </w:p>
    <w:p w14:paraId="0FCDE677" w14:textId="77777777" w:rsidR="006D245F" w:rsidRDefault="007C7BF1" w:rsidP="00384ED7">
      <w:pPr>
        <w:pStyle w:val="RECnormaltext"/>
      </w:pPr>
      <w:r>
        <w:t>A more detailed description of Hazardous Waste and examples thereof, are also provided in Table 2c of the LWCWD</w:t>
      </w:r>
      <w:r w:rsidR="004B15B9">
        <w:t>.</w:t>
      </w:r>
    </w:p>
    <w:p w14:paraId="48049DD0" w14:textId="6356B0EA" w:rsidR="00995AD9" w:rsidRPr="009614DA" w:rsidRDefault="009614DA" w:rsidP="00384ED7">
      <w:pPr>
        <w:pStyle w:val="RECnormaltext"/>
        <w:rPr>
          <w:rFonts w:eastAsia="Calibri"/>
          <w:i/>
        </w:rPr>
      </w:pPr>
      <w:r>
        <w:t xml:space="preserve">As an interesting aside, this review found no specific definitions of a waste stockpile within the environment legislation. However, the following definition was found in the </w:t>
      </w:r>
      <w:r w:rsidR="00995AD9" w:rsidRPr="006A4816">
        <w:rPr>
          <w:rFonts w:eastAsia="Calibri"/>
        </w:rPr>
        <w:t xml:space="preserve">WA Department of Mines and Petroleum </w:t>
      </w:r>
      <w:r w:rsidR="00995AD9" w:rsidRPr="006A4816">
        <w:rPr>
          <w:rFonts w:eastAsia="Calibri"/>
          <w:i/>
        </w:rPr>
        <w:t>Mining Rehabilitation Fund – Guidance</w:t>
      </w:r>
      <w:r w:rsidR="00995AD9" w:rsidRPr="006A4816">
        <w:rPr>
          <w:rFonts w:eastAsia="Calibri"/>
        </w:rPr>
        <w:t xml:space="preserve"> defines </w:t>
      </w:r>
      <w:r w:rsidR="00995AD9" w:rsidRPr="006A4816">
        <w:rPr>
          <w:rFonts w:eastAsia="Calibri"/>
          <w:b/>
        </w:rPr>
        <w:t>waste dump and overburden stockpiles</w:t>
      </w:r>
      <w:r w:rsidR="00995AD9" w:rsidRPr="006A4816">
        <w:rPr>
          <w:rFonts w:eastAsia="Calibri"/>
        </w:rPr>
        <w:t xml:space="preserve"> as</w:t>
      </w:r>
      <w:r w:rsidR="00384ED7">
        <w:rPr>
          <w:rFonts w:eastAsia="Calibri"/>
        </w:rPr>
        <w:t xml:space="preserve"> </w:t>
      </w:r>
      <w:r w:rsidR="00995AD9" w:rsidRPr="009614DA">
        <w:rPr>
          <w:rFonts w:eastAsia="Calibri"/>
          <w:i/>
        </w:rPr>
        <w:t>“</w:t>
      </w:r>
      <w:r w:rsidR="00384ED7">
        <w:rPr>
          <w:rFonts w:eastAsia="Calibri"/>
          <w:i/>
        </w:rPr>
        <w:t>w</w:t>
      </w:r>
      <w:r w:rsidR="00995AD9" w:rsidRPr="009614DA">
        <w:rPr>
          <w:rFonts w:eastAsia="Calibri"/>
          <w:i/>
        </w:rPr>
        <w:t>aste dump and overburden stockpiles are defined as areas associated with the storage of unprocessed waste material resulting from a mining operation.”</w:t>
      </w:r>
    </w:p>
    <w:p w14:paraId="00461174" w14:textId="77777777" w:rsidR="00B7695B" w:rsidRDefault="00B7695B">
      <w:pPr>
        <w:pStyle w:val="Heading2"/>
      </w:pPr>
      <w:bookmarkStart w:id="160" w:name="_Toc532990248"/>
      <w:r>
        <w:t>Stockpile prevention</w:t>
      </w:r>
      <w:bookmarkEnd w:id="160"/>
    </w:p>
    <w:p w14:paraId="061EE701" w14:textId="77777777" w:rsidR="004A6971" w:rsidRDefault="004A6971" w:rsidP="00047982">
      <w:pPr>
        <w:pStyle w:val="NonTOCHeading3"/>
      </w:pPr>
      <w:r>
        <w:t>H</w:t>
      </w:r>
      <w:r w:rsidRPr="008722E7">
        <w:t>azardous waste minimisation reporting</w:t>
      </w:r>
      <w:r>
        <w:t xml:space="preserve"> for generators</w:t>
      </w:r>
    </w:p>
    <w:p w14:paraId="6A90BF4B" w14:textId="77777777" w:rsidR="004A6971" w:rsidRPr="00DE7710" w:rsidRDefault="004A6971" w:rsidP="004A6971">
      <w:pPr>
        <w:pStyle w:val="RECnormaltext"/>
      </w:pPr>
      <w:r>
        <w:t xml:space="preserve">No reporting requirements were </w:t>
      </w:r>
      <w:r w:rsidRPr="00E45B05">
        <w:t>identified</w:t>
      </w:r>
      <w:r>
        <w:t xml:space="preserve"> that specifically require waste generators to report on minimising hazardous waste generation.</w:t>
      </w:r>
    </w:p>
    <w:p w14:paraId="4E078759" w14:textId="77777777" w:rsidR="004A6971" w:rsidRDefault="004A6971" w:rsidP="00047982">
      <w:pPr>
        <w:pStyle w:val="NonTOCHeading3"/>
      </w:pPr>
      <w:r>
        <w:t>Site permits to receive and store hazardous waste</w:t>
      </w:r>
    </w:p>
    <w:p w14:paraId="7D35C1DB" w14:textId="5C90B147" w:rsidR="000E2126" w:rsidRPr="000E2126" w:rsidRDefault="000E2126" w:rsidP="004A6971">
      <w:pPr>
        <w:pStyle w:val="RECnormaltext"/>
      </w:pPr>
      <w:r w:rsidRPr="000E2126">
        <w:t>D</w:t>
      </w:r>
      <w:r>
        <w:t>epartment of Environment Regulation (D</w:t>
      </w:r>
      <w:r w:rsidRPr="000E2126">
        <w:t>ER</w:t>
      </w:r>
      <w:r>
        <w:t>)</w:t>
      </w:r>
      <w:r w:rsidRPr="000E2126">
        <w:t xml:space="preserve"> is responsible for regulating industrial emissions and discharges to the environment through a works approval and licensing process.</w:t>
      </w:r>
      <w:r>
        <w:t xml:space="preserve"> </w:t>
      </w:r>
    </w:p>
    <w:p w14:paraId="125AF775" w14:textId="2A34A861" w:rsidR="000E2126" w:rsidRPr="000E2126" w:rsidRDefault="000E2126" w:rsidP="000E2126">
      <w:pPr>
        <w:pStyle w:val="RECnormaltext"/>
      </w:pPr>
      <w:r>
        <w:t>DER define c</w:t>
      </w:r>
      <w:r w:rsidRPr="000E2126">
        <w:t xml:space="preserve">ertain industrial premises with the potential to cause emissions and discharges to air, land or water </w:t>
      </w:r>
      <w:r>
        <w:t xml:space="preserve">as ‘prescribed premises’ which </w:t>
      </w:r>
      <w:r w:rsidRPr="000E2126">
        <w:t>trigger regulation under the EP Act.</w:t>
      </w:r>
    </w:p>
    <w:p w14:paraId="46D3F196" w14:textId="01ED9A60" w:rsidR="000E2126" w:rsidRDefault="000E2126" w:rsidP="000E2126">
      <w:pPr>
        <w:pStyle w:val="RECnormaltext"/>
      </w:pPr>
      <w:r w:rsidRPr="000E2126">
        <w:t>The EP Act requires a works approval to be obtained before constructing a prescribed industrial premises and makes it an offence to cause an emission or discharge unless a licence or registration is held for the premises.</w:t>
      </w:r>
    </w:p>
    <w:p w14:paraId="63FCED54" w14:textId="5EEE1BEB" w:rsidR="00074623" w:rsidRDefault="000E2126" w:rsidP="00040CCD">
      <w:pPr>
        <w:pStyle w:val="RECnormaltext"/>
        <w:rPr>
          <w:rFonts w:cstheme="minorHAnsi"/>
          <w:b/>
          <w:i/>
          <w:sz w:val="20"/>
        </w:rPr>
      </w:pPr>
      <w:r w:rsidRPr="000E2126">
        <w:t>Prescribed premises categories are outlined in Schedule 1 of the Environmental Protection Regulations 1987.</w:t>
      </w:r>
      <w:r>
        <w:t xml:space="preserve"> The most relevant extracts are included below for re</w:t>
      </w:r>
      <w:bookmarkStart w:id="161" w:name="_Toc471991796"/>
      <w:r w:rsidR="00040CCD">
        <w:t>ference</w:t>
      </w:r>
      <w:bookmarkEnd w:id="161"/>
      <w:r w:rsidR="00040CCD">
        <w:t>.</w:t>
      </w:r>
      <w:r w:rsidR="005B07BE" w:rsidRPr="00040CCD">
        <w:rPr>
          <w:rFonts w:cstheme="minorHAnsi"/>
          <w:b/>
          <w:i/>
          <w:sz w:val="20"/>
        </w:rPr>
        <w:tab/>
      </w:r>
    </w:p>
    <w:p w14:paraId="6FB1F3C4" w14:textId="77777777" w:rsidR="00074623" w:rsidRPr="00040CCD" w:rsidRDefault="00074623" w:rsidP="00040CCD">
      <w:pPr>
        <w:pStyle w:val="RECnormaltext"/>
        <w:rPr>
          <w:rFonts w:cstheme="minorHAnsi"/>
          <w:b/>
          <w:i/>
          <w:sz w:val="20"/>
        </w:rPr>
      </w:pPr>
    </w:p>
    <w:tbl>
      <w:tblPr>
        <w:tblW w:w="4150" w:type="pct"/>
        <w:tblInd w:w="624" w:type="dxa"/>
        <w:tblCellMar>
          <w:left w:w="57" w:type="dxa"/>
          <w:right w:w="141" w:type="dxa"/>
        </w:tblCellMar>
        <w:tblLook w:val="0000" w:firstRow="0" w:lastRow="0" w:firstColumn="0" w:lastColumn="0" w:noHBand="0" w:noVBand="0"/>
      </w:tblPr>
      <w:tblGrid>
        <w:gridCol w:w="913"/>
        <w:gridCol w:w="3551"/>
        <w:gridCol w:w="3028"/>
      </w:tblGrid>
      <w:tr w:rsidR="005B07BE" w:rsidRPr="00384ED7" w14:paraId="240A5883" w14:textId="77777777" w:rsidTr="00384ED7">
        <w:trPr>
          <w:tblHeader/>
        </w:trPr>
        <w:tc>
          <w:tcPr>
            <w:tcW w:w="901" w:type="pct"/>
          </w:tcPr>
          <w:p w14:paraId="679EA893" w14:textId="5767D99B" w:rsidR="005B07BE" w:rsidRPr="00384ED7" w:rsidRDefault="00384ED7" w:rsidP="00267977">
            <w:pPr>
              <w:pStyle w:val="yTableNAm"/>
              <w:spacing w:before="0"/>
              <w:jc w:val="center"/>
              <w:rPr>
                <w:rFonts w:asciiTheme="minorHAnsi" w:hAnsiTheme="minorHAnsi" w:cstheme="minorHAnsi"/>
                <w:b/>
                <w:sz w:val="18"/>
              </w:rPr>
            </w:pPr>
            <w:r w:rsidRPr="00384ED7">
              <w:rPr>
                <w:rFonts w:asciiTheme="minorHAnsi" w:hAnsiTheme="minorHAnsi" w:cstheme="minorHAnsi"/>
                <w:b/>
                <w:sz w:val="18"/>
              </w:rPr>
              <w:t>‘</w:t>
            </w:r>
            <w:r w:rsidR="005B07BE" w:rsidRPr="00384ED7">
              <w:rPr>
                <w:rFonts w:asciiTheme="minorHAnsi" w:hAnsiTheme="minorHAnsi" w:cstheme="minorHAnsi"/>
                <w:b/>
                <w:sz w:val="18"/>
              </w:rPr>
              <w:t>Category number</w:t>
            </w:r>
          </w:p>
        </w:tc>
        <w:tc>
          <w:tcPr>
            <w:tcW w:w="2840" w:type="pct"/>
          </w:tcPr>
          <w:p w14:paraId="4CB60CE8" w14:textId="77777777" w:rsidR="005B07BE" w:rsidRPr="00384ED7" w:rsidRDefault="005B07BE" w:rsidP="00267977">
            <w:pPr>
              <w:pStyle w:val="yTableNAm"/>
              <w:tabs>
                <w:tab w:val="clear" w:pos="567"/>
                <w:tab w:val="left" w:pos="423"/>
                <w:tab w:val="left" w:pos="739"/>
              </w:tabs>
              <w:spacing w:before="0"/>
              <w:jc w:val="center"/>
              <w:rPr>
                <w:rFonts w:asciiTheme="minorHAnsi" w:hAnsiTheme="minorHAnsi" w:cstheme="minorHAnsi"/>
                <w:b/>
                <w:sz w:val="18"/>
              </w:rPr>
            </w:pPr>
            <w:r w:rsidRPr="00384ED7">
              <w:rPr>
                <w:rFonts w:asciiTheme="minorHAnsi" w:hAnsiTheme="minorHAnsi" w:cstheme="minorHAnsi"/>
                <w:b/>
                <w:sz w:val="18"/>
              </w:rPr>
              <w:t>Description of category</w:t>
            </w:r>
          </w:p>
        </w:tc>
        <w:tc>
          <w:tcPr>
            <w:tcW w:w="1259" w:type="pct"/>
          </w:tcPr>
          <w:p w14:paraId="7F1A03A2" w14:textId="77C6B016" w:rsidR="005B07BE" w:rsidRPr="00384ED7" w:rsidRDefault="005B07BE" w:rsidP="00267977">
            <w:pPr>
              <w:pStyle w:val="yTableNAm"/>
              <w:spacing w:before="0"/>
              <w:jc w:val="center"/>
              <w:rPr>
                <w:rFonts w:asciiTheme="minorHAnsi" w:hAnsiTheme="minorHAnsi" w:cstheme="minorHAnsi"/>
                <w:b/>
                <w:sz w:val="18"/>
              </w:rPr>
            </w:pPr>
            <w:r w:rsidRPr="00384ED7">
              <w:rPr>
                <w:rFonts w:asciiTheme="minorHAnsi" w:hAnsiTheme="minorHAnsi" w:cstheme="minorHAnsi"/>
                <w:b/>
                <w:sz w:val="18"/>
              </w:rPr>
              <w:t>Production or design capacity</w:t>
            </w:r>
          </w:p>
        </w:tc>
      </w:tr>
      <w:tr w:rsidR="005B07BE" w:rsidRPr="00384ED7" w14:paraId="0CE445BD" w14:textId="77777777" w:rsidTr="00384ED7">
        <w:tc>
          <w:tcPr>
            <w:tcW w:w="901" w:type="pct"/>
          </w:tcPr>
          <w:p w14:paraId="691E4DFA" w14:textId="5E262DD4" w:rsidR="005B07BE" w:rsidRPr="00384ED7" w:rsidRDefault="005B07BE" w:rsidP="00267977">
            <w:pPr>
              <w:pStyle w:val="yTableNAm"/>
              <w:spacing w:before="0"/>
              <w:jc w:val="center"/>
              <w:rPr>
                <w:rFonts w:asciiTheme="minorHAnsi" w:hAnsiTheme="minorHAnsi" w:cstheme="minorHAnsi"/>
                <w:b/>
                <w:sz w:val="18"/>
              </w:rPr>
            </w:pPr>
            <w:r w:rsidRPr="00384ED7">
              <w:rPr>
                <w:rFonts w:asciiTheme="minorHAnsi" w:hAnsiTheme="minorHAnsi" w:cstheme="minorHAnsi"/>
                <w:sz w:val="18"/>
              </w:rPr>
              <w:t>53</w:t>
            </w:r>
          </w:p>
        </w:tc>
        <w:tc>
          <w:tcPr>
            <w:tcW w:w="2840" w:type="pct"/>
          </w:tcPr>
          <w:p w14:paraId="4AA26396" w14:textId="64768D88" w:rsidR="005B07BE" w:rsidRPr="00384ED7" w:rsidRDefault="005B07BE" w:rsidP="00267977">
            <w:pPr>
              <w:pStyle w:val="yTableNAm"/>
              <w:tabs>
                <w:tab w:val="clear" w:pos="567"/>
                <w:tab w:val="left" w:pos="423"/>
                <w:tab w:val="left" w:pos="739"/>
              </w:tabs>
              <w:spacing w:before="0"/>
              <w:rPr>
                <w:rFonts w:asciiTheme="minorHAnsi" w:hAnsiTheme="minorHAnsi" w:cstheme="minorHAnsi"/>
                <w:b/>
                <w:sz w:val="18"/>
              </w:rPr>
            </w:pPr>
            <w:r w:rsidRPr="00384ED7">
              <w:rPr>
                <w:rFonts w:asciiTheme="minorHAnsi" w:hAnsiTheme="minorHAnsi" w:cstheme="minorHAnsi"/>
                <w:sz w:val="18"/>
              </w:rPr>
              <w:t>Flyash disposal: premises on which flyash is disposed of.</w:t>
            </w:r>
          </w:p>
        </w:tc>
        <w:tc>
          <w:tcPr>
            <w:tcW w:w="1259" w:type="pct"/>
          </w:tcPr>
          <w:p w14:paraId="52D33D52" w14:textId="5AC1F6CE" w:rsidR="005B07BE" w:rsidRPr="00384ED7" w:rsidRDefault="005B07BE" w:rsidP="00267977">
            <w:pPr>
              <w:pStyle w:val="yTableNAm"/>
              <w:spacing w:before="0"/>
              <w:rPr>
                <w:rFonts w:asciiTheme="minorHAnsi" w:hAnsiTheme="minorHAnsi" w:cstheme="minorHAnsi"/>
                <w:b/>
                <w:sz w:val="18"/>
              </w:rPr>
            </w:pPr>
            <w:r w:rsidRPr="00384ED7">
              <w:rPr>
                <w:rFonts w:asciiTheme="minorHAnsi" w:hAnsiTheme="minorHAnsi" w:cstheme="minorHAnsi"/>
                <w:sz w:val="18"/>
              </w:rPr>
              <w:t>1 000 tonnes or more per year</w:t>
            </w:r>
          </w:p>
        </w:tc>
      </w:tr>
      <w:tr w:rsidR="005B07BE" w:rsidRPr="00384ED7" w14:paraId="2AE2E6F7" w14:textId="77777777" w:rsidTr="00384ED7">
        <w:tc>
          <w:tcPr>
            <w:tcW w:w="901" w:type="pct"/>
          </w:tcPr>
          <w:p w14:paraId="2AB3464F" w14:textId="15E2DC16" w:rsidR="005B07BE" w:rsidRPr="00384ED7" w:rsidRDefault="005B07BE" w:rsidP="00267977">
            <w:pPr>
              <w:pStyle w:val="yDefsubpara"/>
              <w:spacing w:before="0"/>
              <w:jc w:val="center"/>
              <w:rPr>
                <w:rFonts w:asciiTheme="minorHAnsi" w:hAnsiTheme="minorHAnsi" w:cstheme="minorHAnsi"/>
                <w:b/>
                <w:sz w:val="18"/>
              </w:rPr>
            </w:pPr>
            <w:r w:rsidRPr="00384ED7">
              <w:rPr>
                <w:rFonts w:asciiTheme="minorHAnsi" w:hAnsiTheme="minorHAnsi" w:cstheme="minorHAnsi"/>
                <w:sz w:val="18"/>
              </w:rPr>
              <w:t>56</w:t>
            </w:r>
          </w:p>
        </w:tc>
        <w:tc>
          <w:tcPr>
            <w:tcW w:w="2840" w:type="pct"/>
          </w:tcPr>
          <w:p w14:paraId="3A9D0A29" w14:textId="09D07415" w:rsidR="005B07BE" w:rsidRPr="00384ED7" w:rsidRDefault="005B07BE" w:rsidP="00267977">
            <w:pPr>
              <w:pStyle w:val="yDefsubpara"/>
              <w:tabs>
                <w:tab w:val="left" w:pos="423"/>
                <w:tab w:val="left" w:pos="739"/>
              </w:tabs>
              <w:spacing w:before="0"/>
              <w:ind w:left="41" w:firstLine="0"/>
              <w:rPr>
                <w:rFonts w:asciiTheme="minorHAnsi" w:hAnsiTheme="minorHAnsi" w:cstheme="minorHAnsi"/>
                <w:b/>
                <w:sz w:val="18"/>
              </w:rPr>
            </w:pPr>
            <w:r w:rsidRPr="00384ED7">
              <w:rPr>
                <w:rFonts w:asciiTheme="minorHAnsi" w:hAnsiTheme="minorHAnsi" w:cstheme="minorHAnsi"/>
                <w:sz w:val="18"/>
              </w:rPr>
              <w:t>Used tyre storage (tyre fitting bus</w:t>
            </w:r>
            <w:r w:rsidR="00040CCD" w:rsidRPr="00384ED7">
              <w:rPr>
                <w:rFonts w:asciiTheme="minorHAnsi" w:hAnsiTheme="minorHAnsi" w:cstheme="minorHAnsi"/>
                <w:sz w:val="18"/>
              </w:rPr>
              <w:t xml:space="preserve">iness):  premises on which used </w:t>
            </w:r>
            <w:r w:rsidRPr="00384ED7">
              <w:rPr>
                <w:rFonts w:asciiTheme="minorHAnsi" w:hAnsiTheme="minorHAnsi" w:cstheme="minorHAnsi"/>
                <w:sz w:val="18"/>
              </w:rPr>
              <w:t>tyres are stored in connection with a tyre fitting business.</w:t>
            </w:r>
          </w:p>
        </w:tc>
        <w:tc>
          <w:tcPr>
            <w:tcW w:w="1259" w:type="pct"/>
          </w:tcPr>
          <w:p w14:paraId="359B88FB" w14:textId="7A75D7C0" w:rsidR="005B07BE" w:rsidRPr="00384ED7" w:rsidRDefault="005B07BE" w:rsidP="00267977">
            <w:pPr>
              <w:pStyle w:val="yDefsubpara"/>
              <w:spacing w:before="0"/>
              <w:rPr>
                <w:rFonts w:asciiTheme="minorHAnsi" w:hAnsiTheme="minorHAnsi" w:cstheme="minorHAnsi"/>
                <w:b/>
                <w:sz w:val="18"/>
              </w:rPr>
            </w:pPr>
            <w:r w:rsidRPr="00384ED7">
              <w:rPr>
                <w:rFonts w:asciiTheme="minorHAnsi" w:hAnsiTheme="minorHAnsi" w:cstheme="minorHAnsi"/>
                <w:sz w:val="18"/>
              </w:rPr>
              <w:t>500 tyres or more</w:t>
            </w:r>
          </w:p>
        </w:tc>
      </w:tr>
      <w:tr w:rsidR="005B07BE" w:rsidRPr="00384ED7" w14:paraId="0DB5F44E" w14:textId="77777777" w:rsidTr="00384ED7">
        <w:tc>
          <w:tcPr>
            <w:tcW w:w="901" w:type="pct"/>
          </w:tcPr>
          <w:p w14:paraId="43C78C80" w14:textId="068D6C06" w:rsidR="005B07BE" w:rsidRPr="00384ED7" w:rsidRDefault="005B07BE" w:rsidP="00267977">
            <w:pPr>
              <w:pStyle w:val="yDefsubpara"/>
              <w:spacing w:before="0"/>
              <w:jc w:val="center"/>
              <w:rPr>
                <w:rFonts w:asciiTheme="minorHAnsi" w:hAnsiTheme="minorHAnsi" w:cstheme="minorHAnsi"/>
                <w:b/>
                <w:sz w:val="18"/>
              </w:rPr>
            </w:pPr>
            <w:r w:rsidRPr="00384ED7">
              <w:rPr>
                <w:rFonts w:asciiTheme="minorHAnsi" w:hAnsiTheme="minorHAnsi" w:cstheme="minorHAnsi"/>
                <w:sz w:val="18"/>
              </w:rPr>
              <w:t>57</w:t>
            </w:r>
          </w:p>
        </w:tc>
        <w:tc>
          <w:tcPr>
            <w:tcW w:w="2840" w:type="pct"/>
          </w:tcPr>
          <w:p w14:paraId="5965D68D" w14:textId="09C6736A" w:rsidR="005B07BE" w:rsidRPr="00384ED7" w:rsidRDefault="005B07BE" w:rsidP="00267977">
            <w:pPr>
              <w:pStyle w:val="yDefsubpara"/>
              <w:tabs>
                <w:tab w:val="left" w:pos="423"/>
                <w:tab w:val="left" w:pos="739"/>
              </w:tabs>
              <w:spacing w:before="0"/>
              <w:ind w:left="41" w:hanging="16"/>
              <w:rPr>
                <w:rFonts w:asciiTheme="minorHAnsi" w:hAnsiTheme="minorHAnsi" w:cstheme="minorHAnsi"/>
                <w:b/>
                <w:sz w:val="18"/>
              </w:rPr>
            </w:pPr>
            <w:r w:rsidRPr="00384ED7">
              <w:rPr>
                <w:rFonts w:asciiTheme="minorHAnsi" w:hAnsiTheme="minorHAnsi" w:cstheme="minorHAnsi"/>
                <w:sz w:val="18"/>
              </w:rPr>
              <w:t>Used tyre storage (general):  premises (other than premises within category 56) on which used tyres are stored.</w:t>
            </w:r>
          </w:p>
        </w:tc>
        <w:tc>
          <w:tcPr>
            <w:tcW w:w="1259" w:type="pct"/>
          </w:tcPr>
          <w:p w14:paraId="32E4C713" w14:textId="161D8BEB" w:rsidR="005B07BE" w:rsidRPr="00384ED7" w:rsidRDefault="005B07BE" w:rsidP="00267977">
            <w:pPr>
              <w:pStyle w:val="yTableNAm"/>
              <w:spacing w:before="0"/>
              <w:rPr>
                <w:rFonts w:asciiTheme="minorHAnsi" w:hAnsiTheme="minorHAnsi" w:cstheme="minorHAnsi"/>
                <w:b/>
                <w:sz w:val="18"/>
              </w:rPr>
            </w:pPr>
            <w:r w:rsidRPr="00384ED7">
              <w:rPr>
                <w:rFonts w:asciiTheme="minorHAnsi" w:hAnsiTheme="minorHAnsi" w:cstheme="minorHAnsi"/>
                <w:sz w:val="18"/>
              </w:rPr>
              <w:t>100 tyres or more</w:t>
            </w:r>
          </w:p>
        </w:tc>
      </w:tr>
      <w:tr w:rsidR="005B07BE" w:rsidRPr="00384ED7" w14:paraId="74E9BC1D" w14:textId="77777777" w:rsidTr="00384ED7">
        <w:trPr>
          <w:trHeight w:val="887"/>
        </w:trPr>
        <w:tc>
          <w:tcPr>
            <w:tcW w:w="901" w:type="pct"/>
          </w:tcPr>
          <w:p w14:paraId="481C34D5" w14:textId="2AF874F7" w:rsidR="005B07BE" w:rsidRPr="00384ED7" w:rsidRDefault="005B07BE" w:rsidP="00267977">
            <w:pPr>
              <w:pStyle w:val="yDefsubpara"/>
              <w:spacing w:before="0"/>
              <w:jc w:val="center"/>
              <w:rPr>
                <w:rFonts w:asciiTheme="minorHAnsi" w:hAnsiTheme="minorHAnsi" w:cstheme="minorHAnsi"/>
                <w:b/>
                <w:sz w:val="18"/>
              </w:rPr>
            </w:pPr>
            <w:r w:rsidRPr="00384ED7">
              <w:rPr>
                <w:rFonts w:asciiTheme="minorHAnsi" w:hAnsiTheme="minorHAnsi" w:cstheme="minorHAnsi"/>
                <w:sz w:val="18"/>
              </w:rPr>
              <w:t>61</w:t>
            </w:r>
          </w:p>
        </w:tc>
        <w:tc>
          <w:tcPr>
            <w:tcW w:w="2840" w:type="pct"/>
          </w:tcPr>
          <w:p w14:paraId="7D23A398" w14:textId="455D6E8F" w:rsidR="005B07BE" w:rsidRPr="00384ED7" w:rsidRDefault="005B07BE" w:rsidP="00267977">
            <w:pPr>
              <w:pStyle w:val="yDefsubpara"/>
              <w:tabs>
                <w:tab w:val="left" w:pos="423"/>
                <w:tab w:val="left" w:pos="739"/>
              </w:tabs>
              <w:spacing w:before="0"/>
              <w:ind w:left="41" w:hanging="16"/>
              <w:rPr>
                <w:rFonts w:asciiTheme="minorHAnsi" w:hAnsiTheme="minorHAnsi" w:cstheme="minorHAnsi"/>
                <w:b/>
                <w:sz w:val="18"/>
              </w:rPr>
            </w:pPr>
            <w:r w:rsidRPr="00384ED7">
              <w:rPr>
                <w:rFonts w:asciiTheme="minorHAnsi" w:hAnsiTheme="minorHAnsi" w:cstheme="minorHAnsi"/>
                <w:sz w:val="18"/>
              </w:rPr>
              <w:t>Liquid waste facility: premises on which liquid waste produced on other premises (other than sewerage waste) is stored, reprocessed, treated or irrigated</w:t>
            </w:r>
          </w:p>
        </w:tc>
        <w:tc>
          <w:tcPr>
            <w:tcW w:w="1259" w:type="pct"/>
          </w:tcPr>
          <w:p w14:paraId="5B4804B7" w14:textId="3118F173" w:rsidR="005B07BE" w:rsidRPr="00384ED7" w:rsidRDefault="005B07BE" w:rsidP="00267977">
            <w:pPr>
              <w:pStyle w:val="yDefsubpara"/>
              <w:spacing w:before="0"/>
              <w:rPr>
                <w:rFonts w:asciiTheme="minorHAnsi" w:hAnsiTheme="minorHAnsi" w:cstheme="minorHAnsi"/>
                <w:b/>
                <w:sz w:val="18"/>
              </w:rPr>
            </w:pPr>
            <w:r w:rsidRPr="00384ED7">
              <w:rPr>
                <w:rFonts w:asciiTheme="minorHAnsi" w:hAnsiTheme="minorHAnsi" w:cstheme="minorHAnsi"/>
                <w:sz w:val="18"/>
              </w:rPr>
              <w:t xml:space="preserve">100 tonnes or more per </w:t>
            </w:r>
          </w:p>
        </w:tc>
      </w:tr>
      <w:tr w:rsidR="005B07BE" w:rsidRPr="00384ED7" w14:paraId="364F2AE3" w14:textId="77777777" w:rsidTr="00384ED7">
        <w:tc>
          <w:tcPr>
            <w:tcW w:w="901" w:type="pct"/>
          </w:tcPr>
          <w:p w14:paraId="0B1BC901" w14:textId="7CE1479A" w:rsidR="005B07BE" w:rsidRPr="00384ED7" w:rsidRDefault="005B07BE" w:rsidP="00267977">
            <w:pPr>
              <w:pStyle w:val="yDefsubpara"/>
              <w:spacing w:before="0"/>
              <w:jc w:val="center"/>
              <w:rPr>
                <w:rFonts w:asciiTheme="minorHAnsi" w:hAnsiTheme="minorHAnsi" w:cstheme="minorHAnsi"/>
                <w:b/>
                <w:sz w:val="18"/>
              </w:rPr>
            </w:pPr>
            <w:r w:rsidRPr="00384ED7">
              <w:rPr>
                <w:rFonts w:asciiTheme="minorHAnsi" w:hAnsiTheme="minorHAnsi" w:cstheme="minorHAnsi"/>
                <w:sz w:val="18"/>
              </w:rPr>
              <w:t>61A</w:t>
            </w:r>
          </w:p>
        </w:tc>
        <w:tc>
          <w:tcPr>
            <w:tcW w:w="2840" w:type="pct"/>
          </w:tcPr>
          <w:p w14:paraId="43FAE2CF" w14:textId="59A486B2" w:rsidR="005B07BE" w:rsidRPr="00384ED7" w:rsidRDefault="005B07BE" w:rsidP="00267977">
            <w:pPr>
              <w:pStyle w:val="yDefsubpara"/>
              <w:tabs>
                <w:tab w:val="left" w:pos="423"/>
                <w:tab w:val="left" w:pos="739"/>
              </w:tabs>
              <w:spacing w:before="0"/>
              <w:ind w:left="41" w:hanging="16"/>
              <w:rPr>
                <w:rFonts w:asciiTheme="minorHAnsi" w:hAnsiTheme="minorHAnsi" w:cstheme="minorHAnsi"/>
                <w:b/>
                <w:sz w:val="18"/>
              </w:rPr>
            </w:pPr>
            <w:r w:rsidRPr="00384ED7">
              <w:rPr>
                <w:rFonts w:asciiTheme="minorHAnsi" w:hAnsiTheme="minorHAnsi" w:cstheme="minorHAnsi"/>
                <w:sz w:val="18"/>
              </w:rPr>
              <w:t>Solid waste facility: premises (other than premises within category 67A) on which solid waste produced on other premises is stored, reprocessed, treated, or discharged onto land.</w:t>
            </w:r>
          </w:p>
        </w:tc>
        <w:tc>
          <w:tcPr>
            <w:tcW w:w="1259" w:type="pct"/>
          </w:tcPr>
          <w:p w14:paraId="0ADC08ED" w14:textId="2F76D54A" w:rsidR="005B07BE" w:rsidRPr="00384ED7" w:rsidRDefault="005B07BE" w:rsidP="00267977">
            <w:pPr>
              <w:pStyle w:val="yTableNAm"/>
              <w:spacing w:before="0"/>
              <w:rPr>
                <w:rFonts w:asciiTheme="minorHAnsi" w:hAnsiTheme="minorHAnsi" w:cstheme="minorHAnsi"/>
                <w:b/>
                <w:sz w:val="18"/>
              </w:rPr>
            </w:pPr>
            <w:r w:rsidRPr="00384ED7">
              <w:rPr>
                <w:rFonts w:asciiTheme="minorHAnsi" w:hAnsiTheme="minorHAnsi" w:cstheme="minorHAnsi"/>
                <w:sz w:val="18"/>
              </w:rPr>
              <w:t>1 000 tonnes or more per year</w:t>
            </w:r>
          </w:p>
        </w:tc>
      </w:tr>
      <w:tr w:rsidR="005B07BE" w:rsidRPr="00384ED7" w14:paraId="551A78DD" w14:textId="77777777" w:rsidTr="00384ED7">
        <w:tc>
          <w:tcPr>
            <w:tcW w:w="901" w:type="pct"/>
          </w:tcPr>
          <w:p w14:paraId="47725FA2" w14:textId="3E5073CA" w:rsidR="005B07BE" w:rsidRPr="00384ED7" w:rsidRDefault="005B07BE" w:rsidP="00267977">
            <w:pPr>
              <w:pStyle w:val="yDefsubpara"/>
              <w:spacing w:before="0"/>
              <w:jc w:val="center"/>
              <w:rPr>
                <w:rFonts w:asciiTheme="minorHAnsi" w:hAnsiTheme="minorHAnsi" w:cstheme="minorHAnsi"/>
                <w:b/>
                <w:sz w:val="18"/>
              </w:rPr>
            </w:pPr>
            <w:r w:rsidRPr="00384ED7">
              <w:rPr>
                <w:rFonts w:asciiTheme="minorHAnsi" w:hAnsiTheme="minorHAnsi" w:cstheme="minorHAnsi"/>
                <w:sz w:val="18"/>
              </w:rPr>
              <w:t>62</w:t>
            </w:r>
          </w:p>
        </w:tc>
        <w:tc>
          <w:tcPr>
            <w:tcW w:w="2840" w:type="pct"/>
          </w:tcPr>
          <w:p w14:paraId="09CBA45E" w14:textId="38216544" w:rsidR="005B07BE" w:rsidRPr="00384ED7" w:rsidRDefault="005B07BE" w:rsidP="00267977">
            <w:pPr>
              <w:pStyle w:val="yDefsubpara"/>
              <w:tabs>
                <w:tab w:val="left" w:pos="423"/>
                <w:tab w:val="left" w:pos="739"/>
              </w:tabs>
              <w:spacing w:before="0"/>
              <w:rPr>
                <w:rFonts w:asciiTheme="minorHAnsi" w:hAnsiTheme="minorHAnsi" w:cstheme="minorHAnsi"/>
                <w:b/>
                <w:sz w:val="18"/>
              </w:rPr>
            </w:pPr>
            <w:r w:rsidRPr="00384ED7">
              <w:rPr>
                <w:rFonts w:asciiTheme="minorHAnsi" w:hAnsiTheme="minorHAnsi" w:cstheme="minorHAnsi"/>
                <w:sz w:val="18"/>
              </w:rPr>
              <w:t>Solid waste depot:  premises on which waste is stored, or sorted, pending final disposal or re</w:t>
            </w:r>
            <w:r w:rsidRPr="00384ED7">
              <w:rPr>
                <w:rFonts w:asciiTheme="minorHAnsi" w:hAnsiTheme="minorHAnsi" w:cstheme="minorHAnsi"/>
                <w:sz w:val="18"/>
              </w:rPr>
              <w:noBreakHyphen/>
              <w:t>use.</w:t>
            </w:r>
          </w:p>
        </w:tc>
        <w:tc>
          <w:tcPr>
            <w:tcW w:w="1259" w:type="pct"/>
          </w:tcPr>
          <w:p w14:paraId="646D6DCF" w14:textId="7DD70E67" w:rsidR="005B07BE" w:rsidRPr="00384ED7" w:rsidRDefault="005B07BE" w:rsidP="00267977">
            <w:pPr>
              <w:pStyle w:val="yTableNAm"/>
              <w:spacing w:before="0"/>
              <w:rPr>
                <w:rFonts w:asciiTheme="minorHAnsi" w:hAnsiTheme="minorHAnsi" w:cstheme="minorHAnsi"/>
                <w:b/>
                <w:sz w:val="18"/>
              </w:rPr>
            </w:pPr>
            <w:r w:rsidRPr="00384ED7">
              <w:rPr>
                <w:rFonts w:asciiTheme="minorHAnsi" w:hAnsiTheme="minorHAnsi" w:cstheme="minorHAnsi"/>
                <w:sz w:val="18"/>
              </w:rPr>
              <w:t>500 tonnes or more per year</w:t>
            </w:r>
          </w:p>
        </w:tc>
      </w:tr>
      <w:tr w:rsidR="00177F8F" w:rsidRPr="00384ED7" w14:paraId="44E959BD" w14:textId="77777777" w:rsidTr="00384ED7">
        <w:tc>
          <w:tcPr>
            <w:tcW w:w="901" w:type="pct"/>
          </w:tcPr>
          <w:p w14:paraId="3AF4CC3E" w14:textId="4FCC17A6" w:rsidR="00177F8F" w:rsidRPr="00384ED7" w:rsidRDefault="00177F8F" w:rsidP="00267977">
            <w:pPr>
              <w:pStyle w:val="yDefsubpara"/>
              <w:spacing w:before="0"/>
              <w:jc w:val="center"/>
              <w:rPr>
                <w:rFonts w:asciiTheme="minorHAnsi" w:hAnsiTheme="minorHAnsi" w:cstheme="minorHAnsi"/>
                <w:b/>
                <w:sz w:val="18"/>
              </w:rPr>
            </w:pPr>
            <w:r w:rsidRPr="00384ED7">
              <w:rPr>
                <w:rFonts w:asciiTheme="minorHAnsi" w:hAnsiTheme="minorHAnsi" w:cstheme="minorHAnsi"/>
                <w:sz w:val="18"/>
              </w:rPr>
              <w:t>65</w:t>
            </w:r>
          </w:p>
        </w:tc>
        <w:tc>
          <w:tcPr>
            <w:tcW w:w="2840" w:type="pct"/>
          </w:tcPr>
          <w:p w14:paraId="5C4C271C" w14:textId="379E30E4" w:rsidR="00177F8F" w:rsidRPr="00384ED7" w:rsidRDefault="00177F8F" w:rsidP="00267977">
            <w:pPr>
              <w:pStyle w:val="yDefsubpara"/>
              <w:tabs>
                <w:tab w:val="left" w:pos="423"/>
                <w:tab w:val="left" w:pos="739"/>
              </w:tabs>
              <w:spacing w:before="0"/>
              <w:ind w:left="41" w:hanging="16"/>
              <w:rPr>
                <w:rFonts w:asciiTheme="minorHAnsi" w:hAnsiTheme="minorHAnsi" w:cstheme="minorHAnsi"/>
                <w:b/>
                <w:sz w:val="18"/>
              </w:rPr>
            </w:pPr>
            <w:r w:rsidRPr="00384ED7">
              <w:rPr>
                <w:rFonts w:asciiTheme="minorHAnsi" w:hAnsiTheme="minorHAnsi" w:cstheme="minorHAnsi"/>
                <w:sz w:val="18"/>
              </w:rPr>
              <w:t>Class IV secure landfill site: premises on which waste (as determined by reference to the waste type set out in the document entitled “Landfill Waste Classification and Waste Definitions 1996” published by the Chief Executive Officer and as amended from time to time) is accepted for burial.</w:t>
            </w:r>
          </w:p>
        </w:tc>
        <w:tc>
          <w:tcPr>
            <w:tcW w:w="1259" w:type="pct"/>
          </w:tcPr>
          <w:p w14:paraId="70854D0A" w14:textId="57A77F50" w:rsidR="00177F8F" w:rsidRPr="00384ED7" w:rsidRDefault="00177F8F" w:rsidP="00267977">
            <w:pPr>
              <w:pStyle w:val="yTableNAm"/>
              <w:spacing w:before="0"/>
              <w:rPr>
                <w:rFonts w:asciiTheme="minorHAnsi" w:hAnsiTheme="minorHAnsi" w:cstheme="minorHAnsi"/>
                <w:b/>
                <w:sz w:val="18"/>
              </w:rPr>
            </w:pPr>
            <w:r w:rsidRPr="00384ED7">
              <w:rPr>
                <w:rFonts w:asciiTheme="minorHAnsi" w:hAnsiTheme="minorHAnsi" w:cstheme="minorHAnsi"/>
                <w:sz w:val="18"/>
              </w:rPr>
              <w:t>Not applicable</w:t>
            </w:r>
          </w:p>
        </w:tc>
      </w:tr>
      <w:tr w:rsidR="00177F8F" w:rsidRPr="00384ED7" w14:paraId="41A20C49" w14:textId="77777777" w:rsidTr="00384ED7">
        <w:tc>
          <w:tcPr>
            <w:tcW w:w="901" w:type="pct"/>
          </w:tcPr>
          <w:p w14:paraId="13715A58" w14:textId="39AF2681" w:rsidR="00177F8F" w:rsidRPr="00384ED7" w:rsidRDefault="00177F8F" w:rsidP="00267977">
            <w:pPr>
              <w:pStyle w:val="yDefsubpara"/>
              <w:spacing w:before="0"/>
              <w:jc w:val="center"/>
              <w:rPr>
                <w:rFonts w:asciiTheme="minorHAnsi" w:hAnsiTheme="minorHAnsi" w:cstheme="minorHAnsi"/>
                <w:b/>
                <w:sz w:val="18"/>
              </w:rPr>
            </w:pPr>
            <w:r w:rsidRPr="00384ED7">
              <w:rPr>
                <w:rFonts w:asciiTheme="minorHAnsi" w:hAnsiTheme="minorHAnsi" w:cstheme="minorHAnsi"/>
                <w:sz w:val="18"/>
              </w:rPr>
              <w:t>66</w:t>
            </w:r>
          </w:p>
        </w:tc>
        <w:tc>
          <w:tcPr>
            <w:tcW w:w="2840" w:type="pct"/>
          </w:tcPr>
          <w:p w14:paraId="7EA3979D" w14:textId="498F4182" w:rsidR="00177F8F" w:rsidRPr="00384ED7" w:rsidRDefault="00177F8F" w:rsidP="00267977">
            <w:pPr>
              <w:pStyle w:val="yDefsubpara"/>
              <w:tabs>
                <w:tab w:val="left" w:pos="423"/>
                <w:tab w:val="left" w:pos="739"/>
              </w:tabs>
              <w:spacing w:before="0"/>
              <w:ind w:left="41" w:hanging="16"/>
              <w:rPr>
                <w:rFonts w:asciiTheme="minorHAnsi" w:hAnsiTheme="minorHAnsi" w:cstheme="minorHAnsi"/>
                <w:b/>
                <w:sz w:val="18"/>
              </w:rPr>
            </w:pPr>
            <w:r w:rsidRPr="00384ED7">
              <w:rPr>
                <w:rFonts w:asciiTheme="minorHAnsi" w:hAnsiTheme="minorHAnsi" w:cstheme="minorHAnsi"/>
                <w:sz w:val="18"/>
              </w:rPr>
              <w:t>Class V intractable landfill site: premises on which waste (as determined by reference to the waste type set out in the document entitled “Landfill Waste Classification and Waste Definitions 1996” published by the Chief Executive Officer and as amended from time to time) is accepted for burial.</w:t>
            </w:r>
            <w:r w:rsidR="00384ED7" w:rsidRPr="00384ED7">
              <w:rPr>
                <w:rFonts w:asciiTheme="minorHAnsi" w:hAnsiTheme="minorHAnsi" w:cstheme="minorHAnsi"/>
                <w:sz w:val="18"/>
              </w:rPr>
              <w:t>’</w:t>
            </w:r>
          </w:p>
        </w:tc>
        <w:tc>
          <w:tcPr>
            <w:tcW w:w="1259" w:type="pct"/>
          </w:tcPr>
          <w:p w14:paraId="64FC6455" w14:textId="4F45893F" w:rsidR="00177F8F" w:rsidRPr="00384ED7" w:rsidRDefault="00177F8F" w:rsidP="00267977">
            <w:pPr>
              <w:pStyle w:val="yTableNAm"/>
              <w:spacing w:before="0"/>
              <w:rPr>
                <w:rFonts w:asciiTheme="minorHAnsi" w:hAnsiTheme="minorHAnsi" w:cstheme="minorHAnsi"/>
                <w:b/>
                <w:sz w:val="18"/>
              </w:rPr>
            </w:pPr>
            <w:r w:rsidRPr="00384ED7">
              <w:rPr>
                <w:rFonts w:asciiTheme="minorHAnsi" w:hAnsiTheme="minorHAnsi" w:cstheme="minorHAnsi"/>
                <w:sz w:val="18"/>
              </w:rPr>
              <w:t>Not applicable</w:t>
            </w:r>
          </w:p>
        </w:tc>
      </w:tr>
    </w:tbl>
    <w:p w14:paraId="164926E4" w14:textId="6074A49A" w:rsidR="00B7695B" w:rsidRDefault="00B7695B" w:rsidP="00047982">
      <w:pPr>
        <w:pStyle w:val="NonTOCHeading3"/>
      </w:pPr>
      <w:r>
        <w:t>Hazardous waste tracking</w:t>
      </w:r>
    </w:p>
    <w:p w14:paraId="0F65A57D" w14:textId="76DBDB8D" w:rsidR="00B7695B" w:rsidRDefault="00B7695B" w:rsidP="00B7695B">
      <w:pPr>
        <w:pStyle w:val="RECnormaltext"/>
      </w:pPr>
      <w:r>
        <w:t xml:space="preserve">There is a waste tracking system in place in </w:t>
      </w:r>
      <w:r w:rsidR="0080241E">
        <w:t>WA</w:t>
      </w:r>
      <w:r>
        <w:t xml:space="preserve"> for hazardous waste movements within the jurisdiction. Hazardous waste </w:t>
      </w:r>
      <w:r w:rsidRPr="00C43C3C">
        <w:t>must be tracked when transp</w:t>
      </w:r>
      <w:r>
        <w:t xml:space="preserve">orted into, within or out of </w:t>
      </w:r>
      <w:r w:rsidR="0080241E">
        <w:t>WA</w:t>
      </w:r>
      <w:r w:rsidRPr="00C43C3C">
        <w:t>. The waste consignor, transporter and receiving facility all have obligations to ensure that the waste is properly tracked.</w:t>
      </w:r>
      <w:r>
        <w:t xml:space="preserve"> </w:t>
      </w:r>
    </w:p>
    <w:p w14:paraId="534F7B14" w14:textId="0E44481B" w:rsidR="00A61F1D" w:rsidRDefault="00C96E66" w:rsidP="00A61F1D">
      <w:pPr>
        <w:pStyle w:val="RECnormaltext"/>
      </w:pPr>
      <w:r>
        <w:t>EOLT</w:t>
      </w:r>
      <w:r w:rsidR="00A61F1D" w:rsidRPr="00984D87">
        <w:t xml:space="preserve"> are a controlled waste under the </w:t>
      </w:r>
      <w:r w:rsidR="00A61F1D" w:rsidRPr="0080241E">
        <w:t>Environmental Protection (Controlled Waste) Regulations 2004</w:t>
      </w:r>
      <w:r w:rsidR="00A61F1D" w:rsidRPr="00984D87">
        <w:t xml:space="preserve"> and as such permitting and tracking is required when EOLTS are transported from commercial premises.</w:t>
      </w:r>
    </w:p>
    <w:p w14:paraId="78965645" w14:textId="0EDC0695" w:rsidR="0080241E" w:rsidRPr="00984D87" w:rsidRDefault="0080241E" w:rsidP="0080241E">
      <w:pPr>
        <w:pStyle w:val="RECnormaltext"/>
      </w:pPr>
      <w:r>
        <w:t>Asbestos is not tracked when transported within WA. Asbestos is excluded from the requirements relating to transport by a licensed controlled waste carrier and tracking via a controlled waste tracking form.</w:t>
      </w:r>
    </w:p>
    <w:p w14:paraId="7C66B887" w14:textId="77777777" w:rsidR="00D26ADC" w:rsidRDefault="00D26ADC" w:rsidP="00047982">
      <w:pPr>
        <w:pStyle w:val="NonTOCHeading3"/>
      </w:pPr>
      <w:r>
        <w:t xml:space="preserve">Enforcement against illegal dumping </w:t>
      </w:r>
    </w:p>
    <w:p w14:paraId="4860D8B5" w14:textId="77777777" w:rsidR="00E4382D" w:rsidRPr="00E4382D" w:rsidRDefault="00E4382D" w:rsidP="00267977">
      <w:pPr>
        <w:pStyle w:val="RECnormaltext"/>
      </w:pPr>
      <w:r w:rsidRPr="00E4382D">
        <w:t>In 2010, the Environmental Protection Act 1986 (EP Act) was amended to introduce a new offence for the illegal dumping of waste.  DER is responsible for investigating and prosecuting illegal dumping under the EP Act.  Upon conviction, this offence carries a maximum fine of $125,000 for corporations and $62,500 for individuals.</w:t>
      </w:r>
    </w:p>
    <w:p w14:paraId="5BEEEBBA" w14:textId="4E152FEE" w:rsidR="00E4382D" w:rsidRDefault="00E4382D">
      <w:pPr>
        <w:pStyle w:val="RECnormaltext"/>
      </w:pPr>
      <w:r w:rsidRPr="00E4382D">
        <w:t xml:space="preserve">In 2015, a dedicated Illegal Dumping Program was established within DER.  The Program includes a dedicated enforcement capacity of five officers comprising a Senior Manager and four Investigators to investigate reports of illegal </w:t>
      </w:r>
      <w:r w:rsidRPr="00C13307">
        <w:t>dumping</w:t>
      </w:r>
      <w:r w:rsidR="00995AD9" w:rsidRPr="00984D87">
        <w:t>.</w:t>
      </w:r>
    </w:p>
    <w:p w14:paraId="2E56EB6F" w14:textId="48555457" w:rsidR="00B7695B" w:rsidRDefault="00E4382D">
      <w:pPr>
        <w:pStyle w:val="RECnormaltext"/>
      </w:pPr>
      <w:r w:rsidRPr="00E4382D">
        <w:t xml:space="preserve">DER identifies illegal dumping </w:t>
      </w:r>
      <w:r w:rsidRPr="00C13307">
        <w:t>incidents</w:t>
      </w:r>
      <w:r w:rsidRPr="00E4382D">
        <w:t xml:space="preserve"> through public complaints, overt and covert surveillance, and sharing intelligence with partnership bodies such as Local Government Authorities and other land managers</w:t>
      </w:r>
      <w:r>
        <w:t>.</w:t>
      </w:r>
      <w:r w:rsidR="00B7695B" w:rsidRPr="006A4816">
        <w:t xml:space="preserve"> </w:t>
      </w:r>
    </w:p>
    <w:p w14:paraId="5792BD6A" w14:textId="77777777" w:rsidR="00B7695B" w:rsidRDefault="00B7695B" w:rsidP="00047982">
      <w:pPr>
        <w:pStyle w:val="NonTOCHeading3"/>
      </w:pPr>
      <w:r>
        <w:t>Landfill levy settings</w:t>
      </w:r>
    </w:p>
    <w:p w14:paraId="33797F46" w14:textId="2ACD576A" w:rsidR="00B7695B" w:rsidRDefault="00B7695B" w:rsidP="00B7695B">
      <w:pPr>
        <w:pStyle w:val="RECnormaltext"/>
      </w:pPr>
      <w:r>
        <w:t xml:space="preserve">The current landfill levy rates </w:t>
      </w:r>
      <w:r w:rsidR="00384ED7">
        <w:t xml:space="preserve">are published on the </w:t>
      </w:r>
      <w:hyperlink r:id="rId84" w:history="1">
        <w:r w:rsidR="00384ED7" w:rsidRPr="00384ED7">
          <w:rPr>
            <w:rStyle w:val="Hyperlink"/>
          </w:rPr>
          <w:t>DERs website</w:t>
        </w:r>
      </w:hyperlink>
      <w:r w:rsidR="00384ED7">
        <w:t xml:space="preserve"> and </w:t>
      </w:r>
      <w:r>
        <w:t>are detailed below.</w:t>
      </w:r>
    </w:p>
    <w:p w14:paraId="795C4F2A" w14:textId="0A24A13B" w:rsidR="00C27408" w:rsidRDefault="00C27408" w:rsidP="00384ED7">
      <w:pPr>
        <w:pStyle w:val="RECdotnotlist"/>
      </w:pPr>
      <w:r>
        <w:t>Putrescible wastes: $60/tonne.</w:t>
      </w:r>
    </w:p>
    <w:p w14:paraId="26ED5A88" w14:textId="2ABAED77" w:rsidR="008C7B95" w:rsidRDefault="00C27408" w:rsidP="00384ED7">
      <w:pPr>
        <w:pStyle w:val="RECdotnotlist"/>
      </w:pPr>
      <w:r>
        <w:t>Inert wastes $50/tonne.</w:t>
      </w:r>
    </w:p>
    <w:p w14:paraId="1341ED01" w14:textId="6E6491E2" w:rsidR="0080241E" w:rsidRDefault="00C27408" w:rsidP="006E1B8A">
      <w:pPr>
        <w:pStyle w:val="RECdotnotlist"/>
        <w:widowControl w:val="0"/>
      </w:pPr>
      <w:r>
        <w:t>$0 for asbestos products suc</w:t>
      </w:r>
      <w:r w:rsidR="008C7B95">
        <w:t xml:space="preserve">h as roofing or insulation. </w:t>
      </w:r>
      <w:r>
        <w:t>$40 for asbestos contaminated soils/rubble that cannot be readily cleaned sent to inert landfill from Jan 2015, increasing to $70 by 2018.</w:t>
      </w:r>
      <w:r w:rsidR="008C7B95">
        <w:rPr>
          <w:rStyle w:val="FootnoteReference"/>
        </w:rPr>
        <w:footnoteReference w:id="11"/>
      </w:r>
      <w:r>
        <w:t xml:space="preserve">  </w:t>
      </w:r>
    </w:p>
    <w:p w14:paraId="51A848B6" w14:textId="15A7F0F8" w:rsidR="006E1B8A" w:rsidRDefault="006E1B8A" w:rsidP="006E1B8A">
      <w:pPr>
        <w:pStyle w:val="RECnormaltext"/>
      </w:pPr>
      <w:r>
        <w:rPr>
          <w:noProof/>
          <w:lang w:eastAsia="en-AU"/>
        </w:rPr>
        <mc:AlternateContent>
          <mc:Choice Requires="wps">
            <w:drawing>
              <wp:anchor distT="0" distB="0" distL="114300" distR="114300" simplePos="0" relativeHeight="251632640" behindDoc="0" locked="0" layoutInCell="1" allowOverlap="1" wp14:anchorId="5F74F8B5" wp14:editId="6D25747A">
                <wp:simplePos x="0" y="0"/>
                <wp:positionH relativeFrom="margin">
                  <wp:posOffset>-39560</wp:posOffset>
                </wp:positionH>
                <wp:positionV relativeFrom="margin">
                  <wp:posOffset>84455</wp:posOffset>
                </wp:positionV>
                <wp:extent cx="5814060" cy="1508125"/>
                <wp:effectExtent l="57150" t="38100" r="53340" b="73025"/>
                <wp:wrapSquare wrapText="bothSides"/>
                <wp:docPr id="38" name="Rectangle: Rounded Corners 38"/>
                <wp:cNvGraphicFramePr/>
                <a:graphic xmlns:a="http://schemas.openxmlformats.org/drawingml/2006/main">
                  <a:graphicData uri="http://schemas.microsoft.com/office/word/2010/wordprocessingShape">
                    <wps:wsp>
                      <wps:cNvSpPr/>
                      <wps:spPr>
                        <a:xfrm>
                          <a:off x="0" y="0"/>
                          <a:ext cx="5814060" cy="1508125"/>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0E0FE8FD" w14:textId="5E447F6A" w:rsidR="00067AC0" w:rsidRPr="00842360" w:rsidRDefault="00067AC0" w:rsidP="00267977">
                            <w:pPr>
                              <w:pStyle w:val="RECnormaltext"/>
                              <w:rPr>
                                <w:color w:val="FFFFFF" w:themeColor="background1"/>
                              </w:rPr>
                            </w:pPr>
                            <w:r w:rsidRPr="00F078E9">
                              <w:t xml:space="preserve"> </w:t>
                            </w:r>
                            <w:r>
                              <w:rPr>
                                <w:color w:val="FFFFFF" w:themeColor="background1"/>
                              </w:rPr>
                              <w:t>It is widely accepted that the best fate for waste asbestos is disposal to a licensed landfill. Government policy settings should to be set to encourage the safe disposal of asbestos to a licensed landfill. WA and SA (since July 2017) have implemented a $0 landfill levy for waste asbestos containing material (ACM) (e.g. roofing, cement sheeting) disposal. All other jurisdictions with a landfill levy (Vic, NSW) still levy waste asbestos disposal to landfill</w:t>
                            </w:r>
                            <w:r w:rsidRPr="00842360">
                              <w:rPr>
                                <w:color w:val="FFFFFF" w:themeColor="background1"/>
                              </w:rPr>
                              <w:t>.</w:t>
                            </w:r>
                            <w:r>
                              <w:rPr>
                                <w:color w:val="FFFFFF" w:themeColor="background1"/>
                              </w:rPr>
                              <w:t xml:space="preserve"> ACT landfill fees also apply to waste asbestos loads.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F74F8B5" id="Rectangle: Rounded Corners 38" o:spid="_x0000_s1036" style="position:absolute;margin-left:-3.1pt;margin-top:6.65pt;width:457.8pt;height:118.75pt;z-index:2516326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S4pgIAALwFAAAOAAAAZHJzL2Uyb0RvYy54bWysVN1v0zAQf0fif7D8zpKUdoxo6VR1GkIa&#10;27QN7dl17DbC9hnbbVL+es5OmpUBmoToQ+q7+933x/lFpxXZCecbMBUtTnJKhOFQN2Zd0a+PV+/O&#10;KPGBmZopMKKie+Hpxfztm/PWlmICG1C1cASNGF+2tqKbEGyZZZ5vhGb+BKwwKJTgNAtIunVWO9ai&#10;da2ySZ6fZi242jrgwnvkXvZCOk/2pRQ83ErpRSCqohhbSF+Xvqv4zebnrFw7ZjcNH8Jg/xCFZo1B&#10;p6OpSxYY2brmN1O64Q48yHDCQWcgZcNFygGzKfIX2TxsmBUpFyyOt2OZ/P8zy292d440dUXfY6cM&#10;09ije6waM2slSnIPW1OLmizBGWwyQRBWrLW+RMUHe+cGyuMzpt9Jp+M/Jka6VOX9WGXRBcKROTsr&#10;pvkpNoOjrJjlZ8VkFq1mz+rW+fBJgCbxUVEXo4hRpRKz3bUPPf6Aiy49qKa+apRKRJwfsVSO7Bh2&#10;PnRFUlVb/QXqnjfL8df3H9k4JS/YGE6awmglBfeLA2WiGwPRYR9L5GSxMn0t0ivslYg4Ze6FxCpj&#10;9n0go+Xeaf2tGCqQkFFFouFRaZKi/6vSgI1qIs38qPiKtxGdPIIJo6JuDLhXvPb4Q9Z9rjHt0K26&#10;NFJFqm9kraDe45w56BfQW37VYGuvmQ93zOHG4TjgFQm3+JEK2orC8KJkA+7Hn/gRj4uAUkpa3OCK&#10;+u9b5gQl6rPBFflYTKdx5RMxnX2YIOGOJatjidnqJeCoFHivLE/PiA/q8JQO9BMem0X0iiJmOPqu&#10;KA/uQCxDf1nwXHGxWCQYrrll4do8WH5ofpzax+6JOTvMd8DVuIHDtrPyxYT32NgiA4ttANmk8X+u&#10;69ACPBFpUIdzFm/QMZ1Qz0d3/hMAAP//AwBQSwMEFAAGAAgAAAAhABD+uwTiAAAACQEAAA8AAABk&#10;cnMvZG93bnJldi54bWxMj0FPwkAQhe8m/ofNmHiDLUUJ1G6JYE3EkBBAD96W7tg2dmeb7lLqv3c8&#10;6fHNe3nvm3Q52Eb02PnakYLJOAKBVDhTU6ng7fg8moPwQZPRjSNU8I0eltn1VaoT4y60x/4QSsEl&#10;5BOtoAqhTaT0RYVW+7Frkdj7dJ3VgWVXStPpC5fbRsZRNJNW18QLlW5xXWHxdThbBS/+dXXMJ2v3&#10;8dS3u837Nt+tdK7U7c3w+AAi4BD+wvCLz+iQMdPJncl40SgYzWJO8n06BcH+IlrcgTgpiO+jOcgs&#10;lf8/yH4AAAD//wMAUEsBAi0AFAAGAAgAAAAhALaDOJL+AAAA4QEAABMAAAAAAAAAAAAAAAAAAAAA&#10;AFtDb250ZW50X1R5cGVzXS54bWxQSwECLQAUAAYACAAAACEAOP0h/9YAAACUAQAACwAAAAAAAAAA&#10;AAAAAAAvAQAAX3JlbHMvLnJlbHNQSwECLQAUAAYACAAAACEAIFn0uKYCAAC8BQAADgAAAAAAAAAA&#10;AAAAAAAuAgAAZHJzL2Uyb0RvYy54bWxQSwECLQAUAAYACAAAACEAEP67BOIAAAAJAQAADwAAAAAA&#10;AAAAAAAAAAAABQAAZHJzL2Rvd25yZXYueG1sUEsFBgAAAAAEAAQA8wAAAA8GAAAAAA==&#10;" fillcolor="gray [1629]" stroked="f">
                <v:shadow on="t" color="black" opacity="24903f" origin=",.5" offset="0,.55556mm"/>
                <v:textbox>
                  <w:txbxContent>
                    <w:p w14:paraId="0E0FE8FD" w14:textId="5E447F6A" w:rsidR="00067AC0" w:rsidRPr="00842360" w:rsidRDefault="00067AC0" w:rsidP="00267977">
                      <w:pPr>
                        <w:pStyle w:val="RECnormaltext"/>
                        <w:rPr>
                          <w:color w:val="FFFFFF" w:themeColor="background1"/>
                        </w:rPr>
                      </w:pPr>
                      <w:r w:rsidRPr="00F078E9">
                        <w:t xml:space="preserve"> </w:t>
                      </w:r>
                      <w:r>
                        <w:rPr>
                          <w:color w:val="FFFFFF" w:themeColor="background1"/>
                        </w:rPr>
                        <w:t>It is widely accepted that the best fate for waste asbestos is disposal to a licensed landfill. Government policy settings should to be set to encourage the safe disposal of asbestos to a licensed landfill. WA and SA (since July 2017) have implemented a $0 landfill levy for waste asbestos containing material (ACM) (e.g. roofing, cement sheeting) disposal. All other jurisdictions with a landfill levy (Vic, NSW) still levy waste asbestos disposal to landfill</w:t>
                      </w:r>
                      <w:r w:rsidRPr="00842360">
                        <w:rPr>
                          <w:color w:val="FFFFFF" w:themeColor="background1"/>
                        </w:rPr>
                        <w:t>.</w:t>
                      </w:r>
                      <w:r>
                        <w:rPr>
                          <w:color w:val="FFFFFF" w:themeColor="background1"/>
                        </w:rPr>
                        <w:t xml:space="preserve"> ACT landfill fees also apply to waste asbestos loads.</w:t>
                      </w:r>
                    </w:p>
                  </w:txbxContent>
                </v:textbox>
                <w10:wrap type="square" anchorx="margin" anchory="margin"/>
              </v:roundrect>
            </w:pict>
          </mc:Fallback>
        </mc:AlternateContent>
      </w:r>
    </w:p>
    <w:p w14:paraId="2339F108" w14:textId="18DAD558" w:rsidR="00B7695B" w:rsidRDefault="00B7695B">
      <w:pPr>
        <w:pStyle w:val="Heading2"/>
      </w:pPr>
      <w:bookmarkStart w:id="162" w:name="_Toc487045626"/>
      <w:bookmarkStart w:id="163" w:name="_Toc487102520"/>
      <w:bookmarkStart w:id="164" w:name="_Toc487103759"/>
      <w:bookmarkStart w:id="165" w:name="_Toc487103883"/>
      <w:bookmarkStart w:id="166" w:name="_Toc532990249"/>
      <w:bookmarkEnd w:id="162"/>
      <w:bookmarkEnd w:id="163"/>
      <w:bookmarkEnd w:id="164"/>
      <w:bookmarkEnd w:id="165"/>
      <w:r>
        <w:t>Management</w:t>
      </w:r>
      <w:bookmarkEnd w:id="166"/>
      <w:r>
        <w:t xml:space="preserve"> </w:t>
      </w:r>
    </w:p>
    <w:p w14:paraId="00E09208" w14:textId="29AEDAF4" w:rsidR="00B7695B" w:rsidRDefault="00B7695B" w:rsidP="00047982">
      <w:pPr>
        <w:pStyle w:val="NonTOCHeading3"/>
      </w:pPr>
      <w:r>
        <w:t xml:space="preserve">Stockpile restrictions </w:t>
      </w:r>
    </w:p>
    <w:p w14:paraId="424EF361" w14:textId="50C37413" w:rsidR="00B7695B" w:rsidRDefault="00B7695B" w:rsidP="00B7695B">
      <w:pPr>
        <w:pStyle w:val="RECnormaltext"/>
      </w:pPr>
      <w:r>
        <w:t xml:space="preserve">No specific stockpiling restrictions were </w:t>
      </w:r>
      <w:r w:rsidRPr="00E45B05">
        <w:t>identified</w:t>
      </w:r>
      <w:r>
        <w:t>.</w:t>
      </w:r>
    </w:p>
    <w:p w14:paraId="69DBAC19" w14:textId="48ED6D60" w:rsidR="00B7695B" w:rsidRDefault="00B7695B" w:rsidP="00047982">
      <w:pPr>
        <w:pStyle w:val="NonTOCHeading3"/>
      </w:pPr>
      <w:r>
        <w:t>Stockpile reporting</w:t>
      </w:r>
    </w:p>
    <w:p w14:paraId="2B663AE9" w14:textId="77777777" w:rsidR="00B7695B" w:rsidRPr="00DE7710" w:rsidRDefault="00B7695B" w:rsidP="00B7695B">
      <w:pPr>
        <w:pStyle w:val="RECnormaltext"/>
      </w:pPr>
      <w:r>
        <w:t xml:space="preserve">No specific reporting requirements were </w:t>
      </w:r>
      <w:r w:rsidRPr="00E45B05">
        <w:t>identified</w:t>
      </w:r>
      <w:r>
        <w:t xml:space="preserve"> for hazardous waste stockpiles.</w:t>
      </w:r>
    </w:p>
    <w:p w14:paraId="0BEED1D7" w14:textId="13C3BE5D" w:rsidR="00B7695B" w:rsidRDefault="00B7695B" w:rsidP="00047982">
      <w:pPr>
        <w:pStyle w:val="NonTOCHeading3"/>
      </w:pPr>
      <w:r>
        <w:t xml:space="preserve">Stockpile controls </w:t>
      </w:r>
    </w:p>
    <w:p w14:paraId="63F4ECBC" w14:textId="77777777" w:rsidR="00B7695B" w:rsidRDefault="00B7695B" w:rsidP="00B7695B">
      <w:pPr>
        <w:pStyle w:val="RECnormaltext"/>
      </w:pPr>
      <w:r>
        <w:t xml:space="preserve">No specific controls were identified for </w:t>
      </w:r>
      <w:r w:rsidRPr="00E45B05">
        <w:t>hazardous</w:t>
      </w:r>
      <w:r>
        <w:t xml:space="preserve"> waste stockpile controls.</w:t>
      </w:r>
    </w:p>
    <w:p w14:paraId="462ADB03" w14:textId="77777777" w:rsidR="00B7695B" w:rsidRDefault="00B7695B" w:rsidP="00047982">
      <w:pPr>
        <w:pStyle w:val="NonTOCHeading3"/>
      </w:pPr>
      <w:r>
        <w:t>Emergency planning</w:t>
      </w:r>
    </w:p>
    <w:p w14:paraId="7520DF73" w14:textId="1A55BE7C" w:rsidR="00B7695B" w:rsidRDefault="00B7695B" w:rsidP="00B7695B">
      <w:pPr>
        <w:pStyle w:val="RECnormaltext"/>
      </w:pPr>
      <w:r>
        <w:t>No specific emergency planning requirements were identified for hazardous waste stockpiles.</w:t>
      </w:r>
    </w:p>
    <w:p w14:paraId="00987CF6" w14:textId="46C834DA" w:rsidR="00E4382D" w:rsidRDefault="00E4382D" w:rsidP="00E4382D">
      <w:pPr>
        <w:pStyle w:val="RECnormaltext"/>
      </w:pPr>
      <w:r w:rsidRPr="00E4382D">
        <w:t>While WA does not have standalone requirements or guidance for stockpile management, regulatory controls (conditions) are imposed on licences where required to manage risks to the environment and public health associated with emissions and discharges from prescribed premises.  There are a number of licences in the State that contain conditions that address stockpiles and stockpile management.</w:t>
      </w:r>
    </w:p>
    <w:p w14:paraId="0A7F61AE" w14:textId="77777777" w:rsidR="00B7695B" w:rsidRDefault="00B7695B">
      <w:pPr>
        <w:pStyle w:val="Heading2"/>
      </w:pPr>
      <w:bookmarkStart w:id="167" w:name="_Toc486940310"/>
      <w:bookmarkStart w:id="168" w:name="_Toc487045628"/>
      <w:bookmarkStart w:id="169" w:name="_Toc487102522"/>
      <w:bookmarkStart w:id="170" w:name="_Toc487103761"/>
      <w:bookmarkStart w:id="171" w:name="_Toc487103885"/>
      <w:bookmarkStart w:id="172" w:name="_Toc532990250"/>
      <w:bookmarkEnd w:id="167"/>
      <w:bookmarkEnd w:id="168"/>
      <w:bookmarkEnd w:id="169"/>
      <w:bookmarkEnd w:id="170"/>
      <w:bookmarkEnd w:id="171"/>
      <w:r>
        <w:t>Clearance</w:t>
      </w:r>
      <w:bookmarkEnd w:id="172"/>
      <w:r>
        <w:t xml:space="preserve"> </w:t>
      </w:r>
    </w:p>
    <w:p w14:paraId="53D310A6" w14:textId="77777777" w:rsidR="00B7695B" w:rsidRDefault="00B7695B" w:rsidP="00047982">
      <w:pPr>
        <w:pStyle w:val="NonTOCHeading3"/>
      </w:pPr>
      <w:r>
        <w:t>Financial assurance</w:t>
      </w:r>
    </w:p>
    <w:p w14:paraId="036509EB" w14:textId="229F3A80" w:rsidR="008C7B95" w:rsidRDefault="008C7B95" w:rsidP="008C7B95">
      <w:pPr>
        <w:pStyle w:val="RECnormaltext"/>
        <w:rPr>
          <w:b/>
        </w:rPr>
      </w:pPr>
      <w:r w:rsidRPr="008C7B95">
        <w:t>DER’s</w:t>
      </w:r>
      <w:r>
        <w:t xml:space="preserve"> </w:t>
      </w:r>
      <w:hyperlink r:id="rId85" w:history="1">
        <w:r w:rsidR="00984D87" w:rsidRPr="008C7B95">
          <w:rPr>
            <w:rStyle w:val="Hyperlink"/>
          </w:rPr>
          <w:t>E</w:t>
        </w:r>
        <w:r w:rsidRPr="008C7B95">
          <w:rPr>
            <w:rStyle w:val="Hyperlink"/>
          </w:rPr>
          <w:t xml:space="preserve">nvironmental protection regulations 1987 - </w:t>
        </w:r>
        <w:r>
          <w:rPr>
            <w:rStyle w:val="Hyperlink"/>
          </w:rPr>
          <w:t>R</w:t>
        </w:r>
        <w:r w:rsidRPr="008C7B95">
          <w:rPr>
            <w:rStyle w:val="Hyperlink"/>
          </w:rPr>
          <w:t>eg 28</w:t>
        </w:r>
      </w:hyperlink>
      <w:r>
        <w:rPr>
          <w:b/>
        </w:rPr>
        <w:t xml:space="preserve"> </w:t>
      </w:r>
      <w:r>
        <w:t>details financial assurance requirement in WA, including the following extract.</w:t>
      </w:r>
    </w:p>
    <w:p w14:paraId="1048081E" w14:textId="1D5D0B16" w:rsidR="00984D87" w:rsidRPr="00384ED7" w:rsidRDefault="00F20614" w:rsidP="00384ED7">
      <w:pPr>
        <w:pStyle w:val="RECnormaltext"/>
        <w:ind w:left="426" w:right="804"/>
        <w:rPr>
          <w:b/>
        </w:rPr>
      </w:pPr>
      <w:r>
        <w:rPr>
          <w:b/>
        </w:rPr>
        <w:t>‘</w:t>
      </w:r>
      <w:r w:rsidR="00984D87" w:rsidRPr="00384ED7">
        <w:rPr>
          <w:b/>
        </w:rPr>
        <w:t>28 . Financial assurance, licensees to pay</w:t>
      </w:r>
    </w:p>
    <w:p w14:paraId="366C1056" w14:textId="060DF299" w:rsidR="00984D87" w:rsidRPr="00384ED7" w:rsidRDefault="00984D87" w:rsidP="00384ED7">
      <w:pPr>
        <w:pStyle w:val="RECnormaltext"/>
        <w:ind w:left="426" w:right="804"/>
      </w:pPr>
      <w:r w:rsidRPr="00384ED7">
        <w:t>(1)  In this regulation — </w:t>
      </w:r>
    </w:p>
    <w:p w14:paraId="6ABB77E0" w14:textId="54A342AB" w:rsidR="00984D87" w:rsidRPr="00384ED7" w:rsidRDefault="00384ED7" w:rsidP="00384ED7">
      <w:pPr>
        <w:pStyle w:val="RECnormaltext"/>
        <w:ind w:left="426" w:right="804"/>
      </w:pPr>
      <w:r>
        <w:t xml:space="preserve">    </w:t>
      </w:r>
      <w:r>
        <w:tab/>
      </w:r>
      <w:r w:rsidR="00984D87" w:rsidRPr="00384ED7">
        <w:t> licensee does not include a licensee who is a local government. </w:t>
      </w:r>
    </w:p>
    <w:p w14:paraId="34F2B4E7" w14:textId="6FFF53AB" w:rsidR="00984D87" w:rsidRPr="00384ED7" w:rsidRDefault="00984D87" w:rsidP="00384ED7">
      <w:pPr>
        <w:pStyle w:val="RECnormaltext"/>
        <w:ind w:left="426" w:right="804"/>
      </w:pPr>
      <w:r w:rsidRPr="00384ED7">
        <w:t>(2)  Each licensee is to pay to the Chief Executive Officer, in accordance with subsection (3), a financial assurance that — </w:t>
      </w:r>
    </w:p>
    <w:p w14:paraId="5E12C44E" w14:textId="56BA576A" w:rsidR="00984D87" w:rsidRPr="00384ED7" w:rsidRDefault="00984D87" w:rsidP="00384ED7">
      <w:pPr>
        <w:pStyle w:val="RECnormaltext"/>
        <w:ind w:left="426" w:right="804"/>
      </w:pPr>
      <w:r w:rsidRPr="00384ED7">
        <w:t>            (a) is in an approved form; and </w:t>
      </w:r>
    </w:p>
    <w:p w14:paraId="1101BBA1" w14:textId="3ED84907" w:rsidR="00984D87" w:rsidRPr="00384ED7" w:rsidRDefault="00984D87" w:rsidP="00F20614">
      <w:pPr>
        <w:pStyle w:val="RECnormaltext"/>
        <w:ind w:left="993" w:right="804" w:hanging="567"/>
      </w:pPr>
      <w:r w:rsidRPr="00384ED7">
        <w:t>            (b) secures or guarantees payment of an amount determined by the Chief Executive Officer, being an amount that in the opinion of the Chief Executive Officer is equivalent to the average levy to be paid by the licensee in a return period. </w:t>
      </w:r>
    </w:p>
    <w:p w14:paraId="18D306ED" w14:textId="0D591ADF" w:rsidR="00984D87" w:rsidRPr="00384ED7" w:rsidRDefault="00984D87" w:rsidP="00384ED7">
      <w:pPr>
        <w:pStyle w:val="RECnormaltext"/>
        <w:ind w:left="426" w:right="804"/>
      </w:pPr>
      <w:r w:rsidRPr="00384ED7">
        <w:t>(3) The financial assurance is to be paid to the Chief Executive Officer — </w:t>
      </w:r>
    </w:p>
    <w:p w14:paraId="72BD7395" w14:textId="6E4C1992" w:rsidR="00984D87" w:rsidRPr="00384ED7" w:rsidRDefault="00984D87" w:rsidP="00F20614">
      <w:pPr>
        <w:pStyle w:val="RECnormaltext"/>
        <w:ind w:left="1026" w:right="804"/>
      </w:pPr>
      <w:r w:rsidRPr="00384ED7">
        <w:t>(a) in the case of an existing licensee, not later than 2 weeks after commencement day; and </w:t>
      </w:r>
    </w:p>
    <w:p w14:paraId="690811E3" w14:textId="7EADABB9" w:rsidR="00984D87" w:rsidRPr="00384ED7" w:rsidRDefault="00984D87" w:rsidP="00F20614">
      <w:pPr>
        <w:pStyle w:val="RECnormaltext"/>
        <w:ind w:left="1026" w:right="804"/>
      </w:pPr>
      <w:r w:rsidRPr="00384ED7">
        <w:t>(b) in the case of a licensee who is granted a licence after commencement day, not later than 2 weeks after the licence is granted. </w:t>
      </w:r>
    </w:p>
    <w:p w14:paraId="75A32DEB" w14:textId="48C884DC" w:rsidR="00984D87" w:rsidRPr="00384ED7" w:rsidRDefault="00984D87" w:rsidP="00384ED7">
      <w:pPr>
        <w:pStyle w:val="RECnormaltext"/>
        <w:ind w:left="426" w:right="804"/>
      </w:pPr>
      <w:r w:rsidRPr="00384ED7">
        <w:t>(4) The licensee is to maintain the financial assurance in accordance with any requirements of the Chief Executive Officer of which the licensee has been given written notice. </w:t>
      </w:r>
    </w:p>
    <w:p w14:paraId="0A761C9B" w14:textId="2B5656FB" w:rsidR="00984D87" w:rsidRPr="00384ED7" w:rsidRDefault="00984D87" w:rsidP="00384ED7">
      <w:pPr>
        <w:pStyle w:val="RECnormaltext"/>
        <w:ind w:left="426" w:right="804"/>
      </w:pPr>
      <w:r w:rsidRPr="00384ED7">
        <w:t>(5) The moneys from any financial assurance that is called on or used by the Chief Executive Officer are to be paid into the Fund. </w:t>
      </w:r>
    </w:p>
    <w:p w14:paraId="703421CD" w14:textId="43DCA3CF" w:rsidR="00984D87" w:rsidRPr="00384ED7" w:rsidRDefault="00984D87" w:rsidP="00384ED7">
      <w:pPr>
        <w:pStyle w:val="RECnormaltext"/>
        <w:ind w:left="426" w:right="804"/>
      </w:pPr>
      <w:r w:rsidRPr="00384ED7">
        <w:t>(6) The Chief Executive Officer is to review the amount of a financial assurance provided under this regulation not later than 2 years after it is provided and thereafter not later than 2 years after each review. </w:t>
      </w:r>
    </w:p>
    <w:p w14:paraId="1B0197DB" w14:textId="58BE8B22" w:rsidR="00984D87" w:rsidRPr="00384ED7" w:rsidRDefault="00984D87" w:rsidP="00384ED7">
      <w:pPr>
        <w:pStyle w:val="RECnormaltext"/>
        <w:ind w:left="426" w:right="804"/>
      </w:pPr>
      <w:r w:rsidRPr="00384ED7">
        <w:t>(7) The Chief Executive Officer may at any time, by written direction, require a licensee to increase the amount of the financial assurance provided by the licensee if the Chief Executive Officer thinks it is appropriate to do so. </w:t>
      </w:r>
    </w:p>
    <w:p w14:paraId="48EA2A18" w14:textId="72CC6DEC" w:rsidR="00984D87" w:rsidRPr="00384ED7" w:rsidRDefault="00984D87" w:rsidP="00F20614">
      <w:pPr>
        <w:pStyle w:val="RECnormaltext"/>
        <w:ind w:left="426" w:right="804"/>
      </w:pPr>
      <w:r w:rsidRPr="00384ED7">
        <w:t xml:space="preserve">(8) A licensee is to comply with a direction given to the licensee under </w:t>
      </w:r>
      <w:r w:rsidR="0001208B" w:rsidRPr="00384ED7">
        <w:t>sub regulation</w:t>
      </w:r>
      <w:r w:rsidRPr="00384ED7">
        <w:t> (7).</w:t>
      </w:r>
      <w:r w:rsidR="00F20614">
        <w:t>’</w:t>
      </w:r>
      <w:r w:rsidRPr="00384ED7">
        <w:t> </w:t>
      </w:r>
    </w:p>
    <w:p w14:paraId="56CD9DBF" w14:textId="77777777" w:rsidR="00AA2C20" w:rsidRDefault="00AA2C20" w:rsidP="00047982">
      <w:pPr>
        <w:pStyle w:val="NonTOCHeading3"/>
      </w:pPr>
      <w:r>
        <w:t>Government trust or f</w:t>
      </w:r>
      <w:r w:rsidRPr="00C24D71">
        <w:t xml:space="preserve">unds </w:t>
      </w:r>
      <w:r>
        <w:t xml:space="preserve">for </w:t>
      </w:r>
      <w:r w:rsidRPr="00C24D71">
        <w:t>abandoned stockpiles</w:t>
      </w:r>
    </w:p>
    <w:p w14:paraId="2B1D8C35" w14:textId="57A641C2" w:rsidR="00984D87" w:rsidRDefault="00AA2C20" w:rsidP="00267977">
      <w:pPr>
        <w:pStyle w:val="RECnormaltext"/>
      </w:pPr>
      <w:r>
        <w:t>No g</w:t>
      </w:r>
      <w:r w:rsidRPr="00C77989">
        <w:t>overnment trust or funds for abandoned stockpiles</w:t>
      </w:r>
      <w:r>
        <w:t xml:space="preserve"> were </w:t>
      </w:r>
      <w:r w:rsidRPr="00E45B05">
        <w:t>identified</w:t>
      </w:r>
      <w:r>
        <w:t>.</w:t>
      </w:r>
    </w:p>
    <w:p w14:paraId="59FF4984" w14:textId="77777777" w:rsidR="003202A8" w:rsidRDefault="003202A8" w:rsidP="00267977">
      <w:pPr>
        <w:pStyle w:val="RECnormaltext"/>
        <w:rPr>
          <w:rFonts w:eastAsia="Calibri"/>
        </w:rPr>
      </w:pPr>
    </w:p>
    <w:p w14:paraId="66E22FAF" w14:textId="77777777" w:rsidR="003202A8" w:rsidRDefault="003202A8">
      <w:pPr>
        <w:rPr>
          <w:rFonts w:asciiTheme="minorHAnsi" w:eastAsia="Calibri" w:hAnsiTheme="minorHAnsi" w:cs="Arial"/>
          <w:color w:val="auto"/>
          <w:szCs w:val="20"/>
        </w:rPr>
      </w:pPr>
      <w:r>
        <w:rPr>
          <w:rFonts w:eastAsia="Calibri"/>
        </w:rPr>
        <w:br w:type="page"/>
      </w:r>
    </w:p>
    <w:p w14:paraId="6E2A446F" w14:textId="20203011" w:rsidR="00A5651D" w:rsidRPr="001B6C01" w:rsidRDefault="00C01C02">
      <w:pPr>
        <w:pStyle w:val="Heading1"/>
      </w:pPr>
      <w:bookmarkStart w:id="173" w:name="_Ref472435438"/>
      <w:bookmarkStart w:id="174" w:name="_Ref451004442"/>
      <w:bookmarkStart w:id="175" w:name="_Toc532990251"/>
      <w:r>
        <w:t>G</w:t>
      </w:r>
      <w:r w:rsidR="00A5651D" w:rsidRPr="001B6C01">
        <w:t xml:space="preserve">lobal </w:t>
      </w:r>
      <w:r w:rsidRPr="001B6C01">
        <w:t>regulatory framework</w:t>
      </w:r>
      <w:r>
        <w:t>s</w:t>
      </w:r>
      <w:r w:rsidRPr="001B6C01">
        <w:t xml:space="preserve"> </w:t>
      </w:r>
      <w:r>
        <w:t xml:space="preserve">and </w:t>
      </w:r>
      <w:r w:rsidR="00A5651D" w:rsidRPr="001B6C01">
        <w:t>definition</w:t>
      </w:r>
      <w:r>
        <w:t>s</w:t>
      </w:r>
      <w:r w:rsidR="00A5651D" w:rsidRPr="001B6C01">
        <w:t xml:space="preserve"> </w:t>
      </w:r>
      <w:r>
        <w:t>for waste s</w:t>
      </w:r>
      <w:r w:rsidR="00A5651D" w:rsidRPr="001B6C01">
        <w:t>tockpile</w:t>
      </w:r>
      <w:r>
        <w:t>s</w:t>
      </w:r>
      <w:bookmarkEnd w:id="173"/>
      <w:bookmarkEnd w:id="174"/>
      <w:bookmarkEnd w:id="175"/>
    </w:p>
    <w:p w14:paraId="6E2A4470" w14:textId="12FD3AEA" w:rsidR="00A5651D" w:rsidRDefault="00E3646F" w:rsidP="00A5651D">
      <w:pPr>
        <w:spacing w:after="80"/>
        <w:rPr>
          <w:rFonts w:eastAsia="Calibri" w:cs="Arial"/>
        </w:rPr>
      </w:pPr>
      <w:r>
        <w:rPr>
          <w:rFonts w:eastAsia="Calibri" w:cs="Arial"/>
        </w:rPr>
        <w:t xml:space="preserve">This section provides review of how the </w:t>
      </w:r>
      <w:r w:rsidR="00A5651D" w:rsidRPr="001B6C01">
        <w:rPr>
          <w:rFonts w:eastAsia="Calibri" w:cs="Arial"/>
        </w:rPr>
        <w:t xml:space="preserve">USA and Europe </w:t>
      </w:r>
      <w:r>
        <w:rPr>
          <w:rFonts w:eastAsia="Calibri" w:cs="Arial"/>
        </w:rPr>
        <w:t>define</w:t>
      </w:r>
      <w:r w:rsidR="00A5651D" w:rsidRPr="001B6C01">
        <w:rPr>
          <w:rFonts w:eastAsia="Calibri" w:cs="Arial"/>
        </w:rPr>
        <w:t xml:space="preserve"> waste stockpiles, as well as the broad regulatory frameworks for </w:t>
      </w:r>
      <w:r>
        <w:rPr>
          <w:rFonts w:eastAsia="Calibri" w:cs="Arial"/>
        </w:rPr>
        <w:t xml:space="preserve">stockpile prevention, </w:t>
      </w:r>
      <w:r w:rsidR="00A5651D" w:rsidRPr="001B6C01">
        <w:rPr>
          <w:rFonts w:eastAsia="Calibri" w:cs="Arial"/>
        </w:rPr>
        <w:t>management</w:t>
      </w:r>
      <w:r>
        <w:rPr>
          <w:rFonts w:eastAsia="Calibri" w:cs="Arial"/>
        </w:rPr>
        <w:t xml:space="preserve"> and clearance</w:t>
      </w:r>
      <w:r w:rsidR="00A5651D" w:rsidRPr="001B6C01">
        <w:rPr>
          <w:rFonts w:eastAsia="Calibri" w:cs="Arial"/>
        </w:rPr>
        <w:t>.</w:t>
      </w:r>
    </w:p>
    <w:p w14:paraId="6E2A4471" w14:textId="75721517" w:rsidR="00E3646F" w:rsidRDefault="00E3646F">
      <w:pPr>
        <w:pStyle w:val="Heading2"/>
        <w:rPr>
          <w:rFonts w:eastAsia="Calibri"/>
        </w:rPr>
      </w:pPr>
      <w:bookmarkStart w:id="176" w:name="_Toc532990252"/>
      <w:r>
        <w:rPr>
          <w:rFonts w:eastAsia="Calibri"/>
        </w:rPr>
        <w:t>USA</w:t>
      </w:r>
      <w:bookmarkEnd w:id="176"/>
      <w:r>
        <w:rPr>
          <w:rFonts w:eastAsia="Calibri"/>
        </w:rPr>
        <w:t xml:space="preserve"> </w:t>
      </w:r>
    </w:p>
    <w:p w14:paraId="6E2A4472" w14:textId="519414CB" w:rsidR="00E00CC8" w:rsidRDefault="00E00CC8" w:rsidP="00953A6F">
      <w:pPr>
        <w:pStyle w:val="RECnormaltext"/>
      </w:pPr>
      <w:r>
        <w:t>In the US</w:t>
      </w:r>
      <w:r w:rsidR="00E14537">
        <w:t xml:space="preserve"> the</w:t>
      </w:r>
      <w:r>
        <w:t xml:space="preserve"> </w:t>
      </w:r>
      <w:hyperlink r:id="rId86" w:history="1">
        <w:r w:rsidRPr="001A2FAE">
          <w:rPr>
            <w:rStyle w:val="Hyperlink"/>
          </w:rPr>
          <w:t>Resource Conservation and Recovery Act</w:t>
        </w:r>
      </w:hyperlink>
      <w:r w:rsidRPr="00E00CC8">
        <w:t xml:space="preserve"> (RCRA) is the </w:t>
      </w:r>
      <w:r w:rsidR="00E14537">
        <w:t>federal</w:t>
      </w:r>
      <w:r w:rsidR="00E14537" w:rsidRPr="00E00CC8">
        <w:t xml:space="preserve"> </w:t>
      </w:r>
      <w:r w:rsidRPr="00E00CC8">
        <w:t>law that creates the framework for the management of hazardous waste</w:t>
      </w:r>
      <w:r>
        <w:t>s</w:t>
      </w:r>
      <w:r w:rsidRPr="00E00CC8">
        <w:t xml:space="preserve">. </w:t>
      </w:r>
    </w:p>
    <w:p w14:paraId="324C2B81" w14:textId="38EE96D9" w:rsidR="003202A8" w:rsidRDefault="00E00CC8">
      <w:pPr>
        <w:pStyle w:val="RECnormaltext"/>
      </w:pPr>
      <w:r>
        <w:t xml:space="preserve">The </w:t>
      </w:r>
      <w:hyperlink r:id="rId87" w:history="1">
        <w:r w:rsidRPr="00A85ECD">
          <w:rPr>
            <w:rStyle w:val="Hyperlink"/>
          </w:rPr>
          <w:t>US Code of Federal Regulations (CFR)</w:t>
        </w:r>
      </w:hyperlink>
      <w:r>
        <w:t xml:space="preserve"> ha</w:t>
      </w:r>
      <w:r w:rsidR="009D3C62">
        <w:t xml:space="preserve">s </w:t>
      </w:r>
      <w:r>
        <w:t xml:space="preserve">been </w:t>
      </w:r>
      <w:r w:rsidR="00855001">
        <w:t>formed</w:t>
      </w:r>
      <w:r>
        <w:t xml:space="preserve"> under the RCRA.</w:t>
      </w:r>
      <w:r w:rsidR="009D3C62">
        <w:t xml:space="preserve"> </w:t>
      </w:r>
      <w:r>
        <w:t xml:space="preserve">The CFR is a collection of all federal regulations codified and enforced by all federal agencies. Title 40 – Protection of the Environment </w:t>
      </w:r>
      <w:r w:rsidR="00855001">
        <w:t xml:space="preserve">– </w:t>
      </w:r>
      <w:r>
        <w:t xml:space="preserve">contains all of the regulations governing </w:t>
      </w:r>
      <w:r w:rsidR="00A109CE">
        <w:t xml:space="preserve">US </w:t>
      </w:r>
      <w:r>
        <w:t>EPA's programs.</w:t>
      </w:r>
      <w:r w:rsidR="003F2D73">
        <w:t xml:space="preserve"> T</w:t>
      </w:r>
      <w:r w:rsidR="003F2D73" w:rsidRPr="003F2D73">
        <w:t>he regulations governing hazardous waste identification, classification, generation, management and disposal are found in title 40 CFR parts 260 through 273.</w:t>
      </w:r>
    </w:p>
    <w:p w14:paraId="6E2A4474" w14:textId="3CAB7618" w:rsidR="00D77727" w:rsidRDefault="00855001">
      <w:pPr>
        <w:pStyle w:val="RECnormaltext"/>
      </w:pPr>
      <w:r>
        <w:t xml:space="preserve">The CFR </w:t>
      </w:r>
      <w:r w:rsidRPr="00855001">
        <w:t>regulation §261.5</w:t>
      </w:r>
      <w:r>
        <w:t xml:space="preserve"> </w:t>
      </w:r>
      <w:r w:rsidRPr="00855001">
        <w:t>establish</w:t>
      </w:r>
      <w:r>
        <w:t>es</w:t>
      </w:r>
      <w:r w:rsidRPr="00855001">
        <w:t xml:space="preserve"> hazardous waste management standards </w:t>
      </w:r>
      <w:r>
        <w:t xml:space="preserve">for </w:t>
      </w:r>
      <w:r w:rsidRPr="00855001">
        <w:t xml:space="preserve">waste generators. </w:t>
      </w:r>
      <w:r w:rsidR="00D77727">
        <w:t>Under the regulations g</w:t>
      </w:r>
      <w:r w:rsidR="00D77727" w:rsidRPr="00D77727">
        <w:t xml:space="preserve">enerators are </w:t>
      </w:r>
      <w:r w:rsidR="00A47593">
        <w:t xml:space="preserve">categorised </w:t>
      </w:r>
      <w:r w:rsidR="00D77727">
        <w:t>by waste generation thresholds as follows:</w:t>
      </w:r>
    </w:p>
    <w:p w14:paraId="6E2A4475" w14:textId="77777777" w:rsidR="00D77727" w:rsidRDefault="00D77727" w:rsidP="00326262">
      <w:pPr>
        <w:pStyle w:val="RECnumberlist"/>
      </w:pPr>
      <w:r>
        <w:t>C</w:t>
      </w:r>
      <w:r w:rsidRPr="00D77727">
        <w:t>onditionally exempt small quantity generators (CESQGs).</w:t>
      </w:r>
    </w:p>
    <w:p w14:paraId="6E2A4476" w14:textId="77777777" w:rsidR="00D77727" w:rsidRDefault="00D77727" w:rsidP="00326262">
      <w:pPr>
        <w:pStyle w:val="RECnumberlist"/>
      </w:pPr>
      <w:r>
        <w:t>S</w:t>
      </w:r>
      <w:r w:rsidRPr="00D77727">
        <w:t xml:space="preserve">mall quantity generators (SQGs) </w:t>
      </w:r>
    </w:p>
    <w:p w14:paraId="6E2A4477" w14:textId="77777777" w:rsidR="00855001" w:rsidRDefault="00D77727" w:rsidP="00326262">
      <w:pPr>
        <w:pStyle w:val="RECnumberlist"/>
      </w:pPr>
      <w:r>
        <w:t>L</w:t>
      </w:r>
      <w:r w:rsidRPr="00D77727">
        <w:t>arge quantity generators (LQGs)</w:t>
      </w:r>
      <w:r>
        <w:t>.</w:t>
      </w:r>
      <w:r w:rsidRPr="00D77727">
        <w:t xml:space="preserve"> </w:t>
      </w:r>
    </w:p>
    <w:p w14:paraId="6E2A4479" w14:textId="2DEA7971" w:rsidR="00A47593" w:rsidRDefault="00A47593" w:rsidP="00953A6F">
      <w:pPr>
        <w:pStyle w:val="RECnormaltext"/>
      </w:pPr>
      <w:r>
        <w:t>The table below provides a summary of requirements</w:t>
      </w:r>
      <w:r w:rsidR="008C319A">
        <w:t xml:space="preserve"> for each category of generator that are particularly relevant to stockpile prevention, management, and cl</w:t>
      </w:r>
      <w:r w:rsidR="00A109CE">
        <w:t>earance</w:t>
      </w:r>
      <w:r w:rsidR="008C319A">
        <w:t>.</w:t>
      </w:r>
      <w:r w:rsidR="00422DCF">
        <w:t xml:space="preserve"> The table includes web links to the relevant section of the CFR regulations, as provided by US EPA.</w:t>
      </w:r>
    </w:p>
    <w:p w14:paraId="17419F66" w14:textId="06BF4D8C" w:rsidR="003910EE" w:rsidRDefault="003202A8" w:rsidP="003202A8">
      <w:pPr>
        <w:pStyle w:val="Caption"/>
      </w:pPr>
      <w:bookmarkStart w:id="177" w:name="_Toc532990269"/>
      <w:r>
        <w:t xml:space="preserve">Table </w:t>
      </w:r>
      <w:r w:rsidR="00B219C0">
        <w:rPr>
          <w:noProof/>
        </w:rPr>
        <w:fldChar w:fldCharType="begin"/>
      </w:r>
      <w:r w:rsidR="00B219C0">
        <w:rPr>
          <w:noProof/>
        </w:rPr>
        <w:instrText xml:space="preserve"> SEQ Table \* ARABIC </w:instrText>
      </w:r>
      <w:r w:rsidR="00B219C0">
        <w:rPr>
          <w:noProof/>
        </w:rPr>
        <w:fldChar w:fldCharType="separate"/>
      </w:r>
      <w:r w:rsidR="00F54E66">
        <w:rPr>
          <w:noProof/>
        </w:rPr>
        <w:t>2</w:t>
      </w:r>
      <w:r w:rsidR="00B219C0">
        <w:rPr>
          <w:noProof/>
        </w:rPr>
        <w:fldChar w:fldCharType="end"/>
      </w:r>
      <w:r>
        <w:t xml:space="preserve"> </w:t>
      </w:r>
      <w:r w:rsidRPr="003202A8">
        <w:t>Summary of USA EPA regulatory requirements for stockpiling by hazar</w:t>
      </w:r>
      <w:r>
        <w:t>dous waste generators</w:t>
      </w:r>
      <w:bookmarkEnd w:id="177"/>
    </w:p>
    <w:tbl>
      <w:tblPr>
        <w:tblW w:w="10119" w:type="dxa"/>
        <w:tblInd w:w="-434"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3174"/>
        <w:gridCol w:w="1984"/>
        <w:gridCol w:w="2552"/>
        <w:gridCol w:w="2409"/>
      </w:tblGrid>
      <w:tr w:rsidR="004557CC" w:rsidRPr="004557CC" w14:paraId="6E2A447F" w14:textId="77777777" w:rsidTr="006E1B8A">
        <w:trPr>
          <w:trHeight w:val="905"/>
          <w:tblHeader/>
        </w:trPr>
        <w:tc>
          <w:tcPr>
            <w:tcW w:w="3174" w:type="dxa"/>
            <w:tcBorders>
              <w:top w:val="single" w:sz="6" w:space="0" w:color="DDDDDD"/>
              <w:left w:val="single" w:sz="6" w:space="0" w:color="DDDDDD"/>
              <w:bottom w:val="single" w:sz="6" w:space="0" w:color="DDDDDD"/>
              <w:right w:val="single" w:sz="6" w:space="0" w:color="DDDDDD"/>
            </w:tcBorders>
            <w:shd w:val="clear" w:color="auto" w:fill="7F7F7F" w:themeFill="text1" w:themeFillTint="80"/>
            <w:tcMar>
              <w:top w:w="108" w:type="dxa"/>
              <w:left w:w="480" w:type="dxa"/>
              <w:bottom w:w="108" w:type="dxa"/>
              <w:right w:w="120" w:type="dxa"/>
            </w:tcMar>
            <w:vAlign w:val="center"/>
            <w:hideMark/>
          </w:tcPr>
          <w:p w14:paraId="6E2A447B" w14:textId="2B68D398" w:rsidR="004557CC" w:rsidRPr="00953A6F" w:rsidRDefault="003E2A9A" w:rsidP="00267977">
            <w:pPr>
              <w:pStyle w:val="Caption"/>
              <w:rPr>
                <w:rFonts w:asciiTheme="minorHAnsi" w:eastAsia="Times New Roman" w:hAnsiTheme="minorHAnsi" w:cstheme="minorHAnsi"/>
                <w:color w:val="FFFFFF" w:themeColor="background1"/>
                <w:szCs w:val="20"/>
                <w:lang w:eastAsia="en-AU"/>
              </w:rPr>
            </w:pPr>
            <w:r>
              <w:rPr>
                <w:rFonts w:asciiTheme="minorHAnsi" w:eastAsia="Times New Roman" w:hAnsiTheme="minorHAnsi" w:cstheme="minorHAnsi"/>
                <w:color w:val="FFFFFF" w:themeColor="background1"/>
                <w:szCs w:val="20"/>
                <w:lang w:eastAsia="en-AU"/>
              </w:rPr>
              <w:t>Requirement</w:t>
            </w:r>
          </w:p>
        </w:tc>
        <w:tc>
          <w:tcPr>
            <w:tcW w:w="1984" w:type="dxa"/>
            <w:tcBorders>
              <w:top w:val="single" w:sz="6" w:space="0" w:color="DDDDDD"/>
              <w:left w:val="single" w:sz="6" w:space="0" w:color="DDDDDD"/>
              <w:bottom w:val="single" w:sz="6" w:space="0" w:color="DDDDDD"/>
              <w:right w:val="single" w:sz="6" w:space="0" w:color="DDDDDD"/>
            </w:tcBorders>
            <w:shd w:val="clear" w:color="auto" w:fill="7F7F7F" w:themeFill="text1" w:themeFillTint="80"/>
            <w:tcMar>
              <w:top w:w="108" w:type="dxa"/>
              <w:left w:w="480" w:type="dxa"/>
              <w:bottom w:w="108" w:type="dxa"/>
              <w:right w:w="120" w:type="dxa"/>
            </w:tcMar>
            <w:vAlign w:val="center"/>
            <w:hideMark/>
          </w:tcPr>
          <w:p w14:paraId="6E2A447C" w14:textId="77777777" w:rsidR="004557CC" w:rsidRPr="00953A6F" w:rsidRDefault="004557CC" w:rsidP="00953A6F">
            <w:pPr>
              <w:spacing w:after="0" w:line="240" w:lineRule="auto"/>
              <w:ind w:left="-366"/>
              <w:rPr>
                <w:rFonts w:asciiTheme="minorHAnsi" w:eastAsia="Times New Roman" w:hAnsiTheme="minorHAnsi" w:cstheme="minorHAnsi"/>
                <w:b/>
                <w:bCs/>
                <w:color w:val="FFFFFF" w:themeColor="background1"/>
                <w:sz w:val="20"/>
                <w:szCs w:val="20"/>
                <w:lang w:eastAsia="en-AU"/>
              </w:rPr>
            </w:pPr>
            <w:r w:rsidRPr="00953A6F">
              <w:rPr>
                <w:rFonts w:asciiTheme="minorHAnsi" w:eastAsia="Times New Roman" w:hAnsiTheme="minorHAnsi" w:cstheme="minorHAnsi"/>
                <w:b/>
                <w:bCs/>
                <w:color w:val="FFFFFF" w:themeColor="background1"/>
                <w:sz w:val="20"/>
                <w:szCs w:val="20"/>
                <w:lang w:eastAsia="en-AU"/>
              </w:rPr>
              <w:t>Conditionally Exempt Small Quantity Generators</w:t>
            </w:r>
          </w:p>
        </w:tc>
        <w:tc>
          <w:tcPr>
            <w:tcW w:w="2552" w:type="dxa"/>
            <w:tcBorders>
              <w:top w:val="single" w:sz="6" w:space="0" w:color="DDDDDD"/>
              <w:left w:val="single" w:sz="6" w:space="0" w:color="DDDDDD"/>
              <w:bottom w:val="single" w:sz="6" w:space="0" w:color="DDDDDD"/>
              <w:right w:val="single" w:sz="6" w:space="0" w:color="DDDDDD"/>
            </w:tcBorders>
            <w:shd w:val="clear" w:color="auto" w:fill="7F7F7F" w:themeFill="text1" w:themeFillTint="80"/>
            <w:tcMar>
              <w:top w:w="108" w:type="dxa"/>
              <w:left w:w="480" w:type="dxa"/>
              <w:bottom w:w="108" w:type="dxa"/>
              <w:right w:w="120" w:type="dxa"/>
            </w:tcMar>
            <w:vAlign w:val="center"/>
            <w:hideMark/>
          </w:tcPr>
          <w:p w14:paraId="6E2A447D" w14:textId="77777777" w:rsidR="004557CC" w:rsidRPr="00953A6F" w:rsidRDefault="004557CC" w:rsidP="00953A6F">
            <w:pPr>
              <w:spacing w:after="0" w:line="240" w:lineRule="auto"/>
              <w:ind w:left="-353"/>
              <w:rPr>
                <w:rFonts w:asciiTheme="minorHAnsi" w:eastAsia="Times New Roman" w:hAnsiTheme="minorHAnsi" w:cstheme="minorHAnsi"/>
                <w:b/>
                <w:bCs/>
                <w:color w:val="FFFFFF" w:themeColor="background1"/>
                <w:sz w:val="20"/>
                <w:szCs w:val="20"/>
                <w:lang w:eastAsia="en-AU"/>
              </w:rPr>
            </w:pPr>
            <w:r w:rsidRPr="00953A6F">
              <w:rPr>
                <w:rFonts w:asciiTheme="minorHAnsi" w:eastAsia="Times New Roman" w:hAnsiTheme="minorHAnsi" w:cstheme="minorHAnsi"/>
                <w:b/>
                <w:bCs/>
                <w:color w:val="FFFFFF" w:themeColor="background1"/>
                <w:sz w:val="20"/>
                <w:szCs w:val="20"/>
                <w:lang w:eastAsia="en-AU"/>
              </w:rPr>
              <w:t>Small Quantity Generators</w:t>
            </w:r>
          </w:p>
        </w:tc>
        <w:tc>
          <w:tcPr>
            <w:tcW w:w="2409" w:type="dxa"/>
            <w:tcBorders>
              <w:top w:val="single" w:sz="6" w:space="0" w:color="DDDDDD"/>
              <w:left w:val="single" w:sz="6" w:space="0" w:color="DDDDDD"/>
              <w:bottom w:val="single" w:sz="6" w:space="0" w:color="DDDDDD"/>
              <w:right w:val="single" w:sz="6" w:space="0" w:color="DDDDDD"/>
            </w:tcBorders>
            <w:shd w:val="clear" w:color="auto" w:fill="7F7F7F" w:themeFill="text1" w:themeFillTint="80"/>
            <w:tcMar>
              <w:top w:w="108" w:type="dxa"/>
              <w:left w:w="480" w:type="dxa"/>
              <w:bottom w:w="108" w:type="dxa"/>
              <w:right w:w="120" w:type="dxa"/>
            </w:tcMar>
            <w:vAlign w:val="center"/>
            <w:hideMark/>
          </w:tcPr>
          <w:p w14:paraId="6E2A447E" w14:textId="77777777" w:rsidR="004557CC" w:rsidRPr="00953A6F" w:rsidRDefault="004557CC" w:rsidP="00953A6F">
            <w:pPr>
              <w:spacing w:after="0" w:line="240" w:lineRule="auto"/>
              <w:ind w:left="-385"/>
              <w:rPr>
                <w:rFonts w:asciiTheme="minorHAnsi" w:eastAsia="Times New Roman" w:hAnsiTheme="minorHAnsi" w:cstheme="minorHAnsi"/>
                <w:b/>
                <w:bCs/>
                <w:color w:val="FFFFFF" w:themeColor="background1"/>
                <w:sz w:val="20"/>
                <w:szCs w:val="20"/>
                <w:lang w:eastAsia="en-AU"/>
              </w:rPr>
            </w:pPr>
            <w:r w:rsidRPr="00953A6F">
              <w:rPr>
                <w:rFonts w:asciiTheme="minorHAnsi" w:eastAsia="Times New Roman" w:hAnsiTheme="minorHAnsi" w:cstheme="minorHAnsi"/>
                <w:b/>
                <w:bCs/>
                <w:color w:val="FFFFFF" w:themeColor="background1"/>
                <w:sz w:val="20"/>
                <w:szCs w:val="20"/>
                <w:lang w:eastAsia="en-AU"/>
              </w:rPr>
              <w:t>Large Quantity Generators</w:t>
            </w:r>
          </w:p>
        </w:tc>
      </w:tr>
      <w:tr w:rsidR="00970CCF" w:rsidRPr="004557CC" w14:paraId="6E2A4484"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0" w14:textId="67E69F2E" w:rsidR="00970CCF" w:rsidRPr="004557CC" w:rsidRDefault="00970CCF" w:rsidP="004557CC">
            <w:pPr>
              <w:spacing w:after="0" w:line="240" w:lineRule="auto"/>
              <w:rPr>
                <w:rFonts w:asciiTheme="minorHAnsi" w:eastAsia="Times New Roman" w:hAnsiTheme="minorHAnsi" w:cstheme="minorHAnsi"/>
                <w:b/>
                <w:bCs/>
                <w:color w:val="151515"/>
                <w:sz w:val="20"/>
                <w:szCs w:val="20"/>
                <w:lang w:eastAsia="en-AU"/>
              </w:rPr>
            </w:pPr>
            <w:r w:rsidRPr="00B25769">
              <w:rPr>
                <w:rFonts w:asciiTheme="minorHAnsi" w:eastAsia="Times New Roman" w:hAnsiTheme="minorHAnsi" w:cstheme="minorHAnsi"/>
                <w:b/>
                <w:bCs/>
                <w:color w:val="151515"/>
                <w:sz w:val="20"/>
                <w:szCs w:val="20"/>
                <w:lang w:eastAsia="en-AU"/>
              </w:rPr>
              <w:t>Quantity Limits</w:t>
            </w:r>
            <w:r w:rsidRPr="00B25769">
              <w:rPr>
                <w:rFonts w:asciiTheme="minorHAnsi" w:eastAsia="Times New Roman" w:hAnsiTheme="minorHAnsi" w:cstheme="minorHAnsi"/>
                <w:color w:val="151515"/>
                <w:sz w:val="20"/>
                <w:szCs w:val="20"/>
                <w:lang w:eastAsia="en-AU"/>
              </w:rPr>
              <w:br/>
              <w:t>The amount of hazardous waste generated per month determines</w:t>
            </w:r>
            <w:r>
              <w:rPr>
                <w:rFonts w:asciiTheme="minorHAnsi" w:eastAsia="Times New Roman" w:hAnsiTheme="minorHAnsi" w:cstheme="minorHAnsi"/>
                <w:color w:val="151515"/>
                <w:sz w:val="20"/>
                <w:szCs w:val="20"/>
                <w:lang w:eastAsia="en-AU"/>
              </w:rPr>
              <w:t xml:space="preserve"> </w:t>
            </w:r>
            <w:hyperlink r:id="rId88" w:history="1">
              <w:r w:rsidRPr="00B25769">
                <w:rPr>
                  <w:rFonts w:asciiTheme="minorHAnsi" w:eastAsia="Times New Roman" w:hAnsiTheme="minorHAnsi" w:cstheme="minorHAnsi"/>
                  <w:color w:val="4D8E4D"/>
                  <w:sz w:val="20"/>
                  <w:szCs w:val="20"/>
                  <w:u w:val="single"/>
                  <w:lang w:eastAsia="en-AU"/>
                </w:rPr>
                <w:t>how a generator is categorized</w:t>
              </w:r>
            </w:hyperlink>
            <w:r w:rsidRPr="00B25769">
              <w:rPr>
                <w:rFonts w:asciiTheme="minorHAnsi" w:eastAsia="Times New Roman" w:hAnsiTheme="minorHAnsi" w:cstheme="minorHAnsi"/>
                <w:color w:val="151515"/>
                <w:sz w:val="20"/>
                <w:szCs w:val="20"/>
                <w:lang w:eastAsia="en-AU"/>
              </w:rPr>
              <w:t> and what regulations must be complied with.</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1" w14:textId="15759D20"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B25769">
              <w:rPr>
                <w:rFonts w:asciiTheme="minorHAnsi" w:eastAsia="Times New Roman" w:hAnsiTheme="minorHAnsi" w:cstheme="minorHAnsi"/>
                <w:color w:val="151515"/>
                <w:sz w:val="20"/>
                <w:szCs w:val="20"/>
                <w:lang w:eastAsia="en-AU"/>
              </w:rPr>
              <w:t>≤100 kg/month</w:t>
            </w:r>
            <w:r w:rsidR="00C43DCC">
              <w:rPr>
                <w:rFonts w:asciiTheme="minorHAnsi" w:eastAsia="Times New Roman" w:hAnsiTheme="minorHAnsi" w:cstheme="minorHAnsi"/>
                <w:color w:val="151515"/>
                <w:sz w:val="20"/>
                <w:szCs w:val="20"/>
                <w:lang w:eastAsia="en-AU"/>
              </w:rPr>
              <w:t>,</w:t>
            </w:r>
            <w:r w:rsidRPr="00B25769">
              <w:rPr>
                <w:rFonts w:asciiTheme="minorHAnsi" w:eastAsia="Times New Roman" w:hAnsiTheme="minorHAnsi" w:cstheme="minorHAnsi"/>
                <w:color w:val="151515"/>
                <w:sz w:val="20"/>
                <w:szCs w:val="20"/>
                <w:lang w:eastAsia="en-AU"/>
              </w:rPr>
              <w:br/>
              <w:t>≤1 kg/month of acute hazardous waste</w:t>
            </w:r>
            <w:r w:rsidR="00C43DCC">
              <w:rPr>
                <w:rFonts w:asciiTheme="minorHAnsi" w:eastAsia="Times New Roman" w:hAnsiTheme="minorHAnsi" w:cstheme="minorHAnsi"/>
                <w:color w:val="151515"/>
                <w:sz w:val="20"/>
                <w:szCs w:val="20"/>
                <w:lang w:eastAsia="en-AU"/>
              </w:rPr>
              <w:t>,</w:t>
            </w:r>
            <w:r w:rsidRPr="00B25769">
              <w:rPr>
                <w:rFonts w:asciiTheme="minorHAnsi" w:eastAsia="Times New Roman" w:hAnsiTheme="minorHAnsi" w:cstheme="minorHAnsi"/>
                <w:color w:val="151515"/>
                <w:sz w:val="20"/>
                <w:szCs w:val="20"/>
                <w:lang w:eastAsia="en-AU"/>
              </w:rPr>
              <w:br/>
              <w:t>≤100 kg/month of acute spill residue or soil</w:t>
            </w:r>
            <w:r w:rsidRPr="00B25769">
              <w:rPr>
                <w:rFonts w:asciiTheme="minorHAnsi" w:eastAsia="Times New Roman" w:hAnsiTheme="minorHAnsi" w:cstheme="minorHAnsi"/>
                <w:color w:val="151515"/>
                <w:sz w:val="20"/>
                <w:szCs w:val="20"/>
                <w:lang w:eastAsia="en-AU"/>
              </w:rPr>
              <w:br/>
            </w:r>
            <w:hyperlink r:id="rId89" w:anchor="se40.26.261_15" w:history="1">
              <w:r w:rsidRPr="00B25769">
                <w:rPr>
                  <w:rFonts w:asciiTheme="minorHAnsi" w:eastAsia="Times New Roman" w:hAnsiTheme="minorHAnsi" w:cstheme="minorHAnsi"/>
                  <w:color w:val="4D8E4D"/>
                  <w:sz w:val="20"/>
                  <w:szCs w:val="20"/>
                  <w:u w:val="single"/>
                  <w:lang w:eastAsia="en-AU"/>
                </w:rPr>
                <w:t>§§261.5(a) and (e)</w:t>
              </w:r>
            </w:hyperlink>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2" w14:textId="5C19A04D"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B25769">
              <w:rPr>
                <w:rFonts w:asciiTheme="minorHAnsi" w:eastAsia="Times New Roman" w:hAnsiTheme="minorHAnsi" w:cstheme="minorHAnsi"/>
                <w:color w:val="151515"/>
                <w:sz w:val="20"/>
                <w:szCs w:val="20"/>
                <w:lang w:eastAsia="en-AU"/>
              </w:rPr>
              <w:t>&gt;100 &lt;1,000 kg/month</w:t>
            </w:r>
            <w:r w:rsidRPr="00B25769">
              <w:rPr>
                <w:rFonts w:asciiTheme="minorHAnsi" w:eastAsia="Times New Roman" w:hAnsiTheme="minorHAnsi" w:cstheme="minorHAnsi"/>
                <w:color w:val="151515"/>
                <w:sz w:val="20"/>
                <w:szCs w:val="20"/>
                <w:lang w:eastAsia="en-AU"/>
              </w:rPr>
              <w:br/>
            </w:r>
            <w:hyperlink r:id="rId90" w:anchor="se40.26.262_134" w:history="1">
              <w:r w:rsidRPr="00B25769">
                <w:rPr>
                  <w:rFonts w:asciiTheme="minorHAnsi" w:eastAsia="Times New Roman" w:hAnsiTheme="minorHAnsi" w:cstheme="minorHAnsi"/>
                  <w:color w:val="4D8E4D"/>
                  <w:sz w:val="20"/>
                  <w:szCs w:val="20"/>
                  <w:u w:val="single"/>
                  <w:lang w:eastAsia="en-AU"/>
                </w:rPr>
                <w:t>§262.34(d)</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3" w14:textId="5E279558"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B25769">
              <w:rPr>
                <w:rFonts w:asciiTheme="minorHAnsi" w:eastAsia="Times New Roman" w:hAnsiTheme="minorHAnsi" w:cstheme="minorHAnsi"/>
                <w:color w:val="151515"/>
                <w:sz w:val="20"/>
                <w:szCs w:val="20"/>
                <w:lang w:eastAsia="en-AU"/>
              </w:rPr>
              <w:t>≥1,000 kg/month</w:t>
            </w:r>
            <w:r w:rsidRPr="00B25769">
              <w:rPr>
                <w:rFonts w:asciiTheme="minorHAnsi" w:eastAsia="Times New Roman" w:hAnsiTheme="minorHAnsi" w:cstheme="minorHAnsi"/>
                <w:color w:val="151515"/>
                <w:sz w:val="20"/>
                <w:szCs w:val="20"/>
                <w:lang w:eastAsia="en-AU"/>
              </w:rPr>
              <w:br/>
              <w:t>&gt;1 kg/month of acute hazardous waste</w:t>
            </w:r>
            <w:r w:rsidRPr="00B25769">
              <w:rPr>
                <w:rFonts w:asciiTheme="minorHAnsi" w:eastAsia="Times New Roman" w:hAnsiTheme="minorHAnsi" w:cstheme="minorHAnsi"/>
                <w:color w:val="151515"/>
                <w:sz w:val="20"/>
                <w:szCs w:val="20"/>
                <w:lang w:eastAsia="en-AU"/>
              </w:rPr>
              <w:br/>
              <w:t>&gt;100 kg/month of acute spill residue or soil</w:t>
            </w:r>
            <w:r w:rsidRPr="00B25769">
              <w:rPr>
                <w:rFonts w:asciiTheme="minorHAnsi" w:eastAsia="Times New Roman" w:hAnsiTheme="minorHAnsi" w:cstheme="minorHAnsi"/>
                <w:color w:val="151515"/>
                <w:sz w:val="20"/>
                <w:szCs w:val="20"/>
                <w:lang w:eastAsia="en-AU"/>
              </w:rPr>
              <w:br/>
            </w:r>
            <w:hyperlink r:id="rId91" w:anchor="se40.26.262_134" w:history="1">
              <w:r w:rsidRPr="00B25769">
                <w:rPr>
                  <w:rFonts w:asciiTheme="minorHAnsi" w:eastAsia="Times New Roman" w:hAnsiTheme="minorHAnsi" w:cstheme="minorHAnsi"/>
                  <w:color w:val="4D8E4D"/>
                  <w:sz w:val="20"/>
                  <w:szCs w:val="20"/>
                  <w:u w:val="single"/>
                  <w:lang w:eastAsia="en-AU"/>
                </w:rPr>
                <w:t>§262.34(a)</w:t>
              </w:r>
            </w:hyperlink>
          </w:p>
        </w:tc>
      </w:tr>
      <w:tr w:rsidR="00970CCF" w:rsidRPr="004557CC" w14:paraId="6E2A448B" w14:textId="77777777" w:rsidTr="006E1B8A">
        <w:trPr>
          <w:trHeight w:val="1105"/>
        </w:trPr>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7" w14:textId="73C37BD5" w:rsidR="00C43DCC" w:rsidRDefault="00970CCF" w:rsidP="004557CC">
            <w:pPr>
              <w:spacing w:after="0" w:line="240" w:lineRule="auto"/>
              <w:rPr>
                <w:rFonts w:asciiTheme="minorHAnsi" w:eastAsia="Times New Roman" w:hAnsiTheme="minorHAnsi" w:cstheme="minorHAnsi"/>
                <w:b/>
                <w:bCs/>
                <w:color w:val="151515"/>
                <w:sz w:val="20"/>
                <w:szCs w:val="20"/>
                <w:lang w:eastAsia="en-AU"/>
              </w:rPr>
            </w:pPr>
            <w:r w:rsidRPr="003F6160">
              <w:rPr>
                <w:rFonts w:asciiTheme="minorHAnsi" w:eastAsia="Times New Roman" w:hAnsiTheme="minorHAnsi" w:cstheme="minorHAnsi"/>
                <w:b/>
                <w:bCs/>
                <w:color w:val="151515"/>
                <w:sz w:val="20"/>
                <w:szCs w:val="20"/>
                <w:lang w:eastAsia="en-AU"/>
              </w:rPr>
              <w:t>Waste Minimization</w:t>
            </w:r>
            <w:r w:rsidRPr="003F6160">
              <w:rPr>
                <w:rFonts w:asciiTheme="minorHAnsi" w:eastAsia="Times New Roman" w:hAnsiTheme="minorHAnsi" w:cstheme="minorHAnsi"/>
                <w:color w:val="151515"/>
                <w:sz w:val="20"/>
                <w:szCs w:val="20"/>
                <w:lang w:eastAsia="en-AU"/>
              </w:rPr>
              <w:br/>
              <w:t>Certify steps taken to reduce or eliminate the generation of hazardous waste</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8" w14:textId="77777777"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3F6160">
              <w:rPr>
                <w:rFonts w:asciiTheme="minorHAnsi" w:eastAsia="Times New Roman" w:hAnsiTheme="minorHAnsi" w:cstheme="minorHAnsi"/>
                <w:color w:val="151515"/>
                <w:sz w:val="20"/>
                <w:szCs w:val="20"/>
                <w:lang w:eastAsia="en-AU"/>
              </w:rPr>
              <w:t>None</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9" w14:textId="2F9935F9"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3F6160">
              <w:rPr>
                <w:rFonts w:asciiTheme="minorHAnsi" w:eastAsia="Times New Roman" w:hAnsiTheme="minorHAnsi" w:cstheme="minorHAnsi"/>
                <w:color w:val="151515"/>
                <w:sz w:val="20"/>
                <w:szCs w:val="20"/>
                <w:lang w:eastAsia="en-AU"/>
              </w:rPr>
              <w:t>Good faith effort required</w:t>
            </w:r>
            <w:r w:rsidR="00A109CE">
              <w:rPr>
                <w:rFonts w:asciiTheme="minorHAnsi" w:eastAsia="Times New Roman" w:hAnsiTheme="minorHAnsi" w:cstheme="minorHAnsi"/>
                <w:color w:val="151515"/>
                <w:sz w:val="20"/>
                <w:szCs w:val="20"/>
                <w:lang w:eastAsia="en-AU"/>
              </w:rPr>
              <w:t xml:space="preserve"> </w:t>
            </w:r>
            <w:hyperlink r:id="rId92" w:anchor="se40.26.262_127" w:history="1">
              <w:r w:rsidRPr="003F6160">
                <w:rPr>
                  <w:rFonts w:asciiTheme="minorHAnsi" w:eastAsia="Times New Roman" w:hAnsiTheme="minorHAnsi" w:cstheme="minorHAnsi"/>
                  <w:color w:val="4D8E4D"/>
                  <w:sz w:val="20"/>
                  <w:szCs w:val="20"/>
                  <w:u w:val="single"/>
                  <w:lang w:eastAsia="en-AU"/>
                </w:rPr>
                <w:t>§262.27</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A" w14:textId="23B8659B"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3F6160">
              <w:rPr>
                <w:rFonts w:asciiTheme="minorHAnsi" w:eastAsia="Times New Roman" w:hAnsiTheme="minorHAnsi" w:cstheme="minorHAnsi"/>
                <w:color w:val="151515"/>
                <w:sz w:val="20"/>
                <w:szCs w:val="20"/>
                <w:lang w:eastAsia="en-AU"/>
              </w:rPr>
              <w:t>Program in place required</w:t>
            </w:r>
            <w:r w:rsidR="00A109CE">
              <w:rPr>
                <w:rFonts w:asciiTheme="minorHAnsi" w:eastAsia="Times New Roman" w:hAnsiTheme="minorHAnsi" w:cstheme="minorHAnsi"/>
                <w:color w:val="151515"/>
                <w:sz w:val="20"/>
                <w:szCs w:val="20"/>
                <w:lang w:eastAsia="en-AU"/>
              </w:rPr>
              <w:t xml:space="preserve"> </w:t>
            </w:r>
            <w:hyperlink r:id="rId93" w:anchor="se40.26.262_127" w:history="1">
              <w:r w:rsidRPr="003F6160">
                <w:rPr>
                  <w:rFonts w:asciiTheme="minorHAnsi" w:eastAsia="Times New Roman" w:hAnsiTheme="minorHAnsi" w:cstheme="minorHAnsi"/>
                  <w:color w:val="4D8E4D"/>
                  <w:sz w:val="20"/>
                  <w:szCs w:val="20"/>
                  <w:u w:val="single"/>
                  <w:lang w:eastAsia="en-AU"/>
                </w:rPr>
                <w:t>§262.27</w:t>
              </w:r>
            </w:hyperlink>
          </w:p>
        </w:tc>
      </w:tr>
      <w:tr w:rsidR="00992F74" w:rsidRPr="004557CC" w14:paraId="6E2A448D" w14:textId="77777777" w:rsidTr="006E1B8A">
        <w:tc>
          <w:tcPr>
            <w:tcW w:w="10119" w:type="dxa"/>
            <w:gridSpan w:val="4"/>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8C" w14:textId="77777777" w:rsidR="00992F74" w:rsidRPr="004557CC" w:rsidRDefault="00992F74" w:rsidP="00953A6F">
            <w:pPr>
              <w:spacing w:after="0" w:line="240" w:lineRule="auto"/>
              <w:jc w:val="center"/>
              <w:rPr>
                <w:rFonts w:asciiTheme="minorHAnsi" w:eastAsia="Times New Roman" w:hAnsiTheme="minorHAnsi" w:cstheme="minorHAnsi"/>
                <w:color w:val="151515"/>
                <w:sz w:val="20"/>
                <w:szCs w:val="20"/>
                <w:lang w:eastAsia="en-AU"/>
              </w:rPr>
            </w:pPr>
            <w:r>
              <w:rPr>
                <w:rFonts w:asciiTheme="minorHAnsi" w:eastAsia="Times New Roman" w:hAnsiTheme="minorHAnsi" w:cstheme="minorHAnsi"/>
                <w:b/>
                <w:bCs/>
                <w:color w:val="151515"/>
                <w:sz w:val="20"/>
                <w:szCs w:val="20"/>
                <w:lang w:eastAsia="en-AU"/>
              </w:rPr>
              <w:t>Accumulation requirements</w:t>
            </w:r>
          </w:p>
        </w:tc>
      </w:tr>
      <w:tr w:rsidR="00970CCF" w:rsidRPr="004557CC" w14:paraId="6E2A4492"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8E" w14:textId="77777777"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b/>
                <w:bCs/>
                <w:color w:val="151515"/>
                <w:sz w:val="20"/>
                <w:szCs w:val="20"/>
                <w:lang w:eastAsia="en-AU"/>
              </w:rPr>
              <w:t>Accumulation Requirements</w:t>
            </w:r>
            <w:r w:rsidRPr="00953A6F">
              <w:rPr>
                <w:rFonts w:asciiTheme="minorHAnsi" w:eastAsia="Times New Roman" w:hAnsiTheme="minorHAnsi" w:cstheme="minorHAnsi"/>
                <w:color w:val="151515"/>
                <w:sz w:val="20"/>
                <w:szCs w:val="20"/>
                <w:lang w:eastAsia="en-AU"/>
              </w:rPr>
              <w:br/>
              <w:t>Manage hazardous waste in compliance with certain technical standards.</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8F" w14:textId="77777777"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None</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90" w14:textId="741E9E1B"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Basic requirements with technical standards for tanks or containers</w:t>
            </w:r>
            <w:r w:rsidRPr="00953A6F">
              <w:rPr>
                <w:rFonts w:asciiTheme="minorHAnsi" w:eastAsia="Times New Roman" w:hAnsiTheme="minorHAnsi" w:cstheme="minorHAnsi"/>
                <w:color w:val="151515"/>
                <w:sz w:val="20"/>
                <w:szCs w:val="20"/>
                <w:lang w:eastAsia="en-AU"/>
              </w:rPr>
              <w:br/>
            </w:r>
            <w:hyperlink r:id="rId94" w:anchor="se40.26.262_134" w:history="1">
              <w:r w:rsidRPr="00953A6F">
                <w:rPr>
                  <w:rFonts w:asciiTheme="minorHAnsi" w:eastAsia="Times New Roman" w:hAnsiTheme="minorHAnsi" w:cstheme="minorHAnsi"/>
                  <w:color w:val="4D8E4D"/>
                  <w:sz w:val="20"/>
                  <w:szCs w:val="20"/>
                  <w:u w:val="single"/>
                  <w:lang w:eastAsia="en-AU"/>
                </w:rPr>
                <w:t>§§262.34(d)(2) and (3)</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91" w14:textId="55A477DB"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Full compliance for management of tanks, containers, drip pads, or containment buildings</w:t>
            </w:r>
            <w:r w:rsidR="001F4F2D">
              <w:rPr>
                <w:rFonts w:asciiTheme="minorHAnsi" w:eastAsia="Times New Roman" w:hAnsiTheme="minorHAnsi" w:cstheme="minorHAnsi"/>
                <w:color w:val="151515"/>
                <w:sz w:val="20"/>
                <w:szCs w:val="20"/>
                <w:lang w:eastAsia="en-AU"/>
              </w:rPr>
              <w:t xml:space="preserve"> </w:t>
            </w:r>
            <w:hyperlink r:id="rId95" w:anchor="se40.26.262_134" w:history="1">
              <w:r w:rsidRPr="00953A6F">
                <w:rPr>
                  <w:rFonts w:asciiTheme="minorHAnsi" w:eastAsia="Times New Roman" w:hAnsiTheme="minorHAnsi" w:cstheme="minorHAnsi"/>
                  <w:color w:val="4D8E4D"/>
                  <w:sz w:val="20"/>
                  <w:szCs w:val="20"/>
                  <w:u w:val="single"/>
                  <w:lang w:eastAsia="en-AU"/>
                </w:rPr>
                <w:t>§262.34(a)</w:t>
              </w:r>
            </w:hyperlink>
          </w:p>
        </w:tc>
      </w:tr>
      <w:tr w:rsidR="00970CCF" w:rsidRPr="004557CC" w14:paraId="6E2A4497"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93" w14:textId="77777777"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b/>
                <w:bCs/>
                <w:color w:val="151515"/>
                <w:sz w:val="20"/>
                <w:szCs w:val="20"/>
                <w:lang w:eastAsia="en-AU"/>
              </w:rPr>
              <w:t>Accumulation Time Limits</w:t>
            </w:r>
            <w:r w:rsidRPr="00953A6F">
              <w:rPr>
                <w:rFonts w:asciiTheme="minorHAnsi" w:eastAsia="Times New Roman" w:hAnsiTheme="minorHAnsi" w:cstheme="minorHAnsi"/>
                <w:color w:val="151515"/>
                <w:sz w:val="20"/>
                <w:szCs w:val="20"/>
                <w:lang w:eastAsia="en-AU"/>
              </w:rPr>
              <w:br/>
              <w:t>Determine amount of time hazardous waste is allowed to accumulate on site.</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94" w14:textId="77777777"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None</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95" w14:textId="2196E4C0"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≤180 days or</w:t>
            </w:r>
            <w:r w:rsidRPr="00953A6F">
              <w:rPr>
                <w:rFonts w:asciiTheme="minorHAnsi" w:eastAsia="Times New Roman" w:hAnsiTheme="minorHAnsi" w:cstheme="minorHAnsi"/>
                <w:color w:val="151515"/>
                <w:sz w:val="20"/>
                <w:szCs w:val="20"/>
                <w:lang w:eastAsia="en-AU"/>
              </w:rPr>
              <w:br/>
              <w:t>≤270 days (if transporting greater than 200 miles)</w:t>
            </w:r>
            <w:r w:rsidRPr="00953A6F">
              <w:rPr>
                <w:rFonts w:asciiTheme="minorHAnsi" w:eastAsia="Times New Roman" w:hAnsiTheme="minorHAnsi" w:cstheme="minorHAnsi"/>
                <w:color w:val="151515"/>
                <w:sz w:val="20"/>
                <w:szCs w:val="20"/>
                <w:lang w:eastAsia="en-AU"/>
              </w:rPr>
              <w:br/>
            </w:r>
            <w:hyperlink r:id="rId96" w:anchor="se40.26.262_134" w:history="1">
              <w:r w:rsidRPr="00953A6F">
                <w:rPr>
                  <w:rFonts w:asciiTheme="minorHAnsi" w:eastAsia="Times New Roman" w:hAnsiTheme="minorHAnsi" w:cstheme="minorHAnsi"/>
                  <w:color w:val="4D8E4D"/>
                  <w:sz w:val="20"/>
                  <w:szCs w:val="20"/>
                  <w:u w:val="single"/>
                  <w:lang w:eastAsia="en-AU"/>
                </w:rPr>
                <w:t>§§262.34(d)(2) and (3)</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96" w14:textId="34D26B93"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≤90 days</w:t>
            </w:r>
            <w:r w:rsidRPr="00953A6F">
              <w:rPr>
                <w:rFonts w:asciiTheme="minorHAnsi" w:eastAsia="Times New Roman" w:hAnsiTheme="minorHAnsi" w:cstheme="minorHAnsi"/>
                <w:color w:val="151515"/>
                <w:sz w:val="20"/>
                <w:szCs w:val="20"/>
                <w:lang w:eastAsia="en-AU"/>
              </w:rPr>
              <w:br/>
            </w:r>
            <w:hyperlink r:id="rId97" w:anchor="se40.26.262_134" w:history="1">
              <w:r w:rsidRPr="00953A6F">
                <w:rPr>
                  <w:rFonts w:asciiTheme="minorHAnsi" w:eastAsia="Times New Roman" w:hAnsiTheme="minorHAnsi" w:cstheme="minorHAnsi"/>
                  <w:color w:val="4D8E4D"/>
                  <w:sz w:val="20"/>
                  <w:szCs w:val="20"/>
                  <w:u w:val="single"/>
                  <w:lang w:eastAsia="en-AU"/>
                </w:rPr>
                <w:t>§262.34(b)</w:t>
              </w:r>
            </w:hyperlink>
          </w:p>
        </w:tc>
      </w:tr>
      <w:tr w:rsidR="00970CCF" w:rsidRPr="004557CC" w14:paraId="6E2A449C"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98" w14:textId="77777777" w:rsidR="00970CCF" w:rsidRPr="004557CC" w:rsidRDefault="00970CCF" w:rsidP="004557CC">
            <w:pPr>
              <w:spacing w:after="0" w:line="240" w:lineRule="auto"/>
              <w:rPr>
                <w:rFonts w:asciiTheme="minorHAnsi" w:eastAsia="Times New Roman" w:hAnsiTheme="minorHAnsi" w:cstheme="minorHAnsi"/>
                <w:b/>
                <w:bCs/>
                <w:color w:val="151515"/>
                <w:sz w:val="20"/>
                <w:szCs w:val="20"/>
                <w:lang w:eastAsia="en-AU"/>
              </w:rPr>
            </w:pPr>
            <w:r w:rsidRPr="00061BCA">
              <w:rPr>
                <w:rFonts w:asciiTheme="minorHAnsi" w:eastAsia="Times New Roman" w:hAnsiTheme="minorHAnsi" w:cstheme="minorHAnsi"/>
                <w:b/>
                <w:bCs/>
                <w:color w:val="151515"/>
                <w:sz w:val="20"/>
                <w:szCs w:val="20"/>
                <w:lang w:eastAsia="en-AU"/>
              </w:rPr>
              <w:t>On-Site Accumulation Quantity</w:t>
            </w:r>
            <w:r w:rsidRPr="00061BCA">
              <w:rPr>
                <w:rFonts w:asciiTheme="minorHAnsi" w:eastAsia="Times New Roman" w:hAnsiTheme="minorHAnsi" w:cstheme="minorHAnsi"/>
                <w:color w:val="151515"/>
                <w:sz w:val="20"/>
                <w:szCs w:val="20"/>
                <w:lang w:eastAsia="en-AU"/>
              </w:rPr>
              <w:br/>
              <w:t>Determine amount of hazardous waste generators are allowed to "accumulate" on site without a permit.</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99" w14:textId="0775A75E"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061BCA">
              <w:rPr>
                <w:rFonts w:asciiTheme="minorHAnsi" w:eastAsia="Times New Roman" w:hAnsiTheme="minorHAnsi" w:cstheme="minorHAnsi"/>
                <w:color w:val="151515"/>
                <w:sz w:val="20"/>
                <w:szCs w:val="20"/>
                <w:lang w:eastAsia="en-AU"/>
              </w:rPr>
              <w:t>≤1,000 kg</w:t>
            </w:r>
            <w:r w:rsidRPr="00061BCA">
              <w:rPr>
                <w:rFonts w:asciiTheme="minorHAnsi" w:eastAsia="Times New Roman" w:hAnsiTheme="minorHAnsi" w:cstheme="minorHAnsi"/>
                <w:color w:val="151515"/>
                <w:sz w:val="20"/>
                <w:szCs w:val="20"/>
                <w:lang w:eastAsia="en-AU"/>
              </w:rPr>
              <w:br/>
              <w:t>≤1 kg acute</w:t>
            </w:r>
            <w:r w:rsidRPr="00061BCA">
              <w:rPr>
                <w:rFonts w:asciiTheme="minorHAnsi" w:eastAsia="Times New Roman" w:hAnsiTheme="minorHAnsi" w:cstheme="minorHAnsi"/>
                <w:color w:val="151515"/>
                <w:sz w:val="20"/>
                <w:szCs w:val="20"/>
                <w:lang w:eastAsia="en-AU"/>
              </w:rPr>
              <w:br/>
              <w:t>≤100 kg of acute spill residue or soil</w:t>
            </w:r>
            <w:r w:rsidRPr="00061BCA">
              <w:rPr>
                <w:rFonts w:asciiTheme="minorHAnsi" w:eastAsia="Times New Roman" w:hAnsiTheme="minorHAnsi" w:cstheme="minorHAnsi"/>
                <w:color w:val="151515"/>
                <w:sz w:val="20"/>
                <w:szCs w:val="20"/>
                <w:lang w:eastAsia="en-AU"/>
              </w:rPr>
              <w:br/>
            </w:r>
            <w:hyperlink r:id="rId98" w:anchor="se40.26.261_15" w:history="1">
              <w:r w:rsidRPr="00061BCA">
                <w:rPr>
                  <w:rFonts w:asciiTheme="minorHAnsi" w:eastAsia="Times New Roman" w:hAnsiTheme="minorHAnsi" w:cstheme="minorHAnsi"/>
                  <w:color w:val="4D8E4D"/>
                  <w:sz w:val="20"/>
                  <w:szCs w:val="20"/>
                  <w:u w:val="single"/>
                  <w:lang w:eastAsia="en-AU"/>
                </w:rPr>
                <w:t>§§261.5(f)(2) and (g)(2)</w:t>
              </w:r>
            </w:hyperlink>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9A" w14:textId="47A28722"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061BCA">
              <w:rPr>
                <w:rFonts w:asciiTheme="minorHAnsi" w:eastAsia="Times New Roman" w:hAnsiTheme="minorHAnsi" w:cstheme="minorHAnsi"/>
                <w:color w:val="151515"/>
                <w:sz w:val="20"/>
                <w:szCs w:val="20"/>
                <w:lang w:eastAsia="en-AU"/>
              </w:rPr>
              <w:t>≤6,000 kg</w:t>
            </w:r>
            <w:r w:rsidRPr="00061BCA">
              <w:rPr>
                <w:rFonts w:asciiTheme="minorHAnsi" w:eastAsia="Times New Roman" w:hAnsiTheme="minorHAnsi" w:cstheme="minorHAnsi"/>
                <w:color w:val="151515"/>
                <w:sz w:val="20"/>
                <w:szCs w:val="20"/>
                <w:lang w:eastAsia="en-AU"/>
              </w:rPr>
              <w:br/>
            </w:r>
            <w:hyperlink r:id="rId99" w:anchor="se40.26.262_134" w:history="1">
              <w:r w:rsidRPr="00061BCA">
                <w:rPr>
                  <w:rFonts w:asciiTheme="minorHAnsi" w:eastAsia="Times New Roman" w:hAnsiTheme="minorHAnsi" w:cstheme="minorHAnsi"/>
                  <w:color w:val="4D8E4D"/>
                  <w:sz w:val="20"/>
                  <w:szCs w:val="20"/>
                  <w:u w:val="single"/>
                  <w:lang w:eastAsia="en-AU"/>
                </w:rPr>
                <w:t>§262.34(d)(1)</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9B" w14:textId="77777777" w:rsidR="00970CCF" w:rsidRPr="004557CC" w:rsidRDefault="00970CCF" w:rsidP="004557CC">
            <w:pPr>
              <w:spacing w:after="0" w:line="240" w:lineRule="auto"/>
              <w:rPr>
                <w:rFonts w:asciiTheme="minorHAnsi" w:eastAsia="Times New Roman" w:hAnsiTheme="minorHAnsi" w:cstheme="minorHAnsi"/>
                <w:color w:val="151515"/>
                <w:sz w:val="20"/>
                <w:szCs w:val="20"/>
                <w:lang w:eastAsia="en-AU"/>
              </w:rPr>
            </w:pPr>
            <w:r w:rsidRPr="00061BCA">
              <w:rPr>
                <w:rFonts w:asciiTheme="minorHAnsi" w:eastAsia="Times New Roman" w:hAnsiTheme="minorHAnsi" w:cstheme="minorHAnsi"/>
                <w:color w:val="151515"/>
                <w:sz w:val="20"/>
                <w:szCs w:val="20"/>
                <w:lang w:eastAsia="en-AU"/>
              </w:rPr>
              <w:t>No limit</w:t>
            </w:r>
          </w:p>
        </w:tc>
      </w:tr>
      <w:tr w:rsidR="00992F74" w:rsidRPr="004557CC" w14:paraId="6E2A449E" w14:textId="77777777" w:rsidTr="006E1B8A">
        <w:tc>
          <w:tcPr>
            <w:tcW w:w="10119" w:type="dxa"/>
            <w:gridSpan w:val="4"/>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9D" w14:textId="77777777" w:rsidR="00992F74" w:rsidRPr="004557CC" w:rsidRDefault="00992F74" w:rsidP="00953A6F">
            <w:pPr>
              <w:spacing w:after="0" w:line="240" w:lineRule="auto"/>
              <w:jc w:val="center"/>
              <w:rPr>
                <w:rFonts w:asciiTheme="minorHAnsi" w:eastAsia="Times New Roman" w:hAnsiTheme="minorHAnsi" w:cstheme="minorHAnsi"/>
                <w:color w:val="151515"/>
                <w:sz w:val="20"/>
                <w:szCs w:val="20"/>
                <w:lang w:eastAsia="en-AU"/>
              </w:rPr>
            </w:pPr>
            <w:r>
              <w:rPr>
                <w:rFonts w:asciiTheme="minorHAnsi" w:eastAsia="Times New Roman" w:hAnsiTheme="minorHAnsi" w:cstheme="minorHAnsi"/>
                <w:b/>
                <w:bCs/>
                <w:color w:val="151515"/>
                <w:sz w:val="20"/>
                <w:szCs w:val="20"/>
                <w:lang w:eastAsia="en-AU"/>
              </w:rPr>
              <w:t>Reporting requirements</w:t>
            </w:r>
          </w:p>
        </w:tc>
      </w:tr>
      <w:tr w:rsidR="00970CCF" w:rsidRPr="004557CC" w14:paraId="6E2A44A3"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9F" w14:textId="4126EFDB"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b/>
                <w:bCs/>
                <w:color w:val="151515"/>
                <w:sz w:val="20"/>
                <w:szCs w:val="20"/>
                <w:lang w:eastAsia="en-AU"/>
              </w:rPr>
              <w:t>Biennial Report</w:t>
            </w:r>
            <w:r w:rsidRPr="00953A6F">
              <w:rPr>
                <w:rFonts w:asciiTheme="minorHAnsi" w:eastAsia="Times New Roman" w:hAnsiTheme="minorHAnsi" w:cstheme="minorHAnsi"/>
                <w:color w:val="151515"/>
                <w:sz w:val="20"/>
                <w:szCs w:val="20"/>
                <w:lang w:eastAsia="en-AU"/>
              </w:rPr>
              <w:br/>
            </w:r>
            <w:hyperlink r:id="rId100" w:history="1">
              <w:r w:rsidRPr="00953A6F">
                <w:rPr>
                  <w:rFonts w:asciiTheme="minorHAnsi" w:eastAsia="Times New Roman" w:hAnsiTheme="minorHAnsi" w:cstheme="minorHAnsi"/>
                  <w:color w:val="4D8E4D"/>
                  <w:sz w:val="20"/>
                  <w:szCs w:val="20"/>
                  <w:u w:val="single"/>
                  <w:lang w:eastAsia="en-AU"/>
                </w:rPr>
                <w:t>Report data from off-site shipments</w:t>
              </w:r>
            </w:hyperlink>
            <w:r w:rsidRPr="00953A6F">
              <w:rPr>
                <w:rFonts w:asciiTheme="minorHAnsi" w:eastAsia="Times New Roman" w:hAnsiTheme="minorHAnsi" w:cstheme="minorHAnsi"/>
                <w:color w:val="151515"/>
                <w:sz w:val="20"/>
                <w:szCs w:val="20"/>
                <w:lang w:eastAsia="en-AU"/>
              </w:rPr>
              <w:t> of waste during the previous calendar year</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A0" w14:textId="77777777"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Not required</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A1" w14:textId="77777777"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Not required</w:t>
            </w:r>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A2" w14:textId="0DCC697F" w:rsidR="00970CCF" w:rsidRPr="00953A6F" w:rsidRDefault="00970CCF"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Required</w:t>
            </w:r>
            <w:r w:rsidRPr="00953A6F">
              <w:rPr>
                <w:rFonts w:asciiTheme="minorHAnsi" w:eastAsia="Times New Roman" w:hAnsiTheme="minorHAnsi" w:cstheme="minorHAnsi"/>
                <w:color w:val="151515"/>
                <w:sz w:val="20"/>
                <w:szCs w:val="20"/>
                <w:lang w:eastAsia="en-AU"/>
              </w:rPr>
              <w:br/>
            </w:r>
            <w:hyperlink r:id="rId101" w:anchor="se40.26.262_141" w:history="1">
              <w:r w:rsidRPr="00953A6F">
                <w:rPr>
                  <w:rFonts w:asciiTheme="minorHAnsi" w:eastAsia="Times New Roman" w:hAnsiTheme="minorHAnsi" w:cstheme="minorHAnsi"/>
                  <w:color w:val="4D8E4D"/>
                  <w:sz w:val="20"/>
                  <w:szCs w:val="20"/>
                  <w:u w:val="single"/>
                  <w:lang w:eastAsia="en-AU"/>
                </w:rPr>
                <w:t>§262.41</w:t>
              </w:r>
            </w:hyperlink>
          </w:p>
        </w:tc>
      </w:tr>
      <w:tr w:rsidR="00992F74" w:rsidRPr="004557CC" w14:paraId="6E2A44A8"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4" w14:textId="75F7E4CE"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D277B8">
              <w:rPr>
                <w:rFonts w:asciiTheme="minorHAnsi" w:eastAsia="Times New Roman" w:hAnsiTheme="minorHAnsi" w:cstheme="minorHAnsi"/>
                <w:b/>
                <w:bCs/>
                <w:color w:val="151515"/>
                <w:sz w:val="20"/>
                <w:szCs w:val="20"/>
                <w:lang w:eastAsia="en-AU"/>
              </w:rPr>
              <w:t>Manifest</w:t>
            </w:r>
            <w:r w:rsidRPr="00D277B8">
              <w:rPr>
                <w:rFonts w:asciiTheme="minorHAnsi" w:eastAsia="Times New Roman" w:hAnsiTheme="minorHAnsi" w:cstheme="minorHAnsi"/>
                <w:color w:val="151515"/>
                <w:sz w:val="20"/>
                <w:szCs w:val="20"/>
                <w:lang w:eastAsia="en-AU"/>
              </w:rPr>
              <w:br/>
              <w:t>Tracking hazardous waste shipments using the </w:t>
            </w:r>
            <w:hyperlink r:id="rId102" w:history="1">
              <w:r w:rsidRPr="00D277B8">
                <w:rPr>
                  <w:rFonts w:asciiTheme="minorHAnsi" w:eastAsia="Times New Roman" w:hAnsiTheme="minorHAnsi" w:cstheme="minorHAnsi"/>
                  <w:color w:val="4D8E4D"/>
                  <w:sz w:val="20"/>
                  <w:szCs w:val="20"/>
                  <w:u w:val="single"/>
                  <w:lang w:eastAsia="en-AU"/>
                </w:rPr>
                <w:t>multiple-copy manifest</w:t>
              </w:r>
            </w:hyperlink>
            <w:r w:rsidRPr="00D277B8">
              <w:rPr>
                <w:rFonts w:asciiTheme="minorHAnsi" w:eastAsia="Times New Roman" w:hAnsiTheme="minorHAnsi" w:cstheme="minorHAnsi"/>
                <w:color w:val="151515"/>
                <w:sz w:val="20"/>
                <w:szCs w:val="20"/>
                <w:lang w:eastAsia="en-AU"/>
              </w:rPr>
              <w:t> (required by DOT and EPA)</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5"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D277B8">
              <w:rPr>
                <w:rFonts w:asciiTheme="minorHAnsi" w:eastAsia="Times New Roman" w:hAnsiTheme="minorHAnsi" w:cstheme="minorHAnsi"/>
                <w:color w:val="151515"/>
                <w:sz w:val="20"/>
                <w:szCs w:val="20"/>
                <w:lang w:eastAsia="en-AU"/>
              </w:rPr>
              <w:t>Not required</w:t>
            </w:r>
            <w:r w:rsidRPr="00D277B8">
              <w:rPr>
                <w:rFonts w:asciiTheme="minorHAnsi" w:eastAsia="Times New Roman" w:hAnsiTheme="minorHAnsi" w:cstheme="minorHAnsi"/>
                <w:color w:val="151515"/>
                <w:sz w:val="20"/>
                <w:szCs w:val="20"/>
                <w:lang w:eastAsia="en-AU"/>
              </w:rPr>
              <w:br/>
              <w:t>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6" w14:textId="4211B1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D277B8">
              <w:rPr>
                <w:rFonts w:asciiTheme="minorHAnsi" w:eastAsia="Times New Roman" w:hAnsiTheme="minorHAnsi" w:cstheme="minorHAnsi"/>
                <w:color w:val="151515"/>
                <w:sz w:val="20"/>
                <w:szCs w:val="20"/>
                <w:lang w:eastAsia="en-AU"/>
              </w:rPr>
              <w:t>Required</w:t>
            </w:r>
            <w:r w:rsidRPr="00D277B8">
              <w:rPr>
                <w:rFonts w:asciiTheme="minorHAnsi" w:eastAsia="Times New Roman" w:hAnsiTheme="minorHAnsi" w:cstheme="minorHAnsi"/>
                <w:color w:val="151515"/>
                <w:sz w:val="20"/>
                <w:szCs w:val="20"/>
                <w:lang w:eastAsia="en-AU"/>
              </w:rPr>
              <w:br/>
            </w:r>
            <w:hyperlink r:id="rId103" w:anchor="sp40.26.262.b" w:history="1">
              <w:r w:rsidRPr="00D277B8">
                <w:rPr>
                  <w:rFonts w:asciiTheme="minorHAnsi" w:eastAsia="Times New Roman" w:hAnsiTheme="minorHAnsi" w:cstheme="minorHAnsi"/>
                  <w:color w:val="4D8E4D"/>
                  <w:sz w:val="20"/>
                  <w:szCs w:val="20"/>
                  <w:u w:val="single"/>
                  <w:lang w:eastAsia="en-AU"/>
                </w:rPr>
                <w:t>Part 262 subpart B</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7" w14:textId="3BD1FB2C"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D277B8">
              <w:rPr>
                <w:rFonts w:asciiTheme="minorHAnsi" w:eastAsia="Times New Roman" w:hAnsiTheme="minorHAnsi" w:cstheme="minorHAnsi"/>
                <w:color w:val="151515"/>
                <w:sz w:val="20"/>
                <w:szCs w:val="20"/>
                <w:lang w:eastAsia="en-AU"/>
              </w:rPr>
              <w:t>Required</w:t>
            </w:r>
            <w:r w:rsidRPr="00D277B8">
              <w:rPr>
                <w:rFonts w:asciiTheme="minorHAnsi" w:eastAsia="Times New Roman" w:hAnsiTheme="minorHAnsi" w:cstheme="minorHAnsi"/>
                <w:color w:val="151515"/>
                <w:sz w:val="20"/>
                <w:szCs w:val="20"/>
                <w:lang w:eastAsia="en-AU"/>
              </w:rPr>
              <w:br/>
            </w:r>
            <w:hyperlink r:id="rId104" w:anchor="sp40.26.262.b" w:history="1">
              <w:r w:rsidRPr="00D277B8">
                <w:rPr>
                  <w:rFonts w:asciiTheme="minorHAnsi" w:eastAsia="Times New Roman" w:hAnsiTheme="minorHAnsi" w:cstheme="minorHAnsi"/>
                  <w:color w:val="4D8E4D"/>
                  <w:sz w:val="20"/>
                  <w:szCs w:val="20"/>
                  <w:u w:val="single"/>
                  <w:lang w:eastAsia="en-AU"/>
                </w:rPr>
                <w:t>Part 262 subpart B</w:t>
              </w:r>
            </w:hyperlink>
          </w:p>
        </w:tc>
      </w:tr>
      <w:tr w:rsidR="00992F74" w:rsidRPr="004557CC" w14:paraId="6E2A44AE"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9" w14:textId="77777777" w:rsidR="00992F74" w:rsidRPr="008478B8" w:rsidRDefault="00992F74" w:rsidP="00C4698E">
            <w:pPr>
              <w:spacing w:after="0" w:line="240" w:lineRule="auto"/>
              <w:rPr>
                <w:rFonts w:asciiTheme="minorHAnsi" w:eastAsia="Times New Roman" w:hAnsiTheme="minorHAnsi" w:cstheme="minorHAnsi"/>
                <w:color w:val="151515"/>
                <w:sz w:val="20"/>
                <w:szCs w:val="20"/>
                <w:lang w:eastAsia="en-AU"/>
              </w:rPr>
            </w:pPr>
            <w:r w:rsidRPr="008478B8">
              <w:rPr>
                <w:rFonts w:asciiTheme="minorHAnsi" w:eastAsia="Times New Roman" w:hAnsiTheme="minorHAnsi" w:cstheme="minorHAnsi"/>
                <w:b/>
                <w:bCs/>
                <w:color w:val="151515"/>
                <w:sz w:val="20"/>
                <w:szCs w:val="20"/>
                <w:lang w:eastAsia="en-AU"/>
              </w:rPr>
              <w:t>Exception and Additional Reporting</w:t>
            </w:r>
            <w:r w:rsidRPr="008478B8">
              <w:rPr>
                <w:rFonts w:asciiTheme="minorHAnsi" w:eastAsia="Times New Roman" w:hAnsiTheme="minorHAnsi" w:cstheme="minorHAnsi"/>
                <w:color w:val="151515"/>
                <w:sz w:val="20"/>
                <w:szCs w:val="20"/>
                <w:lang w:eastAsia="en-AU"/>
              </w:rPr>
              <w:br/>
              <w:t>Report if any required copies of signed manifests are not received back</w:t>
            </w:r>
          </w:p>
          <w:p w14:paraId="6E2A44AA"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8478B8">
              <w:rPr>
                <w:rFonts w:asciiTheme="minorHAnsi" w:eastAsia="Times New Roman" w:hAnsiTheme="minorHAnsi" w:cstheme="minorHAnsi"/>
                <w:color w:val="151515"/>
                <w:sz w:val="20"/>
                <w:szCs w:val="20"/>
                <w:lang w:eastAsia="en-AU"/>
              </w:rPr>
              <w:t>Provide information on quantities and disposition of wastes upon request</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B"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8478B8">
              <w:rPr>
                <w:rFonts w:asciiTheme="minorHAnsi" w:eastAsia="Times New Roman" w:hAnsiTheme="minorHAnsi" w:cstheme="minorHAnsi"/>
                <w:color w:val="151515"/>
                <w:sz w:val="20"/>
                <w:szCs w:val="20"/>
                <w:lang w:eastAsia="en-AU"/>
              </w:rPr>
              <w:t>Not required</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C" w14:textId="14EDCA52"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8478B8">
              <w:rPr>
                <w:rFonts w:asciiTheme="minorHAnsi" w:eastAsia="Times New Roman" w:hAnsiTheme="minorHAnsi" w:cstheme="minorHAnsi"/>
                <w:color w:val="151515"/>
                <w:sz w:val="20"/>
                <w:szCs w:val="20"/>
                <w:lang w:eastAsia="en-AU"/>
              </w:rPr>
              <w:t>Required</w:t>
            </w:r>
            <w:r w:rsidRPr="008478B8">
              <w:rPr>
                <w:rFonts w:asciiTheme="minorHAnsi" w:eastAsia="Times New Roman" w:hAnsiTheme="minorHAnsi" w:cstheme="minorHAnsi"/>
                <w:color w:val="151515"/>
                <w:sz w:val="20"/>
                <w:szCs w:val="20"/>
                <w:lang w:eastAsia="en-AU"/>
              </w:rPr>
              <w:br/>
            </w:r>
            <w:hyperlink r:id="rId105" w:anchor="se40.26.262_142" w:history="1">
              <w:r w:rsidRPr="008478B8">
                <w:rPr>
                  <w:rFonts w:asciiTheme="minorHAnsi" w:eastAsia="Times New Roman" w:hAnsiTheme="minorHAnsi" w:cstheme="minorHAnsi"/>
                  <w:color w:val="4D8E4D"/>
                  <w:sz w:val="20"/>
                  <w:szCs w:val="20"/>
                  <w:u w:val="single"/>
                  <w:lang w:eastAsia="en-AU"/>
                </w:rPr>
                <w:t>§§262.42(b)</w:t>
              </w:r>
            </w:hyperlink>
            <w:r w:rsidRPr="008478B8">
              <w:rPr>
                <w:rFonts w:asciiTheme="minorHAnsi" w:eastAsia="Times New Roman" w:hAnsiTheme="minorHAnsi" w:cstheme="minorHAnsi"/>
                <w:color w:val="151515"/>
                <w:sz w:val="20"/>
                <w:szCs w:val="20"/>
                <w:lang w:eastAsia="en-AU"/>
              </w:rPr>
              <w:t> and</w:t>
            </w:r>
            <w:hyperlink r:id="rId106" w:anchor="se40.26.262_143" w:history="1">
              <w:r w:rsidRPr="008478B8">
                <w:rPr>
                  <w:rFonts w:asciiTheme="minorHAnsi" w:eastAsia="Times New Roman" w:hAnsiTheme="minorHAnsi" w:cstheme="minorHAnsi"/>
                  <w:color w:val="4D8E4D"/>
                  <w:sz w:val="20"/>
                  <w:szCs w:val="20"/>
                  <w:u w:val="single"/>
                  <w:lang w:eastAsia="en-AU"/>
                </w:rPr>
                <w:t>262.43</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D" w14:textId="5EE44A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8478B8">
              <w:rPr>
                <w:rFonts w:asciiTheme="minorHAnsi" w:eastAsia="Times New Roman" w:hAnsiTheme="minorHAnsi" w:cstheme="minorHAnsi"/>
                <w:color w:val="151515"/>
                <w:sz w:val="20"/>
                <w:szCs w:val="20"/>
                <w:lang w:eastAsia="en-AU"/>
              </w:rPr>
              <w:t>Required</w:t>
            </w:r>
            <w:r w:rsidRPr="008478B8">
              <w:rPr>
                <w:rFonts w:asciiTheme="minorHAnsi" w:eastAsia="Times New Roman" w:hAnsiTheme="minorHAnsi" w:cstheme="minorHAnsi"/>
                <w:color w:val="151515"/>
                <w:sz w:val="20"/>
                <w:szCs w:val="20"/>
                <w:lang w:eastAsia="en-AU"/>
              </w:rPr>
              <w:br/>
            </w:r>
            <w:hyperlink r:id="rId107" w:anchor="se40.26.262_142" w:history="1">
              <w:r w:rsidRPr="008478B8">
                <w:rPr>
                  <w:rFonts w:asciiTheme="minorHAnsi" w:eastAsia="Times New Roman" w:hAnsiTheme="minorHAnsi" w:cstheme="minorHAnsi"/>
                  <w:color w:val="4D8E4D"/>
                  <w:sz w:val="20"/>
                  <w:szCs w:val="20"/>
                  <w:u w:val="single"/>
                  <w:lang w:eastAsia="en-AU"/>
                </w:rPr>
                <w:t>§§262.42</w:t>
              </w:r>
            </w:hyperlink>
            <w:r w:rsidRPr="008478B8">
              <w:rPr>
                <w:rFonts w:asciiTheme="minorHAnsi" w:eastAsia="Times New Roman" w:hAnsiTheme="minorHAnsi" w:cstheme="minorHAnsi"/>
                <w:color w:val="151515"/>
                <w:sz w:val="20"/>
                <w:szCs w:val="20"/>
                <w:lang w:eastAsia="en-AU"/>
              </w:rPr>
              <w:t> and </w:t>
            </w:r>
            <w:hyperlink r:id="rId108" w:anchor="se40.26.262_143" w:history="1">
              <w:r w:rsidRPr="008478B8">
                <w:rPr>
                  <w:rFonts w:asciiTheme="minorHAnsi" w:eastAsia="Times New Roman" w:hAnsiTheme="minorHAnsi" w:cstheme="minorHAnsi"/>
                  <w:color w:val="4D8E4D"/>
                  <w:sz w:val="20"/>
                  <w:szCs w:val="20"/>
                  <w:u w:val="single"/>
                  <w:lang w:eastAsia="en-AU"/>
                </w:rPr>
                <w:t>262.43</w:t>
              </w:r>
            </w:hyperlink>
          </w:p>
        </w:tc>
      </w:tr>
      <w:tr w:rsidR="00992F74" w:rsidRPr="004557CC" w14:paraId="6E2A44B5"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AF" w14:textId="47BCCDDE" w:rsidR="00992F74" w:rsidRDefault="00992F74" w:rsidP="004557CC">
            <w:pPr>
              <w:spacing w:after="0" w:line="240" w:lineRule="auto"/>
              <w:rPr>
                <w:rFonts w:asciiTheme="minorHAnsi" w:eastAsia="Times New Roman" w:hAnsiTheme="minorHAnsi" w:cstheme="minorHAnsi"/>
                <w:color w:val="151515"/>
                <w:sz w:val="20"/>
                <w:szCs w:val="20"/>
                <w:lang w:eastAsia="en-AU"/>
              </w:rPr>
            </w:pPr>
            <w:r w:rsidRPr="00AC3F23">
              <w:rPr>
                <w:rFonts w:asciiTheme="minorHAnsi" w:eastAsia="Times New Roman" w:hAnsiTheme="minorHAnsi" w:cstheme="minorHAnsi"/>
                <w:b/>
                <w:bCs/>
                <w:color w:val="151515"/>
                <w:sz w:val="20"/>
                <w:szCs w:val="20"/>
                <w:lang w:eastAsia="en-AU"/>
              </w:rPr>
              <w:t>Recordkeeping</w:t>
            </w:r>
            <w:r w:rsidRPr="00AC3F23">
              <w:rPr>
                <w:rFonts w:asciiTheme="minorHAnsi" w:eastAsia="Times New Roman" w:hAnsiTheme="minorHAnsi" w:cstheme="minorHAnsi"/>
                <w:color w:val="151515"/>
                <w:sz w:val="20"/>
                <w:szCs w:val="20"/>
                <w:lang w:eastAsia="en-AU"/>
              </w:rPr>
              <w:br/>
              <w:t>Maintain records of </w:t>
            </w:r>
            <w:hyperlink r:id="rId109" w:history="1">
              <w:r w:rsidRPr="00AC3F23">
                <w:rPr>
                  <w:rFonts w:asciiTheme="minorHAnsi" w:eastAsia="Times New Roman" w:hAnsiTheme="minorHAnsi" w:cstheme="minorHAnsi"/>
                  <w:color w:val="4D8E4D"/>
                  <w:sz w:val="20"/>
                  <w:szCs w:val="20"/>
                  <w:u w:val="single"/>
                  <w:lang w:eastAsia="en-AU"/>
                </w:rPr>
                <w:t>manifests</w:t>
              </w:r>
            </w:hyperlink>
            <w:r w:rsidRPr="00AC3F23">
              <w:rPr>
                <w:rFonts w:asciiTheme="minorHAnsi" w:eastAsia="Times New Roman" w:hAnsiTheme="minorHAnsi" w:cstheme="minorHAnsi"/>
                <w:color w:val="151515"/>
                <w:sz w:val="20"/>
                <w:szCs w:val="20"/>
                <w:lang w:eastAsia="en-AU"/>
              </w:rPr>
              <w:t>, </w:t>
            </w:r>
            <w:hyperlink r:id="rId110" w:history="1">
              <w:r w:rsidRPr="00AC3F23">
                <w:rPr>
                  <w:rFonts w:asciiTheme="minorHAnsi" w:eastAsia="Times New Roman" w:hAnsiTheme="minorHAnsi" w:cstheme="minorHAnsi"/>
                  <w:color w:val="4D8E4D"/>
                  <w:sz w:val="20"/>
                  <w:szCs w:val="20"/>
                  <w:u w:val="single"/>
                  <w:lang w:eastAsia="en-AU"/>
                </w:rPr>
                <w:t>biennial reports</w:t>
              </w:r>
            </w:hyperlink>
            <w:r w:rsidRPr="00AC3F23">
              <w:rPr>
                <w:rFonts w:asciiTheme="minorHAnsi" w:eastAsia="Times New Roman" w:hAnsiTheme="minorHAnsi" w:cstheme="minorHAnsi"/>
                <w:color w:val="151515"/>
                <w:sz w:val="20"/>
                <w:szCs w:val="20"/>
                <w:lang w:eastAsia="en-AU"/>
              </w:rPr>
              <w:t>, exception reports and waste testing</w:t>
            </w:r>
          </w:p>
          <w:p w14:paraId="6E2A44B0" w14:textId="77777777" w:rsidR="0050481B" w:rsidRDefault="0050481B" w:rsidP="004557CC">
            <w:pPr>
              <w:spacing w:after="0" w:line="240" w:lineRule="auto"/>
              <w:rPr>
                <w:rFonts w:asciiTheme="minorHAnsi" w:eastAsia="Times New Roman" w:hAnsiTheme="minorHAnsi" w:cstheme="minorHAnsi"/>
                <w:color w:val="151515"/>
                <w:sz w:val="20"/>
                <w:szCs w:val="20"/>
                <w:lang w:eastAsia="en-AU"/>
              </w:rPr>
            </w:pPr>
          </w:p>
          <w:p w14:paraId="6E2A44B1" w14:textId="77777777" w:rsidR="0050481B" w:rsidRPr="00953A6F" w:rsidRDefault="0050481B" w:rsidP="004557CC">
            <w:pPr>
              <w:spacing w:after="0" w:line="240" w:lineRule="auto"/>
              <w:rPr>
                <w:rFonts w:asciiTheme="minorHAnsi" w:eastAsia="Times New Roman" w:hAnsiTheme="minorHAnsi" w:cstheme="minorHAnsi"/>
                <w:color w:val="151515"/>
                <w:sz w:val="20"/>
                <w:szCs w:val="20"/>
                <w:lang w:eastAsia="en-AU"/>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B2"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AC3F23">
              <w:rPr>
                <w:rFonts w:asciiTheme="minorHAnsi" w:eastAsia="Times New Roman" w:hAnsiTheme="minorHAnsi" w:cstheme="minorHAnsi"/>
                <w:color w:val="151515"/>
                <w:sz w:val="20"/>
                <w:szCs w:val="20"/>
                <w:lang w:eastAsia="en-AU"/>
              </w:rPr>
              <w:t>Not required</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B3" w14:textId="3132A114"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AC3F23">
              <w:rPr>
                <w:rFonts w:asciiTheme="minorHAnsi" w:eastAsia="Times New Roman" w:hAnsiTheme="minorHAnsi" w:cstheme="minorHAnsi"/>
                <w:color w:val="151515"/>
                <w:sz w:val="20"/>
                <w:szCs w:val="20"/>
                <w:lang w:eastAsia="en-AU"/>
              </w:rPr>
              <w:t>Required</w:t>
            </w:r>
            <w:r w:rsidRPr="00AC3F23">
              <w:rPr>
                <w:rFonts w:asciiTheme="minorHAnsi" w:eastAsia="Times New Roman" w:hAnsiTheme="minorHAnsi" w:cstheme="minorHAnsi"/>
                <w:color w:val="151515"/>
                <w:sz w:val="20"/>
                <w:szCs w:val="20"/>
                <w:lang w:eastAsia="en-AU"/>
              </w:rPr>
              <w:br/>
            </w:r>
            <w:hyperlink r:id="rId111" w:anchor="se40.26.262_140" w:history="1">
              <w:r w:rsidRPr="00AC3F23">
                <w:rPr>
                  <w:rFonts w:asciiTheme="minorHAnsi" w:eastAsia="Times New Roman" w:hAnsiTheme="minorHAnsi" w:cstheme="minorHAnsi"/>
                  <w:color w:val="4D8E4D"/>
                  <w:sz w:val="20"/>
                  <w:szCs w:val="20"/>
                  <w:u w:val="single"/>
                  <w:lang w:eastAsia="en-AU"/>
                </w:rPr>
                <w:t>§262.40(a), (c), and (d)</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B4" w14:textId="7E5A5786"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AC3F23">
              <w:rPr>
                <w:rFonts w:asciiTheme="minorHAnsi" w:eastAsia="Times New Roman" w:hAnsiTheme="minorHAnsi" w:cstheme="minorHAnsi"/>
                <w:color w:val="151515"/>
                <w:sz w:val="20"/>
                <w:szCs w:val="20"/>
                <w:lang w:eastAsia="en-AU"/>
              </w:rPr>
              <w:t>Required</w:t>
            </w:r>
            <w:r w:rsidRPr="00AC3F23">
              <w:rPr>
                <w:rFonts w:asciiTheme="minorHAnsi" w:eastAsia="Times New Roman" w:hAnsiTheme="minorHAnsi" w:cstheme="minorHAnsi"/>
                <w:color w:val="151515"/>
                <w:sz w:val="20"/>
                <w:szCs w:val="20"/>
                <w:lang w:eastAsia="en-AU"/>
              </w:rPr>
              <w:br/>
            </w:r>
            <w:hyperlink r:id="rId112" w:anchor="se40.26.262_140" w:history="1">
              <w:r w:rsidRPr="00AC3F23">
                <w:rPr>
                  <w:rFonts w:asciiTheme="minorHAnsi" w:eastAsia="Times New Roman" w:hAnsiTheme="minorHAnsi" w:cstheme="minorHAnsi"/>
                  <w:color w:val="4D8E4D"/>
                  <w:sz w:val="20"/>
                  <w:szCs w:val="20"/>
                  <w:u w:val="single"/>
                  <w:lang w:eastAsia="en-AU"/>
                </w:rPr>
                <w:t>§262.40</w:t>
              </w:r>
            </w:hyperlink>
          </w:p>
        </w:tc>
      </w:tr>
      <w:tr w:rsidR="004F1A98" w:rsidRPr="004557CC" w14:paraId="6E2A44B7" w14:textId="77777777" w:rsidTr="006E1B8A">
        <w:tc>
          <w:tcPr>
            <w:tcW w:w="10119" w:type="dxa"/>
            <w:gridSpan w:val="4"/>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B6" w14:textId="77777777" w:rsidR="004F1A98" w:rsidRPr="004557CC" w:rsidRDefault="004F1A98" w:rsidP="00953A6F">
            <w:pPr>
              <w:spacing w:after="0" w:line="240" w:lineRule="auto"/>
              <w:jc w:val="center"/>
              <w:rPr>
                <w:rFonts w:asciiTheme="minorHAnsi" w:eastAsia="Times New Roman" w:hAnsiTheme="minorHAnsi" w:cstheme="minorHAnsi"/>
                <w:color w:val="151515"/>
                <w:sz w:val="20"/>
                <w:szCs w:val="20"/>
                <w:lang w:eastAsia="en-AU"/>
              </w:rPr>
            </w:pPr>
            <w:r>
              <w:rPr>
                <w:rFonts w:asciiTheme="minorHAnsi" w:eastAsia="Times New Roman" w:hAnsiTheme="minorHAnsi" w:cstheme="minorHAnsi"/>
                <w:b/>
                <w:bCs/>
                <w:color w:val="151515"/>
                <w:sz w:val="20"/>
                <w:szCs w:val="20"/>
                <w:lang w:eastAsia="en-AU"/>
              </w:rPr>
              <w:t>Waste management requirements</w:t>
            </w:r>
          </w:p>
        </w:tc>
      </w:tr>
      <w:tr w:rsidR="00992F74" w:rsidRPr="004557CC" w14:paraId="6E2A44BC"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B8"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b/>
                <w:bCs/>
                <w:color w:val="151515"/>
                <w:sz w:val="20"/>
                <w:szCs w:val="20"/>
                <w:lang w:eastAsia="en-AU"/>
              </w:rPr>
              <w:t>Facility Type</w:t>
            </w:r>
            <w:r w:rsidRPr="00953A6F">
              <w:rPr>
                <w:rFonts w:asciiTheme="minorHAnsi" w:eastAsia="Times New Roman" w:hAnsiTheme="minorHAnsi" w:cstheme="minorHAnsi"/>
                <w:color w:val="151515"/>
                <w:sz w:val="20"/>
                <w:szCs w:val="20"/>
                <w:lang w:eastAsia="en-AU"/>
              </w:rPr>
              <w:br/>
              <w:t>Send off-site shipments to appropriate facilities for management</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B9" w14:textId="6ADCB905"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Facilities noted in</w:t>
            </w:r>
            <w:hyperlink r:id="rId113" w:anchor="se40.26.261_15" w:history="1">
              <w:r w:rsidRPr="00953A6F">
                <w:rPr>
                  <w:rFonts w:asciiTheme="minorHAnsi" w:eastAsia="Times New Roman" w:hAnsiTheme="minorHAnsi" w:cstheme="minorHAnsi"/>
                  <w:color w:val="4D8E4D"/>
                  <w:sz w:val="20"/>
                  <w:szCs w:val="20"/>
                  <w:u w:val="single"/>
                  <w:lang w:eastAsia="en-AU"/>
                </w:rPr>
                <w:t>§§261.5(f)(3) and (g)(3)</w:t>
              </w:r>
            </w:hyperlink>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BA" w14:textId="30B2F312"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RCRA permitted/interim status facility</w:t>
            </w:r>
            <w:r w:rsidRPr="00953A6F">
              <w:rPr>
                <w:rFonts w:asciiTheme="minorHAnsi" w:eastAsia="Times New Roman" w:hAnsiTheme="minorHAnsi" w:cstheme="minorHAnsi"/>
                <w:color w:val="151515"/>
                <w:sz w:val="20"/>
                <w:szCs w:val="20"/>
                <w:lang w:eastAsia="en-AU"/>
              </w:rPr>
              <w:br/>
            </w:r>
            <w:hyperlink r:id="rId114" w:history="1">
              <w:r w:rsidRPr="00953A6F">
                <w:rPr>
                  <w:rFonts w:asciiTheme="minorHAnsi" w:eastAsia="Times New Roman" w:hAnsiTheme="minorHAnsi" w:cstheme="minorHAnsi"/>
                  <w:color w:val="4D8E4D"/>
                  <w:sz w:val="20"/>
                  <w:szCs w:val="20"/>
                  <w:u w:val="single"/>
                  <w:lang w:eastAsia="en-AU"/>
                </w:rPr>
                <w:t>Parts 264/265, 266/267 and 270</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BB" w14:textId="5C23D5ED"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RCRA permitted/interim status facility</w:t>
            </w:r>
            <w:r w:rsidRPr="00953A6F">
              <w:rPr>
                <w:rFonts w:asciiTheme="minorHAnsi" w:eastAsia="Times New Roman" w:hAnsiTheme="minorHAnsi" w:cstheme="minorHAnsi"/>
                <w:color w:val="151515"/>
                <w:sz w:val="20"/>
                <w:szCs w:val="20"/>
                <w:lang w:eastAsia="en-AU"/>
              </w:rPr>
              <w:br/>
            </w:r>
            <w:hyperlink r:id="rId115" w:history="1">
              <w:r w:rsidRPr="00953A6F">
                <w:rPr>
                  <w:rFonts w:asciiTheme="minorHAnsi" w:eastAsia="Times New Roman" w:hAnsiTheme="minorHAnsi" w:cstheme="minorHAnsi"/>
                  <w:color w:val="4D8E4D"/>
                  <w:sz w:val="20"/>
                  <w:szCs w:val="20"/>
                  <w:u w:val="single"/>
                  <w:lang w:eastAsia="en-AU"/>
                </w:rPr>
                <w:t>Parts 264/265, 266/267 and 270</w:t>
              </w:r>
            </w:hyperlink>
          </w:p>
        </w:tc>
      </w:tr>
      <w:tr w:rsidR="00992F74" w:rsidRPr="004557CC" w14:paraId="6E2A44C1"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BD"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b/>
                <w:bCs/>
                <w:color w:val="151515"/>
                <w:sz w:val="20"/>
                <w:szCs w:val="20"/>
                <w:lang w:eastAsia="en-AU"/>
              </w:rPr>
              <w:t>Land Disposal Restrictions</w:t>
            </w:r>
            <w:r w:rsidRPr="00953A6F">
              <w:rPr>
                <w:rFonts w:asciiTheme="minorHAnsi" w:eastAsia="Times New Roman" w:hAnsiTheme="minorHAnsi" w:cstheme="minorHAnsi"/>
                <w:color w:val="151515"/>
                <w:sz w:val="20"/>
                <w:szCs w:val="20"/>
                <w:lang w:eastAsia="en-AU"/>
              </w:rPr>
              <w:br/>
              <w:t>Meet standards for placing on the land and associated requirements for certifications, notifications, and waste analysis plans</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BE"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Not required</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BF" w14:textId="60BD3151" w:rsidR="00992F74" w:rsidRPr="00953A6F" w:rsidRDefault="00992F74">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Required</w:t>
            </w:r>
            <w:r w:rsidR="00F67DFB">
              <w:rPr>
                <w:rFonts w:asciiTheme="minorHAnsi" w:eastAsia="Times New Roman" w:hAnsiTheme="minorHAnsi" w:cstheme="minorHAnsi"/>
                <w:color w:val="151515"/>
                <w:sz w:val="20"/>
                <w:szCs w:val="20"/>
                <w:lang w:eastAsia="en-AU"/>
              </w:rPr>
              <w:t xml:space="preserve"> </w:t>
            </w:r>
            <w:hyperlink r:id="rId116" w:history="1">
              <w:r w:rsidRPr="00953A6F">
                <w:rPr>
                  <w:rFonts w:asciiTheme="minorHAnsi" w:eastAsia="Times New Roman" w:hAnsiTheme="minorHAnsi" w:cstheme="minorHAnsi"/>
                  <w:color w:val="4D8E4D"/>
                  <w:sz w:val="20"/>
                  <w:szCs w:val="20"/>
                  <w:u w:val="single"/>
                  <w:lang w:eastAsia="en-AU"/>
                </w:rPr>
                <w:t>Part 268</w:t>
              </w:r>
            </w:hyperlink>
            <w:r w:rsidRPr="00953A6F">
              <w:rPr>
                <w:rFonts w:asciiTheme="minorHAnsi" w:eastAsia="Times New Roman" w:hAnsiTheme="minorHAnsi" w:cstheme="minorHAnsi"/>
                <w:color w:val="151515"/>
                <w:sz w:val="20"/>
                <w:szCs w:val="20"/>
                <w:lang w:eastAsia="en-AU"/>
              </w:rPr>
              <w:t> from</w:t>
            </w:r>
            <w:hyperlink r:id="rId117" w:anchor="se40.26.262_134" w:history="1">
              <w:r w:rsidRPr="00953A6F">
                <w:rPr>
                  <w:rFonts w:asciiTheme="minorHAnsi" w:eastAsia="Times New Roman" w:hAnsiTheme="minorHAnsi" w:cstheme="minorHAnsi"/>
                  <w:color w:val="4D8E4D"/>
                  <w:sz w:val="20"/>
                  <w:szCs w:val="20"/>
                  <w:u w:val="single"/>
                  <w:lang w:eastAsia="en-AU"/>
                </w:rPr>
                <w:t>§262.34(d)(4)</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C0" w14:textId="599C826F"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Required</w:t>
            </w:r>
            <w:r w:rsidRPr="00953A6F">
              <w:rPr>
                <w:rFonts w:asciiTheme="minorHAnsi" w:eastAsia="Times New Roman" w:hAnsiTheme="minorHAnsi" w:cstheme="minorHAnsi"/>
                <w:color w:val="151515"/>
                <w:sz w:val="20"/>
                <w:szCs w:val="20"/>
                <w:lang w:eastAsia="en-AU"/>
              </w:rPr>
              <w:br/>
            </w:r>
            <w:hyperlink r:id="rId118" w:history="1">
              <w:r w:rsidRPr="00953A6F">
                <w:rPr>
                  <w:rFonts w:asciiTheme="minorHAnsi" w:eastAsia="Times New Roman" w:hAnsiTheme="minorHAnsi" w:cstheme="minorHAnsi"/>
                  <w:color w:val="4D8E4D"/>
                  <w:sz w:val="20"/>
                  <w:szCs w:val="20"/>
                  <w:u w:val="single"/>
                  <w:lang w:eastAsia="en-AU"/>
                </w:rPr>
                <w:t>Part 268</w:t>
              </w:r>
            </w:hyperlink>
            <w:r w:rsidRPr="00953A6F">
              <w:rPr>
                <w:rFonts w:asciiTheme="minorHAnsi" w:eastAsia="Times New Roman" w:hAnsiTheme="minorHAnsi" w:cstheme="minorHAnsi"/>
                <w:color w:val="151515"/>
                <w:sz w:val="20"/>
                <w:szCs w:val="20"/>
                <w:lang w:eastAsia="en-AU"/>
              </w:rPr>
              <w:t> from </w:t>
            </w:r>
            <w:hyperlink r:id="rId119" w:anchor="se40.26.262_134" w:history="1">
              <w:r w:rsidRPr="00953A6F">
                <w:rPr>
                  <w:rFonts w:asciiTheme="minorHAnsi" w:eastAsia="Times New Roman" w:hAnsiTheme="minorHAnsi" w:cstheme="minorHAnsi"/>
                  <w:color w:val="4D8E4D"/>
                  <w:sz w:val="20"/>
                  <w:szCs w:val="20"/>
                  <w:u w:val="single"/>
                  <w:lang w:eastAsia="en-AU"/>
                </w:rPr>
                <w:t>§262.34(a)(4)</w:t>
              </w:r>
            </w:hyperlink>
          </w:p>
        </w:tc>
      </w:tr>
      <w:tr w:rsidR="00992F74" w:rsidRPr="004557CC" w14:paraId="6E2A44C3" w14:textId="77777777" w:rsidTr="006E1B8A">
        <w:tc>
          <w:tcPr>
            <w:tcW w:w="10119" w:type="dxa"/>
            <w:gridSpan w:val="4"/>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C2" w14:textId="77777777" w:rsidR="00992F74" w:rsidRPr="00953A6F" w:rsidRDefault="00992F74" w:rsidP="00953A6F">
            <w:pPr>
              <w:spacing w:after="0" w:line="240" w:lineRule="auto"/>
              <w:jc w:val="center"/>
              <w:rPr>
                <w:rFonts w:asciiTheme="minorHAnsi" w:eastAsia="Times New Roman" w:hAnsiTheme="minorHAnsi" w:cstheme="minorHAnsi"/>
                <w:color w:val="151515"/>
                <w:sz w:val="20"/>
                <w:szCs w:val="20"/>
                <w:lang w:eastAsia="en-AU"/>
              </w:rPr>
            </w:pPr>
            <w:r>
              <w:rPr>
                <w:rFonts w:asciiTheme="minorHAnsi" w:eastAsia="Times New Roman" w:hAnsiTheme="minorHAnsi" w:cstheme="minorHAnsi"/>
                <w:b/>
                <w:color w:val="151515"/>
                <w:sz w:val="20"/>
                <w:szCs w:val="20"/>
                <w:lang w:eastAsia="en-AU"/>
              </w:rPr>
              <w:t>Emergency planning</w:t>
            </w:r>
          </w:p>
        </w:tc>
      </w:tr>
      <w:tr w:rsidR="00992F74" w:rsidRPr="004557CC" w14:paraId="6E2A44C8"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C4"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b/>
                <w:bCs/>
                <w:color w:val="151515"/>
                <w:sz w:val="20"/>
                <w:szCs w:val="20"/>
                <w:lang w:eastAsia="en-AU"/>
              </w:rPr>
              <w:t>Preparedness and Prevention</w:t>
            </w:r>
            <w:r w:rsidRPr="00953A6F">
              <w:rPr>
                <w:rFonts w:asciiTheme="minorHAnsi" w:eastAsia="Times New Roman" w:hAnsiTheme="minorHAnsi" w:cstheme="minorHAnsi"/>
                <w:color w:val="151515"/>
                <w:sz w:val="20"/>
                <w:szCs w:val="20"/>
                <w:lang w:eastAsia="en-AU"/>
              </w:rPr>
              <w:br/>
              <w:t>Develop procedures to follow in the event of an emergency.</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C5"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Not required</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C6" w14:textId="3D3801F8"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Required</w:t>
            </w:r>
            <w:r w:rsidRPr="00953A6F">
              <w:rPr>
                <w:rFonts w:asciiTheme="minorHAnsi" w:eastAsia="Times New Roman" w:hAnsiTheme="minorHAnsi" w:cstheme="minorHAnsi"/>
                <w:color w:val="151515"/>
                <w:sz w:val="20"/>
                <w:szCs w:val="20"/>
                <w:lang w:eastAsia="en-AU"/>
              </w:rPr>
              <w:br/>
            </w:r>
            <w:hyperlink r:id="rId120" w:anchor="sp40.26.265.c" w:history="1">
              <w:r w:rsidRPr="00953A6F">
                <w:rPr>
                  <w:rFonts w:asciiTheme="minorHAnsi" w:eastAsia="Times New Roman" w:hAnsiTheme="minorHAnsi" w:cstheme="minorHAnsi"/>
                  <w:color w:val="4D8E4D"/>
                  <w:sz w:val="20"/>
                  <w:szCs w:val="20"/>
                  <w:u w:val="single"/>
                  <w:lang w:eastAsia="en-AU"/>
                </w:rPr>
                <w:t>Part 265 subpart C</w:t>
              </w:r>
            </w:hyperlink>
            <w:r w:rsidRPr="00953A6F">
              <w:rPr>
                <w:rFonts w:asciiTheme="minorHAnsi" w:eastAsia="Times New Roman" w:hAnsiTheme="minorHAnsi" w:cstheme="minorHAnsi"/>
                <w:color w:val="151515"/>
                <w:sz w:val="20"/>
                <w:szCs w:val="20"/>
                <w:lang w:eastAsia="en-AU"/>
              </w:rPr>
              <w:t> from </w:t>
            </w:r>
            <w:hyperlink r:id="rId121" w:anchor="se40.26.262_134" w:history="1">
              <w:r w:rsidRPr="00953A6F">
                <w:rPr>
                  <w:rFonts w:asciiTheme="minorHAnsi" w:eastAsia="Times New Roman" w:hAnsiTheme="minorHAnsi" w:cstheme="minorHAnsi"/>
                  <w:color w:val="4D8E4D"/>
                  <w:sz w:val="20"/>
                  <w:szCs w:val="20"/>
                  <w:u w:val="single"/>
                  <w:lang w:eastAsia="en-AU"/>
                </w:rPr>
                <w:t>§262.34(d)(4)</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hideMark/>
          </w:tcPr>
          <w:p w14:paraId="6E2A44C7" w14:textId="12FC118F"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color w:val="151515"/>
                <w:sz w:val="20"/>
                <w:szCs w:val="20"/>
                <w:lang w:eastAsia="en-AU"/>
              </w:rPr>
              <w:t>Full plan required</w:t>
            </w:r>
            <w:r w:rsidRPr="00953A6F">
              <w:rPr>
                <w:rFonts w:asciiTheme="minorHAnsi" w:eastAsia="Times New Roman" w:hAnsiTheme="minorHAnsi" w:cstheme="minorHAnsi"/>
                <w:color w:val="151515"/>
                <w:sz w:val="20"/>
                <w:szCs w:val="20"/>
                <w:lang w:eastAsia="en-AU"/>
              </w:rPr>
              <w:br/>
            </w:r>
            <w:hyperlink r:id="rId122" w:anchor="sp40.26.265.c" w:history="1">
              <w:r w:rsidRPr="00953A6F">
                <w:rPr>
                  <w:rFonts w:asciiTheme="minorHAnsi" w:eastAsia="Times New Roman" w:hAnsiTheme="minorHAnsi" w:cstheme="minorHAnsi"/>
                  <w:color w:val="4D8E4D"/>
                  <w:sz w:val="20"/>
                  <w:szCs w:val="20"/>
                  <w:u w:val="single"/>
                  <w:lang w:eastAsia="en-AU"/>
                </w:rPr>
                <w:t>Part 265 subpart C</w:t>
              </w:r>
            </w:hyperlink>
            <w:r w:rsidRPr="00953A6F">
              <w:rPr>
                <w:rFonts w:asciiTheme="minorHAnsi" w:eastAsia="Times New Roman" w:hAnsiTheme="minorHAnsi" w:cstheme="minorHAnsi"/>
                <w:color w:val="151515"/>
                <w:sz w:val="20"/>
                <w:szCs w:val="20"/>
                <w:lang w:eastAsia="en-AU"/>
              </w:rPr>
              <w:t> from </w:t>
            </w:r>
            <w:hyperlink r:id="rId123" w:anchor="se40.26.262_134" w:history="1">
              <w:r w:rsidRPr="00953A6F">
                <w:rPr>
                  <w:rFonts w:asciiTheme="minorHAnsi" w:eastAsia="Times New Roman" w:hAnsiTheme="minorHAnsi" w:cstheme="minorHAnsi"/>
                  <w:color w:val="4D8E4D"/>
                  <w:sz w:val="20"/>
                  <w:szCs w:val="20"/>
                  <w:u w:val="single"/>
                  <w:lang w:eastAsia="en-AU"/>
                </w:rPr>
                <w:t>§262.34(a)(4)</w:t>
              </w:r>
            </w:hyperlink>
          </w:p>
        </w:tc>
      </w:tr>
      <w:tr w:rsidR="00992F74" w:rsidRPr="004557CC" w14:paraId="6E2A44CD"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C9"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F32DF9">
              <w:rPr>
                <w:rFonts w:asciiTheme="minorHAnsi" w:eastAsia="Times New Roman" w:hAnsiTheme="minorHAnsi" w:cstheme="minorHAnsi"/>
                <w:b/>
                <w:bCs/>
                <w:color w:val="151515"/>
                <w:sz w:val="20"/>
                <w:szCs w:val="20"/>
                <w:lang w:eastAsia="en-AU"/>
              </w:rPr>
              <w:t>Contingency Plan and Emergency Procedures</w:t>
            </w:r>
            <w:r w:rsidRPr="00F32DF9">
              <w:rPr>
                <w:rFonts w:asciiTheme="minorHAnsi" w:eastAsia="Times New Roman" w:hAnsiTheme="minorHAnsi" w:cstheme="minorHAnsi"/>
                <w:color w:val="151515"/>
                <w:sz w:val="20"/>
                <w:szCs w:val="20"/>
                <w:lang w:eastAsia="en-AU"/>
              </w:rPr>
              <w:br/>
              <w:t>Develop procedures to follow during an unplanned major event.</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CA" w14:textId="77777777"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F32DF9">
              <w:rPr>
                <w:rFonts w:asciiTheme="minorHAnsi" w:eastAsia="Times New Roman" w:hAnsiTheme="minorHAnsi" w:cstheme="minorHAnsi"/>
                <w:color w:val="151515"/>
                <w:sz w:val="20"/>
                <w:szCs w:val="20"/>
                <w:lang w:eastAsia="en-AU"/>
              </w:rPr>
              <w:t>Not required</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CB" w14:textId="6B3A4B33"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F32DF9">
              <w:rPr>
                <w:rFonts w:asciiTheme="minorHAnsi" w:eastAsia="Times New Roman" w:hAnsiTheme="minorHAnsi" w:cstheme="minorHAnsi"/>
                <w:color w:val="151515"/>
                <w:sz w:val="20"/>
                <w:szCs w:val="20"/>
                <w:lang w:eastAsia="en-AU"/>
              </w:rPr>
              <w:t>Basic plan required</w:t>
            </w:r>
            <w:r w:rsidRPr="00F32DF9">
              <w:rPr>
                <w:rFonts w:asciiTheme="minorHAnsi" w:eastAsia="Times New Roman" w:hAnsiTheme="minorHAnsi" w:cstheme="minorHAnsi"/>
                <w:color w:val="151515"/>
                <w:sz w:val="20"/>
                <w:szCs w:val="20"/>
                <w:lang w:eastAsia="en-AU"/>
              </w:rPr>
              <w:br/>
            </w:r>
            <w:hyperlink r:id="rId124" w:anchor="se40.26.262_134" w:history="1">
              <w:r w:rsidRPr="00F32DF9">
                <w:rPr>
                  <w:rFonts w:asciiTheme="minorHAnsi" w:eastAsia="Times New Roman" w:hAnsiTheme="minorHAnsi" w:cstheme="minorHAnsi"/>
                  <w:color w:val="4D8E4D"/>
                  <w:sz w:val="20"/>
                  <w:szCs w:val="20"/>
                  <w:u w:val="single"/>
                  <w:lang w:eastAsia="en-AU"/>
                </w:rPr>
                <w:t>§262.34(d)(5)(i-iv)</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CC" w14:textId="3101D03C" w:rsidR="00992F74" w:rsidRPr="00953A6F" w:rsidRDefault="00992F74" w:rsidP="004557CC">
            <w:pPr>
              <w:spacing w:after="0" w:line="240" w:lineRule="auto"/>
              <w:rPr>
                <w:rFonts w:asciiTheme="minorHAnsi" w:eastAsia="Times New Roman" w:hAnsiTheme="minorHAnsi" w:cstheme="minorHAnsi"/>
                <w:color w:val="151515"/>
                <w:sz w:val="20"/>
                <w:szCs w:val="20"/>
                <w:lang w:eastAsia="en-AU"/>
              </w:rPr>
            </w:pPr>
            <w:r w:rsidRPr="00F32DF9">
              <w:rPr>
                <w:rFonts w:asciiTheme="minorHAnsi" w:eastAsia="Times New Roman" w:hAnsiTheme="minorHAnsi" w:cstheme="minorHAnsi"/>
                <w:color w:val="151515"/>
                <w:sz w:val="20"/>
                <w:szCs w:val="20"/>
                <w:lang w:eastAsia="en-AU"/>
              </w:rPr>
              <w:t>Full plan required</w:t>
            </w:r>
            <w:r w:rsidRPr="00F32DF9">
              <w:rPr>
                <w:rFonts w:asciiTheme="minorHAnsi" w:eastAsia="Times New Roman" w:hAnsiTheme="minorHAnsi" w:cstheme="minorHAnsi"/>
                <w:color w:val="151515"/>
                <w:sz w:val="20"/>
                <w:szCs w:val="20"/>
                <w:lang w:eastAsia="en-AU"/>
              </w:rPr>
              <w:br/>
            </w:r>
            <w:hyperlink r:id="rId125" w:anchor="sp40.26.265.d" w:history="1">
              <w:r w:rsidRPr="00F32DF9">
                <w:rPr>
                  <w:rFonts w:asciiTheme="minorHAnsi" w:eastAsia="Times New Roman" w:hAnsiTheme="minorHAnsi" w:cstheme="minorHAnsi"/>
                  <w:color w:val="4D8E4D"/>
                  <w:sz w:val="20"/>
                  <w:szCs w:val="20"/>
                  <w:u w:val="single"/>
                  <w:lang w:eastAsia="en-AU"/>
                </w:rPr>
                <w:t>Part 265 subpart D</w:t>
              </w:r>
            </w:hyperlink>
            <w:r>
              <w:rPr>
                <w:rFonts w:asciiTheme="minorHAnsi" w:eastAsia="Times New Roman" w:hAnsiTheme="minorHAnsi" w:cstheme="minorHAnsi"/>
                <w:color w:val="151515"/>
                <w:sz w:val="20"/>
                <w:szCs w:val="20"/>
                <w:lang w:eastAsia="en-AU"/>
              </w:rPr>
              <w:t xml:space="preserve"> </w:t>
            </w:r>
            <w:r w:rsidRPr="00F32DF9">
              <w:rPr>
                <w:rFonts w:asciiTheme="minorHAnsi" w:eastAsia="Times New Roman" w:hAnsiTheme="minorHAnsi" w:cstheme="minorHAnsi"/>
                <w:color w:val="151515"/>
                <w:sz w:val="20"/>
                <w:szCs w:val="20"/>
                <w:lang w:eastAsia="en-AU"/>
              </w:rPr>
              <w:t>from </w:t>
            </w:r>
            <w:hyperlink r:id="rId126" w:anchor="se40.26.262_134" w:history="1">
              <w:r w:rsidRPr="00F32DF9">
                <w:rPr>
                  <w:rFonts w:asciiTheme="minorHAnsi" w:eastAsia="Times New Roman" w:hAnsiTheme="minorHAnsi" w:cstheme="minorHAnsi"/>
                  <w:color w:val="4D8E4D"/>
                  <w:sz w:val="20"/>
                  <w:szCs w:val="20"/>
                  <w:u w:val="single"/>
                  <w:lang w:eastAsia="en-AU"/>
                </w:rPr>
                <w:t>§262.34(a)(4)</w:t>
              </w:r>
            </w:hyperlink>
          </w:p>
        </w:tc>
      </w:tr>
      <w:tr w:rsidR="00992F74" w:rsidRPr="004557CC" w14:paraId="6E2A44CF" w14:textId="77777777" w:rsidTr="006E1B8A">
        <w:tc>
          <w:tcPr>
            <w:tcW w:w="10119" w:type="dxa"/>
            <w:gridSpan w:val="4"/>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CE" w14:textId="77777777" w:rsidR="00992F74" w:rsidRPr="00953A6F" w:rsidRDefault="00992F74" w:rsidP="00953A6F">
            <w:pPr>
              <w:spacing w:after="0" w:line="240" w:lineRule="auto"/>
              <w:jc w:val="center"/>
              <w:rPr>
                <w:rFonts w:asciiTheme="minorHAnsi" w:eastAsia="Times New Roman" w:hAnsiTheme="minorHAnsi" w:cstheme="minorHAnsi"/>
                <w:color w:val="151515"/>
                <w:sz w:val="20"/>
                <w:szCs w:val="20"/>
                <w:lang w:eastAsia="en-AU"/>
              </w:rPr>
            </w:pPr>
            <w:r w:rsidRPr="00953A6F">
              <w:rPr>
                <w:rFonts w:asciiTheme="minorHAnsi" w:eastAsia="Times New Roman" w:hAnsiTheme="minorHAnsi" w:cstheme="minorHAnsi"/>
                <w:b/>
                <w:color w:val="151515"/>
                <w:sz w:val="20"/>
                <w:szCs w:val="20"/>
                <w:lang w:eastAsia="en-AU"/>
              </w:rPr>
              <w:t>Site closure requirements</w:t>
            </w:r>
          </w:p>
        </w:tc>
      </w:tr>
      <w:tr w:rsidR="00992F74" w:rsidRPr="004557CC" w14:paraId="6E2A44D5" w14:textId="77777777" w:rsidTr="006E1B8A">
        <w:tc>
          <w:tcPr>
            <w:tcW w:w="317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D0" w14:textId="77777777" w:rsidR="00992F74" w:rsidRPr="00992F74" w:rsidRDefault="00992F74" w:rsidP="00992F74">
            <w:pPr>
              <w:spacing w:after="0" w:line="240" w:lineRule="auto"/>
              <w:rPr>
                <w:rFonts w:asciiTheme="minorHAnsi" w:eastAsia="Times New Roman" w:hAnsiTheme="minorHAnsi" w:cstheme="minorHAnsi"/>
                <w:b/>
                <w:color w:val="151515"/>
                <w:sz w:val="20"/>
                <w:szCs w:val="20"/>
                <w:lang w:eastAsia="en-AU"/>
              </w:rPr>
            </w:pPr>
            <w:r w:rsidRPr="00001175">
              <w:rPr>
                <w:rFonts w:asciiTheme="minorHAnsi" w:eastAsia="Times New Roman" w:hAnsiTheme="minorHAnsi" w:cstheme="minorHAnsi"/>
                <w:b/>
                <w:bCs/>
                <w:color w:val="151515"/>
                <w:sz w:val="20"/>
                <w:szCs w:val="20"/>
                <w:lang w:eastAsia="en-AU"/>
              </w:rPr>
              <w:t>Closure</w:t>
            </w:r>
            <w:r w:rsidRPr="00001175">
              <w:rPr>
                <w:rFonts w:asciiTheme="minorHAnsi" w:eastAsia="Times New Roman" w:hAnsiTheme="minorHAnsi" w:cstheme="minorHAnsi"/>
                <w:color w:val="151515"/>
                <w:sz w:val="20"/>
                <w:szCs w:val="20"/>
                <w:lang w:eastAsia="en-AU"/>
              </w:rPr>
              <w:br/>
              <w:t>Close equipment, structures, soils and units by meeting specified performance standards and disposal and decontamination requirements</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D1" w14:textId="77777777" w:rsidR="00992F74" w:rsidRPr="004557CC" w:rsidRDefault="00992F74" w:rsidP="004557CC">
            <w:pPr>
              <w:spacing w:after="0" w:line="240" w:lineRule="auto"/>
              <w:rPr>
                <w:rFonts w:asciiTheme="minorHAnsi" w:eastAsia="Times New Roman" w:hAnsiTheme="minorHAnsi" w:cstheme="minorHAnsi"/>
                <w:color w:val="151515"/>
                <w:sz w:val="20"/>
                <w:szCs w:val="20"/>
                <w:lang w:eastAsia="en-AU"/>
              </w:rPr>
            </w:pPr>
            <w:r w:rsidRPr="00001175">
              <w:rPr>
                <w:rFonts w:asciiTheme="minorHAnsi" w:eastAsia="Times New Roman" w:hAnsiTheme="minorHAnsi" w:cstheme="minorHAnsi"/>
                <w:color w:val="151515"/>
                <w:sz w:val="20"/>
                <w:szCs w:val="20"/>
                <w:lang w:eastAsia="en-AU"/>
              </w:rPr>
              <w:t>Not required</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D2" w14:textId="2D9E52E2" w:rsidR="00992F74" w:rsidRPr="004557CC" w:rsidRDefault="00992F74" w:rsidP="004557CC">
            <w:pPr>
              <w:spacing w:after="0" w:line="240" w:lineRule="auto"/>
              <w:rPr>
                <w:rFonts w:asciiTheme="minorHAnsi" w:eastAsia="Times New Roman" w:hAnsiTheme="minorHAnsi" w:cstheme="minorHAnsi"/>
                <w:color w:val="151515"/>
                <w:sz w:val="20"/>
                <w:szCs w:val="20"/>
                <w:lang w:eastAsia="en-AU"/>
              </w:rPr>
            </w:pPr>
            <w:r w:rsidRPr="00001175">
              <w:rPr>
                <w:rFonts w:asciiTheme="minorHAnsi" w:eastAsia="Times New Roman" w:hAnsiTheme="minorHAnsi" w:cstheme="minorHAnsi"/>
                <w:color w:val="151515"/>
                <w:sz w:val="20"/>
                <w:szCs w:val="20"/>
                <w:lang w:eastAsia="en-AU"/>
              </w:rPr>
              <w:t>Required - tanks only</w:t>
            </w:r>
            <w:r w:rsidRPr="00001175">
              <w:rPr>
                <w:rFonts w:asciiTheme="minorHAnsi" w:eastAsia="Times New Roman" w:hAnsiTheme="minorHAnsi" w:cstheme="minorHAnsi"/>
                <w:color w:val="151515"/>
                <w:sz w:val="20"/>
                <w:szCs w:val="20"/>
                <w:lang w:eastAsia="en-AU"/>
              </w:rPr>
              <w:br/>
            </w:r>
            <w:hyperlink r:id="rId127" w:anchor="se40.26.265_1201" w:history="1">
              <w:r w:rsidRPr="00001175">
                <w:rPr>
                  <w:rFonts w:asciiTheme="minorHAnsi" w:eastAsia="Times New Roman" w:hAnsiTheme="minorHAnsi" w:cstheme="minorHAnsi"/>
                  <w:color w:val="4D8E4D"/>
                  <w:sz w:val="20"/>
                  <w:szCs w:val="20"/>
                  <w:u w:val="single"/>
                  <w:lang w:eastAsia="en-AU"/>
                </w:rPr>
                <w:t>§265.201(f)</w:t>
              </w:r>
            </w:hyperlink>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90" w:type="dxa"/>
              <w:left w:w="120" w:type="dxa"/>
              <w:bottom w:w="90" w:type="dxa"/>
              <w:right w:w="120" w:type="dxa"/>
            </w:tcMar>
            <w:vAlign w:val="center"/>
          </w:tcPr>
          <w:p w14:paraId="6E2A44D3" w14:textId="7902D19D" w:rsidR="00992F74" w:rsidRPr="00001175" w:rsidRDefault="00992F74" w:rsidP="00C4698E">
            <w:pPr>
              <w:spacing w:after="0" w:line="240" w:lineRule="auto"/>
              <w:rPr>
                <w:rFonts w:asciiTheme="minorHAnsi" w:eastAsia="Times New Roman" w:hAnsiTheme="minorHAnsi" w:cstheme="minorHAnsi"/>
                <w:color w:val="151515"/>
                <w:sz w:val="20"/>
                <w:szCs w:val="20"/>
                <w:lang w:eastAsia="en-AU"/>
              </w:rPr>
            </w:pPr>
            <w:r w:rsidRPr="00001175">
              <w:rPr>
                <w:rFonts w:asciiTheme="minorHAnsi" w:eastAsia="Times New Roman" w:hAnsiTheme="minorHAnsi" w:cstheme="minorHAnsi"/>
                <w:color w:val="151515"/>
                <w:sz w:val="20"/>
                <w:szCs w:val="20"/>
                <w:lang w:eastAsia="en-AU"/>
              </w:rPr>
              <w:t>Required</w:t>
            </w:r>
            <w:r>
              <w:rPr>
                <w:rFonts w:asciiTheme="minorHAnsi" w:eastAsia="Times New Roman" w:hAnsiTheme="minorHAnsi" w:cstheme="minorHAnsi"/>
                <w:color w:val="151515"/>
                <w:sz w:val="20"/>
                <w:szCs w:val="20"/>
                <w:lang w:eastAsia="en-AU"/>
              </w:rPr>
              <w:t xml:space="preserve"> </w:t>
            </w:r>
            <w:r w:rsidRPr="00001175">
              <w:rPr>
                <w:rFonts w:asciiTheme="minorHAnsi" w:eastAsia="Times New Roman" w:hAnsiTheme="minorHAnsi" w:cstheme="minorHAnsi"/>
                <w:color w:val="151515"/>
                <w:sz w:val="20"/>
                <w:szCs w:val="20"/>
                <w:lang w:eastAsia="en-AU"/>
              </w:rPr>
              <w:t>- General </w:t>
            </w:r>
            <w:hyperlink r:id="rId128" w:anchor="se40.26.265_1111" w:history="1">
              <w:r w:rsidRPr="00001175">
                <w:rPr>
                  <w:rFonts w:asciiTheme="minorHAnsi" w:eastAsia="Times New Roman" w:hAnsiTheme="minorHAnsi" w:cstheme="minorHAnsi"/>
                  <w:color w:val="4D8E4D"/>
                  <w:sz w:val="20"/>
                  <w:szCs w:val="20"/>
                  <w:u w:val="single"/>
                  <w:lang w:eastAsia="en-AU"/>
                </w:rPr>
                <w:t>§§265.111(a)</w:t>
              </w:r>
            </w:hyperlink>
            <w:r w:rsidRPr="00001175">
              <w:rPr>
                <w:rFonts w:asciiTheme="minorHAnsi" w:eastAsia="Times New Roman" w:hAnsiTheme="minorHAnsi" w:cstheme="minorHAnsi"/>
                <w:color w:val="151515"/>
                <w:sz w:val="20"/>
                <w:szCs w:val="20"/>
                <w:lang w:eastAsia="en-AU"/>
              </w:rPr>
              <w:t> and</w:t>
            </w:r>
            <w:hyperlink r:id="rId129" w:anchor="se40.26.265_1114" w:history="1">
              <w:r w:rsidRPr="00001175">
                <w:rPr>
                  <w:rFonts w:asciiTheme="minorHAnsi" w:eastAsia="Times New Roman" w:hAnsiTheme="minorHAnsi" w:cstheme="minorHAnsi"/>
                  <w:color w:val="4D8E4D"/>
                  <w:sz w:val="20"/>
                  <w:szCs w:val="20"/>
                  <w:u w:val="single"/>
                  <w:lang w:eastAsia="en-AU"/>
                </w:rPr>
                <w:t>265.114</w:t>
              </w:r>
            </w:hyperlink>
            <w:r w:rsidRPr="00001175">
              <w:rPr>
                <w:rFonts w:asciiTheme="minorHAnsi" w:eastAsia="Times New Roman" w:hAnsiTheme="minorHAnsi" w:cstheme="minorHAnsi"/>
                <w:color w:val="151515"/>
                <w:sz w:val="20"/>
                <w:szCs w:val="20"/>
                <w:lang w:eastAsia="en-AU"/>
              </w:rPr>
              <w:t> from </w:t>
            </w:r>
            <w:hyperlink r:id="rId130" w:anchor="se40.26.262_134" w:history="1">
              <w:r w:rsidRPr="00001175">
                <w:rPr>
                  <w:rFonts w:asciiTheme="minorHAnsi" w:eastAsia="Times New Roman" w:hAnsiTheme="minorHAnsi" w:cstheme="minorHAnsi"/>
                  <w:color w:val="4D8E4D"/>
                  <w:sz w:val="20"/>
                  <w:szCs w:val="20"/>
                  <w:u w:val="single"/>
                  <w:lang w:eastAsia="en-AU"/>
                </w:rPr>
                <w:t>§262.34(a)(1)(iv)</w:t>
              </w:r>
            </w:hyperlink>
          </w:p>
          <w:p w14:paraId="6E2A44D4" w14:textId="7C30768F" w:rsidR="00992F74" w:rsidRPr="004557CC" w:rsidRDefault="00992F74" w:rsidP="004557CC">
            <w:pPr>
              <w:spacing w:after="0" w:line="240" w:lineRule="auto"/>
              <w:rPr>
                <w:rFonts w:asciiTheme="minorHAnsi" w:eastAsia="Times New Roman" w:hAnsiTheme="minorHAnsi" w:cstheme="minorHAnsi"/>
                <w:color w:val="151515"/>
                <w:sz w:val="20"/>
                <w:szCs w:val="20"/>
                <w:lang w:eastAsia="en-AU"/>
              </w:rPr>
            </w:pPr>
            <w:r w:rsidRPr="00001175">
              <w:rPr>
                <w:rFonts w:asciiTheme="minorHAnsi" w:eastAsia="Times New Roman" w:hAnsiTheme="minorHAnsi" w:cstheme="minorHAnsi"/>
                <w:color w:val="151515"/>
                <w:sz w:val="20"/>
                <w:szCs w:val="20"/>
                <w:lang w:eastAsia="en-AU"/>
              </w:rPr>
              <w:t>- Unit specific </w:t>
            </w:r>
            <w:hyperlink r:id="rId131" w:history="1">
              <w:r w:rsidRPr="00001175">
                <w:rPr>
                  <w:rFonts w:asciiTheme="minorHAnsi" w:eastAsia="Times New Roman" w:hAnsiTheme="minorHAnsi" w:cstheme="minorHAnsi"/>
                  <w:color w:val="4D8E4D"/>
                  <w:sz w:val="20"/>
                  <w:szCs w:val="20"/>
                  <w:u w:val="single"/>
                  <w:lang w:eastAsia="en-AU"/>
                </w:rPr>
                <w:t>Part 265, subparts I, J, W, and DD</w:t>
              </w:r>
            </w:hyperlink>
          </w:p>
        </w:tc>
      </w:tr>
    </w:tbl>
    <w:p w14:paraId="6E2A44D6" w14:textId="6A4135F8" w:rsidR="0050481B" w:rsidRPr="00953A6F" w:rsidRDefault="00977734" w:rsidP="00953A6F">
      <w:pPr>
        <w:tabs>
          <w:tab w:val="left" w:pos="1155"/>
        </w:tabs>
        <w:rPr>
          <w:sz w:val="20"/>
        </w:rPr>
      </w:pPr>
      <w:r>
        <w:rPr>
          <w:b/>
          <w:i/>
          <w:sz w:val="20"/>
        </w:rPr>
        <w:t xml:space="preserve">Source: </w:t>
      </w:r>
      <w:r w:rsidRPr="00953A6F">
        <w:rPr>
          <w:i/>
          <w:sz w:val="20"/>
        </w:rPr>
        <w:t>US Environmental Protection Agency</w:t>
      </w:r>
      <w:r>
        <w:rPr>
          <w:b/>
          <w:i/>
          <w:sz w:val="20"/>
        </w:rPr>
        <w:t xml:space="preserve"> </w:t>
      </w:r>
      <w:r>
        <w:rPr>
          <w:sz w:val="20"/>
        </w:rPr>
        <w:t xml:space="preserve">website Oct 2016, see: </w:t>
      </w:r>
      <w:hyperlink r:id="rId132" w:history="1">
        <w:r w:rsidRPr="002F1CE3">
          <w:rPr>
            <w:rStyle w:val="Hyperlink"/>
            <w:rFonts w:ascii="Calibri" w:hAnsi="Calibri"/>
            <w:sz w:val="20"/>
          </w:rPr>
          <w:t>https://www.epa.gov/hwgenerators/hazardous-waste-generator-regulatory-summary</w:t>
        </w:r>
      </w:hyperlink>
      <w:r w:rsidR="0050481B">
        <w:t xml:space="preserve"> </w:t>
      </w:r>
    </w:p>
    <w:p w14:paraId="6E2A44D7" w14:textId="201FAC3F" w:rsidR="0050481B" w:rsidRDefault="00997B41" w:rsidP="00953A6F">
      <w:pPr>
        <w:pStyle w:val="RECnormaltext"/>
      </w:pPr>
      <w:r>
        <w:t>From the above table, t</w:t>
      </w:r>
      <w:r w:rsidR="0050481B">
        <w:t xml:space="preserve">he following US EPA requirements are particularly relevant to stockpile </w:t>
      </w:r>
      <w:r w:rsidR="0050481B" w:rsidRPr="00953A6F">
        <w:rPr>
          <w:b/>
        </w:rPr>
        <w:t>prevention</w:t>
      </w:r>
      <w:r w:rsidR="0050481B">
        <w:t>:</w:t>
      </w:r>
    </w:p>
    <w:p w14:paraId="6E2A44D8" w14:textId="77777777" w:rsidR="0050481B" w:rsidRDefault="0050481B" w:rsidP="00DC35CF">
      <w:pPr>
        <w:pStyle w:val="RECnormaltext"/>
        <w:numPr>
          <w:ilvl w:val="0"/>
          <w:numId w:val="14"/>
        </w:numPr>
        <w:ind w:left="360"/>
      </w:pPr>
      <w:r>
        <w:t>Waste minimisation plans are in place for large hazardous waste generators.</w:t>
      </w:r>
    </w:p>
    <w:p w14:paraId="6E2A44D9" w14:textId="1C540BF4" w:rsidR="003319C6" w:rsidRDefault="003319C6" w:rsidP="00DC35CF">
      <w:pPr>
        <w:pStyle w:val="RECnormaltext"/>
        <w:numPr>
          <w:ilvl w:val="0"/>
          <w:numId w:val="14"/>
        </w:numPr>
        <w:ind w:left="360"/>
      </w:pPr>
      <w:r>
        <w:t>R</w:t>
      </w:r>
      <w:r w:rsidR="0050481B">
        <w:t>estrict</w:t>
      </w:r>
      <w:r>
        <w:t xml:space="preserve">ions on </w:t>
      </w:r>
      <w:r w:rsidR="0050481B">
        <w:t>the accumulation of hazardous wastes onsite to &lt;90 days for large quantity generators and &lt;180 days for small quantity generators</w:t>
      </w:r>
      <w:r>
        <w:t xml:space="preserve"> (&lt;270 days for remote locations).</w:t>
      </w:r>
      <w:r w:rsidR="003D4F1A">
        <w:t xml:space="preserve"> Referred to as ‘move-on requirements’.</w:t>
      </w:r>
    </w:p>
    <w:p w14:paraId="6E2A44DA" w14:textId="77777777" w:rsidR="0050481B" w:rsidRDefault="00503D05" w:rsidP="00DC35CF">
      <w:pPr>
        <w:pStyle w:val="RECnormaltext"/>
        <w:numPr>
          <w:ilvl w:val="0"/>
          <w:numId w:val="14"/>
        </w:numPr>
        <w:ind w:left="360"/>
      </w:pPr>
      <w:r>
        <w:t>Restrictions on the amount of hazardous waste that is allowed to be accumulated on-site for</w:t>
      </w:r>
      <w:r w:rsidR="00A85F64">
        <w:t xml:space="preserve"> </w:t>
      </w:r>
      <w:r w:rsidR="00A85F64" w:rsidRPr="00A85F64">
        <w:t>Conditionally Exempt Small Quantity Generators</w:t>
      </w:r>
      <w:r w:rsidR="00A85F64">
        <w:t xml:space="preserve"> and </w:t>
      </w:r>
      <w:r w:rsidR="00A85F64" w:rsidRPr="00A85F64">
        <w:t>Small Quantity Generators</w:t>
      </w:r>
      <w:r w:rsidR="00A85F64">
        <w:t>.</w:t>
      </w:r>
      <w:r w:rsidR="0050481B">
        <w:t xml:space="preserve"> </w:t>
      </w:r>
    </w:p>
    <w:p w14:paraId="6E2A44E0" w14:textId="62C06C32" w:rsidR="00FE4FD3" w:rsidRDefault="0050481B" w:rsidP="009F3E1E">
      <w:pPr>
        <w:pStyle w:val="RECnormaltext"/>
      </w:pPr>
      <w:r>
        <w:t xml:space="preserve">The </w:t>
      </w:r>
      <w:r w:rsidR="00997B41">
        <w:t xml:space="preserve">US EPA </w:t>
      </w:r>
      <w:hyperlink r:id="rId133" w:history="1">
        <w:r w:rsidRPr="00997B41">
          <w:rPr>
            <w:rStyle w:val="Hyperlink"/>
          </w:rPr>
          <w:t>Land Disposal Restrictions (LDR)</w:t>
        </w:r>
      </w:hyperlink>
      <w:r>
        <w:t xml:space="preserve"> are</w:t>
      </w:r>
      <w:r w:rsidR="00982BFF">
        <w:t xml:space="preserve"> particularly relevant to stockpile </w:t>
      </w:r>
      <w:r w:rsidR="00982BFF" w:rsidRPr="00953A6F">
        <w:rPr>
          <w:b/>
        </w:rPr>
        <w:t>management</w:t>
      </w:r>
      <w:r w:rsidR="004D1378">
        <w:rPr>
          <w:b/>
        </w:rPr>
        <w:t xml:space="preserve"> and clean-up</w:t>
      </w:r>
      <w:r w:rsidR="00982BFF">
        <w:t xml:space="preserve">. </w:t>
      </w:r>
      <w:r w:rsidR="009F3E1E">
        <w:t xml:space="preserve">The LDR </w:t>
      </w:r>
      <w:r w:rsidR="0028061B">
        <w:t xml:space="preserve">regulations set out </w:t>
      </w:r>
      <w:r w:rsidR="009F3E1E">
        <w:t xml:space="preserve">three </w:t>
      </w:r>
      <w:r w:rsidR="00FE4FD3">
        <w:t xml:space="preserve">important </w:t>
      </w:r>
      <w:r w:rsidR="009F3E1E">
        <w:t>prohibitions</w:t>
      </w:r>
      <w:r w:rsidR="00FE4FD3">
        <w:t>:</w:t>
      </w:r>
    </w:p>
    <w:p w14:paraId="6E2A44E1" w14:textId="77777777" w:rsidR="004D1378" w:rsidRDefault="004D1378" w:rsidP="00DC35CF">
      <w:pPr>
        <w:pStyle w:val="RECnormaltext"/>
        <w:numPr>
          <w:ilvl w:val="0"/>
          <w:numId w:val="15"/>
        </w:numPr>
        <w:ind w:left="360"/>
      </w:pPr>
      <w:r>
        <w:t xml:space="preserve">The indefinite storage of hazardous wastes in lieu of treatment. </w:t>
      </w:r>
    </w:p>
    <w:p w14:paraId="6E2A44E2" w14:textId="77777777" w:rsidR="00FE4FD3" w:rsidRDefault="00FE4FD3" w:rsidP="00DC35CF">
      <w:pPr>
        <w:pStyle w:val="RECnormaltext"/>
        <w:numPr>
          <w:ilvl w:val="0"/>
          <w:numId w:val="15"/>
        </w:numPr>
        <w:ind w:left="360"/>
      </w:pPr>
      <w:r>
        <w:t xml:space="preserve">The land </w:t>
      </w:r>
      <w:r w:rsidR="009F3E1E">
        <w:t>disposal</w:t>
      </w:r>
      <w:r w:rsidR="0028061B">
        <w:rPr>
          <w:rStyle w:val="FootnoteReference"/>
        </w:rPr>
        <w:footnoteReference w:id="12"/>
      </w:r>
      <w:r w:rsidR="009F3E1E">
        <w:t xml:space="preserve"> of untreated hazardous waste.</w:t>
      </w:r>
    </w:p>
    <w:p w14:paraId="6E2A44E3" w14:textId="36CB8FC9" w:rsidR="00FE4FD3" w:rsidRDefault="00FE4FD3" w:rsidP="00DC35CF">
      <w:pPr>
        <w:pStyle w:val="RECnormaltext"/>
        <w:numPr>
          <w:ilvl w:val="0"/>
          <w:numId w:val="15"/>
        </w:numPr>
        <w:ind w:left="360"/>
      </w:pPr>
      <w:r>
        <w:t>The dilution of hazardous wastes instead of appropriate treatment.</w:t>
      </w:r>
    </w:p>
    <w:p w14:paraId="3A57E6C4" w14:textId="425BDFEB" w:rsidR="00997B41" w:rsidRDefault="00997B41">
      <w:pPr>
        <w:pStyle w:val="RECnormaltext"/>
      </w:pPr>
      <w:r>
        <w:t>Each of these prohibitions is discussed briefly below.</w:t>
      </w:r>
    </w:p>
    <w:p w14:paraId="6E2A44E4" w14:textId="77777777" w:rsidR="004D1378" w:rsidRDefault="004D1378" w:rsidP="00047982">
      <w:pPr>
        <w:pStyle w:val="NonTOCHeading3"/>
      </w:pPr>
      <w:r>
        <w:t>The storage prohibition</w:t>
      </w:r>
    </w:p>
    <w:p w14:paraId="6E2A44E5" w14:textId="5E7BC5B9" w:rsidR="004D1378" w:rsidRDefault="004D1378" w:rsidP="004D1378">
      <w:pPr>
        <w:pStyle w:val="RECnormaltext"/>
      </w:pPr>
      <w:r>
        <w:t>Under the regulations</w:t>
      </w:r>
      <w:r w:rsidR="00E14537">
        <w:t>,</w:t>
      </w:r>
      <w:r>
        <w:t xml:space="preserve"> temporar</w:t>
      </w:r>
      <w:r w:rsidR="00E14537">
        <w:t>y</w:t>
      </w:r>
      <w:r>
        <w:t xml:space="preserve"> storage of hazardous wastes is allowed. However, storage is only </w:t>
      </w:r>
      <w:r w:rsidR="00E14537">
        <w:t xml:space="preserve">permitted </w:t>
      </w:r>
      <w:r>
        <w:t>if it is to accumulate a sufficient volume of waste to facilitate proper treatment, recovery, or disposal of that waste. Importantly this prohibition requires the following:</w:t>
      </w:r>
    </w:p>
    <w:p w14:paraId="6E2A44E6" w14:textId="77777777" w:rsidR="004D1378" w:rsidRPr="007234D5" w:rsidRDefault="004D1378" w:rsidP="00DC35CF">
      <w:pPr>
        <w:pStyle w:val="RECnormaltext"/>
        <w:numPr>
          <w:ilvl w:val="0"/>
          <w:numId w:val="16"/>
        </w:numPr>
        <w:tabs>
          <w:tab w:val="left" w:pos="810"/>
        </w:tabs>
        <w:ind w:left="360"/>
      </w:pPr>
      <w:r w:rsidRPr="007234D5">
        <w:t xml:space="preserve">Hazardous waste storage </w:t>
      </w:r>
      <w:r w:rsidRPr="007234D5">
        <w:rPr>
          <w:b/>
        </w:rPr>
        <w:t>must be in either a tank, container, or containment building.</w:t>
      </w:r>
    </w:p>
    <w:p w14:paraId="6E2A44E7" w14:textId="77777777" w:rsidR="004D1378" w:rsidRPr="00267977" w:rsidRDefault="004D1378" w:rsidP="00DC35CF">
      <w:pPr>
        <w:pStyle w:val="RECnormaltext"/>
        <w:numPr>
          <w:ilvl w:val="0"/>
          <w:numId w:val="16"/>
        </w:numPr>
        <w:tabs>
          <w:tab w:val="left" w:pos="810"/>
        </w:tabs>
        <w:ind w:left="360"/>
      </w:pPr>
      <w:r w:rsidRPr="007234D5">
        <w:t xml:space="preserve">If the storage period </w:t>
      </w:r>
      <w:r w:rsidRPr="007234D5">
        <w:rPr>
          <w:b/>
        </w:rPr>
        <w:t>exceeds one year</w:t>
      </w:r>
      <w:r w:rsidRPr="007234D5">
        <w:t xml:space="preserve"> the ‘waste handler’</w:t>
      </w:r>
      <w:r w:rsidRPr="007234D5">
        <w:rPr>
          <w:rStyle w:val="FootnoteReference"/>
        </w:rPr>
        <w:footnoteReference w:id="13"/>
      </w:r>
      <w:r w:rsidRPr="007234D5">
        <w:t xml:space="preserve"> must be able to prove that the storage is necessary to facilitate proper recovery, treatment, or disposal.</w:t>
      </w:r>
      <w:r w:rsidRPr="00267977">
        <w:tab/>
      </w:r>
    </w:p>
    <w:p w14:paraId="6E2A44E8" w14:textId="77777777" w:rsidR="009F3E1E" w:rsidRDefault="009F3E1E" w:rsidP="00047982">
      <w:pPr>
        <w:pStyle w:val="NonTOCHeading3"/>
      </w:pPr>
      <w:r>
        <w:t xml:space="preserve">The </w:t>
      </w:r>
      <w:r w:rsidR="004D1378">
        <w:t xml:space="preserve">land </w:t>
      </w:r>
      <w:r w:rsidR="00A82FA4">
        <w:t>d</w:t>
      </w:r>
      <w:r>
        <w:t>isposal</w:t>
      </w:r>
      <w:r w:rsidR="00A82FA4">
        <w:t xml:space="preserve"> p</w:t>
      </w:r>
      <w:r>
        <w:t>rohibition</w:t>
      </w:r>
    </w:p>
    <w:p w14:paraId="6E2A44E9" w14:textId="6F3B0527" w:rsidR="009F3E1E" w:rsidRDefault="009F3E1E" w:rsidP="009F3E1E">
      <w:pPr>
        <w:pStyle w:val="RECnormaltext"/>
      </w:pPr>
      <w:r>
        <w:t>The disposal prohibition requires waste–specific treatment standards to be met before a waste can be land disposed.</w:t>
      </w:r>
    </w:p>
    <w:p w14:paraId="6E2A44EA" w14:textId="77777777" w:rsidR="009F3E1E" w:rsidRDefault="009F3E1E" w:rsidP="00047982">
      <w:pPr>
        <w:pStyle w:val="NonTOCHeading3"/>
      </w:pPr>
      <w:r>
        <w:t xml:space="preserve">The </w:t>
      </w:r>
      <w:r w:rsidR="00EC2E36">
        <w:t>d</w:t>
      </w:r>
      <w:r>
        <w:t xml:space="preserve">ilution </w:t>
      </w:r>
      <w:r w:rsidR="00EC2E36">
        <w:t>p</w:t>
      </w:r>
      <w:r>
        <w:t>rohibition</w:t>
      </w:r>
    </w:p>
    <w:p w14:paraId="6E2A44EB" w14:textId="77777777" w:rsidR="009F3E1E" w:rsidRDefault="009F3E1E">
      <w:pPr>
        <w:pStyle w:val="RECnormaltext"/>
      </w:pPr>
      <w:r>
        <w:t xml:space="preserve">The dilution prohibition states that a waste handler cannot dilute a hazardous waste as a substitute for adequate treatment. Dilution is not permitted when it is used to avoid meeting an applicable treatment standard. This is referred to an “impermissible dilution.” Wastes that are aggregated or mixed as part of a legitimate treatment process, and are subsequently diluted as a result are not considered to be impermissibly diluted under LDR. </w:t>
      </w:r>
    </w:p>
    <w:p w14:paraId="6E2A44EC" w14:textId="0B0392BC" w:rsidR="00A90869" w:rsidRDefault="00A90869" w:rsidP="00953A6F">
      <w:pPr>
        <w:pStyle w:val="RECnormaltext"/>
        <w:rPr>
          <w:rStyle w:val="Hyperlink"/>
          <w:sz w:val="20"/>
        </w:rPr>
      </w:pPr>
      <w:r w:rsidRPr="00953A6F">
        <w:rPr>
          <w:b/>
          <w:i/>
          <w:sz w:val="20"/>
        </w:rPr>
        <w:t>Source:</w:t>
      </w:r>
      <w:r w:rsidRPr="00953A6F">
        <w:rPr>
          <w:sz w:val="20"/>
        </w:rPr>
        <w:t xml:space="preserve"> US Environmental Protection Agency website Oct 2016, see: </w:t>
      </w:r>
      <w:hyperlink r:id="rId134" w:history="1">
        <w:r w:rsidRPr="002F1CE3">
          <w:rPr>
            <w:rStyle w:val="Hyperlink"/>
            <w:sz w:val="20"/>
          </w:rPr>
          <w:t>https://www.epa.gov/node/127431_</w:t>
        </w:r>
      </w:hyperlink>
    </w:p>
    <w:p w14:paraId="6428665E" w14:textId="613C5EA3" w:rsidR="0048342B" w:rsidRDefault="0048342B">
      <w:pPr>
        <w:pStyle w:val="Heading3"/>
      </w:pPr>
      <w:r>
        <w:t>US</w:t>
      </w:r>
      <w:r w:rsidR="00A85ECD">
        <w:t>A</w:t>
      </w:r>
      <w:r>
        <w:t xml:space="preserve"> Superfund</w:t>
      </w:r>
    </w:p>
    <w:p w14:paraId="0C1564C0" w14:textId="77155E4A" w:rsidR="0048342B" w:rsidRPr="0048342B" w:rsidRDefault="0048342B" w:rsidP="0048342B">
      <w:pPr>
        <w:spacing w:after="80"/>
        <w:rPr>
          <w:rFonts w:asciiTheme="minorHAnsi" w:hAnsiTheme="minorHAnsi" w:cs="Arial"/>
          <w:color w:val="auto"/>
          <w:szCs w:val="20"/>
        </w:rPr>
      </w:pPr>
      <w:r w:rsidRPr="0048342B">
        <w:rPr>
          <w:rFonts w:asciiTheme="minorHAnsi" w:hAnsiTheme="minorHAnsi" w:cs="Arial"/>
          <w:color w:val="auto"/>
          <w:szCs w:val="20"/>
        </w:rPr>
        <w:t xml:space="preserve">In 1980, the US Congress established the </w:t>
      </w:r>
      <w:r w:rsidRPr="0048342B">
        <w:rPr>
          <w:rFonts w:asciiTheme="minorHAnsi" w:hAnsiTheme="minorHAnsi" w:cs="Arial"/>
          <w:i/>
          <w:color w:val="auto"/>
          <w:szCs w:val="20"/>
        </w:rPr>
        <w:t>Comprehensive Environmental Response, Compensation, and Liability Act</w:t>
      </w:r>
      <w:r w:rsidRPr="0048342B">
        <w:rPr>
          <w:rFonts w:asciiTheme="minorHAnsi" w:hAnsiTheme="minorHAnsi" w:cs="Arial"/>
          <w:color w:val="auto"/>
          <w:szCs w:val="20"/>
        </w:rPr>
        <w:t xml:space="preserve"> (CERCLA). The CELCLA was established in response a number of significant human health and environmental impacts from the dumping of hazardous wastes. CERCLA is informally called </w:t>
      </w:r>
      <w:r w:rsidRPr="0048342B">
        <w:rPr>
          <w:rFonts w:asciiTheme="minorHAnsi" w:hAnsiTheme="minorHAnsi" w:cs="Arial"/>
          <w:b/>
          <w:i/>
          <w:color w:val="auto"/>
          <w:szCs w:val="20"/>
        </w:rPr>
        <w:t>Superfund</w:t>
      </w:r>
      <w:r w:rsidRPr="0048342B">
        <w:rPr>
          <w:rFonts w:asciiTheme="minorHAnsi" w:hAnsiTheme="minorHAnsi" w:cs="Arial"/>
          <w:color w:val="auto"/>
          <w:szCs w:val="20"/>
        </w:rPr>
        <w:t xml:space="preserve">. The Superfund program is administered by US EPA in cooperation with each state government.  The fund to designed to enable the clean up hazardous waste sites by either forcing </w:t>
      </w:r>
      <w:r w:rsidR="00E14537">
        <w:rPr>
          <w:rFonts w:asciiTheme="minorHAnsi" w:hAnsiTheme="minorHAnsi" w:cs="Arial"/>
          <w:color w:val="auto"/>
          <w:szCs w:val="20"/>
        </w:rPr>
        <w:t xml:space="preserve">a </w:t>
      </w:r>
      <w:r w:rsidRPr="0048342B">
        <w:rPr>
          <w:rFonts w:asciiTheme="minorHAnsi" w:hAnsiTheme="minorHAnsi" w:cs="Arial"/>
          <w:color w:val="auto"/>
          <w:szCs w:val="20"/>
        </w:rPr>
        <w:t xml:space="preserve">potentially responsible party (PRP) to perform </w:t>
      </w:r>
      <w:r w:rsidR="0001208B" w:rsidRPr="0048342B">
        <w:rPr>
          <w:rFonts w:asciiTheme="minorHAnsi" w:hAnsiTheme="minorHAnsi" w:cs="Arial"/>
          <w:color w:val="auto"/>
          <w:szCs w:val="20"/>
        </w:rPr>
        <w:t>clean-ups</w:t>
      </w:r>
      <w:r w:rsidRPr="0048342B">
        <w:rPr>
          <w:rFonts w:asciiTheme="minorHAnsi" w:hAnsiTheme="minorHAnsi" w:cs="Arial"/>
          <w:color w:val="auto"/>
          <w:szCs w:val="20"/>
        </w:rPr>
        <w:t xml:space="preserve"> or reimburse the government for </w:t>
      </w:r>
      <w:r w:rsidR="0001208B" w:rsidRPr="0048342B">
        <w:rPr>
          <w:rFonts w:asciiTheme="minorHAnsi" w:hAnsiTheme="minorHAnsi" w:cs="Arial"/>
          <w:color w:val="auto"/>
          <w:szCs w:val="20"/>
        </w:rPr>
        <w:t>clean-ups</w:t>
      </w:r>
      <w:r w:rsidRPr="0048342B">
        <w:rPr>
          <w:rFonts w:asciiTheme="minorHAnsi" w:hAnsiTheme="minorHAnsi" w:cs="Arial"/>
          <w:color w:val="auto"/>
          <w:szCs w:val="20"/>
        </w:rPr>
        <w:t xml:space="preserve"> led by US EPA.</w:t>
      </w:r>
    </w:p>
    <w:p w14:paraId="2BC6CDFA" w14:textId="72BA003F" w:rsidR="0048342B" w:rsidRPr="0048342B" w:rsidRDefault="0048342B" w:rsidP="0048342B">
      <w:pPr>
        <w:spacing w:after="80"/>
        <w:rPr>
          <w:rFonts w:asciiTheme="minorHAnsi" w:hAnsiTheme="minorHAnsi" w:cs="Arial"/>
          <w:color w:val="auto"/>
          <w:szCs w:val="20"/>
        </w:rPr>
      </w:pPr>
      <w:r w:rsidRPr="0048342B">
        <w:rPr>
          <w:rFonts w:asciiTheme="minorHAnsi" w:hAnsiTheme="minorHAnsi" w:cs="Arial"/>
          <w:color w:val="auto"/>
          <w:szCs w:val="20"/>
        </w:rPr>
        <w:t xml:space="preserve">An important part of the Superfund is </w:t>
      </w:r>
      <w:r w:rsidRPr="0048342B">
        <w:rPr>
          <w:rFonts w:asciiTheme="minorHAnsi" w:hAnsiTheme="minorHAnsi" w:cs="Arial"/>
          <w:b/>
          <w:color w:val="auto"/>
          <w:szCs w:val="20"/>
        </w:rPr>
        <w:t>special accounts</w:t>
      </w:r>
      <w:r w:rsidRPr="0048342B">
        <w:rPr>
          <w:rFonts w:asciiTheme="minorHAnsi" w:hAnsiTheme="minorHAnsi" w:cs="Arial"/>
          <w:color w:val="auto"/>
          <w:szCs w:val="20"/>
        </w:rPr>
        <w:t xml:space="preserve">. EPA establishes special accounts to provide ready access to PRP </w:t>
      </w:r>
      <w:r w:rsidR="0001208B" w:rsidRPr="0048342B">
        <w:rPr>
          <w:rFonts w:asciiTheme="minorHAnsi" w:hAnsiTheme="minorHAnsi" w:cs="Arial"/>
          <w:color w:val="auto"/>
          <w:szCs w:val="20"/>
        </w:rPr>
        <w:t>clean-up</w:t>
      </w:r>
      <w:r w:rsidRPr="0048342B">
        <w:rPr>
          <w:rFonts w:asciiTheme="minorHAnsi" w:hAnsiTheme="minorHAnsi" w:cs="Arial"/>
          <w:color w:val="auto"/>
          <w:szCs w:val="20"/>
        </w:rPr>
        <w:t xml:space="preserve"> funds for sites where future response work remains. The use of funds secured in special accounts preserves the funding held in the Superfund Trust Fund for </w:t>
      </w:r>
      <w:r w:rsidR="0001208B" w:rsidRPr="0048342B">
        <w:rPr>
          <w:rFonts w:asciiTheme="minorHAnsi" w:hAnsiTheme="minorHAnsi" w:cs="Arial"/>
          <w:color w:val="auto"/>
          <w:szCs w:val="20"/>
        </w:rPr>
        <w:t>clean-up</w:t>
      </w:r>
      <w:r w:rsidRPr="0048342B">
        <w:rPr>
          <w:rFonts w:asciiTheme="minorHAnsi" w:hAnsiTheme="minorHAnsi" w:cs="Arial"/>
          <w:color w:val="auto"/>
          <w:szCs w:val="20"/>
        </w:rPr>
        <w:t xml:space="preserve"> of sites without viable PRPs.</w:t>
      </w:r>
    </w:p>
    <w:p w14:paraId="04D8BA74" w14:textId="1D11BA9C" w:rsidR="0048342B" w:rsidRPr="0048342B" w:rsidRDefault="0048342B" w:rsidP="0048342B">
      <w:pPr>
        <w:spacing w:after="80"/>
        <w:rPr>
          <w:rFonts w:asciiTheme="minorHAnsi" w:hAnsiTheme="minorHAnsi" w:cs="Arial"/>
          <w:color w:val="auto"/>
          <w:szCs w:val="20"/>
        </w:rPr>
      </w:pPr>
      <w:r w:rsidRPr="0048342B">
        <w:rPr>
          <w:rFonts w:asciiTheme="minorHAnsi" w:hAnsiTheme="minorHAnsi" w:cs="Arial"/>
          <w:color w:val="auto"/>
          <w:szCs w:val="20"/>
        </w:rPr>
        <w:t xml:space="preserve">Special accounts are funded entirely with money received from PRPs, and not with funds provided by the US Government through the Superfund Trust Fund. US EPA retains money received through settlements with PRPs in special accounts to conduct planned future </w:t>
      </w:r>
      <w:r w:rsidR="0001208B" w:rsidRPr="0048342B">
        <w:rPr>
          <w:rFonts w:asciiTheme="minorHAnsi" w:hAnsiTheme="minorHAnsi" w:cs="Arial"/>
          <w:color w:val="auto"/>
          <w:szCs w:val="20"/>
        </w:rPr>
        <w:t>clean-up</w:t>
      </w:r>
      <w:r w:rsidRPr="0048342B">
        <w:rPr>
          <w:rFonts w:asciiTheme="minorHAnsi" w:hAnsiTheme="minorHAnsi" w:cs="Arial"/>
          <w:color w:val="auto"/>
          <w:szCs w:val="20"/>
        </w:rPr>
        <w:t xml:space="preserve"> work at the site based on the terms of the settlement agreement.</w:t>
      </w:r>
    </w:p>
    <w:p w14:paraId="0975A453" w14:textId="3675E2D9" w:rsidR="0048342B" w:rsidRPr="0048342B" w:rsidRDefault="0048342B" w:rsidP="0048342B">
      <w:pPr>
        <w:spacing w:after="80"/>
        <w:rPr>
          <w:rFonts w:asciiTheme="minorHAnsi" w:hAnsiTheme="minorHAnsi" w:cs="Arial"/>
          <w:color w:val="auto"/>
          <w:szCs w:val="20"/>
        </w:rPr>
      </w:pPr>
      <w:r w:rsidRPr="0048342B">
        <w:rPr>
          <w:rFonts w:asciiTheme="minorHAnsi" w:hAnsiTheme="minorHAnsi" w:cs="Arial"/>
          <w:color w:val="auto"/>
          <w:szCs w:val="20"/>
        </w:rPr>
        <w:t xml:space="preserve">“More than $4 billion have been deposited in special accounts through PRP settlements. Over $2 billion of those settlement dollars have been spent on Superfund site </w:t>
      </w:r>
      <w:r w:rsidR="0001208B" w:rsidRPr="0048342B">
        <w:rPr>
          <w:rFonts w:asciiTheme="minorHAnsi" w:hAnsiTheme="minorHAnsi" w:cs="Arial"/>
          <w:color w:val="auto"/>
          <w:szCs w:val="20"/>
        </w:rPr>
        <w:t>clean-ups</w:t>
      </w:r>
      <w:r w:rsidRPr="0048342B">
        <w:rPr>
          <w:rFonts w:asciiTheme="minorHAnsi" w:hAnsiTheme="minorHAnsi" w:cs="Arial"/>
          <w:color w:val="auto"/>
          <w:szCs w:val="20"/>
        </w:rPr>
        <w:t xml:space="preserve"> and the balance is planned to be used for ongoing or future Superfund </w:t>
      </w:r>
      <w:r w:rsidR="0001208B" w:rsidRPr="0048342B">
        <w:rPr>
          <w:rFonts w:asciiTheme="minorHAnsi" w:hAnsiTheme="minorHAnsi" w:cs="Arial"/>
          <w:color w:val="auto"/>
          <w:szCs w:val="20"/>
        </w:rPr>
        <w:t>clean-up</w:t>
      </w:r>
      <w:r w:rsidRPr="0048342B">
        <w:rPr>
          <w:rFonts w:asciiTheme="minorHAnsi" w:hAnsiTheme="minorHAnsi" w:cs="Arial"/>
          <w:color w:val="auto"/>
          <w:szCs w:val="20"/>
        </w:rPr>
        <w:t xml:space="preserve"> work.”</w:t>
      </w:r>
    </w:p>
    <w:p w14:paraId="012DAFC4" w14:textId="77777777" w:rsidR="0048342B" w:rsidRPr="0048342B" w:rsidRDefault="0048342B" w:rsidP="0048342B">
      <w:pPr>
        <w:spacing w:after="80"/>
        <w:rPr>
          <w:rFonts w:asciiTheme="minorHAnsi" w:hAnsiTheme="minorHAnsi" w:cs="Arial"/>
          <w:color w:val="auto"/>
          <w:szCs w:val="20"/>
        </w:rPr>
      </w:pPr>
      <w:r w:rsidRPr="0048342B">
        <w:rPr>
          <w:rFonts w:asciiTheme="minorHAnsi" w:hAnsiTheme="minorHAnsi" w:cs="Arial"/>
          <w:color w:val="auto"/>
          <w:szCs w:val="20"/>
        </w:rPr>
        <w:t>The US EPA reports the following status of special accounts for the fiscal year (FY) 2015 is as follows:</w:t>
      </w:r>
    </w:p>
    <w:p w14:paraId="50BC9ABD" w14:textId="7777777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“created approximately 49 special accounts,</w:t>
      </w:r>
    </w:p>
    <w:p w14:paraId="6E8928C3" w14:textId="7777777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deposited about $1.778 billion into special accounts,</w:t>
      </w:r>
    </w:p>
    <w:p w14:paraId="1EEDBFEC" w14:textId="7777777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earned over $16.8 million in interest on its special accounts,</w:t>
      </w:r>
    </w:p>
    <w:p w14:paraId="21E8769C" w14:textId="7777777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for a total of $1.795 billion,</w:t>
      </w:r>
    </w:p>
    <w:p w14:paraId="6E1B0926" w14:textId="7777777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disbursed or obligated more than $259 million for response work,</w:t>
      </w:r>
    </w:p>
    <w:p w14:paraId="1E3AE5C7" w14:textId="2B2CCD8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 xml:space="preserve">reimbursed itself for over $36 million worth of past </w:t>
      </w:r>
      <w:r w:rsidR="0001208B" w:rsidRPr="0048342B">
        <w:rPr>
          <w:rFonts w:asciiTheme="minorHAnsi" w:hAnsiTheme="minorHAnsi" w:cs="Arial"/>
          <w:color w:val="auto"/>
          <w:szCs w:val="20"/>
        </w:rPr>
        <w:t>clean-up</w:t>
      </w:r>
      <w:r w:rsidRPr="0048342B">
        <w:rPr>
          <w:rFonts w:asciiTheme="minorHAnsi" w:hAnsiTheme="minorHAnsi" w:cs="Arial"/>
          <w:color w:val="auto"/>
          <w:szCs w:val="20"/>
        </w:rPr>
        <w:t xml:space="preserve"> related costs at sites,</w:t>
      </w:r>
    </w:p>
    <w:p w14:paraId="548DB738" w14:textId="7777777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closed 29 special accounts, and</w:t>
      </w:r>
    </w:p>
    <w:p w14:paraId="5BBAB476" w14:textId="77777777" w:rsidR="0048342B" w:rsidRPr="0048342B" w:rsidRDefault="0048342B" w:rsidP="0048342B">
      <w:pPr>
        <w:numPr>
          <w:ilvl w:val="0"/>
          <w:numId w:val="8"/>
        </w:numPr>
        <w:spacing w:before="80" w:after="80"/>
        <w:rPr>
          <w:rFonts w:asciiTheme="minorHAnsi" w:hAnsiTheme="minorHAnsi" w:cs="Arial"/>
          <w:color w:val="auto"/>
          <w:szCs w:val="20"/>
        </w:rPr>
      </w:pPr>
      <w:r w:rsidRPr="0048342B">
        <w:rPr>
          <w:rFonts w:asciiTheme="minorHAnsi" w:hAnsiTheme="minorHAnsi" w:cs="Arial"/>
          <w:color w:val="auto"/>
          <w:szCs w:val="20"/>
        </w:rPr>
        <w:t>transferred $974,098 of special account receipts to the Superfund Trust Fund”.</w:t>
      </w:r>
    </w:p>
    <w:p w14:paraId="24A9F9E5" w14:textId="2320DE3C" w:rsidR="0048342B" w:rsidRPr="0048342B" w:rsidRDefault="0048342B" w:rsidP="0048342B">
      <w:pPr>
        <w:spacing w:after="80"/>
        <w:rPr>
          <w:rFonts w:asciiTheme="minorHAnsi" w:hAnsiTheme="minorHAnsi" w:cs="Arial"/>
          <w:color w:val="auto"/>
          <w:szCs w:val="20"/>
        </w:rPr>
      </w:pPr>
      <w:r w:rsidRPr="0048342B">
        <w:rPr>
          <w:rFonts w:asciiTheme="minorHAnsi" w:hAnsiTheme="minorHAnsi" w:cs="Arial"/>
          <w:color w:val="auto"/>
          <w:szCs w:val="20"/>
        </w:rPr>
        <w:t xml:space="preserve">Source: US EPA website 2016, see </w:t>
      </w:r>
      <w:hyperlink r:id="rId135" w:anchor="status" w:history="1">
        <w:r w:rsidRPr="0048342B">
          <w:rPr>
            <w:rFonts w:asciiTheme="minorHAnsi" w:hAnsiTheme="minorHAnsi" w:cs="Arial"/>
            <w:color w:val="0000FF" w:themeColor="hyperlink"/>
            <w:szCs w:val="20"/>
            <w:u w:val="single"/>
          </w:rPr>
          <w:t>https://www.epa.gov/enforcement/superfund-special-accounts#status</w:t>
        </w:r>
      </w:hyperlink>
    </w:p>
    <w:p w14:paraId="34D9016C" w14:textId="01A77E58" w:rsidR="00D36103" w:rsidRDefault="00D36103" w:rsidP="00953A6F">
      <w:pPr>
        <w:pStyle w:val="RECnormaltext"/>
      </w:pPr>
      <w:r>
        <w:rPr>
          <w:noProof/>
          <w:lang w:eastAsia="en-AU"/>
        </w:rPr>
        <mc:AlternateContent>
          <mc:Choice Requires="wps">
            <w:drawing>
              <wp:inline distT="0" distB="0" distL="0" distR="0" wp14:anchorId="48135EDC" wp14:editId="50F26BFF">
                <wp:extent cx="5814060" cy="1697990"/>
                <wp:effectExtent l="57150" t="38100" r="53340" b="73660"/>
                <wp:docPr id="19" name="Rectangle: Rounded Corners 19"/>
                <wp:cNvGraphicFramePr/>
                <a:graphic xmlns:a="http://schemas.openxmlformats.org/drawingml/2006/main">
                  <a:graphicData uri="http://schemas.microsoft.com/office/word/2010/wordprocessingShape">
                    <wps:wsp>
                      <wps:cNvSpPr/>
                      <wps:spPr>
                        <a:xfrm>
                          <a:off x="0" y="0"/>
                          <a:ext cx="5814060" cy="169799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2CB500DC" w14:textId="06904469" w:rsidR="00067AC0" w:rsidRPr="00267977" w:rsidRDefault="00067AC0" w:rsidP="00267977">
                            <w:pPr>
                              <w:pStyle w:val="RECnormaltext"/>
                              <w:rPr>
                                <w:b/>
                                <w:color w:val="FFFFFF" w:themeColor="background1"/>
                              </w:rPr>
                            </w:pPr>
                            <w:r w:rsidRPr="00267977">
                              <w:rPr>
                                <w:b/>
                                <w:color w:val="FFFFFF" w:themeColor="background1"/>
                              </w:rPr>
                              <w:t>USA regulatory framework summary</w:t>
                            </w:r>
                          </w:p>
                          <w:p w14:paraId="7DA73D95" w14:textId="7ABA36B7" w:rsidR="00067AC0" w:rsidRPr="001E0D50" w:rsidRDefault="00067AC0" w:rsidP="00267977">
                            <w:pPr>
                              <w:pStyle w:val="RECnormaltext"/>
                              <w:rPr>
                                <w:color w:val="FFFFFF" w:themeColor="background1"/>
                              </w:rPr>
                            </w:pPr>
                            <w:r w:rsidRPr="00D36103">
                              <w:t xml:space="preserve"> </w:t>
                            </w:r>
                            <w:r w:rsidRPr="00D36103">
                              <w:rPr>
                                <w:color w:val="FFFFFF" w:themeColor="background1"/>
                              </w:rPr>
                              <w:t>Through the RCRA legislation the US EPA has set up a comprehensive set of requirements that prevent stockpile generation through waste minimisation and tonnage and time restrictions for waste accumulation on-site. The legislation also drives hazardous waste stockpile management and clean-up by requiring that stockpiles not be stored for more than 12 months, and that any disposal to land can only occur post treatment (to a defined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8135EDC" id="Rectangle: Rounded Corners 19" o:spid="_x0000_s1037" style="width:457.8pt;height:133.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QipwIAALwFAAAOAAAAZHJzL2Uyb0RvYy54bWysVFtr2zAUfh/sPwi9r45DeomJU0JKx6Br&#10;S9vRZ0WWEjNJR5OU2Nmv35HsuG22URjLg6Nz/c59dtlqRXbC+RpMSfOTESXCcKhqsy7pt6frTxeU&#10;+MBMxRQYUdK98PRy/vHDrLGFGMMGVCUcQSfGF40t6SYEW2SZ5xuhmT8BKwwKJTjNApJunVWONehd&#10;q2w8Gp1lDbjKOuDCe+RedUI6T/6lFDzcSelFIKqkGFtIX5e+q/jN5jNWrB2zm5r3YbB/iEKz2iDo&#10;4OqKBUa2rv7Nla65Aw8ynHDQGUhZc5FywGzy0VE2jxtmRcoFi+PtUCb//9zy2929I3WFvZtSYpjG&#10;Hj1g1ZhZK1GQB9iaSlRkCc5gkwkqYcUa6ws0fLT3rqc8PmP6rXQ6/mNipE1V3g9VFm0gHJmnF/lk&#10;dIbN4CjLz6bn02nqQ/Zibp0PnwVoEh8ldTGKGFUqMdvd+IC4qH/Qi5AeVF1d10olIs6PWCpHdgw7&#10;H9o8maqt/gpVxzsd4a/rP7JxSo7Y6D5NYfSSwN4AKBNhDETALpbIyWJlulqkV9grEfWUeRASq4zZ&#10;d4EMnjvQ6nseI0HIpBlNJDoejMYp+r8a9brRTKSZHwzfQRu0EyKYMBjq2oB7B7XTP2Td5RrTDu2q&#10;7UYqZRVZK6j2OGcOugX0ll/X2Nob5sM9c7hxOA54RcIdfqSCpqTQvyjZgPv5J37Ux0VAKSUNbnBJ&#10;/Y8tc4IS9cXgikzzySSufCImp+djJNxryeq1xGz1EnBUcrxXlqdn1A/q8JQO9DMem0VERREzHLFL&#10;yoM7EMvQXRY8V1wsFkkN19yycGMeLT80P07tU/vMnO3nO+Bq3MJh21lxNOGdbmyRgcU2gKzT+L/U&#10;tW8Bnog0Q/05izfoNZ20Xo7u/BcAAAD//wMAUEsDBBQABgAIAAAAIQCm8+te3wAAAAUBAAAPAAAA&#10;ZHJzL2Rvd25yZXYueG1sTI9BS8NAEIXvQv/DMoI3u0nRVGM2xdYIKoViqwdv0+yYhGZnQ3abxn/v&#10;6kUvA4/3eO+bbDGaVgzUu8aygngagSAurW64UvC2e7y8AeE8ssbWMin4IgeLfHKWYartiV9p2PpK&#10;hBJ2KSqove9SKV1Zk0E3tR1x8D5tb9AH2VdS93gK5aaVsyhKpMGGw0KNHa1qKg/bo1Hw5F6WuyJe&#10;2Y+Hods8v6+LzRILpS7Ox/s7EJ5G/xeGH/yADnlg2tsjaydaBeER/3uDdxtfJyD2CmbJ/Apknsn/&#10;9Pk3AAAA//8DAFBLAQItABQABgAIAAAAIQC2gziS/gAAAOEBAAATAAAAAAAAAAAAAAAAAAAAAABb&#10;Q29udGVudF9UeXBlc10ueG1sUEsBAi0AFAAGAAgAAAAhADj9If/WAAAAlAEAAAsAAAAAAAAAAAAA&#10;AAAALwEAAF9yZWxzLy5yZWxzUEsBAi0AFAAGAAgAAAAhAB6YBCKnAgAAvAUAAA4AAAAAAAAAAAAA&#10;AAAALgIAAGRycy9lMm9Eb2MueG1sUEsBAi0AFAAGAAgAAAAhAKbz617fAAAABQEAAA8AAAAAAAAA&#10;AAAAAAAAAQUAAGRycy9kb3ducmV2LnhtbFBLBQYAAAAABAAEAPMAAAANBgAAAAA=&#10;" fillcolor="gray [1629]" stroked="f">
                <v:shadow on="t" color="black" opacity="24903f" origin=",.5" offset="0,.55556mm"/>
                <v:textbox>
                  <w:txbxContent>
                    <w:p w14:paraId="2CB500DC" w14:textId="06904469" w:rsidR="00067AC0" w:rsidRPr="00267977" w:rsidRDefault="00067AC0" w:rsidP="00267977">
                      <w:pPr>
                        <w:pStyle w:val="RECnormaltext"/>
                        <w:rPr>
                          <w:b/>
                          <w:color w:val="FFFFFF" w:themeColor="background1"/>
                        </w:rPr>
                      </w:pPr>
                      <w:r w:rsidRPr="00267977">
                        <w:rPr>
                          <w:b/>
                          <w:color w:val="FFFFFF" w:themeColor="background1"/>
                        </w:rPr>
                        <w:t>USA regulatory framework summary</w:t>
                      </w:r>
                    </w:p>
                    <w:p w14:paraId="7DA73D95" w14:textId="7ABA36B7" w:rsidR="00067AC0" w:rsidRPr="001E0D50" w:rsidRDefault="00067AC0" w:rsidP="00267977">
                      <w:pPr>
                        <w:pStyle w:val="RECnormaltext"/>
                        <w:rPr>
                          <w:color w:val="FFFFFF" w:themeColor="background1"/>
                        </w:rPr>
                      </w:pPr>
                      <w:r w:rsidRPr="00D36103">
                        <w:t xml:space="preserve"> </w:t>
                      </w:r>
                      <w:r w:rsidRPr="00D36103">
                        <w:rPr>
                          <w:color w:val="FFFFFF" w:themeColor="background1"/>
                        </w:rPr>
                        <w:t>Through the RCRA legislation the US EPA has set up a comprehensive set of requirements that prevent stockpile generation through waste minimisation and tonnage and time restrictions for waste accumulation on-site. The legislation also drives hazardous waste stockpile management and clean-up by requiring that stockpiles not be stored for more than 12 months, and that any disposal to land can only occur post treatment (to a defined standard).</w:t>
                      </w:r>
                    </w:p>
                  </w:txbxContent>
                </v:textbox>
                <w10:anchorlock/>
              </v:roundrect>
            </w:pict>
          </mc:Fallback>
        </mc:AlternateContent>
      </w:r>
    </w:p>
    <w:p w14:paraId="6E2A44F2" w14:textId="2F0D48F2" w:rsidR="00C4698E" w:rsidRDefault="004D1378">
      <w:pPr>
        <w:pStyle w:val="Heading2"/>
      </w:pPr>
      <w:bookmarkStart w:id="178" w:name="_Toc486940314"/>
      <w:bookmarkStart w:id="179" w:name="_Toc472435328"/>
      <w:bookmarkStart w:id="180" w:name="_Toc472435329"/>
      <w:bookmarkStart w:id="181" w:name="_Toc472435330"/>
      <w:bookmarkStart w:id="182" w:name="_Toc532990253"/>
      <w:bookmarkEnd w:id="178"/>
      <w:bookmarkEnd w:id="179"/>
      <w:bookmarkEnd w:id="180"/>
      <w:bookmarkEnd w:id="181"/>
      <w:r>
        <w:t xml:space="preserve">European </w:t>
      </w:r>
      <w:r w:rsidR="00C01C02">
        <w:t>Union</w:t>
      </w:r>
      <w:r w:rsidR="00566529">
        <w:t xml:space="preserve"> (United Kingdom)</w:t>
      </w:r>
      <w:bookmarkEnd w:id="182"/>
    </w:p>
    <w:p w14:paraId="04EF9E94" w14:textId="447194E4" w:rsidR="00CC310C" w:rsidRDefault="00455185" w:rsidP="00953A6F">
      <w:pPr>
        <w:pStyle w:val="RECnormaltext"/>
      </w:pPr>
      <w:r>
        <w:t xml:space="preserve">Our review of EU policy frameworks did not identify any specific approaches to waste stockpiles prevention, management and clearance. </w:t>
      </w:r>
    </w:p>
    <w:p w14:paraId="7399866A" w14:textId="3EFA7685" w:rsidR="00455185" w:rsidRDefault="00455185" w:rsidP="00455185">
      <w:pPr>
        <w:pStyle w:val="RECnormaltext"/>
      </w:pPr>
      <w:r>
        <w:t xml:space="preserve">The EU’s </w:t>
      </w:r>
      <w:r w:rsidRPr="00455185">
        <w:t>European Environment Agency</w:t>
      </w:r>
      <w:r>
        <w:t xml:space="preserve"> </w:t>
      </w:r>
      <w:hyperlink r:id="rId136" w:history="1">
        <w:r w:rsidRPr="00953A6F">
          <w:rPr>
            <w:rStyle w:val="Hyperlink"/>
          </w:rPr>
          <w:t>Prevention of hazardous waste in Europe — the status in 2015</w:t>
        </w:r>
      </w:hyperlink>
      <w:r>
        <w:t xml:space="preserve"> provides a detailed account </w:t>
      </w:r>
      <w:r w:rsidR="00EE0101">
        <w:t xml:space="preserve">of all waste prevention programs in the EU, including for hazardous wastes. </w:t>
      </w:r>
      <w:r w:rsidR="00EE0101">
        <w:rPr>
          <w:rStyle w:val="FootnoteReference"/>
        </w:rPr>
        <w:footnoteReference w:id="14"/>
      </w:r>
      <w:r w:rsidR="00EE0101">
        <w:t xml:space="preserve"> However, this reporting refers to waste prevention policies more broadly and addresses issues such as cleaner production for industry and community education campaigns to reduced waste </w:t>
      </w:r>
      <w:r w:rsidR="00EE0101" w:rsidRPr="00953A6F">
        <w:rPr>
          <w:u w:val="single"/>
        </w:rPr>
        <w:t>generation</w:t>
      </w:r>
      <w:r w:rsidR="00EE0101">
        <w:t>, rather than the management of wastes and waste stockpiles.</w:t>
      </w:r>
    </w:p>
    <w:p w14:paraId="0BA2EBC3" w14:textId="77777777" w:rsidR="00EE0101" w:rsidRDefault="00EE0101" w:rsidP="00953A6F">
      <w:pPr>
        <w:pStyle w:val="RECnormaltext"/>
      </w:pPr>
      <w:r>
        <w:t>The United Kingdom, for example, does provide more specific direction regarding hazardous waste stockpiles and their approach is discussed below.</w:t>
      </w:r>
    </w:p>
    <w:p w14:paraId="576FB67B" w14:textId="2906B061" w:rsidR="00EE0101" w:rsidRDefault="00EE0101">
      <w:pPr>
        <w:pStyle w:val="Heading3"/>
      </w:pPr>
      <w:r>
        <w:t>United Kingdom</w:t>
      </w:r>
    </w:p>
    <w:p w14:paraId="00A94DE9" w14:textId="29A1942D" w:rsidR="00EE0101" w:rsidRDefault="00B065BC" w:rsidP="00953A6F">
      <w:pPr>
        <w:pStyle w:val="RECnormaltext"/>
      </w:pPr>
      <w:r>
        <w:t xml:space="preserve">The </w:t>
      </w:r>
      <w:hyperlink r:id="rId137" w:history="1">
        <w:r w:rsidRPr="00B065BC">
          <w:rPr>
            <w:rStyle w:val="Hyperlink"/>
          </w:rPr>
          <w:t>Gov UK website</w:t>
        </w:r>
      </w:hyperlink>
      <w:r>
        <w:t xml:space="preserve"> provides direction for producers and holders of hazardous wastes in the England. </w:t>
      </w:r>
    </w:p>
    <w:p w14:paraId="502B0842" w14:textId="57CB2D8A" w:rsidR="002A13A3" w:rsidRDefault="00B065BC" w:rsidP="002A13A3">
      <w:pPr>
        <w:pStyle w:val="RECnormaltext"/>
      </w:pPr>
      <w:r>
        <w:t xml:space="preserve">The requirements apply any </w:t>
      </w:r>
      <w:r w:rsidR="002A13A3">
        <w:t>business</w:t>
      </w:r>
      <w:r>
        <w:t>es in England that</w:t>
      </w:r>
      <w:r w:rsidR="002A13A3">
        <w:t>:</w:t>
      </w:r>
    </w:p>
    <w:p w14:paraId="04F10947" w14:textId="77777777" w:rsidR="002A13A3" w:rsidRDefault="002A13A3" w:rsidP="00953A6F">
      <w:pPr>
        <w:pStyle w:val="RECdotpoint"/>
      </w:pPr>
      <w:r>
        <w:t>produces hazardous waste</w:t>
      </w:r>
    </w:p>
    <w:p w14:paraId="2DFD9C58" w14:textId="77777777" w:rsidR="002A13A3" w:rsidRDefault="002A13A3" w:rsidP="00953A6F">
      <w:pPr>
        <w:pStyle w:val="RECdotpoint"/>
      </w:pPr>
      <w:r>
        <w:t>holds or stores hazardous waste</w:t>
      </w:r>
    </w:p>
    <w:p w14:paraId="7563B49B" w14:textId="0C9C7E7E" w:rsidR="002A13A3" w:rsidRDefault="002A13A3" w:rsidP="00953A6F">
      <w:pPr>
        <w:pStyle w:val="RECdotpoint"/>
      </w:pPr>
      <w:r>
        <w:t>has hazardous waste removed from its premises</w:t>
      </w:r>
      <w:r w:rsidR="009763F4">
        <w:t>.</w:t>
      </w:r>
    </w:p>
    <w:p w14:paraId="1ABAA988" w14:textId="2A2DF12D" w:rsidR="00B065BC" w:rsidRDefault="00B065BC" w:rsidP="002A13A3">
      <w:pPr>
        <w:pStyle w:val="RECnormaltext"/>
      </w:pPr>
      <w:r>
        <w:t>There are five steps required</w:t>
      </w:r>
      <w:r w:rsidR="009763F4">
        <w:t xml:space="preserve"> as follows</w:t>
      </w:r>
      <w:r>
        <w:t>:</w:t>
      </w:r>
    </w:p>
    <w:p w14:paraId="0D1499F2" w14:textId="4EF43426" w:rsidR="002A13A3" w:rsidRDefault="002A13A3" w:rsidP="00326262">
      <w:pPr>
        <w:pStyle w:val="RECnumberlist"/>
      </w:pPr>
      <w:r>
        <w:t xml:space="preserve">Classify </w:t>
      </w:r>
      <w:r w:rsidR="00B065BC">
        <w:t xml:space="preserve">the </w:t>
      </w:r>
      <w:r>
        <w:t>waste to check if it’s hazardous.</w:t>
      </w:r>
      <w:r w:rsidR="00F601E9" w:rsidRPr="00F601E9">
        <w:t xml:space="preserve"> Gov</w:t>
      </w:r>
      <w:r w:rsidR="002E6A86">
        <w:t xml:space="preserve"> </w:t>
      </w:r>
      <w:r w:rsidR="00394F7C">
        <w:t xml:space="preserve">UK </w:t>
      </w:r>
      <w:r w:rsidR="00F601E9" w:rsidRPr="00F601E9">
        <w:t>provide</w:t>
      </w:r>
      <w:r w:rsidR="006A38F0">
        <w:t>s</w:t>
      </w:r>
      <w:r w:rsidR="00F601E9" w:rsidRPr="00F601E9">
        <w:t xml:space="preserve"> guidance on classifications of waste, which state that is illegal to mix a hazardous waste with either non-hazardous or another hazardous waste.</w:t>
      </w:r>
    </w:p>
    <w:p w14:paraId="6A62814C" w14:textId="77777777" w:rsidR="002A13A3" w:rsidRDefault="002A13A3" w:rsidP="00326262">
      <w:pPr>
        <w:pStyle w:val="RECnumberlist"/>
      </w:pPr>
      <w:r>
        <w:t>Separate and store hazardous waste safely.</w:t>
      </w:r>
    </w:p>
    <w:p w14:paraId="60073D23" w14:textId="50C7C955" w:rsidR="002A13A3" w:rsidRDefault="002A13A3" w:rsidP="00326262">
      <w:pPr>
        <w:pStyle w:val="RECnumberlist"/>
      </w:pPr>
      <w:r>
        <w:t>Use authorised businesses to collect, recycle or dispose of hazardous waste – check that waste carriers are registered and waste sites have environmental permits.</w:t>
      </w:r>
    </w:p>
    <w:p w14:paraId="10C16393" w14:textId="05F0E7A6" w:rsidR="002A13A3" w:rsidRDefault="002A13A3" w:rsidP="00326262">
      <w:pPr>
        <w:pStyle w:val="RECnumberlist"/>
      </w:pPr>
      <w:r>
        <w:t xml:space="preserve">Fill in the </w:t>
      </w:r>
      <w:r w:rsidR="006A38F0">
        <w:t xml:space="preserve">producer </w:t>
      </w:r>
      <w:r>
        <w:t>parts of the consignment note</w:t>
      </w:r>
      <w:r w:rsidR="006A38F0">
        <w:t xml:space="preserve"> and</w:t>
      </w:r>
      <w:r>
        <w:t xml:space="preserve"> keep one copy and give 2 copies to the carrier collecting </w:t>
      </w:r>
      <w:r w:rsidR="006A38F0">
        <w:t xml:space="preserve">the </w:t>
      </w:r>
      <w:r>
        <w:t>waste.</w:t>
      </w:r>
    </w:p>
    <w:p w14:paraId="2FA9A106" w14:textId="77777777" w:rsidR="009763F4" w:rsidRDefault="002A13A3" w:rsidP="00326262">
      <w:pPr>
        <w:pStyle w:val="RECnumberlist"/>
      </w:pPr>
      <w:r>
        <w:t xml:space="preserve">Keep records (known as a ‘register’) for 3 years at the premises that produced or stored the waste. </w:t>
      </w:r>
    </w:p>
    <w:p w14:paraId="76DE8E71" w14:textId="36BE3D3E" w:rsidR="006A38F0" w:rsidRDefault="006A38F0" w:rsidP="00953A6F">
      <w:pPr>
        <w:pStyle w:val="RECnormaltext"/>
      </w:pPr>
      <w:r>
        <w:t xml:space="preserve">The </w:t>
      </w:r>
      <w:hyperlink r:id="rId138" w:history="1">
        <w:r w:rsidRPr="00067C08">
          <w:rPr>
            <w:rStyle w:val="Hyperlink"/>
          </w:rPr>
          <w:t>Gov UK website</w:t>
        </w:r>
      </w:hyperlink>
      <w:r>
        <w:t xml:space="preserve"> also provides generic advice about the storage of wastes that includes the following.</w:t>
      </w:r>
    </w:p>
    <w:p w14:paraId="462EE480" w14:textId="7BDC46D2" w:rsidR="00467433" w:rsidRPr="00A85ECD" w:rsidRDefault="00A85ECD" w:rsidP="00267977">
      <w:pPr>
        <w:pStyle w:val="RECnormaltext"/>
        <w:spacing w:after="0"/>
        <w:ind w:right="946" w:firstLine="720"/>
      </w:pPr>
      <w:r>
        <w:t>‘</w:t>
      </w:r>
      <w:r w:rsidR="00467433" w:rsidRPr="00A85ECD">
        <w:t>You must store waste s</w:t>
      </w:r>
      <w:r w:rsidR="006A38F0" w:rsidRPr="00A85ECD">
        <w:t>afely and securely. To do this:</w:t>
      </w:r>
    </w:p>
    <w:p w14:paraId="1000CC15" w14:textId="77777777" w:rsidR="00467433" w:rsidRPr="00A85ECD" w:rsidRDefault="00467433" w:rsidP="00267977">
      <w:pPr>
        <w:pStyle w:val="RECdotpoint"/>
        <w:spacing w:after="0"/>
        <w:ind w:left="1134" w:right="946" w:hanging="283"/>
      </w:pPr>
      <w:r w:rsidRPr="00A85ECD">
        <w:t>store waste in a secure place</w:t>
      </w:r>
    </w:p>
    <w:p w14:paraId="09A20358" w14:textId="77777777" w:rsidR="00467433" w:rsidRPr="00A85ECD" w:rsidRDefault="00467433" w:rsidP="00267977">
      <w:pPr>
        <w:pStyle w:val="RECdotpoint"/>
        <w:spacing w:after="0"/>
        <w:ind w:left="1134" w:right="946" w:hanging="283"/>
      </w:pPr>
      <w:r w:rsidRPr="00A85ECD">
        <w:t>use suitable containers that will stop waste escaping</w:t>
      </w:r>
    </w:p>
    <w:p w14:paraId="276705E9" w14:textId="77777777" w:rsidR="00467433" w:rsidRPr="00A85ECD" w:rsidRDefault="00467433" w:rsidP="00267977">
      <w:pPr>
        <w:pStyle w:val="RECdotpoint"/>
        <w:spacing w:after="0"/>
        <w:ind w:left="1134" w:right="946" w:hanging="283"/>
      </w:pPr>
      <w:r w:rsidRPr="00A85ECD">
        <w:t>label containers clearly with the type of waste they contain</w:t>
      </w:r>
    </w:p>
    <w:p w14:paraId="365A854D" w14:textId="77777777" w:rsidR="00467433" w:rsidRPr="00A85ECD" w:rsidRDefault="00467433" w:rsidP="00267977">
      <w:pPr>
        <w:pStyle w:val="RECdotpoint"/>
        <w:spacing w:after="0"/>
        <w:ind w:left="1134" w:right="946" w:hanging="283"/>
      </w:pPr>
      <w:r w:rsidRPr="00A85ECD">
        <w:t>use covers to stop waste blowing away</w:t>
      </w:r>
    </w:p>
    <w:p w14:paraId="49B8A3A7" w14:textId="77777777" w:rsidR="00467433" w:rsidRPr="00A85ECD" w:rsidRDefault="00467433" w:rsidP="00267977">
      <w:pPr>
        <w:pStyle w:val="RECdotpoint"/>
        <w:spacing w:after="0"/>
        <w:ind w:left="1134" w:right="946" w:hanging="283"/>
      </w:pPr>
      <w:r w:rsidRPr="00A85ECD">
        <w:t>use waterproof covers if rain could cause contaminated run-off or prevent the waste from being reused</w:t>
      </w:r>
    </w:p>
    <w:p w14:paraId="4B6B1ED9" w14:textId="5834B74C" w:rsidR="00467433" w:rsidRPr="00A85ECD" w:rsidRDefault="00467433" w:rsidP="00267977">
      <w:pPr>
        <w:pStyle w:val="RECdotpoint"/>
        <w:numPr>
          <w:ilvl w:val="0"/>
          <w:numId w:val="0"/>
        </w:numPr>
        <w:spacing w:after="0"/>
        <w:ind w:left="851" w:right="946"/>
      </w:pPr>
      <w:r w:rsidRPr="00A85ECD">
        <w:t>You have extra responsibilities if</w:t>
      </w:r>
      <w:r w:rsidR="006A38F0" w:rsidRPr="00A85ECD">
        <w:t xml:space="preserve"> you’re storing hazardous waste</w:t>
      </w:r>
      <w:r w:rsidR="008C2469" w:rsidRPr="00A85ECD">
        <w:rPr>
          <w:rStyle w:val="FootnoteReference"/>
        </w:rPr>
        <w:footnoteReference w:id="15"/>
      </w:r>
      <w:r w:rsidR="006A38F0" w:rsidRPr="00A85ECD">
        <w:t xml:space="preserve"> </w:t>
      </w:r>
    </w:p>
    <w:p w14:paraId="6837853A" w14:textId="77777777" w:rsidR="00467433" w:rsidRPr="00A85ECD" w:rsidRDefault="00467433" w:rsidP="00267977">
      <w:pPr>
        <w:pStyle w:val="RECnormaltext"/>
        <w:spacing w:after="0"/>
        <w:ind w:left="851" w:right="946"/>
      </w:pPr>
      <w:r w:rsidRPr="00A85ECD">
        <w:t>Store different types of waste separately, so that:</w:t>
      </w:r>
    </w:p>
    <w:p w14:paraId="340A3FFE" w14:textId="77777777" w:rsidR="00467433" w:rsidRPr="00A85ECD" w:rsidRDefault="00467433" w:rsidP="00267977">
      <w:pPr>
        <w:pStyle w:val="RECdotpoint"/>
        <w:spacing w:after="0"/>
        <w:ind w:left="1134" w:right="946" w:hanging="283"/>
      </w:pPr>
      <w:r w:rsidRPr="00A85ECD">
        <w:t>they don’t contaminate each other</w:t>
      </w:r>
    </w:p>
    <w:p w14:paraId="0845CD31" w14:textId="77777777" w:rsidR="00467433" w:rsidRPr="00A85ECD" w:rsidRDefault="00467433" w:rsidP="00267977">
      <w:pPr>
        <w:pStyle w:val="RECdotpoint"/>
        <w:spacing w:after="0"/>
        <w:ind w:left="1134" w:right="946" w:hanging="283"/>
      </w:pPr>
      <w:r w:rsidRPr="00A85ECD">
        <w:t>they can be reused more easily</w:t>
      </w:r>
    </w:p>
    <w:p w14:paraId="66A14857" w14:textId="5B1D2AAE" w:rsidR="00067C08" w:rsidRDefault="00467433" w:rsidP="00267977">
      <w:pPr>
        <w:pStyle w:val="RECdotpoint"/>
        <w:spacing w:after="0"/>
        <w:ind w:left="1134" w:right="946" w:hanging="283"/>
        <w:rPr>
          <w:i/>
        </w:rPr>
      </w:pPr>
      <w:r w:rsidRPr="00A85ECD">
        <w:t>you can complete the waste transfer note correctly</w:t>
      </w:r>
      <w:r w:rsidR="00A85ECD">
        <w:t>’</w:t>
      </w:r>
      <w:r w:rsidR="006A38F0" w:rsidRPr="00A85ECD">
        <w:t>.</w:t>
      </w:r>
      <w:r w:rsidRPr="00953A6F">
        <w:rPr>
          <w:i/>
        </w:rPr>
        <w:t xml:space="preserve"> </w:t>
      </w:r>
    </w:p>
    <w:p w14:paraId="076908C3" w14:textId="77777777" w:rsidR="006A42B3" w:rsidRDefault="006A42B3" w:rsidP="00953A6F">
      <w:pPr>
        <w:pStyle w:val="RECdotpoint"/>
        <w:numPr>
          <w:ilvl w:val="0"/>
          <w:numId w:val="0"/>
        </w:numPr>
      </w:pPr>
      <w:r>
        <w:t>Our review also identified m</w:t>
      </w:r>
      <w:r w:rsidR="002E6A86">
        <w:t xml:space="preserve">ore specific requirements for the storage of hazardous waste in the UK </w:t>
      </w:r>
      <w:r>
        <w:t xml:space="preserve">for </w:t>
      </w:r>
      <w:r w:rsidR="002E6A86">
        <w:t>Wales.</w:t>
      </w:r>
      <w:r>
        <w:t xml:space="preserve"> </w:t>
      </w:r>
    </w:p>
    <w:p w14:paraId="27065B1F" w14:textId="3B404486" w:rsidR="002E6A86" w:rsidRDefault="002E6A86" w:rsidP="00953A6F">
      <w:pPr>
        <w:pStyle w:val="RECdotpoint"/>
        <w:numPr>
          <w:ilvl w:val="0"/>
          <w:numId w:val="0"/>
        </w:numPr>
      </w:pPr>
      <w:r>
        <w:t xml:space="preserve">The </w:t>
      </w:r>
      <w:hyperlink r:id="rId139" w:history="1">
        <w:r w:rsidRPr="002E6A86">
          <w:rPr>
            <w:rStyle w:val="Hyperlink"/>
          </w:rPr>
          <w:t>Gov UK website</w:t>
        </w:r>
      </w:hyperlink>
      <w:r>
        <w:t xml:space="preserve"> provides direction for h</w:t>
      </w:r>
      <w:r w:rsidRPr="002E6A86">
        <w:t>azardous waste producer</w:t>
      </w:r>
      <w:r>
        <w:t>s and holders</w:t>
      </w:r>
      <w:r w:rsidR="007E203C">
        <w:t xml:space="preserve"> (collections or removal)</w:t>
      </w:r>
      <w:r w:rsidR="006A42B3">
        <w:t xml:space="preserve"> in W</w:t>
      </w:r>
      <w:r w:rsidRPr="002E6A86">
        <w:t>ales</w:t>
      </w:r>
      <w:r w:rsidR="006A42B3">
        <w:t xml:space="preserve">. Producers and holders </w:t>
      </w:r>
      <w:r>
        <w:t xml:space="preserve">must register </w:t>
      </w:r>
      <w:r w:rsidR="006A42B3">
        <w:t xml:space="preserve">their premises </w:t>
      </w:r>
      <w:r w:rsidR="006A42B3" w:rsidRPr="00953A6F">
        <w:rPr>
          <w:b/>
        </w:rPr>
        <w:t>unless</w:t>
      </w:r>
      <w:r w:rsidR="006A42B3">
        <w:t xml:space="preserve"> they meet the following exemptions:</w:t>
      </w:r>
    </w:p>
    <w:p w14:paraId="530E35B4" w14:textId="21B84435" w:rsidR="006A42B3" w:rsidRPr="00A85ECD" w:rsidRDefault="00A85ECD" w:rsidP="00267977">
      <w:pPr>
        <w:pStyle w:val="RECnormaltext"/>
        <w:numPr>
          <w:ilvl w:val="0"/>
          <w:numId w:val="20"/>
        </w:numPr>
        <w:spacing w:after="0"/>
        <w:ind w:left="1418" w:right="1088"/>
      </w:pPr>
      <w:r>
        <w:t>‘</w:t>
      </w:r>
      <w:r w:rsidR="006A42B3" w:rsidRPr="00A85ECD">
        <w:t>less than 500 kg of hazardous waste is produced, held or removed in any 12-month period</w:t>
      </w:r>
    </w:p>
    <w:p w14:paraId="632F0FA8" w14:textId="77777777" w:rsidR="006A42B3" w:rsidRPr="00A85ECD" w:rsidRDefault="006A42B3" w:rsidP="00267977">
      <w:pPr>
        <w:pStyle w:val="RECnormaltext"/>
        <w:numPr>
          <w:ilvl w:val="0"/>
          <w:numId w:val="20"/>
        </w:numPr>
        <w:spacing w:after="0"/>
        <w:ind w:left="1418" w:right="1088"/>
      </w:pPr>
      <w:r w:rsidRPr="00A85ECD">
        <w:t>it’s a domestic premises and you’re not producing asbestos</w:t>
      </w:r>
    </w:p>
    <w:p w14:paraId="026A57A8" w14:textId="7DD05F5A" w:rsidR="000C4C7F" w:rsidRPr="00A85ECD" w:rsidRDefault="006A42B3" w:rsidP="00267977">
      <w:pPr>
        <w:pStyle w:val="RECnormaltext"/>
        <w:numPr>
          <w:ilvl w:val="0"/>
          <w:numId w:val="20"/>
        </w:numPr>
        <w:spacing w:after="0"/>
        <w:ind w:left="1418" w:right="1088"/>
      </w:pPr>
      <w:r w:rsidRPr="00A85ECD">
        <w:t xml:space="preserve">it’s a mobile service at a customer premises, </w:t>
      </w:r>
      <w:r w:rsidR="00E70169" w:rsidRPr="00A85ECD">
        <w:t>e.g.</w:t>
      </w:r>
      <w:r w:rsidRPr="00A85ECD">
        <w:t xml:space="preserve"> a photocopier repair service where the mobile service has </w:t>
      </w:r>
      <w:r w:rsidR="000C4C7F" w:rsidRPr="00A85ECD">
        <w:t xml:space="preserve">its own premises registration </w:t>
      </w:r>
    </w:p>
    <w:p w14:paraId="6F23B9B4" w14:textId="0B870C5A" w:rsidR="00566529" w:rsidRPr="00A85ECD" w:rsidRDefault="006A42B3" w:rsidP="00267977">
      <w:pPr>
        <w:pStyle w:val="RECnormaltext"/>
        <w:numPr>
          <w:ilvl w:val="0"/>
          <w:numId w:val="20"/>
        </w:numPr>
        <w:spacing w:after="0"/>
        <w:ind w:left="1418" w:right="1088"/>
      </w:pPr>
      <w:r w:rsidRPr="00A85ECD">
        <w:t>the premises is a ship</w:t>
      </w:r>
      <w:r w:rsidR="00A85ECD">
        <w:t>’</w:t>
      </w:r>
      <w:r w:rsidRPr="00A85ECD">
        <w:t>.</w:t>
      </w:r>
    </w:p>
    <w:p w14:paraId="6DBAE1ED" w14:textId="23EA1353" w:rsidR="00566529" w:rsidRDefault="00566529" w:rsidP="00267977">
      <w:pPr>
        <w:pStyle w:val="RECnormaltext"/>
        <w:spacing w:after="0"/>
      </w:pPr>
      <w:r w:rsidRPr="00566529">
        <w:t>Hazardous waste</w:t>
      </w:r>
      <w:r>
        <w:t>s are wastes that:</w:t>
      </w:r>
    </w:p>
    <w:p w14:paraId="0C9AB1CE" w14:textId="11E33315" w:rsidR="00566529" w:rsidRPr="00A85ECD" w:rsidRDefault="00A85ECD" w:rsidP="00267977">
      <w:pPr>
        <w:pStyle w:val="RECnormaltext"/>
        <w:spacing w:after="0"/>
        <w:ind w:left="1418" w:right="804" w:hanging="284"/>
      </w:pPr>
      <w:r>
        <w:t>‘</w:t>
      </w:r>
      <w:r w:rsidR="00566529" w:rsidRPr="00A85ECD">
        <w:t xml:space="preserve">can be harmful to human health or the environment, and includes: </w:t>
      </w:r>
    </w:p>
    <w:p w14:paraId="701A67BC" w14:textId="6F3222FE" w:rsidR="00566529" w:rsidRPr="00A85ECD" w:rsidRDefault="00566529" w:rsidP="00267977">
      <w:pPr>
        <w:pStyle w:val="RECnormaltext"/>
        <w:numPr>
          <w:ilvl w:val="0"/>
          <w:numId w:val="20"/>
        </w:numPr>
        <w:spacing w:after="0"/>
        <w:ind w:left="1418" w:right="804" w:hanging="284"/>
      </w:pPr>
      <w:r w:rsidRPr="00A85ECD">
        <w:t>asbestos</w:t>
      </w:r>
    </w:p>
    <w:p w14:paraId="400A7BC7" w14:textId="506E1F06" w:rsidR="00566529" w:rsidRPr="00A85ECD" w:rsidRDefault="00566529" w:rsidP="00267977">
      <w:pPr>
        <w:pStyle w:val="RECnormaltext"/>
        <w:numPr>
          <w:ilvl w:val="0"/>
          <w:numId w:val="20"/>
        </w:numPr>
        <w:spacing w:after="0"/>
        <w:ind w:left="1418" w:right="804" w:hanging="284"/>
      </w:pPr>
      <w:r w:rsidRPr="00A85ECD">
        <w:t>lead-acid batteries</w:t>
      </w:r>
    </w:p>
    <w:p w14:paraId="6D3B4B18" w14:textId="041590CC" w:rsidR="00566529" w:rsidRPr="00A85ECD" w:rsidRDefault="00566529" w:rsidP="00267977">
      <w:pPr>
        <w:pStyle w:val="RECnormaltext"/>
        <w:numPr>
          <w:ilvl w:val="0"/>
          <w:numId w:val="20"/>
        </w:numPr>
        <w:spacing w:after="0"/>
        <w:ind w:left="1418" w:right="804" w:hanging="284"/>
      </w:pPr>
      <w:r w:rsidRPr="00A85ECD">
        <w:t>solvent-based inks and paints</w:t>
      </w:r>
    </w:p>
    <w:p w14:paraId="16BCD4B4" w14:textId="29957BB5" w:rsidR="00566529" w:rsidRPr="00A85ECD" w:rsidRDefault="00566529" w:rsidP="00267977">
      <w:pPr>
        <w:pStyle w:val="RECnormaltext"/>
        <w:numPr>
          <w:ilvl w:val="0"/>
          <w:numId w:val="20"/>
        </w:numPr>
        <w:spacing w:after="0"/>
        <w:ind w:left="1418" w:right="804" w:hanging="284"/>
      </w:pPr>
      <w:r w:rsidRPr="00A85ECD">
        <w:t>pesticides</w:t>
      </w:r>
    </w:p>
    <w:p w14:paraId="6538AFF7" w14:textId="6408AF0A" w:rsidR="00566529" w:rsidRPr="00A85ECD" w:rsidRDefault="00566529" w:rsidP="00267977">
      <w:pPr>
        <w:pStyle w:val="RECnormaltext"/>
        <w:numPr>
          <w:ilvl w:val="0"/>
          <w:numId w:val="20"/>
        </w:numPr>
        <w:spacing w:after="0"/>
        <w:ind w:left="1418" w:right="804" w:hanging="284"/>
      </w:pPr>
      <w:r w:rsidRPr="00A85ECD">
        <w:t>oils (except edible ones), e</w:t>
      </w:r>
      <w:r w:rsidR="00A85ECD">
        <w:t>.</w:t>
      </w:r>
      <w:r w:rsidRPr="00A85ECD">
        <w:t>g</w:t>
      </w:r>
      <w:r w:rsidR="00A85ECD">
        <w:t>.</w:t>
      </w:r>
      <w:r w:rsidRPr="00A85ECD">
        <w:t xml:space="preserve"> car oil</w:t>
      </w:r>
    </w:p>
    <w:p w14:paraId="4AC387DF" w14:textId="489CCDB1" w:rsidR="00566529" w:rsidRPr="00A85ECD" w:rsidRDefault="00566529" w:rsidP="00267977">
      <w:pPr>
        <w:pStyle w:val="RECnormaltext"/>
        <w:numPr>
          <w:ilvl w:val="0"/>
          <w:numId w:val="20"/>
        </w:numPr>
        <w:spacing w:after="0"/>
        <w:ind w:left="1418" w:right="804" w:hanging="284"/>
      </w:pPr>
      <w:r w:rsidRPr="00A85ECD">
        <w:t>fluorescent light tubes</w:t>
      </w:r>
    </w:p>
    <w:p w14:paraId="4A405A7E" w14:textId="1E91A157" w:rsidR="00566529" w:rsidRPr="00A85ECD" w:rsidRDefault="00566529" w:rsidP="00267977">
      <w:pPr>
        <w:pStyle w:val="RECnormaltext"/>
        <w:numPr>
          <w:ilvl w:val="0"/>
          <w:numId w:val="20"/>
        </w:numPr>
        <w:spacing w:after="0"/>
        <w:ind w:left="1418" w:right="804" w:hanging="284"/>
      </w:pPr>
      <w:r w:rsidRPr="00A85ECD">
        <w:t>equipment containing ozone-depleting substances, e</w:t>
      </w:r>
      <w:r w:rsidR="00A85ECD">
        <w:t>.</w:t>
      </w:r>
      <w:r w:rsidRPr="00A85ECD">
        <w:t>g</w:t>
      </w:r>
      <w:r w:rsidR="00A85ECD">
        <w:t>.</w:t>
      </w:r>
      <w:r w:rsidRPr="00A85ECD">
        <w:t xml:space="preserve"> fridges</w:t>
      </w:r>
    </w:p>
    <w:p w14:paraId="1DFBED84" w14:textId="545CC6F4" w:rsidR="00566529" w:rsidRPr="00A85ECD" w:rsidRDefault="00566529" w:rsidP="00267977">
      <w:pPr>
        <w:pStyle w:val="RECnormaltext"/>
        <w:numPr>
          <w:ilvl w:val="0"/>
          <w:numId w:val="20"/>
        </w:numPr>
        <w:spacing w:after="0"/>
        <w:ind w:left="1418" w:right="804" w:hanging="284"/>
      </w:pPr>
      <w:r w:rsidRPr="00A85ECD">
        <w:t>hazardous packaging waste</w:t>
      </w:r>
      <w:r w:rsidR="00A85ECD">
        <w:t>’</w:t>
      </w:r>
      <w:r w:rsidRPr="00A85ECD">
        <w:t>.</w:t>
      </w:r>
    </w:p>
    <w:p w14:paraId="31B0D760" w14:textId="275708E0" w:rsidR="00B15766" w:rsidRDefault="00B15766" w:rsidP="00267977">
      <w:pPr>
        <w:pStyle w:val="RECnormaltext"/>
        <w:spacing w:before="80" w:after="0"/>
      </w:pPr>
      <w:r>
        <w:rPr>
          <w:noProof/>
          <w:lang w:eastAsia="en-AU"/>
        </w:rPr>
        <mc:AlternateContent>
          <mc:Choice Requires="wps">
            <w:drawing>
              <wp:anchor distT="0" distB="0" distL="114300" distR="114300" simplePos="0" relativeHeight="251660288" behindDoc="0" locked="0" layoutInCell="1" allowOverlap="1" wp14:anchorId="16B93C68" wp14:editId="7F260341">
                <wp:simplePos x="0" y="0"/>
                <wp:positionH relativeFrom="column">
                  <wp:posOffset>-251905</wp:posOffset>
                </wp:positionH>
                <wp:positionV relativeFrom="paragraph">
                  <wp:posOffset>526415</wp:posOffset>
                </wp:positionV>
                <wp:extent cx="6272530" cy="1424305"/>
                <wp:effectExtent l="57150" t="38100" r="52070" b="80645"/>
                <wp:wrapSquare wrapText="bothSides"/>
                <wp:docPr id="23" name="Rectangle: Rounded Corners 23"/>
                <wp:cNvGraphicFramePr/>
                <a:graphic xmlns:a="http://schemas.openxmlformats.org/drawingml/2006/main">
                  <a:graphicData uri="http://schemas.microsoft.com/office/word/2010/wordprocessingShape">
                    <wps:wsp>
                      <wps:cNvSpPr/>
                      <wps:spPr>
                        <a:xfrm>
                          <a:off x="0" y="0"/>
                          <a:ext cx="6272530" cy="1424305"/>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049DB28A" w14:textId="77777777" w:rsidR="00067AC0" w:rsidRPr="007A6A56" w:rsidRDefault="00067AC0" w:rsidP="00B15766">
                            <w:pPr>
                              <w:pStyle w:val="RECnormaltext"/>
                              <w:spacing w:after="0"/>
                              <w:rPr>
                                <w:b/>
                                <w:color w:val="FFFFFF" w:themeColor="background1"/>
                              </w:rPr>
                            </w:pPr>
                            <w:r w:rsidRPr="006339EB">
                              <w:rPr>
                                <w:b/>
                                <w:color w:val="FFFFFF" w:themeColor="background1"/>
                              </w:rPr>
                              <w:t>EU and UK regulatory framework summary</w:t>
                            </w:r>
                          </w:p>
                          <w:p w14:paraId="30D6FF8C" w14:textId="77777777" w:rsidR="00067AC0" w:rsidRPr="007A6A56" w:rsidRDefault="00067AC0" w:rsidP="00B15766">
                            <w:pPr>
                              <w:pStyle w:val="RECnormaltext"/>
                              <w:rPr>
                                <w:color w:val="FFFFFF" w:themeColor="background1"/>
                              </w:rPr>
                            </w:pPr>
                            <w:r w:rsidRPr="007A6A56">
                              <w:rPr>
                                <w:color w:val="FFFFFF" w:themeColor="background1"/>
                              </w:rPr>
                              <w:t xml:space="preserve"> </w:t>
                            </w:r>
                            <w:r>
                              <w:rPr>
                                <w:color w:val="FFFFFF" w:themeColor="background1"/>
                              </w:rPr>
                              <w:t>U</w:t>
                            </w:r>
                            <w:r w:rsidRPr="007A6A56">
                              <w:rPr>
                                <w:color w:val="FFFFFF" w:themeColor="background1"/>
                              </w:rPr>
                              <w:t xml:space="preserve">nlike the USA the EU does not have an overarching policy framework to regulate hazardous waste stockpile prevention, management and clearance. However, there are examples of countries within the EU that have a framework in place. The UK has requirements for the managing of hazardous waste and in Wales there are specific requirements to register a site generating and/or storing &gt;500kg of hazardous waste over a 12-month period. The registration of the site must be renewed each year.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6B93C68" id="Rectangle: Rounded Corners 23" o:spid="_x0000_s1038" style="position:absolute;margin-left:-19.85pt;margin-top:41.45pt;width:493.9pt;height:11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NzqAIAALwFAAAOAAAAZHJzL2Uyb0RvYy54bWysVN1P2zAQf5+0/8Hy+0gTWtgiUlQVMU1i&#10;gICJZ9ex22i2z7PdJt1fz9lJA2ObkKb1IfXd/e774+y804rshPMNmIrmRxNKhOFQN2Zd0W8Plx8+&#10;UuIDMzVTYERF98LT8/n7d2etLUUBG1C1cASNGF+2tqKbEGyZZZ5vhGb+CKwwKJTgNAtIunVWO9ai&#10;da2yYjI5yVpwtXXAhffIveiFdJ7sSyl4uJHSi0BURTG2kL4ufVfxm83PWLl2zG4aPoTB/iEKzRqD&#10;TkdTFywwsnXNb6Z0wx14kOGIg85AyoaLlANmk09eZXO/YVakXLA43o5l8v/PLL/e3TrS1BUtjikx&#10;TGOP7rBqzKyVKMkdbE0tarIEZ7DJBEFYsdb6EhXv7a0bKI/PmH4nnY7/mBjpUpX3Y5VFFwhH5klx&#10;WsyOsRkcZfm0mB5PZtFq9qxunQ+fBWgSHxV1MYoYVSox21350OMPuOjSg2rqy0apRMT5EUvlyI5h&#10;50OXJ1W11V+h7nmzCf76/iMbp+QVG8NJUxitpOB+caBMdGMgOuxjiZwsVqavRXqFvRIRp8ydkFhl&#10;zL4PZLTcO62/50MFEjKqSDQ8KhUp+r8qDdioJtLMj4pveBvRySOYMCrqxoB7w2uPP2Td5xrTDt2q&#10;SyOVFzGryFpBvcc5c9AvoLf8ssHWXjEfbpnDjcNxwCsSbvAjFbQVheFFyQbczz/xIx4XAaWUtLjB&#10;FfU/tswJStQXgyvyKZ9O48onYjo7LZBwLyWrlxKz1UvAUcnxXlmenhEf1OEpHehHPDaL6BVFzHD0&#10;XVEe3IFYhv6y4LniYrFIMFxzy8KVubf80Pw4tQ/dI3N2mO+Aq3ENh21n5asJ77GxRQYW2wCySeP/&#10;XNehBXgi0qAO5yzeoJd0Qj0f3fkTAAAA//8DAFBLAwQUAAYACAAAACEALYPgSOMAAAAKAQAADwAA&#10;AGRycy9kb3ducmV2LnhtbEyPQU+DQBCF7yb+h82YeGsXqLGADI2tmFhj0tjqwdsUViCys4TdUvz3&#10;ric9Tt6X977JVpPuxKgG2xpGCOcBCMWlqVquEd4Oj7MYhHXEFXWGFcK3srDKLy8ySitz5lc17l0t&#10;fAnblBAa5/pUSls2SpOdm16xzz7NoMn5c6hlNdDZl+tORkFwKzW17Bca6tWmUeXX/qQRnuzz+lCE&#10;G/PxMPa77ftLsVtTgXh9Nd3fgXBqcn8w/Op7dci909GcuLKiQ5gtkqVHEeIoAeGB5CYOQRwRFsEy&#10;Apln8v8L+Q8AAAD//wMAUEsBAi0AFAAGAAgAAAAhALaDOJL+AAAA4QEAABMAAAAAAAAAAAAAAAAA&#10;AAAAAFtDb250ZW50X1R5cGVzXS54bWxQSwECLQAUAAYACAAAACEAOP0h/9YAAACUAQAACwAAAAAA&#10;AAAAAAAAAAAvAQAAX3JlbHMvLnJlbHNQSwECLQAUAAYACAAAACEAItKzc6gCAAC8BQAADgAAAAAA&#10;AAAAAAAAAAAuAgAAZHJzL2Uyb0RvYy54bWxQSwECLQAUAAYACAAAACEALYPgSOMAAAAKAQAADwAA&#10;AAAAAAAAAAAAAAACBQAAZHJzL2Rvd25yZXYueG1sUEsFBgAAAAAEAAQA8wAAABIGAAAAAA==&#10;" fillcolor="gray [1629]" stroked="f">
                <v:shadow on="t" color="black" opacity="24903f" origin=",.5" offset="0,.55556mm"/>
                <v:textbox>
                  <w:txbxContent>
                    <w:p w14:paraId="049DB28A" w14:textId="77777777" w:rsidR="00067AC0" w:rsidRPr="007A6A56" w:rsidRDefault="00067AC0" w:rsidP="00B15766">
                      <w:pPr>
                        <w:pStyle w:val="RECnormaltext"/>
                        <w:spacing w:after="0"/>
                        <w:rPr>
                          <w:b/>
                          <w:color w:val="FFFFFF" w:themeColor="background1"/>
                        </w:rPr>
                      </w:pPr>
                      <w:r w:rsidRPr="006339EB">
                        <w:rPr>
                          <w:b/>
                          <w:color w:val="FFFFFF" w:themeColor="background1"/>
                        </w:rPr>
                        <w:t>EU and UK regulatory framework summary</w:t>
                      </w:r>
                    </w:p>
                    <w:p w14:paraId="30D6FF8C" w14:textId="77777777" w:rsidR="00067AC0" w:rsidRPr="007A6A56" w:rsidRDefault="00067AC0" w:rsidP="00B15766">
                      <w:pPr>
                        <w:pStyle w:val="RECnormaltext"/>
                        <w:rPr>
                          <w:color w:val="FFFFFF" w:themeColor="background1"/>
                        </w:rPr>
                      </w:pPr>
                      <w:r w:rsidRPr="007A6A56">
                        <w:rPr>
                          <w:color w:val="FFFFFF" w:themeColor="background1"/>
                        </w:rPr>
                        <w:t xml:space="preserve"> </w:t>
                      </w:r>
                      <w:r>
                        <w:rPr>
                          <w:color w:val="FFFFFF" w:themeColor="background1"/>
                        </w:rPr>
                        <w:t>U</w:t>
                      </w:r>
                      <w:r w:rsidRPr="007A6A56">
                        <w:rPr>
                          <w:color w:val="FFFFFF" w:themeColor="background1"/>
                        </w:rPr>
                        <w:t>nlike the USA the EU does not have an overarching policy framework to regulate hazardous waste stockpile prevention, management and clearance. However, there are examples of countries within the EU that have a framework in place. The UK has requirements for the managing of hazardous waste and in Wales there are specific requirements to register a site generating and/or storing &gt;</w:t>
                      </w:r>
                      <w:proofErr w:type="spellStart"/>
                      <w:r w:rsidRPr="007A6A56">
                        <w:rPr>
                          <w:color w:val="FFFFFF" w:themeColor="background1"/>
                        </w:rPr>
                        <w:t>500kg</w:t>
                      </w:r>
                      <w:proofErr w:type="spellEnd"/>
                      <w:r w:rsidRPr="007A6A56">
                        <w:rPr>
                          <w:color w:val="FFFFFF" w:themeColor="background1"/>
                        </w:rPr>
                        <w:t xml:space="preserve"> of hazardous waste over a 12-month period. The registration of the site must be renewed each year.  </w:t>
                      </w:r>
                    </w:p>
                  </w:txbxContent>
                </v:textbox>
                <w10:wrap type="square"/>
              </v:roundrect>
            </w:pict>
          </mc:Fallback>
        </mc:AlternateContent>
      </w:r>
      <w:r w:rsidR="000C4C7F">
        <w:t xml:space="preserve">Interestingly the </w:t>
      </w:r>
      <w:r w:rsidR="000C4C7F" w:rsidRPr="000C4C7F">
        <w:t>registrations</w:t>
      </w:r>
      <w:r w:rsidR="000C4C7F">
        <w:t xml:space="preserve"> must be renewed every 12 months and there are fines of up</w:t>
      </w:r>
      <w:r w:rsidR="00337055">
        <w:t xml:space="preserve"> </w:t>
      </w:r>
      <w:r w:rsidR="000C4C7F">
        <w:t>to $8,000AU for not have an up-to-date registration.</w:t>
      </w:r>
      <w:r w:rsidRPr="00B15766">
        <w:t xml:space="preserve"> </w:t>
      </w:r>
    </w:p>
    <w:p w14:paraId="0C92047E" w14:textId="4C80A56B" w:rsidR="00D36103" w:rsidRDefault="00B15766" w:rsidP="00267977">
      <w:pPr>
        <w:pStyle w:val="RECnormaltext"/>
        <w:spacing w:after="0"/>
        <w:sectPr w:rsidR="00D36103" w:rsidSect="00267977">
          <w:headerReference w:type="even" r:id="rId140"/>
          <w:headerReference w:type="default" r:id="rId141"/>
          <w:footerReference w:type="default" r:id="rId142"/>
          <w:headerReference w:type="first" r:id="rId143"/>
          <w:pgSz w:w="11906" w:h="16838"/>
          <w:pgMar w:top="1810" w:right="1440" w:bottom="993" w:left="1440" w:header="708" w:footer="469" w:gutter="0"/>
          <w:pgNumType w:start="1"/>
          <w:cols w:space="708"/>
          <w:docGrid w:linePitch="360"/>
        </w:sectPr>
      </w:pPr>
      <w:r w:rsidDel="006339EB">
        <w:t xml:space="preserve"> </w:t>
      </w:r>
    </w:p>
    <w:p w14:paraId="04EA180B" w14:textId="3308DC73" w:rsidR="002F5A51" w:rsidRDefault="00C63893">
      <w:pPr>
        <w:pStyle w:val="Heading1"/>
      </w:pPr>
      <w:bookmarkStart w:id="183" w:name="_Ref486588000"/>
      <w:bookmarkStart w:id="184" w:name="_Toc532990254"/>
      <w:bookmarkStart w:id="185" w:name="_Ref473020424"/>
      <w:r>
        <w:t>Summary of framework k</w:t>
      </w:r>
      <w:r w:rsidR="00AB7525">
        <w:t>ey elements</w:t>
      </w:r>
      <w:bookmarkEnd w:id="183"/>
      <w:bookmarkEnd w:id="184"/>
      <w:r w:rsidR="00AB7525">
        <w:t xml:space="preserve"> </w:t>
      </w:r>
      <w:bookmarkEnd w:id="185"/>
    </w:p>
    <w:p w14:paraId="0BC4F368" w14:textId="4E82CFDD" w:rsidR="00AB7525" w:rsidRDefault="002F4B58" w:rsidP="00953A6F">
      <w:pPr>
        <w:pStyle w:val="RECnormaltext"/>
      </w:pPr>
      <w:r>
        <w:fldChar w:fldCharType="begin"/>
      </w:r>
      <w:r>
        <w:instrText xml:space="preserve"> REF _Ref472435184 \h </w:instrText>
      </w:r>
      <w:r>
        <w:fldChar w:fldCharType="separate"/>
      </w:r>
      <w:r w:rsidR="00F54E66">
        <w:t xml:space="preserve">Table </w:t>
      </w:r>
      <w:r w:rsidR="00F54E66">
        <w:rPr>
          <w:noProof/>
        </w:rPr>
        <w:t>3</w:t>
      </w:r>
      <w:r>
        <w:fldChar w:fldCharType="end"/>
      </w:r>
      <w:r>
        <w:t xml:space="preserve"> </w:t>
      </w:r>
      <w:r w:rsidR="00C63893">
        <w:t>summarises each jurisdiction’</w:t>
      </w:r>
      <w:r w:rsidR="00286443">
        <w:t xml:space="preserve">s inclusion of the framework </w:t>
      </w:r>
      <w:r w:rsidR="00323828">
        <w:t xml:space="preserve">key elements </w:t>
      </w:r>
      <w:r w:rsidR="00C63893">
        <w:t xml:space="preserve">discussed in Section </w:t>
      </w:r>
      <w:r w:rsidR="00C63893">
        <w:fldChar w:fldCharType="begin"/>
      </w:r>
      <w:r w:rsidR="00C63893">
        <w:instrText xml:space="preserve"> REF _Ref473061629 \r \h </w:instrText>
      </w:r>
      <w:r w:rsidR="00C63893">
        <w:fldChar w:fldCharType="separate"/>
      </w:r>
      <w:r w:rsidR="00F54E66">
        <w:t>3</w:t>
      </w:r>
      <w:r w:rsidR="00C63893">
        <w:fldChar w:fldCharType="end"/>
      </w:r>
      <w:r w:rsidR="00286443">
        <w:t xml:space="preserve"> </w:t>
      </w:r>
      <w:r w:rsidR="005E4759">
        <w:t>to prevent, manage, and clear stockpiles.</w:t>
      </w:r>
    </w:p>
    <w:p w14:paraId="0D69D5FD" w14:textId="0FB65964" w:rsidR="001B6810" w:rsidRDefault="00AB7525" w:rsidP="001B6810">
      <w:pPr>
        <w:pStyle w:val="Caption"/>
        <w:spacing w:after="120"/>
      </w:pPr>
      <w:bookmarkStart w:id="186" w:name="_Ref472435184"/>
      <w:bookmarkStart w:id="187" w:name="_Toc532990270"/>
      <w:r>
        <w:t xml:space="preserve">Table </w:t>
      </w:r>
      <w:r w:rsidR="00B219C0">
        <w:rPr>
          <w:noProof/>
        </w:rPr>
        <w:fldChar w:fldCharType="begin"/>
      </w:r>
      <w:r w:rsidR="00B219C0">
        <w:rPr>
          <w:noProof/>
        </w:rPr>
        <w:instrText xml:space="preserve"> SEQ Table \* ARABIC </w:instrText>
      </w:r>
      <w:r w:rsidR="00B219C0">
        <w:rPr>
          <w:noProof/>
        </w:rPr>
        <w:fldChar w:fldCharType="separate"/>
      </w:r>
      <w:r w:rsidR="00F54E66">
        <w:rPr>
          <w:noProof/>
        </w:rPr>
        <w:t>3</w:t>
      </w:r>
      <w:r w:rsidR="00B219C0">
        <w:rPr>
          <w:noProof/>
        </w:rPr>
        <w:fldChar w:fldCharType="end"/>
      </w:r>
      <w:bookmarkEnd w:id="186"/>
      <w:r>
        <w:t xml:space="preserve"> Analysis of key elements of hazardous waste stockpile prevention, management and clearance policy frameworks by jurisdiction</w:t>
      </w:r>
      <w:bookmarkEnd w:id="187"/>
    </w:p>
    <w:tbl>
      <w:tblPr>
        <w:tblStyle w:val="ListTable3-Accent3"/>
        <w:tblW w:w="5152" w:type="pct"/>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tblBorders>
        <w:tblLook w:val="04A0" w:firstRow="1" w:lastRow="0" w:firstColumn="1" w:lastColumn="0" w:noHBand="0" w:noVBand="1"/>
      </w:tblPr>
      <w:tblGrid>
        <w:gridCol w:w="2647"/>
        <w:gridCol w:w="619"/>
        <w:gridCol w:w="619"/>
        <w:gridCol w:w="443"/>
        <w:gridCol w:w="502"/>
        <w:gridCol w:w="619"/>
        <w:gridCol w:w="488"/>
        <w:gridCol w:w="619"/>
        <w:gridCol w:w="619"/>
        <w:gridCol w:w="620"/>
        <w:gridCol w:w="632"/>
        <w:gridCol w:w="75"/>
        <w:gridCol w:w="5814"/>
      </w:tblGrid>
      <w:tr w:rsidR="009E2049" w:rsidRPr="00953A6F" w14:paraId="1ACF8379" w14:textId="77777777" w:rsidTr="003202A8">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100" w:firstRow="0" w:lastRow="0" w:firstColumn="1" w:lastColumn="0" w:oddVBand="0" w:evenVBand="0" w:oddHBand="0" w:evenHBand="0" w:firstRowFirstColumn="1" w:firstRowLastColumn="0" w:lastRowFirstColumn="0" w:lastRowLastColumn="0"/>
            <w:tcW w:w="924" w:type="pct"/>
            <w:vMerge w:val="restart"/>
            <w:tcBorders>
              <w:top w:val="nil"/>
            </w:tcBorders>
            <w:shd w:val="clear" w:color="auto" w:fill="7F7F7F" w:themeFill="text1" w:themeFillTint="80"/>
            <w:vAlign w:val="center"/>
          </w:tcPr>
          <w:p w14:paraId="57A90191" w14:textId="47016861" w:rsidR="00801A4D" w:rsidRPr="00953A6F" w:rsidRDefault="00286443" w:rsidP="00953A6F">
            <w:pPr>
              <w:spacing w:after="120"/>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K</w:t>
            </w:r>
            <w:r w:rsidR="00801A4D" w:rsidRPr="00953A6F">
              <w:rPr>
                <w:rFonts w:asciiTheme="minorHAnsi" w:hAnsiTheme="minorHAnsi" w:cstheme="minorHAnsi"/>
                <w:color w:val="FFFFFF" w:themeColor="background1"/>
                <w:sz w:val="20"/>
                <w:szCs w:val="20"/>
              </w:rPr>
              <w:t>ey element</w:t>
            </w:r>
          </w:p>
        </w:tc>
        <w:tc>
          <w:tcPr>
            <w:tcW w:w="1581" w:type="pct"/>
            <w:gridSpan w:val="8"/>
            <w:tcBorders>
              <w:top w:val="nil"/>
              <w:bottom w:val="nil"/>
            </w:tcBorders>
            <w:shd w:val="clear" w:color="auto" w:fill="7F7F7F" w:themeFill="text1" w:themeFillTint="80"/>
            <w:vAlign w:val="center"/>
          </w:tcPr>
          <w:p w14:paraId="58ABD7FC" w14:textId="52FDCEAF"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953A6F">
              <w:rPr>
                <w:rFonts w:asciiTheme="minorHAnsi" w:hAnsiTheme="minorHAnsi" w:cstheme="minorHAnsi"/>
                <w:color w:val="FFFFFF" w:themeColor="background1"/>
                <w:sz w:val="20"/>
                <w:szCs w:val="20"/>
              </w:rPr>
              <w:t>Australia</w:t>
            </w:r>
          </w:p>
        </w:tc>
        <w:tc>
          <w:tcPr>
            <w:tcW w:w="464" w:type="pct"/>
            <w:gridSpan w:val="3"/>
            <w:tcBorders>
              <w:top w:val="nil"/>
              <w:bottom w:val="nil"/>
            </w:tcBorders>
            <w:shd w:val="clear" w:color="auto" w:fill="7F7F7F" w:themeFill="text1" w:themeFillTint="80"/>
            <w:vAlign w:val="center"/>
          </w:tcPr>
          <w:p w14:paraId="68701D3C" w14:textId="13997424"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953A6F">
              <w:rPr>
                <w:rFonts w:asciiTheme="minorHAnsi" w:hAnsiTheme="minorHAnsi" w:cstheme="minorHAnsi"/>
                <w:color w:val="FFFFFF" w:themeColor="background1"/>
                <w:sz w:val="20"/>
                <w:szCs w:val="20"/>
              </w:rPr>
              <w:t>International</w:t>
            </w:r>
          </w:p>
        </w:tc>
        <w:tc>
          <w:tcPr>
            <w:tcW w:w="2030" w:type="pct"/>
            <w:tcBorders>
              <w:top w:val="nil"/>
              <w:bottom w:val="nil"/>
            </w:tcBorders>
            <w:shd w:val="clear" w:color="auto" w:fill="7F7F7F" w:themeFill="text1" w:themeFillTint="80"/>
            <w:vAlign w:val="center"/>
          </w:tcPr>
          <w:p w14:paraId="301E7086" w14:textId="1BA73D29"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53A6F">
              <w:rPr>
                <w:rFonts w:asciiTheme="minorHAnsi" w:hAnsiTheme="minorHAnsi" w:cstheme="minorHAnsi"/>
                <w:color w:val="FFFFFF" w:themeColor="background1"/>
                <w:sz w:val="20"/>
                <w:szCs w:val="20"/>
              </w:rPr>
              <w:t>Discussion</w:t>
            </w:r>
          </w:p>
        </w:tc>
      </w:tr>
      <w:tr w:rsidR="00EB1481" w:rsidRPr="00953A6F" w14:paraId="5600FF3D" w14:textId="77777777" w:rsidTr="003202A8">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100" w:firstRow="0" w:lastRow="0" w:firstColumn="1" w:lastColumn="0" w:oddVBand="0" w:evenVBand="0" w:oddHBand="0" w:evenHBand="0" w:firstRowFirstColumn="1" w:firstRowLastColumn="0" w:lastRowFirstColumn="0" w:lastRowLastColumn="0"/>
            <w:tcW w:w="924" w:type="pct"/>
            <w:vMerge/>
            <w:tcBorders>
              <w:top w:val="nil"/>
            </w:tcBorders>
            <w:shd w:val="clear" w:color="auto" w:fill="7F7F7F" w:themeFill="text1" w:themeFillTint="80"/>
          </w:tcPr>
          <w:p w14:paraId="292A4AF8" w14:textId="4173E68F" w:rsidR="00801A4D" w:rsidRPr="00953A6F" w:rsidRDefault="00801A4D" w:rsidP="00953A6F">
            <w:pPr>
              <w:spacing w:after="120"/>
              <w:rPr>
                <w:rFonts w:asciiTheme="minorHAnsi" w:hAnsiTheme="minorHAnsi" w:cstheme="minorHAnsi"/>
                <w:color w:val="FFFFFF" w:themeColor="background1"/>
                <w:sz w:val="20"/>
                <w:szCs w:val="20"/>
              </w:rPr>
            </w:pPr>
          </w:p>
        </w:tc>
        <w:tc>
          <w:tcPr>
            <w:tcW w:w="216" w:type="pct"/>
            <w:tcBorders>
              <w:top w:val="nil"/>
              <w:bottom w:val="nil"/>
              <w:right w:val="nil"/>
            </w:tcBorders>
            <w:shd w:val="clear" w:color="auto" w:fill="7F7F7F" w:themeFill="text1" w:themeFillTint="80"/>
            <w:vAlign w:val="center"/>
          </w:tcPr>
          <w:p w14:paraId="1B676BB5" w14:textId="3EA43678"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ACT</w:t>
            </w:r>
          </w:p>
        </w:tc>
        <w:tc>
          <w:tcPr>
            <w:tcW w:w="216" w:type="pct"/>
            <w:tcBorders>
              <w:top w:val="nil"/>
              <w:left w:val="nil"/>
              <w:bottom w:val="nil"/>
              <w:right w:val="nil"/>
            </w:tcBorders>
            <w:shd w:val="clear" w:color="auto" w:fill="7F7F7F" w:themeFill="text1" w:themeFillTint="80"/>
            <w:vAlign w:val="center"/>
          </w:tcPr>
          <w:p w14:paraId="477FAA38" w14:textId="2B1ED8FC"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NSW</w:t>
            </w:r>
          </w:p>
        </w:tc>
        <w:tc>
          <w:tcPr>
            <w:tcW w:w="155" w:type="pct"/>
            <w:tcBorders>
              <w:top w:val="nil"/>
              <w:left w:val="nil"/>
              <w:bottom w:val="nil"/>
              <w:right w:val="nil"/>
            </w:tcBorders>
            <w:shd w:val="clear" w:color="auto" w:fill="7F7F7F" w:themeFill="text1" w:themeFillTint="80"/>
            <w:vAlign w:val="center"/>
          </w:tcPr>
          <w:p w14:paraId="1EFD3FB4" w14:textId="3E61FC0F"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NT</w:t>
            </w:r>
          </w:p>
        </w:tc>
        <w:tc>
          <w:tcPr>
            <w:tcW w:w="175" w:type="pct"/>
            <w:tcBorders>
              <w:top w:val="nil"/>
              <w:left w:val="nil"/>
              <w:bottom w:val="nil"/>
              <w:right w:val="nil"/>
            </w:tcBorders>
            <w:shd w:val="clear" w:color="auto" w:fill="7F7F7F" w:themeFill="text1" w:themeFillTint="80"/>
            <w:vAlign w:val="center"/>
          </w:tcPr>
          <w:p w14:paraId="6B610D6E" w14:textId="0662141B"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Qld</w:t>
            </w:r>
          </w:p>
        </w:tc>
        <w:tc>
          <w:tcPr>
            <w:tcW w:w="216" w:type="pct"/>
            <w:tcBorders>
              <w:top w:val="nil"/>
              <w:left w:val="nil"/>
              <w:bottom w:val="nil"/>
              <w:right w:val="nil"/>
            </w:tcBorders>
            <w:shd w:val="clear" w:color="auto" w:fill="7F7F7F" w:themeFill="text1" w:themeFillTint="80"/>
            <w:vAlign w:val="center"/>
          </w:tcPr>
          <w:p w14:paraId="061FCABC" w14:textId="595E390B"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SA</w:t>
            </w:r>
          </w:p>
        </w:tc>
        <w:tc>
          <w:tcPr>
            <w:tcW w:w="170" w:type="pct"/>
            <w:tcBorders>
              <w:top w:val="nil"/>
              <w:left w:val="nil"/>
              <w:bottom w:val="nil"/>
              <w:right w:val="nil"/>
            </w:tcBorders>
            <w:shd w:val="clear" w:color="auto" w:fill="7F7F7F" w:themeFill="text1" w:themeFillTint="80"/>
            <w:vAlign w:val="center"/>
          </w:tcPr>
          <w:p w14:paraId="312F3444" w14:textId="4460FE45"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Tas</w:t>
            </w:r>
          </w:p>
        </w:tc>
        <w:tc>
          <w:tcPr>
            <w:tcW w:w="216" w:type="pct"/>
            <w:tcBorders>
              <w:top w:val="nil"/>
              <w:left w:val="nil"/>
              <w:bottom w:val="nil"/>
              <w:right w:val="nil"/>
            </w:tcBorders>
            <w:shd w:val="clear" w:color="auto" w:fill="7F7F7F" w:themeFill="text1" w:themeFillTint="80"/>
            <w:vAlign w:val="center"/>
          </w:tcPr>
          <w:p w14:paraId="44681D93" w14:textId="127E320E"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Vic</w:t>
            </w:r>
          </w:p>
        </w:tc>
        <w:tc>
          <w:tcPr>
            <w:tcW w:w="216" w:type="pct"/>
            <w:tcBorders>
              <w:top w:val="nil"/>
              <w:left w:val="nil"/>
              <w:bottom w:val="nil"/>
              <w:right w:val="nil"/>
            </w:tcBorders>
            <w:shd w:val="clear" w:color="auto" w:fill="7F7F7F" w:themeFill="text1" w:themeFillTint="80"/>
            <w:vAlign w:val="center"/>
          </w:tcPr>
          <w:p w14:paraId="0207F84D" w14:textId="0E52ECF9"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WA</w:t>
            </w:r>
          </w:p>
        </w:tc>
        <w:tc>
          <w:tcPr>
            <w:tcW w:w="217" w:type="pct"/>
            <w:tcBorders>
              <w:top w:val="nil"/>
              <w:left w:val="nil"/>
              <w:bottom w:val="nil"/>
              <w:right w:val="nil"/>
            </w:tcBorders>
            <w:shd w:val="clear" w:color="auto" w:fill="7F7F7F" w:themeFill="text1" w:themeFillTint="80"/>
            <w:vAlign w:val="center"/>
          </w:tcPr>
          <w:p w14:paraId="2497572A" w14:textId="399F35D4"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USA</w:t>
            </w:r>
          </w:p>
        </w:tc>
        <w:tc>
          <w:tcPr>
            <w:tcW w:w="221" w:type="pct"/>
            <w:tcBorders>
              <w:top w:val="nil"/>
              <w:left w:val="nil"/>
              <w:bottom w:val="nil"/>
            </w:tcBorders>
            <w:shd w:val="clear" w:color="auto" w:fill="7F7F7F" w:themeFill="text1" w:themeFillTint="80"/>
            <w:vAlign w:val="center"/>
          </w:tcPr>
          <w:p w14:paraId="568ADE97" w14:textId="2C8D633A" w:rsidR="00801A4D" w:rsidRPr="00953A6F" w:rsidRDefault="00801A4D" w:rsidP="00953A6F">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0"/>
                <w:szCs w:val="20"/>
              </w:rPr>
            </w:pPr>
            <w:r w:rsidRPr="00953A6F">
              <w:rPr>
                <w:rFonts w:asciiTheme="minorHAnsi" w:hAnsiTheme="minorHAnsi" w:cstheme="minorHAnsi"/>
                <w:b w:val="0"/>
                <w:color w:val="FFFFFF" w:themeColor="background1"/>
                <w:sz w:val="20"/>
                <w:szCs w:val="20"/>
              </w:rPr>
              <w:t>UK</w:t>
            </w:r>
          </w:p>
        </w:tc>
        <w:tc>
          <w:tcPr>
            <w:tcW w:w="2056" w:type="pct"/>
            <w:gridSpan w:val="2"/>
            <w:tcBorders>
              <w:top w:val="nil"/>
              <w:bottom w:val="single" w:sz="4" w:space="0" w:color="FFFFFF" w:themeColor="background1"/>
            </w:tcBorders>
            <w:shd w:val="clear" w:color="auto" w:fill="7F7F7F" w:themeFill="text1" w:themeFillTint="80"/>
          </w:tcPr>
          <w:p w14:paraId="288A202C" w14:textId="6B96B3F0" w:rsidR="00801A4D" w:rsidRPr="00953A6F" w:rsidRDefault="00801A4D" w:rsidP="00953A6F">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r>
      <w:tr w:rsidR="00953A6F" w:rsidRPr="00953A6F" w14:paraId="2A05895F" w14:textId="77777777" w:rsidTr="003202A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FFFFFF" w:themeColor="background1"/>
            </w:tcBorders>
            <w:shd w:val="clear" w:color="auto" w:fill="7F7F7F" w:themeFill="text1" w:themeFillTint="80"/>
            <w:vAlign w:val="center"/>
          </w:tcPr>
          <w:p w14:paraId="4058CEE2" w14:textId="4F0999E6" w:rsidR="0047695D" w:rsidRPr="00953A6F" w:rsidRDefault="0047695D" w:rsidP="00953A6F">
            <w:pPr>
              <w:jc w:val="center"/>
              <w:rPr>
                <w:rFonts w:asciiTheme="minorHAnsi" w:hAnsiTheme="minorHAnsi" w:cstheme="minorHAnsi"/>
                <w:color w:val="FFFFFF" w:themeColor="background1"/>
                <w:sz w:val="20"/>
                <w:szCs w:val="20"/>
              </w:rPr>
            </w:pPr>
            <w:r w:rsidRPr="00953A6F">
              <w:rPr>
                <w:rFonts w:asciiTheme="minorHAnsi" w:hAnsiTheme="minorHAnsi" w:cstheme="minorHAnsi"/>
                <w:color w:val="FFFFFF" w:themeColor="background1"/>
                <w:sz w:val="20"/>
                <w:szCs w:val="20"/>
              </w:rPr>
              <w:t xml:space="preserve">PREVENTION </w:t>
            </w:r>
          </w:p>
        </w:tc>
      </w:tr>
      <w:tr w:rsidR="00305C58" w:rsidRPr="00953A6F" w14:paraId="2EC9CC5A"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4F52F28A" w14:textId="38625448" w:rsidR="00205B31" w:rsidRPr="005A13ED" w:rsidRDefault="00CE0316" w:rsidP="00DC35CF">
            <w:pPr>
              <w:pStyle w:val="ListParagraph"/>
              <w:numPr>
                <w:ilvl w:val="0"/>
                <w:numId w:val="21"/>
              </w:numPr>
              <w:ind w:left="284"/>
              <w:rPr>
                <w:rFonts w:cstheme="minorHAnsi"/>
                <w:sz w:val="20"/>
                <w:szCs w:val="20"/>
              </w:rPr>
            </w:pPr>
            <w:r w:rsidRPr="005A13ED">
              <w:rPr>
                <w:rFonts w:cstheme="minorHAnsi"/>
                <w:sz w:val="20"/>
                <w:szCs w:val="20"/>
              </w:rPr>
              <w:t>Generator hazardous w</w:t>
            </w:r>
            <w:r w:rsidR="00205B31" w:rsidRPr="005A13ED">
              <w:rPr>
                <w:rFonts w:cstheme="minorHAnsi"/>
                <w:sz w:val="20"/>
                <w:szCs w:val="20"/>
              </w:rPr>
              <w:t xml:space="preserve">aste minimisation </w:t>
            </w:r>
            <w:r w:rsidR="000C0BDD">
              <w:rPr>
                <w:rFonts w:cstheme="minorHAnsi"/>
                <w:sz w:val="20"/>
                <w:szCs w:val="20"/>
              </w:rPr>
              <w:t>reporting re</w:t>
            </w:r>
            <w:r w:rsidR="00205B31" w:rsidRPr="005A13ED">
              <w:rPr>
                <w:rFonts w:cstheme="minorHAnsi"/>
                <w:sz w:val="20"/>
                <w:szCs w:val="20"/>
              </w:rPr>
              <w:t>quired</w:t>
            </w:r>
          </w:p>
        </w:tc>
        <w:tc>
          <w:tcPr>
            <w:tcW w:w="216" w:type="pct"/>
            <w:tcBorders>
              <w:left w:val="single" w:sz="4" w:space="0" w:color="7F7F7F" w:themeColor="text1" w:themeTint="80"/>
              <w:right w:val="single" w:sz="4" w:space="0" w:color="7F7F7F" w:themeColor="text1" w:themeTint="80"/>
            </w:tcBorders>
            <w:vAlign w:val="center"/>
          </w:tcPr>
          <w:p w14:paraId="3C2F7FE9" w14:textId="7C2513B7"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54AD714" w14:textId="35D443CF"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155" w:type="pct"/>
            <w:tcBorders>
              <w:left w:val="single" w:sz="4" w:space="0" w:color="7F7F7F" w:themeColor="text1" w:themeTint="80"/>
              <w:right w:val="single" w:sz="4" w:space="0" w:color="7F7F7F" w:themeColor="text1" w:themeTint="80"/>
            </w:tcBorders>
            <w:vAlign w:val="center"/>
          </w:tcPr>
          <w:p w14:paraId="2329CE0B" w14:textId="454EAB2E"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15D2432E" w14:textId="2CCB5B53"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3E68049E" w14:textId="4081EB33"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170" w:type="pct"/>
            <w:tcBorders>
              <w:left w:val="single" w:sz="4" w:space="0" w:color="7F7F7F" w:themeColor="text1" w:themeTint="80"/>
              <w:right w:val="single" w:sz="4" w:space="0" w:color="7F7F7F" w:themeColor="text1" w:themeTint="80"/>
            </w:tcBorders>
            <w:vAlign w:val="center"/>
          </w:tcPr>
          <w:p w14:paraId="3785F11F" w14:textId="05CFF854"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2880164B" w14:textId="4BC689BA"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4E40187" w14:textId="4747DBFA"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4A1B806B" w14:textId="1E45BF7C"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sidRPr="00CE0316">
              <w:rPr>
                <w:rStyle w:val="FootnoteReference"/>
                <w:rFonts w:cstheme="minorHAnsi"/>
                <w:b/>
                <w:sz w:val="28"/>
                <w:szCs w:val="28"/>
              </w:rPr>
              <w:footnoteReference w:id="16"/>
            </w:r>
          </w:p>
        </w:tc>
        <w:tc>
          <w:tcPr>
            <w:tcW w:w="221" w:type="pct"/>
            <w:tcBorders>
              <w:left w:val="single" w:sz="4" w:space="0" w:color="7F7F7F" w:themeColor="text1" w:themeTint="80"/>
              <w:right w:val="single" w:sz="4" w:space="0" w:color="7F7F7F" w:themeColor="text1" w:themeTint="80"/>
            </w:tcBorders>
            <w:vAlign w:val="center"/>
          </w:tcPr>
          <w:p w14:paraId="1C1A63B0" w14:textId="0D74D7B3" w:rsidR="00205B31" w:rsidRPr="00CE0316" w:rsidRDefault="00CE0316" w:rsidP="00CE03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056" w:type="pct"/>
            <w:gridSpan w:val="2"/>
            <w:tcBorders>
              <w:left w:val="single" w:sz="4" w:space="0" w:color="7F7F7F" w:themeColor="text1" w:themeTint="80"/>
            </w:tcBorders>
            <w:vAlign w:val="center"/>
          </w:tcPr>
          <w:p w14:paraId="3B6F101C" w14:textId="09E6C1FD" w:rsidR="00B855F5" w:rsidRDefault="00CE0316" w:rsidP="00C527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Hazardous waste minimisation plans are not </w:t>
            </w:r>
            <w:r w:rsidR="00B855F5">
              <w:rPr>
                <w:rFonts w:asciiTheme="minorHAnsi" w:hAnsiTheme="minorHAnsi" w:cstheme="minorHAnsi"/>
                <w:sz w:val="20"/>
                <w:szCs w:val="20"/>
              </w:rPr>
              <w:t>r</w:t>
            </w:r>
            <w:r>
              <w:rPr>
                <w:rFonts w:asciiTheme="minorHAnsi" w:hAnsiTheme="minorHAnsi" w:cstheme="minorHAnsi"/>
                <w:sz w:val="20"/>
                <w:szCs w:val="20"/>
              </w:rPr>
              <w:t>equire</w:t>
            </w:r>
            <w:r w:rsidR="00B855F5">
              <w:rPr>
                <w:rFonts w:asciiTheme="minorHAnsi" w:hAnsiTheme="minorHAnsi" w:cstheme="minorHAnsi"/>
                <w:sz w:val="20"/>
                <w:szCs w:val="20"/>
              </w:rPr>
              <w:t xml:space="preserve">d </w:t>
            </w:r>
            <w:r>
              <w:rPr>
                <w:rFonts w:asciiTheme="minorHAnsi" w:hAnsiTheme="minorHAnsi" w:cstheme="minorHAnsi"/>
                <w:sz w:val="20"/>
                <w:szCs w:val="20"/>
              </w:rPr>
              <w:t xml:space="preserve">in Australia. However, </w:t>
            </w:r>
            <w:r w:rsidR="00064817">
              <w:rPr>
                <w:rFonts w:asciiTheme="minorHAnsi" w:hAnsiTheme="minorHAnsi" w:cstheme="minorHAnsi"/>
                <w:sz w:val="20"/>
                <w:szCs w:val="20"/>
              </w:rPr>
              <w:t>the wa</w:t>
            </w:r>
            <w:r w:rsidR="00B855F5">
              <w:rPr>
                <w:rFonts w:asciiTheme="minorHAnsi" w:hAnsiTheme="minorHAnsi" w:cstheme="minorHAnsi"/>
                <w:sz w:val="20"/>
                <w:szCs w:val="20"/>
              </w:rPr>
              <w:t>s</w:t>
            </w:r>
            <w:r w:rsidR="00064817">
              <w:rPr>
                <w:rFonts w:asciiTheme="minorHAnsi" w:hAnsiTheme="minorHAnsi" w:cstheme="minorHAnsi"/>
                <w:sz w:val="20"/>
                <w:szCs w:val="20"/>
              </w:rPr>
              <w:t>te hierarchy is legislated in all jurisdictions, which prioritises waste minimisation.</w:t>
            </w:r>
            <w:r w:rsidR="00C527D8">
              <w:rPr>
                <w:rFonts w:asciiTheme="minorHAnsi" w:hAnsiTheme="minorHAnsi" w:cstheme="minorHAnsi"/>
                <w:sz w:val="20"/>
                <w:szCs w:val="20"/>
              </w:rPr>
              <w:t xml:space="preserve"> Note: </w:t>
            </w:r>
            <w:r w:rsidR="00B855F5">
              <w:rPr>
                <w:rFonts w:asciiTheme="minorHAnsi" w:hAnsiTheme="minorHAnsi" w:cstheme="minorHAnsi"/>
                <w:sz w:val="20"/>
                <w:szCs w:val="20"/>
              </w:rPr>
              <w:t xml:space="preserve">US EPA have set up a sliding scale of requirements for waste minimisation, </w:t>
            </w:r>
            <w:r w:rsidR="00B855F5" w:rsidRPr="00B855F5">
              <w:rPr>
                <w:rFonts w:asciiTheme="minorHAnsi" w:hAnsiTheme="minorHAnsi" w:cstheme="minorHAnsi"/>
                <w:sz w:val="20"/>
                <w:szCs w:val="20"/>
                <w:u w:val="single"/>
              </w:rPr>
              <w:t xml:space="preserve">and all other </w:t>
            </w:r>
            <w:r w:rsidR="00B855F5">
              <w:rPr>
                <w:rFonts w:asciiTheme="minorHAnsi" w:hAnsiTheme="minorHAnsi" w:cstheme="minorHAnsi"/>
                <w:sz w:val="20"/>
                <w:szCs w:val="20"/>
                <w:u w:val="single"/>
              </w:rPr>
              <w:t>elements discussed below</w:t>
            </w:r>
            <w:r w:rsidR="00B855F5">
              <w:rPr>
                <w:rFonts w:asciiTheme="minorHAnsi" w:hAnsiTheme="minorHAnsi" w:cstheme="minorHAnsi"/>
                <w:sz w:val="20"/>
                <w:szCs w:val="20"/>
              </w:rPr>
              <w:t xml:space="preserve">, based on the amount </w:t>
            </w:r>
            <w:r w:rsidR="00B855F5">
              <w:rPr>
                <w:rFonts w:asciiTheme="minorHAnsi" w:hAnsiTheme="minorHAnsi" w:cstheme="minorHAnsi"/>
                <w:b/>
                <w:sz w:val="20"/>
                <w:szCs w:val="20"/>
              </w:rPr>
              <w:t xml:space="preserve">and </w:t>
            </w:r>
            <w:r w:rsidR="00B855F5">
              <w:rPr>
                <w:rFonts w:asciiTheme="minorHAnsi" w:hAnsiTheme="minorHAnsi" w:cstheme="minorHAnsi"/>
                <w:sz w:val="20"/>
                <w:szCs w:val="20"/>
              </w:rPr>
              <w:t>toxicity of the waste being stockpiled.</w:t>
            </w:r>
          </w:p>
        </w:tc>
      </w:tr>
      <w:tr w:rsidR="00305C58" w:rsidRPr="00953A6F" w14:paraId="00370463"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52166C10" w14:textId="1F38B624" w:rsidR="000356E8" w:rsidRPr="005A13ED" w:rsidRDefault="000356E8" w:rsidP="00DC35CF">
            <w:pPr>
              <w:pStyle w:val="ListParagraph"/>
              <w:numPr>
                <w:ilvl w:val="0"/>
                <w:numId w:val="21"/>
              </w:numPr>
              <w:ind w:left="284"/>
              <w:rPr>
                <w:rFonts w:cstheme="minorHAnsi"/>
                <w:sz w:val="20"/>
                <w:szCs w:val="20"/>
              </w:rPr>
            </w:pPr>
            <w:r w:rsidRPr="005A13ED">
              <w:rPr>
                <w:rFonts w:cstheme="minorHAnsi"/>
                <w:sz w:val="20"/>
                <w:szCs w:val="20"/>
              </w:rPr>
              <w:t>Licence</w:t>
            </w:r>
            <w:r w:rsidR="004B574A" w:rsidRPr="005A13ED">
              <w:rPr>
                <w:rFonts w:cstheme="minorHAnsi"/>
                <w:sz w:val="20"/>
                <w:szCs w:val="20"/>
              </w:rPr>
              <w:t>/p</w:t>
            </w:r>
            <w:r w:rsidRPr="005A13ED">
              <w:rPr>
                <w:rFonts w:cstheme="minorHAnsi"/>
                <w:sz w:val="20"/>
                <w:szCs w:val="20"/>
              </w:rPr>
              <w:t>ermit required to stockpile hazardous waste</w:t>
            </w:r>
          </w:p>
        </w:tc>
        <w:tc>
          <w:tcPr>
            <w:tcW w:w="216" w:type="pct"/>
            <w:tcBorders>
              <w:left w:val="single" w:sz="4" w:space="0" w:color="7F7F7F" w:themeColor="text1" w:themeTint="80"/>
              <w:right w:val="single" w:sz="4" w:space="0" w:color="7F7F7F" w:themeColor="text1" w:themeTint="80"/>
            </w:tcBorders>
            <w:vAlign w:val="center"/>
          </w:tcPr>
          <w:p w14:paraId="413C914E" w14:textId="297DB364"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4B9F41F7" w14:textId="75651697"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37B27866" w14:textId="13F8C080"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5" w:type="pct"/>
            <w:tcBorders>
              <w:left w:val="single" w:sz="4" w:space="0" w:color="7F7F7F" w:themeColor="text1" w:themeTint="80"/>
              <w:right w:val="single" w:sz="4" w:space="0" w:color="7F7F7F" w:themeColor="text1" w:themeTint="80"/>
            </w:tcBorders>
            <w:vAlign w:val="center"/>
          </w:tcPr>
          <w:p w14:paraId="54C1A876" w14:textId="470C7C3E"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246894AE" w14:textId="207A770F"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5B1C9A92" w14:textId="316CF48B"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7362B830" w14:textId="28FB8B82"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2D4111E2" w14:textId="2DEB673A"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7" w:type="pct"/>
            <w:tcBorders>
              <w:left w:val="single" w:sz="4" w:space="0" w:color="7F7F7F" w:themeColor="text1" w:themeTint="80"/>
              <w:right w:val="single" w:sz="4" w:space="0" w:color="7F7F7F" w:themeColor="text1" w:themeTint="80"/>
            </w:tcBorders>
            <w:vAlign w:val="center"/>
          </w:tcPr>
          <w:p w14:paraId="3457DC1A" w14:textId="40E376A5"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29A3927C" w14:textId="6857CF8D" w:rsidR="000356E8" w:rsidRPr="00CE0316" w:rsidRDefault="004B574A" w:rsidP="00CE03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056" w:type="pct"/>
            <w:gridSpan w:val="2"/>
            <w:tcBorders>
              <w:left w:val="single" w:sz="4" w:space="0" w:color="7F7F7F" w:themeColor="text1" w:themeTint="80"/>
            </w:tcBorders>
            <w:vAlign w:val="center"/>
          </w:tcPr>
          <w:p w14:paraId="03376C01" w14:textId="06EBD6F4" w:rsidR="000356E8" w:rsidRDefault="005A13ED" w:rsidP="0084442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 all Australian jurisdictions and in many developed countries sites that are generating and</w:t>
            </w:r>
            <w:r w:rsidR="006812F7">
              <w:rPr>
                <w:rFonts w:asciiTheme="minorHAnsi" w:hAnsiTheme="minorHAnsi" w:cstheme="minorHAnsi"/>
                <w:sz w:val="20"/>
                <w:szCs w:val="20"/>
              </w:rPr>
              <w:t>/or</w:t>
            </w:r>
            <w:r>
              <w:rPr>
                <w:rFonts w:asciiTheme="minorHAnsi" w:hAnsiTheme="minorHAnsi" w:cstheme="minorHAnsi"/>
                <w:sz w:val="20"/>
                <w:szCs w:val="20"/>
              </w:rPr>
              <w:t xml:space="preserve"> stockpiling hazardous wastes (such as liquid wastes and chemically intractable solid wastes) are required to</w:t>
            </w:r>
            <w:r w:rsidR="0099408E">
              <w:rPr>
                <w:rFonts w:asciiTheme="minorHAnsi" w:hAnsiTheme="minorHAnsi" w:cstheme="minorHAnsi"/>
                <w:sz w:val="20"/>
                <w:szCs w:val="20"/>
              </w:rPr>
              <w:t xml:space="preserve"> have an environmental permit or</w:t>
            </w:r>
            <w:r>
              <w:rPr>
                <w:rFonts w:asciiTheme="minorHAnsi" w:hAnsiTheme="minorHAnsi" w:cstheme="minorHAnsi"/>
                <w:sz w:val="20"/>
                <w:szCs w:val="20"/>
              </w:rPr>
              <w:t xml:space="preserve"> licence in place. </w:t>
            </w:r>
          </w:p>
        </w:tc>
      </w:tr>
      <w:tr w:rsidR="00305C58" w:rsidRPr="00953A6F" w14:paraId="5B405060" w14:textId="77777777" w:rsidTr="003202A8">
        <w:trPr>
          <w:cantSplit/>
          <w:trHeight w:val="1134"/>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6FCC2EFD" w14:textId="17BD6B0E" w:rsidR="009E2049" w:rsidRPr="005A13ED" w:rsidRDefault="00C24D71" w:rsidP="000C12FE">
            <w:pPr>
              <w:pStyle w:val="ListParagraph"/>
              <w:numPr>
                <w:ilvl w:val="1"/>
                <w:numId w:val="21"/>
              </w:numPr>
              <w:ind w:left="567"/>
              <w:rPr>
                <w:rFonts w:cstheme="minorHAnsi"/>
                <w:sz w:val="20"/>
                <w:szCs w:val="20"/>
              </w:rPr>
            </w:pPr>
            <w:r w:rsidRPr="005A13ED">
              <w:rPr>
                <w:rFonts w:cstheme="minorHAnsi"/>
                <w:sz w:val="20"/>
                <w:szCs w:val="20"/>
              </w:rPr>
              <w:t>E</w:t>
            </w:r>
            <w:r w:rsidR="00C527D8">
              <w:rPr>
                <w:rFonts w:cstheme="minorHAnsi"/>
                <w:sz w:val="20"/>
                <w:szCs w:val="20"/>
              </w:rPr>
              <w:t>OLT</w:t>
            </w:r>
            <w:r w:rsidRPr="005A13ED">
              <w:rPr>
                <w:rFonts w:cstheme="minorHAnsi"/>
                <w:sz w:val="20"/>
                <w:szCs w:val="20"/>
              </w:rPr>
              <w:t xml:space="preserve"> </w:t>
            </w:r>
            <w:r>
              <w:rPr>
                <w:rFonts w:cstheme="minorHAnsi"/>
                <w:sz w:val="20"/>
                <w:szCs w:val="20"/>
              </w:rPr>
              <w:t>l</w:t>
            </w:r>
            <w:r w:rsidR="009E2049" w:rsidRPr="005A13ED">
              <w:rPr>
                <w:rFonts w:cstheme="minorHAnsi"/>
                <w:sz w:val="20"/>
                <w:szCs w:val="20"/>
              </w:rPr>
              <w:t>icence required</w:t>
            </w:r>
            <w:r w:rsidR="000C0BDD">
              <w:rPr>
                <w:rFonts w:cstheme="minorHAnsi"/>
                <w:sz w:val="20"/>
                <w:szCs w:val="20"/>
              </w:rPr>
              <w:t xml:space="preserve"> to stockpile</w:t>
            </w:r>
          </w:p>
        </w:tc>
        <w:tc>
          <w:tcPr>
            <w:tcW w:w="216" w:type="pct"/>
            <w:tcBorders>
              <w:left w:val="single" w:sz="4" w:space="0" w:color="7F7F7F" w:themeColor="text1" w:themeTint="80"/>
              <w:right w:val="single" w:sz="4" w:space="0" w:color="7F7F7F" w:themeColor="text1" w:themeTint="80"/>
            </w:tcBorders>
            <w:vAlign w:val="center"/>
          </w:tcPr>
          <w:p w14:paraId="073389F0" w14:textId="752BCF5E" w:rsidR="009E2049" w:rsidRPr="00CE0316" w:rsidRDefault="0033422F"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Pr>
                <w:rStyle w:val="FootnoteReference"/>
                <w:rFonts w:cstheme="minorHAnsi"/>
                <w:b/>
                <w:sz w:val="28"/>
                <w:szCs w:val="28"/>
              </w:rPr>
              <w:footnoteReference w:id="17"/>
            </w:r>
          </w:p>
        </w:tc>
        <w:tc>
          <w:tcPr>
            <w:tcW w:w="216" w:type="pct"/>
            <w:tcBorders>
              <w:left w:val="single" w:sz="4" w:space="0" w:color="7F7F7F" w:themeColor="text1" w:themeTint="80"/>
              <w:right w:val="single" w:sz="4" w:space="0" w:color="7F7F7F" w:themeColor="text1" w:themeTint="80"/>
            </w:tcBorders>
            <w:vAlign w:val="center"/>
          </w:tcPr>
          <w:p w14:paraId="5F3F7090" w14:textId="2FF04CAC" w:rsidR="009E2049" w:rsidRPr="00CE0316" w:rsidRDefault="00AF72F3"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Pr>
                <w:rStyle w:val="FootnoteReference"/>
                <w:rFonts w:cstheme="minorHAnsi"/>
                <w:b/>
                <w:sz w:val="28"/>
                <w:szCs w:val="28"/>
              </w:rPr>
              <w:footnoteReference w:id="18"/>
            </w:r>
          </w:p>
        </w:tc>
        <w:tc>
          <w:tcPr>
            <w:tcW w:w="155" w:type="pct"/>
            <w:tcBorders>
              <w:left w:val="single" w:sz="4" w:space="0" w:color="7F7F7F" w:themeColor="text1" w:themeTint="80"/>
              <w:right w:val="single" w:sz="4" w:space="0" w:color="7F7F7F" w:themeColor="text1" w:themeTint="80"/>
            </w:tcBorders>
            <w:vAlign w:val="center"/>
          </w:tcPr>
          <w:p w14:paraId="1FCE1CE1" w14:textId="00273984" w:rsidR="009E2049" w:rsidRPr="00CE0316" w:rsidRDefault="000C0BDD"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5" w:type="pct"/>
            <w:tcBorders>
              <w:left w:val="single" w:sz="4" w:space="0" w:color="7F7F7F" w:themeColor="text1" w:themeTint="80"/>
              <w:right w:val="single" w:sz="4" w:space="0" w:color="7F7F7F" w:themeColor="text1" w:themeTint="80"/>
            </w:tcBorders>
            <w:vAlign w:val="center"/>
          </w:tcPr>
          <w:p w14:paraId="4136B20A" w14:textId="5AAE49A7" w:rsidR="009E2049" w:rsidRPr="00CE0316" w:rsidRDefault="009E2049"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6A58FC5A" w14:textId="70E37A81" w:rsidR="009E2049" w:rsidRPr="00CE0316" w:rsidRDefault="00A82BDA"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Pr>
                <w:rStyle w:val="FootnoteReference"/>
                <w:rFonts w:cstheme="minorHAnsi"/>
                <w:b/>
                <w:sz w:val="28"/>
                <w:szCs w:val="28"/>
              </w:rPr>
              <w:footnoteReference w:id="19"/>
            </w:r>
          </w:p>
        </w:tc>
        <w:tc>
          <w:tcPr>
            <w:tcW w:w="170" w:type="pct"/>
            <w:tcBorders>
              <w:left w:val="single" w:sz="4" w:space="0" w:color="7F7F7F" w:themeColor="text1" w:themeTint="80"/>
              <w:right w:val="single" w:sz="4" w:space="0" w:color="7F7F7F" w:themeColor="text1" w:themeTint="80"/>
            </w:tcBorders>
            <w:vAlign w:val="center"/>
          </w:tcPr>
          <w:p w14:paraId="72D5F6E9" w14:textId="3EE584F1" w:rsidR="009E2049" w:rsidRPr="00CE0316" w:rsidRDefault="00F0707B"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156E5045" w14:textId="4026B7B3" w:rsidR="009E2049" w:rsidRPr="00CE0316" w:rsidRDefault="009E2049"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Pr>
                <w:rStyle w:val="FootnoteReference"/>
                <w:rFonts w:cstheme="minorHAnsi"/>
                <w:b/>
                <w:sz w:val="28"/>
                <w:szCs w:val="28"/>
              </w:rPr>
              <w:footnoteReference w:id="20"/>
            </w:r>
          </w:p>
        </w:tc>
        <w:tc>
          <w:tcPr>
            <w:tcW w:w="216" w:type="pct"/>
            <w:tcBorders>
              <w:left w:val="single" w:sz="4" w:space="0" w:color="7F7F7F" w:themeColor="text1" w:themeTint="80"/>
              <w:right w:val="single" w:sz="4" w:space="0" w:color="7F7F7F" w:themeColor="text1" w:themeTint="80"/>
            </w:tcBorders>
            <w:vAlign w:val="center"/>
          </w:tcPr>
          <w:p w14:paraId="440A11DA" w14:textId="2D59A64C" w:rsidR="009E2049" w:rsidRPr="00CE0316" w:rsidRDefault="009E2049"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Pr>
                <w:rStyle w:val="FootnoteReference"/>
                <w:rFonts w:cstheme="minorHAnsi"/>
                <w:b/>
                <w:sz w:val="28"/>
                <w:szCs w:val="28"/>
              </w:rPr>
              <w:footnoteReference w:id="21"/>
            </w:r>
          </w:p>
        </w:tc>
        <w:tc>
          <w:tcPr>
            <w:tcW w:w="217" w:type="pct"/>
            <w:tcBorders>
              <w:left w:val="single" w:sz="4" w:space="0" w:color="7F7F7F" w:themeColor="text1" w:themeTint="80"/>
              <w:right w:val="single" w:sz="4" w:space="0" w:color="7F7F7F" w:themeColor="text1" w:themeTint="80"/>
            </w:tcBorders>
            <w:vAlign w:val="center"/>
          </w:tcPr>
          <w:p w14:paraId="515BA72B" w14:textId="5B111D53" w:rsidR="009E2049" w:rsidRPr="00D4168B" w:rsidRDefault="00D4168B" w:rsidP="00D416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8"/>
              </w:rPr>
            </w:pPr>
            <w:r w:rsidRPr="00D4168B">
              <w:rPr>
                <w:rFonts w:asciiTheme="minorHAnsi" w:hAnsiTheme="minorHAnsi" w:cstheme="minorHAnsi"/>
                <w:sz w:val="18"/>
                <w:szCs w:val="28"/>
              </w:rPr>
              <w:t>-</w:t>
            </w:r>
          </w:p>
        </w:tc>
        <w:tc>
          <w:tcPr>
            <w:tcW w:w="221" w:type="pct"/>
            <w:tcBorders>
              <w:left w:val="single" w:sz="4" w:space="0" w:color="7F7F7F" w:themeColor="text1" w:themeTint="80"/>
              <w:right w:val="single" w:sz="4" w:space="0" w:color="7F7F7F" w:themeColor="text1" w:themeTint="80"/>
            </w:tcBorders>
            <w:vAlign w:val="center"/>
          </w:tcPr>
          <w:p w14:paraId="442907B2" w14:textId="4B788435" w:rsidR="009E2049" w:rsidRPr="00D4168B" w:rsidRDefault="00D4168B" w:rsidP="00D416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8"/>
              </w:rPr>
            </w:pPr>
            <w:r w:rsidRPr="00D4168B">
              <w:rPr>
                <w:rFonts w:asciiTheme="minorHAnsi" w:hAnsiTheme="minorHAnsi" w:cstheme="minorHAnsi"/>
                <w:sz w:val="18"/>
                <w:szCs w:val="28"/>
              </w:rPr>
              <w:t>-</w:t>
            </w:r>
          </w:p>
        </w:tc>
        <w:tc>
          <w:tcPr>
            <w:tcW w:w="2056" w:type="pct"/>
            <w:gridSpan w:val="2"/>
            <w:tcBorders>
              <w:left w:val="single" w:sz="4" w:space="0" w:color="7F7F7F" w:themeColor="text1" w:themeTint="80"/>
            </w:tcBorders>
            <w:vAlign w:val="center"/>
          </w:tcPr>
          <w:p w14:paraId="751900CB" w14:textId="5EED8814" w:rsidR="00305C58" w:rsidRDefault="00C41DEC" w:rsidP="00C527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EOLT stockpiling</w:t>
            </w:r>
            <w:r w:rsidR="0099408E">
              <w:rPr>
                <w:rFonts w:asciiTheme="minorHAnsi" w:hAnsiTheme="minorHAnsi" w:cstheme="minorHAnsi"/>
                <w:sz w:val="20"/>
                <w:szCs w:val="20"/>
              </w:rPr>
              <w:t xml:space="preserve"> is licensed in all Australian jurisdictions apart from Qld and Tas. However, the thresholds of storage that are regulated vary significantly from about 1 tonne in WA up</w:t>
            </w:r>
            <w:r w:rsidR="00EF625A">
              <w:rPr>
                <w:rFonts w:asciiTheme="minorHAnsi" w:hAnsiTheme="minorHAnsi" w:cstheme="minorHAnsi"/>
                <w:sz w:val="20"/>
                <w:szCs w:val="20"/>
              </w:rPr>
              <w:t xml:space="preserve"> </w:t>
            </w:r>
            <w:r w:rsidR="00C527D8">
              <w:rPr>
                <w:rFonts w:asciiTheme="minorHAnsi" w:hAnsiTheme="minorHAnsi" w:cstheme="minorHAnsi"/>
                <w:sz w:val="20"/>
                <w:szCs w:val="20"/>
              </w:rPr>
              <w:t>to 40 tonnes in Vic</w:t>
            </w:r>
            <w:r w:rsidR="0099408E">
              <w:rPr>
                <w:rFonts w:asciiTheme="minorHAnsi" w:hAnsiTheme="minorHAnsi" w:cstheme="minorHAnsi"/>
                <w:sz w:val="20"/>
                <w:szCs w:val="20"/>
              </w:rPr>
              <w:t xml:space="preserve">. Both SA and NSW regulate storage </w:t>
            </w:r>
            <w:r w:rsidR="00904ECE">
              <w:rPr>
                <w:rFonts w:asciiTheme="minorHAnsi" w:hAnsiTheme="minorHAnsi" w:cstheme="minorHAnsi"/>
                <w:sz w:val="20"/>
                <w:szCs w:val="20"/>
              </w:rPr>
              <w:t>of EOLT stockpiles of 5 tonnes.</w:t>
            </w:r>
          </w:p>
        </w:tc>
      </w:tr>
      <w:tr w:rsidR="00305C58" w:rsidRPr="00953A6F" w14:paraId="3F198B82"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6F642288" w14:textId="1C75EC6C" w:rsidR="00BD2F09" w:rsidRPr="00F344A9" w:rsidRDefault="00D0251C" w:rsidP="000C12FE">
            <w:pPr>
              <w:pStyle w:val="ListParagraph"/>
              <w:numPr>
                <w:ilvl w:val="1"/>
                <w:numId w:val="21"/>
              </w:numPr>
              <w:ind w:left="567"/>
              <w:rPr>
                <w:rFonts w:cstheme="minorHAnsi"/>
                <w:sz w:val="20"/>
                <w:szCs w:val="20"/>
              </w:rPr>
            </w:pPr>
            <w:r w:rsidRPr="00F344A9">
              <w:rPr>
                <w:rFonts w:cstheme="minorHAnsi"/>
                <w:sz w:val="20"/>
                <w:szCs w:val="20"/>
              </w:rPr>
              <w:t xml:space="preserve">‘Mass balance’ reporting and upfront </w:t>
            </w:r>
            <w:r w:rsidR="004A3AF3">
              <w:rPr>
                <w:rFonts w:cstheme="minorHAnsi"/>
                <w:sz w:val="20"/>
                <w:szCs w:val="20"/>
              </w:rPr>
              <w:t xml:space="preserve">landfill </w:t>
            </w:r>
            <w:r w:rsidRPr="00F344A9">
              <w:rPr>
                <w:rFonts w:cstheme="minorHAnsi"/>
                <w:sz w:val="20"/>
                <w:szCs w:val="20"/>
              </w:rPr>
              <w:t>levy liability to receive wastes</w:t>
            </w:r>
          </w:p>
          <w:p w14:paraId="59B52F98" w14:textId="10232F29" w:rsidR="00BD2F09" w:rsidRPr="00BD2F09" w:rsidRDefault="00BD2F09" w:rsidP="00BD2F09">
            <w:pPr>
              <w:rPr>
                <w:rFonts w:cstheme="minorHAnsi"/>
                <w:sz w:val="20"/>
                <w:szCs w:val="20"/>
              </w:rPr>
            </w:pPr>
          </w:p>
        </w:tc>
        <w:tc>
          <w:tcPr>
            <w:tcW w:w="216" w:type="pct"/>
            <w:tcBorders>
              <w:left w:val="single" w:sz="4" w:space="0" w:color="7F7F7F" w:themeColor="text1" w:themeTint="80"/>
              <w:right w:val="single" w:sz="4" w:space="0" w:color="7F7F7F" w:themeColor="text1" w:themeTint="80"/>
            </w:tcBorders>
            <w:vAlign w:val="center"/>
          </w:tcPr>
          <w:p w14:paraId="16EFB9FB" w14:textId="7583D019"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5BE8AE8" w14:textId="5F5B0B10"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79E3AD03" w14:textId="5764633D"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2E7137EA" w14:textId="41401080"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487ACE2B" w14:textId="42C446E5"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2A44305F" w14:textId="51C5C335"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150083CE" w14:textId="2ADEB7C0"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4FCD40C3" w14:textId="3D3BFF04" w:rsidR="00D0251C" w:rsidRPr="00CE0316" w:rsidRDefault="00D0251C"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103A6B42" w14:textId="6E96EFDE" w:rsidR="00D0251C" w:rsidRPr="00D4168B" w:rsidRDefault="00D4168B"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D4168B">
              <w:rPr>
                <w:rFonts w:asciiTheme="minorHAnsi" w:hAnsiTheme="minorHAnsi" w:cstheme="minorHAnsi"/>
                <w:sz w:val="28"/>
                <w:szCs w:val="28"/>
              </w:rPr>
              <w:t>-</w:t>
            </w:r>
          </w:p>
        </w:tc>
        <w:tc>
          <w:tcPr>
            <w:tcW w:w="221" w:type="pct"/>
            <w:tcBorders>
              <w:left w:val="single" w:sz="4" w:space="0" w:color="7F7F7F" w:themeColor="text1" w:themeTint="80"/>
              <w:right w:val="single" w:sz="4" w:space="0" w:color="7F7F7F" w:themeColor="text1" w:themeTint="80"/>
            </w:tcBorders>
            <w:vAlign w:val="center"/>
          </w:tcPr>
          <w:p w14:paraId="2C318477" w14:textId="6A2EBAEA" w:rsidR="00D0251C" w:rsidRPr="00D4168B" w:rsidRDefault="00D4168B" w:rsidP="009E20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D4168B">
              <w:rPr>
                <w:rFonts w:asciiTheme="minorHAnsi" w:hAnsiTheme="minorHAnsi" w:cstheme="minorHAnsi"/>
                <w:sz w:val="28"/>
                <w:szCs w:val="28"/>
              </w:rPr>
              <w:t>-</w:t>
            </w:r>
          </w:p>
        </w:tc>
        <w:tc>
          <w:tcPr>
            <w:tcW w:w="2056" w:type="pct"/>
            <w:gridSpan w:val="2"/>
            <w:tcBorders>
              <w:left w:val="single" w:sz="4" w:space="0" w:color="7F7F7F" w:themeColor="text1" w:themeTint="80"/>
            </w:tcBorders>
            <w:vAlign w:val="center"/>
          </w:tcPr>
          <w:p w14:paraId="02B399A2" w14:textId="55739988" w:rsidR="00BD2F09" w:rsidRDefault="00904ECE" w:rsidP="004A3A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NSW is the only Australian jurisdiction to have implemented ‘mass balance</w:t>
            </w:r>
            <w:r w:rsidR="00C41DEC">
              <w:rPr>
                <w:rFonts w:asciiTheme="minorHAnsi" w:hAnsiTheme="minorHAnsi" w:cstheme="minorHAnsi"/>
                <w:sz w:val="20"/>
                <w:szCs w:val="20"/>
              </w:rPr>
              <w:t>’</w:t>
            </w:r>
            <w:r>
              <w:rPr>
                <w:rFonts w:asciiTheme="minorHAnsi" w:hAnsiTheme="minorHAnsi" w:cstheme="minorHAnsi"/>
                <w:sz w:val="20"/>
                <w:szCs w:val="20"/>
              </w:rPr>
              <w:t xml:space="preserve"> reporting</w:t>
            </w:r>
            <w:r w:rsidR="004A3AF3">
              <w:rPr>
                <w:rFonts w:asciiTheme="minorHAnsi" w:hAnsiTheme="minorHAnsi" w:cstheme="minorHAnsi"/>
                <w:sz w:val="20"/>
                <w:szCs w:val="20"/>
              </w:rPr>
              <w:t xml:space="preserve"> and upfront levy payment</w:t>
            </w:r>
            <w:r>
              <w:rPr>
                <w:rFonts w:asciiTheme="minorHAnsi" w:hAnsiTheme="minorHAnsi" w:cstheme="minorHAnsi"/>
                <w:sz w:val="20"/>
                <w:szCs w:val="20"/>
              </w:rPr>
              <w:t xml:space="preserve"> for waste stockpiles. SA is likely to implement a similar system in 2017.</w:t>
            </w:r>
            <w:r w:rsidR="004A3AF3">
              <w:rPr>
                <w:rFonts w:asciiTheme="minorHAnsi" w:hAnsiTheme="minorHAnsi" w:cstheme="minorHAnsi"/>
                <w:sz w:val="20"/>
                <w:szCs w:val="20"/>
              </w:rPr>
              <w:t xml:space="preserve"> The landfill levy is payable if: the stockpile of material remains unprocessed for 12-months; i</w:t>
            </w:r>
            <w:r w:rsidR="004A3AF3" w:rsidRPr="004A3AF3">
              <w:rPr>
                <w:rFonts w:asciiTheme="minorHAnsi" w:hAnsiTheme="minorHAnsi" w:cstheme="minorHAnsi"/>
                <w:sz w:val="20"/>
                <w:szCs w:val="20"/>
              </w:rPr>
              <w:t>s stockpiled above lawful limits</w:t>
            </w:r>
            <w:r w:rsidR="004A3AF3">
              <w:rPr>
                <w:rFonts w:asciiTheme="minorHAnsi" w:hAnsiTheme="minorHAnsi" w:cstheme="minorHAnsi"/>
                <w:sz w:val="20"/>
                <w:szCs w:val="20"/>
              </w:rPr>
              <w:t>; w</w:t>
            </w:r>
            <w:r w:rsidR="004A3AF3" w:rsidRPr="004A3AF3">
              <w:rPr>
                <w:rFonts w:asciiTheme="minorHAnsi" w:hAnsiTheme="minorHAnsi" w:cstheme="minorHAnsi"/>
                <w:sz w:val="20"/>
                <w:szCs w:val="20"/>
              </w:rPr>
              <w:t>aste is transported for unlawful disposal.</w:t>
            </w:r>
          </w:p>
        </w:tc>
      </w:tr>
      <w:tr w:rsidR="00305C58" w:rsidRPr="00953A6F" w14:paraId="4EE14A92"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2505A67D" w14:textId="4575F19D" w:rsidR="005018F2" w:rsidRPr="005A13ED" w:rsidRDefault="005018F2" w:rsidP="00DC35CF">
            <w:pPr>
              <w:pStyle w:val="ListParagraph"/>
              <w:numPr>
                <w:ilvl w:val="0"/>
                <w:numId w:val="21"/>
              </w:numPr>
              <w:ind w:left="284"/>
              <w:rPr>
                <w:rFonts w:cstheme="minorHAnsi"/>
                <w:sz w:val="20"/>
                <w:szCs w:val="20"/>
              </w:rPr>
            </w:pPr>
            <w:r>
              <w:rPr>
                <w:rFonts w:cstheme="minorHAnsi"/>
                <w:sz w:val="20"/>
                <w:szCs w:val="20"/>
              </w:rPr>
              <w:t>Hazardous waste tracking (transport and receipt)</w:t>
            </w:r>
          </w:p>
        </w:tc>
        <w:tc>
          <w:tcPr>
            <w:tcW w:w="216" w:type="pct"/>
            <w:tcBorders>
              <w:left w:val="single" w:sz="4" w:space="0" w:color="7F7F7F" w:themeColor="text1" w:themeTint="80"/>
              <w:right w:val="single" w:sz="4" w:space="0" w:color="7F7F7F" w:themeColor="text1" w:themeTint="80"/>
            </w:tcBorders>
            <w:vAlign w:val="center"/>
          </w:tcPr>
          <w:p w14:paraId="64D0CF2B" w14:textId="09C8B3DD"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39A88295" w14:textId="2ED88ACA"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10A65F6E" w14:textId="7B7C822B"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59A7B582" w14:textId="346DBC00"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11EB1F0F" w14:textId="4958B6E6"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04134C55" w14:textId="5EFE56E1"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73641019" w14:textId="56E223B7" w:rsidR="005018F2" w:rsidRPr="00CE0316" w:rsidRDefault="005018F2" w:rsidP="000955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60CA8A43" w14:textId="21C98538"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7" w:type="pct"/>
            <w:tcBorders>
              <w:left w:val="single" w:sz="4" w:space="0" w:color="7F7F7F" w:themeColor="text1" w:themeTint="80"/>
              <w:right w:val="single" w:sz="4" w:space="0" w:color="7F7F7F" w:themeColor="text1" w:themeTint="80"/>
            </w:tcBorders>
            <w:vAlign w:val="center"/>
          </w:tcPr>
          <w:p w14:paraId="55271DDB" w14:textId="5F1B71C1"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58B13B84" w14:textId="6EB0BCFA" w:rsidR="005018F2" w:rsidRPr="00CE0316" w:rsidRDefault="005018F2" w:rsidP="009E20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056" w:type="pct"/>
            <w:gridSpan w:val="2"/>
            <w:tcBorders>
              <w:left w:val="single" w:sz="4" w:space="0" w:color="7F7F7F" w:themeColor="text1" w:themeTint="80"/>
            </w:tcBorders>
            <w:vAlign w:val="center"/>
          </w:tcPr>
          <w:p w14:paraId="22451271" w14:textId="02500590" w:rsidR="005018F2" w:rsidRPr="00953A6F" w:rsidRDefault="005018F2" w:rsidP="005018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All Australian jurisdictions, apart from ACT, Tas, NT, and many developed countries track the collection, transport, and receipt of hazardous wastes (such as liquid wastes and chemically intractable solid wastes). </w:t>
            </w:r>
          </w:p>
        </w:tc>
      </w:tr>
      <w:tr w:rsidR="00305C58" w:rsidRPr="00953A6F" w14:paraId="553ACCBE"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10470E4A" w14:textId="7323E9A6" w:rsidR="00D4168B" w:rsidRPr="003A68A0" w:rsidRDefault="00D4168B" w:rsidP="000C12FE">
            <w:pPr>
              <w:pStyle w:val="ListParagraph"/>
              <w:numPr>
                <w:ilvl w:val="1"/>
                <w:numId w:val="21"/>
              </w:numPr>
              <w:ind w:left="567"/>
              <w:rPr>
                <w:rFonts w:cstheme="minorHAnsi"/>
                <w:bCs w:val="0"/>
                <w:sz w:val="20"/>
                <w:szCs w:val="20"/>
              </w:rPr>
            </w:pPr>
            <w:r>
              <w:rPr>
                <w:rFonts w:cstheme="minorHAnsi"/>
                <w:sz w:val="20"/>
                <w:szCs w:val="20"/>
              </w:rPr>
              <w:t>EOLT</w:t>
            </w:r>
            <w:r w:rsidR="007C530B">
              <w:rPr>
                <w:rFonts w:cstheme="minorHAnsi"/>
                <w:sz w:val="20"/>
                <w:szCs w:val="20"/>
              </w:rPr>
              <w:t xml:space="preserve"> tracking (transport and receipt)</w:t>
            </w:r>
          </w:p>
        </w:tc>
        <w:tc>
          <w:tcPr>
            <w:tcW w:w="216" w:type="pct"/>
            <w:tcBorders>
              <w:left w:val="single" w:sz="4" w:space="0" w:color="7F7F7F" w:themeColor="text1" w:themeTint="80"/>
              <w:right w:val="single" w:sz="4" w:space="0" w:color="7F7F7F" w:themeColor="text1" w:themeTint="80"/>
            </w:tcBorders>
            <w:vAlign w:val="center"/>
          </w:tcPr>
          <w:p w14:paraId="10FBEDA0" w14:textId="0CE8CF4E"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2BD7C434" w14:textId="79967198"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0F8ED7C2" w14:textId="1A2D5470"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75F7F149" w14:textId="6830F19C"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43F0661F" w14:textId="2B2C743B"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788A7C9D" w14:textId="453B9028"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73DB8C91" w14:textId="29AEB59D"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48AC887E" w14:textId="691058DD"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7" w:type="pct"/>
            <w:tcBorders>
              <w:left w:val="single" w:sz="4" w:space="0" w:color="7F7F7F" w:themeColor="text1" w:themeTint="80"/>
              <w:right w:val="single" w:sz="4" w:space="0" w:color="7F7F7F" w:themeColor="text1" w:themeTint="80"/>
            </w:tcBorders>
            <w:vAlign w:val="center"/>
          </w:tcPr>
          <w:p w14:paraId="1DFD2051" w14:textId="672852B5"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D4168B">
              <w:rPr>
                <w:rFonts w:asciiTheme="minorHAnsi" w:hAnsiTheme="minorHAnsi" w:cstheme="minorHAnsi"/>
                <w:sz w:val="28"/>
                <w:szCs w:val="28"/>
              </w:rPr>
              <w:t>-</w:t>
            </w:r>
            <w:r w:rsidRPr="00D4168B">
              <w:rPr>
                <w:rFonts w:cstheme="minorHAnsi"/>
                <w:sz w:val="28"/>
                <w:szCs w:val="28"/>
              </w:rPr>
              <w:t xml:space="preserve"> </w:t>
            </w:r>
          </w:p>
        </w:tc>
        <w:tc>
          <w:tcPr>
            <w:tcW w:w="221" w:type="pct"/>
            <w:tcBorders>
              <w:left w:val="single" w:sz="4" w:space="0" w:color="7F7F7F" w:themeColor="text1" w:themeTint="80"/>
              <w:right w:val="single" w:sz="4" w:space="0" w:color="7F7F7F" w:themeColor="text1" w:themeTint="80"/>
            </w:tcBorders>
            <w:vAlign w:val="center"/>
          </w:tcPr>
          <w:p w14:paraId="12CD9567" w14:textId="597DE821" w:rsidR="00D4168B" w:rsidRPr="003A68A0" w:rsidRDefault="00D4168B" w:rsidP="00D416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D4168B">
              <w:rPr>
                <w:sz w:val="28"/>
                <w:szCs w:val="28"/>
              </w:rPr>
              <w:t>-</w:t>
            </w:r>
          </w:p>
        </w:tc>
        <w:tc>
          <w:tcPr>
            <w:tcW w:w="2056" w:type="pct"/>
            <w:gridSpan w:val="2"/>
            <w:tcBorders>
              <w:left w:val="single" w:sz="4" w:space="0" w:color="7F7F7F" w:themeColor="text1" w:themeTint="80"/>
            </w:tcBorders>
            <w:vAlign w:val="center"/>
          </w:tcPr>
          <w:p w14:paraId="73E938F4" w14:textId="5AC2B139" w:rsidR="00D4168B" w:rsidRPr="00164927" w:rsidRDefault="00D4168B" w:rsidP="00D416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EOLTs collection, transport and receipt is tracked in NSW, Qld, SA and WA only. ACT, Tas, NT and Vic do not track EOLTs. Vic is the only large and populous state in Australia that do not track EOLT and this has likely contributed to the significant stockpiling issue for EOLT in Vic.</w:t>
            </w:r>
          </w:p>
        </w:tc>
      </w:tr>
      <w:tr w:rsidR="001C793B" w:rsidRPr="00953A6F" w14:paraId="1AC86D28"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tcPr>
          <w:p w14:paraId="2D8841BD" w14:textId="0916279B" w:rsidR="001C793B" w:rsidRDefault="001C793B" w:rsidP="001C793B">
            <w:pPr>
              <w:pStyle w:val="ListParagraph"/>
              <w:numPr>
                <w:ilvl w:val="0"/>
                <w:numId w:val="21"/>
              </w:numPr>
              <w:rPr>
                <w:rFonts w:cstheme="minorHAnsi"/>
                <w:sz w:val="20"/>
                <w:szCs w:val="20"/>
              </w:rPr>
            </w:pPr>
            <w:r w:rsidRPr="00092342">
              <w:rPr>
                <w:sz w:val="20"/>
              </w:rPr>
              <w:t xml:space="preserve">Enforcement against illegal dumping </w:t>
            </w:r>
          </w:p>
        </w:tc>
        <w:tc>
          <w:tcPr>
            <w:tcW w:w="216" w:type="pct"/>
            <w:tcBorders>
              <w:left w:val="single" w:sz="4" w:space="0" w:color="7F7F7F" w:themeColor="text1" w:themeTint="80"/>
              <w:right w:val="single" w:sz="4" w:space="0" w:color="7F7F7F" w:themeColor="text1" w:themeTint="80"/>
            </w:tcBorders>
            <w:vAlign w:val="center"/>
          </w:tcPr>
          <w:p w14:paraId="5F4EC0A8" w14:textId="293B7AEE" w:rsidR="001C793B" w:rsidRPr="00CE0316" w:rsidRDefault="001C793B" w:rsidP="001C793B">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6B41D46E" w14:textId="69E7D819" w:rsidR="001C793B" w:rsidRPr="00CE0316" w:rsidRDefault="001C793B" w:rsidP="001C79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577F7346" w14:textId="7E5A168A" w:rsidR="001C793B" w:rsidRPr="00CE0316" w:rsidRDefault="001C793B" w:rsidP="001C793B">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4F76333F" w14:textId="7E7BE43D" w:rsidR="001C793B" w:rsidRPr="00CE0316" w:rsidRDefault="00E265F2" w:rsidP="001C79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498EA88" w14:textId="13BF180C" w:rsidR="001C793B" w:rsidRPr="00CE0316" w:rsidRDefault="001C793B" w:rsidP="001C79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796A136F" w14:textId="250A4F4A" w:rsidR="001C793B" w:rsidRPr="00CE0316" w:rsidRDefault="001C793B" w:rsidP="001C793B">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757873B8" w14:textId="7A111EF5" w:rsidR="001C793B" w:rsidRPr="00CE0316" w:rsidRDefault="00E265F2" w:rsidP="001C793B">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28FC575A" w14:textId="579947E7" w:rsidR="001C793B" w:rsidRPr="00CE0316" w:rsidRDefault="00F85B1F" w:rsidP="001C79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73AFD4C2" w14:textId="20AF923F" w:rsidR="001C793B" w:rsidRPr="00D4168B" w:rsidRDefault="001C793B" w:rsidP="001C79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D4168B">
              <w:rPr>
                <w:rFonts w:asciiTheme="minorHAnsi" w:hAnsiTheme="minorHAnsi" w:cstheme="minorHAnsi"/>
                <w:sz w:val="28"/>
                <w:szCs w:val="28"/>
              </w:rPr>
              <w:t>-</w:t>
            </w:r>
            <w:r w:rsidRPr="00D4168B">
              <w:rPr>
                <w:rFonts w:cstheme="minorHAnsi"/>
                <w:sz w:val="28"/>
                <w:szCs w:val="28"/>
              </w:rPr>
              <w:t xml:space="preserve"> </w:t>
            </w:r>
          </w:p>
        </w:tc>
        <w:tc>
          <w:tcPr>
            <w:tcW w:w="221" w:type="pct"/>
            <w:tcBorders>
              <w:left w:val="single" w:sz="4" w:space="0" w:color="7F7F7F" w:themeColor="text1" w:themeTint="80"/>
              <w:right w:val="single" w:sz="4" w:space="0" w:color="7F7F7F" w:themeColor="text1" w:themeTint="80"/>
            </w:tcBorders>
            <w:vAlign w:val="center"/>
          </w:tcPr>
          <w:p w14:paraId="3B82181A" w14:textId="0A8A50E8" w:rsidR="001C793B" w:rsidRPr="00D4168B" w:rsidRDefault="001C793B" w:rsidP="001C793B">
            <w:pPr>
              <w:jc w:val="center"/>
              <w:cnfStyle w:val="000000000000" w:firstRow="0" w:lastRow="0" w:firstColumn="0" w:lastColumn="0" w:oddVBand="0" w:evenVBand="0" w:oddHBand="0" w:evenHBand="0" w:firstRowFirstColumn="0" w:firstRowLastColumn="0" w:lastRowFirstColumn="0" w:lastRowLastColumn="0"/>
              <w:rPr>
                <w:sz w:val="28"/>
                <w:szCs w:val="28"/>
              </w:rPr>
            </w:pPr>
            <w:r w:rsidRPr="00D4168B">
              <w:rPr>
                <w:sz w:val="28"/>
                <w:szCs w:val="28"/>
              </w:rPr>
              <w:t>-</w:t>
            </w:r>
          </w:p>
        </w:tc>
        <w:tc>
          <w:tcPr>
            <w:tcW w:w="2056" w:type="pct"/>
            <w:gridSpan w:val="2"/>
            <w:tcBorders>
              <w:left w:val="single" w:sz="4" w:space="0" w:color="7F7F7F" w:themeColor="text1" w:themeTint="80"/>
            </w:tcBorders>
            <w:vAlign w:val="center"/>
          </w:tcPr>
          <w:p w14:paraId="08E38094" w14:textId="5C0EC3D2" w:rsidR="001C793B" w:rsidRDefault="00F85B1F" w:rsidP="001C79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 dedicated resource to enforce against illegal dumping was only identified in NSW, SA and Vic. We note that all states have the ability to fine or prosecute offenders, however, this element refer</w:t>
            </w:r>
            <w:r w:rsidR="00100802">
              <w:rPr>
                <w:rFonts w:asciiTheme="minorHAnsi" w:hAnsiTheme="minorHAnsi" w:cstheme="minorHAnsi"/>
                <w:sz w:val="20"/>
                <w:szCs w:val="20"/>
              </w:rPr>
              <w:t>s</w:t>
            </w:r>
            <w:r>
              <w:rPr>
                <w:rFonts w:asciiTheme="minorHAnsi" w:hAnsiTheme="minorHAnsi" w:cstheme="minorHAnsi"/>
                <w:sz w:val="20"/>
                <w:szCs w:val="20"/>
              </w:rPr>
              <w:t xml:space="preserve"> to dedicated resources to actively find and prosecute offenders. </w:t>
            </w:r>
          </w:p>
        </w:tc>
      </w:tr>
      <w:tr w:rsidR="001C793B" w:rsidRPr="00953A6F" w14:paraId="06DE0E6C"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tcPr>
          <w:p w14:paraId="2967E42E" w14:textId="2DCA4F13" w:rsidR="001C793B" w:rsidRDefault="00DD7CEB" w:rsidP="001C793B">
            <w:pPr>
              <w:pStyle w:val="ListParagraph"/>
              <w:numPr>
                <w:ilvl w:val="1"/>
                <w:numId w:val="21"/>
              </w:numPr>
              <w:ind w:left="567"/>
            </w:pPr>
            <w:r>
              <w:rPr>
                <w:rFonts w:cstheme="minorHAnsi"/>
                <w:sz w:val="20"/>
                <w:szCs w:val="20"/>
              </w:rPr>
              <w:t>Specific policy to re</w:t>
            </w:r>
            <w:r w:rsidR="001C793B" w:rsidRPr="005A13ED">
              <w:rPr>
                <w:rFonts w:cstheme="minorHAnsi"/>
                <w:sz w:val="20"/>
                <w:szCs w:val="20"/>
              </w:rPr>
              <w:t xml:space="preserve">cover </w:t>
            </w:r>
            <w:r w:rsidR="001C793B">
              <w:rPr>
                <w:rFonts w:cstheme="minorHAnsi"/>
                <w:sz w:val="20"/>
                <w:szCs w:val="20"/>
              </w:rPr>
              <w:t>i</w:t>
            </w:r>
            <w:r w:rsidR="001C793B" w:rsidRPr="005A13ED">
              <w:rPr>
                <w:rFonts w:cstheme="minorHAnsi"/>
                <w:sz w:val="20"/>
                <w:szCs w:val="20"/>
              </w:rPr>
              <w:t>llegally obtained economic benefit</w:t>
            </w:r>
            <w:r>
              <w:rPr>
                <w:rFonts w:cstheme="minorHAnsi"/>
                <w:sz w:val="20"/>
                <w:szCs w:val="20"/>
              </w:rPr>
              <w:t xml:space="preserve"> from stockpiling</w:t>
            </w:r>
          </w:p>
        </w:tc>
        <w:tc>
          <w:tcPr>
            <w:tcW w:w="216" w:type="pct"/>
            <w:tcBorders>
              <w:left w:val="single" w:sz="4" w:space="0" w:color="7F7F7F" w:themeColor="text1" w:themeTint="80"/>
              <w:right w:val="single" w:sz="4" w:space="0" w:color="7F7F7F" w:themeColor="text1" w:themeTint="80"/>
            </w:tcBorders>
            <w:vAlign w:val="center"/>
          </w:tcPr>
          <w:p w14:paraId="11A98AB0" w14:textId="46156558"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303A2A7A" w14:textId="55B1336B"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155" w:type="pct"/>
            <w:tcBorders>
              <w:left w:val="single" w:sz="4" w:space="0" w:color="7F7F7F" w:themeColor="text1" w:themeTint="80"/>
              <w:right w:val="single" w:sz="4" w:space="0" w:color="7F7F7F" w:themeColor="text1" w:themeTint="80"/>
            </w:tcBorders>
            <w:vAlign w:val="center"/>
          </w:tcPr>
          <w:p w14:paraId="427C4810" w14:textId="0A0E7A33"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34E55B11" w14:textId="6872A056"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DE35911" w14:textId="107DEAB9"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75DCBC5C" w14:textId="49A268C3"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303317CC" w14:textId="7699EB76"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3324C90C" w14:textId="09EAF9EB" w:rsidR="001C793B" w:rsidRPr="00CE0316" w:rsidRDefault="001C793B" w:rsidP="001C79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2541A654" w14:textId="16825D27" w:rsidR="001C793B" w:rsidRPr="00D4168B" w:rsidRDefault="001C793B" w:rsidP="001C79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D4168B">
              <w:rPr>
                <w:rFonts w:asciiTheme="minorHAnsi" w:hAnsiTheme="minorHAnsi" w:cstheme="minorHAnsi"/>
                <w:sz w:val="28"/>
                <w:szCs w:val="28"/>
              </w:rPr>
              <w:t>-</w:t>
            </w:r>
            <w:r w:rsidRPr="00D4168B">
              <w:rPr>
                <w:rFonts w:cstheme="minorHAnsi"/>
                <w:sz w:val="28"/>
                <w:szCs w:val="28"/>
              </w:rPr>
              <w:t xml:space="preserve"> </w:t>
            </w:r>
          </w:p>
        </w:tc>
        <w:tc>
          <w:tcPr>
            <w:tcW w:w="221" w:type="pct"/>
            <w:tcBorders>
              <w:left w:val="single" w:sz="4" w:space="0" w:color="7F7F7F" w:themeColor="text1" w:themeTint="80"/>
              <w:right w:val="single" w:sz="4" w:space="0" w:color="7F7F7F" w:themeColor="text1" w:themeTint="80"/>
            </w:tcBorders>
            <w:vAlign w:val="center"/>
          </w:tcPr>
          <w:p w14:paraId="6296BD9B" w14:textId="223C5E29" w:rsidR="001C793B" w:rsidRPr="00D4168B" w:rsidRDefault="001C793B" w:rsidP="001C793B">
            <w:pPr>
              <w:jc w:val="center"/>
              <w:cnfStyle w:val="000000100000" w:firstRow="0" w:lastRow="0" w:firstColumn="0" w:lastColumn="0" w:oddVBand="0" w:evenVBand="0" w:oddHBand="1" w:evenHBand="0" w:firstRowFirstColumn="0" w:firstRowLastColumn="0" w:lastRowFirstColumn="0" w:lastRowLastColumn="0"/>
              <w:rPr>
                <w:sz w:val="28"/>
                <w:szCs w:val="28"/>
              </w:rPr>
            </w:pPr>
            <w:r w:rsidRPr="00D4168B">
              <w:rPr>
                <w:sz w:val="28"/>
                <w:szCs w:val="28"/>
              </w:rPr>
              <w:t>-</w:t>
            </w:r>
          </w:p>
        </w:tc>
        <w:tc>
          <w:tcPr>
            <w:tcW w:w="2056" w:type="pct"/>
            <w:gridSpan w:val="2"/>
            <w:tcBorders>
              <w:left w:val="single" w:sz="4" w:space="0" w:color="7F7F7F" w:themeColor="text1" w:themeTint="80"/>
            </w:tcBorders>
            <w:vAlign w:val="center"/>
          </w:tcPr>
          <w:p w14:paraId="4BF4BC06" w14:textId="2ACC6B81" w:rsidR="001C793B" w:rsidRDefault="001C793B" w:rsidP="001C79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South Australia is proposing to introduce specific </w:t>
            </w:r>
            <w:r w:rsidR="00CD0E22">
              <w:rPr>
                <w:rFonts w:asciiTheme="minorHAnsi" w:hAnsiTheme="minorHAnsi" w:cstheme="minorHAnsi"/>
                <w:sz w:val="20"/>
                <w:szCs w:val="20"/>
              </w:rPr>
              <w:t>policy</w:t>
            </w:r>
            <w:r w:rsidR="00CD0E22" w:rsidRPr="00CD0E22">
              <w:rPr>
                <w:rFonts w:asciiTheme="minorHAnsi" w:hAnsiTheme="minorHAnsi" w:cstheme="minorHAnsi"/>
                <w:sz w:val="20"/>
                <w:szCs w:val="20"/>
              </w:rPr>
              <w:t xml:space="preserve"> that will outline the specific circumstances, method and process for the recovery of funds from illegal stockpiling. This should be a more effective deterrent than a general head of power to recover profits made from ‘breaking the law’. </w:t>
            </w:r>
          </w:p>
        </w:tc>
      </w:tr>
      <w:tr w:rsidR="005A62E4" w:rsidRPr="00953A6F" w14:paraId="451713E9"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tcPr>
          <w:p w14:paraId="3FD6B134" w14:textId="618782CE" w:rsidR="005A62E4" w:rsidRDefault="005A62E4" w:rsidP="005A62E4">
            <w:pPr>
              <w:pStyle w:val="ListParagraph"/>
              <w:numPr>
                <w:ilvl w:val="0"/>
                <w:numId w:val="21"/>
              </w:numPr>
              <w:rPr>
                <w:rFonts w:cstheme="minorHAnsi"/>
                <w:sz w:val="20"/>
                <w:szCs w:val="20"/>
              </w:rPr>
            </w:pPr>
            <w:r w:rsidRPr="00092342">
              <w:rPr>
                <w:sz w:val="20"/>
              </w:rPr>
              <w:t xml:space="preserve">Landfill levy </w:t>
            </w:r>
          </w:p>
        </w:tc>
        <w:tc>
          <w:tcPr>
            <w:tcW w:w="216" w:type="pct"/>
            <w:tcBorders>
              <w:left w:val="single" w:sz="4" w:space="0" w:color="7F7F7F" w:themeColor="text1" w:themeTint="80"/>
              <w:right w:val="single" w:sz="4" w:space="0" w:color="7F7F7F" w:themeColor="text1" w:themeTint="80"/>
            </w:tcBorders>
            <w:vAlign w:val="center"/>
          </w:tcPr>
          <w:p w14:paraId="2A58DF99" w14:textId="033FE2FB"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rFonts w:asciiTheme="minorHAnsi" w:hAnsiTheme="minorHAnsi" w:cstheme="minorHAnsi"/>
                <w:b/>
                <w:sz w:val="28"/>
                <w:szCs w:val="28"/>
              </w:rPr>
              <w:sym w:font="Wingdings" w:char="F0FC"/>
            </w:r>
            <w:r w:rsidR="004D309B">
              <w:rPr>
                <w:rStyle w:val="FootnoteReference"/>
                <w:rFonts w:cstheme="minorHAnsi"/>
                <w:b/>
                <w:sz w:val="28"/>
                <w:szCs w:val="28"/>
              </w:rPr>
              <w:footnoteReference w:id="22"/>
            </w:r>
          </w:p>
        </w:tc>
        <w:tc>
          <w:tcPr>
            <w:tcW w:w="216" w:type="pct"/>
            <w:tcBorders>
              <w:left w:val="single" w:sz="4" w:space="0" w:color="7F7F7F" w:themeColor="text1" w:themeTint="80"/>
              <w:right w:val="single" w:sz="4" w:space="0" w:color="7F7F7F" w:themeColor="text1" w:themeTint="80"/>
            </w:tcBorders>
            <w:vAlign w:val="center"/>
          </w:tcPr>
          <w:p w14:paraId="2E86C3E7" w14:textId="56A6F0F4"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03164E29" w14:textId="1A586E18"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09C13B30" w14:textId="4D843F92"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5084E12" w14:textId="6587AE5C"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3AA7EAC3" w14:textId="2138F5F6"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6E60A6A" w14:textId="12ED8040"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522A5A9A" w14:textId="105F7817" w:rsidR="005A62E4" w:rsidRPr="00CE0316" w:rsidRDefault="005A62E4" w:rsidP="005A62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7" w:type="pct"/>
            <w:tcBorders>
              <w:left w:val="single" w:sz="4" w:space="0" w:color="7F7F7F" w:themeColor="text1" w:themeTint="80"/>
              <w:right w:val="single" w:sz="4" w:space="0" w:color="7F7F7F" w:themeColor="text1" w:themeTint="80"/>
            </w:tcBorders>
            <w:vAlign w:val="center"/>
          </w:tcPr>
          <w:p w14:paraId="3DE29478" w14:textId="20F7C4E6" w:rsidR="005A62E4" w:rsidRPr="00D4168B" w:rsidRDefault="005A62E4" w:rsidP="005A62E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D4168B">
              <w:rPr>
                <w:rFonts w:cstheme="minorHAnsi"/>
                <w:sz w:val="28"/>
                <w:szCs w:val="28"/>
              </w:rPr>
              <w:t xml:space="preserve"> </w:t>
            </w:r>
            <w:r w:rsidR="00777F39">
              <w:rPr>
                <w:rFonts w:asciiTheme="minorHAnsi" w:hAnsiTheme="minorHAnsi" w:cstheme="minorHAnsi"/>
                <w:b/>
                <w:sz w:val="28"/>
                <w:szCs w:val="28"/>
              </w:rPr>
              <w:t>-</w:t>
            </w:r>
          </w:p>
        </w:tc>
        <w:tc>
          <w:tcPr>
            <w:tcW w:w="221" w:type="pct"/>
            <w:tcBorders>
              <w:left w:val="single" w:sz="4" w:space="0" w:color="7F7F7F" w:themeColor="text1" w:themeTint="80"/>
              <w:right w:val="single" w:sz="4" w:space="0" w:color="7F7F7F" w:themeColor="text1" w:themeTint="80"/>
            </w:tcBorders>
            <w:vAlign w:val="center"/>
          </w:tcPr>
          <w:p w14:paraId="3866A738" w14:textId="30AB2D58" w:rsidR="005A62E4" w:rsidRPr="00D4168B" w:rsidRDefault="00777F39" w:rsidP="005A62E4">
            <w:pPr>
              <w:jc w:val="center"/>
              <w:cnfStyle w:val="000000000000" w:firstRow="0" w:lastRow="0" w:firstColumn="0" w:lastColumn="0" w:oddVBand="0" w:evenVBand="0" w:oddHBand="0" w:evenHBand="0" w:firstRowFirstColumn="0" w:firstRowLastColumn="0" w:lastRowFirstColumn="0" w:lastRowLastColumn="0"/>
              <w:rPr>
                <w:sz w:val="28"/>
                <w:szCs w:val="28"/>
              </w:rPr>
            </w:pPr>
            <w:r w:rsidRPr="00CE0316">
              <w:rPr>
                <w:rFonts w:asciiTheme="minorHAnsi" w:hAnsiTheme="minorHAnsi" w:cstheme="minorHAnsi"/>
                <w:b/>
                <w:sz w:val="28"/>
                <w:szCs w:val="28"/>
              </w:rPr>
              <w:sym w:font="Wingdings" w:char="F0FC"/>
            </w:r>
          </w:p>
        </w:tc>
        <w:tc>
          <w:tcPr>
            <w:tcW w:w="2056" w:type="pct"/>
            <w:gridSpan w:val="2"/>
            <w:tcBorders>
              <w:left w:val="single" w:sz="4" w:space="0" w:color="7F7F7F" w:themeColor="text1" w:themeTint="80"/>
            </w:tcBorders>
            <w:vAlign w:val="center"/>
          </w:tcPr>
          <w:p w14:paraId="5529F133" w14:textId="0068B76E" w:rsidR="005A62E4" w:rsidRDefault="00B943CB" w:rsidP="005A62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Most jurisdictions have a landfill levy in place, Qld, Tas, and NT do not. The cost of landfilling in Qld, Tas, and NT is therefore cheaper than other states.</w:t>
            </w:r>
          </w:p>
        </w:tc>
      </w:tr>
      <w:tr w:rsidR="005A62E4" w:rsidRPr="00953A6F" w14:paraId="68A8830A" w14:textId="77777777" w:rsidTr="003202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000" w:type="pct"/>
            <w:gridSpan w:val="13"/>
            <w:tcBorders>
              <w:right w:val="single" w:sz="4" w:space="0" w:color="7F7F7F" w:themeColor="text1" w:themeTint="80"/>
            </w:tcBorders>
            <w:shd w:val="clear" w:color="auto" w:fill="7F7F7F" w:themeFill="text1" w:themeFillTint="80"/>
            <w:vAlign w:val="center"/>
          </w:tcPr>
          <w:p w14:paraId="6F13E0EB" w14:textId="1BF734F4" w:rsidR="005A62E4" w:rsidRPr="00CE0316" w:rsidRDefault="005A62E4" w:rsidP="005A62E4">
            <w:pPr>
              <w:jc w:val="center"/>
              <w:rPr>
                <w:rFonts w:asciiTheme="minorHAnsi" w:hAnsiTheme="minorHAnsi" w:cstheme="minorHAnsi"/>
                <w:color w:val="FFFFFF" w:themeColor="background1"/>
              </w:rPr>
            </w:pPr>
            <w:r w:rsidRPr="00CE0316">
              <w:rPr>
                <w:rFonts w:asciiTheme="minorHAnsi" w:hAnsiTheme="minorHAnsi" w:cstheme="minorHAnsi"/>
                <w:color w:val="FFFFFF" w:themeColor="background1"/>
              </w:rPr>
              <w:t xml:space="preserve">MANAGEMENT </w:t>
            </w:r>
          </w:p>
        </w:tc>
      </w:tr>
      <w:tr w:rsidR="005A62E4" w:rsidRPr="00953A6F" w14:paraId="40F14A08"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39811505" w14:textId="0D01B790" w:rsidR="005A62E4" w:rsidRPr="00C24D71" w:rsidRDefault="005A62E4" w:rsidP="005A62E4">
            <w:pPr>
              <w:pStyle w:val="ListParagraph"/>
              <w:numPr>
                <w:ilvl w:val="0"/>
                <w:numId w:val="21"/>
              </w:numPr>
              <w:rPr>
                <w:rFonts w:cstheme="minorHAnsi"/>
                <w:sz w:val="20"/>
                <w:szCs w:val="20"/>
              </w:rPr>
            </w:pPr>
            <w:r>
              <w:rPr>
                <w:rFonts w:cstheme="minorHAnsi"/>
                <w:sz w:val="20"/>
                <w:szCs w:val="20"/>
              </w:rPr>
              <w:t>Stockpile quantity limits set for all sites</w:t>
            </w:r>
          </w:p>
        </w:tc>
        <w:tc>
          <w:tcPr>
            <w:tcW w:w="216" w:type="pct"/>
            <w:tcBorders>
              <w:left w:val="single" w:sz="4" w:space="0" w:color="7F7F7F" w:themeColor="text1" w:themeTint="80"/>
              <w:right w:val="single" w:sz="4" w:space="0" w:color="7F7F7F" w:themeColor="text1" w:themeTint="80"/>
            </w:tcBorders>
            <w:vAlign w:val="center"/>
          </w:tcPr>
          <w:p w14:paraId="28102860" w14:textId="006C021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EE9B043" w14:textId="2D5B25BD"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361BB576" w14:textId="1CC384A0"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600D2F68" w14:textId="0995C62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74E083D1" w14:textId="55E162AC"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642DDD5D" w14:textId="0EC763BD"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4E921D1D" w14:textId="48B99E49"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673C3B1" w14:textId="3BEF01FC"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32273531" w14:textId="1D8E281F"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2530751D" w14:textId="4C1C695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056" w:type="pct"/>
            <w:gridSpan w:val="2"/>
            <w:tcBorders>
              <w:left w:val="single" w:sz="4" w:space="0" w:color="7F7F7F" w:themeColor="text1" w:themeTint="80"/>
            </w:tcBorders>
            <w:vAlign w:val="center"/>
          </w:tcPr>
          <w:p w14:paraId="4F09AAFB" w14:textId="3FA00A52" w:rsidR="005A62E4" w:rsidRDefault="005A62E4" w:rsidP="005A62E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US EPA set a limit of 6 tonnes for storage from small quantity generators and have no limit for large generators. NSW and SA (under proposed reforms) set the limits on a case by case basis, depending on the waste type.</w:t>
            </w:r>
          </w:p>
        </w:tc>
      </w:tr>
      <w:tr w:rsidR="005A62E4" w:rsidRPr="00953A6F" w14:paraId="78F326B3"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6B067CEE" w14:textId="6835DBC3" w:rsidR="005A62E4" w:rsidRPr="00C24D71" w:rsidRDefault="005A62E4" w:rsidP="005A62E4">
            <w:pPr>
              <w:pStyle w:val="ListParagraph"/>
              <w:numPr>
                <w:ilvl w:val="1"/>
                <w:numId w:val="21"/>
              </w:numPr>
              <w:ind w:left="567"/>
              <w:rPr>
                <w:rFonts w:cstheme="minorHAnsi"/>
                <w:sz w:val="20"/>
                <w:szCs w:val="20"/>
              </w:rPr>
            </w:pPr>
            <w:r>
              <w:rPr>
                <w:rFonts w:cstheme="minorHAnsi"/>
                <w:sz w:val="20"/>
                <w:szCs w:val="20"/>
              </w:rPr>
              <w:t>EOLT stockpile quantity limit set for all sites</w:t>
            </w:r>
          </w:p>
        </w:tc>
        <w:tc>
          <w:tcPr>
            <w:tcW w:w="216" w:type="pct"/>
            <w:tcBorders>
              <w:left w:val="single" w:sz="4" w:space="0" w:color="7F7F7F" w:themeColor="text1" w:themeTint="80"/>
              <w:right w:val="single" w:sz="4" w:space="0" w:color="7F7F7F" w:themeColor="text1" w:themeTint="80"/>
            </w:tcBorders>
            <w:vAlign w:val="center"/>
          </w:tcPr>
          <w:p w14:paraId="72F3B503" w14:textId="5FDCF9BD" w:rsidR="005A62E4" w:rsidRPr="00CE0316" w:rsidRDefault="005A62E4" w:rsidP="005A62E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Pr>
                <w:rStyle w:val="FootnoteReference"/>
                <w:rFonts w:cstheme="minorHAnsi"/>
                <w:b/>
                <w:sz w:val="28"/>
                <w:szCs w:val="28"/>
              </w:rPr>
              <w:footnoteReference w:id="23"/>
            </w:r>
          </w:p>
        </w:tc>
        <w:tc>
          <w:tcPr>
            <w:tcW w:w="216" w:type="pct"/>
            <w:tcBorders>
              <w:left w:val="single" w:sz="4" w:space="0" w:color="7F7F7F" w:themeColor="text1" w:themeTint="80"/>
              <w:right w:val="single" w:sz="4" w:space="0" w:color="7F7F7F" w:themeColor="text1" w:themeTint="80"/>
            </w:tcBorders>
            <w:vAlign w:val="center"/>
          </w:tcPr>
          <w:p w14:paraId="0A742C5A" w14:textId="58D5ABF8"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25D640B4" w14:textId="774E4098"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277D0239" w14:textId="1C361C4B"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1CB0D77" w14:textId="23733367"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65D05004" w14:textId="2651515F"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39A95BB" w14:textId="594CBBE3"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r>
              <w:rPr>
                <w:rStyle w:val="FootnoteReference"/>
                <w:rFonts w:cstheme="minorHAnsi"/>
                <w:b/>
                <w:sz w:val="28"/>
                <w:szCs w:val="28"/>
              </w:rPr>
              <w:footnoteReference w:id="24"/>
            </w:r>
          </w:p>
        </w:tc>
        <w:tc>
          <w:tcPr>
            <w:tcW w:w="216" w:type="pct"/>
            <w:tcBorders>
              <w:left w:val="single" w:sz="4" w:space="0" w:color="7F7F7F" w:themeColor="text1" w:themeTint="80"/>
              <w:right w:val="single" w:sz="4" w:space="0" w:color="7F7F7F" w:themeColor="text1" w:themeTint="80"/>
            </w:tcBorders>
            <w:vAlign w:val="center"/>
          </w:tcPr>
          <w:p w14:paraId="5C6EDD1B" w14:textId="49510507"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b/>
                <w:sz w:val="28"/>
                <w:szCs w:val="28"/>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24253B2A" w14:textId="250DF8ED" w:rsidR="005A62E4" w:rsidRPr="00D4168B"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D4168B">
              <w:rPr>
                <w:rFonts w:asciiTheme="minorHAnsi" w:hAnsiTheme="minorHAnsi" w:cstheme="minorHAnsi"/>
                <w:sz w:val="28"/>
                <w:szCs w:val="28"/>
              </w:rPr>
              <w:t>-</w:t>
            </w:r>
            <w:r w:rsidRPr="00D4168B">
              <w:rPr>
                <w:rFonts w:cstheme="minorHAnsi"/>
                <w:sz w:val="28"/>
                <w:szCs w:val="28"/>
              </w:rPr>
              <w:t xml:space="preserve"> </w:t>
            </w:r>
          </w:p>
        </w:tc>
        <w:tc>
          <w:tcPr>
            <w:tcW w:w="221" w:type="pct"/>
            <w:tcBorders>
              <w:left w:val="single" w:sz="4" w:space="0" w:color="7F7F7F" w:themeColor="text1" w:themeTint="80"/>
              <w:right w:val="single" w:sz="4" w:space="0" w:color="7F7F7F" w:themeColor="text1" w:themeTint="80"/>
            </w:tcBorders>
            <w:vAlign w:val="center"/>
          </w:tcPr>
          <w:p w14:paraId="435B7261" w14:textId="66FF3F50" w:rsidR="005A62E4" w:rsidRPr="00D4168B"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sz w:val="28"/>
                <w:szCs w:val="28"/>
              </w:rPr>
            </w:pPr>
            <w:r w:rsidRPr="00D4168B">
              <w:rPr>
                <w:sz w:val="28"/>
                <w:szCs w:val="28"/>
              </w:rPr>
              <w:t>-</w:t>
            </w:r>
          </w:p>
        </w:tc>
        <w:tc>
          <w:tcPr>
            <w:tcW w:w="2056" w:type="pct"/>
            <w:gridSpan w:val="2"/>
            <w:tcBorders>
              <w:left w:val="single" w:sz="4" w:space="0" w:color="7F7F7F" w:themeColor="text1" w:themeTint="80"/>
            </w:tcBorders>
            <w:vAlign w:val="center"/>
          </w:tcPr>
          <w:p w14:paraId="5D902120" w14:textId="77777777" w:rsidR="005A62E4" w:rsidRDefault="005A62E4" w:rsidP="005A62E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 set a tonnage limit of 25 for EOLT storage, Vic sets a limit on the volume of EOLT that can be stockpiled, NSW and SA set the limit within the site license.</w:t>
            </w:r>
          </w:p>
          <w:p w14:paraId="263FCEF4" w14:textId="23D92C95" w:rsidR="005A62E4" w:rsidRDefault="005A62E4" w:rsidP="005A62E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A62E4" w:rsidRPr="00953A6F" w14:paraId="6C5A4050"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02CAC498" w14:textId="3E131D1C" w:rsidR="005A62E4" w:rsidRPr="00C24D71" w:rsidRDefault="005A62E4" w:rsidP="005A62E4">
            <w:pPr>
              <w:pStyle w:val="ListParagraph"/>
              <w:numPr>
                <w:ilvl w:val="0"/>
                <w:numId w:val="21"/>
              </w:numPr>
              <w:rPr>
                <w:rFonts w:cstheme="minorHAnsi"/>
                <w:sz w:val="20"/>
                <w:szCs w:val="20"/>
              </w:rPr>
            </w:pPr>
            <w:r w:rsidRPr="00C24D71">
              <w:rPr>
                <w:rFonts w:cstheme="minorHAnsi"/>
                <w:sz w:val="20"/>
                <w:szCs w:val="20"/>
              </w:rPr>
              <w:t xml:space="preserve">Stockpiling time limits set for </w:t>
            </w:r>
            <w:r>
              <w:rPr>
                <w:rFonts w:cstheme="minorHAnsi"/>
                <w:sz w:val="20"/>
                <w:szCs w:val="20"/>
              </w:rPr>
              <w:t xml:space="preserve">all </w:t>
            </w:r>
            <w:r w:rsidRPr="00C24D71">
              <w:rPr>
                <w:rFonts w:cstheme="minorHAnsi"/>
                <w:sz w:val="20"/>
                <w:szCs w:val="20"/>
              </w:rPr>
              <w:t>site</w:t>
            </w:r>
            <w:r>
              <w:rPr>
                <w:rFonts w:cstheme="minorHAnsi"/>
                <w:sz w:val="20"/>
                <w:szCs w:val="20"/>
              </w:rPr>
              <w:t>s</w:t>
            </w:r>
          </w:p>
        </w:tc>
        <w:tc>
          <w:tcPr>
            <w:tcW w:w="216" w:type="pct"/>
            <w:tcBorders>
              <w:left w:val="single" w:sz="4" w:space="0" w:color="7F7F7F" w:themeColor="text1" w:themeTint="80"/>
              <w:right w:val="single" w:sz="4" w:space="0" w:color="7F7F7F" w:themeColor="text1" w:themeTint="80"/>
            </w:tcBorders>
            <w:vAlign w:val="center"/>
          </w:tcPr>
          <w:p w14:paraId="37E4B7B0" w14:textId="09825632"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C67A4D1" w14:textId="6437F9DD"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0F2ADA84" w14:textId="5279900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7A0DC5B4" w14:textId="19249BF8"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7D667CBA" w14:textId="03C89C0D"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5FCBF2F7" w14:textId="24A4BA8C"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2E34D043" w14:textId="621AF059"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3B266EB6" w14:textId="3FEF881F"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4C7203D3" w14:textId="1FBE785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4D0988F9" w14:textId="7FCB734B"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w:t>
            </w:r>
          </w:p>
        </w:tc>
        <w:tc>
          <w:tcPr>
            <w:tcW w:w="2056" w:type="pct"/>
            <w:gridSpan w:val="2"/>
            <w:tcBorders>
              <w:left w:val="single" w:sz="4" w:space="0" w:color="7F7F7F" w:themeColor="text1" w:themeTint="80"/>
            </w:tcBorders>
            <w:vAlign w:val="center"/>
          </w:tcPr>
          <w:p w14:paraId="01D891B3" w14:textId="4E3BA1DC" w:rsidR="005A62E4" w:rsidRDefault="005A62E4" w:rsidP="005A62E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US EPA sets explicit time limits on stockpiling of 90 days for large generators and for small generators </w:t>
            </w:r>
            <w:r w:rsidRPr="00BE2DEA">
              <w:rPr>
                <w:rFonts w:asciiTheme="minorHAnsi" w:hAnsiTheme="minorHAnsi" w:cstheme="minorHAnsi"/>
                <w:sz w:val="20"/>
                <w:szCs w:val="20"/>
              </w:rPr>
              <w:t>180 days or</w:t>
            </w:r>
            <w:r>
              <w:rPr>
                <w:rFonts w:asciiTheme="minorHAnsi" w:hAnsiTheme="minorHAnsi" w:cstheme="minorHAnsi"/>
                <w:sz w:val="20"/>
                <w:szCs w:val="20"/>
              </w:rPr>
              <w:t xml:space="preserve"> </w:t>
            </w:r>
            <w:r w:rsidRPr="00BE2DEA">
              <w:rPr>
                <w:rFonts w:asciiTheme="minorHAnsi" w:hAnsiTheme="minorHAnsi" w:cstheme="minorHAnsi"/>
                <w:sz w:val="20"/>
                <w:szCs w:val="20"/>
              </w:rPr>
              <w:t>270 days (if transporting greater than 200 miles)</w:t>
            </w:r>
            <w:r>
              <w:rPr>
                <w:rFonts w:asciiTheme="minorHAnsi" w:hAnsiTheme="minorHAnsi" w:cstheme="minorHAnsi"/>
                <w:sz w:val="20"/>
                <w:szCs w:val="20"/>
              </w:rPr>
              <w:t>. NSW and SA (under proposed reforms) require payment of landfill levy after 12 months. Whilst this is not a time limit per se, after this time the NSW and SA would be able to require removal of the material from the site, as it is effectively being treated as a waste disposed to landfill.</w:t>
            </w:r>
          </w:p>
        </w:tc>
      </w:tr>
      <w:tr w:rsidR="005A62E4" w:rsidRPr="00953A6F" w14:paraId="3A4E2D2F"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37FDB663" w14:textId="12F2C7D0" w:rsidR="005A62E4" w:rsidRPr="00C24D71" w:rsidRDefault="005A62E4" w:rsidP="005A62E4">
            <w:pPr>
              <w:pStyle w:val="ListParagraph"/>
              <w:numPr>
                <w:ilvl w:val="0"/>
                <w:numId w:val="21"/>
              </w:numPr>
              <w:rPr>
                <w:rFonts w:cstheme="minorHAnsi"/>
                <w:sz w:val="20"/>
                <w:szCs w:val="20"/>
              </w:rPr>
            </w:pPr>
            <w:r w:rsidRPr="00C24D71">
              <w:rPr>
                <w:rFonts w:cstheme="minorHAnsi"/>
                <w:sz w:val="20"/>
                <w:szCs w:val="20"/>
              </w:rPr>
              <w:t>Reporting</w:t>
            </w:r>
            <w:r>
              <w:rPr>
                <w:rFonts w:cstheme="minorHAnsi"/>
                <w:sz w:val="20"/>
                <w:szCs w:val="20"/>
              </w:rPr>
              <w:t xml:space="preserve"> required on stockpile status and change</w:t>
            </w:r>
          </w:p>
        </w:tc>
        <w:tc>
          <w:tcPr>
            <w:tcW w:w="216" w:type="pct"/>
            <w:tcBorders>
              <w:left w:val="single" w:sz="4" w:space="0" w:color="7F7F7F" w:themeColor="text1" w:themeTint="80"/>
              <w:right w:val="single" w:sz="4" w:space="0" w:color="7F7F7F" w:themeColor="text1" w:themeTint="80"/>
            </w:tcBorders>
            <w:vAlign w:val="center"/>
          </w:tcPr>
          <w:p w14:paraId="1B4AB634" w14:textId="1C03BA23"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1C3CB23F" w14:textId="560888C3"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5F8EEE0E" w14:textId="20737596"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094F80C1" w14:textId="0872BFAE"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4A0B34A5" w14:textId="353034ED"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2AEF7130" w14:textId="156B4337"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3ED610B6" w14:textId="2EBA6D78"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354BDA87" w14:textId="0B768A75"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3A0B40AA" w14:textId="5DAA58BC"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5CBC8882" w14:textId="6F65050A"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056" w:type="pct"/>
            <w:gridSpan w:val="2"/>
            <w:tcBorders>
              <w:left w:val="single" w:sz="4" w:space="0" w:color="7F7F7F" w:themeColor="text1" w:themeTint="80"/>
            </w:tcBorders>
            <w:vAlign w:val="center"/>
          </w:tcPr>
          <w:p w14:paraId="47CDB965" w14:textId="2F17A428" w:rsidR="005A62E4" w:rsidRDefault="005A62E4" w:rsidP="005A62E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NSW and SA (under proposed reforms) require annual report of stockpile status under the mass balance and upfront levy liability framework. US EPA require biannual reporting from large generators and Wales in the UK require sites to apply for a new permit to stockpile wastes every 12 months, effectively requiring annual reporting.</w:t>
            </w:r>
          </w:p>
        </w:tc>
      </w:tr>
      <w:tr w:rsidR="005A62E4" w:rsidRPr="00953A6F" w14:paraId="370DBE00"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350D5CB1" w14:textId="5E03FE11" w:rsidR="005A62E4" w:rsidRPr="00C24D71" w:rsidRDefault="005A62E4" w:rsidP="005A62E4">
            <w:pPr>
              <w:pStyle w:val="ListParagraph"/>
              <w:numPr>
                <w:ilvl w:val="0"/>
                <w:numId w:val="21"/>
              </w:numPr>
              <w:rPr>
                <w:rFonts w:cstheme="minorHAnsi"/>
                <w:sz w:val="20"/>
                <w:szCs w:val="20"/>
              </w:rPr>
            </w:pPr>
            <w:r w:rsidRPr="00C24D71">
              <w:rPr>
                <w:rFonts w:cstheme="minorHAnsi"/>
                <w:sz w:val="20"/>
                <w:szCs w:val="20"/>
              </w:rPr>
              <w:t xml:space="preserve">Stockpile </w:t>
            </w:r>
            <w:r>
              <w:rPr>
                <w:rFonts w:cstheme="minorHAnsi"/>
                <w:sz w:val="20"/>
                <w:szCs w:val="20"/>
              </w:rPr>
              <w:t xml:space="preserve">site controls </w:t>
            </w:r>
            <w:r w:rsidRPr="00C24D71">
              <w:rPr>
                <w:rFonts w:cstheme="minorHAnsi"/>
                <w:sz w:val="20"/>
                <w:szCs w:val="20"/>
              </w:rPr>
              <w:t>required</w:t>
            </w:r>
          </w:p>
        </w:tc>
        <w:tc>
          <w:tcPr>
            <w:tcW w:w="216" w:type="pct"/>
            <w:tcBorders>
              <w:left w:val="single" w:sz="4" w:space="0" w:color="7F7F7F" w:themeColor="text1" w:themeTint="80"/>
              <w:right w:val="single" w:sz="4" w:space="0" w:color="7F7F7F" w:themeColor="text1" w:themeTint="80"/>
            </w:tcBorders>
            <w:vAlign w:val="center"/>
          </w:tcPr>
          <w:p w14:paraId="5CA9B0CA" w14:textId="725E750C"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74F021F3" w14:textId="2CBD41F3"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3B536F0C" w14:textId="7397D307"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75" w:type="pct"/>
            <w:tcBorders>
              <w:left w:val="single" w:sz="4" w:space="0" w:color="7F7F7F" w:themeColor="text1" w:themeTint="80"/>
              <w:right w:val="single" w:sz="4" w:space="0" w:color="7F7F7F" w:themeColor="text1" w:themeTint="80"/>
            </w:tcBorders>
            <w:vAlign w:val="center"/>
          </w:tcPr>
          <w:p w14:paraId="0AD7FE4C" w14:textId="2287A5E3"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1B436268" w14:textId="48F3B022"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0322FD7C" w14:textId="47B8EACF"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70633F62" w14:textId="1C14D49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2A837B6E" w14:textId="662CE3C5"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7" w:type="pct"/>
            <w:tcBorders>
              <w:left w:val="single" w:sz="4" w:space="0" w:color="7F7F7F" w:themeColor="text1" w:themeTint="80"/>
              <w:right w:val="single" w:sz="4" w:space="0" w:color="7F7F7F" w:themeColor="text1" w:themeTint="80"/>
            </w:tcBorders>
            <w:vAlign w:val="center"/>
          </w:tcPr>
          <w:p w14:paraId="1122F9DD" w14:textId="632AF5E0"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05D85108" w14:textId="02276F24"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056" w:type="pct"/>
            <w:gridSpan w:val="2"/>
            <w:tcBorders>
              <w:left w:val="single" w:sz="4" w:space="0" w:color="7F7F7F" w:themeColor="text1" w:themeTint="80"/>
            </w:tcBorders>
            <w:vAlign w:val="center"/>
          </w:tcPr>
          <w:p w14:paraId="56A946CB" w14:textId="0A777681" w:rsidR="005A62E4" w:rsidRDefault="005A62E4" w:rsidP="005A62E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All jurisdictions in Australia and most developed countries have stockpile site control requirements in place. Controls including bunding for liquid waste, dust control, and prohibition on mixing or diluting hazardous wastes. Whilst these requirements are common, how effectively they are enforced varies significantly.</w:t>
            </w:r>
          </w:p>
        </w:tc>
      </w:tr>
      <w:tr w:rsidR="005A62E4" w:rsidRPr="00953A6F" w14:paraId="483EFDD8"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1A2015A8" w14:textId="1FA065C7" w:rsidR="005A62E4" w:rsidRPr="00C24D71" w:rsidRDefault="005A62E4" w:rsidP="005A62E4">
            <w:pPr>
              <w:pStyle w:val="ListParagraph"/>
              <w:numPr>
                <w:ilvl w:val="0"/>
                <w:numId w:val="21"/>
              </w:numPr>
              <w:rPr>
                <w:rFonts w:cstheme="minorHAnsi"/>
                <w:sz w:val="20"/>
                <w:szCs w:val="20"/>
              </w:rPr>
            </w:pPr>
            <w:r w:rsidRPr="00C24D71">
              <w:rPr>
                <w:rFonts w:cstheme="minorHAnsi"/>
                <w:sz w:val="20"/>
                <w:szCs w:val="20"/>
              </w:rPr>
              <w:t xml:space="preserve">Emergency </w:t>
            </w:r>
            <w:r>
              <w:rPr>
                <w:rFonts w:cstheme="minorHAnsi"/>
                <w:sz w:val="20"/>
                <w:szCs w:val="20"/>
              </w:rPr>
              <w:t xml:space="preserve">plan </w:t>
            </w:r>
            <w:r w:rsidRPr="00C24D71">
              <w:rPr>
                <w:rFonts w:cstheme="minorHAnsi"/>
                <w:sz w:val="20"/>
                <w:szCs w:val="20"/>
              </w:rPr>
              <w:t>required</w:t>
            </w:r>
            <w:r>
              <w:rPr>
                <w:rFonts w:cstheme="minorHAnsi"/>
                <w:sz w:val="20"/>
                <w:szCs w:val="20"/>
              </w:rPr>
              <w:t xml:space="preserve"> for stockpiles</w:t>
            </w:r>
          </w:p>
        </w:tc>
        <w:tc>
          <w:tcPr>
            <w:tcW w:w="216" w:type="pct"/>
            <w:tcBorders>
              <w:left w:val="single" w:sz="4" w:space="0" w:color="7F7F7F" w:themeColor="text1" w:themeTint="80"/>
              <w:right w:val="single" w:sz="4" w:space="0" w:color="7F7F7F" w:themeColor="text1" w:themeTint="80"/>
            </w:tcBorders>
            <w:vAlign w:val="center"/>
          </w:tcPr>
          <w:p w14:paraId="5BEB9703" w14:textId="0208AF96"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780D24C7" w14:textId="62226BEE"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0149D2">
              <w:rPr>
                <w:b/>
                <w:sz w:val="28"/>
                <w:szCs w:val="28"/>
              </w:rPr>
              <w:sym w:font="Wingdings" w:char="F0FB"/>
            </w:r>
          </w:p>
        </w:tc>
        <w:tc>
          <w:tcPr>
            <w:tcW w:w="155" w:type="pct"/>
            <w:tcBorders>
              <w:left w:val="single" w:sz="4" w:space="0" w:color="7F7F7F" w:themeColor="text1" w:themeTint="80"/>
              <w:right w:val="single" w:sz="4" w:space="0" w:color="7F7F7F" w:themeColor="text1" w:themeTint="80"/>
            </w:tcBorders>
            <w:vAlign w:val="center"/>
          </w:tcPr>
          <w:p w14:paraId="2B48EC91" w14:textId="4219225D"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27A83D56" w14:textId="3FA6A634"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7C45CABB" w14:textId="28F9F77D"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0" w:type="pct"/>
            <w:tcBorders>
              <w:left w:val="single" w:sz="4" w:space="0" w:color="7F7F7F" w:themeColor="text1" w:themeTint="80"/>
              <w:right w:val="single" w:sz="4" w:space="0" w:color="7F7F7F" w:themeColor="text1" w:themeTint="80"/>
            </w:tcBorders>
            <w:vAlign w:val="center"/>
          </w:tcPr>
          <w:p w14:paraId="1C7F5482" w14:textId="0B7FB5C9"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BD9BA58" w14:textId="27C99E0E"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4ACEA7DF" w14:textId="2FEB5EDF"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750AF10C" w14:textId="3747DEEC"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3FCE4DCC" w14:textId="446D4EE4"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w:t>
            </w:r>
          </w:p>
        </w:tc>
        <w:tc>
          <w:tcPr>
            <w:tcW w:w="2056" w:type="pct"/>
            <w:gridSpan w:val="2"/>
            <w:tcBorders>
              <w:left w:val="single" w:sz="4" w:space="0" w:color="7F7F7F" w:themeColor="text1" w:themeTint="80"/>
            </w:tcBorders>
            <w:vAlign w:val="center"/>
          </w:tcPr>
          <w:p w14:paraId="688B6F70" w14:textId="62577082" w:rsidR="005A62E4" w:rsidRDefault="005A62E4" w:rsidP="005A62E4">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US EPA </w:t>
            </w:r>
            <w:r w:rsidR="000149D2">
              <w:rPr>
                <w:rFonts w:asciiTheme="minorHAnsi" w:hAnsiTheme="minorHAnsi" w:cstheme="minorHAnsi"/>
                <w:sz w:val="20"/>
                <w:szCs w:val="20"/>
              </w:rPr>
              <w:t>is the o</w:t>
            </w:r>
            <w:r>
              <w:rPr>
                <w:rFonts w:asciiTheme="minorHAnsi" w:hAnsiTheme="minorHAnsi" w:cstheme="minorHAnsi"/>
                <w:sz w:val="20"/>
                <w:szCs w:val="20"/>
              </w:rPr>
              <w:t xml:space="preserve">nly jurisdiction that </w:t>
            </w:r>
            <w:r w:rsidR="00A07AD1">
              <w:rPr>
                <w:rFonts w:asciiTheme="minorHAnsi" w:hAnsiTheme="minorHAnsi" w:cstheme="minorHAnsi"/>
                <w:sz w:val="20"/>
                <w:szCs w:val="20"/>
              </w:rPr>
              <w:t>ha</w:t>
            </w:r>
            <w:r w:rsidR="000149D2">
              <w:rPr>
                <w:rFonts w:asciiTheme="minorHAnsi" w:hAnsiTheme="minorHAnsi" w:cstheme="minorHAnsi"/>
                <w:sz w:val="20"/>
                <w:szCs w:val="20"/>
              </w:rPr>
              <w:t>s</w:t>
            </w:r>
            <w:r w:rsidR="00A07AD1">
              <w:rPr>
                <w:rFonts w:asciiTheme="minorHAnsi" w:hAnsiTheme="minorHAnsi" w:cstheme="minorHAnsi"/>
                <w:sz w:val="20"/>
                <w:szCs w:val="20"/>
              </w:rPr>
              <w:t xml:space="preserve"> published </w:t>
            </w:r>
            <w:r>
              <w:rPr>
                <w:rFonts w:asciiTheme="minorHAnsi" w:hAnsiTheme="minorHAnsi" w:cstheme="minorHAnsi"/>
                <w:sz w:val="20"/>
                <w:szCs w:val="20"/>
              </w:rPr>
              <w:t>required emergency planning for hazardous waste generators</w:t>
            </w:r>
            <w:r w:rsidR="000149D2">
              <w:rPr>
                <w:rFonts w:asciiTheme="minorHAnsi" w:hAnsiTheme="minorHAnsi" w:cstheme="minorHAnsi"/>
                <w:sz w:val="20"/>
                <w:szCs w:val="20"/>
              </w:rPr>
              <w:t xml:space="preserve"> for stockpiles</w:t>
            </w:r>
            <w:r>
              <w:rPr>
                <w:rFonts w:asciiTheme="minorHAnsi" w:hAnsiTheme="minorHAnsi" w:cstheme="minorHAnsi"/>
                <w:sz w:val="20"/>
                <w:szCs w:val="20"/>
              </w:rPr>
              <w:t>. SA provide some guidance for emergency planning</w:t>
            </w:r>
            <w:r w:rsidR="00A07AD1">
              <w:rPr>
                <w:rFonts w:asciiTheme="minorHAnsi" w:hAnsiTheme="minorHAnsi" w:cstheme="minorHAnsi"/>
                <w:sz w:val="20"/>
                <w:szCs w:val="20"/>
              </w:rPr>
              <w:t xml:space="preserve"> and NSW EPA commented that it is required in licences for higher risk sites. </w:t>
            </w:r>
            <w:r>
              <w:rPr>
                <w:rFonts w:asciiTheme="minorHAnsi" w:hAnsiTheme="minorHAnsi" w:cstheme="minorHAnsi"/>
                <w:sz w:val="20"/>
                <w:szCs w:val="20"/>
              </w:rPr>
              <w:t xml:space="preserve">However, </w:t>
            </w:r>
            <w:r w:rsidR="00A07AD1">
              <w:rPr>
                <w:rFonts w:asciiTheme="minorHAnsi" w:hAnsiTheme="minorHAnsi" w:cstheme="minorHAnsi"/>
                <w:sz w:val="20"/>
                <w:szCs w:val="20"/>
              </w:rPr>
              <w:t>no A</w:t>
            </w:r>
            <w:r>
              <w:rPr>
                <w:rFonts w:asciiTheme="minorHAnsi" w:hAnsiTheme="minorHAnsi" w:cstheme="minorHAnsi"/>
                <w:sz w:val="20"/>
                <w:szCs w:val="20"/>
              </w:rPr>
              <w:t xml:space="preserve">ustralian jurisdiction </w:t>
            </w:r>
            <w:r w:rsidR="00A07AD1">
              <w:rPr>
                <w:rFonts w:asciiTheme="minorHAnsi" w:hAnsiTheme="minorHAnsi" w:cstheme="minorHAnsi"/>
                <w:sz w:val="20"/>
                <w:szCs w:val="20"/>
              </w:rPr>
              <w:t xml:space="preserve">has published </w:t>
            </w:r>
            <w:r>
              <w:rPr>
                <w:rFonts w:asciiTheme="minorHAnsi" w:hAnsiTheme="minorHAnsi" w:cstheme="minorHAnsi"/>
                <w:sz w:val="20"/>
                <w:szCs w:val="20"/>
              </w:rPr>
              <w:t>require</w:t>
            </w:r>
            <w:r w:rsidR="00A07AD1">
              <w:rPr>
                <w:rFonts w:asciiTheme="minorHAnsi" w:hAnsiTheme="minorHAnsi" w:cstheme="minorHAnsi"/>
                <w:sz w:val="20"/>
                <w:szCs w:val="20"/>
              </w:rPr>
              <w:t>ments for</w:t>
            </w:r>
            <w:r>
              <w:rPr>
                <w:rFonts w:asciiTheme="minorHAnsi" w:hAnsiTheme="minorHAnsi" w:cstheme="minorHAnsi"/>
                <w:sz w:val="20"/>
                <w:szCs w:val="20"/>
              </w:rPr>
              <w:t xml:space="preserve"> emergency planning for stockpiles, including specification of minimum equipment onsite, maintenance, and planning with local emergency departments.</w:t>
            </w:r>
          </w:p>
        </w:tc>
      </w:tr>
      <w:tr w:rsidR="005A62E4" w:rsidRPr="00953A6F" w14:paraId="1E24246D"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721AB361" w14:textId="4BC4C9C6" w:rsidR="005A62E4" w:rsidRDefault="005A62E4" w:rsidP="005A62E4">
            <w:pPr>
              <w:pStyle w:val="ListParagraph"/>
              <w:numPr>
                <w:ilvl w:val="1"/>
                <w:numId w:val="21"/>
              </w:numPr>
              <w:ind w:left="567"/>
              <w:rPr>
                <w:rFonts w:cstheme="minorHAnsi"/>
                <w:sz w:val="20"/>
                <w:szCs w:val="20"/>
              </w:rPr>
            </w:pPr>
            <w:r w:rsidRPr="005A13ED">
              <w:rPr>
                <w:rFonts w:cstheme="minorHAnsi"/>
                <w:sz w:val="20"/>
                <w:szCs w:val="20"/>
              </w:rPr>
              <w:t>E</w:t>
            </w:r>
            <w:r>
              <w:rPr>
                <w:rFonts w:cstheme="minorHAnsi"/>
                <w:sz w:val="20"/>
                <w:szCs w:val="20"/>
              </w:rPr>
              <w:t>OLT</w:t>
            </w:r>
            <w:r w:rsidRPr="005A13ED">
              <w:rPr>
                <w:rFonts w:cstheme="minorHAnsi"/>
                <w:sz w:val="20"/>
                <w:szCs w:val="20"/>
              </w:rPr>
              <w:t xml:space="preserve"> </w:t>
            </w:r>
            <w:r>
              <w:rPr>
                <w:rFonts w:cstheme="minorHAnsi"/>
                <w:sz w:val="20"/>
                <w:szCs w:val="20"/>
              </w:rPr>
              <w:t>fire plan required</w:t>
            </w:r>
          </w:p>
        </w:tc>
        <w:tc>
          <w:tcPr>
            <w:tcW w:w="216" w:type="pct"/>
            <w:tcBorders>
              <w:left w:val="single" w:sz="4" w:space="0" w:color="7F7F7F" w:themeColor="text1" w:themeTint="80"/>
              <w:right w:val="single" w:sz="4" w:space="0" w:color="7F7F7F" w:themeColor="text1" w:themeTint="80"/>
            </w:tcBorders>
            <w:vAlign w:val="center"/>
          </w:tcPr>
          <w:p w14:paraId="05608548" w14:textId="1C1527C8"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62E5C424" w14:textId="1AEBF0B9" w:rsidR="005A62E4"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23A280A2" w14:textId="276B51F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2C2D7B61" w14:textId="2AD44C6D"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67E2F860" w14:textId="20440931"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095F674D" w14:textId="3877BDAC"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2C0AA215" w14:textId="671CC840"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2EF8C071" w14:textId="03C2204A"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b/>
                <w:sz w:val="28"/>
                <w:szCs w:val="28"/>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17FB8D77" w14:textId="56A2B513"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w:t>
            </w:r>
          </w:p>
        </w:tc>
        <w:tc>
          <w:tcPr>
            <w:tcW w:w="221" w:type="pct"/>
            <w:tcBorders>
              <w:left w:val="single" w:sz="4" w:space="0" w:color="7F7F7F" w:themeColor="text1" w:themeTint="80"/>
              <w:right w:val="single" w:sz="4" w:space="0" w:color="7F7F7F" w:themeColor="text1" w:themeTint="80"/>
            </w:tcBorders>
            <w:vAlign w:val="center"/>
          </w:tcPr>
          <w:p w14:paraId="286EBC9D" w14:textId="6FCB7136"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w:t>
            </w:r>
          </w:p>
        </w:tc>
        <w:tc>
          <w:tcPr>
            <w:tcW w:w="2056" w:type="pct"/>
            <w:gridSpan w:val="2"/>
            <w:tcBorders>
              <w:left w:val="single" w:sz="4" w:space="0" w:color="7F7F7F" w:themeColor="text1" w:themeTint="80"/>
            </w:tcBorders>
            <w:vAlign w:val="center"/>
          </w:tcPr>
          <w:p w14:paraId="3B469738" w14:textId="46290479" w:rsidR="005A62E4" w:rsidRDefault="005A62E4" w:rsidP="005A62E4">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Vic, Qld, SA and NSW all have guidelines and or requirements in place to prevent and manage fire at EOLT stockpiling sites. No guidance or requirement was identified in ACT, NT, Tas, or WA to specifically manage the risk of fire at EOLT sites.</w:t>
            </w:r>
          </w:p>
        </w:tc>
      </w:tr>
      <w:tr w:rsidR="005A62E4" w:rsidRPr="00953A6F" w14:paraId="082344E3"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3"/>
            <w:tcBorders>
              <w:right w:val="single" w:sz="4" w:space="0" w:color="7F7F7F" w:themeColor="text1" w:themeTint="80"/>
            </w:tcBorders>
            <w:shd w:val="clear" w:color="auto" w:fill="7F7F7F" w:themeFill="text1" w:themeFillTint="80"/>
            <w:vAlign w:val="center"/>
          </w:tcPr>
          <w:p w14:paraId="1D37FE4B" w14:textId="6F1347BD" w:rsidR="005A62E4" w:rsidRPr="00CE0316" w:rsidRDefault="005A62E4" w:rsidP="005A62E4">
            <w:pPr>
              <w:jc w:val="center"/>
              <w:rPr>
                <w:rFonts w:asciiTheme="minorHAnsi" w:hAnsiTheme="minorHAnsi" w:cstheme="minorHAnsi"/>
                <w:color w:val="FFFFFF" w:themeColor="background1"/>
              </w:rPr>
            </w:pPr>
            <w:r w:rsidRPr="00CE0316">
              <w:rPr>
                <w:rFonts w:asciiTheme="minorHAnsi" w:hAnsiTheme="minorHAnsi" w:cstheme="minorHAnsi"/>
                <w:color w:val="FFFFFF" w:themeColor="background1"/>
              </w:rPr>
              <w:t xml:space="preserve">CLEARANCE </w:t>
            </w:r>
          </w:p>
        </w:tc>
      </w:tr>
      <w:tr w:rsidR="005A62E4" w:rsidRPr="00953A6F" w14:paraId="7F94EA0D" w14:textId="77777777" w:rsidTr="003202A8">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4C41E894" w14:textId="01A704FF" w:rsidR="005A62E4" w:rsidRPr="00C24D71" w:rsidRDefault="005A62E4" w:rsidP="005A62E4">
            <w:pPr>
              <w:pStyle w:val="ListParagraph"/>
              <w:numPr>
                <w:ilvl w:val="0"/>
                <w:numId w:val="21"/>
              </w:numPr>
              <w:rPr>
                <w:rFonts w:cstheme="minorHAnsi"/>
                <w:sz w:val="20"/>
                <w:szCs w:val="20"/>
              </w:rPr>
            </w:pPr>
            <w:r w:rsidRPr="00C24D71">
              <w:rPr>
                <w:rFonts w:cstheme="minorHAnsi"/>
                <w:sz w:val="20"/>
                <w:szCs w:val="20"/>
              </w:rPr>
              <w:t>Financial assurance for site clean-up</w:t>
            </w:r>
          </w:p>
        </w:tc>
        <w:tc>
          <w:tcPr>
            <w:tcW w:w="216" w:type="pct"/>
            <w:tcBorders>
              <w:left w:val="single" w:sz="4" w:space="0" w:color="7F7F7F" w:themeColor="text1" w:themeTint="80"/>
              <w:right w:val="single" w:sz="4" w:space="0" w:color="7F7F7F" w:themeColor="text1" w:themeTint="80"/>
            </w:tcBorders>
            <w:vAlign w:val="center"/>
          </w:tcPr>
          <w:p w14:paraId="18043872" w14:textId="37C2F137"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42214351" w14:textId="67CEC10E"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155" w:type="pct"/>
            <w:tcBorders>
              <w:left w:val="single" w:sz="4" w:space="0" w:color="7F7F7F" w:themeColor="text1" w:themeTint="80"/>
              <w:right w:val="single" w:sz="4" w:space="0" w:color="7F7F7F" w:themeColor="text1" w:themeTint="80"/>
            </w:tcBorders>
            <w:vAlign w:val="center"/>
          </w:tcPr>
          <w:p w14:paraId="2D806707" w14:textId="15720C98" w:rsidR="005A62E4" w:rsidRPr="009C19A1"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C19A1">
              <w:rPr>
                <w:rFonts w:asciiTheme="minorHAnsi" w:hAnsiTheme="minorHAnsi" w:cstheme="minorHAnsi"/>
                <w:b/>
                <w:sz w:val="28"/>
                <w:szCs w:val="28"/>
              </w:rPr>
              <w:sym w:font="Wingdings" w:char="F0FC"/>
            </w:r>
          </w:p>
        </w:tc>
        <w:tc>
          <w:tcPr>
            <w:tcW w:w="175" w:type="pct"/>
            <w:tcBorders>
              <w:left w:val="single" w:sz="4" w:space="0" w:color="7F7F7F" w:themeColor="text1" w:themeTint="80"/>
              <w:right w:val="single" w:sz="4" w:space="0" w:color="7F7F7F" w:themeColor="text1" w:themeTint="80"/>
            </w:tcBorders>
            <w:vAlign w:val="center"/>
          </w:tcPr>
          <w:p w14:paraId="5C196E5C" w14:textId="52367430"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C19A1">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1AF60B8E" w14:textId="56E9FF61"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C19A1">
              <w:rPr>
                <w:rFonts w:asciiTheme="minorHAnsi" w:hAnsiTheme="minorHAnsi" w:cstheme="minorHAnsi"/>
                <w:b/>
                <w:sz w:val="28"/>
                <w:szCs w:val="28"/>
              </w:rPr>
              <w:sym w:font="Wingdings" w:char="F0FC"/>
            </w:r>
          </w:p>
        </w:tc>
        <w:tc>
          <w:tcPr>
            <w:tcW w:w="170" w:type="pct"/>
            <w:tcBorders>
              <w:left w:val="single" w:sz="4" w:space="0" w:color="7F7F7F" w:themeColor="text1" w:themeTint="80"/>
              <w:right w:val="single" w:sz="4" w:space="0" w:color="7F7F7F" w:themeColor="text1" w:themeTint="80"/>
            </w:tcBorders>
            <w:vAlign w:val="center"/>
          </w:tcPr>
          <w:p w14:paraId="6357528C" w14:textId="577D86D5"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285CB4A5" w14:textId="433B655B"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6" w:type="pct"/>
            <w:tcBorders>
              <w:left w:val="single" w:sz="4" w:space="0" w:color="7F7F7F" w:themeColor="text1" w:themeTint="80"/>
              <w:right w:val="single" w:sz="4" w:space="0" w:color="7F7F7F" w:themeColor="text1" w:themeTint="80"/>
            </w:tcBorders>
            <w:vAlign w:val="center"/>
          </w:tcPr>
          <w:p w14:paraId="633F32F8" w14:textId="1E4AC760"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17" w:type="pct"/>
            <w:tcBorders>
              <w:left w:val="single" w:sz="4" w:space="0" w:color="7F7F7F" w:themeColor="text1" w:themeTint="80"/>
              <w:right w:val="single" w:sz="4" w:space="0" w:color="7F7F7F" w:themeColor="text1" w:themeTint="80"/>
            </w:tcBorders>
            <w:vAlign w:val="center"/>
          </w:tcPr>
          <w:p w14:paraId="082C8856" w14:textId="4065CDD1"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17844BB6" w14:textId="23913BEB" w:rsidR="005A62E4" w:rsidRPr="00CE0316" w:rsidRDefault="005A62E4" w:rsidP="005A62E4">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0316">
              <w:rPr>
                <w:b/>
                <w:sz w:val="28"/>
                <w:szCs w:val="28"/>
              </w:rPr>
              <w:sym w:font="Wingdings" w:char="F0FB"/>
            </w:r>
          </w:p>
        </w:tc>
        <w:tc>
          <w:tcPr>
            <w:tcW w:w="2056" w:type="pct"/>
            <w:gridSpan w:val="2"/>
            <w:tcBorders>
              <w:left w:val="single" w:sz="4" w:space="0" w:color="7F7F7F" w:themeColor="text1" w:themeTint="80"/>
            </w:tcBorders>
            <w:vAlign w:val="center"/>
          </w:tcPr>
          <w:p w14:paraId="5F349715" w14:textId="52586C13" w:rsidR="005A62E4" w:rsidRPr="00953A6F" w:rsidRDefault="005A62E4" w:rsidP="005A62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US EPA, under </w:t>
            </w:r>
            <w:r w:rsidRPr="005C0FF6">
              <w:rPr>
                <w:rFonts w:asciiTheme="minorHAnsi" w:hAnsiTheme="minorHAnsi" w:cstheme="minorHAnsi"/>
                <w:sz w:val="20"/>
                <w:szCs w:val="20"/>
              </w:rPr>
              <w:t xml:space="preserve">US Code of Federal Regulations (CFR) </w:t>
            </w:r>
            <w:hyperlink r:id="rId144" w:anchor="sp40.28.265.h" w:history="1">
              <w:r w:rsidRPr="005C0FF6">
                <w:rPr>
                  <w:rStyle w:val="Hyperlink"/>
                  <w:rFonts w:cstheme="minorHAnsi"/>
                  <w:sz w:val="20"/>
                  <w:szCs w:val="20"/>
                </w:rPr>
                <w:t>section Subpart H—Financial Requirements</w:t>
              </w:r>
            </w:hyperlink>
            <w:r>
              <w:rPr>
                <w:rFonts w:asciiTheme="minorHAnsi" w:hAnsiTheme="minorHAnsi" w:cstheme="minorHAnsi"/>
                <w:sz w:val="20"/>
                <w:szCs w:val="20"/>
              </w:rPr>
              <w:t xml:space="preserve"> requires a financial assurance to cover both site clean-up and site aftercare. All Australia jurisdictions have a legislative framework in place to require financial assurances. There is however, significant variability in the application of this legislation it should </w:t>
            </w:r>
            <w:r w:rsidRPr="00156B22">
              <w:rPr>
                <w:rFonts w:asciiTheme="minorHAnsi" w:hAnsiTheme="minorHAnsi" w:cstheme="minorHAnsi"/>
                <w:b/>
                <w:sz w:val="20"/>
                <w:szCs w:val="20"/>
              </w:rPr>
              <w:t>not</w:t>
            </w:r>
            <w:r>
              <w:rPr>
                <w:rFonts w:asciiTheme="minorHAnsi" w:hAnsiTheme="minorHAnsi" w:cstheme="minorHAnsi"/>
                <w:sz w:val="20"/>
                <w:szCs w:val="20"/>
              </w:rPr>
              <w:t xml:space="preserve"> be assumed that all hazardous waste stockpiles in Australia have a financial assurance in places to cover the cost of clean-up. </w:t>
            </w:r>
          </w:p>
        </w:tc>
      </w:tr>
      <w:tr w:rsidR="005A62E4" w:rsidRPr="00953A6F" w14:paraId="5F34BE40" w14:textId="77777777" w:rsidTr="0032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Borders>
              <w:right w:val="single" w:sz="4" w:space="0" w:color="7F7F7F" w:themeColor="text1" w:themeTint="80"/>
            </w:tcBorders>
            <w:vAlign w:val="center"/>
          </w:tcPr>
          <w:p w14:paraId="5D0B24B5" w14:textId="2DAE6165" w:rsidR="005A62E4" w:rsidRPr="00C24D71" w:rsidRDefault="005A62E4" w:rsidP="005A62E4">
            <w:pPr>
              <w:pStyle w:val="ListParagraph"/>
              <w:numPr>
                <w:ilvl w:val="0"/>
                <w:numId w:val="21"/>
              </w:numPr>
              <w:rPr>
                <w:rFonts w:cstheme="minorHAnsi"/>
                <w:sz w:val="20"/>
                <w:szCs w:val="20"/>
              </w:rPr>
            </w:pPr>
            <w:r>
              <w:rPr>
                <w:rFonts w:cstheme="minorHAnsi"/>
                <w:sz w:val="20"/>
                <w:szCs w:val="20"/>
              </w:rPr>
              <w:t>Government trust or f</w:t>
            </w:r>
            <w:r w:rsidRPr="00C24D71">
              <w:rPr>
                <w:rFonts w:cstheme="minorHAnsi"/>
                <w:sz w:val="20"/>
                <w:szCs w:val="20"/>
              </w:rPr>
              <w:t>unds set up to deal with abandoned stockpiles/contaminated site</w:t>
            </w:r>
          </w:p>
        </w:tc>
        <w:tc>
          <w:tcPr>
            <w:tcW w:w="216" w:type="pct"/>
            <w:tcBorders>
              <w:left w:val="single" w:sz="4" w:space="0" w:color="7F7F7F" w:themeColor="text1" w:themeTint="80"/>
              <w:right w:val="single" w:sz="4" w:space="0" w:color="7F7F7F" w:themeColor="text1" w:themeTint="80"/>
            </w:tcBorders>
            <w:vAlign w:val="center"/>
          </w:tcPr>
          <w:p w14:paraId="0F8C2E1D" w14:textId="7A8D4A0B"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FD1D9C4" w14:textId="4840C8FF"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55" w:type="pct"/>
            <w:tcBorders>
              <w:left w:val="single" w:sz="4" w:space="0" w:color="7F7F7F" w:themeColor="text1" w:themeTint="80"/>
              <w:right w:val="single" w:sz="4" w:space="0" w:color="7F7F7F" w:themeColor="text1" w:themeTint="80"/>
            </w:tcBorders>
            <w:vAlign w:val="center"/>
          </w:tcPr>
          <w:p w14:paraId="009BF5C5" w14:textId="5B79343D"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5" w:type="pct"/>
            <w:tcBorders>
              <w:left w:val="single" w:sz="4" w:space="0" w:color="7F7F7F" w:themeColor="text1" w:themeTint="80"/>
              <w:right w:val="single" w:sz="4" w:space="0" w:color="7F7F7F" w:themeColor="text1" w:themeTint="80"/>
            </w:tcBorders>
            <w:vAlign w:val="center"/>
          </w:tcPr>
          <w:p w14:paraId="7A303791" w14:textId="53D5FD7F"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26D0ADF0" w14:textId="74C2893B"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170" w:type="pct"/>
            <w:tcBorders>
              <w:left w:val="single" w:sz="4" w:space="0" w:color="7F7F7F" w:themeColor="text1" w:themeTint="80"/>
              <w:right w:val="single" w:sz="4" w:space="0" w:color="7F7F7F" w:themeColor="text1" w:themeTint="80"/>
            </w:tcBorders>
            <w:vAlign w:val="center"/>
          </w:tcPr>
          <w:p w14:paraId="2EADA3BC" w14:textId="458ECCBF"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566F2B14" w14:textId="1251A005"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6" w:type="pct"/>
            <w:tcBorders>
              <w:left w:val="single" w:sz="4" w:space="0" w:color="7F7F7F" w:themeColor="text1" w:themeTint="80"/>
              <w:right w:val="single" w:sz="4" w:space="0" w:color="7F7F7F" w:themeColor="text1" w:themeTint="80"/>
            </w:tcBorders>
            <w:vAlign w:val="center"/>
          </w:tcPr>
          <w:p w14:paraId="01D4788F" w14:textId="6074911E"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b/>
                <w:sz w:val="28"/>
                <w:szCs w:val="28"/>
              </w:rPr>
              <w:sym w:font="Wingdings" w:char="F0FB"/>
            </w:r>
          </w:p>
        </w:tc>
        <w:tc>
          <w:tcPr>
            <w:tcW w:w="217" w:type="pct"/>
            <w:tcBorders>
              <w:left w:val="single" w:sz="4" w:space="0" w:color="7F7F7F" w:themeColor="text1" w:themeTint="80"/>
              <w:right w:val="single" w:sz="4" w:space="0" w:color="7F7F7F" w:themeColor="text1" w:themeTint="80"/>
            </w:tcBorders>
            <w:vAlign w:val="center"/>
          </w:tcPr>
          <w:p w14:paraId="4F21B4B4" w14:textId="72F019AA"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E0316">
              <w:rPr>
                <w:rFonts w:asciiTheme="minorHAnsi" w:hAnsiTheme="minorHAnsi" w:cstheme="minorHAnsi"/>
                <w:b/>
                <w:sz w:val="28"/>
                <w:szCs w:val="28"/>
              </w:rPr>
              <w:sym w:font="Wingdings" w:char="F0FC"/>
            </w:r>
          </w:p>
        </w:tc>
        <w:tc>
          <w:tcPr>
            <w:tcW w:w="221" w:type="pct"/>
            <w:tcBorders>
              <w:left w:val="single" w:sz="4" w:space="0" w:color="7F7F7F" w:themeColor="text1" w:themeTint="80"/>
              <w:right w:val="single" w:sz="4" w:space="0" w:color="7F7F7F" w:themeColor="text1" w:themeTint="80"/>
            </w:tcBorders>
            <w:vAlign w:val="center"/>
          </w:tcPr>
          <w:p w14:paraId="5B1E446B" w14:textId="6DA30E8C" w:rsidR="005A62E4" w:rsidRPr="00CE0316" w:rsidRDefault="005A62E4" w:rsidP="005A62E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E0316">
              <w:rPr>
                <w:b/>
                <w:sz w:val="28"/>
                <w:szCs w:val="28"/>
              </w:rPr>
              <w:sym w:font="Wingdings" w:char="F0FB"/>
            </w:r>
          </w:p>
        </w:tc>
        <w:tc>
          <w:tcPr>
            <w:tcW w:w="2056" w:type="pct"/>
            <w:gridSpan w:val="2"/>
            <w:tcBorders>
              <w:left w:val="single" w:sz="4" w:space="0" w:color="7F7F7F" w:themeColor="text1" w:themeTint="80"/>
            </w:tcBorders>
            <w:vAlign w:val="center"/>
          </w:tcPr>
          <w:p w14:paraId="3333A459" w14:textId="61B1CF33" w:rsidR="005A62E4" w:rsidRDefault="005A62E4" w:rsidP="005A62E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US Superfund is a trust funds established to clean-up contaminated sites (stockpiles). No Australian jurisdictions have set up central trusts to </w:t>
            </w:r>
            <w:r w:rsidR="00C930E4">
              <w:rPr>
                <w:rFonts w:asciiTheme="minorHAnsi" w:hAnsiTheme="minorHAnsi" w:cstheme="minorHAnsi"/>
                <w:sz w:val="20"/>
                <w:szCs w:val="20"/>
              </w:rPr>
              <w:t xml:space="preserve">specifically </w:t>
            </w:r>
            <w:r>
              <w:rPr>
                <w:rFonts w:asciiTheme="minorHAnsi" w:hAnsiTheme="minorHAnsi" w:cstheme="minorHAnsi"/>
                <w:sz w:val="20"/>
                <w:szCs w:val="20"/>
              </w:rPr>
              <w:t xml:space="preserve">fund clean-up of abandoned sites, preferring the </w:t>
            </w:r>
            <w:r w:rsidR="00E70169">
              <w:rPr>
                <w:rFonts w:asciiTheme="minorHAnsi" w:hAnsiTheme="minorHAnsi" w:cstheme="minorHAnsi"/>
                <w:sz w:val="20"/>
                <w:szCs w:val="20"/>
              </w:rPr>
              <w:t>site-specific</w:t>
            </w:r>
            <w:r>
              <w:rPr>
                <w:rFonts w:asciiTheme="minorHAnsi" w:hAnsiTheme="minorHAnsi" w:cstheme="minorHAnsi"/>
                <w:sz w:val="20"/>
                <w:szCs w:val="20"/>
              </w:rPr>
              <w:t xml:space="preserve"> financial assurance approach.</w:t>
            </w:r>
            <w:r w:rsidR="00C930E4">
              <w:rPr>
                <w:rFonts w:asciiTheme="minorHAnsi" w:hAnsiTheme="minorHAnsi" w:cstheme="minorHAnsi"/>
                <w:sz w:val="20"/>
                <w:szCs w:val="20"/>
              </w:rPr>
              <w:t xml:space="preserve"> NSW EPA commented that the NSW Environmental Trust has provided site clear-up funds in the past. However, this funding appears to be incidental as opposed to a permanent and dedicated contaminated site fund.</w:t>
            </w:r>
          </w:p>
        </w:tc>
      </w:tr>
    </w:tbl>
    <w:p w14:paraId="57FF7F9B" w14:textId="77777777" w:rsidR="001C793B" w:rsidRDefault="001B6810" w:rsidP="001B6810">
      <w:pPr>
        <w:pStyle w:val="RECnormaltext"/>
        <w:rPr>
          <w:b/>
          <w:sz w:val="20"/>
        </w:rPr>
      </w:pPr>
      <w:r w:rsidRPr="001B6810">
        <w:rPr>
          <w:b/>
          <w:sz w:val="20"/>
        </w:rPr>
        <w:t xml:space="preserve">Legend: </w:t>
      </w:r>
      <w:r>
        <w:rPr>
          <w:b/>
          <w:sz w:val="20"/>
        </w:rPr>
        <w:t xml:space="preserve"> </w:t>
      </w:r>
    </w:p>
    <w:p w14:paraId="4F02727D" w14:textId="371EAAFF" w:rsidR="001C793B" w:rsidRDefault="001B6810" w:rsidP="001B6810">
      <w:pPr>
        <w:pStyle w:val="RECnormaltext"/>
        <w:rPr>
          <w:sz w:val="20"/>
        </w:rPr>
      </w:pPr>
      <w:r w:rsidRPr="00C84AC8">
        <w:rPr>
          <w:sz w:val="28"/>
        </w:rPr>
        <w:sym w:font="Wingdings" w:char="F0FB"/>
      </w:r>
      <w:r w:rsidRPr="00C84AC8">
        <w:rPr>
          <w:sz w:val="28"/>
        </w:rPr>
        <w:t xml:space="preserve"> </w:t>
      </w:r>
      <w:r w:rsidRPr="00C84AC8">
        <w:rPr>
          <w:sz w:val="20"/>
        </w:rPr>
        <w:t>= key element not identified. Noting that there may be specific site licenses that have implemented something similar, the jurisdiction does not have a clear policy posit</w:t>
      </w:r>
      <w:r w:rsidR="001C793B">
        <w:rPr>
          <w:sz w:val="20"/>
        </w:rPr>
        <w:t>ion, program, or regulation that would drive industry wide compliance.</w:t>
      </w:r>
    </w:p>
    <w:p w14:paraId="7735F736" w14:textId="77777777" w:rsidR="001C793B" w:rsidRDefault="001B6810" w:rsidP="001B6810">
      <w:pPr>
        <w:pStyle w:val="RECnormaltext"/>
        <w:rPr>
          <w:sz w:val="20"/>
        </w:rPr>
      </w:pPr>
      <w:r w:rsidRPr="00C84AC8">
        <w:rPr>
          <w:rFonts w:cstheme="minorHAnsi"/>
          <w:b/>
          <w:sz w:val="28"/>
        </w:rPr>
        <w:sym w:font="Wingdings" w:char="F0FC"/>
      </w:r>
      <w:r w:rsidRPr="00C84AC8">
        <w:rPr>
          <w:rFonts w:cstheme="minorHAnsi"/>
          <w:b/>
          <w:sz w:val="20"/>
        </w:rPr>
        <w:t xml:space="preserve"> </w:t>
      </w:r>
      <w:r w:rsidRPr="00C84AC8">
        <w:rPr>
          <w:sz w:val="20"/>
        </w:rPr>
        <w:t>= key element identified and the jurisdiction has a clear policy position that includes the element listed.</w:t>
      </w:r>
      <w:r>
        <w:rPr>
          <w:sz w:val="20"/>
        </w:rPr>
        <w:t xml:space="preserve"> </w:t>
      </w:r>
    </w:p>
    <w:p w14:paraId="0828C7B1" w14:textId="41E7DDD4" w:rsidR="001B6810" w:rsidRDefault="001B6810" w:rsidP="001B6810">
      <w:pPr>
        <w:pStyle w:val="RECnormaltext"/>
        <w:rPr>
          <w:rFonts w:ascii="Calibri" w:hAnsi="Calibri" w:cs="Calibri"/>
          <w:color w:val="000000" w:themeColor="text1"/>
          <w:szCs w:val="22"/>
        </w:rPr>
      </w:pPr>
      <w:r w:rsidRPr="001B6810">
        <w:rPr>
          <w:b/>
          <w:sz w:val="28"/>
        </w:rPr>
        <w:t>-</w:t>
      </w:r>
      <w:r>
        <w:rPr>
          <w:sz w:val="20"/>
        </w:rPr>
        <w:t xml:space="preserve"> </w:t>
      </w:r>
      <w:r w:rsidRPr="00C84AC8">
        <w:rPr>
          <w:sz w:val="20"/>
        </w:rPr>
        <w:t>= literature review did not identify if the element was in place or not (unknown).</w:t>
      </w:r>
    </w:p>
    <w:p w14:paraId="4973D47E" w14:textId="77777777" w:rsidR="00C84AC8" w:rsidRDefault="00C84AC8" w:rsidP="00C84AC8">
      <w:pPr>
        <w:pStyle w:val="RECnormaltext"/>
        <w:ind w:left="426" w:hanging="426"/>
        <w:sectPr w:rsidR="00C84AC8" w:rsidSect="00C527D8">
          <w:headerReference w:type="even" r:id="rId145"/>
          <w:headerReference w:type="default" r:id="rId146"/>
          <w:footerReference w:type="default" r:id="rId147"/>
          <w:headerReference w:type="first" r:id="rId148"/>
          <w:pgSz w:w="16838" w:h="11906" w:orient="landscape"/>
          <w:pgMar w:top="1440" w:right="1810" w:bottom="993" w:left="1134" w:header="708" w:footer="469" w:gutter="0"/>
          <w:cols w:space="708"/>
          <w:docGrid w:linePitch="360"/>
        </w:sectPr>
      </w:pPr>
    </w:p>
    <w:p w14:paraId="6E2A44F4" w14:textId="65003AAD" w:rsidR="00A5651D" w:rsidRPr="001B6C01" w:rsidRDefault="00A5651D">
      <w:pPr>
        <w:pStyle w:val="Heading1"/>
      </w:pPr>
      <w:bookmarkStart w:id="188" w:name="_Ref472671231"/>
      <w:bookmarkStart w:id="189" w:name="_Toc532990255"/>
      <w:r w:rsidRPr="001B6C01">
        <w:t>Defin</w:t>
      </w:r>
      <w:r w:rsidR="000E0907">
        <w:t>ing a ‘</w:t>
      </w:r>
      <w:r w:rsidRPr="001B6C01">
        <w:t>waste stockpile</w:t>
      </w:r>
      <w:bookmarkEnd w:id="188"/>
      <w:r w:rsidR="000E0907">
        <w:t>’</w:t>
      </w:r>
      <w:bookmarkEnd w:id="189"/>
    </w:p>
    <w:p w14:paraId="6F9A89E9" w14:textId="26A8B693" w:rsidR="00E00CC1" w:rsidRDefault="00E00CC1" w:rsidP="00953A6F">
      <w:pPr>
        <w:pStyle w:val="RECnormaltext"/>
      </w:pPr>
      <w:r>
        <w:t xml:space="preserve">This section discusses the definition of a hazardous waste stockpile, considering the current Australian, USA and EU </w:t>
      </w:r>
      <w:r w:rsidR="00775D8B">
        <w:t>frameworks analysed in the sections above</w:t>
      </w:r>
      <w:r>
        <w:t>.</w:t>
      </w:r>
    </w:p>
    <w:p w14:paraId="057C744C" w14:textId="2D1EF09C" w:rsidR="0009777D" w:rsidRDefault="003A245E" w:rsidP="00267977">
      <w:pPr>
        <w:pStyle w:val="Heading2"/>
        <w:rPr>
          <w:rFonts w:eastAsia="Calibri"/>
        </w:rPr>
      </w:pPr>
      <w:bookmarkStart w:id="190" w:name="_Toc532990256"/>
      <w:r>
        <w:rPr>
          <w:rFonts w:eastAsia="Calibri"/>
        </w:rPr>
        <w:t>D</w:t>
      </w:r>
      <w:r w:rsidR="006828AA">
        <w:rPr>
          <w:rFonts w:eastAsia="Calibri"/>
        </w:rPr>
        <w:t>efinition of a hazardous waste stockpile</w:t>
      </w:r>
      <w:bookmarkEnd w:id="190"/>
    </w:p>
    <w:p w14:paraId="4347A16A" w14:textId="16274AB5" w:rsidR="00913893" w:rsidRDefault="00444AAC" w:rsidP="004B2992">
      <w:pPr>
        <w:spacing w:after="80"/>
        <w:rPr>
          <w:rFonts w:eastAsia="Calibri" w:cs="Arial"/>
          <w:szCs w:val="20"/>
        </w:rPr>
      </w:pPr>
      <w:r>
        <w:rPr>
          <w:rFonts w:eastAsia="Calibri" w:cs="Arial"/>
          <w:szCs w:val="20"/>
        </w:rPr>
        <w:fldChar w:fldCharType="begin"/>
      </w:r>
      <w:r>
        <w:rPr>
          <w:rFonts w:eastAsia="Calibri" w:cs="Arial"/>
          <w:szCs w:val="20"/>
        </w:rPr>
        <w:instrText xml:space="preserve"> REF _Ref473031608 \h </w:instrText>
      </w:r>
      <w:r>
        <w:rPr>
          <w:rFonts w:eastAsia="Calibri" w:cs="Arial"/>
          <w:szCs w:val="20"/>
        </w:rPr>
      </w:r>
      <w:r>
        <w:rPr>
          <w:rFonts w:eastAsia="Calibri" w:cs="Arial"/>
          <w:szCs w:val="20"/>
        </w:rPr>
        <w:fldChar w:fldCharType="separate"/>
      </w:r>
      <w:r w:rsidR="00F54E66">
        <w:t xml:space="preserve">Figure </w:t>
      </w:r>
      <w:r w:rsidR="00F54E66">
        <w:rPr>
          <w:noProof/>
        </w:rPr>
        <w:t>1</w:t>
      </w:r>
      <w:r>
        <w:rPr>
          <w:rFonts w:eastAsia="Calibri" w:cs="Arial"/>
          <w:szCs w:val="20"/>
        </w:rPr>
        <w:fldChar w:fldCharType="end"/>
      </w:r>
      <w:r>
        <w:rPr>
          <w:rFonts w:eastAsia="Calibri" w:cs="Arial"/>
          <w:szCs w:val="20"/>
        </w:rPr>
        <w:t xml:space="preserve"> provides an illustration of the definition for hazardous waste stockpiles that is discussed below</w:t>
      </w:r>
      <w:r w:rsidR="00134C93">
        <w:rPr>
          <w:rFonts w:eastAsia="Calibri" w:cs="Arial"/>
          <w:szCs w:val="20"/>
        </w:rPr>
        <w:t xml:space="preserve"> and applied in this report</w:t>
      </w:r>
      <w:r>
        <w:rPr>
          <w:rFonts w:eastAsia="Calibri" w:cs="Arial"/>
          <w:szCs w:val="20"/>
        </w:rPr>
        <w:t>.</w:t>
      </w:r>
    </w:p>
    <w:p w14:paraId="6E2A44F5" w14:textId="149F6DE5" w:rsidR="004B2992" w:rsidRPr="004B2992" w:rsidRDefault="004B2992" w:rsidP="004B2992">
      <w:pPr>
        <w:spacing w:after="80"/>
        <w:rPr>
          <w:rFonts w:eastAsia="Calibri" w:cs="Arial"/>
          <w:szCs w:val="20"/>
        </w:rPr>
      </w:pPr>
      <w:r w:rsidRPr="004B2992">
        <w:rPr>
          <w:rFonts w:eastAsia="Calibri" w:cs="Arial"/>
          <w:szCs w:val="20"/>
        </w:rPr>
        <w:t>For the purposes of this project, a solid or liquid hazardous waste is defined as a stockpile where all of the following apply:</w:t>
      </w:r>
    </w:p>
    <w:p w14:paraId="6E2A44F6" w14:textId="08BF8C8D" w:rsidR="004B2992" w:rsidRPr="004B2992" w:rsidRDefault="004B2992" w:rsidP="006828AA">
      <w:pPr>
        <w:pStyle w:val="RECdotpoint"/>
      </w:pPr>
      <w:r w:rsidRPr="004B2992">
        <w:t xml:space="preserve">it has not been treated or processed </w:t>
      </w:r>
    </w:p>
    <w:p w14:paraId="6E2A44F7" w14:textId="65C88423" w:rsidR="004B2992" w:rsidRPr="004B2992" w:rsidRDefault="004B2992" w:rsidP="006828AA">
      <w:pPr>
        <w:pStyle w:val="RECdotpoint"/>
      </w:pPr>
      <w:r w:rsidRPr="004B2992">
        <w:t>a significant proportion</w:t>
      </w:r>
      <w:r w:rsidR="007A2DF2">
        <w:t xml:space="preserve"> (i.e. 75%)</w:t>
      </w:r>
      <w:r w:rsidRPr="004B2992">
        <w:t xml:space="preserve"> has been stored for more than one year</w:t>
      </w:r>
    </w:p>
    <w:p w14:paraId="2C9394C7" w14:textId="77777777" w:rsidR="00C44780" w:rsidRDefault="00B848BE" w:rsidP="006828AA">
      <w:pPr>
        <w:pStyle w:val="RECdotpoint"/>
      </w:pPr>
      <w:r>
        <w:t>it</w:t>
      </w:r>
      <w:r w:rsidR="00913ADC">
        <w:t xml:space="preserve"> </w:t>
      </w:r>
      <w:r w:rsidR="004B2992" w:rsidRPr="006828AA">
        <w:t>requires</w:t>
      </w:r>
      <w:r w:rsidR="004B2992" w:rsidRPr="004B2992">
        <w:t xml:space="preserve"> ongoing management or monitoring to pre</w:t>
      </w:r>
      <w:r w:rsidR="004B2992">
        <w:t>vent impacts to human health or</w:t>
      </w:r>
      <w:r w:rsidR="004B2992" w:rsidRPr="004B2992">
        <w:t xml:space="preserve"> the environment</w:t>
      </w:r>
    </w:p>
    <w:p w14:paraId="6E2A44F8" w14:textId="2EB2A88E" w:rsidR="004B2992" w:rsidRPr="004B2992" w:rsidRDefault="00AB16F7" w:rsidP="006828AA">
      <w:pPr>
        <w:pStyle w:val="RECdotpoint"/>
      </w:pPr>
      <w:r>
        <w:t xml:space="preserve">it is </w:t>
      </w:r>
      <w:r w:rsidR="00C44780">
        <w:t xml:space="preserve">subject to </w:t>
      </w:r>
      <w:r w:rsidR="00C44780" w:rsidRPr="00BB1CF1">
        <w:t>‘clearance’ requirement</w:t>
      </w:r>
      <w:r w:rsidR="00C44780">
        <w:t>s set out by relevant environmental legislation</w:t>
      </w:r>
      <w:r w:rsidR="004B2992" w:rsidRPr="004B2992">
        <w:t>.</w:t>
      </w:r>
    </w:p>
    <w:p w14:paraId="040553CD" w14:textId="77777777" w:rsidR="00B429EA" w:rsidRDefault="004B2992" w:rsidP="00B429EA">
      <w:pPr>
        <w:pStyle w:val="RECnormaltext"/>
      </w:pPr>
      <w:r w:rsidRPr="004B2992">
        <w:rPr>
          <w:rFonts w:eastAsia="Calibri"/>
        </w:rPr>
        <w:t>A hazardous waste stockpile may be stored above ground or below ground and be located on the site it was generated or elsewhere.</w:t>
      </w:r>
      <w:r w:rsidR="00B429EA" w:rsidRPr="00B429EA">
        <w:t xml:space="preserve"> </w:t>
      </w:r>
    </w:p>
    <w:p w14:paraId="6E2A44FA" w14:textId="349ADFEF" w:rsidR="004B2992" w:rsidRPr="004B2992" w:rsidRDefault="004836E7" w:rsidP="004B2992">
      <w:pPr>
        <w:spacing w:after="80"/>
        <w:rPr>
          <w:rFonts w:eastAsia="Calibri" w:cs="Arial"/>
          <w:szCs w:val="20"/>
        </w:rPr>
      </w:pPr>
      <w:r>
        <w:rPr>
          <w:rFonts w:eastAsia="Calibri" w:cs="Arial"/>
          <w:szCs w:val="20"/>
        </w:rPr>
        <w:t xml:space="preserve">For </w:t>
      </w:r>
      <w:r w:rsidR="0001208B">
        <w:rPr>
          <w:rFonts w:eastAsia="Calibri" w:cs="Arial"/>
          <w:szCs w:val="20"/>
        </w:rPr>
        <w:t>clarity,</w:t>
      </w:r>
      <w:r>
        <w:rPr>
          <w:rFonts w:eastAsia="Calibri" w:cs="Arial"/>
          <w:szCs w:val="20"/>
        </w:rPr>
        <w:t xml:space="preserve"> t</w:t>
      </w:r>
      <w:r w:rsidR="004B2992" w:rsidRPr="004B2992">
        <w:rPr>
          <w:rFonts w:eastAsia="Calibri" w:cs="Arial"/>
          <w:szCs w:val="20"/>
        </w:rPr>
        <w:t>he following are not a hazardous waste stockpile:</w:t>
      </w:r>
    </w:p>
    <w:p w14:paraId="6E2A44FB" w14:textId="77777777" w:rsidR="00970F7E" w:rsidRDefault="004836E7" w:rsidP="00953A6F">
      <w:pPr>
        <w:pStyle w:val="RECdotnotlist"/>
      </w:pPr>
      <w:r>
        <w:t>H</w:t>
      </w:r>
      <w:r w:rsidR="00970F7E">
        <w:t xml:space="preserve">azardous materials, such as asbestos, that are still in use (they are yet to enter the </w:t>
      </w:r>
      <w:r w:rsidR="00E2496E">
        <w:t>‘</w:t>
      </w:r>
      <w:r w:rsidR="00970F7E">
        <w:t>waste</w:t>
      </w:r>
      <w:r w:rsidR="00E2496E">
        <w:t>’</w:t>
      </w:r>
      <w:r w:rsidR="00970F7E">
        <w:t xml:space="preserve"> stream)</w:t>
      </w:r>
      <w:r>
        <w:t>.</w:t>
      </w:r>
    </w:p>
    <w:p w14:paraId="6E2A44FC" w14:textId="77777777" w:rsidR="004B2992" w:rsidRPr="004B2992" w:rsidRDefault="004836E7" w:rsidP="00953A6F">
      <w:pPr>
        <w:pStyle w:val="RECdotnotlist"/>
      </w:pPr>
      <w:r>
        <w:t>A</w:t>
      </w:r>
      <w:r w:rsidR="004B2992" w:rsidRPr="004B2992">
        <w:t xml:space="preserve"> </w:t>
      </w:r>
      <w:r w:rsidRPr="004836E7">
        <w:t>product derived from hazardous waste</w:t>
      </w:r>
      <w:r w:rsidR="004B2992" w:rsidRPr="004B2992">
        <w:t xml:space="preserve"> that meets a defined specification </w:t>
      </w:r>
      <w:r w:rsidR="00E2496E">
        <w:t xml:space="preserve">after </w:t>
      </w:r>
      <w:r w:rsidR="004B2992" w:rsidRPr="004B2992">
        <w:t>processing</w:t>
      </w:r>
      <w:r>
        <w:t>.</w:t>
      </w:r>
    </w:p>
    <w:p w14:paraId="6402EE62" w14:textId="3F48554A" w:rsidR="00134C93" w:rsidRDefault="00134C93" w:rsidP="00134C93">
      <w:pPr>
        <w:pStyle w:val="RECdotnotlist"/>
      </w:pPr>
      <w:r>
        <w:t>Hazardous waste this is stored in an ‘</w:t>
      </w:r>
      <w:r w:rsidRPr="00134C93">
        <w:t>approved long-term on-site storage’</w:t>
      </w:r>
      <w:r>
        <w:t xml:space="preserve"> (discussed below)</w:t>
      </w:r>
      <w:r w:rsidRPr="00134C93">
        <w:t>.</w:t>
      </w:r>
    </w:p>
    <w:p w14:paraId="6E2A44FD" w14:textId="33870A9D" w:rsidR="004B2992" w:rsidRPr="004B2992" w:rsidRDefault="004836E7" w:rsidP="00953A6F">
      <w:pPr>
        <w:pStyle w:val="RECdotnotlist"/>
      </w:pPr>
      <w:r>
        <w:t>H</w:t>
      </w:r>
      <w:r w:rsidR="004B2992" w:rsidRPr="004B2992">
        <w:t xml:space="preserve">azardous waste that is landfilled </w:t>
      </w:r>
      <w:r w:rsidR="00FE14C2">
        <w:t>or contained</w:t>
      </w:r>
      <w:r w:rsidR="0036311B">
        <w:t xml:space="preserve"> </w:t>
      </w:r>
      <w:r w:rsidR="00E418B1">
        <w:t xml:space="preserve">in </w:t>
      </w:r>
      <w:r w:rsidR="0036311B">
        <w:t xml:space="preserve">long-term </w:t>
      </w:r>
      <w:r w:rsidR="00E418B1">
        <w:t xml:space="preserve">storage facilities </w:t>
      </w:r>
      <w:r w:rsidR="004B2992" w:rsidRPr="004B2992">
        <w:t>off-site under</w:t>
      </w:r>
      <w:r w:rsidR="00DF3E5A">
        <w:t xml:space="preserve"> approval</w:t>
      </w:r>
      <w:r w:rsidR="004B2992" w:rsidRPr="004B2992">
        <w:t xml:space="preserve"> from a state or territory regulator</w:t>
      </w:r>
      <w:r>
        <w:t>.</w:t>
      </w:r>
    </w:p>
    <w:p w14:paraId="6E2A44FE" w14:textId="264D5AA3" w:rsidR="00C61F3A" w:rsidRDefault="004836E7" w:rsidP="00953A6F">
      <w:pPr>
        <w:pStyle w:val="RECdotnotlist"/>
      </w:pPr>
      <w:r>
        <w:t>H</w:t>
      </w:r>
      <w:r w:rsidR="004B2992" w:rsidRPr="004B2992">
        <w:t xml:space="preserve">azardous waste that does not require ongoing management or monitoring to prevent impacts to human health </w:t>
      </w:r>
      <w:r w:rsidR="00725968">
        <w:t>or</w:t>
      </w:r>
      <w:r w:rsidR="004B2992" w:rsidRPr="004B2992">
        <w:t xml:space="preserve"> the environment because permanent controls are in place </w:t>
      </w:r>
      <w:r w:rsidR="00B64F4B">
        <w:t>or the current form of the waste present</w:t>
      </w:r>
      <w:r w:rsidR="00D536F9">
        <w:t>s</w:t>
      </w:r>
      <w:r w:rsidR="00B64F4B">
        <w:t xml:space="preserve"> insignificant risk to human health or the environment</w:t>
      </w:r>
      <w:r w:rsidR="004B2992" w:rsidRPr="004B2992">
        <w:t xml:space="preserve">. </w:t>
      </w:r>
      <w:r w:rsidR="00DF3E5A">
        <w:t xml:space="preserve">Examples would include </w:t>
      </w:r>
      <w:r w:rsidR="00D536F9" w:rsidRPr="00953A6F">
        <w:rPr>
          <w:u w:val="single"/>
        </w:rPr>
        <w:t>in-situ</w:t>
      </w:r>
      <w:r w:rsidR="00D536F9">
        <w:t xml:space="preserve"> </w:t>
      </w:r>
      <w:r w:rsidR="00DF3E5A">
        <w:t>low level contaminated soils, or small stockpile</w:t>
      </w:r>
      <w:r w:rsidR="00175110">
        <w:t>s</w:t>
      </w:r>
      <w:r w:rsidR="00DF3E5A">
        <w:t xml:space="preserve"> of waste tyres.</w:t>
      </w:r>
      <w:r w:rsidR="004B2992" w:rsidRPr="004B2992">
        <w:t xml:space="preserve"> </w:t>
      </w:r>
    </w:p>
    <w:p w14:paraId="743DA594" w14:textId="62DDB46E" w:rsidR="00134C93" w:rsidRDefault="006A3A65" w:rsidP="001E0D50">
      <w:pPr>
        <w:pStyle w:val="Heading2"/>
      </w:pPr>
      <w:bookmarkStart w:id="191" w:name="_Toc532990257"/>
      <w:r>
        <w:t>Definition of an a</w:t>
      </w:r>
      <w:r w:rsidR="00134C93">
        <w:t>pproved hazardous waste long-term on-site storage</w:t>
      </w:r>
      <w:bookmarkEnd w:id="191"/>
    </w:p>
    <w:p w14:paraId="7C060E08" w14:textId="335D153A" w:rsidR="00134C93" w:rsidRDefault="00134C93" w:rsidP="00134C93">
      <w:pPr>
        <w:pStyle w:val="RECnormaltext"/>
      </w:pPr>
      <w:r>
        <w:t>There needs to be a clear distinction between a ‘stockpile’ and an ‘approved long-term on-site storage’.</w:t>
      </w:r>
    </w:p>
    <w:p w14:paraId="0F553F12" w14:textId="77777777" w:rsidR="00134C93" w:rsidRDefault="00134C93" w:rsidP="00134C93">
      <w:pPr>
        <w:pStyle w:val="RECnormaltext"/>
      </w:pPr>
      <w:r w:rsidRPr="004B2992">
        <w:rPr>
          <w:rFonts w:eastAsia="Calibri"/>
        </w:rPr>
        <w:t>For the purposes of this project,</w:t>
      </w:r>
      <w:r>
        <w:rPr>
          <w:rFonts w:eastAsia="Calibri"/>
        </w:rPr>
        <w:t xml:space="preserve"> approved</w:t>
      </w:r>
      <w:r w:rsidRPr="004B2992">
        <w:rPr>
          <w:rFonts w:eastAsia="Calibri"/>
        </w:rPr>
        <w:t xml:space="preserve"> </w:t>
      </w:r>
      <w:r>
        <w:rPr>
          <w:rFonts w:eastAsia="Calibri"/>
        </w:rPr>
        <w:t>l</w:t>
      </w:r>
      <w:r>
        <w:t>ong-term on-site storage refers to waste storage that is:</w:t>
      </w:r>
    </w:p>
    <w:p w14:paraId="54615A3F" w14:textId="77777777" w:rsidR="00134C93" w:rsidRDefault="00134C93" w:rsidP="00A034F2">
      <w:pPr>
        <w:pStyle w:val="RECdotpoint"/>
        <w:widowControl w:val="0"/>
      </w:pPr>
      <w:r>
        <w:t>on-site (or near site)</w:t>
      </w:r>
    </w:p>
    <w:p w14:paraId="62C04440" w14:textId="77777777" w:rsidR="0005712E" w:rsidRDefault="00134C93" w:rsidP="00A034F2">
      <w:pPr>
        <w:pStyle w:val="RECdotpoint"/>
        <w:widowControl w:val="0"/>
      </w:pPr>
      <w:r>
        <w:t xml:space="preserve">in designated area/s </w:t>
      </w:r>
    </w:p>
    <w:p w14:paraId="51FAD750" w14:textId="75778A4E" w:rsidR="00134C93" w:rsidRDefault="00134C93" w:rsidP="00A034F2">
      <w:pPr>
        <w:pStyle w:val="RECdotpoint"/>
        <w:widowControl w:val="0"/>
        <w:ind w:left="714" w:hanging="357"/>
      </w:pPr>
      <w:r>
        <w:t>pre-approved</w:t>
      </w:r>
      <w:r>
        <w:rPr>
          <w:rStyle w:val="FootnoteReference"/>
        </w:rPr>
        <w:footnoteReference w:id="25"/>
      </w:r>
      <w:r>
        <w:t xml:space="preserve"> </w:t>
      </w:r>
      <w:r w:rsidR="0005712E">
        <w:t xml:space="preserve">for long-term storage (i.e. greater than 10 years) by </w:t>
      </w:r>
      <w:r w:rsidR="0005712E" w:rsidRPr="004B2992">
        <w:t>state or territory regulator</w:t>
      </w:r>
      <w:r w:rsidR="0005712E">
        <w:t xml:space="preserve"> </w:t>
      </w:r>
      <w:r>
        <w:t>and has pre-approved management processes in place</w:t>
      </w:r>
    </w:p>
    <w:p w14:paraId="1F2305D6" w14:textId="77777777" w:rsidR="00134C93" w:rsidRDefault="00134C93" w:rsidP="00A034F2">
      <w:pPr>
        <w:pStyle w:val="RECdotpoint"/>
        <w:widowControl w:val="0"/>
        <w:ind w:left="714" w:hanging="357"/>
      </w:pPr>
      <w:r>
        <w:t>typically, not required to meet stockpiled waste ‘clearance’ requirements</w:t>
      </w:r>
    </w:p>
    <w:p w14:paraId="1DA39A31" w14:textId="77777777" w:rsidR="00134C93" w:rsidRDefault="00134C93" w:rsidP="00A034F2">
      <w:pPr>
        <w:pStyle w:val="RECdotpoint"/>
        <w:widowControl w:val="0"/>
        <w:ind w:left="714" w:hanging="357"/>
      </w:pPr>
      <w:r>
        <w:t xml:space="preserve">still under management by waste generator (i.e. liability has not been transferred to a third party/facility such as a hazardous waste landfill or isolation facility). </w:t>
      </w:r>
    </w:p>
    <w:p w14:paraId="1E58B610" w14:textId="6E9B6638" w:rsidR="00D937FC" w:rsidRDefault="00134A93" w:rsidP="003202A8">
      <w:pPr>
        <w:pStyle w:val="Caption"/>
        <w:spacing w:after="120"/>
      </w:pPr>
      <w:bookmarkStart w:id="192" w:name="_Ref473031608"/>
      <w:bookmarkStart w:id="193" w:name="_Toc532990274"/>
      <w:r>
        <w:t xml:space="preserve">Figure </w:t>
      </w:r>
      <w:r w:rsidR="00B219C0">
        <w:rPr>
          <w:noProof/>
        </w:rPr>
        <w:fldChar w:fldCharType="begin"/>
      </w:r>
      <w:r w:rsidR="00B219C0">
        <w:rPr>
          <w:noProof/>
        </w:rPr>
        <w:instrText xml:space="preserve"> SEQ Figure \* ARABIC </w:instrText>
      </w:r>
      <w:r w:rsidR="00B219C0">
        <w:rPr>
          <w:noProof/>
        </w:rPr>
        <w:fldChar w:fldCharType="separate"/>
      </w:r>
      <w:r w:rsidR="00F54E66">
        <w:rPr>
          <w:noProof/>
        </w:rPr>
        <w:t>1</w:t>
      </w:r>
      <w:r w:rsidR="00B219C0">
        <w:rPr>
          <w:noProof/>
        </w:rPr>
        <w:fldChar w:fldCharType="end"/>
      </w:r>
      <w:bookmarkEnd w:id="192"/>
      <w:r>
        <w:t xml:space="preserve"> </w:t>
      </w:r>
      <w:r w:rsidR="00D922D8">
        <w:t>Defining h</w:t>
      </w:r>
      <w:r>
        <w:t xml:space="preserve">azardous waste </w:t>
      </w:r>
      <w:r w:rsidR="00D922D8">
        <w:t>stockpiling versus other fates of hazardous wastes</w:t>
      </w:r>
      <w:bookmarkEnd w:id="193"/>
      <w:r w:rsidR="00D922D8">
        <w:t xml:space="preserve"> </w:t>
      </w:r>
    </w:p>
    <w:p w14:paraId="58020483" w14:textId="447F5733" w:rsidR="003202A8" w:rsidRPr="003202A8" w:rsidRDefault="003202A8" w:rsidP="003202A8">
      <w:pPr>
        <w:pStyle w:val="RECnormaltext"/>
      </w:pPr>
      <w:r>
        <w:rPr>
          <w:noProof/>
          <w:lang w:eastAsia="en-AU"/>
        </w:rPr>
        <w:drawing>
          <wp:anchor distT="0" distB="0" distL="114300" distR="114300" simplePos="0" relativeHeight="251666432" behindDoc="0" locked="0" layoutInCell="1" allowOverlap="1" wp14:anchorId="2C4F7309" wp14:editId="7057CAD9">
            <wp:simplePos x="0" y="0"/>
            <wp:positionH relativeFrom="margin">
              <wp:posOffset>550383</wp:posOffset>
            </wp:positionH>
            <wp:positionV relativeFrom="paragraph">
              <wp:posOffset>17780</wp:posOffset>
            </wp:positionV>
            <wp:extent cx="4667415" cy="6903349"/>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zwaste stockpiles defs v7.emf"/>
                    <pic:cNvPicPr/>
                  </pic:nvPicPr>
                  <pic:blipFill>
                    <a:blip r:embed="rId16">
                      <a:extLst>
                        <a:ext uri="{28A0092B-C50C-407E-A947-70E740481C1C}">
                          <a14:useLocalDpi xmlns:a14="http://schemas.microsoft.com/office/drawing/2010/main" val="0"/>
                        </a:ext>
                      </a:extLst>
                    </a:blip>
                    <a:stretch>
                      <a:fillRect/>
                    </a:stretch>
                  </pic:blipFill>
                  <pic:spPr>
                    <a:xfrm>
                      <a:off x="0" y="0"/>
                      <a:ext cx="4667415" cy="6903349"/>
                    </a:xfrm>
                    <a:prstGeom prst="rect">
                      <a:avLst/>
                    </a:prstGeom>
                  </pic:spPr>
                </pic:pic>
              </a:graphicData>
            </a:graphic>
            <wp14:sizeRelH relativeFrom="margin">
              <wp14:pctWidth>0</wp14:pctWidth>
            </wp14:sizeRelH>
            <wp14:sizeRelV relativeFrom="margin">
              <wp14:pctHeight>0</wp14:pctHeight>
            </wp14:sizeRelV>
          </wp:anchor>
        </w:drawing>
      </w:r>
    </w:p>
    <w:p w14:paraId="3E7BE298" w14:textId="5B22C63B" w:rsidR="0005712E" w:rsidRDefault="0005712E" w:rsidP="003202A8">
      <w:pPr>
        <w:pStyle w:val="RECnormaltext"/>
      </w:pPr>
    </w:p>
    <w:p w14:paraId="601B9C0D" w14:textId="17AA9E4F" w:rsidR="003202A8" w:rsidRDefault="003202A8" w:rsidP="003202A8">
      <w:pPr>
        <w:pStyle w:val="RECnormaltext"/>
      </w:pPr>
    </w:p>
    <w:p w14:paraId="0787FC2B" w14:textId="321A570F" w:rsidR="003202A8" w:rsidRDefault="003202A8" w:rsidP="003202A8">
      <w:pPr>
        <w:pStyle w:val="RECnormaltext"/>
      </w:pPr>
    </w:p>
    <w:p w14:paraId="378AA168" w14:textId="2A317B1D" w:rsidR="003202A8" w:rsidRDefault="003202A8" w:rsidP="003202A8">
      <w:pPr>
        <w:pStyle w:val="RECnormaltext"/>
      </w:pPr>
    </w:p>
    <w:p w14:paraId="474CDD67" w14:textId="1267D34C" w:rsidR="003202A8" w:rsidRDefault="003202A8" w:rsidP="003202A8">
      <w:pPr>
        <w:pStyle w:val="RECnormaltext"/>
      </w:pPr>
    </w:p>
    <w:p w14:paraId="3421B864" w14:textId="036D5505" w:rsidR="003202A8" w:rsidRDefault="003202A8" w:rsidP="003202A8">
      <w:pPr>
        <w:pStyle w:val="RECnormaltext"/>
      </w:pPr>
    </w:p>
    <w:p w14:paraId="14635F9C" w14:textId="30AEFE2A" w:rsidR="003202A8" w:rsidRDefault="003202A8" w:rsidP="003202A8">
      <w:pPr>
        <w:pStyle w:val="RECnormaltext"/>
      </w:pPr>
    </w:p>
    <w:p w14:paraId="445966E7" w14:textId="06057BFD" w:rsidR="003202A8" w:rsidRDefault="003202A8" w:rsidP="003202A8">
      <w:pPr>
        <w:pStyle w:val="RECnormaltext"/>
      </w:pPr>
    </w:p>
    <w:p w14:paraId="1B724113" w14:textId="530125E3" w:rsidR="003202A8" w:rsidRDefault="003202A8" w:rsidP="003202A8">
      <w:pPr>
        <w:pStyle w:val="RECnormaltext"/>
      </w:pPr>
    </w:p>
    <w:p w14:paraId="6E1755E5" w14:textId="7BE628CD" w:rsidR="003202A8" w:rsidRDefault="003202A8" w:rsidP="003202A8">
      <w:pPr>
        <w:pStyle w:val="RECnormaltext"/>
      </w:pPr>
    </w:p>
    <w:p w14:paraId="47B82DF1" w14:textId="5AD859CE" w:rsidR="003202A8" w:rsidRDefault="003202A8" w:rsidP="003202A8">
      <w:pPr>
        <w:pStyle w:val="RECnormaltext"/>
      </w:pPr>
    </w:p>
    <w:p w14:paraId="38FA0941" w14:textId="754F107E" w:rsidR="003202A8" w:rsidRDefault="003202A8" w:rsidP="003202A8">
      <w:pPr>
        <w:pStyle w:val="RECnormaltext"/>
      </w:pPr>
    </w:p>
    <w:p w14:paraId="7538B5CB" w14:textId="0F62908D" w:rsidR="003202A8" w:rsidRDefault="003202A8" w:rsidP="003202A8">
      <w:pPr>
        <w:pStyle w:val="RECnormaltext"/>
      </w:pPr>
    </w:p>
    <w:p w14:paraId="53502FF0" w14:textId="12EF72BF" w:rsidR="003202A8" w:rsidRDefault="003202A8" w:rsidP="003202A8">
      <w:pPr>
        <w:pStyle w:val="RECnormaltext"/>
      </w:pPr>
    </w:p>
    <w:p w14:paraId="0711B8AC" w14:textId="4A7901F7" w:rsidR="003202A8" w:rsidRDefault="003202A8" w:rsidP="003202A8">
      <w:pPr>
        <w:pStyle w:val="RECnormaltext"/>
      </w:pPr>
    </w:p>
    <w:p w14:paraId="1F4D3939" w14:textId="29816C69" w:rsidR="003202A8" w:rsidRDefault="003202A8" w:rsidP="003202A8">
      <w:pPr>
        <w:pStyle w:val="RECnormaltext"/>
      </w:pPr>
    </w:p>
    <w:p w14:paraId="6528CA57" w14:textId="4AE527CA" w:rsidR="003202A8" w:rsidRDefault="003202A8" w:rsidP="003202A8">
      <w:pPr>
        <w:pStyle w:val="RECnormaltext"/>
      </w:pPr>
    </w:p>
    <w:p w14:paraId="5434480C" w14:textId="23448375" w:rsidR="003202A8" w:rsidRDefault="003202A8" w:rsidP="003202A8">
      <w:pPr>
        <w:pStyle w:val="RECnormaltext"/>
      </w:pPr>
    </w:p>
    <w:p w14:paraId="1673F78C" w14:textId="3146F4A4" w:rsidR="003202A8" w:rsidRDefault="003202A8" w:rsidP="003202A8">
      <w:pPr>
        <w:pStyle w:val="RECnormaltext"/>
      </w:pPr>
    </w:p>
    <w:p w14:paraId="0A240CED" w14:textId="1D7C40E9" w:rsidR="003202A8" w:rsidRDefault="003202A8" w:rsidP="003202A8">
      <w:pPr>
        <w:pStyle w:val="RECnormaltext"/>
      </w:pPr>
    </w:p>
    <w:p w14:paraId="42D2E2D7" w14:textId="73C04A5C" w:rsidR="003202A8" w:rsidRDefault="003202A8" w:rsidP="003202A8">
      <w:pPr>
        <w:pStyle w:val="RECnormaltext"/>
      </w:pPr>
    </w:p>
    <w:p w14:paraId="32F196DF" w14:textId="61044735" w:rsidR="003202A8" w:rsidRDefault="003202A8" w:rsidP="003202A8">
      <w:pPr>
        <w:pStyle w:val="RECnormaltext"/>
      </w:pPr>
    </w:p>
    <w:p w14:paraId="7C2CADD8" w14:textId="5E04E793" w:rsidR="003202A8" w:rsidRDefault="003202A8" w:rsidP="003202A8">
      <w:pPr>
        <w:pStyle w:val="RECnormaltext"/>
      </w:pPr>
    </w:p>
    <w:p w14:paraId="7D34E63D" w14:textId="74346627" w:rsidR="003202A8" w:rsidRDefault="003202A8" w:rsidP="003202A8">
      <w:pPr>
        <w:pStyle w:val="RECnormaltext"/>
      </w:pPr>
    </w:p>
    <w:p w14:paraId="193FD7E9" w14:textId="77777777" w:rsidR="003202A8" w:rsidRDefault="003202A8" w:rsidP="003202A8">
      <w:pPr>
        <w:pStyle w:val="RECnormaltext"/>
      </w:pPr>
    </w:p>
    <w:p w14:paraId="6E2A450C" w14:textId="36DD32AD" w:rsidR="00A5651D" w:rsidRDefault="00156EAD">
      <w:pPr>
        <w:pStyle w:val="Heading1"/>
      </w:pPr>
      <w:bookmarkStart w:id="194" w:name="_Toc486940322"/>
      <w:bookmarkStart w:id="195" w:name="_Toc487045639"/>
      <w:bookmarkStart w:id="196" w:name="_Toc487102533"/>
      <w:bookmarkStart w:id="197" w:name="_Toc487103773"/>
      <w:bookmarkStart w:id="198" w:name="_Toc487103897"/>
      <w:bookmarkStart w:id="199" w:name="_Ref487019137"/>
      <w:bookmarkStart w:id="200" w:name="_Toc532990258"/>
      <w:bookmarkEnd w:id="194"/>
      <w:bookmarkEnd w:id="195"/>
      <w:bookmarkEnd w:id="196"/>
      <w:bookmarkEnd w:id="197"/>
      <w:bookmarkEnd w:id="198"/>
      <w:r>
        <w:t>N</w:t>
      </w:r>
      <w:r w:rsidR="00B201EC">
        <w:t xml:space="preserve">ational </w:t>
      </w:r>
      <w:r w:rsidR="004E31E3">
        <w:t xml:space="preserve">hazardous waste </w:t>
      </w:r>
      <w:r w:rsidR="00A5651D" w:rsidRPr="001B6C01">
        <w:t>stockpiles</w:t>
      </w:r>
      <w:r w:rsidR="00D4217A">
        <w:t xml:space="preserve"> </w:t>
      </w:r>
      <w:r w:rsidR="004E31E3">
        <w:t>dataset</w:t>
      </w:r>
      <w:bookmarkEnd w:id="199"/>
      <w:bookmarkEnd w:id="200"/>
    </w:p>
    <w:p w14:paraId="134C2220" w14:textId="3170E445" w:rsidR="000D40FF" w:rsidRDefault="00DC3B15" w:rsidP="000D40FF">
      <w:pPr>
        <w:pStyle w:val="RECnormaltext"/>
      </w:pPr>
      <w:r w:rsidRPr="0065279F">
        <w:t>Th</w:t>
      </w:r>
      <w:r w:rsidR="0036311B" w:rsidRPr="0065279F">
        <w:t>is</w:t>
      </w:r>
      <w:r w:rsidRPr="0065279F">
        <w:t xml:space="preserve"> section provides the </w:t>
      </w:r>
      <w:r w:rsidR="005E460C" w:rsidRPr="0065279F">
        <w:t xml:space="preserve">baseline dataset for hazardous waste stockpiles in Australia. The </w:t>
      </w:r>
      <w:r w:rsidR="004E31E3" w:rsidRPr="0065279F">
        <w:t>dataset</w:t>
      </w:r>
      <w:r w:rsidRPr="0065279F">
        <w:t xml:space="preserve"> </w:t>
      </w:r>
      <w:r w:rsidR="005E460C" w:rsidRPr="0065279F">
        <w:t>focus</w:t>
      </w:r>
      <w:r w:rsidRPr="0065279F">
        <w:t>es</w:t>
      </w:r>
      <w:r w:rsidR="005E460C" w:rsidRPr="0065279F">
        <w:t xml:space="preserve"> on listing the known major hazardous waste stockpiles in Australia (standing and recurrent) and describe</w:t>
      </w:r>
      <w:r w:rsidR="00F5270C" w:rsidRPr="0065279F">
        <w:t>s</w:t>
      </w:r>
      <w:r w:rsidR="005E460C" w:rsidRPr="0065279F">
        <w:t xml:space="preserve"> their age, location, amount and composition. </w:t>
      </w:r>
      <w:r w:rsidR="000D40FF">
        <w:t>For completeness, this section also provides a baseline dataset for approved long-</w:t>
      </w:r>
      <w:r w:rsidR="000D40FF" w:rsidRPr="00041032">
        <w:t xml:space="preserve">term </w:t>
      </w:r>
      <w:r w:rsidR="000D40FF">
        <w:t xml:space="preserve">on-site storages that this project has identified </w:t>
      </w:r>
      <w:r w:rsidR="007D5C4C">
        <w:rPr>
          <w:noProof/>
          <w:lang w:eastAsia="en-AU"/>
        </w:rPr>
        <mc:AlternateContent>
          <mc:Choice Requires="wps">
            <w:drawing>
              <wp:anchor distT="0" distB="0" distL="114300" distR="114300" simplePos="0" relativeHeight="251663360" behindDoc="0" locked="0" layoutInCell="1" allowOverlap="1" wp14:anchorId="66F26B3C" wp14:editId="730DD8F2">
                <wp:simplePos x="0" y="0"/>
                <wp:positionH relativeFrom="margin">
                  <wp:align>right</wp:align>
                </wp:positionH>
                <wp:positionV relativeFrom="paragraph">
                  <wp:posOffset>1201420</wp:posOffset>
                </wp:positionV>
                <wp:extent cx="5724525" cy="2266950"/>
                <wp:effectExtent l="57150" t="38100" r="66675" b="76200"/>
                <wp:wrapSquare wrapText="bothSides"/>
                <wp:docPr id="73" name="Rectangle: Rounded Corners 73"/>
                <wp:cNvGraphicFramePr/>
                <a:graphic xmlns:a="http://schemas.openxmlformats.org/drawingml/2006/main">
                  <a:graphicData uri="http://schemas.microsoft.com/office/word/2010/wordprocessingShape">
                    <wps:wsp>
                      <wps:cNvSpPr/>
                      <wps:spPr>
                        <a:xfrm>
                          <a:off x="0" y="0"/>
                          <a:ext cx="5724525" cy="226695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39385ED4" w14:textId="0F5A8802" w:rsidR="00067AC0" w:rsidRPr="00D85BB9" w:rsidRDefault="00067AC0" w:rsidP="007D5C4C">
                            <w:pPr>
                              <w:pStyle w:val="RECnormaltext"/>
                              <w:rPr>
                                <w:b/>
                                <w:color w:val="FFFFFF" w:themeColor="background1"/>
                              </w:rPr>
                            </w:pPr>
                            <w:r w:rsidRPr="00D85BB9">
                              <w:rPr>
                                <w:b/>
                                <w:color w:val="FFFFFF" w:themeColor="background1"/>
                              </w:rPr>
                              <w:t>Why include ‘approved long-term on-site storages’ in the dataset?</w:t>
                            </w:r>
                          </w:p>
                          <w:p w14:paraId="429ABA37" w14:textId="6817BAEB" w:rsidR="00067AC0" w:rsidRPr="00D85BB9" w:rsidRDefault="00067AC0" w:rsidP="007D5C4C">
                            <w:pPr>
                              <w:pStyle w:val="RECnormaltext"/>
                              <w:rPr>
                                <w:color w:val="FFFFFF" w:themeColor="background1"/>
                              </w:rPr>
                            </w:pPr>
                            <w:r w:rsidRPr="00D85BB9">
                              <w:rPr>
                                <w:color w:val="FFFFFF" w:themeColor="background1"/>
                              </w:rPr>
                              <w:t>Following discussions with DoEE it was agreed to include these storages in the dataset, reported separately as a sub-total, for the following reasons:</w:t>
                            </w:r>
                          </w:p>
                          <w:p w14:paraId="44E6A998" w14:textId="58CC0A9E" w:rsidR="00067AC0" w:rsidRPr="00D85BB9" w:rsidRDefault="00067AC0" w:rsidP="00326262">
                            <w:pPr>
                              <w:pStyle w:val="RECnumberlist"/>
                              <w:rPr>
                                <w:color w:val="FFFFFF" w:themeColor="background1"/>
                              </w:rPr>
                            </w:pPr>
                            <w:r w:rsidRPr="00D85BB9">
                              <w:rPr>
                                <w:color w:val="FFFFFF" w:themeColor="background1"/>
                              </w:rPr>
                              <w:t xml:space="preserve">Because these wastes do not leave the site, typically the wastes are not tracked via state waste tracking systems, and there may be no reporting of generation and disposal rates to state environment departments </w:t>
                            </w:r>
                          </w:p>
                          <w:p w14:paraId="60050F59" w14:textId="1162DCEA" w:rsidR="00067AC0" w:rsidRPr="00D85BB9" w:rsidRDefault="00067AC0" w:rsidP="00326262">
                            <w:pPr>
                              <w:pStyle w:val="RECnumberlist"/>
                              <w:rPr>
                                <w:color w:val="FFFFFF" w:themeColor="background1"/>
                              </w:rPr>
                            </w:pPr>
                            <w:r w:rsidRPr="00D85BB9">
                              <w:rPr>
                                <w:color w:val="FFFFFF" w:themeColor="background1"/>
                              </w:rPr>
                              <w:t>These wastes typically differ from those sent off-site to a licensed landfill (for example) where there is a transfer of the waste ‘ownership’ and liability for the long-term management.</w:t>
                            </w:r>
                          </w:p>
                          <w:p w14:paraId="74C9129B" w14:textId="71F5313D" w:rsidR="00067AC0" w:rsidRPr="007D5C4C" w:rsidRDefault="00067AC0" w:rsidP="007D5C4C">
                            <w:pPr>
                              <w:pStyle w:val="RECnormaltext"/>
                              <w:spacing w:after="0"/>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6F26B3C" id="Rectangle: Rounded Corners 73" o:spid="_x0000_s1039" style="position:absolute;margin-left:399.55pt;margin-top:94.6pt;width:450.75pt;height:17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NlqAIAALwFAAAOAAAAZHJzL2Uyb0RvYy54bWysVFtP2zAUfp+0/2D5faTJWhgRKaqKmCYx&#10;QMDEs+vYbTTbx7PdJt2v59hJA2ObkKb1IfW5fud+dt5pRXbC+QZMRfOjCSXCcKgbs67ot4fLD58o&#10;8YGZmikwoqJ74en5/P27s9aWooANqFo4gk6ML1tb0U0ItswyzzdCM38EVhgUSnCaBSTdOqsda9G7&#10;VlkxmRxnLbjaOuDCe+Re9EI6T/6lFDzcSOlFIKqiGFtIX5e+q/jN5mesXDtmNw0fwmD/EIVmjUHQ&#10;0dUFC4xsXfObK91wBx5kOOKgM5Cy4SLlgNnkk1fZ3G+YFSkXLI63Y5n8/3PLr3e3jjR1RU8+UmKY&#10;xh7dYdWYWStRkjvYmlrUZAnOYJMJKmHFWutLNLy3t26gPD5j+p10Ov5jYqRLVd6PVRZdIByZs5Ni&#10;OitmlHCUFcXx8eks9SF7NrfOh88CNImPiroYRYwqlZjtrnxAXNQ/6EVID6qpLxulEhHnRyyVIzuG&#10;nQ9dnkzVVn+FuufNJvjr+49snJJXbHSfpjB6SWC/ACgTYQxEwD6WyMliZfpapFfYKxH1lLkTEquM&#10;2feBjJ570Pp7HiNByKQZTSQ6Ho2KFP1fjQbdaCbSzI+Gb6CN2gkRTBgNdWPAvYHa6x+y7nONaYdu&#10;1aWRysdpWUG9xzlz0C+gt/yywdZeMR9umcONw93EKxJu8CMVtBWF4UXJBtzPP/GjPi4CSilpcYMr&#10;6n9smROUqC8GV+Q0n07jyidiilOHhHspWb2UmK1eAo5KjvfK8vSM+kEdntKBfsRjs4ioKGKGI3ZF&#10;eXAHYhn6y4LniovFIqnhmlsWrsy95Yfmx6l96B6Zs8N8B1yNazhsOytfTXivG1tkYLENIJs0/rHU&#10;fV2HFuCJSDM0nLN4g17SSev56M6fAAAA//8DAFBLAwQUAAYACAAAACEAVG5xUuEAAAAIAQAADwAA&#10;AGRycy9kb3ducmV2LnhtbEyPzU7DMBCE70i8g7VI3KiTiFZtiFPREiSokCr6c+C2jU0SEa+j2E3D&#10;27Oc4Dg7q5lvsuVoWzGY3jeOFMSTCISh0umGKgWH/fPdHIQPSBpbR0bBt/GwzK+vMky1u9C7GXah&#10;EhxCPkUFdQhdKqUva2PRT1xniL1P11sMLPtK6h4vHG5bmUTRTFpsiBtq7My6NuXX7mwVvPjNal/E&#10;a/fxNHTb1+NbsV1hodTtzfj4ACKYMfw9wy8+o0POTCd3Ju1Fq4CHBL7OFwkIthdRPAVxUjC9nyUg&#10;80z+H5D/AAAA//8DAFBLAQItABQABgAIAAAAIQC2gziS/gAAAOEBAAATAAAAAAAAAAAAAAAAAAAA&#10;AABbQ29udGVudF9UeXBlc10ueG1sUEsBAi0AFAAGAAgAAAAhADj9If/WAAAAlAEAAAsAAAAAAAAA&#10;AAAAAAAALwEAAF9yZWxzLy5yZWxzUEsBAi0AFAAGAAgAAAAhANuEE2WoAgAAvAUAAA4AAAAAAAAA&#10;AAAAAAAALgIAAGRycy9lMm9Eb2MueG1sUEsBAi0AFAAGAAgAAAAhAFRucVLhAAAACAEAAA8AAAAA&#10;AAAAAAAAAAAAAgUAAGRycy9kb3ducmV2LnhtbFBLBQYAAAAABAAEAPMAAAAQBgAAAAA=&#10;" fillcolor="gray [1629]" stroked="f">
                <v:shadow on="t" color="black" opacity="24903f" origin=",.5" offset="0,.55556mm"/>
                <v:textbox>
                  <w:txbxContent>
                    <w:p w14:paraId="39385ED4" w14:textId="0F5A8802" w:rsidR="00067AC0" w:rsidRPr="00D85BB9" w:rsidRDefault="00067AC0" w:rsidP="007D5C4C">
                      <w:pPr>
                        <w:pStyle w:val="RECnormaltext"/>
                        <w:rPr>
                          <w:b/>
                          <w:color w:val="FFFFFF" w:themeColor="background1"/>
                        </w:rPr>
                      </w:pPr>
                      <w:r w:rsidRPr="00D85BB9">
                        <w:rPr>
                          <w:b/>
                          <w:color w:val="FFFFFF" w:themeColor="background1"/>
                        </w:rPr>
                        <w:t>Why include ‘approved long-term on-site storages’ in the dataset?</w:t>
                      </w:r>
                    </w:p>
                    <w:p w14:paraId="429ABA37" w14:textId="6817BAEB" w:rsidR="00067AC0" w:rsidRPr="00D85BB9" w:rsidRDefault="00067AC0" w:rsidP="007D5C4C">
                      <w:pPr>
                        <w:pStyle w:val="RECnormaltext"/>
                        <w:rPr>
                          <w:color w:val="FFFFFF" w:themeColor="background1"/>
                        </w:rPr>
                      </w:pPr>
                      <w:r w:rsidRPr="00D85BB9">
                        <w:rPr>
                          <w:color w:val="FFFFFF" w:themeColor="background1"/>
                        </w:rPr>
                        <w:t xml:space="preserve">Following discussions with </w:t>
                      </w:r>
                      <w:proofErr w:type="spellStart"/>
                      <w:r w:rsidRPr="00D85BB9">
                        <w:rPr>
                          <w:color w:val="FFFFFF" w:themeColor="background1"/>
                        </w:rPr>
                        <w:t>DoEE</w:t>
                      </w:r>
                      <w:proofErr w:type="spellEnd"/>
                      <w:r w:rsidRPr="00D85BB9">
                        <w:rPr>
                          <w:color w:val="FFFFFF" w:themeColor="background1"/>
                        </w:rPr>
                        <w:t xml:space="preserve"> it was agreed to include these storages in the dataset, reported separately as a sub-total, for the following reasons:</w:t>
                      </w:r>
                    </w:p>
                    <w:p w14:paraId="44E6A998" w14:textId="58CC0A9E" w:rsidR="00067AC0" w:rsidRPr="00D85BB9" w:rsidRDefault="00067AC0" w:rsidP="00326262">
                      <w:pPr>
                        <w:pStyle w:val="RECnumberlist"/>
                        <w:rPr>
                          <w:color w:val="FFFFFF" w:themeColor="background1"/>
                        </w:rPr>
                      </w:pPr>
                      <w:r w:rsidRPr="00D85BB9">
                        <w:rPr>
                          <w:color w:val="FFFFFF" w:themeColor="background1"/>
                        </w:rPr>
                        <w:t xml:space="preserve">Because these wastes do not leave the site, typically the wastes are not tracked via state waste tracking systems, and there may be no reporting of generation and disposal rates to state environment departments </w:t>
                      </w:r>
                    </w:p>
                    <w:p w14:paraId="60050F59" w14:textId="1162DCEA" w:rsidR="00067AC0" w:rsidRPr="00D85BB9" w:rsidRDefault="00067AC0" w:rsidP="00326262">
                      <w:pPr>
                        <w:pStyle w:val="RECnumberlist"/>
                        <w:rPr>
                          <w:color w:val="FFFFFF" w:themeColor="background1"/>
                        </w:rPr>
                      </w:pPr>
                      <w:r w:rsidRPr="00D85BB9">
                        <w:rPr>
                          <w:color w:val="FFFFFF" w:themeColor="background1"/>
                        </w:rPr>
                        <w:t>These wastes typically differ from those sent off-site to a licensed landfill (for example) where there is a transfer of the waste ‘ownership’ and liability for the long-term management.</w:t>
                      </w:r>
                    </w:p>
                    <w:p w14:paraId="74C9129B" w14:textId="71F5313D" w:rsidR="00067AC0" w:rsidRPr="007D5C4C" w:rsidRDefault="00067AC0" w:rsidP="007D5C4C">
                      <w:pPr>
                        <w:pStyle w:val="RECnormaltext"/>
                        <w:spacing w:after="0"/>
                        <w:rPr>
                          <w:color w:val="FFFFFF" w:themeColor="background1"/>
                        </w:rPr>
                      </w:pPr>
                    </w:p>
                  </w:txbxContent>
                </v:textbox>
                <w10:wrap type="square" anchorx="margin"/>
              </v:roundrect>
            </w:pict>
          </mc:Fallback>
        </mc:AlternateContent>
      </w:r>
      <w:r w:rsidR="000D40FF">
        <w:t>and analysed during project delivery.</w:t>
      </w:r>
    </w:p>
    <w:p w14:paraId="3C54EE25" w14:textId="77777777" w:rsidR="007D5C4C" w:rsidRDefault="007D5C4C" w:rsidP="006D3F0C">
      <w:pPr>
        <w:pStyle w:val="RECdotpoint"/>
        <w:numPr>
          <w:ilvl w:val="0"/>
          <w:numId w:val="0"/>
        </w:numPr>
      </w:pPr>
    </w:p>
    <w:p w14:paraId="626BB122" w14:textId="3FD3D310" w:rsidR="006D3F0C" w:rsidRDefault="006D3F0C" w:rsidP="006D3F0C">
      <w:pPr>
        <w:pStyle w:val="RECdotpoint"/>
        <w:numPr>
          <w:ilvl w:val="0"/>
          <w:numId w:val="0"/>
        </w:numPr>
      </w:pPr>
      <w:r>
        <w:t>The section includes:</w:t>
      </w:r>
    </w:p>
    <w:p w14:paraId="58774449" w14:textId="77777777" w:rsidR="006D3F0C" w:rsidRDefault="006D3F0C" w:rsidP="006D3F0C">
      <w:pPr>
        <w:pStyle w:val="RECdotpoint"/>
        <w:numPr>
          <w:ilvl w:val="0"/>
          <w:numId w:val="78"/>
        </w:numPr>
      </w:pPr>
      <w:r>
        <w:t>important notes regarding the database publication</w:t>
      </w:r>
    </w:p>
    <w:p w14:paraId="728383AD" w14:textId="77777777" w:rsidR="006D3F0C" w:rsidRDefault="006D3F0C" w:rsidP="006D3F0C">
      <w:pPr>
        <w:pStyle w:val="RECdotpoint"/>
        <w:numPr>
          <w:ilvl w:val="0"/>
          <w:numId w:val="78"/>
        </w:numPr>
      </w:pPr>
      <w:r>
        <w:t>an explanation of the dataset reporting (i.e. what is reported in each column for each stockpile or approved long-</w:t>
      </w:r>
      <w:r w:rsidRPr="00041032">
        <w:t xml:space="preserve">term </w:t>
      </w:r>
      <w:r>
        <w:t>on-site storages)</w:t>
      </w:r>
    </w:p>
    <w:p w14:paraId="3A5F77EA" w14:textId="77777777" w:rsidR="006D3F0C" w:rsidRDefault="006D3F0C" w:rsidP="006D3F0C">
      <w:pPr>
        <w:pStyle w:val="RECdotpoint"/>
        <w:numPr>
          <w:ilvl w:val="0"/>
          <w:numId w:val="78"/>
        </w:numPr>
      </w:pPr>
      <w:r>
        <w:t>the baseline dataset for both hazardous waste stockpiles and for approved long-</w:t>
      </w:r>
      <w:r w:rsidRPr="00041032">
        <w:t xml:space="preserve">term </w:t>
      </w:r>
      <w:r>
        <w:t>on-site storages</w:t>
      </w:r>
    </w:p>
    <w:p w14:paraId="7B880D6B" w14:textId="3CFE611A" w:rsidR="006D3F0C" w:rsidRDefault="006D3F0C" w:rsidP="006D3F0C">
      <w:pPr>
        <w:pStyle w:val="RECdotpoint"/>
        <w:numPr>
          <w:ilvl w:val="0"/>
          <w:numId w:val="78"/>
        </w:numPr>
      </w:pPr>
      <w:r>
        <w:t>a concise description of each material type stockpile and approved long-term on-site storage</w:t>
      </w:r>
      <w:r w:rsidR="00AC1945">
        <w:t xml:space="preserve"> in alphabetical order</w:t>
      </w:r>
      <w:r>
        <w:t>.</w:t>
      </w:r>
    </w:p>
    <w:p w14:paraId="2947AC40" w14:textId="1E9AF57A" w:rsidR="006D3F0C" w:rsidRDefault="006D3F0C" w:rsidP="006D3F0C">
      <w:pPr>
        <w:pStyle w:val="RECnormaltext"/>
      </w:pPr>
      <w:r w:rsidRPr="001E0D50">
        <w:t xml:space="preserve"> </w:t>
      </w:r>
      <w:r>
        <w:t>Appendix B</w:t>
      </w:r>
      <w:r w:rsidR="00B85050">
        <w:t xml:space="preserve"> includes the dataset for each Australian state and territory.</w:t>
      </w:r>
    </w:p>
    <w:p w14:paraId="0FB9F6FA" w14:textId="53825D52" w:rsidR="00021146" w:rsidRPr="001E0D50" w:rsidRDefault="008D505B" w:rsidP="006D3F0C">
      <w:pPr>
        <w:pStyle w:val="RECnormaltext"/>
      </w:pPr>
      <w:r w:rsidRPr="001E0D50">
        <w:t>Th</w:t>
      </w:r>
      <w:r w:rsidR="00B85050">
        <w:t>e national</w:t>
      </w:r>
      <w:r w:rsidRPr="001E0D50">
        <w:t xml:space="preserve"> </w:t>
      </w:r>
      <w:r w:rsidR="00444AAC" w:rsidRPr="001E0D50">
        <w:t>dataset</w:t>
      </w:r>
      <w:r w:rsidRPr="001E0D50">
        <w:t xml:space="preserve"> was derived from</w:t>
      </w:r>
      <w:r w:rsidR="00021146" w:rsidRPr="001E0D50">
        <w:t>:</w:t>
      </w:r>
    </w:p>
    <w:p w14:paraId="1BE61000" w14:textId="3FD27035" w:rsidR="00021146" w:rsidRDefault="00021146" w:rsidP="00267977">
      <w:pPr>
        <w:pStyle w:val="RECdotpoint"/>
      </w:pPr>
      <w:r>
        <w:t>a literature review and research completed by the authors</w:t>
      </w:r>
    </w:p>
    <w:p w14:paraId="7E3ACA29" w14:textId="0C9F807A" w:rsidR="004C5C28" w:rsidRDefault="00021146" w:rsidP="00267977">
      <w:pPr>
        <w:pStyle w:val="RECdotpoint"/>
      </w:pPr>
      <w:r>
        <w:t xml:space="preserve">consultation with </w:t>
      </w:r>
      <w:r w:rsidR="004C5C28">
        <w:t>state regulators</w:t>
      </w:r>
    </w:p>
    <w:p w14:paraId="285B4FF8" w14:textId="2B126C1D" w:rsidR="004C5C28" w:rsidRDefault="004C5C28" w:rsidP="00267977">
      <w:pPr>
        <w:pStyle w:val="RECdotpoint"/>
      </w:pPr>
      <w:r>
        <w:t>consultation with the waste management industry</w:t>
      </w:r>
    </w:p>
    <w:p w14:paraId="7E66E2EF" w14:textId="7CA1DE86" w:rsidR="00942F13" w:rsidRDefault="00942F13" w:rsidP="0053683A">
      <w:pPr>
        <w:pStyle w:val="RECdotpoint"/>
      </w:pPr>
      <w:r>
        <w:t>consultation and validation of stockpile or storage data with stockpile/storages ‘owners’, where the owner could be clearly identified (i.e. where there is a small number of stockpiles/storages).</w:t>
      </w:r>
    </w:p>
    <w:p w14:paraId="4C9AA106" w14:textId="4CD93942" w:rsidR="00B85050" w:rsidRDefault="00B85050" w:rsidP="00B85050">
      <w:pPr>
        <w:pStyle w:val="RECdotpoint"/>
        <w:numPr>
          <w:ilvl w:val="0"/>
          <w:numId w:val="0"/>
        </w:numPr>
      </w:pPr>
      <w:r>
        <w:t xml:space="preserve">Appendix C </w:t>
      </w:r>
      <w:r w:rsidR="008612FE">
        <w:t xml:space="preserve">details </w:t>
      </w:r>
      <w:r w:rsidR="00872776">
        <w:t xml:space="preserve">provides details of </w:t>
      </w:r>
      <w:r w:rsidR="008612FE">
        <w:t xml:space="preserve">the stockpile or approved long-term on-site storage estimation methods </w:t>
      </w:r>
      <w:r w:rsidR="00F23C15">
        <w:t xml:space="preserve">(only as </w:t>
      </w:r>
      <w:r w:rsidR="008612FE">
        <w:t>where required</w:t>
      </w:r>
      <w:r w:rsidR="00F23C15">
        <w:t>)</w:t>
      </w:r>
      <w:r w:rsidR="008612FE">
        <w:t xml:space="preserve"> to explain the assumptions and calculations that the authors have completed in providing the estimations.</w:t>
      </w:r>
    </w:p>
    <w:p w14:paraId="38A7EA21" w14:textId="53AC1EFB" w:rsidR="007D5C4C" w:rsidRDefault="007D5C4C" w:rsidP="00B85050">
      <w:pPr>
        <w:pStyle w:val="RECdotpoint"/>
        <w:numPr>
          <w:ilvl w:val="0"/>
          <w:numId w:val="0"/>
        </w:numPr>
      </w:pPr>
    </w:p>
    <w:p w14:paraId="207FEC88" w14:textId="65FC2DF3" w:rsidR="00101153" w:rsidRDefault="00101153" w:rsidP="00101153">
      <w:pPr>
        <w:pStyle w:val="Heading2"/>
      </w:pPr>
      <w:bookmarkStart w:id="201" w:name="_Toc517470538"/>
      <w:bookmarkStart w:id="202" w:name="_Toc517470539"/>
      <w:bookmarkStart w:id="203" w:name="_Toc532990259"/>
      <w:bookmarkEnd w:id="201"/>
      <w:bookmarkEnd w:id="202"/>
      <w:r>
        <w:t>Important notes regarding database publication</w:t>
      </w:r>
      <w:bookmarkEnd w:id="203"/>
    </w:p>
    <w:p w14:paraId="3DE41347" w14:textId="4C98309C" w:rsidR="004C5C28" w:rsidRPr="00267977" w:rsidRDefault="004E31E3" w:rsidP="00872776">
      <w:pPr>
        <w:pStyle w:val="RECnumberlist"/>
        <w:numPr>
          <w:ilvl w:val="0"/>
          <w:numId w:val="77"/>
        </w:numPr>
        <w:ind w:left="426"/>
      </w:pPr>
      <w:r w:rsidRPr="00267977">
        <w:t>The dataset</w:t>
      </w:r>
      <w:r w:rsidR="00B35C20" w:rsidRPr="00267977">
        <w:t xml:space="preserve"> presented in this </w:t>
      </w:r>
      <w:r w:rsidR="000C4925" w:rsidRPr="00267977">
        <w:t>section</w:t>
      </w:r>
      <w:r w:rsidR="00B35C20" w:rsidRPr="00267977">
        <w:t xml:space="preserve"> </w:t>
      </w:r>
      <w:r w:rsidR="00444AAC" w:rsidRPr="00267977">
        <w:t xml:space="preserve">is </w:t>
      </w:r>
      <w:r w:rsidR="00B35C20" w:rsidRPr="00267977">
        <w:t xml:space="preserve">a summary presentation </w:t>
      </w:r>
      <w:r w:rsidR="004C5C28" w:rsidRPr="00267977">
        <w:t xml:space="preserve">has been compiled </w:t>
      </w:r>
      <w:r w:rsidR="003F3419">
        <w:t xml:space="preserve">for </w:t>
      </w:r>
      <w:r w:rsidR="00B35C20" w:rsidRPr="00267977">
        <w:t>publication.</w:t>
      </w:r>
    </w:p>
    <w:p w14:paraId="6E2A4512" w14:textId="750EDB15" w:rsidR="00A5651D" w:rsidRPr="001E0D50" w:rsidRDefault="00F5270C" w:rsidP="00872776">
      <w:pPr>
        <w:pStyle w:val="RECnumberlist"/>
        <w:numPr>
          <w:ilvl w:val="0"/>
          <w:numId w:val="77"/>
        </w:numPr>
        <w:ind w:left="426"/>
      </w:pPr>
      <w:r w:rsidRPr="001E0D50">
        <w:t>The data</w:t>
      </w:r>
      <w:r w:rsidR="004E31E3" w:rsidRPr="001E0D50">
        <w:t>set</w:t>
      </w:r>
      <w:r w:rsidRPr="001E0D50">
        <w:t xml:space="preserve"> </w:t>
      </w:r>
      <w:r w:rsidR="0065279F">
        <w:t>i</w:t>
      </w:r>
      <w:r w:rsidRPr="001E0D50">
        <w:t>s sourced from a</w:t>
      </w:r>
      <w:r w:rsidR="00B35C20" w:rsidRPr="001E0D50">
        <w:t xml:space="preserve"> more detailed confidential database </w:t>
      </w:r>
      <w:r w:rsidRPr="001E0D50">
        <w:t xml:space="preserve">that </w:t>
      </w:r>
      <w:r w:rsidR="00B35C20" w:rsidRPr="001E0D50">
        <w:t xml:space="preserve">has been developed </w:t>
      </w:r>
      <w:r w:rsidR="004E31E3" w:rsidRPr="001E0D50">
        <w:t xml:space="preserve">for the project </w:t>
      </w:r>
      <w:r w:rsidR="00B35C20" w:rsidRPr="001E0D50">
        <w:t>that includes information about each</w:t>
      </w:r>
      <w:r w:rsidRPr="001E0D50">
        <w:t xml:space="preserve"> </w:t>
      </w:r>
      <w:r w:rsidR="00B35C20" w:rsidRPr="001E0D50">
        <w:t xml:space="preserve">site. </w:t>
      </w:r>
      <w:r w:rsidRPr="001E0D50">
        <w:t xml:space="preserve">The detailed database information </w:t>
      </w:r>
      <w:r w:rsidRPr="001E0D50">
        <w:rPr>
          <w:u w:val="single"/>
        </w:rPr>
        <w:t>is not</w:t>
      </w:r>
      <w:r w:rsidRPr="001E0D50">
        <w:t xml:space="preserve"> intended for publication by DoEE as it contains site specific information </w:t>
      </w:r>
      <w:r w:rsidR="0065279F">
        <w:t>may be</w:t>
      </w:r>
      <w:r w:rsidRPr="001E0D50">
        <w:t xml:space="preserve"> commercial-in-confidence.</w:t>
      </w:r>
      <w:r w:rsidR="00A5651D" w:rsidRPr="001E0D50">
        <w:t xml:space="preserve"> </w:t>
      </w:r>
    </w:p>
    <w:p w14:paraId="3E593BBA" w14:textId="58E8CA1D" w:rsidR="0065279F" w:rsidRPr="00567E32" w:rsidRDefault="003B2CDB" w:rsidP="00872776">
      <w:pPr>
        <w:pStyle w:val="RECnumberlist"/>
        <w:numPr>
          <w:ilvl w:val="0"/>
          <w:numId w:val="77"/>
        </w:numPr>
        <w:ind w:left="426"/>
      </w:pPr>
      <w:bookmarkStart w:id="204" w:name="_Toc471403277"/>
      <w:bookmarkStart w:id="205" w:name="_Toc472337968"/>
      <w:bookmarkStart w:id="206" w:name="_Toc472435339"/>
      <w:bookmarkStart w:id="207" w:name="_Hlk487165552"/>
      <w:bookmarkEnd w:id="204"/>
      <w:bookmarkEnd w:id="205"/>
      <w:bookmarkEnd w:id="206"/>
      <w:r>
        <w:t xml:space="preserve">The stockpile data is redacted (see </w:t>
      </w:r>
      <w:r w:rsidR="003E2A9A">
        <w:t>red blocks</w:t>
      </w:r>
      <w:r>
        <w:t>) w</w:t>
      </w:r>
      <w:r w:rsidR="0065279F">
        <w:t xml:space="preserve">here the supporting data is </w:t>
      </w:r>
      <w:r w:rsidR="0065279F" w:rsidRPr="00567E32">
        <w:t>commercial-in-confidence</w:t>
      </w:r>
      <w:r w:rsidR="0065279F">
        <w:t xml:space="preserve"> as there are few sites </w:t>
      </w:r>
      <w:r w:rsidR="00D4217A">
        <w:t>and/</w:t>
      </w:r>
      <w:r w:rsidR="0065279F">
        <w:t xml:space="preserve">or stockpile ‘owner’ </w:t>
      </w:r>
      <w:r w:rsidR="003F3419">
        <w:t>companies</w:t>
      </w:r>
      <w:r w:rsidR="0065279F" w:rsidRPr="00567E32">
        <w:t xml:space="preserve">. </w:t>
      </w:r>
    </w:p>
    <w:bookmarkEnd w:id="207"/>
    <w:p w14:paraId="403F4A19" w14:textId="0338A73D" w:rsidR="00AD1AC8" w:rsidRDefault="00DC3472" w:rsidP="00872776">
      <w:pPr>
        <w:pStyle w:val="RECnormaltext"/>
        <w:numPr>
          <w:ilvl w:val="0"/>
          <w:numId w:val="77"/>
        </w:numPr>
        <w:ind w:left="426"/>
      </w:pPr>
      <w:r>
        <w:t>N</w:t>
      </w:r>
      <w:r w:rsidR="00942F13">
        <w:t>ote the ‘data quality’ assessment</w:t>
      </w:r>
      <w:r w:rsidR="0033336F">
        <w:t xml:space="preserve"> columns</w:t>
      </w:r>
      <w:r w:rsidR="00942F13">
        <w:t xml:space="preserve"> (see definitions below). </w:t>
      </w:r>
      <w:r w:rsidR="00F85D93">
        <w:t xml:space="preserve"> </w:t>
      </w:r>
      <w:r w:rsidR="0065279F">
        <w:t xml:space="preserve"> </w:t>
      </w:r>
    </w:p>
    <w:p w14:paraId="2E72A6BB" w14:textId="2FD608E6" w:rsidR="0065279F" w:rsidRDefault="00BC704A" w:rsidP="00267977">
      <w:pPr>
        <w:pStyle w:val="Heading2"/>
      </w:pPr>
      <w:bookmarkStart w:id="208" w:name="_Toc532990260"/>
      <w:r>
        <w:t xml:space="preserve">Explanation </w:t>
      </w:r>
      <w:r w:rsidR="00790F1B">
        <w:t xml:space="preserve">of </w:t>
      </w:r>
      <w:r>
        <w:t>dataset</w:t>
      </w:r>
      <w:r w:rsidR="00790F1B">
        <w:t xml:space="preserve"> reporting</w:t>
      </w:r>
      <w:bookmarkEnd w:id="208"/>
      <w:r w:rsidR="00790F1B">
        <w:t xml:space="preserve"> </w:t>
      </w:r>
    </w:p>
    <w:p w14:paraId="45035583" w14:textId="05BD6139" w:rsidR="00130863" w:rsidRDefault="005556D5">
      <w:pPr>
        <w:pStyle w:val="RECnormaltext"/>
      </w:pPr>
      <w:r>
        <w:fldChar w:fldCharType="begin"/>
      </w:r>
      <w:r>
        <w:instrText xml:space="preserve"> REF _Ref487018781 \h </w:instrText>
      </w:r>
      <w:r>
        <w:fldChar w:fldCharType="separate"/>
      </w:r>
      <w:r w:rsidR="00F54E66">
        <w:t xml:space="preserve">Table </w:t>
      </w:r>
      <w:r w:rsidR="00F54E66">
        <w:rPr>
          <w:noProof/>
        </w:rPr>
        <w:t>4</w:t>
      </w:r>
      <w:r>
        <w:fldChar w:fldCharType="end"/>
      </w:r>
      <w:r>
        <w:t xml:space="preserve"> provides details of each of the reporting columns that are included in the dataset.</w:t>
      </w:r>
    </w:p>
    <w:p w14:paraId="7C9E29E1" w14:textId="34BC734C" w:rsidR="00F23C15" w:rsidRPr="00F23C15" w:rsidRDefault="00130863" w:rsidP="00F23C15">
      <w:pPr>
        <w:pStyle w:val="Caption"/>
        <w:spacing w:after="120"/>
      </w:pPr>
      <w:bookmarkStart w:id="209" w:name="_Ref487018781"/>
      <w:bookmarkStart w:id="210" w:name="_Toc532990271"/>
      <w:r>
        <w:t xml:space="preserve">Table </w:t>
      </w:r>
      <w:r w:rsidR="00B219C0">
        <w:rPr>
          <w:noProof/>
        </w:rPr>
        <w:fldChar w:fldCharType="begin"/>
      </w:r>
      <w:r w:rsidR="00B219C0">
        <w:rPr>
          <w:noProof/>
        </w:rPr>
        <w:instrText xml:space="preserve"> SEQ Table \* ARABIC </w:instrText>
      </w:r>
      <w:r w:rsidR="00B219C0">
        <w:rPr>
          <w:noProof/>
        </w:rPr>
        <w:fldChar w:fldCharType="separate"/>
      </w:r>
      <w:r w:rsidR="00F54E66">
        <w:rPr>
          <w:noProof/>
        </w:rPr>
        <w:t>4</w:t>
      </w:r>
      <w:r w:rsidR="00B219C0">
        <w:rPr>
          <w:noProof/>
        </w:rPr>
        <w:fldChar w:fldCharType="end"/>
      </w:r>
      <w:bookmarkEnd w:id="209"/>
      <w:r>
        <w:t xml:space="preserve"> </w:t>
      </w:r>
      <w:r>
        <w:tab/>
        <w:t>E</w:t>
      </w:r>
      <w:r w:rsidRPr="00F923F1">
        <w:t>xplanation of dataset reporting</w:t>
      </w:r>
      <w:bookmarkEnd w:id="210"/>
    </w:p>
    <w:tbl>
      <w:tblPr>
        <w:tblStyle w:val="BETable13"/>
        <w:tblW w:w="9498" w:type="dxa"/>
        <w:tblLook w:val="04A0" w:firstRow="1" w:lastRow="0" w:firstColumn="1" w:lastColumn="0" w:noHBand="0" w:noVBand="1"/>
      </w:tblPr>
      <w:tblGrid>
        <w:gridCol w:w="2127"/>
        <w:gridCol w:w="7371"/>
      </w:tblGrid>
      <w:tr w:rsidR="00130863" w14:paraId="66994DEB" w14:textId="77777777" w:rsidTr="00E23F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shd w:val="clear" w:color="auto" w:fill="808080" w:themeFill="background1" w:themeFillShade="80"/>
          </w:tcPr>
          <w:p w14:paraId="2BD8FDE7" w14:textId="77777777" w:rsidR="00130863" w:rsidRPr="0005361E" w:rsidRDefault="00C26360" w:rsidP="00326262">
            <w:pPr>
              <w:pStyle w:val="RECnumberlist"/>
              <w:numPr>
                <w:ilvl w:val="0"/>
                <w:numId w:val="0"/>
              </w:numPr>
              <w:ind w:left="16"/>
            </w:pPr>
            <w:r w:rsidRPr="00A452A5">
              <w:rPr>
                <w:color w:val="FFFFFF" w:themeColor="background1"/>
              </w:rPr>
              <w:t>Reporting</w:t>
            </w:r>
          </w:p>
        </w:tc>
        <w:tc>
          <w:tcPr>
            <w:tcW w:w="7371" w:type="dxa"/>
            <w:shd w:val="clear" w:color="auto" w:fill="808080" w:themeFill="background1" w:themeFillShade="80"/>
          </w:tcPr>
          <w:p w14:paraId="3E91488E" w14:textId="77777777" w:rsidR="00130863" w:rsidRPr="0005361E" w:rsidRDefault="00130863" w:rsidP="003202A8">
            <w:pPr>
              <w:pStyle w:val="RECnormal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5361E">
              <w:rPr>
                <w:color w:val="FFFFFF" w:themeColor="background1"/>
              </w:rPr>
              <w:t>Explanation</w:t>
            </w:r>
          </w:p>
        </w:tc>
      </w:tr>
      <w:tr w:rsidR="00C0654D" w14:paraId="7F429EE4"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224F2483" w14:textId="40A91E48" w:rsidR="00C0654D" w:rsidRPr="00794B31" w:rsidRDefault="00C0654D" w:rsidP="00326262">
            <w:pPr>
              <w:pStyle w:val="RECnumberlist"/>
              <w:numPr>
                <w:ilvl w:val="0"/>
                <w:numId w:val="0"/>
              </w:numPr>
              <w:ind w:left="16"/>
            </w:pPr>
            <w:r w:rsidRPr="003C3E3F">
              <w:t>Est. tonnes</w:t>
            </w:r>
          </w:p>
        </w:tc>
        <w:tc>
          <w:tcPr>
            <w:tcW w:w="7371" w:type="dxa"/>
          </w:tcPr>
          <w:p w14:paraId="51387DE5" w14:textId="30365907" w:rsidR="00C0654D" w:rsidRDefault="00C0654D" w:rsidP="003202A8">
            <w:pPr>
              <w:pStyle w:val="RECnormaltext"/>
              <w:cnfStyle w:val="000000000000" w:firstRow="0" w:lastRow="0" w:firstColumn="0" w:lastColumn="0" w:oddVBand="0" w:evenVBand="0" w:oddHBand="0" w:evenHBand="0" w:firstRowFirstColumn="0" w:firstRowLastColumn="0" w:lastRowFirstColumn="0" w:lastRowLastColumn="0"/>
            </w:pPr>
            <w:r>
              <w:t xml:space="preserve">This is the estimate of the </w:t>
            </w:r>
            <w:r w:rsidRPr="00267977">
              <w:rPr>
                <w:u w:val="single"/>
              </w:rPr>
              <w:t>total</w:t>
            </w:r>
            <w:r>
              <w:t xml:space="preserve"> tonnage of stockpiled or approved long-term on-site stored wastes in Australia or in each state and territory (Appendix B)</w:t>
            </w:r>
          </w:p>
        </w:tc>
      </w:tr>
      <w:tr w:rsidR="00C0654D" w14:paraId="16F4AD08"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39D695D4" w14:textId="76D2CE57" w:rsidR="00C0654D" w:rsidRPr="00794B31" w:rsidRDefault="00C0654D" w:rsidP="00326262">
            <w:pPr>
              <w:pStyle w:val="RECnumberlist"/>
              <w:numPr>
                <w:ilvl w:val="0"/>
                <w:numId w:val="0"/>
              </w:numPr>
              <w:ind w:left="16"/>
            </w:pPr>
            <w:r w:rsidRPr="003C3E3F">
              <w:t>Est. average age (years)</w:t>
            </w:r>
          </w:p>
        </w:tc>
        <w:tc>
          <w:tcPr>
            <w:tcW w:w="7371" w:type="dxa"/>
          </w:tcPr>
          <w:p w14:paraId="783EA960" w14:textId="36A4C743" w:rsidR="00C0654D" w:rsidRDefault="00C0654D" w:rsidP="003202A8">
            <w:pPr>
              <w:pStyle w:val="RECnormaltext"/>
              <w:cnfStyle w:val="000000000000" w:firstRow="0" w:lastRow="0" w:firstColumn="0" w:lastColumn="0" w:oddVBand="0" w:evenVBand="0" w:oddHBand="0" w:evenHBand="0" w:firstRowFirstColumn="0" w:firstRowLastColumn="0" w:lastRowFirstColumn="0" w:lastRowLastColumn="0"/>
            </w:pPr>
            <w:r>
              <w:t xml:space="preserve">This is the average age in years of all of the stockpiled or stored wastes by waste type.  </w:t>
            </w:r>
          </w:p>
        </w:tc>
      </w:tr>
      <w:tr w:rsidR="00121622" w14:paraId="13B07E94"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439EC7C6" w14:textId="52F1EDC0" w:rsidR="00121622" w:rsidRPr="00794B31" w:rsidRDefault="00121622" w:rsidP="0090280B">
            <w:pPr>
              <w:pStyle w:val="RECnumberlist"/>
              <w:numPr>
                <w:ilvl w:val="0"/>
                <w:numId w:val="0"/>
              </w:numPr>
              <w:ind w:left="16"/>
            </w:pPr>
            <w:r w:rsidRPr="003C3E3F">
              <w:t>Primary contam. or risk (</w:t>
            </w:r>
            <w:r w:rsidR="0090280B" w:rsidRPr="003C3E3F">
              <w:t>NE</w:t>
            </w:r>
            <w:r w:rsidR="0090280B">
              <w:t>PM</w:t>
            </w:r>
            <w:r w:rsidRPr="003C3E3F">
              <w:t>)</w:t>
            </w:r>
          </w:p>
        </w:tc>
        <w:tc>
          <w:tcPr>
            <w:tcW w:w="7371" w:type="dxa"/>
          </w:tcPr>
          <w:p w14:paraId="3D62D5CA" w14:textId="203FE4A7"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This is the authors</w:t>
            </w:r>
            <w:r w:rsidR="0090280B">
              <w:t>’</w:t>
            </w:r>
            <w:r>
              <w:t xml:space="preserve"> understanding of the primary contaminant or risk of concern for each stockpile or storage waste type based on the </w:t>
            </w:r>
            <w:r w:rsidRPr="00267977">
              <w:rPr>
                <w:i/>
              </w:rPr>
              <w:t>National Environment Protection (Movement of Controlled Waste between States and Territories) Measure</w:t>
            </w:r>
            <w:r>
              <w:t>,</w:t>
            </w:r>
            <w:r w:rsidRPr="00267977">
              <w:t xml:space="preserve"> </w:t>
            </w:r>
            <w:r>
              <w:br/>
            </w:r>
            <w:r w:rsidRPr="00E020F8">
              <w:rPr>
                <w:i/>
              </w:rPr>
              <w:t>Schedule A List 1: Waste categories</w:t>
            </w:r>
            <w:r w:rsidRPr="00267977">
              <w:rPr>
                <w:i/>
              </w:rPr>
              <w:t>.</w:t>
            </w:r>
          </w:p>
        </w:tc>
      </w:tr>
      <w:tr w:rsidR="00121622" w14:paraId="2F386054"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74F49F39" w14:textId="7EF84CB7" w:rsidR="00121622" w:rsidRPr="00794B31" w:rsidRDefault="00121622" w:rsidP="00326262">
            <w:pPr>
              <w:pStyle w:val="RECnumberlist"/>
              <w:numPr>
                <w:ilvl w:val="0"/>
                <w:numId w:val="0"/>
              </w:numPr>
              <w:ind w:left="16"/>
            </w:pPr>
            <w:r w:rsidRPr="003C3E3F">
              <w:t xml:space="preserve">Second. contam. or risk (NEPM) </w:t>
            </w:r>
          </w:p>
        </w:tc>
        <w:tc>
          <w:tcPr>
            <w:tcW w:w="7371" w:type="dxa"/>
          </w:tcPr>
          <w:p w14:paraId="678D3508" w14:textId="4E90C36B"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This is the authors</w:t>
            </w:r>
            <w:r w:rsidR="0090280B">
              <w:t>’</w:t>
            </w:r>
            <w:r>
              <w:t xml:space="preserve"> understanding of the secondary contaminant or risk of concern for each stockpile or storage waste type based on the </w:t>
            </w:r>
            <w:r w:rsidRPr="0066434F">
              <w:rPr>
                <w:i/>
              </w:rPr>
              <w:t>National Environment Protection (Movement of Controlled Waste between States and Territories) Measure</w:t>
            </w:r>
            <w:r w:rsidRPr="0066434F">
              <w:t xml:space="preserve"> </w:t>
            </w:r>
            <w:r w:rsidR="00CA5F7E">
              <w:t xml:space="preserve">(Controlled Waste NEPM) </w:t>
            </w:r>
            <w:r w:rsidRPr="00267977">
              <w:rPr>
                <w:i/>
              </w:rPr>
              <w:t>Schedule A List 1: Waste categories.</w:t>
            </w:r>
            <w:r w:rsidR="006D7217">
              <w:rPr>
                <w:i/>
              </w:rPr>
              <w:t xml:space="preserve"> </w:t>
            </w:r>
            <w:r w:rsidR="006D7217">
              <w:t xml:space="preserve">For reference a list of the NEPM codes is included in Appendix </w:t>
            </w:r>
            <w:r w:rsidR="003202A8">
              <w:t>D.</w:t>
            </w:r>
          </w:p>
        </w:tc>
      </w:tr>
      <w:tr w:rsidR="00121622" w14:paraId="795EAA9D"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20D449FD" w14:textId="2CCBA076" w:rsidR="00121622" w:rsidRPr="00794B31" w:rsidRDefault="00121622" w:rsidP="00326262">
            <w:pPr>
              <w:pStyle w:val="RECnumberlist"/>
              <w:numPr>
                <w:ilvl w:val="0"/>
                <w:numId w:val="0"/>
              </w:numPr>
              <w:ind w:left="16"/>
            </w:pPr>
            <w:r w:rsidRPr="003C3E3F">
              <w:t>Hazwaste each state territory? (Y/N)</w:t>
            </w:r>
          </w:p>
        </w:tc>
        <w:tc>
          <w:tcPr>
            <w:tcW w:w="7371" w:type="dxa"/>
          </w:tcPr>
          <w:p w14:paraId="0B272FBA" w14:textId="253F4A55"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 xml:space="preserve">This is a simple ‘yes’ or ‘no’ analysis of the classification as a hazardous waste for each stockpile or storage type. If the waste is a classified as a hazardous waste (or the jurisdictional equivalent) in each state, then it is listed as yes. If any state or territory does not classify the waste as a hazardous waste then it is listed as no. </w:t>
            </w:r>
          </w:p>
        </w:tc>
      </w:tr>
      <w:tr w:rsidR="00121622" w14:paraId="1BC9A036"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35826DE5" w14:textId="59D84E52" w:rsidR="00121622" w:rsidRPr="00794B31" w:rsidRDefault="00121622" w:rsidP="00326262">
            <w:pPr>
              <w:pStyle w:val="RECnumberlist"/>
              <w:numPr>
                <w:ilvl w:val="0"/>
                <w:numId w:val="0"/>
              </w:numPr>
              <w:ind w:left="16"/>
            </w:pPr>
            <w:r w:rsidRPr="003C3E3F">
              <w:t>Primary reason for stockpiling or storage (suggested)</w:t>
            </w:r>
          </w:p>
        </w:tc>
        <w:tc>
          <w:tcPr>
            <w:tcW w:w="7371" w:type="dxa"/>
          </w:tcPr>
          <w:p w14:paraId="0BA4B35D" w14:textId="662DAFDC"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 xml:space="preserve">This is a subjective assessment based on research and consultation of the most likely reason for the hazardous waste stockpiling or approved long-term on-site storage. The main reasons that the project has identified are included in </w:t>
            </w:r>
            <w:r w:rsidRPr="00B219C0">
              <w:t>full text below</w:t>
            </w:r>
            <w:r>
              <w:t xml:space="preserve">.  </w:t>
            </w:r>
          </w:p>
          <w:p w14:paraId="34C87A41" w14:textId="77777777"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1. Financial costs of processing</w:t>
            </w:r>
          </w:p>
          <w:p w14:paraId="0A06E75C" w14:textId="77777777"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2. Lack of (or unstable) off-take markets</w:t>
            </w:r>
          </w:p>
          <w:p w14:paraId="45E65C6F" w14:textId="77777777"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3. Limited technical ability to treat</w:t>
            </w:r>
          </w:p>
          <w:p w14:paraId="3174E804" w14:textId="77777777"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 xml:space="preserve">4. Insufficient installed capacity for treatment </w:t>
            </w:r>
          </w:p>
          <w:p w14:paraId="6CF5A530" w14:textId="77777777"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5. Insufficient regulatory controls</w:t>
            </w:r>
          </w:p>
          <w:p w14:paraId="26CF0412" w14:textId="4B943F12"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6. Market behaviour of processing companies to secure hazardous wastes and the associated gate fee, with insufficient or capacity to process the hazardous wastes</w:t>
            </w:r>
          </w:p>
          <w:p w14:paraId="6EDBF416" w14:textId="3D532ABF"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7. Historical industrial practices contaminating sites or building a stockpile that require clean up, with limited/no capital set aside to manage the legacy</w:t>
            </w:r>
          </w:p>
          <w:p w14:paraId="072FF020" w14:textId="77777777"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 xml:space="preserve">8. Commodity linked strongly to global market and commodity prices  </w:t>
            </w:r>
          </w:p>
          <w:p w14:paraId="67BEBF9C" w14:textId="0C72A390"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9. Transport distances to processing facilities.</w:t>
            </w:r>
          </w:p>
        </w:tc>
      </w:tr>
      <w:tr w:rsidR="00121622" w14:paraId="51DFEE75"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2113F79C" w14:textId="1C73CC35" w:rsidR="00121622" w:rsidRPr="00794B31" w:rsidRDefault="00121622" w:rsidP="00326262">
            <w:pPr>
              <w:pStyle w:val="RECnumberlist"/>
              <w:numPr>
                <w:ilvl w:val="0"/>
                <w:numId w:val="0"/>
              </w:numPr>
              <w:ind w:left="16"/>
            </w:pPr>
            <w:r w:rsidRPr="003C3E3F">
              <w:t>Secondary reason for stockpiling or storage (suggested)</w:t>
            </w:r>
          </w:p>
        </w:tc>
        <w:tc>
          <w:tcPr>
            <w:tcW w:w="7371" w:type="dxa"/>
          </w:tcPr>
          <w:p w14:paraId="160ED3CC" w14:textId="33756C29" w:rsidR="00121622" w:rsidRDefault="00121622" w:rsidP="003202A8">
            <w:pPr>
              <w:pStyle w:val="RECnormaltext"/>
              <w:tabs>
                <w:tab w:val="left" w:pos="2177"/>
              </w:tabs>
              <w:cnfStyle w:val="000000000000" w:firstRow="0" w:lastRow="0" w:firstColumn="0" w:lastColumn="0" w:oddVBand="0" w:evenVBand="0" w:oddHBand="0" w:evenHBand="0" w:firstRowFirstColumn="0" w:firstRowLastColumn="0" w:lastRowFirstColumn="0" w:lastRowLastColumn="0"/>
            </w:pPr>
            <w:r>
              <w:t>This is a subjective assessment based on research and consultation of the secondary likely reason for the hazardous waste stockpiling or approved long-term on-site storage, based on the same list of reasons as identified above.</w:t>
            </w:r>
            <w:r>
              <w:tab/>
            </w:r>
          </w:p>
        </w:tc>
      </w:tr>
      <w:tr w:rsidR="00121622" w14:paraId="11DFC6C2" w14:textId="77777777" w:rsidTr="00267977">
        <w:tc>
          <w:tcPr>
            <w:cnfStyle w:val="001000000000" w:firstRow="0" w:lastRow="0" w:firstColumn="1" w:lastColumn="0" w:oddVBand="0" w:evenVBand="0" w:oddHBand="0" w:evenHBand="0" w:firstRowFirstColumn="0" w:firstRowLastColumn="0" w:lastRowFirstColumn="0" w:lastRowLastColumn="0"/>
            <w:tcW w:w="2127" w:type="dxa"/>
          </w:tcPr>
          <w:p w14:paraId="23C9D763" w14:textId="0B8D2BD7" w:rsidR="00121622" w:rsidDel="00AE4680" w:rsidRDefault="00121622" w:rsidP="00326262">
            <w:pPr>
              <w:pStyle w:val="RECnumberlist"/>
              <w:numPr>
                <w:ilvl w:val="0"/>
                <w:numId w:val="0"/>
              </w:numPr>
              <w:ind w:left="16"/>
              <w:rPr>
                <w:rFonts w:cs="Calibri"/>
                <w:b/>
                <w:bCs/>
              </w:rPr>
            </w:pPr>
            <w:r w:rsidRPr="003C3E3F">
              <w:t>ANZISC code/s gen. sector</w:t>
            </w:r>
          </w:p>
        </w:tc>
        <w:tc>
          <w:tcPr>
            <w:tcW w:w="7371" w:type="dxa"/>
          </w:tcPr>
          <w:p w14:paraId="1158AC89" w14:textId="263AD1EB" w:rsidR="003202A8" w:rsidDel="00AE4680"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 xml:space="preserve">This refers to the </w:t>
            </w:r>
            <w:r w:rsidRPr="00C512B4">
              <w:t>Australian and New Zealand Standard Industrial Classification (ANZSIC)</w:t>
            </w:r>
            <w:r>
              <w:t xml:space="preserve"> for the </w:t>
            </w:r>
            <w:r w:rsidRPr="00267977">
              <w:rPr>
                <w:u w:val="single"/>
              </w:rPr>
              <w:t>generating</w:t>
            </w:r>
            <w:r>
              <w:t xml:space="preserve"> sector of the stockpile or storage.</w:t>
            </w:r>
          </w:p>
        </w:tc>
      </w:tr>
      <w:tr w:rsidR="00121622" w14:paraId="6A3BD3C2" w14:textId="77777777" w:rsidTr="00872776">
        <w:tc>
          <w:tcPr>
            <w:cnfStyle w:val="001000000000" w:firstRow="0" w:lastRow="0" w:firstColumn="1" w:lastColumn="0" w:oddVBand="0" w:evenVBand="0" w:oddHBand="0" w:evenHBand="0" w:firstRowFirstColumn="0" w:firstRowLastColumn="0" w:lastRowFirstColumn="0" w:lastRowLastColumn="0"/>
            <w:tcW w:w="2127" w:type="dxa"/>
            <w:vAlign w:val="center"/>
          </w:tcPr>
          <w:p w14:paraId="42D52080" w14:textId="68CCA78A" w:rsidR="00121622" w:rsidRPr="00B219C0" w:rsidRDefault="00121622" w:rsidP="00326262">
            <w:pPr>
              <w:pStyle w:val="RECnumberlist"/>
              <w:numPr>
                <w:ilvl w:val="0"/>
                <w:numId w:val="0"/>
              </w:numPr>
              <w:ind w:left="16"/>
              <w:rPr>
                <w:rFonts w:cs="Calibri"/>
                <w:b/>
              </w:rPr>
            </w:pPr>
            <w:r w:rsidRPr="00B219C0">
              <w:rPr>
                <w:b/>
              </w:rPr>
              <w:t xml:space="preserve">Data quality ass. </w:t>
            </w:r>
          </w:p>
        </w:tc>
        <w:tc>
          <w:tcPr>
            <w:tcW w:w="7371" w:type="dxa"/>
          </w:tcPr>
          <w:p w14:paraId="054CB156" w14:textId="2F04E63B" w:rsidR="00121622" w:rsidDel="00AE4680"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t xml:space="preserve">Refers to the quality of the data and information gathered within the scope of this project. The quality is assessed as high, medium or low according to the groupings explained below. Data quality is presented as the percentage of stockpile or storage sites that are high, med or low (totalling 100% for each waste).  </w:t>
            </w:r>
          </w:p>
        </w:tc>
      </w:tr>
      <w:tr w:rsidR="00121622" w14:paraId="602AD026" w14:textId="77777777" w:rsidTr="00794B31">
        <w:tc>
          <w:tcPr>
            <w:cnfStyle w:val="001000000000" w:firstRow="0" w:lastRow="0" w:firstColumn="1" w:lastColumn="0" w:oddVBand="0" w:evenVBand="0" w:oddHBand="0" w:evenHBand="0" w:firstRowFirstColumn="0" w:firstRowLastColumn="0" w:lastRowFirstColumn="0" w:lastRowLastColumn="0"/>
            <w:tcW w:w="2127" w:type="dxa"/>
          </w:tcPr>
          <w:p w14:paraId="6AF38492" w14:textId="307EDD21" w:rsidR="00121622" w:rsidRPr="00C0654D" w:rsidRDefault="00121622" w:rsidP="00326262">
            <w:pPr>
              <w:pStyle w:val="RECnumberlist"/>
              <w:numPr>
                <w:ilvl w:val="0"/>
                <w:numId w:val="0"/>
              </w:numPr>
              <w:ind w:left="16"/>
            </w:pPr>
            <w:r>
              <w:t xml:space="preserve">High </w:t>
            </w:r>
          </w:p>
        </w:tc>
        <w:tc>
          <w:tcPr>
            <w:tcW w:w="7371" w:type="dxa"/>
          </w:tcPr>
          <w:p w14:paraId="1B31CA4E" w14:textId="02BE13B1" w:rsidR="00121622" w:rsidRPr="00630235"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rsidRPr="00630235">
              <w:t>Most data supplied directly or</w:t>
            </w:r>
            <w:r>
              <w:t xml:space="preserve"> from credible </w:t>
            </w:r>
            <w:r w:rsidRPr="00630235">
              <w:t>published sources</w:t>
            </w:r>
            <w:r>
              <w:t xml:space="preserve"> with no additional estimates or assumptions required.</w:t>
            </w:r>
          </w:p>
        </w:tc>
      </w:tr>
      <w:tr w:rsidR="00121622" w14:paraId="10B77750" w14:textId="77777777" w:rsidTr="00794B31">
        <w:tc>
          <w:tcPr>
            <w:cnfStyle w:val="001000000000" w:firstRow="0" w:lastRow="0" w:firstColumn="1" w:lastColumn="0" w:oddVBand="0" w:evenVBand="0" w:oddHBand="0" w:evenHBand="0" w:firstRowFirstColumn="0" w:firstRowLastColumn="0" w:lastRowFirstColumn="0" w:lastRowLastColumn="0"/>
            <w:tcW w:w="2127" w:type="dxa"/>
          </w:tcPr>
          <w:p w14:paraId="3F15CD33" w14:textId="581DBE37" w:rsidR="00121622" w:rsidRPr="00C0654D" w:rsidRDefault="00121622" w:rsidP="00326262">
            <w:pPr>
              <w:pStyle w:val="RECnumberlist"/>
              <w:numPr>
                <w:ilvl w:val="0"/>
                <w:numId w:val="0"/>
              </w:numPr>
              <w:ind w:left="16"/>
              <w:rPr>
                <w:rFonts w:cs="Calibri"/>
              </w:rPr>
            </w:pPr>
            <w:r w:rsidRPr="00267977">
              <w:t>Med</w:t>
            </w:r>
            <w:r>
              <w:t xml:space="preserve"> </w:t>
            </w:r>
          </w:p>
        </w:tc>
        <w:tc>
          <w:tcPr>
            <w:tcW w:w="7371" w:type="dxa"/>
          </w:tcPr>
          <w:p w14:paraId="426DFE09" w14:textId="7FCEDE7A"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rsidRPr="00630235">
              <w:t xml:space="preserve">Some data provided </w:t>
            </w:r>
            <w:r>
              <w:t>directly</w:t>
            </w:r>
            <w:r w:rsidRPr="00630235">
              <w:t xml:space="preserve"> or </w:t>
            </w:r>
            <w:r>
              <w:t xml:space="preserve">from </w:t>
            </w:r>
            <w:r w:rsidRPr="00630235">
              <w:t xml:space="preserve">published sources and </w:t>
            </w:r>
            <w:r>
              <w:t>s</w:t>
            </w:r>
            <w:r w:rsidRPr="00630235">
              <w:t xml:space="preserve">ome </w:t>
            </w:r>
            <w:r>
              <w:t xml:space="preserve">additional </w:t>
            </w:r>
            <w:r w:rsidRPr="00630235">
              <w:t>data estimate</w:t>
            </w:r>
            <w:r>
              <w:t>s or assumptions required</w:t>
            </w:r>
            <w:r w:rsidRPr="00630235">
              <w:t>.</w:t>
            </w:r>
          </w:p>
        </w:tc>
      </w:tr>
      <w:tr w:rsidR="00121622" w14:paraId="66931503" w14:textId="77777777" w:rsidTr="00794B31">
        <w:tc>
          <w:tcPr>
            <w:cnfStyle w:val="001000000000" w:firstRow="0" w:lastRow="0" w:firstColumn="1" w:lastColumn="0" w:oddVBand="0" w:evenVBand="0" w:oddHBand="0" w:evenHBand="0" w:firstRowFirstColumn="0" w:firstRowLastColumn="0" w:lastRowFirstColumn="0" w:lastRowLastColumn="0"/>
            <w:tcW w:w="2127" w:type="dxa"/>
          </w:tcPr>
          <w:p w14:paraId="31D4FF99" w14:textId="6047E143" w:rsidR="00121622" w:rsidRPr="00C0654D" w:rsidRDefault="00121622" w:rsidP="00326262">
            <w:pPr>
              <w:pStyle w:val="RECnumberlist"/>
              <w:numPr>
                <w:ilvl w:val="0"/>
                <w:numId w:val="0"/>
              </w:numPr>
              <w:ind w:left="16"/>
              <w:rPr>
                <w:rFonts w:cs="Calibri"/>
              </w:rPr>
            </w:pPr>
            <w:r w:rsidRPr="00267977">
              <w:t>Low</w:t>
            </w:r>
          </w:p>
        </w:tc>
        <w:tc>
          <w:tcPr>
            <w:tcW w:w="7371" w:type="dxa"/>
          </w:tcPr>
          <w:p w14:paraId="535E5FEE" w14:textId="1F83972D" w:rsidR="00121622" w:rsidRDefault="00121622" w:rsidP="003202A8">
            <w:pPr>
              <w:pStyle w:val="RECnormaltext"/>
              <w:cnfStyle w:val="000000000000" w:firstRow="0" w:lastRow="0" w:firstColumn="0" w:lastColumn="0" w:oddVBand="0" w:evenVBand="0" w:oddHBand="0" w:evenHBand="0" w:firstRowFirstColumn="0" w:firstRowLastColumn="0" w:lastRowFirstColumn="0" w:lastRowLastColumn="0"/>
            </w:pPr>
            <w:r w:rsidRPr="00630235">
              <w:t>Most data estimat</w:t>
            </w:r>
            <w:r>
              <w:t>ed based on credible references but still requiring significant estimations and assumptions and therefore is of lower quality</w:t>
            </w:r>
            <w:r w:rsidRPr="00630235">
              <w:t>.</w:t>
            </w:r>
            <w:r>
              <w:t xml:space="preserve"> Low quality data estimates need to be used with caution.</w:t>
            </w:r>
          </w:p>
        </w:tc>
      </w:tr>
    </w:tbl>
    <w:p w14:paraId="40DC6DD3" w14:textId="3E9EAA8C" w:rsidR="005731A4" w:rsidRPr="00953A6F" w:rsidRDefault="005731A4" w:rsidP="00267977">
      <w:pPr>
        <w:pStyle w:val="RECnormaltext"/>
        <w:spacing w:after="0"/>
        <w:sectPr w:rsidR="005731A4" w:rsidRPr="00953A6F" w:rsidSect="00604C9A">
          <w:headerReference w:type="even" r:id="rId149"/>
          <w:headerReference w:type="default" r:id="rId150"/>
          <w:footerReference w:type="default" r:id="rId151"/>
          <w:headerReference w:type="first" r:id="rId152"/>
          <w:pgSz w:w="11906" w:h="16838"/>
          <w:pgMar w:top="1810" w:right="1440" w:bottom="993" w:left="1440" w:header="708" w:footer="469" w:gutter="0"/>
          <w:cols w:space="708"/>
          <w:docGrid w:linePitch="360"/>
        </w:sectPr>
      </w:pPr>
    </w:p>
    <w:p w14:paraId="6FBB58E6" w14:textId="20D21CD9" w:rsidR="003C1A78" w:rsidRDefault="00E05358" w:rsidP="009D71CE">
      <w:pPr>
        <w:pStyle w:val="Caption"/>
        <w:ind w:left="-426" w:firstLine="709"/>
      </w:pPr>
      <w:bookmarkStart w:id="211" w:name="_Ref487032643"/>
      <w:bookmarkStart w:id="212" w:name="_Toc532990272"/>
      <w:r w:rsidRPr="00E05358">
        <w:rPr>
          <w:noProof/>
          <w:lang w:eastAsia="en-AU"/>
        </w:rPr>
        <w:drawing>
          <wp:anchor distT="0" distB="0" distL="114300" distR="114300" simplePos="0" relativeHeight="251700224" behindDoc="0" locked="0" layoutInCell="1" allowOverlap="1" wp14:anchorId="36B6A1DF" wp14:editId="130F1734">
            <wp:simplePos x="0" y="0"/>
            <wp:positionH relativeFrom="column">
              <wp:posOffset>-339725</wp:posOffset>
            </wp:positionH>
            <wp:positionV relativeFrom="paragraph">
              <wp:posOffset>266700</wp:posOffset>
            </wp:positionV>
            <wp:extent cx="9791065" cy="3248025"/>
            <wp:effectExtent l="0" t="0" r="63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791065" cy="3248025"/>
                    </a:xfrm>
                    <a:prstGeom prst="rect">
                      <a:avLst/>
                    </a:prstGeom>
                  </pic:spPr>
                </pic:pic>
              </a:graphicData>
            </a:graphic>
            <wp14:sizeRelH relativeFrom="margin">
              <wp14:pctWidth>0</wp14:pctWidth>
            </wp14:sizeRelH>
            <wp14:sizeRelV relativeFrom="margin">
              <wp14:pctHeight>0</wp14:pctHeight>
            </wp14:sizeRelV>
          </wp:anchor>
        </w:drawing>
      </w:r>
      <w:r w:rsidR="008D505B">
        <w:t xml:space="preserve">Table </w:t>
      </w:r>
      <w:r w:rsidR="00B219C0">
        <w:rPr>
          <w:noProof/>
        </w:rPr>
        <w:fldChar w:fldCharType="begin"/>
      </w:r>
      <w:r w:rsidR="00B219C0">
        <w:rPr>
          <w:noProof/>
        </w:rPr>
        <w:instrText xml:space="preserve"> SEQ Table \* ARABIC </w:instrText>
      </w:r>
      <w:r w:rsidR="00B219C0">
        <w:rPr>
          <w:noProof/>
        </w:rPr>
        <w:fldChar w:fldCharType="separate"/>
      </w:r>
      <w:r w:rsidR="00F54E66">
        <w:rPr>
          <w:noProof/>
        </w:rPr>
        <w:t>5</w:t>
      </w:r>
      <w:r w:rsidR="00B219C0">
        <w:rPr>
          <w:noProof/>
        </w:rPr>
        <w:fldChar w:fldCharType="end"/>
      </w:r>
      <w:bookmarkEnd w:id="211"/>
      <w:r w:rsidR="008D505B">
        <w:t xml:space="preserve"> </w:t>
      </w:r>
      <w:r w:rsidR="004E31E3">
        <w:t xml:space="preserve">National </w:t>
      </w:r>
      <w:r w:rsidR="008D505B">
        <w:t>haz</w:t>
      </w:r>
      <w:r w:rsidR="004E31E3">
        <w:t xml:space="preserve">ardous </w:t>
      </w:r>
      <w:r w:rsidR="008D505B">
        <w:t xml:space="preserve">waste stockpiles </w:t>
      </w:r>
      <w:r w:rsidR="008A5267">
        <w:t xml:space="preserve">and approved long-term on-site storage </w:t>
      </w:r>
      <w:r w:rsidR="004E31E3">
        <w:t>data</w:t>
      </w:r>
      <w:r w:rsidR="000C4925">
        <w:t>set</w:t>
      </w:r>
      <w:r w:rsidR="008A5267">
        <w:t xml:space="preserve"> </w:t>
      </w:r>
      <w:r w:rsidR="008C3CDD">
        <w:rPr>
          <w:noProof/>
          <w:lang w:eastAsia="en-AU"/>
        </w:rPr>
        <mc:AlternateContent>
          <mc:Choice Requires="wps">
            <w:drawing>
              <wp:anchor distT="0" distB="0" distL="114300" distR="114300" simplePos="0" relativeHeight="251641856" behindDoc="0" locked="0" layoutInCell="1" allowOverlap="1" wp14:anchorId="4CFEA06A" wp14:editId="7D3CEC31">
                <wp:simplePos x="0" y="0"/>
                <wp:positionH relativeFrom="column">
                  <wp:posOffset>-120650</wp:posOffset>
                </wp:positionH>
                <wp:positionV relativeFrom="paragraph">
                  <wp:posOffset>4305935</wp:posOffset>
                </wp:positionV>
                <wp:extent cx="9207500" cy="1233170"/>
                <wp:effectExtent l="57150" t="38100" r="50800" b="81280"/>
                <wp:wrapSquare wrapText="bothSides"/>
                <wp:docPr id="63" name="Rectangle: Rounded Corners 63"/>
                <wp:cNvGraphicFramePr/>
                <a:graphic xmlns:a="http://schemas.openxmlformats.org/drawingml/2006/main">
                  <a:graphicData uri="http://schemas.microsoft.com/office/word/2010/wordprocessingShape">
                    <wps:wsp>
                      <wps:cNvSpPr/>
                      <wps:spPr>
                        <a:xfrm>
                          <a:off x="0" y="0"/>
                          <a:ext cx="9207500" cy="1233170"/>
                        </a:xfrm>
                        <a:prstGeom prst="roundRect">
                          <a:avLst/>
                        </a:prstGeom>
                        <a:solidFill>
                          <a:schemeClr val="tx1">
                            <a:lumMod val="50000"/>
                            <a:lumOff val="50000"/>
                          </a:schemeClr>
                        </a:solidFill>
                        <a:ln>
                          <a:noFill/>
                        </a:ln>
                      </wps:spPr>
                      <wps:style>
                        <a:lnRef idx="1">
                          <a:schemeClr val="dk1"/>
                        </a:lnRef>
                        <a:fillRef idx="2">
                          <a:schemeClr val="dk1"/>
                        </a:fillRef>
                        <a:effectRef idx="1">
                          <a:schemeClr val="dk1"/>
                        </a:effectRef>
                        <a:fontRef idx="minor">
                          <a:schemeClr val="dk1"/>
                        </a:fontRef>
                      </wps:style>
                      <wps:txbx>
                        <w:txbxContent>
                          <w:p w14:paraId="5C297416" w14:textId="0E1D9526" w:rsidR="00067AC0" w:rsidRPr="00267977" w:rsidRDefault="00067AC0" w:rsidP="00267977">
                            <w:pPr>
                              <w:pStyle w:val="RECnormaltext"/>
                              <w:jc w:val="both"/>
                              <w:rPr>
                                <w:b/>
                                <w:color w:val="FFFFFF" w:themeColor="background1"/>
                              </w:rPr>
                            </w:pPr>
                            <w:r>
                              <w:rPr>
                                <w:b/>
                                <w:color w:val="FFFFFF" w:themeColor="background1"/>
                              </w:rPr>
                              <w:t>Important: b</w:t>
                            </w:r>
                            <w:r w:rsidRPr="00267977">
                              <w:rPr>
                                <w:b/>
                                <w:color w:val="FFFFFF" w:themeColor="background1"/>
                              </w:rPr>
                              <w:t>lan</w:t>
                            </w:r>
                            <w:r>
                              <w:rPr>
                                <w:b/>
                                <w:color w:val="FFFFFF" w:themeColor="background1"/>
                              </w:rPr>
                              <w:t>k</w:t>
                            </w:r>
                            <w:r w:rsidRPr="00267977">
                              <w:rPr>
                                <w:b/>
                                <w:color w:val="FFFFFF" w:themeColor="background1"/>
                              </w:rPr>
                              <w:t xml:space="preserve"> ‘tonnage estimate’ column does not mean zero </w:t>
                            </w:r>
                            <w:r>
                              <w:rPr>
                                <w:b/>
                                <w:color w:val="FFFFFF" w:themeColor="background1"/>
                              </w:rPr>
                              <w:t xml:space="preserve">tonnage </w:t>
                            </w:r>
                            <w:r w:rsidRPr="00267977">
                              <w:rPr>
                                <w:b/>
                                <w:color w:val="FFFFFF" w:themeColor="background1"/>
                              </w:rPr>
                              <w:t>stockpile</w:t>
                            </w:r>
                          </w:p>
                          <w:p w14:paraId="1B2DBBFD" w14:textId="22361FB9" w:rsidR="00067AC0" w:rsidRPr="00331B66" w:rsidRDefault="00067AC0" w:rsidP="00267977">
                            <w:pPr>
                              <w:pStyle w:val="RECnormaltext"/>
                              <w:rPr>
                                <w:color w:val="FFFFFF" w:themeColor="background1"/>
                              </w:rPr>
                            </w:pPr>
                            <w:r>
                              <w:rPr>
                                <w:color w:val="FFFFFF" w:themeColor="background1"/>
                              </w:rPr>
                              <w:t>The list of stockpile waste types is based on research and consultation that found that there are likely stockpiles of each of these waste types in Australia. However, for some wastes there was insufficient information to provide an estimate. For example, there are significant PFAS contaminated soils sites around Australia that are likely to require clean-up, requiring treatment infrastructure capacity to clear the stocks. There was insufficient data available to provide an estimate for this significant stockpile of contaminated soils. See discussion below for further information about each waste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CFEA06A" id="Rectangle: Rounded Corners 63" o:spid="_x0000_s1040" style="position:absolute;left:0;text-align:left;margin-left:-9.5pt;margin-top:339.05pt;width:725pt;height:97.1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XFqQIAALwFAAAOAAAAZHJzL2Uyb0RvYy54bWysVFtP2zAUfp+0/2D5faQpBUZEiqoipkkM&#10;KmDi2XXsNprt49luk+7X79i5wNgmpGkvic/99p1zcdlqRfbC+RpMSfOjCSXCcKhqsynp18frDx8p&#10;8YGZiikwoqQH4enl/P27i8YWYgpbUJVwBJ0YXzS2pNsQbJFlnm+FZv4IrDAolOA0C0i6TVY51qB3&#10;rbLpZHKaNeAq64AL75F71QnpPPmXUvBwJ6UXgaiSYm4hfV36ruM3m1+wYuOY3da8T4P9Qxaa1QaD&#10;jq6uWGBk5+rfXOmaO/AgwxEHnYGUNRepBqwmn7yq5mHLrEi1YHO8Hdvk/59bfrtfOVJXJT09psQw&#10;jTO6x64xs1GiIPewM5WoyBKcwSETVMKONdYXaPhgV66nPD5j+a10Ov6xMNKmLh/GLos2EI7M8+nk&#10;7GSCw+Aoy6fHx/lZmkP2bG6dD58EaBIfJXUxi5hVajHb3/iAcVF/0IshPai6uq6VSkTEj1gqR/YM&#10;Jx/aPJmqnf4CVcfDFDCJNH9kI0pesdF9QmH0koL9EkCZGMZADNjlEjlZ7EzXi/QKByWinjL3QmKX&#10;sfoukdFzF7T6lsdMMGTSjCYSHY9G05T9X4163WgmEuZHwzeijdopIpgwGuragHsjaqc/VN3VGssO&#10;7bpNkMpnA1rWUB0QZw66BfSWX9c42hvmw4o53DiEA16RcIcfqaApKfQvSrbgfvyJH/VxEVBKSYMb&#10;XFL/fcecoER9Nrgi5/lsFlc+EbOTsykS7qVk/VJidnoJCJUc75Xl6Rn1gxqe0oF+wmOziFFRxAzH&#10;2CXlwQ3EMnSXBc8VF4tFUsM1tyzcmAfLh+FH1D62T8zZHt8BV+MWhm1nxSuEd7pxRAYWuwCyTvCP&#10;re762o8AT0TCUH/O4g16SSet56M7/wkAAP//AwBQSwMEFAAGAAgAAAAhAI69TrjkAAAADAEAAA8A&#10;AABkcnMvZG93bnJldi54bWxMj8FOwzAQRO9I/IO1SNxaxy1qQ8imoiVIgJAqWjhw2yYmiYjXUeym&#10;4e9xT3CcndHsm3Q1mlYMuneNZQQ1jUBoLmzZcIXwvn+cxCCcJy6ptawRfrSDVXZ5kVJS2hO/6WHn&#10;KxFK2CWEUHvfJVK6otaG3NR2moP3ZXtDPsi+kmVPp1BuWjmLooU01HD4UFOnN7UuvndHg/DkXtb7&#10;XG3s58PQbZ8/XvPtmnLE66vx/g6E16P/C8MZP6BDFpgO9silEy3CRN2GLR5hsYwViHPiZq7C6YAQ&#10;L2dzkFkq/4/IfgEAAP//AwBQSwECLQAUAAYACAAAACEAtoM4kv4AAADhAQAAEwAAAAAAAAAAAAAA&#10;AAAAAAAAW0NvbnRlbnRfVHlwZXNdLnhtbFBLAQItABQABgAIAAAAIQA4/SH/1gAAAJQBAAALAAAA&#10;AAAAAAAAAAAAAC8BAABfcmVscy8ucmVsc1BLAQItABQABgAIAAAAIQAK4kXFqQIAALwFAAAOAAAA&#10;AAAAAAAAAAAAAC4CAABkcnMvZTJvRG9jLnhtbFBLAQItABQABgAIAAAAIQCOvU645AAAAAwBAAAP&#10;AAAAAAAAAAAAAAAAAAMFAABkcnMvZG93bnJldi54bWxQSwUGAAAAAAQABADzAAAAFAYAAAAA&#10;" fillcolor="gray [1629]" stroked="f">
                <v:shadow on="t" color="black" opacity="24903f" origin=",.5" offset="0,.55556mm"/>
                <v:textbox>
                  <w:txbxContent>
                    <w:p w14:paraId="5C297416" w14:textId="0E1D9526" w:rsidR="00067AC0" w:rsidRPr="00267977" w:rsidRDefault="00067AC0" w:rsidP="00267977">
                      <w:pPr>
                        <w:pStyle w:val="RECnormaltext"/>
                        <w:jc w:val="both"/>
                        <w:rPr>
                          <w:b/>
                          <w:color w:val="FFFFFF" w:themeColor="background1"/>
                        </w:rPr>
                      </w:pPr>
                      <w:r>
                        <w:rPr>
                          <w:b/>
                          <w:color w:val="FFFFFF" w:themeColor="background1"/>
                        </w:rPr>
                        <w:t>Important: b</w:t>
                      </w:r>
                      <w:r w:rsidRPr="00267977">
                        <w:rPr>
                          <w:b/>
                          <w:color w:val="FFFFFF" w:themeColor="background1"/>
                        </w:rPr>
                        <w:t>lan</w:t>
                      </w:r>
                      <w:r>
                        <w:rPr>
                          <w:b/>
                          <w:color w:val="FFFFFF" w:themeColor="background1"/>
                        </w:rPr>
                        <w:t>k</w:t>
                      </w:r>
                      <w:r w:rsidRPr="00267977">
                        <w:rPr>
                          <w:b/>
                          <w:color w:val="FFFFFF" w:themeColor="background1"/>
                        </w:rPr>
                        <w:t xml:space="preserve"> ‘tonnage estimate’ column does not mean zero </w:t>
                      </w:r>
                      <w:r>
                        <w:rPr>
                          <w:b/>
                          <w:color w:val="FFFFFF" w:themeColor="background1"/>
                        </w:rPr>
                        <w:t xml:space="preserve">tonnage </w:t>
                      </w:r>
                      <w:r w:rsidRPr="00267977">
                        <w:rPr>
                          <w:b/>
                          <w:color w:val="FFFFFF" w:themeColor="background1"/>
                        </w:rPr>
                        <w:t>stockpile</w:t>
                      </w:r>
                    </w:p>
                    <w:p w14:paraId="1B2DBBFD" w14:textId="22361FB9" w:rsidR="00067AC0" w:rsidRPr="00331B66" w:rsidRDefault="00067AC0" w:rsidP="00267977">
                      <w:pPr>
                        <w:pStyle w:val="RECnormaltext"/>
                        <w:rPr>
                          <w:color w:val="FFFFFF" w:themeColor="background1"/>
                        </w:rPr>
                      </w:pPr>
                      <w:r>
                        <w:rPr>
                          <w:color w:val="FFFFFF" w:themeColor="background1"/>
                        </w:rPr>
                        <w:t xml:space="preserve">The list of stockpile waste types is based on research and consultation that found that there are likely stockpiles of each of these waste types in Australia. However, for some wastes there was insufficient information to provide an estimate. For example, there are significant </w:t>
                      </w:r>
                      <w:proofErr w:type="spellStart"/>
                      <w:r>
                        <w:rPr>
                          <w:color w:val="FFFFFF" w:themeColor="background1"/>
                        </w:rPr>
                        <w:t>PFAS</w:t>
                      </w:r>
                      <w:proofErr w:type="spellEnd"/>
                      <w:r>
                        <w:rPr>
                          <w:color w:val="FFFFFF" w:themeColor="background1"/>
                        </w:rPr>
                        <w:t xml:space="preserve"> contaminated soils sites around Australia that are likely to require clean-up, requiring treatment infrastructure capacity to clear the stocks. There was insufficient data available to provide an estimate for this significant stockpile of contaminated soils. See discussion below for further information about each waste type.</w:t>
                      </w:r>
                    </w:p>
                  </w:txbxContent>
                </v:textbox>
                <w10:wrap type="square"/>
              </v:roundrect>
            </w:pict>
          </mc:Fallback>
        </mc:AlternateContent>
      </w:r>
      <w:bookmarkEnd w:id="212"/>
    </w:p>
    <w:p w14:paraId="00F22647" w14:textId="3BB3CF02" w:rsidR="00B07D60" w:rsidRPr="00B07D60" w:rsidRDefault="00B07D60" w:rsidP="00B07D60">
      <w:pPr>
        <w:pStyle w:val="RECnormaltext"/>
        <w:sectPr w:rsidR="00B07D60" w:rsidRPr="00B07D60" w:rsidSect="003C1A78">
          <w:headerReference w:type="even" r:id="rId153"/>
          <w:headerReference w:type="default" r:id="rId154"/>
          <w:footerReference w:type="default" r:id="rId155"/>
          <w:headerReference w:type="first" r:id="rId156"/>
          <w:pgSz w:w="16838" w:h="11906" w:orient="landscape"/>
          <w:pgMar w:top="1440" w:right="1810" w:bottom="851" w:left="1134" w:header="708" w:footer="469" w:gutter="0"/>
          <w:cols w:space="708"/>
          <w:docGrid w:linePitch="360"/>
        </w:sectPr>
      </w:pPr>
    </w:p>
    <w:p w14:paraId="4467E088" w14:textId="1EEEBD8D" w:rsidR="007B480A" w:rsidRPr="00872776" w:rsidRDefault="00161EA1" w:rsidP="00872776">
      <w:pPr>
        <w:pStyle w:val="Heading2"/>
        <w:shd w:val="clear" w:color="auto" w:fill="FFFFFF" w:themeFill="background1"/>
      </w:pPr>
      <w:bookmarkStart w:id="213" w:name="_Toc532990261"/>
      <w:bookmarkStart w:id="214" w:name="_Ref473021141"/>
      <w:r w:rsidRPr="00872776">
        <w:t>W</w:t>
      </w:r>
      <w:r w:rsidR="00010B61" w:rsidRPr="00872776">
        <w:t xml:space="preserve">aste types </w:t>
      </w:r>
      <w:r w:rsidRPr="00872776">
        <w:t>description</w:t>
      </w:r>
      <w:bookmarkEnd w:id="213"/>
    </w:p>
    <w:p w14:paraId="47EA9500" w14:textId="21F464F1" w:rsidR="00AC1945" w:rsidRPr="00AC1945" w:rsidRDefault="00AC1945" w:rsidP="00AC1945">
      <w:pPr>
        <w:pStyle w:val="RECnormaltext"/>
      </w:pPr>
      <w:r>
        <w:t>Below a concise description of each material type stockpile and approved long-term on-site storage is provide, in alphabetical order</w:t>
      </w:r>
    </w:p>
    <w:p w14:paraId="601D9387" w14:textId="77777777" w:rsidR="007B480A" w:rsidRDefault="007B480A" w:rsidP="00047982">
      <w:pPr>
        <w:pStyle w:val="NonTOCHeading3"/>
      </w:pPr>
      <w:r w:rsidRPr="005F0975">
        <w:t>Aluminium dross</w:t>
      </w:r>
      <w:r>
        <w:t xml:space="preserve"> recovery </w:t>
      </w:r>
      <w:r w:rsidRPr="005F0975">
        <w:t>salt cake</w:t>
      </w:r>
      <w:r>
        <w:t xml:space="preserve"> wastes</w:t>
      </w:r>
    </w:p>
    <w:p w14:paraId="69B17EE0" w14:textId="0E659296" w:rsidR="007B480A" w:rsidRDefault="007B480A" w:rsidP="007B480A">
      <w:pPr>
        <w:pStyle w:val="RECnormaltext"/>
      </w:pPr>
      <w:r>
        <w:t>US EPA 2015</w:t>
      </w:r>
      <w:r>
        <w:rPr>
          <w:rStyle w:val="FootnoteReference"/>
        </w:rPr>
        <w:footnoteReference w:id="26"/>
      </w:r>
      <w:r>
        <w:t xml:space="preserve"> provides the following description of salt cake wastes: “solid residues generated by the </w:t>
      </w:r>
      <w:r w:rsidR="003E2A9A">
        <w:t>aluminium</w:t>
      </w:r>
      <w:r>
        <w:t xml:space="preserve"> melting processes are often referred to as </w:t>
      </w:r>
      <w:r w:rsidR="003E2A9A">
        <w:t>aluminium</w:t>
      </w:r>
      <w:r>
        <w:t xml:space="preserve"> dross, which forms on the surface of molten </w:t>
      </w:r>
      <w:r w:rsidR="003E2A9A">
        <w:t>aluminium</w:t>
      </w:r>
      <w:r>
        <w:t xml:space="preserve"> through contact with oxygen during melting, holding, refining, and transfer processes. Dross obtained from primary melting operations (also known as “white dross”) consists primarily of </w:t>
      </w:r>
      <w:r w:rsidR="003E2A9A">
        <w:t>aluminium</w:t>
      </w:r>
      <w:r>
        <w:t xml:space="preserve"> oxide (with some oxides of other alloying elements, such as magnesium and silicon) and may contain from 15 to 70% recoverable metallic </w:t>
      </w:r>
      <w:r w:rsidR="003E2A9A">
        <w:t>aluminium</w:t>
      </w:r>
      <w:r>
        <w:t xml:space="preserve">. Dross from secondary smelting operations (also known as “black dross”) typically contains a mixture of </w:t>
      </w:r>
      <w:r w:rsidR="003E2A9A">
        <w:t>aluminium</w:t>
      </w:r>
      <w:r>
        <w:t xml:space="preserve">/alloy oxides and slag (a partially amorphous solid by-product of the smelting process) and contains approximately 12 to 18% recoverable </w:t>
      </w:r>
      <w:r w:rsidR="003E2A9A">
        <w:t>aluminium</w:t>
      </w:r>
      <w:r>
        <w:t xml:space="preserve">. </w:t>
      </w:r>
      <w:r w:rsidRPr="00267977">
        <w:t>Commercial smelting of both white and black dross is often completed in a rotary salt furnace.</w:t>
      </w:r>
      <w:r w:rsidRPr="001E0D50">
        <w:t xml:space="preserve"> </w:t>
      </w:r>
      <w:r w:rsidRPr="00267977">
        <w:t xml:space="preserve">The </w:t>
      </w:r>
      <w:r w:rsidR="003E2A9A" w:rsidRPr="00267977">
        <w:t>non-metallic</w:t>
      </w:r>
      <w:r w:rsidRPr="00267977">
        <w:t xml:space="preserve"> </w:t>
      </w:r>
      <w:r w:rsidR="003E2A9A" w:rsidRPr="00267977">
        <w:t>by-product</w:t>
      </w:r>
      <w:r w:rsidRPr="00267977">
        <w:t xml:space="preserve"> residue that results from such furnace slag is frequently termed “salt cake”,</w:t>
      </w:r>
      <w:r>
        <w:t xml:space="preserve"> and contains only 3 to 10% residual metallic </w:t>
      </w:r>
      <w:r w:rsidR="003E2A9A">
        <w:t>aluminium</w:t>
      </w:r>
      <w:r>
        <w:t xml:space="preserve">. The formation of salt cake and the amount of salt cake formed depend on several factors such as type and quality of input material (e.g., </w:t>
      </w:r>
      <w:r w:rsidR="003E2A9A">
        <w:t>aluminium</w:t>
      </w:r>
      <w:r>
        <w:t xml:space="preserve"> scraps), operating conditions, and technology applied” (page iv). </w:t>
      </w:r>
    </w:p>
    <w:p w14:paraId="595D5999" w14:textId="017D12EB" w:rsidR="007B480A" w:rsidRPr="00B545C9" w:rsidRDefault="007B480A" w:rsidP="00047982">
      <w:pPr>
        <w:pStyle w:val="NonTOCHeading3"/>
      </w:pPr>
      <w:r w:rsidRPr="00B545C9">
        <w:t xml:space="preserve">Arsenic waste </w:t>
      </w:r>
      <w:r w:rsidR="001E0D50">
        <w:t>(including speiss) from mineral processing</w:t>
      </w:r>
    </w:p>
    <w:p w14:paraId="6D4336F1" w14:textId="79614785" w:rsidR="007B480A" w:rsidRPr="00B6529F" w:rsidRDefault="007B480A" w:rsidP="007B480A">
      <w:pPr>
        <w:pStyle w:val="RECnormaltext"/>
      </w:pPr>
      <w:r w:rsidRPr="00B545C9">
        <w:t xml:space="preserve">Arsenic occurs naturally in mineral form, usually with sulphur and valuable </w:t>
      </w:r>
      <w:r>
        <w:t>metals such as copper</w:t>
      </w:r>
      <w:r w:rsidR="001E0D50">
        <w:t>, lead</w:t>
      </w:r>
      <w:r>
        <w:t xml:space="preserve"> and gold. </w:t>
      </w:r>
      <w:r w:rsidRPr="00AB16B0">
        <w:t>Arsenic is an unwanted by-product of the mining and extraction of metals such as copper, lead, nickel and uranium</w:t>
      </w:r>
      <w:r>
        <w:t>, due to its presence in significant quantities in the ore</w:t>
      </w:r>
      <w:r w:rsidRPr="00AB16B0">
        <w:t xml:space="preserve">. </w:t>
      </w:r>
      <w:r w:rsidRPr="00B6529F">
        <w:t>Flue dust from the roasting and smelting of these ores, called “bearing dust”, contains arsenic.</w:t>
      </w:r>
    </w:p>
    <w:p w14:paraId="469FBF20" w14:textId="77777777" w:rsidR="007B480A" w:rsidRPr="00B6529F" w:rsidRDefault="007B480A" w:rsidP="007B480A">
      <w:pPr>
        <w:pStyle w:val="RECnormaltext"/>
      </w:pPr>
      <w:r w:rsidRPr="00B6529F">
        <w:t>Elemental arsenic is unlikely to occur in pure form in Australia as most of its applications are either in its trivalent (As III, called arsenites) or pentavalent (As V, called arsenates) oxidation states, both typically present as solids. The former is its most hazardous form and the simplest trivalent arsenic compound, arsine gas, is extremely toxic.</w:t>
      </w:r>
    </w:p>
    <w:p w14:paraId="797406F6" w14:textId="4E439FF2" w:rsidR="007B480A" w:rsidRDefault="007B480A" w:rsidP="007B480A">
      <w:pPr>
        <w:pStyle w:val="RECnormaltext"/>
      </w:pPr>
      <w:r w:rsidRPr="00B6529F">
        <w:t>Arsenic wastes would typically undergo chemical/ physical treatment to immobilise their hazard, then the stabilised material is usually disposed of in hazardous waste landfill.</w:t>
      </w:r>
    </w:p>
    <w:p w14:paraId="37F28C93" w14:textId="77777777" w:rsidR="00A630CB" w:rsidRDefault="00A630CB" w:rsidP="00A17344">
      <w:pPr>
        <w:spacing w:after="80"/>
        <w:rPr>
          <w:color w:val="auto"/>
        </w:rPr>
      </w:pPr>
      <w:r>
        <w:t>‘Speiss’ is a mixture of impure metal arsenides and antimonides resulting from the smelting of ores such as cobalt and lead.</w:t>
      </w:r>
    </w:p>
    <w:p w14:paraId="78FE66C7" w14:textId="1B6C7E30" w:rsidR="00A630CB" w:rsidRDefault="00A630CB" w:rsidP="00A17344">
      <w:pPr>
        <w:spacing w:after="80"/>
      </w:pPr>
      <w:r>
        <w:t>The US Department of Energy</w:t>
      </w:r>
      <w:r>
        <w:rPr>
          <w:rStyle w:val="FootnoteReference"/>
        </w:rPr>
        <w:footnoteReference w:id="27"/>
      </w:r>
      <w:r>
        <w:t xml:space="preserve"> explains the how speiss is formed. “The rough lead bullion may be separated into as many as four distinct liquid layers, depending on the sinter composition. The lead bullion (94 to 98 percent lead by weight) will collect at the bottom of the forehearth, with speiss (a mixture of the arsenides and antimonides of copper) above the bullion. Matte (primarily copper sulfide) collects above the speiss, and the slag (consisting of the oxides which were not reduced to the metallic state in the blast furnace) floats above the matte. Matte and speiss are sold to the operators of copper smelters for metal recovery” (page 6-5).</w:t>
      </w:r>
    </w:p>
    <w:p w14:paraId="733C117C" w14:textId="1C2D58CC" w:rsidR="007B480A" w:rsidRPr="005F0975" w:rsidRDefault="007B480A" w:rsidP="00047982">
      <w:pPr>
        <w:pStyle w:val="NonTOCHeading3"/>
      </w:pPr>
      <w:r w:rsidRPr="005F0975">
        <w:t>Asbestos</w:t>
      </w:r>
    </w:p>
    <w:p w14:paraId="6277C7A4" w14:textId="77777777" w:rsidR="007B480A" w:rsidRDefault="007B480A" w:rsidP="007B480A">
      <w:pPr>
        <w:pStyle w:val="RECnormaltext"/>
      </w:pPr>
      <w:r>
        <w:t>Asbestos includes products that contain asbestos and wastes contaminated with them. Asbestos is the name given to a group of naturally occurring minerals found in rock formations. Inhalation of asbestos fibres can cause respiratory problems that can be fatal. Asbestos-containing building products are classified as either ‘friable’ (soft, crumbly) or ‘bonded’ (solid, rigid, non-friable). Friable asbestos products may be as much as 100% asbestos fibres and can become airborne and inhalable very easily. Bonded products such as asbestos cement sheet (otherwise known as ‘fibro’) contain approximately 15% asbestos fibres, bonded with cement and do not normally release fibres into the air when in good condition.</w:t>
      </w:r>
    </w:p>
    <w:p w14:paraId="2832D9B0" w14:textId="77777777" w:rsidR="007B480A" w:rsidRDefault="007B480A" w:rsidP="007B480A">
      <w:pPr>
        <w:pStyle w:val="RECnormaltext"/>
      </w:pPr>
      <w:r>
        <w:t>Houses built before the mid-1980s are highly likely to have asbestos- containing products, between mid- 1980s and 1990 likely, and after 1990 unlikely.</w:t>
      </w:r>
    </w:p>
    <w:p w14:paraId="41D5F91F" w14:textId="77777777" w:rsidR="007B480A" w:rsidRPr="00AB1C35" w:rsidRDefault="007B480A" w:rsidP="00AB1C35">
      <w:pPr>
        <w:pStyle w:val="RECnormaltext"/>
      </w:pPr>
      <w:r w:rsidRPr="00AB1C35">
        <w:t>Asbestos is one of the largest flows of hazardous waste in Australia and poses significant health risks. Asbestos waste includes both end-of-life asbestos-containing building materials as well as soil that has been tested to demonstrate asbestos contamination. Since the latter may involve very low asbestos fibre concentrations and very high soil volumes, this can greatly contribute to reported asbestos waste volumes.</w:t>
      </w:r>
    </w:p>
    <w:p w14:paraId="48C2FF57" w14:textId="77777777" w:rsidR="007B480A" w:rsidRDefault="007B480A" w:rsidP="00047982">
      <w:pPr>
        <w:pStyle w:val="NonTOCHeading3"/>
      </w:pPr>
      <w:r w:rsidRPr="005F0975">
        <w:t>Contaminated biosolids</w:t>
      </w:r>
    </w:p>
    <w:p w14:paraId="7BCA87B7" w14:textId="77777777" w:rsidR="007B480A" w:rsidRDefault="007B480A" w:rsidP="007B480A">
      <w:pPr>
        <w:pStyle w:val="RECnormaltext"/>
      </w:pPr>
      <w:r>
        <w:t xml:space="preserve">Biosolids are a product of sewage sludge (the sludge collected from wastewater treatment) once it has undergone further treatment to reduce disease causing pathogens and volatile organic matter, producing a stabilised product. </w:t>
      </w:r>
    </w:p>
    <w:p w14:paraId="23C572E4" w14:textId="77777777" w:rsidR="007B480A" w:rsidRDefault="007B480A" w:rsidP="007B480A">
      <w:pPr>
        <w:pStyle w:val="RECnormaltext"/>
      </w:pPr>
      <w:r w:rsidRPr="00511C1E">
        <w:t>Biosolids may be contaminated above guideline levels, which relate to both microbiological (treatment, T) hazard or chemical (contaminant, C) hazard. If levels of contamination are below acceptable limits (specified by each State and Territory in respective biosolids guidelines), biosolids can be recovered as a resource for various beneficial uses, such as agriculture (application to land), landscaping (of composted biosolids) and plantation forestry application.</w:t>
      </w:r>
      <w:r>
        <w:t xml:space="preserve"> </w:t>
      </w:r>
    </w:p>
    <w:p w14:paraId="68D54E98" w14:textId="77777777" w:rsidR="007B480A" w:rsidRDefault="007B480A" w:rsidP="007B480A">
      <w:pPr>
        <w:pStyle w:val="RECnormaltext"/>
      </w:pPr>
      <w:r w:rsidRPr="00511C1E">
        <w:t>Wastewater treatment is downstream of domestic sewer and greywat</w:t>
      </w:r>
      <w:r>
        <w:t xml:space="preserve">er inputs and, in some cases, a </w:t>
      </w:r>
      <w:r w:rsidRPr="00511C1E">
        <w:t>number of industrial trade waste inputs, including landfill leachate discharge. Biosolids act as a collector and concentrator of those chemical species resident in the various input streams that partition to the solid phase and are not destroyed through the treatment process. This includes trace metals, nutrients and other substances of potential benefit (particularly to agricultural uses) but it can also include chemicals that have harmful or potentially harmful impacts on human health and the environment, such as heavy metals</w:t>
      </w:r>
      <w:r>
        <w:t xml:space="preserve"> and various organic chemicals.</w:t>
      </w:r>
    </w:p>
    <w:p w14:paraId="5A351F25" w14:textId="77777777" w:rsidR="007B480A" w:rsidRDefault="007B480A" w:rsidP="007B480A">
      <w:pPr>
        <w:pStyle w:val="RECnormaltext"/>
      </w:pPr>
      <w:r>
        <w:t>While not typically considered as hazardous waste, or even waste at all by some, it is widely accepted that some biosolids – particularly those generated in treatment plants servicing industrial areas – are contaminated with heavy metals at levels exceeding criteria set to protect environmental and human health values, that would (if they were soils for example) would classify them as a hazardous waste.</w:t>
      </w:r>
    </w:p>
    <w:p w14:paraId="42F8A6EF" w14:textId="3B15924D" w:rsidR="007B480A" w:rsidRDefault="007B480A" w:rsidP="007B480A">
      <w:pPr>
        <w:pStyle w:val="RECnormaltext"/>
      </w:pPr>
      <w:r>
        <w:t xml:space="preserve">While the majority of biosolids in Australia are managed through application to land for beneficial reuse, there are stockpiled biosolids that have been graded as not suitable for this fate. </w:t>
      </w:r>
      <w:r w:rsidRPr="00AB1C35">
        <w:t>The most significant of these is Victoria’s Western Treatment Plant stockpile of biosolids contaminated in heavy metals.</w:t>
      </w:r>
    </w:p>
    <w:p w14:paraId="459A6CC3" w14:textId="504B580B" w:rsidR="00872776" w:rsidRDefault="00872776" w:rsidP="007B480A">
      <w:pPr>
        <w:pStyle w:val="RECnormaltext"/>
      </w:pPr>
    </w:p>
    <w:p w14:paraId="757D8AB7" w14:textId="77777777" w:rsidR="00872776" w:rsidRDefault="00872776" w:rsidP="007B480A">
      <w:pPr>
        <w:pStyle w:val="RECnormaltext"/>
      </w:pPr>
    </w:p>
    <w:p w14:paraId="5828E628" w14:textId="77777777" w:rsidR="007B480A" w:rsidRPr="005F0975" w:rsidRDefault="007B480A" w:rsidP="00047982">
      <w:pPr>
        <w:pStyle w:val="NonTOCHeading3"/>
      </w:pPr>
      <w:r w:rsidRPr="005F0975">
        <w:t>CRT glass</w:t>
      </w:r>
    </w:p>
    <w:p w14:paraId="34126360" w14:textId="77777777" w:rsidR="007B480A" w:rsidRDefault="007B480A" w:rsidP="007B480A">
      <w:pPr>
        <w:pStyle w:val="RECnormaltext"/>
      </w:pPr>
      <w:r>
        <w:t xml:space="preserve">CRT glass is </w:t>
      </w:r>
      <w:r w:rsidRPr="00A83B02">
        <w:t xml:space="preserve">glass from e-waste recycling of Cathode ray </w:t>
      </w:r>
      <w:r>
        <w:t>tube (CRT) screens, either from old model televisions or computer monitors (typically manufactured pre-2004), that contain high concentrations of lead</w:t>
      </w:r>
      <w:r w:rsidRPr="00A83B02">
        <w:t xml:space="preserve">. </w:t>
      </w:r>
      <w:r>
        <w:t xml:space="preserve">It comes </w:t>
      </w:r>
      <w:r w:rsidRPr="00A83B02">
        <w:t xml:space="preserve">from e-waste dismantlers/ recyclers, and may arise through intermediate storage facilities. </w:t>
      </w:r>
      <w:r>
        <w:t>CRT glass has the potential to be stockpiled because it contains a hazard (lead) with a management/disposal cost attached. Copper, plastics and non-lead containing glass, along with precious metal-rich circuitry, are examples of recoverable e-waste components that drive the economics of its recycling.</w:t>
      </w:r>
    </w:p>
    <w:p w14:paraId="407B215B" w14:textId="77777777" w:rsidR="007B480A" w:rsidRDefault="007B480A" w:rsidP="007B480A">
      <w:pPr>
        <w:pStyle w:val="RECnormaltext"/>
      </w:pPr>
      <w:r>
        <w:t>CRT glass can be managed as an input feed into base metal smelting, although the weight of the lead-containing waste carries a transport cost that can impact the feasibility of management options.</w:t>
      </w:r>
    </w:p>
    <w:p w14:paraId="4EBB84D6" w14:textId="46A2D217" w:rsidR="007B480A" w:rsidRPr="005F0975" w:rsidRDefault="007B480A" w:rsidP="00047982">
      <w:pPr>
        <w:pStyle w:val="NonTOCHeading3"/>
      </w:pPr>
      <w:r w:rsidRPr="00822CFD">
        <w:t>CSG salt brine wastes</w:t>
      </w:r>
    </w:p>
    <w:p w14:paraId="0AE3EB59" w14:textId="095632DE" w:rsidR="007B480A" w:rsidRDefault="007B480A" w:rsidP="007B480A">
      <w:pPr>
        <w:pStyle w:val="RECnormaltext"/>
      </w:pPr>
      <w:r>
        <w:t xml:space="preserve">Coal seam gas (CSG) mining </w:t>
      </w:r>
      <w:r w:rsidR="00AB1C35">
        <w:t xml:space="preserve">currently </w:t>
      </w:r>
      <w:r>
        <w:t xml:space="preserve">occurs predominantly in Queensland and to a lesser extent in NSW. Consequently, </w:t>
      </w:r>
      <w:r w:rsidR="00470EAA">
        <w:t>the majority</w:t>
      </w:r>
      <w:r>
        <w:t xml:space="preserve"> of CSG-based waste is generated in Queensland, in the Bowen and Surat Basins.</w:t>
      </w:r>
    </w:p>
    <w:p w14:paraId="64C8747F" w14:textId="3FFA5EA9" w:rsidR="007B480A" w:rsidRDefault="007B480A" w:rsidP="007B480A">
      <w:pPr>
        <w:pStyle w:val="RECnormaltext"/>
      </w:pPr>
      <w:r>
        <w:t xml:space="preserve">The CSG extraction process produces a range of wastes, but salty/ brine wastes are </w:t>
      </w:r>
      <w:r w:rsidR="00AB1C35">
        <w:t>the most significant</w:t>
      </w:r>
      <w:r>
        <w:t xml:space="preserve">. </w:t>
      </w:r>
    </w:p>
    <w:p w14:paraId="792A0AB1" w14:textId="77777777" w:rsidR="007B480A" w:rsidRDefault="007B480A" w:rsidP="007B480A">
      <w:pPr>
        <w:pStyle w:val="RECnormaltext"/>
      </w:pPr>
      <w:r w:rsidRPr="00405353">
        <w:t>Water is extracted as part of the CSG mining process because the gas – methane – is in the coal seam and held there at great pressure by water and other sediment layers. To release the gas, the water needs to be pumped out of this coal seam and up to the surface in a process known as 'dewatering'. The water that is pumped out as part of the CSG mining process is very salty and may contain a range of petroleum and mineral based chemical compounds, such as heavy metals and hydrocarbons.</w:t>
      </w:r>
    </w:p>
    <w:p w14:paraId="187A200A" w14:textId="283423BF" w:rsidR="00866310" w:rsidRDefault="00866310" w:rsidP="007B480A">
      <w:pPr>
        <w:pStyle w:val="RECnormaltext"/>
      </w:pPr>
      <w:r w:rsidRPr="00B46E9E">
        <w:t xml:space="preserve">CSG </w:t>
      </w:r>
      <w:r w:rsidR="00D624C3">
        <w:t xml:space="preserve">extraction </w:t>
      </w:r>
      <w:r w:rsidRPr="00B46E9E">
        <w:t>wa</w:t>
      </w:r>
      <w:r w:rsidR="00D624C3">
        <w:t>ters</w:t>
      </w:r>
      <w:r w:rsidRPr="00B46E9E">
        <w:t xml:space="preserve"> </w:t>
      </w:r>
      <w:r w:rsidR="00D624C3">
        <w:t xml:space="preserve">appear to be managed mainly in </w:t>
      </w:r>
      <w:r w:rsidRPr="00B46E9E">
        <w:t xml:space="preserve">large scale </w:t>
      </w:r>
      <w:r w:rsidR="00D624C3">
        <w:t>evaporation ponds or dams (</w:t>
      </w:r>
      <w:r w:rsidR="00D624C3" w:rsidRPr="00F74A59">
        <w:t xml:space="preserve">called aggregation dams or brine storage dams), </w:t>
      </w:r>
      <w:r w:rsidR="00D624C3">
        <w:t>typically located</w:t>
      </w:r>
      <w:r w:rsidRPr="00B46E9E">
        <w:t xml:space="preserve"> onsite.</w:t>
      </w:r>
      <w:r w:rsidR="00A40CF0">
        <w:t xml:space="preserve"> </w:t>
      </w:r>
      <w:r w:rsidR="00A40CF0" w:rsidRPr="00A40CF0">
        <w:rPr>
          <w:b/>
        </w:rPr>
        <w:t xml:space="preserve">CSG salt brine wastes </w:t>
      </w:r>
      <w:r w:rsidR="00A40CF0">
        <w:t>are the</w:t>
      </w:r>
      <w:r w:rsidR="00A40CF0" w:rsidRPr="00A40CF0">
        <w:t xml:space="preserve"> residue of the desalination of extraction waters that w</w:t>
      </w:r>
      <w:r w:rsidR="00A40CF0">
        <w:t>ere</w:t>
      </w:r>
      <w:r w:rsidR="00A40CF0" w:rsidRPr="00A40CF0">
        <w:t xml:space="preserve"> deposited in much higher volumes in ponds</w:t>
      </w:r>
      <w:r w:rsidR="00A40CF0">
        <w:t>. An estimated</w:t>
      </w:r>
      <w:r w:rsidR="00A40CF0" w:rsidRPr="00A40CF0">
        <w:t xml:space="preserve"> 9.5 Mt of </w:t>
      </w:r>
      <w:r w:rsidR="00A40CF0">
        <w:t xml:space="preserve">salt </w:t>
      </w:r>
      <w:r w:rsidR="00A40CF0" w:rsidRPr="00A40CF0">
        <w:t>brine waste has been deposited in Australia over the last 10 years</w:t>
      </w:r>
      <w:r w:rsidR="00A40CF0">
        <w:t>.</w:t>
      </w:r>
      <w:r w:rsidRPr="00B46E9E">
        <w:t xml:space="preserve"> </w:t>
      </w:r>
    </w:p>
    <w:p w14:paraId="7916DF59" w14:textId="77777777" w:rsidR="007B480A" w:rsidRPr="005F0975" w:rsidRDefault="007B480A" w:rsidP="00047982">
      <w:pPr>
        <w:pStyle w:val="NonTOCHeading3"/>
      </w:pPr>
      <w:r w:rsidRPr="005F0975">
        <w:t>Dieldrin-impregnated timber</w:t>
      </w:r>
    </w:p>
    <w:p w14:paraId="7D834620" w14:textId="77777777" w:rsidR="007B480A" w:rsidRDefault="007B480A" w:rsidP="007B480A">
      <w:pPr>
        <w:pStyle w:val="RECnormaltext"/>
      </w:pPr>
      <w:r>
        <w:t xml:space="preserve">Dieldrin is an organochlorine pesticide, or more specifically an insecticide, typically used in agricultural and related settings from the 1950s up until the 1970s. </w:t>
      </w:r>
      <w:r w:rsidRPr="00D315EE">
        <w:t xml:space="preserve">However, it is </w:t>
      </w:r>
      <w:r>
        <w:t xml:space="preserve">also </w:t>
      </w:r>
      <w:r w:rsidRPr="00D315EE">
        <w:t>an extreme</w:t>
      </w:r>
      <w:r>
        <w:t>ly persistent organic pollutant</w:t>
      </w:r>
      <w:r w:rsidRPr="00D315EE">
        <w:t xml:space="preserve">, </w:t>
      </w:r>
      <w:r>
        <w:t xml:space="preserve">which </w:t>
      </w:r>
      <w:r w:rsidRPr="00D315EE">
        <w:t xml:space="preserve">tends to biomagnify as it is passed along the food chain. Long-term exposure has proven toxic to a very wide range of animals including humans, far greater than </w:t>
      </w:r>
      <w:r>
        <w:t>to the original insect targets.</w:t>
      </w:r>
    </w:p>
    <w:p w14:paraId="30262FF0" w14:textId="5FEBFB01" w:rsidR="007B480A" w:rsidRDefault="007B480A" w:rsidP="007B480A">
      <w:pPr>
        <w:pStyle w:val="RECnormaltext"/>
      </w:pPr>
      <w:r>
        <w:t>In the past dieldrin has been used to prevent termite and related insect damage to wooden fence posts, railway sleepers and other wooden infrastructure on a large scale. There are likely to be several examples around Australia of stores of o</w:t>
      </w:r>
      <w:r w:rsidRPr="00D315EE">
        <w:t>ld railway sleeper timbers in large quantities</w:t>
      </w:r>
      <w:r>
        <w:t>,</w:t>
      </w:r>
      <w:r w:rsidRPr="00D315EE">
        <w:t xml:space="preserve"> with</w:t>
      </w:r>
      <w:r>
        <w:t xml:space="preserve"> no clear market to deal with the problem</w:t>
      </w:r>
      <w:r w:rsidRPr="00D315EE">
        <w:t>.</w:t>
      </w:r>
    </w:p>
    <w:p w14:paraId="22715907" w14:textId="4CE8C32B" w:rsidR="007B480A" w:rsidRPr="005F0975" w:rsidRDefault="007B480A" w:rsidP="00047982">
      <w:pPr>
        <w:pStyle w:val="NonTOCHeading3"/>
      </w:pPr>
      <w:r>
        <w:t>End-of-life-t</w:t>
      </w:r>
      <w:r w:rsidRPr="005F0975">
        <w:t>yres</w:t>
      </w:r>
    </w:p>
    <w:p w14:paraId="71711F0E" w14:textId="77777777" w:rsidR="007B480A" w:rsidRDefault="007B480A" w:rsidP="007B480A">
      <w:pPr>
        <w:pStyle w:val="RECnormaltext"/>
      </w:pPr>
      <w:r>
        <w:t xml:space="preserve">Waste tyres, or end of life tyres (EOLTs), are </w:t>
      </w:r>
      <w:r w:rsidRPr="00BD7F63">
        <w:t>used, discarded or rejected tyres that have reached the end of their useful life, i.e., when they can no longer be used for their original purpose, and are subsequently removed from a vehicle.</w:t>
      </w:r>
    </w:p>
    <w:p w14:paraId="1BC16129" w14:textId="77777777" w:rsidR="007B480A" w:rsidRDefault="007B480A" w:rsidP="007B480A">
      <w:pPr>
        <w:pStyle w:val="RECnormaltext"/>
      </w:pPr>
      <w:r>
        <w:t>Regulatory data suggests that EOLTs</w:t>
      </w:r>
      <w:r w:rsidRPr="00532D39">
        <w:t xml:space="preserve"> are </w:t>
      </w:r>
      <w:r>
        <w:t xml:space="preserve">typically </w:t>
      </w:r>
      <w:r w:rsidRPr="00532D39">
        <w:t xml:space="preserve">recycled, landfilled </w:t>
      </w:r>
      <w:r>
        <w:t>or</w:t>
      </w:r>
      <w:r w:rsidRPr="00532D39">
        <w:t xml:space="preserve"> stored. It is noted that tyres have gained the more recent attention of regulators due to the number of illegal stockpiles, which undoubtedly grew through arisings that occurred outside the regulatory system. Vic data</w:t>
      </w:r>
      <w:r>
        <w:rPr>
          <w:rStyle w:val="FootnoteReference"/>
        </w:rPr>
        <w:footnoteReference w:id="28"/>
      </w:r>
      <w:r>
        <w:t xml:space="preserve"> confirms an illegal management problem</w:t>
      </w:r>
      <w:r w:rsidRPr="00532D39">
        <w:t>, quoting a rate of tyre recycling in Australia around 20%, with another 26% exported and 54% unaccounted for and presumed to be either stockpiled or illegally dumped.</w:t>
      </w:r>
    </w:p>
    <w:p w14:paraId="2EDF87DF" w14:textId="77777777" w:rsidR="007B480A" w:rsidRPr="005F0975" w:rsidRDefault="007B480A" w:rsidP="00047982">
      <w:pPr>
        <w:pStyle w:val="NonTOCHeading3"/>
      </w:pPr>
      <w:r w:rsidRPr="005F0975">
        <w:t>E-waste</w:t>
      </w:r>
    </w:p>
    <w:p w14:paraId="506C3639" w14:textId="77777777" w:rsidR="007B480A" w:rsidRDefault="007B480A" w:rsidP="007B480A">
      <w:pPr>
        <w:pStyle w:val="RECnormaltext"/>
      </w:pPr>
      <w:r>
        <w:t>Waste electronic or electrical equipment, known in Europe as WEEE and in Australia as e-waste, is made up of a large array of end of life e-goods that have</w:t>
      </w:r>
      <w:r w:rsidRPr="00B7342E">
        <w:t xml:space="preserve"> reached the end of</w:t>
      </w:r>
      <w:r>
        <w:t xml:space="preserve"> their</w:t>
      </w:r>
      <w:r w:rsidRPr="00B7342E">
        <w:t xml:space="preserve"> functional life</w:t>
      </w:r>
      <w:r>
        <w:t xml:space="preserve">. These range from mobile phones to televisions, photocopiers to toasters and even potential future waste streams such as end of life solar panels (photovoltaic cells). </w:t>
      </w:r>
    </w:p>
    <w:p w14:paraId="62691C18" w14:textId="77777777" w:rsidR="007B480A" w:rsidRDefault="007B480A" w:rsidP="007B480A">
      <w:pPr>
        <w:pStyle w:val="RECnormaltext"/>
      </w:pPr>
      <w:r>
        <w:t xml:space="preserve">In Australia, </w:t>
      </w:r>
      <w:r w:rsidRPr="00B7342E">
        <w:t>The National Television and Computer Recycling Scheme</w:t>
      </w:r>
      <w:r>
        <w:t xml:space="preserve"> (NTCRS) exists as a co-regulatory product stewardship program to fund and foster greater recycling of </w:t>
      </w:r>
      <w:r w:rsidRPr="00B7342E">
        <w:t>televisions and computers and their peripheral components</w:t>
      </w:r>
      <w:r>
        <w:t>. While the program has been successful in increasing the rate of recycling of these end of life goods, there have been inevitable fluctuations in market supply and demand, overshoot (or under delivery) of recycling targets and other market/ program imperfections that have affected equipment value in the marketplace from time to time. These have had the potential to result in accumulated e-waste stockpiles.</w:t>
      </w:r>
    </w:p>
    <w:p w14:paraId="7567BA6E" w14:textId="77777777" w:rsidR="007B480A" w:rsidRDefault="007B480A" w:rsidP="007B480A">
      <w:pPr>
        <w:pStyle w:val="RECnormaltext"/>
      </w:pPr>
      <w:r>
        <w:t>E-waste, in the form of whole items of equipment, are not typically considered hazardous waste. However, individual components are known to contain hazardous substances such as heavy metals and brominated flame retardants which, once dismantled could be regarded as hazardous waste in certain (inadequate) management circumstances if substances are present at concentrations that could cause them to exhibit hazardous characteristics.</w:t>
      </w:r>
    </w:p>
    <w:p w14:paraId="0F799C69" w14:textId="77777777" w:rsidR="007B480A" w:rsidRPr="005F0975" w:rsidRDefault="007B480A" w:rsidP="00047982">
      <w:pPr>
        <w:pStyle w:val="NonTOCHeading3"/>
      </w:pPr>
      <w:r w:rsidRPr="005F0975">
        <w:t>HCB</w:t>
      </w:r>
    </w:p>
    <w:p w14:paraId="47721D6B" w14:textId="6B05F387" w:rsidR="007B480A" w:rsidRDefault="007B480A" w:rsidP="007B480A">
      <w:pPr>
        <w:pStyle w:val="RECnormaltext"/>
      </w:pPr>
      <w:r>
        <w:t xml:space="preserve">Chemical manufacturing company Orica have historically stockpiled hexachlorobenzene (HCB) at their Botany Industrial Park site in Sydney. HCB was generated as a waste by-product in solvent and plastic manufacturing plants at the site between 1963 and 1991. </w:t>
      </w:r>
    </w:p>
    <w:p w14:paraId="7FDF7153" w14:textId="77777777" w:rsidR="007B480A" w:rsidRDefault="007B480A" w:rsidP="007B480A">
      <w:pPr>
        <w:pStyle w:val="RECnormaltext"/>
      </w:pPr>
      <w:r>
        <w:t xml:space="preserve">Orica worked on applications to export the waste for destruction in high-temperature incinerators in Europe between 2006 and 2010. However, in December 2010, the Danish Government made a decision to cancel its approval for the environmentally sound destruction of Orica’s HCB waste at a treatment facility in Denmark. </w:t>
      </w:r>
      <w:r w:rsidRPr="00812852">
        <w:t xml:space="preserve">No acceptable management solution – whether destruction or more appropriate storage – has been </w:t>
      </w:r>
      <w:r>
        <w:t>implemented</w:t>
      </w:r>
      <w:r w:rsidRPr="00812852">
        <w:t xml:space="preserve"> many decades since this material began accumulating</w:t>
      </w:r>
      <w:r>
        <w:t>, including a third bid for export and destruction- this time in France – in 2014.  As of 2016, Orica has begun a fourth process to seek approval for shipment of a portion of the stockpile to a facility in Finland.</w:t>
      </w:r>
    </w:p>
    <w:p w14:paraId="3A0B8D17" w14:textId="15E0B052" w:rsidR="007B480A" w:rsidRDefault="007B480A" w:rsidP="007B480A">
      <w:pPr>
        <w:pStyle w:val="RECnormaltext"/>
      </w:pPr>
      <w:r>
        <w:t xml:space="preserve">It is one of the world’s largest remaining HCB stockpiles that continues to grow due not to a continuation in manufacturing but because of periodic re-containerisation requirements to ensure safe storage, which results in the </w:t>
      </w:r>
      <w:r w:rsidRPr="0077026C">
        <w:t>old, used packaging becoming a new t</w:t>
      </w:r>
      <w:r>
        <w:t>oxic component of the stockpile.</w:t>
      </w:r>
    </w:p>
    <w:p w14:paraId="67D8F5E1" w14:textId="095DAC82" w:rsidR="00A40CF0" w:rsidRDefault="00A40CF0" w:rsidP="007B480A">
      <w:pPr>
        <w:pStyle w:val="RECnormaltext"/>
      </w:pPr>
    </w:p>
    <w:p w14:paraId="69AF9CB0" w14:textId="111B0540" w:rsidR="00A40CF0" w:rsidRDefault="00A40CF0" w:rsidP="007B480A">
      <w:pPr>
        <w:pStyle w:val="RECnormaltext"/>
      </w:pPr>
    </w:p>
    <w:p w14:paraId="54A51EA6" w14:textId="77777777" w:rsidR="00A40CF0" w:rsidRDefault="00A40CF0" w:rsidP="007B480A">
      <w:pPr>
        <w:pStyle w:val="RECnormaltext"/>
      </w:pPr>
    </w:p>
    <w:p w14:paraId="08488406" w14:textId="77777777" w:rsidR="007B480A" w:rsidRPr="005F0975" w:rsidRDefault="007B480A" w:rsidP="00047982">
      <w:pPr>
        <w:pStyle w:val="NonTOCHeading3"/>
      </w:pPr>
      <w:r w:rsidRPr="005F0975">
        <w:t xml:space="preserve">Mercury waste </w:t>
      </w:r>
    </w:p>
    <w:p w14:paraId="60FD9D3D" w14:textId="77777777" w:rsidR="007B480A" w:rsidRDefault="007B480A" w:rsidP="007B480A">
      <w:pPr>
        <w:pStyle w:val="RECnormaltext"/>
      </w:pPr>
      <w:r>
        <w:t xml:space="preserve">Mercury is used in its pure form in thermometers and barometers, some batteries, fluorescent lighting, as a catalyst in the chemical manufacturing industry, in thermostats and dental amalgams. It has also been used in the mining industry to extract gold and silver ores. </w:t>
      </w:r>
    </w:p>
    <w:p w14:paraId="7C861CCD" w14:textId="77777777" w:rsidR="007B480A" w:rsidRDefault="007B480A" w:rsidP="007B480A">
      <w:pPr>
        <w:pStyle w:val="RECnormaltext"/>
      </w:pPr>
      <w:r>
        <w:t>Mercuric chloride is used in the manufacture of disinfectants, as a catalyst, in photography and embalming. Mercury salts are sometimes used in skin lightening creams and as antiseptic creams and ointments.</w:t>
      </w:r>
    </w:p>
    <w:p w14:paraId="400BD70A" w14:textId="77777777" w:rsidR="007B480A" w:rsidRDefault="007B480A" w:rsidP="007B480A">
      <w:pPr>
        <w:pStyle w:val="RECnormaltext"/>
      </w:pPr>
      <w:r>
        <w:t xml:space="preserve">Wastes of mercury compounds in Australia include end of life fluorescent light tubes and healthcare sources, as well as spent catalysts from chemical, petrochemical and mining industries. </w:t>
      </w:r>
      <w:r w:rsidRPr="00691919">
        <w:t xml:space="preserve">While volumes </w:t>
      </w:r>
      <w:r>
        <w:t xml:space="preserve">generated in Australia </w:t>
      </w:r>
      <w:r w:rsidRPr="00691919">
        <w:t xml:space="preserve">are very small, this waste has been singled out due to its inherent hazard, as evidenced by the </w:t>
      </w:r>
      <w:r w:rsidRPr="00691919">
        <w:rPr>
          <w:i/>
        </w:rPr>
        <w:t>Minamata Convention on Mercury</w:t>
      </w:r>
      <w:r w:rsidRPr="00691919">
        <w:t>.</w:t>
      </w:r>
    </w:p>
    <w:p w14:paraId="21456A22" w14:textId="2914D35D" w:rsidR="007B480A" w:rsidRPr="005F0975" w:rsidRDefault="007B480A" w:rsidP="00047982">
      <w:pPr>
        <w:pStyle w:val="NonTOCHeading3"/>
      </w:pPr>
      <w:r w:rsidRPr="005F0975">
        <w:t>PCB</w:t>
      </w:r>
    </w:p>
    <w:p w14:paraId="7F056979" w14:textId="77777777" w:rsidR="007B480A" w:rsidRDefault="007B480A" w:rsidP="007B480A">
      <w:pPr>
        <w:pStyle w:val="RECnormaltext"/>
      </w:pPr>
      <w:r w:rsidRPr="00691919">
        <w:t>Polychlorinated biphenyl</w:t>
      </w:r>
      <w:r>
        <w:t>s (PCBs) are a group of halogenated compounds similar to other persistent organic pollutants listed on the Stockholm Convention for Persistent Organic Pollutants (POPs), such as organochloride pesticides, dioxins and furans and, more recently, brominated flame retardants and PFOS (see below).</w:t>
      </w:r>
    </w:p>
    <w:p w14:paraId="0DAC3FF8" w14:textId="77777777" w:rsidR="007B480A" w:rsidRDefault="007B480A" w:rsidP="007B480A">
      <w:pPr>
        <w:pStyle w:val="RECnormaltext"/>
      </w:pPr>
      <w:r>
        <w:t>PCB wastes consist</w:t>
      </w:r>
      <w:r w:rsidRPr="00691919">
        <w:t xml:space="preserve"> of any materials contaminated with PCBs and </w:t>
      </w:r>
      <w:r>
        <w:t>are</w:t>
      </w:r>
      <w:r w:rsidRPr="00691919">
        <w:t xml:space="preserve"> dominated by waste oils.</w:t>
      </w:r>
    </w:p>
    <w:p w14:paraId="241ECE0F" w14:textId="1B902286" w:rsidR="007B480A" w:rsidRDefault="007B480A" w:rsidP="007B480A">
      <w:pPr>
        <w:pStyle w:val="RECnormaltext"/>
      </w:pPr>
      <w:r>
        <w:t>The waste was historically generated in the electricity industry where PCBs were used as insulating and heat-conducting fluids in transformers and other electrical installations.  Starting in the late 1980s the equipment was drained and refilled with paraffin oil.  Because PCBs were not completely removed, the result was residual PCBs in paraffin oil.  PCBs were also used in small items such as capacitors an</w:t>
      </w:r>
      <w:r w:rsidR="004213EA">
        <w:t>d fluorescent-lighting ballasts, meaning that PCBs can also be an issue in e-waste.</w:t>
      </w:r>
    </w:p>
    <w:p w14:paraId="4CD3DB6F" w14:textId="27BBA030" w:rsidR="007B480A" w:rsidRDefault="007B480A" w:rsidP="007B480A">
      <w:pPr>
        <w:pStyle w:val="RECnormaltext"/>
      </w:pPr>
      <w:r>
        <w:t xml:space="preserve">PCBs were removed from service in the 1980s and 1990s, but there still remains paraffin oil contaminated with commercial PCB mixtures, albeit at lower volumes in the present day, as older electricity and related infrastructure are replaced or remediated. PCBs in oils </w:t>
      </w:r>
      <w:r w:rsidRPr="00D7115B">
        <w:t>are managed in Australia through separation and destruction technologies, the latter to destroy the chlorinated nature of the hazard. Both Victoria and NSW closely control movements of these wastes through PCB-specific notification legislative instruments</w:t>
      </w:r>
      <w:r>
        <w:t xml:space="preserve">, that derive from the </w:t>
      </w:r>
      <w:r w:rsidRPr="00D7115B">
        <w:t xml:space="preserve">national PCB Management Plan introduced in 1996. </w:t>
      </w:r>
    </w:p>
    <w:p w14:paraId="15C82874" w14:textId="022D6A10" w:rsidR="004213EA" w:rsidRDefault="004213EA" w:rsidP="004213EA">
      <w:pPr>
        <w:pStyle w:val="RECnormaltext"/>
      </w:pPr>
      <w:r>
        <w:t xml:space="preserve">The waste treatment industry noted that the bulk of the PCB stockpile has been processed in Australia. However, stockpiling was still identified by some and there </w:t>
      </w:r>
      <w:r w:rsidR="00E70169">
        <w:t>are</w:t>
      </w:r>
      <w:r>
        <w:t xml:space="preserve"> still some PCB stocks to be destroyed. Insufficient information was identified during by this project’s consultation and research scope to provide an estimate of the PCB stockpile in Australia.</w:t>
      </w:r>
    </w:p>
    <w:p w14:paraId="7695FDD3" w14:textId="5CB15211" w:rsidR="007B480A" w:rsidRPr="005F0975" w:rsidRDefault="007B480A" w:rsidP="00047982">
      <w:pPr>
        <w:pStyle w:val="NonTOCHeading3"/>
      </w:pPr>
      <w:r w:rsidRPr="005F0975">
        <w:t>PFOS</w:t>
      </w:r>
      <w:r w:rsidR="00F25E09">
        <w:t xml:space="preserve"> (part of PFAS group of chemicals) </w:t>
      </w:r>
    </w:p>
    <w:p w14:paraId="733772F2" w14:textId="77777777" w:rsidR="007B480A" w:rsidRDefault="007B480A" w:rsidP="007B480A">
      <w:pPr>
        <w:pStyle w:val="RECnormaltext"/>
      </w:pPr>
      <w:r w:rsidRPr="00D7189A">
        <w:t>Australia is a party to the Stockholm Convention on Persistent Organic Pollutants (POPs), which aims to protect human health and the environment from the effects of these chemicals. Australia is currently in the process of deciding whether to ratify new chemicals added to the Convention since 2009. Should it decide to do so, new wastes contaminated with elevated levels of POPs might need to be managed as hazardous, some of which are not currently managed in this way.</w:t>
      </w:r>
      <w:r>
        <w:t xml:space="preserve"> Perfluorooctane sulfonate (PFOS) is one such newly added POP chemical, which has been used i</w:t>
      </w:r>
      <w:r w:rsidRPr="00D7189A">
        <w:t>n various mist dispersal and surface coating applications, including (significantly) firefighting foams</w:t>
      </w:r>
      <w:r>
        <w:t>, since mid-last century</w:t>
      </w:r>
      <w:r w:rsidRPr="00D7189A">
        <w:t>.</w:t>
      </w:r>
    </w:p>
    <w:p w14:paraId="3141B250" w14:textId="77777777" w:rsidR="007B480A" w:rsidRDefault="007B480A" w:rsidP="007B480A">
      <w:pPr>
        <w:pStyle w:val="RECnormaltext"/>
      </w:pPr>
      <w:r w:rsidRPr="00D7189A">
        <w:t>POPs are hazardous and environmentally persistent substances which can be transported between countries by the earth's oceans and atmosphere. POPs accumulate in living organisms and have been traced in the fatty tissues of humans and other animals.</w:t>
      </w:r>
      <w:r>
        <w:t xml:space="preserve"> </w:t>
      </w:r>
    </w:p>
    <w:p w14:paraId="40627F67" w14:textId="77777777" w:rsidR="007B480A" w:rsidRDefault="007B480A" w:rsidP="007B480A">
      <w:pPr>
        <w:pStyle w:val="RECnormaltext"/>
      </w:pPr>
      <w:r>
        <w:t>PFOS has gained more attention than the other newly listed POPs in the last couple of years in particular, due to a number of incidents involving fish kills and other environmental and human health concerns emanating from spills of fire-fighting foams that contain PFOS – known as AFFF (a</w:t>
      </w:r>
      <w:r w:rsidRPr="00C773BD">
        <w:t>queous film forming foam</w:t>
      </w:r>
      <w:r>
        <w:t xml:space="preserve">). PFOS is particularly toxic to aquatic environments - the recently released </w:t>
      </w:r>
      <w:r w:rsidRPr="00C773BD">
        <w:rPr>
          <w:i/>
        </w:rPr>
        <w:t>draft Commonwealth Environmental Management Guidance on Perfluorooctane Sulfonic Acid (PFOS) and Perfluorooctanoic Acid (PFOA)</w:t>
      </w:r>
      <w:r>
        <w:t xml:space="preserve"> (DoEE 2016) quotes particularly stringent environmental water guideline values for PFOS, on account of its high water-species ecotoxicity compared to other POPs – near the limit of laboratory protection for 99% species protection. </w:t>
      </w:r>
    </w:p>
    <w:p w14:paraId="43CEAA98" w14:textId="77777777" w:rsidR="0077226E" w:rsidRDefault="007B480A" w:rsidP="007B480A">
      <w:pPr>
        <w:pStyle w:val="RECnormaltext"/>
      </w:pPr>
      <w:r>
        <w:t>Australian jurisdictional governments have recently joined forces to establish a National Management Plan for PFASs (poly and per fluorinated alkyl substances, a family of chemicals similar to and including PFOS), such is the urgency for clearer guidance on its better management.</w:t>
      </w:r>
    </w:p>
    <w:p w14:paraId="1DBE722E" w14:textId="6BF4BAB7" w:rsidR="007B480A" w:rsidRDefault="0077226E" w:rsidP="007B480A">
      <w:pPr>
        <w:pStyle w:val="RECnormaltext"/>
      </w:pPr>
      <w:r>
        <w:t>The PFOS line item in the national database refers to the stockpile of the chemical in it</w:t>
      </w:r>
      <w:r w:rsidR="00ED51D6">
        <w:t>s</w:t>
      </w:r>
      <w:r>
        <w:t xml:space="preserve"> </w:t>
      </w:r>
      <w:r w:rsidR="003E2A9A">
        <w:t>concentrated</w:t>
      </w:r>
      <w:r>
        <w:t xml:space="preserve"> or product form, as opposed to soils or groundwater that is contaminated with PFOS</w:t>
      </w:r>
      <w:r w:rsidR="005513BD">
        <w:t xml:space="preserve"> (refer to </w:t>
      </w:r>
      <w:r w:rsidR="00ED51D6">
        <w:t>s</w:t>
      </w:r>
      <w:r w:rsidR="00ED51D6" w:rsidRPr="005513BD">
        <w:t xml:space="preserve">ignificant </w:t>
      </w:r>
      <w:r w:rsidR="005513BD" w:rsidRPr="005513BD">
        <w:t>contaminated soil waste</w:t>
      </w:r>
      <w:r w:rsidR="005513BD">
        <w:t xml:space="preserve"> stockpiles (PFAS contamination) description below)</w:t>
      </w:r>
      <w:r w:rsidR="007B480A">
        <w:t>.</w:t>
      </w:r>
    </w:p>
    <w:p w14:paraId="7F59688B" w14:textId="2167E96A" w:rsidR="0077226E" w:rsidRDefault="0077226E" w:rsidP="007B480A">
      <w:pPr>
        <w:pStyle w:val="RECnormaltext"/>
      </w:pPr>
      <w:r>
        <w:t xml:space="preserve">Reference materials used to estimate the PFOS stockpile are confidential and therefore the PFOS tonnage data has </w:t>
      </w:r>
      <w:r w:rsidR="002E413E">
        <w:t xml:space="preserve">been </w:t>
      </w:r>
      <w:r>
        <w:t>redacted.</w:t>
      </w:r>
    </w:p>
    <w:p w14:paraId="67923341" w14:textId="77777777" w:rsidR="005513BD" w:rsidRPr="005F0975" w:rsidRDefault="005513BD" w:rsidP="00047982">
      <w:pPr>
        <w:pStyle w:val="NonTOCHeading3"/>
      </w:pPr>
      <w:r>
        <w:t xml:space="preserve">Significant </w:t>
      </w:r>
      <w:r w:rsidRPr="00F924EF">
        <w:t xml:space="preserve">contaminated </w:t>
      </w:r>
      <w:r>
        <w:t>soil waste stockpiles</w:t>
      </w:r>
      <w:r w:rsidRPr="005F0975">
        <w:t xml:space="preserve"> </w:t>
      </w:r>
      <w:r>
        <w:t>(</w:t>
      </w:r>
      <w:r w:rsidRPr="000412B3">
        <w:t>PFAS contamination</w:t>
      </w:r>
      <w:r>
        <w:t>)</w:t>
      </w:r>
    </w:p>
    <w:p w14:paraId="6EC53EAB" w14:textId="77777777" w:rsidR="005513BD" w:rsidRDefault="005513BD" w:rsidP="005513BD">
      <w:pPr>
        <w:spacing w:line="259" w:lineRule="auto"/>
      </w:pPr>
      <w:r>
        <w:t>Contaminated soils typically are the result of poorly controlled historical industrial practices. The highly-varied types and levels of contamination make contaminated soils difficult to describe through a common set of attributes or characteristics. The waste stream is generated predominantly from construction and demolition activities, often involving property development, but they also come from industrial sites, petrol stations, as well as utilities such as the electricity supply industry.</w:t>
      </w:r>
    </w:p>
    <w:p w14:paraId="20022234" w14:textId="77777777" w:rsidR="005513BD" w:rsidRDefault="005513BD" w:rsidP="005513BD">
      <w:pPr>
        <w:spacing w:line="259" w:lineRule="auto"/>
      </w:pPr>
      <w:r w:rsidRPr="0069773D">
        <w:t>Contaminated soils are t</w:t>
      </w:r>
      <w:r>
        <w:t>he largest hazardous waste generated in Australia (around 1.5M tonnes arising in 2014-15).</w:t>
      </w:r>
    </w:p>
    <w:p w14:paraId="0CE6F6F1" w14:textId="77777777" w:rsidR="005513BD" w:rsidRDefault="005513BD" w:rsidP="005513BD">
      <w:pPr>
        <w:pStyle w:val="RECnormaltext"/>
      </w:pPr>
      <w:r>
        <w:t>There have been many instances of historical soil contamination with major consequences, and clean-up costs. These soils could be contaminated with any waste or contaminant on the NEPM list, but key contaminants include hydrocarbons, organic solvents, heavy metals, pesticides, halogenated organic chemicals, asbestos and cyanide.</w:t>
      </w:r>
    </w:p>
    <w:p w14:paraId="139C2B0F" w14:textId="77777777" w:rsidR="005513BD" w:rsidRPr="00604C9A" w:rsidRDefault="005513BD" w:rsidP="005513BD">
      <w:pPr>
        <w:pStyle w:val="RECnormaltext"/>
        <w:rPr>
          <w:b/>
        </w:rPr>
      </w:pPr>
      <w:r>
        <w:t>Where contaminated soil is removed from the site, it is usually managed by landfilling although this depends on the level and nature of their contamination. Those containing volatile organic compounds such as from petroleum contamination may be remediated through techniques such as thermal desorption, while those shown to exhibit high levels of contaminants may be required by State-based legislation to be treated in some form to encapsulate or otherwise immobilise the waste’s hazards, to mitigate the risk of subsequent leaching of contaminants in a landfill environment.</w:t>
      </w:r>
    </w:p>
    <w:p w14:paraId="692C9811" w14:textId="77777777" w:rsidR="005513BD" w:rsidRPr="002B06D1" w:rsidRDefault="005513BD" w:rsidP="005513BD">
      <w:pPr>
        <w:pStyle w:val="RECnormaltext"/>
      </w:pPr>
      <w:r>
        <w:t xml:space="preserve">The remaining ‘stocks’ of Australia’s contaminated soils mostly resulted from historical industrial practices and remain in-situ and are difficult to define and estimate (tonnages). Unpublished studies completed by the authors found that there is a large ‘stock’ of contaminated soils in and around metropolitan areas in particular. However, depending on proposed land use of the site being developed, contaminated soils </w:t>
      </w:r>
      <w:r w:rsidRPr="00D6281C">
        <w:rPr>
          <w:u w:val="single"/>
        </w:rPr>
        <w:t>are not always required to be removed and hence contribute to the ‘stockpile’ of contaminated soils requiring treatment</w:t>
      </w:r>
      <w:r w:rsidRPr="002B06D1">
        <w:t>.</w:t>
      </w:r>
    </w:p>
    <w:p w14:paraId="6ED2B82A" w14:textId="77777777" w:rsidR="005513BD" w:rsidRDefault="005513BD" w:rsidP="005513BD">
      <w:pPr>
        <w:pStyle w:val="RECnormaltext"/>
      </w:pPr>
      <w:r>
        <w:t>As agreed with DoEE, this project will not provide an estimation of the total remaining stocks of contaminated soils, rather, it focuses on ‘significant’ contaminated soils stockpiles that are known to exist and where is it likely that the soils will have to be treated in the near to medium term.</w:t>
      </w:r>
    </w:p>
    <w:p w14:paraId="24F003FE" w14:textId="77777777" w:rsidR="005513BD" w:rsidRDefault="005513BD" w:rsidP="005513BD">
      <w:pPr>
        <w:pStyle w:val="RECnormaltext"/>
      </w:pPr>
      <w:r>
        <w:t>There is value in reporting on significant contaminated soils waste stockpiles that have a known volume of soils that will require treatment. Significant contaminated soils stockpiles requiring treatment have the potential to impact on treatment infrastructure capacity and capability needs and where the information is readily available from EPA’s they are included in the database.</w:t>
      </w:r>
    </w:p>
    <w:p w14:paraId="26D5EDEF" w14:textId="26ABEBCD" w:rsidR="005513BD" w:rsidRDefault="005513BD" w:rsidP="005513BD">
      <w:pPr>
        <w:pStyle w:val="RECnormaltext"/>
      </w:pPr>
      <w:r>
        <w:t xml:space="preserve">During consultation with EPA’s and the waste treatment industry, the significant stock of </w:t>
      </w:r>
      <w:r w:rsidRPr="00D44A40">
        <w:rPr>
          <w:b/>
        </w:rPr>
        <w:t>PFAS (poly and per fluorinated alkyl substances</w:t>
      </w:r>
      <w:r>
        <w:rPr>
          <w:b/>
        </w:rPr>
        <w:t>)</w:t>
      </w:r>
      <w:r>
        <w:rPr>
          <w:rStyle w:val="FootnoteReference"/>
          <w:b/>
        </w:rPr>
        <w:footnoteReference w:id="29"/>
      </w:r>
      <w:r>
        <w:t xml:space="preserve"> contaminated soils that requires treatment was consistently raised (by all states) as a concern and an active area of site assessment and current and future site clean-up. </w:t>
      </w:r>
    </w:p>
    <w:p w14:paraId="7815A850" w14:textId="77777777" w:rsidR="005513BD" w:rsidRDefault="005513BD" w:rsidP="005513BD">
      <w:pPr>
        <w:pStyle w:val="RECnormaltext"/>
      </w:pPr>
      <w:r>
        <w:t xml:space="preserve">The PFAS contaminated sites </w:t>
      </w:r>
      <w:r w:rsidRPr="00357A02">
        <w:t xml:space="preserve">range </w:t>
      </w:r>
      <w:r>
        <w:t xml:space="preserve">from </w:t>
      </w:r>
      <w:r w:rsidRPr="00357A02">
        <w:t>airport</w:t>
      </w:r>
      <w:r>
        <w:t xml:space="preserve">s, </w:t>
      </w:r>
      <w:r w:rsidRPr="00357A02">
        <w:t>industry, emergency services and defence.</w:t>
      </w:r>
      <w:r>
        <w:t xml:space="preserve"> The contamination of the sites is typically a result of using (both during actual and simulated fire events) or spilling aqueous </w:t>
      </w:r>
      <w:r w:rsidRPr="00C773BD">
        <w:t>film forming foam</w:t>
      </w:r>
      <w:r>
        <w:t xml:space="preserve">s (AFFF) with a high concentration of PFOS. </w:t>
      </w:r>
    </w:p>
    <w:p w14:paraId="71E6F1A2" w14:textId="43E663D0" w:rsidR="005513BD" w:rsidRDefault="005513BD" w:rsidP="005513BD">
      <w:r>
        <w:t>Whilst it is clear that there are numerous PFAS contaminated sites around Australia, and a stockpile of PFAS impacted soils and groundwater that will likely required treatment</w:t>
      </w:r>
      <w:r w:rsidR="00ED51D6">
        <w:t>,</w:t>
      </w:r>
      <w:r>
        <w:t xml:space="preserve"> insufficient information was identified during this project’s consultation and research to provide an estimate of this stockpile in Australia.</w:t>
      </w:r>
    </w:p>
    <w:p w14:paraId="404CE65E" w14:textId="3FE290CC" w:rsidR="000E6001" w:rsidRDefault="00AA7BB2" w:rsidP="00047982">
      <w:pPr>
        <w:pStyle w:val="NonTOCHeading3"/>
      </w:pPr>
      <w:r w:rsidRPr="008C3CDD">
        <w:t xml:space="preserve">Silicomanganese (SiMn) </w:t>
      </w:r>
      <w:r w:rsidR="00913DCD" w:rsidRPr="008C3CDD">
        <w:t xml:space="preserve">alloy </w:t>
      </w:r>
      <w:r w:rsidRPr="008C3CDD">
        <w:t>s</w:t>
      </w:r>
      <w:r w:rsidR="000E6001" w:rsidRPr="008C3CDD">
        <w:t>lag</w:t>
      </w:r>
    </w:p>
    <w:p w14:paraId="66A1FF4C" w14:textId="3C9BEAF2" w:rsidR="00490554" w:rsidRDefault="00490554" w:rsidP="00490554">
      <w:pPr>
        <w:pStyle w:val="RECnormaltext"/>
      </w:pPr>
      <w:r>
        <w:t>Si</w:t>
      </w:r>
      <w:r w:rsidRPr="00490554">
        <w:t xml:space="preserve">Mn </w:t>
      </w:r>
      <w:r>
        <w:t>is</w:t>
      </w:r>
      <w:r w:rsidRPr="00490554">
        <w:t xml:space="preserve"> mostly used in steelmaking </w:t>
      </w:r>
      <w:r>
        <w:t>as an alloying element, which improves properties like strength and toughness. SiMn is also used in steelmaking for its properties as a deoxidant</w:t>
      </w:r>
      <w:r>
        <w:rPr>
          <w:rStyle w:val="FootnoteReference"/>
        </w:rPr>
        <w:footnoteReference w:id="30"/>
      </w:r>
      <w:r>
        <w:t xml:space="preserve"> and for preventing the formation of iron sulphides which can cause surface cracking in the steel.</w:t>
      </w:r>
    </w:p>
    <w:p w14:paraId="3EF097C5" w14:textId="062AFBF2" w:rsidR="00946A94" w:rsidRDefault="00893CB2" w:rsidP="00F54E66">
      <w:pPr>
        <w:pStyle w:val="RECnormaltext"/>
      </w:pPr>
      <w:r>
        <w:t xml:space="preserve">SiMn alloy slag, </w:t>
      </w:r>
      <w:r w:rsidR="00E21C4A">
        <w:t xml:space="preserve">is the main waste product from the smelting processes used to generate SiMn. </w:t>
      </w:r>
      <w:r w:rsidR="00037582" w:rsidRPr="00F54E66">
        <w:rPr>
          <w:b/>
          <w:highlight w:val="red"/>
        </w:rPr>
        <w:t>CIC</w:t>
      </w:r>
      <w:r w:rsidR="008C3CDD">
        <w:t xml:space="preserve">. </w:t>
      </w:r>
    </w:p>
    <w:p w14:paraId="066BA8E9" w14:textId="43F8F146" w:rsidR="007B480A" w:rsidRPr="005F0975" w:rsidRDefault="007B480A" w:rsidP="00047982">
      <w:pPr>
        <w:pStyle w:val="NonTOCHeading3"/>
      </w:pPr>
      <w:r w:rsidRPr="00F924EF">
        <w:t>Spent dry-cleaning solvents (PERC)</w:t>
      </w:r>
    </w:p>
    <w:p w14:paraId="6B3BB4BB" w14:textId="77777777" w:rsidR="007B480A" w:rsidRDefault="007B480A" w:rsidP="007B480A">
      <w:pPr>
        <w:pStyle w:val="RECnormaltext"/>
      </w:pPr>
      <w:r w:rsidRPr="00DE05C1">
        <w:t xml:space="preserve">Perchloroethylene, </w:t>
      </w:r>
      <w:r>
        <w:t>otherwise known as t</w:t>
      </w:r>
      <w:r w:rsidRPr="00DE05C1">
        <w:t>etrachloroethylene</w:t>
      </w:r>
      <w:r>
        <w:t xml:space="preserve"> </w:t>
      </w:r>
      <w:r w:rsidRPr="00DE05C1">
        <w:t xml:space="preserve">or </w:t>
      </w:r>
      <w:r>
        <w:t>‘</w:t>
      </w:r>
      <w:r w:rsidRPr="00DE05C1">
        <w:t>perc</w:t>
      </w:r>
      <w:r>
        <w:t>’</w:t>
      </w:r>
      <w:r w:rsidRPr="00DE05C1">
        <w:t xml:space="preserve">, is the principle synthetic solvent used </w:t>
      </w:r>
      <w:r>
        <w:t>in commercial dry-cleaning. While it</w:t>
      </w:r>
      <w:r w:rsidRPr="00DE05C1">
        <w:t xml:space="preserve"> is non-flammable</w:t>
      </w:r>
      <w:r>
        <w:t xml:space="preserve">, it can be dangerous in a fire situation because it </w:t>
      </w:r>
      <w:r w:rsidRPr="00DE05C1">
        <w:t>decomposes upon heating and exposure to U</w:t>
      </w:r>
      <w:r>
        <w:t>V light to give phosgene and hydrochloric acid, and can react violently with finely dispersed metals such as aluminium.</w:t>
      </w:r>
    </w:p>
    <w:p w14:paraId="6C914BB6" w14:textId="751A1CD2" w:rsidR="007B480A" w:rsidRDefault="007B480A" w:rsidP="007B480A">
      <w:pPr>
        <w:pStyle w:val="RECnormaltext"/>
      </w:pPr>
      <w:r>
        <w:t>Because perc is the primary raw material in dry cleaning, there is potential for its storage on a reasonable scale in the industry, which may involve fire risk, particularly if co-located with heating infrastructure such as commercial scale driers and laundries.</w:t>
      </w:r>
    </w:p>
    <w:p w14:paraId="256FE3B2" w14:textId="61A78A54" w:rsidR="0040798E" w:rsidRDefault="00CC1E6F" w:rsidP="00CC1E6F">
      <w:r>
        <w:t>Some stockpiling of PERC is Australia is likely, however, insufficient information was identified during by this project’s consultation and research scope to provide an estimate of this stockpile in Australia. It should be noted that both environmental regulators and waste industry consultees did not identify any stockpiles of PERC.</w:t>
      </w:r>
    </w:p>
    <w:p w14:paraId="1D1286F8" w14:textId="77777777" w:rsidR="007B480A" w:rsidRPr="005F0975" w:rsidRDefault="007B480A" w:rsidP="00047982">
      <w:pPr>
        <w:pStyle w:val="NonTOCHeading3"/>
      </w:pPr>
      <w:r w:rsidRPr="005F0975">
        <w:t xml:space="preserve">Spent pot liner </w:t>
      </w:r>
    </w:p>
    <w:p w14:paraId="6AD0A9B0" w14:textId="77777777" w:rsidR="007B480A" w:rsidRDefault="007B480A" w:rsidP="007B480A">
      <w:pPr>
        <w:pStyle w:val="RECnormaltext"/>
      </w:pPr>
      <w:r w:rsidRPr="00590F76">
        <w:t>Spent pot lining (SPL) is a waste material gen</w:t>
      </w:r>
      <w:r>
        <w:t>erated from aluminium smelters</w:t>
      </w:r>
      <w:r w:rsidRPr="00A62406">
        <w:t>, of which there are four in current operation (in Vic, NSW, Qld and Tas) and two recently closed (in Vic and NSW).</w:t>
      </w:r>
      <w:r>
        <w:t xml:space="preserve"> </w:t>
      </w:r>
      <w:r w:rsidRPr="00BD7F63">
        <w:t>Aluminium smelting is the extraction of aluminium metal from aluminium oxide (also known as alumina).</w:t>
      </w:r>
      <w:r>
        <w:t xml:space="preserve"> This process</w:t>
      </w:r>
      <w:r w:rsidRPr="00590F76">
        <w:t xml:space="preserve"> takes place in electrolytic cells that are known as pots. During the operation of the cell, substances, including aluminium and fluorides, are absorbed into the cell lining. After some years of operation, the pot lining fails and is removed. The removed material is SPL, a hazardous waste due to:</w:t>
      </w:r>
    </w:p>
    <w:p w14:paraId="620ABDB8" w14:textId="77777777" w:rsidR="007B480A" w:rsidRPr="00A62406" w:rsidRDefault="007B480A" w:rsidP="007B480A">
      <w:pPr>
        <w:pStyle w:val="RECdotnotlist"/>
      </w:pPr>
      <w:r w:rsidRPr="00A62406">
        <w:t>toxicity – leachable fluoride and cyanide compounds, with fluoride levels often around 10%</w:t>
      </w:r>
    </w:p>
    <w:p w14:paraId="511D348D" w14:textId="77777777" w:rsidR="007B480A" w:rsidRPr="00A62406" w:rsidRDefault="007B480A" w:rsidP="007B480A">
      <w:pPr>
        <w:pStyle w:val="RECdotnotlist"/>
      </w:pPr>
      <w:r w:rsidRPr="00A62406">
        <w:t>corrosiveness – high pH due to the presence of alkali metals and oxides</w:t>
      </w:r>
    </w:p>
    <w:p w14:paraId="6875F6F6" w14:textId="77777777" w:rsidR="007B480A" w:rsidRPr="00590F76" w:rsidRDefault="007B480A" w:rsidP="007B480A">
      <w:pPr>
        <w:pStyle w:val="RECdotnotlist"/>
      </w:pPr>
      <w:r w:rsidRPr="00A62406">
        <w:t>reactivity with water – producing toxic, explosive, and inflammable gases</w:t>
      </w:r>
    </w:p>
    <w:p w14:paraId="1090313C" w14:textId="77777777" w:rsidR="007B480A" w:rsidRDefault="007B480A" w:rsidP="007B480A">
      <w:pPr>
        <w:pStyle w:val="RECnormaltext"/>
      </w:pPr>
      <w:r w:rsidRPr="00BD7F63">
        <w:t>The toxic, corrosive and reactive nature of SPL means that particular care must be taken in its handling, transportation and storage. SPL has been recognised as a major environmental concern for the industry for decades, but has recovery potential because of its fluoride, energy and, to a lesser</w:t>
      </w:r>
      <w:r>
        <w:t xml:space="preserve"> e</w:t>
      </w:r>
      <w:r w:rsidRPr="00BD7F63">
        <w:t xml:space="preserve">xtent, aluminium content. </w:t>
      </w:r>
      <w:r w:rsidRPr="00BD7F63">
        <w:rPr>
          <w:rFonts w:ascii="MS Gothic" w:eastAsia="MS Gothic" w:hAnsi="MS Gothic" w:cs="MS Gothic" w:hint="eastAsia"/>
        </w:rPr>
        <w:t> </w:t>
      </w:r>
    </w:p>
    <w:p w14:paraId="06BD7390" w14:textId="77777777" w:rsidR="007B480A" w:rsidRPr="00590F76" w:rsidRDefault="007B480A" w:rsidP="007B480A">
      <w:pPr>
        <w:pStyle w:val="RECdotnotlist"/>
        <w:numPr>
          <w:ilvl w:val="0"/>
          <w:numId w:val="0"/>
        </w:numPr>
      </w:pPr>
      <w:r w:rsidRPr="00A62406">
        <w:t xml:space="preserve">SPL is sometimes heat-treated prior to transport to recycling/ re-processing fates to remove cyanides and flammability risk, but not fluorides, hence the convention to record it in </w:t>
      </w:r>
      <w:r>
        <w:t xml:space="preserve">hazardous waste </w:t>
      </w:r>
      <w:r w:rsidRPr="00A62406">
        <w:t xml:space="preserve">tracking systems as </w:t>
      </w:r>
      <w:r w:rsidRPr="00A62406">
        <w:rPr>
          <w:i/>
        </w:rPr>
        <w:t>D110 Inorganic fluorine compounds excluding calcium fluoride</w:t>
      </w:r>
      <w:r w:rsidRPr="00A62406">
        <w:t xml:space="preserve">. </w:t>
      </w:r>
    </w:p>
    <w:p w14:paraId="2D070799" w14:textId="77777777" w:rsidR="007B480A" w:rsidRPr="00590F76" w:rsidRDefault="007B480A" w:rsidP="007B480A">
      <w:pPr>
        <w:pStyle w:val="RECnormaltext"/>
      </w:pPr>
      <w:r>
        <w:t>P</w:t>
      </w:r>
      <w:r w:rsidRPr="00BD7F63">
        <w:t xml:space="preserve">oor management practices such as landfilling of SPL date back to the decades prior to the early 1990’s, </w:t>
      </w:r>
      <w:r>
        <w:t xml:space="preserve">but </w:t>
      </w:r>
      <w:r w:rsidRPr="00BD7F63">
        <w:t>SPL has been stored onsite in covered shedding since then. While this may be appropriate for safe (short-term) storage, onsite stockpiling in sheds is not a long-term solution for SPL management, where the SPL remains exposed to risks such as extreme weather events.</w:t>
      </w:r>
    </w:p>
    <w:p w14:paraId="01BB3979" w14:textId="77777777" w:rsidR="007B480A" w:rsidRPr="005F0975" w:rsidRDefault="007B480A" w:rsidP="00047982">
      <w:pPr>
        <w:pStyle w:val="NonTOCHeading3"/>
      </w:pPr>
      <w:r>
        <w:t>Used l</w:t>
      </w:r>
      <w:r w:rsidRPr="005F0975">
        <w:t>ead acid batteries</w:t>
      </w:r>
      <w:r>
        <w:t xml:space="preserve"> (auto and industrial)</w:t>
      </w:r>
    </w:p>
    <w:p w14:paraId="069895FA" w14:textId="77777777" w:rsidR="007B480A" w:rsidRPr="00BE5C94" w:rsidRDefault="007B480A" w:rsidP="00B219C0">
      <w:pPr>
        <w:pStyle w:val="RECnormaltext"/>
      </w:pPr>
      <w:r>
        <w:t>The stockpiles data provided is for automotive batteries (</w:t>
      </w:r>
      <w:r w:rsidRPr="006D6862">
        <w:t>used for vehicle</w:t>
      </w:r>
      <w:r>
        <w:t xml:space="preserve"> </w:t>
      </w:r>
      <w:r w:rsidRPr="006D6862">
        <w:t>starting, lighting and ignition</w:t>
      </w:r>
      <w:r>
        <w:t>) and for large industrial batteries (</w:t>
      </w:r>
      <w:r w:rsidRPr="006D6862">
        <w:t>used as backup power supplies in many</w:t>
      </w:r>
      <w:r>
        <w:t xml:space="preserve"> </w:t>
      </w:r>
      <w:r w:rsidRPr="006D6862">
        <w:t>situations, including storing the energy captured</w:t>
      </w:r>
      <w:r>
        <w:t xml:space="preserve"> </w:t>
      </w:r>
      <w:r w:rsidRPr="006D6862">
        <w:t>from solar panels</w:t>
      </w:r>
      <w:r>
        <w:t>)</w:t>
      </w:r>
      <w:r w:rsidRPr="006D6862">
        <w:t>.</w:t>
      </w:r>
    </w:p>
    <w:p w14:paraId="26BE4216" w14:textId="77777777" w:rsidR="007B480A" w:rsidRDefault="007B480A">
      <w:pPr>
        <w:pStyle w:val="RECnormaltext"/>
      </w:pPr>
      <w:r>
        <w:t>Lead acid batteries were</w:t>
      </w:r>
      <w:r w:rsidRPr="00983DFF">
        <w:t xml:space="preserve"> invented in 1859 </w:t>
      </w:r>
      <w:r w:rsidRPr="00BB1BF1">
        <w:t>and</w:t>
      </w:r>
      <w:r w:rsidRPr="00983DFF">
        <w:t xml:space="preserve"> </w:t>
      </w:r>
      <w:r>
        <w:t>are</w:t>
      </w:r>
      <w:r w:rsidRPr="00983DFF">
        <w:t xml:space="preserve"> the oldest type of rechargeable battery. </w:t>
      </w:r>
      <w:r>
        <w:t>They involve the use of lead sheet plates as electrodes and dilute sulfuric acid as the electrolyte. Once a lead acid battery reaches end of life (spent or used lead acid battery, ULAB) the electrolyte is very dilute but the lead hazard remains.</w:t>
      </w:r>
    </w:p>
    <w:p w14:paraId="71C20C5A" w14:textId="14408226" w:rsidR="00BB1BF1" w:rsidRDefault="007B480A">
      <w:pPr>
        <w:pStyle w:val="RECnormaltext"/>
      </w:pPr>
      <w:r w:rsidRPr="00983DFF">
        <w:t>Despite having a very low energy-to-weight ratio and a low energy-to-volume ratio, its ability to supply high surge currents means that the cells have a relatively large power-to-weight ratio. These features, along with their low cost, makes it attractive for use in motor vehicles to provide the high current required by automobile starter motors.</w:t>
      </w:r>
      <w:r>
        <w:t xml:space="preserve"> Lead acid batteries are also used to a lesser extent in smaller applications such as tools and lighting as well as in large industrial batteries as backup power supplies.</w:t>
      </w:r>
    </w:p>
    <w:p w14:paraId="69C1D9F9" w14:textId="79C410B6" w:rsidR="007B480A" w:rsidRDefault="007B480A" w:rsidP="00B219C0">
      <w:pPr>
        <w:pStyle w:val="RECnormaltext"/>
      </w:pPr>
      <w:r>
        <w:t xml:space="preserve">Where economics </w:t>
      </w:r>
      <w:r w:rsidR="003E2A9A">
        <w:t>enables</w:t>
      </w:r>
      <w:r>
        <w:t xml:space="preserve"> it, ULABs are</w:t>
      </w:r>
      <w:r w:rsidRPr="00BE5C94">
        <w:t xml:space="preserve"> </w:t>
      </w:r>
      <w:r w:rsidRPr="00BB1BF1">
        <w:t>typically</w:t>
      </w:r>
      <w:r w:rsidRPr="00BE5C94">
        <w:t xml:space="preserve"> bound for recycling/ recovery </w:t>
      </w:r>
      <w:r>
        <w:t xml:space="preserve">in fit for purpose smelting operations. They originate from </w:t>
      </w:r>
      <w:r w:rsidRPr="00BE5C94">
        <w:t xml:space="preserve">a broad range of industries, including vehicle intensive ones such as mining and transport-related businesses, but usually via collection programs facilitated by metal and other resource recovery companies. </w:t>
      </w:r>
      <w:r>
        <w:br w:type="page"/>
      </w:r>
    </w:p>
    <w:p w14:paraId="246B545B" w14:textId="69A50F81" w:rsidR="009E5B7B" w:rsidRPr="008C3CDD" w:rsidRDefault="009E5B7B" w:rsidP="009E5B7B">
      <w:pPr>
        <w:pStyle w:val="Heading1"/>
      </w:pPr>
      <w:bookmarkStart w:id="215" w:name="_Toc532990262"/>
      <w:bookmarkStart w:id="216" w:name="_Ref486606113"/>
      <w:r w:rsidRPr="008C3CDD">
        <w:t>Conclusions</w:t>
      </w:r>
      <w:bookmarkEnd w:id="215"/>
    </w:p>
    <w:p w14:paraId="70D72176" w14:textId="7C3F4464" w:rsidR="00341FE1" w:rsidRDefault="009E5B7B" w:rsidP="00047982">
      <w:pPr>
        <w:pStyle w:val="NonTOCHeading3"/>
      </w:pPr>
      <w:r>
        <w:t>Overall</w:t>
      </w:r>
      <w:r w:rsidR="00500285">
        <w:t xml:space="preserve"> </w:t>
      </w:r>
    </w:p>
    <w:p w14:paraId="1A13E303" w14:textId="77777777" w:rsidR="009E5B7B" w:rsidRDefault="009E5B7B" w:rsidP="009E5B7B">
      <w:pPr>
        <w:rPr>
          <w:rFonts w:asciiTheme="minorHAnsi" w:eastAsia="Calibri" w:hAnsiTheme="minorHAnsi" w:cs="Arial"/>
          <w:color w:val="auto"/>
          <w:szCs w:val="20"/>
        </w:rPr>
      </w:pPr>
      <w:r w:rsidRPr="00C12A6A">
        <w:rPr>
          <w:rFonts w:asciiTheme="minorHAnsi" w:eastAsia="Calibri" w:hAnsiTheme="minorHAnsi" w:cs="Arial"/>
          <w:color w:val="auto"/>
          <w:szCs w:val="20"/>
        </w:rPr>
        <w:t xml:space="preserve">Part of the project scope </w:t>
      </w:r>
      <w:r>
        <w:rPr>
          <w:rFonts w:asciiTheme="minorHAnsi" w:eastAsia="Calibri" w:hAnsiTheme="minorHAnsi" w:cs="Arial"/>
          <w:color w:val="auto"/>
          <w:szCs w:val="20"/>
        </w:rPr>
        <w:t xml:space="preserve">was </w:t>
      </w:r>
      <w:r w:rsidRPr="00C12A6A">
        <w:rPr>
          <w:rFonts w:asciiTheme="minorHAnsi" w:eastAsia="Calibri" w:hAnsiTheme="minorHAnsi" w:cs="Arial"/>
          <w:color w:val="auto"/>
          <w:szCs w:val="20"/>
        </w:rPr>
        <w:t xml:space="preserve">to develop a better definition of </w:t>
      </w:r>
      <w:r>
        <w:rPr>
          <w:rFonts w:asciiTheme="minorHAnsi" w:eastAsia="Calibri" w:hAnsiTheme="minorHAnsi" w:cs="Arial"/>
          <w:color w:val="auto"/>
          <w:szCs w:val="20"/>
        </w:rPr>
        <w:t>a</w:t>
      </w:r>
      <w:r w:rsidRPr="00C12A6A">
        <w:rPr>
          <w:rFonts w:asciiTheme="minorHAnsi" w:eastAsia="Calibri" w:hAnsiTheme="minorHAnsi" w:cs="Arial"/>
          <w:color w:val="auto"/>
          <w:szCs w:val="20"/>
        </w:rPr>
        <w:t xml:space="preserve"> hazardous waste </w:t>
      </w:r>
      <w:r>
        <w:rPr>
          <w:rFonts w:asciiTheme="minorHAnsi" w:eastAsia="Calibri" w:hAnsiTheme="minorHAnsi" w:cs="Arial"/>
          <w:color w:val="auto"/>
          <w:szCs w:val="20"/>
        </w:rPr>
        <w:t>‘</w:t>
      </w:r>
      <w:r w:rsidRPr="00C12A6A">
        <w:rPr>
          <w:rFonts w:asciiTheme="minorHAnsi" w:eastAsia="Calibri" w:hAnsiTheme="minorHAnsi" w:cs="Arial"/>
          <w:color w:val="auto"/>
          <w:szCs w:val="20"/>
        </w:rPr>
        <w:t>stockpile</w:t>
      </w:r>
      <w:r>
        <w:rPr>
          <w:rFonts w:asciiTheme="minorHAnsi" w:eastAsia="Calibri" w:hAnsiTheme="minorHAnsi" w:cs="Arial"/>
          <w:color w:val="auto"/>
          <w:szCs w:val="20"/>
        </w:rPr>
        <w:t>’</w:t>
      </w:r>
      <w:r w:rsidRPr="00C12A6A">
        <w:rPr>
          <w:rFonts w:asciiTheme="minorHAnsi" w:eastAsia="Calibri" w:hAnsiTheme="minorHAnsi" w:cs="Arial"/>
          <w:color w:val="auto"/>
          <w:szCs w:val="20"/>
        </w:rPr>
        <w:t xml:space="preserve">. </w:t>
      </w:r>
      <w:r>
        <w:rPr>
          <w:rFonts w:asciiTheme="minorHAnsi" w:eastAsia="Calibri" w:hAnsiTheme="minorHAnsi" w:cs="Arial"/>
          <w:color w:val="auto"/>
          <w:szCs w:val="20"/>
        </w:rPr>
        <w:t xml:space="preserve">In defining a stockpile, it became clear </w:t>
      </w:r>
      <w:r w:rsidRPr="00C12A6A">
        <w:rPr>
          <w:rFonts w:asciiTheme="minorHAnsi" w:eastAsia="Calibri" w:hAnsiTheme="minorHAnsi" w:cs="Arial"/>
          <w:color w:val="auto"/>
          <w:szCs w:val="20"/>
        </w:rPr>
        <w:t xml:space="preserve">that distinction </w:t>
      </w:r>
      <w:r>
        <w:rPr>
          <w:rFonts w:asciiTheme="minorHAnsi" w:eastAsia="Calibri" w:hAnsiTheme="minorHAnsi" w:cs="Arial"/>
          <w:color w:val="auto"/>
          <w:szCs w:val="20"/>
        </w:rPr>
        <w:t xml:space="preserve">is required </w:t>
      </w:r>
      <w:r w:rsidRPr="00C12A6A">
        <w:rPr>
          <w:rFonts w:asciiTheme="minorHAnsi" w:eastAsia="Calibri" w:hAnsiTheme="minorHAnsi" w:cs="Arial"/>
          <w:color w:val="auto"/>
          <w:szCs w:val="20"/>
        </w:rPr>
        <w:t xml:space="preserve">between a </w:t>
      </w:r>
      <w:r>
        <w:rPr>
          <w:rFonts w:asciiTheme="minorHAnsi" w:eastAsia="Calibri" w:hAnsiTheme="minorHAnsi" w:cs="Arial"/>
          <w:color w:val="auto"/>
          <w:szCs w:val="20"/>
        </w:rPr>
        <w:t>‘</w:t>
      </w:r>
      <w:r w:rsidRPr="00C12A6A">
        <w:rPr>
          <w:rFonts w:asciiTheme="minorHAnsi" w:eastAsia="Calibri" w:hAnsiTheme="minorHAnsi" w:cs="Arial"/>
          <w:color w:val="auto"/>
          <w:szCs w:val="20"/>
        </w:rPr>
        <w:t>stockpile</w:t>
      </w:r>
      <w:r>
        <w:rPr>
          <w:rFonts w:asciiTheme="minorHAnsi" w:eastAsia="Calibri" w:hAnsiTheme="minorHAnsi" w:cs="Arial"/>
          <w:color w:val="auto"/>
          <w:szCs w:val="20"/>
        </w:rPr>
        <w:t>’</w:t>
      </w:r>
      <w:r w:rsidRPr="00C12A6A">
        <w:rPr>
          <w:rFonts w:asciiTheme="minorHAnsi" w:eastAsia="Calibri" w:hAnsiTheme="minorHAnsi" w:cs="Arial"/>
          <w:color w:val="auto"/>
          <w:szCs w:val="20"/>
        </w:rPr>
        <w:t xml:space="preserve"> and an </w:t>
      </w:r>
      <w:r>
        <w:rPr>
          <w:rFonts w:asciiTheme="minorHAnsi" w:eastAsia="Calibri" w:hAnsiTheme="minorHAnsi" w:cs="Arial"/>
          <w:color w:val="auto"/>
          <w:szCs w:val="20"/>
        </w:rPr>
        <w:t>‘</w:t>
      </w:r>
      <w:r w:rsidRPr="00C12A6A">
        <w:rPr>
          <w:rFonts w:asciiTheme="minorHAnsi" w:eastAsia="Calibri" w:hAnsiTheme="minorHAnsi" w:cs="Arial"/>
          <w:color w:val="auto"/>
          <w:szCs w:val="20"/>
        </w:rPr>
        <w:t>approved long-term on-site storage</w:t>
      </w:r>
      <w:r>
        <w:rPr>
          <w:rFonts w:asciiTheme="minorHAnsi" w:eastAsia="Calibri" w:hAnsiTheme="minorHAnsi" w:cs="Arial"/>
          <w:color w:val="auto"/>
          <w:szCs w:val="20"/>
        </w:rPr>
        <w:t xml:space="preserve">’. </w:t>
      </w:r>
    </w:p>
    <w:p w14:paraId="6B8AC711" w14:textId="77777777" w:rsidR="00E05358" w:rsidRDefault="00E05358" w:rsidP="00E05358">
      <w:r>
        <w:t>There are an estimated 6.2 million tonnes of ‘hazardous waste’</w:t>
      </w:r>
      <w:r>
        <w:rPr>
          <w:rStyle w:val="FootnoteReference"/>
        </w:rPr>
        <w:footnoteReference w:id="31"/>
      </w:r>
      <w:r>
        <w:t xml:space="preserve"> in stockpiles around Australia. It should be noted that the stockpile number would likely be significantly higher if data were available for PFAS contaminated soils and groundwater in Australia. When approved long-term on-site storages are included, more than double the tonnages </w:t>
      </w:r>
      <w:r w:rsidRPr="005C17D5">
        <w:rPr>
          <w:shd w:val="clear" w:color="auto" w:fill="FF0000"/>
        </w:rPr>
        <w:t>(</w:t>
      </w:r>
      <w:r>
        <w:rPr>
          <w:shd w:val="clear" w:color="auto" w:fill="FF0000"/>
        </w:rPr>
        <w:t>CIC)</w:t>
      </w:r>
      <w:r>
        <w:t xml:space="preserve"> of hazardous waste are estimated to be either stockpiled or in approved long-term on-site storages in Australia. </w:t>
      </w:r>
    </w:p>
    <w:p w14:paraId="4603BBBB" w14:textId="77777777" w:rsidR="00E05358" w:rsidRDefault="00E05358" w:rsidP="00E05358">
      <w:pPr>
        <w:rPr>
          <w:highlight w:val="red"/>
        </w:rPr>
      </w:pPr>
      <w:r>
        <w:rPr>
          <w:highlight w:val="red"/>
        </w:rPr>
        <w:t>CIC</w:t>
      </w:r>
      <w:r w:rsidRPr="00B219C0">
        <w:rPr>
          <w:highlight w:val="red"/>
        </w:rPr>
        <w:t>.</w:t>
      </w:r>
    </w:p>
    <w:p w14:paraId="68C169D6" w14:textId="77777777" w:rsidR="009E5B7B" w:rsidRDefault="009E5B7B" w:rsidP="009E5B7B">
      <w:pPr>
        <w:rPr>
          <w:rFonts w:asciiTheme="minorHAnsi" w:eastAsia="Calibri" w:hAnsiTheme="minorHAnsi" w:cs="Arial"/>
          <w:color w:val="auto"/>
          <w:szCs w:val="20"/>
        </w:rPr>
      </w:pPr>
      <w:r>
        <w:t xml:space="preserve">Reporting and discussion of both </w:t>
      </w:r>
      <w:r w:rsidRPr="00C12A6A">
        <w:rPr>
          <w:rFonts w:asciiTheme="minorHAnsi" w:eastAsia="Calibri" w:hAnsiTheme="minorHAnsi" w:cs="Arial"/>
          <w:color w:val="auto"/>
          <w:szCs w:val="20"/>
        </w:rPr>
        <w:t>stockpile</w:t>
      </w:r>
      <w:r>
        <w:rPr>
          <w:rFonts w:asciiTheme="minorHAnsi" w:eastAsia="Calibri" w:hAnsiTheme="minorHAnsi" w:cs="Arial"/>
          <w:color w:val="auto"/>
          <w:szCs w:val="20"/>
        </w:rPr>
        <w:t>s</w:t>
      </w:r>
      <w:r w:rsidRPr="00C12A6A">
        <w:rPr>
          <w:rFonts w:asciiTheme="minorHAnsi" w:eastAsia="Calibri" w:hAnsiTheme="minorHAnsi" w:cs="Arial"/>
          <w:color w:val="auto"/>
          <w:szCs w:val="20"/>
        </w:rPr>
        <w:t xml:space="preserve"> and approved long-term on-site storage</w:t>
      </w:r>
      <w:r>
        <w:rPr>
          <w:rFonts w:asciiTheme="minorHAnsi" w:eastAsia="Calibri" w:hAnsiTheme="minorHAnsi" w:cs="Arial"/>
          <w:color w:val="auto"/>
          <w:szCs w:val="20"/>
        </w:rPr>
        <w:t>s has merit, but they need to be reported as separate line items and it needs to be recognised that in most instances ‘clearance’ requirements are not applied to</w:t>
      </w:r>
      <w:r w:rsidRPr="00C12A6A">
        <w:rPr>
          <w:rFonts w:asciiTheme="minorHAnsi" w:eastAsia="Calibri" w:hAnsiTheme="minorHAnsi" w:cs="Arial"/>
          <w:color w:val="auto"/>
          <w:szCs w:val="20"/>
        </w:rPr>
        <w:t xml:space="preserve"> approved long-term on-site storage</w:t>
      </w:r>
      <w:r>
        <w:rPr>
          <w:rFonts w:asciiTheme="minorHAnsi" w:eastAsia="Calibri" w:hAnsiTheme="minorHAnsi" w:cs="Arial"/>
          <w:color w:val="auto"/>
          <w:szCs w:val="20"/>
        </w:rPr>
        <w:t>s.</w:t>
      </w:r>
    </w:p>
    <w:p w14:paraId="5F0620FD" w14:textId="77777777" w:rsidR="009E5B7B" w:rsidRPr="0064404F" w:rsidRDefault="009E5B7B" w:rsidP="009E5B7B">
      <w:pPr>
        <w:rPr>
          <w:rFonts w:asciiTheme="minorHAnsi" w:eastAsia="Calibri" w:hAnsiTheme="minorHAnsi" w:cs="Arial"/>
          <w:color w:val="auto"/>
          <w:szCs w:val="20"/>
        </w:rPr>
      </w:pPr>
      <w:r>
        <w:rPr>
          <w:rFonts w:asciiTheme="minorHAnsi" w:eastAsia="Calibri" w:hAnsiTheme="minorHAnsi" w:cs="Arial"/>
          <w:color w:val="auto"/>
          <w:szCs w:val="20"/>
        </w:rPr>
        <w:t xml:space="preserve">The main reasons for reporting </w:t>
      </w:r>
      <w:r w:rsidRPr="00C12A6A">
        <w:rPr>
          <w:rFonts w:asciiTheme="minorHAnsi" w:eastAsia="Calibri" w:hAnsiTheme="minorHAnsi" w:cs="Arial"/>
          <w:color w:val="auto"/>
          <w:szCs w:val="20"/>
        </w:rPr>
        <w:t>approved long-term on-site storage</w:t>
      </w:r>
      <w:r>
        <w:rPr>
          <w:rFonts w:asciiTheme="minorHAnsi" w:eastAsia="Calibri" w:hAnsiTheme="minorHAnsi" w:cs="Arial"/>
          <w:color w:val="auto"/>
          <w:szCs w:val="20"/>
        </w:rPr>
        <w:t>s in the</w:t>
      </w:r>
      <w:r w:rsidRPr="0064404F">
        <w:rPr>
          <w:rFonts w:asciiTheme="minorHAnsi" w:eastAsia="Calibri" w:hAnsiTheme="minorHAnsi" w:cs="Arial"/>
          <w:color w:val="auto"/>
          <w:szCs w:val="20"/>
        </w:rPr>
        <w:t xml:space="preserve"> dataset, reported separately as a sub-total, </w:t>
      </w:r>
      <w:r>
        <w:rPr>
          <w:rFonts w:asciiTheme="minorHAnsi" w:eastAsia="Calibri" w:hAnsiTheme="minorHAnsi" w:cs="Arial"/>
          <w:color w:val="auto"/>
          <w:szCs w:val="20"/>
        </w:rPr>
        <w:t>include</w:t>
      </w:r>
      <w:r w:rsidRPr="0064404F">
        <w:rPr>
          <w:rFonts w:asciiTheme="minorHAnsi" w:eastAsia="Calibri" w:hAnsiTheme="minorHAnsi" w:cs="Arial"/>
          <w:color w:val="auto"/>
          <w:szCs w:val="20"/>
        </w:rPr>
        <w:t>:</w:t>
      </w:r>
    </w:p>
    <w:p w14:paraId="092C797B" w14:textId="77777777" w:rsidR="009E5B7B" w:rsidRPr="0064404F" w:rsidRDefault="009E5B7B" w:rsidP="009301C6">
      <w:pPr>
        <w:pStyle w:val="RECnormaltext"/>
        <w:numPr>
          <w:ilvl w:val="0"/>
          <w:numId w:val="90"/>
        </w:numPr>
      </w:pPr>
      <w:r>
        <w:t xml:space="preserve">As </w:t>
      </w:r>
      <w:r w:rsidRPr="0064404F">
        <w:t xml:space="preserve">these wastes do not leave the site, typically the wastes are not tracked via state waste tracking systems, and there may be </w:t>
      </w:r>
      <w:r>
        <w:t xml:space="preserve">little or </w:t>
      </w:r>
      <w:r w:rsidRPr="0064404F">
        <w:t xml:space="preserve">no reporting of generation and disposal rates to state environment departments </w:t>
      </w:r>
    </w:p>
    <w:p w14:paraId="0A3D28EC" w14:textId="77777777" w:rsidR="009E5B7B" w:rsidRDefault="009E5B7B" w:rsidP="009301C6">
      <w:pPr>
        <w:pStyle w:val="RECnormaltext"/>
        <w:numPr>
          <w:ilvl w:val="0"/>
          <w:numId w:val="90"/>
        </w:numPr>
      </w:pPr>
      <w:r w:rsidRPr="0064404F">
        <w:t>These wastes typically differ from those sent off-site to a licensed landfill (for example) where there is a transfer of the waste ‘ownership’ and liability for the long-term management.</w:t>
      </w:r>
    </w:p>
    <w:p w14:paraId="194ED3EE" w14:textId="77777777" w:rsidR="003A02FF" w:rsidRPr="003A02FF" w:rsidRDefault="003A02FF" w:rsidP="003A02FF">
      <w:pPr>
        <w:pStyle w:val="RECnormaltext"/>
      </w:pPr>
      <w:r w:rsidRPr="003A02FF">
        <w:t xml:space="preserve">Of the estimated 6.2 million tonnes of stockpiled wastes in Australia some 72% of the wastes are asbestos waste and contaminated biosolids. Spent pot lining from aluminium smelting and end-of-life tyres both make up about 10% each and the remaining waste types combine to make up 5% of the 6.2 million tonnes. </w:t>
      </w:r>
    </w:p>
    <w:p w14:paraId="002518DF" w14:textId="77777777" w:rsidR="003A02FF" w:rsidRPr="003A02FF" w:rsidRDefault="003A02FF" w:rsidP="003A02FF">
      <w:pPr>
        <w:pStyle w:val="RECnormaltext"/>
      </w:pPr>
      <w:r w:rsidRPr="003A02FF">
        <w:t xml:space="preserve">It is important not to focus too much on the total tonnages of different hazardous wastes. For example, the HCB stockpile at 15,000 tonnes, or just 0.2% of the 6.2 million tonne stockpile, is not a significant proportion. However, this is </w:t>
      </w:r>
      <w:hyperlink r:id="rId157" w:history="1">
        <w:r w:rsidRPr="003A02FF">
          <w:rPr>
            <w:rStyle w:val="Hyperlink"/>
            <w:color w:val="auto"/>
            <w:u w:val="none"/>
          </w:rPr>
          <w:t>reportedly</w:t>
        </w:r>
      </w:hyperlink>
      <w:r w:rsidRPr="003A02FF">
        <w:t xml:space="preserve"> the largest stockpile of HCB in the world and it is highly hazardous and has been extremely difficult to manage and is likely to be exported for treatment due to a lack of local treatment infrastructure capabilities and development.</w:t>
      </w:r>
    </w:p>
    <w:p w14:paraId="2EEA69CA" w14:textId="3485E9D4" w:rsidR="00341FE1" w:rsidRDefault="00517290" w:rsidP="00047982">
      <w:pPr>
        <w:pStyle w:val="NonTOCHeading3"/>
      </w:pPr>
      <w:r>
        <w:t>Average age</w:t>
      </w:r>
    </w:p>
    <w:p w14:paraId="65123DA9" w14:textId="1C973E19" w:rsidR="004F20CF" w:rsidRDefault="00AD6E76" w:rsidP="00517290">
      <w:pPr>
        <w:pStyle w:val="RECnormaltext"/>
      </w:pPr>
      <w:r>
        <w:t>The average age for both stockpiles and approved long-term on-site storages is around 2</w:t>
      </w:r>
      <w:r w:rsidR="00CF5F0D">
        <w:t>8</w:t>
      </w:r>
      <w:r>
        <w:t xml:space="preserve"> years. </w:t>
      </w:r>
      <w:r w:rsidR="00CF5F0D">
        <w:t xml:space="preserve">Stockpiles and storages resulting from older industrial development in Australia include contaminated biosolids (70 years), asbestos, </w:t>
      </w:r>
      <w:r w:rsidR="003A02FF">
        <w:t xml:space="preserve">and </w:t>
      </w:r>
      <w:r w:rsidR="00CF5F0D">
        <w:t xml:space="preserve">HCB (50 years), followed by waste from </w:t>
      </w:r>
      <w:r w:rsidR="00ED51D6">
        <w:t xml:space="preserve">alumina </w:t>
      </w:r>
      <w:r w:rsidR="00CF5F0D">
        <w:t>and aluminium production at around 40 years.</w:t>
      </w:r>
      <w:r w:rsidR="004F20CF">
        <w:t xml:space="preserve"> Waste from oil and gas production have been stockpiled or stored over the past decade or more.</w:t>
      </w:r>
    </w:p>
    <w:p w14:paraId="099ACF6B" w14:textId="2555BD2B" w:rsidR="004F20CF" w:rsidRDefault="004F20CF" w:rsidP="00517290">
      <w:pPr>
        <w:pStyle w:val="RECnormaltext"/>
      </w:pPr>
      <w:r>
        <w:t xml:space="preserve">More recently stockpiling of e-waste has become an issue with the </w:t>
      </w:r>
      <w:r w:rsidR="00B4094E">
        <w:t>changeover</w:t>
      </w:r>
      <w:r>
        <w:t xml:space="preserve"> of products such as CRT TVs. </w:t>
      </w:r>
    </w:p>
    <w:p w14:paraId="1EF52CC3" w14:textId="32B5DE91" w:rsidR="004F20CF" w:rsidRDefault="004F20CF" w:rsidP="00517290">
      <w:pPr>
        <w:pStyle w:val="RECnormaltext"/>
      </w:pPr>
      <w:r>
        <w:t>The analysis has assumed a limited stockpiling period for some wastes, such as end-of-life tyres and used lead acid batteries. After three years these wastes are assumed to be either recovered or permanently ‘lost’ to an unknown fate (tyres).</w:t>
      </w:r>
    </w:p>
    <w:p w14:paraId="3E181B7E" w14:textId="6CD1B54C" w:rsidR="00517290" w:rsidRPr="00517290" w:rsidRDefault="00517290" w:rsidP="00047982">
      <w:pPr>
        <w:pStyle w:val="NonTOCHeading3"/>
      </w:pPr>
      <w:r>
        <w:t xml:space="preserve">Contaminant types </w:t>
      </w:r>
    </w:p>
    <w:p w14:paraId="6349D4FC" w14:textId="7288478F" w:rsidR="00F027C3" w:rsidRDefault="00F027C3" w:rsidP="00F027C3">
      <w:pPr>
        <w:pStyle w:val="RECnormaltext"/>
      </w:pPr>
      <w:r>
        <w:t xml:space="preserve">Looking at the Controlled Waste NEPM codes by number of listings, the D codes (inorganics chemicals /metals) dominate making up 50%, followed by M codes (organic chemicals) and N codes (soils and sludges) at 14 % each.   </w:t>
      </w:r>
    </w:p>
    <w:p w14:paraId="173CC79F" w14:textId="704DD32C" w:rsidR="00517290" w:rsidRDefault="008F1F4C" w:rsidP="00047982">
      <w:pPr>
        <w:pStyle w:val="NonTOCHeading3"/>
      </w:pPr>
      <w:r>
        <w:t>R</w:t>
      </w:r>
      <w:r w:rsidR="00517290">
        <w:t>easons</w:t>
      </w:r>
      <w:r w:rsidR="00662396" w:rsidRPr="00662396">
        <w:t xml:space="preserve"> </w:t>
      </w:r>
      <w:r w:rsidR="009E10A0">
        <w:t xml:space="preserve">for </w:t>
      </w:r>
      <w:r w:rsidR="00662396">
        <w:t>stockpiling and long-term on-site storage</w:t>
      </w:r>
    </w:p>
    <w:p w14:paraId="7DA3B572" w14:textId="056C7FAD" w:rsidR="007F74BE" w:rsidRDefault="00B43C98" w:rsidP="00662396">
      <w:pPr>
        <w:pStyle w:val="RECnormaltext"/>
      </w:pPr>
      <w:r>
        <w:t>The most frequ</w:t>
      </w:r>
      <w:r w:rsidR="00C875D3">
        <w:t xml:space="preserve">ent </w:t>
      </w:r>
      <w:r w:rsidR="00E25CB3">
        <w:t xml:space="preserve">primary </w:t>
      </w:r>
      <w:r>
        <w:t>reason</w:t>
      </w:r>
      <w:r w:rsidR="00C875D3">
        <w:t xml:space="preserve"> identified for both stockpiling and long-term on-site storage was l</w:t>
      </w:r>
      <w:r w:rsidR="00C875D3" w:rsidRPr="00C875D3">
        <w:t>imited technical ability to treat</w:t>
      </w:r>
      <w:r w:rsidR="00C875D3">
        <w:t xml:space="preserve"> the waste type at around 30%.</w:t>
      </w:r>
      <w:r w:rsidR="00662396">
        <w:t xml:space="preserve"> This was listed almost twice as many times as financial costs of processing, lack of/unstable off-take market, </w:t>
      </w:r>
      <w:r w:rsidR="008761E7">
        <w:t xml:space="preserve">or </w:t>
      </w:r>
      <w:r w:rsidR="00662396">
        <w:t>processor market behaviour</w:t>
      </w:r>
      <w:r w:rsidR="00C875D3">
        <w:t xml:space="preserve"> </w:t>
      </w:r>
      <w:r w:rsidR="00662396">
        <w:t>which were all listed for about 15%</w:t>
      </w:r>
      <w:r>
        <w:t xml:space="preserve"> </w:t>
      </w:r>
      <w:r w:rsidR="00662396">
        <w:t>of the waste typ</w:t>
      </w:r>
      <w:r w:rsidR="00E25CB3">
        <w:t>es.</w:t>
      </w:r>
      <w:r w:rsidR="008F1F4C">
        <w:t xml:space="preserve"> </w:t>
      </w:r>
    </w:p>
    <w:p w14:paraId="5297070A" w14:textId="400BC4C8" w:rsidR="00517290" w:rsidRDefault="008F1F4C" w:rsidP="004A07A6">
      <w:pPr>
        <w:pStyle w:val="RECnormaltext"/>
      </w:pPr>
      <w:r>
        <w:t>Interestingly</w:t>
      </w:r>
      <w:r w:rsidR="00ED51D6">
        <w:t>,</w:t>
      </w:r>
      <w:r>
        <w:t xml:space="preserve"> a lack of regulation was listed as the most common secondary reason at almost 30%, followed by financial costs of processing at around 20%</w:t>
      </w:r>
      <w:r w:rsidR="004A07A6">
        <w:t xml:space="preserve"> and limited technical ability to treat, </w:t>
      </w:r>
      <w:r w:rsidR="00C85571">
        <w:t>and</w:t>
      </w:r>
      <w:r w:rsidR="004A07A6">
        <w:t xml:space="preserve"> processor market behaviour both at around 10%.</w:t>
      </w:r>
    </w:p>
    <w:p w14:paraId="75603E60" w14:textId="4130D7D7" w:rsidR="00C85571" w:rsidRDefault="00E71B93" w:rsidP="00C85571">
      <w:pPr>
        <w:pStyle w:val="RECnormaltext"/>
      </w:pPr>
      <w:r>
        <w:t xml:space="preserve">These results suggest that Australia’s waste management industry is well established enough to treat hazardous waste stockpiles, but is often limited by </w:t>
      </w:r>
      <w:r>
        <w:rPr>
          <w:u w:val="single"/>
        </w:rPr>
        <w:t>capabilities</w:t>
      </w:r>
      <w:r>
        <w:t xml:space="preserve">. More elaborate treatment capabilities typically require significant capital and have high gate fees. The results suggest a lack of regulatory drivers and controls for some waste could be impacting on the waste industries’ investment in additional capabilities. </w:t>
      </w:r>
    </w:p>
    <w:p w14:paraId="3F1C794D" w14:textId="47CEA4B6" w:rsidR="00517290" w:rsidRDefault="009E10A0" w:rsidP="00047982">
      <w:pPr>
        <w:pStyle w:val="NonTOCHeading3"/>
      </w:pPr>
      <w:r>
        <w:t>Generating i</w:t>
      </w:r>
      <w:r w:rsidR="00517290">
        <w:t>ndustry sectors</w:t>
      </w:r>
    </w:p>
    <w:p w14:paraId="2CEA4D2F" w14:textId="18B28459" w:rsidR="006A7582" w:rsidRPr="009E10A0" w:rsidRDefault="007A4231" w:rsidP="006A7582">
      <w:pPr>
        <w:rPr>
          <w:rFonts w:eastAsia="Times New Roman"/>
          <w:color w:val="auto"/>
          <w:lang w:eastAsia="en-AU"/>
        </w:rPr>
      </w:pPr>
      <w:r w:rsidRPr="009E10A0">
        <w:t>Around</w:t>
      </w:r>
      <w:r w:rsidR="00C00F93" w:rsidRPr="009E10A0">
        <w:t xml:space="preserve"> 30% of </w:t>
      </w:r>
      <w:r w:rsidRPr="009E10A0">
        <w:t xml:space="preserve">stockpiles and approved long-term on-site storages listed were generated by ANZSIC code 21 </w:t>
      </w:r>
      <w:r w:rsidRPr="009E10A0">
        <w:rPr>
          <w:rFonts w:eastAsia="Times New Roman"/>
          <w:i/>
          <w:color w:val="auto"/>
          <w:lang w:eastAsia="en-AU"/>
        </w:rPr>
        <w:t xml:space="preserve">Primary Metal and Metal Product Manufacturing </w:t>
      </w:r>
      <w:r w:rsidRPr="009E10A0">
        <w:rPr>
          <w:rFonts w:eastAsia="Times New Roman"/>
          <w:color w:val="auto"/>
          <w:lang w:eastAsia="en-AU"/>
        </w:rPr>
        <w:t>reflecting the high rate of NEPM ‘D’ waste type contamination.</w:t>
      </w:r>
      <w:r w:rsidR="006A7582" w:rsidRPr="009E10A0">
        <w:rPr>
          <w:rFonts w:eastAsia="Times New Roman"/>
          <w:color w:val="auto"/>
          <w:lang w:eastAsia="en-AU"/>
        </w:rPr>
        <w:t xml:space="preserve"> ANZSIC code 29 </w:t>
      </w:r>
      <w:r w:rsidR="006A7582" w:rsidRPr="009E10A0">
        <w:rPr>
          <w:rFonts w:eastAsia="Times New Roman"/>
          <w:i/>
          <w:color w:val="auto"/>
          <w:lang w:eastAsia="en-AU"/>
        </w:rPr>
        <w:t>Waste Collection, Treatment and Disposal Services</w:t>
      </w:r>
      <w:r w:rsidR="006A7582" w:rsidRPr="009E10A0">
        <w:rPr>
          <w:rFonts w:eastAsia="Times New Roman"/>
          <w:color w:val="auto"/>
          <w:lang w:eastAsia="en-AU"/>
        </w:rPr>
        <w:t xml:space="preserve"> accounted for around 20% of listing and code 7 </w:t>
      </w:r>
      <w:r w:rsidR="006A7582" w:rsidRPr="009E10A0">
        <w:rPr>
          <w:rFonts w:eastAsia="Times New Roman"/>
          <w:i/>
          <w:color w:val="auto"/>
          <w:lang w:eastAsia="en-AU"/>
        </w:rPr>
        <w:t>Oil and Gas Extraction</w:t>
      </w:r>
      <w:r w:rsidR="006A7582" w:rsidRPr="009E10A0">
        <w:rPr>
          <w:rFonts w:eastAsia="Times New Roman"/>
          <w:color w:val="auto"/>
          <w:lang w:eastAsia="en-AU"/>
        </w:rPr>
        <w:t xml:space="preserve"> accounted for around 15% of listing.</w:t>
      </w:r>
    </w:p>
    <w:bookmarkEnd w:id="214"/>
    <w:bookmarkEnd w:id="216"/>
    <w:p w14:paraId="63F235E4" w14:textId="39759093" w:rsidR="000C7154" w:rsidRDefault="000C7154" w:rsidP="00047982">
      <w:pPr>
        <w:pStyle w:val="NonTOCHeading3"/>
      </w:pPr>
      <w:r>
        <w:t>Missing stockpiles data</w:t>
      </w:r>
    </w:p>
    <w:p w14:paraId="030B82C8" w14:textId="77777777" w:rsidR="006F4F5A" w:rsidRDefault="006F4F5A" w:rsidP="006F4F5A">
      <w:pPr>
        <w:pStyle w:val="RECnormaltext"/>
      </w:pPr>
      <w:r>
        <w:t xml:space="preserve">This project aimed to build a baseline dataset and analysis and it was not expected that all stockpiles listed would have full account. </w:t>
      </w:r>
      <w:r w:rsidR="000C7154">
        <w:t>The stockpile number would likely be significantly higher if data were available for</w:t>
      </w:r>
      <w:r>
        <w:t>:</w:t>
      </w:r>
    </w:p>
    <w:p w14:paraId="2416F2AD" w14:textId="77777777" w:rsidR="006F4F5A" w:rsidRPr="006F4F5A" w:rsidRDefault="000C7154" w:rsidP="006F4F5A">
      <w:pPr>
        <w:pStyle w:val="RECdotpoint"/>
        <w:rPr>
          <w:rFonts w:eastAsia="Calibri"/>
        </w:rPr>
      </w:pPr>
      <w:r>
        <w:t>PFAS contaminated soils and groundwater in Australia</w:t>
      </w:r>
    </w:p>
    <w:p w14:paraId="2BB5E1DF" w14:textId="7F53C3D9" w:rsidR="003A02FF" w:rsidRDefault="003A02FF" w:rsidP="003A02FF">
      <w:pPr>
        <w:pStyle w:val="RECdotpoint"/>
      </w:pPr>
      <w:r>
        <w:t xml:space="preserve">Other mining and minerals </w:t>
      </w:r>
      <w:r w:rsidR="00E70169">
        <w:t>waste</w:t>
      </w:r>
      <w:r>
        <w:t xml:space="preserve"> that are not reported here.</w:t>
      </w:r>
    </w:p>
    <w:p w14:paraId="33E96177" w14:textId="16D5C03B" w:rsidR="000928BA" w:rsidRDefault="000928BA" w:rsidP="00047982">
      <w:pPr>
        <w:pStyle w:val="NonTOCHeading3"/>
      </w:pPr>
      <w:r>
        <w:t>Stockpile prevention, management and clearance p</w:t>
      </w:r>
      <w:r>
        <w:rPr>
          <w:rFonts w:eastAsia="Calibri"/>
        </w:rPr>
        <w:t>olicy in Australia</w:t>
      </w:r>
    </w:p>
    <w:p w14:paraId="768BF6FB" w14:textId="77777777" w:rsidR="00F54E66" w:rsidRPr="000928BA" w:rsidRDefault="00D76E97" w:rsidP="000928BA">
      <w:pPr>
        <w:pStyle w:val="RECnormaltext"/>
      </w:pPr>
      <w:r w:rsidRPr="000928BA">
        <w:t xml:space="preserve">Analysing the policy frameworks in Australia, the US and EU for stockpile prevention, management and clearance resulted in identifying a set of ‘key elements’ which </w:t>
      </w:r>
      <w:r w:rsidR="007E79DF" w:rsidRPr="000928BA">
        <w:t>allow</w:t>
      </w:r>
      <w:r w:rsidRPr="000928BA">
        <w:t>ed</w:t>
      </w:r>
      <w:r w:rsidR="007E79DF" w:rsidRPr="000928BA">
        <w:t xml:space="preserve"> for a targeted literature review and collation of comparable information across jurisdictions</w:t>
      </w:r>
      <w:r w:rsidR="00163747" w:rsidRPr="000928BA">
        <w:t xml:space="preserve">. This collation </w:t>
      </w:r>
      <w:r w:rsidR="007E79DF" w:rsidRPr="000928BA">
        <w:t>enable</w:t>
      </w:r>
      <w:r w:rsidRPr="000928BA">
        <w:t>d</w:t>
      </w:r>
      <w:r w:rsidR="007E79DF" w:rsidRPr="000928BA">
        <w:t xml:space="preserve"> the identification of </w:t>
      </w:r>
      <w:r w:rsidRPr="000928BA">
        <w:t>issues, innovations and o</w:t>
      </w:r>
      <w:r w:rsidR="007E79DF" w:rsidRPr="000928BA">
        <w:t>pportunities for improvement in how Australia prevents, manages and clears hazardous waste stockpiles</w:t>
      </w:r>
      <w:r w:rsidR="00B11D42" w:rsidRPr="000928BA">
        <w:t xml:space="preserve"> and </w:t>
      </w:r>
      <w:r w:rsidR="00B11D42" w:rsidRPr="000928BA">
        <w:fldChar w:fldCharType="begin"/>
      </w:r>
      <w:r w:rsidR="00B11D42" w:rsidRPr="000928BA">
        <w:instrText xml:space="preserve"> REF _Ref487161185 \h </w:instrText>
      </w:r>
      <w:r w:rsidR="000928BA">
        <w:instrText xml:space="preserve"> \* MERGEFORMAT </w:instrText>
      </w:r>
      <w:r w:rsidR="00B11D42" w:rsidRPr="000928BA">
        <w:fldChar w:fldCharType="separate"/>
      </w:r>
    </w:p>
    <w:p w14:paraId="08E6ECF5" w14:textId="73A4E765" w:rsidR="000928BA" w:rsidRPr="000928BA" w:rsidRDefault="00F54E66" w:rsidP="000928BA">
      <w:pPr>
        <w:pStyle w:val="RECnormaltext"/>
      </w:pPr>
      <w:r>
        <w:t xml:space="preserve">Table </w:t>
      </w:r>
      <w:r>
        <w:rPr>
          <w:noProof/>
        </w:rPr>
        <w:t>6</w:t>
      </w:r>
      <w:r w:rsidR="00B11D42" w:rsidRPr="000928BA">
        <w:fldChar w:fldCharType="end"/>
      </w:r>
      <w:r w:rsidR="00B11D42" w:rsidRPr="000928BA">
        <w:t xml:space="preserve"> provide</w:t>
      </w:r>
      <w:r w:rsidR="000928BA">
        <w:t>s</w:t>
      </w:r>
      <w:r w:rsidR="00B11D42" w:rsidRPr="000928BA">
        <w:t xml:space="preserve"> a summary.</w:t>
      </w:r>
      <w:bookmarkStart w:id="217" w:name="_Ref487161185"/>
    </w:p>
    <w:p w14:paraId="1C3A7E1D" w14:textId="31C6EC12" w:rsidR="00CF379A" w:rsidRPr="00CF379A" w:rsidRDefault="00795F48" w:rsidP="00CF379A">
      <w:pPr>
        <w:pStyle w:val="Caption"/>
      </w:pPr>
      <w:bookmarkStart w:id="218" w:name="_Toc532990273"/>
      <w:r>
        <w:t xml:space="preserve">Table </w:t>
      </w:r>
      <w:r w:rsidR="00B219C0">
        <w:rPr>
          <w:noProof/>
        </w:rPr>
        <w:fldChar w:fldCharType="begin"/>
      </w:r>
      <w:r w:rsidR="00B219C0">
        <w:rPr>
          <w:noProof/>
        </w:rPr>
        <w:instrText xml:space="preserve"> SEQ Table \* ARABIC </w:instrText>
      </w:r>
      <w:r w:rsidR="00B219C0">
        <w:rPr>
          <w:noProof/>
        </w:rPr>
        <w:fldChar w:fldCharType="separate"/>
      </w:r>
      <w:r w:rsidR="00F54E66">
        <w:rPr>
          <w:noProof/>
        </w:rPr>
        <w:t>6</w:t>
      </w:r>
      <w:r w:rsidR="00B219C0">
        <w:rPr>
          <w:noProof/>
        </w:rPr>
        <w:fldChar w:fldCharType="end"/>
      </w:r>
      <w:bookmarkEnd w:id="217"/>
      <w:r>
        <w:t xml:space="preserve"> Summary of </w:t>
      </w:r>
      <w:r w:rsidR="0015167F">
        <w:t>policy key elements and implementation</w:t>
      </w:r>
      <w:bookmarkEnd w:id="218"/>
      <w:r w:rsidR="0015167F">
        <w:t xml:space="preserve"> </w:t>
      </w:r>
    </w:p>
    <w:tbl>
      <w:tblPr>
        <w:tblStyle w:val="ListTable3-Accent3"/>
        <w:tblW w:w="5207" w:type="pct"/>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tblBorders>
        <w:tblLook w:val="04A0" w:firstRow="1" w:lastRow="0" w:firstColumn="1" w:lastColumn="0" w:noHBand="0" w:noVBand="1"/>
      </w:tblPr>
      <w:tblGrid>
        <w:gridCol w:w="2647"/>
        <w:gridCol w:w="6776"/>
      </w:tblGrid>
      <w:tr w:rsidR="00ED29EF" w:rsidRPr="00FE147B" w14:paraId="37D8FA77" w14:textId="77777777" w:rsidTr="00FE147B">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100" w:firstRow="0" w:lastRow="0" w:firstColumn="1" w:lastColumn="0" w:oddVBand="0" w:evenVBand="0" w:oddHBand="0" w:evenHBand="0" w:firstRowFirstColumn="1" w:firstRowLastColumn="0" w:lastRowFirstColumn="0" w:lastRowLastColumn="0"/>
            <w:tcW w:w="1058" w:type="pct"/>
            <w:tcBorders>
              <w:top w:val="nil"/>
            </w:tcBorders>
            <w:shd w:val="clear" w:color="auto" w:fill="7F7F7F" w:themeFill="text1" w:themeFillTint="80"/>
          </w:tcPr>
          <w:p w14:paraId="0A2BA230" w14:textId="6012CD8B" w:rsidR="00ED29EF" w:rsidRPr="00FE147B" w:rsidRDefault="00ED29EF" w:rsidP="00FE147B">
            <w:pPr>
              <w:spacing w:after="120"/>
              <w:rPr>
                <w:rFonts w:asciiTheme="minorHAnsi" w:hAnsiTheme="minorHAnsi" w:cstheme="minorHAnsi"/>
                <w:color w:val="FFFFFF" w:themeColor="background1"/>
                <w:sz w:val="20"/>
                <w:szCs w:val="20"/>
              </w:rPr>
            </w:pPr>
            <w:r w:rsidRPr="00FE147B">
              <w:rPr>
                <w:rFonts w:asciiTheme="minorHAnsi" w:hAnsiTheme="minorHAnsi" w:cstheme="minorHAnsi"/>
                <w:color w:val="FFFFFF" w:themeColor="background1"/>
                <w:sz w:val="20"/>
                <w:szCs w:val="20"/>
              </w:rPr>
              <w:t>Key element</w:t>
            </w:r>
          </w:p>
        </w:tc>
        <w:tc>
          <w:tcPr>
            <w:tcW w:w="3942" w:type="pct"/>
            <w:tcBorders>
              <w:top w:val="nil"/>
              <w:bottom w:val="single" w:sz="4" w:space="0" w:color="FFFFFF" w:themeColor="background1"/>
            </w:tcBorders>
            <w:shd w:val="clear" w:color="auto" w:fill="7F7F7F" w:themeFill="text1" w:themeFillTint="80"/>
          </w:tcPr>
          <w:p w14:paraId="7D4414A5" w14:textId="3B786DBE" w:rsidR="00ED29EF" w:rsidRPr="00FE147B" w:rsidRDefault="00ED29EF" w:rsidP="00FE147B">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FE147B">
              <w:rPr>
                <w:rFonts w:asciiTheme="minorHAnsi" w:hAnsiTheme="minorHAnsi" w:cstheme="minorHAnsi"/>
                <w:color w:val="FFFFFF" w:themeColor="background1"/>
                <w:sz w:val="20"/>
                <w:szCs w:val="20"/>
              </w:rPr>
              <w:t>Discussion</w:t>
            </w:r>
            <w:r w:rsidR="00FE147B">
              <w:rPr>
                <w:rFonts w:asciiTheme="minorHAnsi" w:hAnsiTheme="minorHAnsi" w:cstheme="minorHAnsi"/>
                <w:color w:val="FFFFFF" w:themeColor="background1"/>
                <w:sz w:val="20"/>
                <w:szCs w:val="20"/>
              </w:rPr>
              <w:t>/findings</w:t>
            </w:r>
          </w:p>
        </w:tc>
      </w:tr>
      <w:tr w:rsidR="00ED29EF" w:rsidRPr="00FE147B" w14:paraId="18F98BB8"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9A3A26F"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Generator hazardous waste minimisation reporting required</w:t>
            </w:r>
          </w:p>
        </w:tc>
        <w:tc>
          <w:tcPr>
            <w:tcW w:w="3942" w:type="pct"/>
            <w:tcBorders>
              <w:left w:val="single" w:sz="4" w:space="0" w:color="7F7F7F" w:themeColor="text1" w:themeTint="80"/>
            </w:tcBorders>
          </w:tcPr>
          <w:p w14:paraId="5E74DD49" w14:textId="77777777" w:rsidR="00ED29EF" w:rsidRDefault="00ED29E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Hazardous waste minimisation plans are not required in Australia. However, the waste hierarchy is legislated in all jurisdictions, which prioritises waste minimisation. Note: US EPA have set up a sliding scale of requirements for waste minimisation, </w:t>
            </w:r>
            <w:r w:rsidRPr="00FE147B">
              <w:rPr>
                <w:rFonts w:asciiTheme="minorHAnsi" w:hAnsiTheme="minorHAnsi" w:cstheme="minorHAnsi"/>
                <w:sz w:val="20"/>
                <w:szCs w:val="20"/>
                <w:u w:val="single"/>
              </w:rPr>
              <w:t>and all other elements discussed below</w:t>
            </w:r>
            <w:r w:rsidRPr="00FE147B">
              <w:rPr>
                <w:rFonts w:asciiTheme="minorHAnsi" w:hAnsiTheme="minorHAnsi" w:cstheme="minorHAnsi"/>
                <w:sz w:val="20"/>
                <w:szCs w:val="20"/>
              </w:rPr>
              <w:t xml:space="preserve">, based on the amount </w:t>
            </w:r>
            <w:r w:rsidRPr="00FE147B">
              <w:rPr>
                <w:rFonts w:asciiTheme="minorHAnsi" w:hAnsiTheme="minorHAnsi" w:cstheme="minorHAnsi"/>
                <w:b/>
                <w:sz w:val="20"/>
                <w:szCs w:val="20"/>
              </w:rPr>
              <w:t xml:space="preserve">and </w:t>
            </w:r>
            <w:r w:rsidRPr="00FE147B">
              <w:rPr>
                <w:rFonts w:asciiTheme="minorHAnsi" w:hAnsiTheme="minorHAnsi" w:cstheme="minorHAnsi"/>
                <w:sz w:val="20"/>
                <w:szCs w:val="20"/>
              </w:rPr>
              <w:t>toxicity of the waste being stockpiled.</w:t>
            </w:r>
          </w:p>
          <w:p w14:paraId="08720369" w14:textId="3C6DE19B" w:rsidR="00B5664E" w:rsidRPr="00FE147B" w:rsidRDefault="00B5664E"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ED29EF" w:rsidRPr="00FE147B" w14:paraId="44960CEC"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3871CAA4" w14:textId="77777777" w:rsidR="00ED29EF" w:rsidRPr="00FE147B" w:rsidRDefault="00ED29EF" w:rsidP="009301C6">
            <w:pPr>
              <w:pStyle w:val="ListParagraph"/>
              <w:numPr>
                <w:ilvl w:val="0"/>
                <w:numId w:val="91"/>
              </w:numPr>
              <w:ind w:left="284"/>
              <w:rPr>
                <w:rFonts w:cstheme="minorHAnsi"/>
                <w:sz w:val="20"/>
                <w:szCs w:val="20"/>
              </w:rPr>
            </w:pPr>
            <w:r w:rsidRPr="00FE147B">
              <w:rPr>
                <w:rFonts w:cstheme="minorHAnsi"/>
                <w:sz w:val="20"/>
                <w:szCs w:val="20"/>
              </w:rPr>
              <w:t>Licence/permit required to stockpile hazardous waste</w:t>
            </w:r>
          </w:p>
        </w:tc>
        <w:tc>
          <w:tcPr>
            <w:tcW w:w="3942" w:type="pct"/>
            <w:tcBorders>
              <w:left w:val="single" w:sz="4" w:space="0" w:color="7F7F7F" w:themeColor="text1" w:themeTint="80"/>
            </w:tcBorders>
          </w:tcPr>
          <w:p w14:paraId="7D2C3564" w14:textId="77777777" w:rsidR="00ED29EF" w:rsidRDefault="00ED29EF"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In all Australian jurisdictions and in many developed countries sites that are generating and/or stockpiling hazardous wastes (such as liquid wastes and chemically intractable solid wastes) are required to have an environmental permit or licence in place. </w:t>
            </w:r>
          </w:p>
          <w:p w14:paraId="220F6B59" w14:textId="6DC01681" w:rsidR="00B5664E" w:rsidRPr="00FE147B" w:rsidRDefault="00B5664E"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ED29EF" w:rsidRPr="00FE147B" w14:paraId="2DC4B12A" w14:textId="77777777" w:rsidTr="00FE147B">
        <w:trPr>
          <w:cnfStyle w:val="000000100000" w:firstRow="0" w:lastRow="0" w:firstColumn="0" w:lastColumn="0" w:oddVBand="0" w:evenVBand="0" w:oddHBand="1" w:evenHBand="0" w:firstRowFirstColumn="0" w:firstRowLastColumn="0" w:lastRowFirstColumn="0" w:lastRowLastColumn="0"/>
          <w:cantSplit/>
          <w:trHeight w:val="637"/>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4B7AA089" w14:textId="77777777" w:rsidR="00ED29EF" w:rsidRPr="00FE147B" w:rsidRDefault="00ED29EF" w:rsidP="009301C6">
            <w:pPr>
              <w:pStyle w:val="ListParagraph"/>
              <w:numPr>
                <w:ilvl w:val="1"/>
                <w:numId w:val="91"/>
              </w:numPr>
              <w:ind w:left="567"/>
              <w:rPr>
                <w:rFonts w:cstheme="minorHAnsi"/>
                <w:sz w:val="20"/>
                <w:szCs w:val="20"/>
              </w:rPr>
            </w:pPr>
            <w:r w:rsidRPr="00FE147B">
              <w:rPr>
                <w:rFonts w:cstheme="minorHAnsi"/>
                <w:sz w:val="20"/>
                <w:szCs w:val="20"/>
              </w:rPr>
              <w:t>EOLT licence required to stockpile</w:t>
            </w:r>
          </w:p>
        </w:tc>
        <w:tc>
          <w:tcPr>
            <w:tcW w:w="3942" w:type="pct"/>
            <w:tcBorders>
              <w:left w:val="single" w:sz="4" w:space="0" w:color="7F7F7F" w:themeColor="text1" w:themeTint="80"/>
            </w:tcBorders>
          </w:tcPr>
          <w:p w14:paraId="47DE147C" w14:textId="77777777" w:rsidR="00ED29EF" w:rsidRPr="00FE147B" w:rsidRDefault="00ED29E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EOLT stockpiling is licensed in all Australian jurisdictions apart from Qld and Tas. However, the thresholds of storage that are regulated vary significantly from about 1 tonne in WA up to 40 tonnes in Vic. Both SA and NSW regulate storage of EOLT stockpiles of 5 tonnes.</w:t>
            </w:r>
          </w:p>
        </w:tc>
      </w:tr>
      <w:tr w:rsidR="00ED29EF" w:rsidRPr="00FE147B" w14:paraId="0C9B077F" w14:textId="77777777" w:rsidTr="00FE147B">
        <w:trPr>
          <w:trHeight w:val="802"/>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7B60149E" w14:textId="41CC56BC" w:rsidR="00ED29EF" w:rsidRPr="00FE147B" w:rsidRDefault="00ED29EF" w:rsidP="009301C6">
            <w:pPr>
              <w:pStyle w:val="ListParagraph"/>
              <w:numPr>
                <w:ilvl w:val="1"/>
                <w:numId w:val="91"/>
              </w:numPr>
              <w:ind w:left="567"/>
              <w:rPr>
                <w:rFonts w:cstheme="minorHAnsi"/>
                <w:sz w:val="20"/>
                <w:szCs w:val="20"/>
              </w:rPr>
            </w:pPr>
            <w:r w:rsidRPr="00FE147B">
              <w:rPr>
                <w:rFonts w:cstheme="minorHAnsi"/>
                <w:sz w:val="20"/>
                <w:szCs w:val="20"/>
              </w:rPr>
              <w:t>‘Mass balance’ reporting and upfront landfill levy liability to receive wastes</w:t>
            </w:r>
          </w:p>
        </w:tc>
        <w:tc>
          <w:tcPr>
            <w:tcW w:w="3942" w:type="pct"/>
            <w:tcBorders>
              <w:left w:val="single" w:sz="4" w:space="0" w:color="7F7F7F" w:themeColor="text1" w:themeTint="80"/>
            </w:tcBorders>
          </w:tcPr>
          <w:p w14:paraId="3F27C1A2" w14:textId="77777777" w:rsidR="00ED29EF" w:rsidRDefault="00ED29EF"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NSW is the only Australian jurisdiction to have implemented ‘mass balance’ reporting and upfront levy payment for waste stockpiles. SA is likely to implement a similar system in 2017. The landfill levy is payable if: the stockpile of material remains unprocessed for 12-months; is stockpiled above lawful limits; waste is transported for unlawful disposal.</w:t>
            </w:r>
          </w:p>
          <w:p w14:paraId="76C20732" w14:textId="50D2B99E" w:rsidR="00B5664E" w:rsidRPr="00FE147B" w:rsidRDefault="00B5664E"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ED29EF" w:rsidRPr="00FE147B" w14:paraId="6577C02F"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327B5034" w14:textId="77777777" w:rsidR="00ED29EF" w:rsidRPr="00FE147B" w:rsidRDefault="00ED29EF" w:rsidP="009301C6">
            <w:pPr>
              <w:pStyle w:val="ListParagraph"/>
              <w:numPr>
                <w:ilvl w:val="0"/>
                <w:numId w:val="91"/>
              </w:numPr>
              <w:ind w:left="284"/>
              <w:rPr>
                <w:rFonts w:cstheme="minorHAnsi"/>
                <w:sz w:val="20"/>
                <w:szCs w:val="20"/>
              </w:rPr>
            </w:pPr>
            <w:r w:rsidRPr="00FE147B">
              <w:rPr>
                <w:rFonts w:cstheme="minorHAnsi"/>
                <w:sz w:val="20"/>
                <w:szCs w:val="20"/>
              </w:rPr>
              <w:t>Hazardous waste tracking (transport and receipt)</w:t>
            </w:r>
          </w:p>
        </w:tc>
        <w:tc>
          <w:tcPr>
            <w:tcW w:w="3942" w:type="pct"/>
            <w:tcBorders>
              <w:left w:val="single" w:sz="4" w:space="0" w:color="7F7F7F" w:themeColor="text1" w:themeTint="80"/>
            </w:tcBorders>
          </w:tcPr>
          <w:p w14:paraId="20C19C20" w14:textId="77777777" w:rsidR="00ED29EF" w:rsidRDefault="00ED29E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All Australian jurisdictions, apart from ACT, Tas, NT, and many developed countries track the collection, transport, and receipt of hazardous wastes (such as liquid wastes and chemically intractable solid wastes). </w:t>
            </w:r>
          </w:p>
          <w:p w14:paraId="53184765" w14:textId="76045F1C" w:rsidR="00B5664E" w:rsidRPr="00FE147B" w:rsidRDefault="00B5664E"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ED29EF" w:rsidRPr="00FE147B" w14:paraId="4A3794E2"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3E14CAC1" w14:textId="77777777" w:rsidR="00ED29EF" w:rsidRPr="00FE147B" w:rsidRDefault="00ED29EF" w:rsidP="009301C6">
            <w:pPr>
              <w:pStyle w:val="ListParagraph"/>
              <w:numPr>
                <w:ilvl w:val="1"/>
                <w:numId w:val="91"/>
              </w:numPr>
              <w:ind w:left="567"/>
              <w:rPr>
                <w:rFonts w:cstheme="minorHAnsi"/>
                <w:bCs w:val="0"/>
                <w:sz w:val="20"/>
                <w:szCs w:val="20"/>
              </w:rPr>
            </w:pPr>
            <w:r w:rsidRPr="00FE147B">
              <w:rPr>
                <w:rFonts w:cstheme="minorHAnsi"/>
                <w:sz w:val="20"/>
                <w:szCs w:val="20"/>
              </w:rPr>
              <w:t>EOLT tracking (transport and receipt)</w:t>
            </w:r>
          </w:p>
        </w:tc>
        <w:tc>
          <w:tcPr>
            <w:tcW w:w="3942" w:type="pct"/>
            <w:tcBorders>
              <w:left w:val="single" w:sz="4" w:space="0" w:color="7F7F7F" w:themeColor="text1" w:themeTint="80"/>
            </w:tcBorders>
          </w:tcPr>
          <w:p w14:paraId="1BCC2FCF" w14:textId="77777777" w:rsidR="00ED29EF" w:rsidRDefault="00ED29EF"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EOLTs collection, transport and receipt is tracked in NSW, Qld, SA and WA only. ACT, Tas, NT and Vic do not track EOLTs. Vic is the only large and populous state in Australia that do not track EOLT and this has likely contributed to the significant stockpiling issue for EOLT in Vic.</w:t>
            </w:r>
          </w:p>
          <w:p w14:paraId="193CBD51" w14:textId="749BE5CF" w:rsidR="00B5664E" w:rsidRPr="00FE147B" w:rsidRDefault="00B5664E"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ED29EF" w:rsidRPr="00FE147B" w14:paraId="1D09C2A7"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51576E61" w14:textId="77777777" w:rsidR="00ED29EF" w:rsidRPr="00FE147B" w:rsidRDefault="00ED29EF" w:rsidP="009301C6">
            <w:pPr>
              <w:pStyle w:val="ListParagraph"/>
              <w:numPr>
                <w:ilvl w:val="0"/>
                <w:numId w:val="91"/>
              </w:numPr>
              <w:rPr>
                <w:rFonts w:cstheme="minorHAnsi"/>
                <w:sz w:val="20"/>
                <w:szCs w:val="20"/>
              </w:rPr>
            </w:pPr>
            <w:r w:rsidRPr="00FE147B">
              <w:rPr>
                <w:sz w:val="20"/>
                <w:szCs w:val="20"/>
              </w:rPr>
              <w:t xml:space="preserve">Enforcement against illegal dumping </w:t>
            </w:r>
          </w:p>
        </w:tc>
        <w:tc>
          <w:tcPr>
            <w:tcW w:w="3942" w:type="pct"/>
            <w:tcBorders>
              <w:left w:val="single" w:sz="4" w:space="0" w:color="7F7F7F" w:themeColor="text1" w:themeTint="80"/>
            </w:tcBorders>
          </w:tcPr>
          <w:p w14:paraId="715E1F7F" w14:textId="77777777" w:rsidR="00ED29EF" w:rsidRDefault="00ED29E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A dedicated resource to enforce against illegal dumping was only identified in NSW, SA and Vic. We note that all states have the ability to fine or prosecute offenders, however, this element refers to dedicated resources to actively find and prosecute offenders. </w:t>
            </w:r>
          </w:p>
          <w:p w14:paraId="533E6DDE" w14:textId="75058F7A" w:rsidR="00B5664E" w:rsidRPr="00FE147B" w:rsidRDefault="00B5664E"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ED29EF" w:rsidRPr="00FE147B" w14:paraId="687D3656"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1A7D54D1" w14:textId="77777777" w:rsidR="00ED29EF" w:rsidRPr="00FE147B" w:rsidRDefault="00ED29EF" w:rsidP="009301C6">
            <w:pPr>
              <w:pStyle w:val="ListParagraph"/>
              <w:numPr>
                <w:ilvl w:val="1"/>
                <w:numId w:val="91"/>
              </w:numPr>
              <w:ind w:left="567"/>
              <w:rPr>
                <w:sz w:val="20"/>
                <w:szCs w:val="20"/>
              </w:rPr>
            </w:pPr>
            <w:r w:rsidRPr="00FE147B">
              <w:rPr>
                <w:rFonts w:cstheme="minorHAnsi"/>
                <w:sz w:val="20"/>
                <w:szCs w:val="20"/>
              </w:rPr>
              <w:t>Specific policy to recover illegally obtained economic benefit from stockpiling</w:t>
            </w:r>
          </w:p>
        </w:tc>
        <w:tc>
          <w:tcPr>
            <w:tcW w:w="3942" w:type="pct"/>
            <w:tcBorders>
              <w:left w:val="single" w:sz="4" w:space="0" w:color="7F7F7F" w:themeColor="text1" w:themeTint="80"/>
            </w:tcBorders>
          </w:tcPr>
          <w:p w14:paraId="3210A9B4" w14:textId="77777777" w:rsidR="00ED29EF" w:rsidRDefault="00ED29EF"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South Australia is proposing to introduce specific policy that will outline the specific circumstances, method and process for the recovery of funds from illegal stockpiling. This should be a more effective deterrent than a general head of power to recover profits made from ‘breaking the law’. </w:t>
            </w:r>
          </w:p>
          <w:p w14:paraId="5D2ED3B9" w14:textId="590F111F" w:rsidR="00B5664E" w:rsidRPr="00FE147B" w:rsidRDefault="00B5664E"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ED29EF" w:rsidRPr="00FE147B" w14:paraId="2B77904F"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269A6666" w14:textId="77777777" w:rsidR="00ED29EF" w:rsidRPr="00FE147B" w:rsidRDefault="00ED29EF" w:rsidP="009301C6">
            <w:pPr>
              <w:pStyle w:val="ListParagraph"/>
              <w:numPr>
                <w:ilvl w:val="0"/>
                <w:numId w:val="91"/>
              </w:numPr>
              <w:rPr>
                <w:rFonts w:cstheme="minorHAnsi"/>
                <w:sz w:val="20"/>
                <w:szCs w:val="20"/>
              </w:rPr>
            </w:pPr>
            <w:r w:rsidRPr="00FE147B">
              <w:rPr>
                <w:sz w:val="20"/>
                <w:szCs w:val="20"/>
              </w:rPr>
              <w:t xml:space="preserve">Landfill levy </w:t>
            </w:r>
          </w:p>
        </w:tc>
        <w:tc>
          <w:tcPr>
            <w:tcW w:w="3942" w:type="pct"/>
            <w:tcBorders>
              <w:left w:val="single" w:sz="4" w:space="0" w:color="7F7F7F" w:themeColor="text1" w:themeTint="80"/>
            </w:tcBorders>
          </w:tcPr>
          <w:p w14:paraId="09644813" w14:textId="0F035BE8" w:rsidR="0015167F" w:rsidRDefault="00ED29E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Most jurisdictions have a landfill levy in place, Qld, Tas, and NT do not. The cost of landfilling in Qld, Tas, and NT is therefore </w:t>
            </w:r>
            <w:r w:rsidR="0015167F">
              <w:rPr>
                <w:rFonts w:asciiTheme="minorHAnsi" w:hAnsiTheme="minorHAnsi" w:cstheme="minorHAnsi"/>
                <w:sz w:val="20"/>
                <w:szCs w:val="20"/>
              </w:rPr>
              <w:t xml:space="preserve">generally </w:t>
            </w:r>
            <w:r w:rsidRPr="00FE147B">
              <w:rPr>
                <w:rFonts w:asciiTheme="minorHAnsi" w:hAnsiTheme="minorHAnsi" w:cstheme="minorHAnsi"/>
                <w:sz w:val="20"/>
                <w:szCs w:val="20"/>
              </w:rPr>
              <w:t>cheaper than other states.</w:t>
            </w:r>
            <w:r w:rsidR="0015167F">
              <w:rPr>
                <w:rFonts w:asciiTheme="minorHAnsi" w:hAnsiTheme="minorHAnsi" w:cstheme="minorHAnsi"/>
                <w:sz w:val="20"/>
                <w:szCs w:val="20"/>
              </w:rPr>
              <w:t xml:space="preserve"> </w:t>
            </w:r>
          </w:p>
          <w:p w14:paraId="0EE97C92" w14:textId="77777777" w:rsidR="0015167F" w:rsidRDefault="0015167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96A549F" w14:textId="77777777" w:rsidR="0015167F" w:rsidRDefault="0015167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5167F">
              <w:rPr>
                <w:rFonts w:asciiTheme="minorHAnsi" w:hAnsiTheme="minorHAnsi" w:cstheme="minorHAnsi"/>
                <w:b/>
                <w:sz w:val="20"/>
                <w:szCs w:val="20"/>
              </w:rPr>
              <w:t>Asbestos levy</w:t>
            </w:r>
            <w:r>
              <w:rPr>
                <w:rFonts w:asciiTheme="minorHAnsi" w:hAnsiTheme="minorHAnsi" w:cstheme="minorHAnsi"/>
                <w:sz w:val="20"/>
                <w:szCs w:val="20"/>
              </w:rPr>
              <w:t>: i</w:t>
            </w:r>
            <w:r w:rsidRPr="0015167F">
              <w:rPr>
                <w:rFonts w:asciiTheme="minorHAnsi" w:hAnsiTheme="minorHAnsi" w:cstheme="minorHAnsi"/>
                <w:sz w:val="20"/>
                <w:szCs w:val="20"/>
              </w:rPr>
              <w:t>t is widely accepted that the best fate for waste asbestos is disposal to a licensed landfill. Government policy settings should to be set to encourage the safe disposal of asbestos to a licensed landfill. WA and SA (since July 2017) have implemented a $0 landfill levy for waste asbestos containing material (ACM) (e.g. roofing, cement sheeting) disposal. All other jurisdictions with a landfill levy (Vic, NSW) still levy waste asbestos disposal to landfill. ACT landfill fees also apply to waste asbestos loads.</w:t>
            </w:r>
          </w:p>
          <w:p w14:paraId="1A96EFBB" w14:textId="50716631" w:rsidR="00ED29EF" w:rsidRPr="00FE147B" w:rsidRDefault="00ED29E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ED29EF" w:rsidRPr="00FE147B" w14:paraId="7DC0B3F2"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7404C31"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Stockpile quantity limits set for all sites</w:t>
            </w:r>
          </w:p>
        </w:tc>
        <w:tc>
          <w:tcPr>
            <w:tcW w:w="3942" w:type="pct"/>
            <w:tcBorders>
              <w:left w:val="single" w:sz="4" w:space="0" w:color="7F7F7F" w:themeColor="text1" w:themeTint="80"/>
            </w:tcBorders>
          </w:tcPr>
          <w:p w14:paraId="3DDA60CF" w14:textId="77777777" w:rsidR="00ED29EF" w:rsidRPr="00FE147B" w:rsidRDefault="00ED29EF" w:rsidP="00FE147B">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US EPA set a limit of 6 tonnes for storage from small quantity generators and have no limit for large generators. NSW and SA (under proposed reforms) set the limits on a case by case basis, depending on the waste type.</w:t>
            </w:r>
          </w:p>
        </w:tc>
      </w:tr>
      <w:tr w:rsidR="00ED29EF" w:rsidRPr="00FE147B" w14:paraId="68A7EAA9"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4C44771" w14:textId="77777777" w:rsidR="00ED29EF" w:rsidRPr="00FE147B" w:rsidRDefault="00ED29EF" w:rsidP="009301C6">
            <w:pPr>
              <w:pStyle w:val="ListParagraph"/>
              <w:numPr>
                <w:ilvl w:val="1"/>
                <w:numId w:val="91"/>
              </w:numPr>
              <w:ind w:left="567"/>
              <w:rPr>
                <w:rFonts w:cstheme="minorHAnsi"/>
                <w:sz w:val="20"/>
                <w:szCs w:val="20"/>
              </w:rPr>
            </w:pPr>
            <w:r w:rsidRPr="00FE147B">
              <w:rPr>
                <w:rFonts w:cstheme="minorHAnsi"/>
                <w:sz w:val="20"/>
                <w:szCs w:val="20"/>
              </w:rPr>
              <w:t>EOLT stockpile quantity limit set for all sites</w:t>
            </w:r>
          </w:p>
        </w:tc>
        <w:tc>
          <w:tcPr>
            <w:tcW w:w="3942" w:type="pct"/>
            <w:tcBorders>
              <w:left w:val="single" w:sz="4" w:space="0" w:color="7F7F7F" w:themeColor="text1" w:themeTint="80"/>
            </w:tcBorders>
          </w:tcPr>
          <w:p w14:paraId="59889ACF" w14:textId="2CF424AB" w:rsidR="00ED29EF" w:rsidRPr="00FE147B" w:rsidRDefault="00ED29EF" w:rsidP="00FE147B">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ACT set a tonnage limit of 25 for EOLT storage, Vic sets a limit on the volume of EOLT that can be stockpiled, NSW and SA set the limit within the site license.</w:t>
            </w:r>
          </w:p>
        </w:tc>
      </w:tr>
      <w:tr w:rsidR="00ED29EF" w:rsidRPr="00FE147B" w14:paraId="4E86BD7F"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0CE25214"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Stockpiling time limits set for all sites</w:t>
            </w:r>
          </w:p>
        </w:tc>
        <w:tc>
          <w:tcPr>
            <w:tcW w:w="3942" w:type="pct"/>
            <w:tcBorders>
              <w:left w:val="single" w:sz="4" w:space="0" w:color="7F7F7F" w:themeColor="text1" w:themeTint="80"/>
            </w:tcBorders>
          </w:tcPr>
          <w:p w14:paraId="70E64F8D" w14:textId="77777777" w:rsidR="00ED29EF" w:rsidRPr="00FE147B" w:rsidRDefault="00ED29EF" w:rsidP="00FE147B">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US EPA sets explicit time limits on stockpiling of 90 days for large generators and for small generators 180 days or 270 days (if transporting greater than 200 miles). NSW and SA (under proposed reforms) require payment of landfill levy after 12 months. Whilst this is not a time limit per se, after this time the NSW and SA would be able to require removal of the material from the site, as it is effectively being treated as a waste disposed to landfill.</w:t>
            </w:r>
          </w:p>
        </w:tc>
      </w:tr>
      <w:tr w:rsidR="00ED29EF" w:rsidRPr="00FE147B" w14:paraId="281E4FD2"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222092EC"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Reporting required on stockpile status and change</w:t>
            </w:r>
          </w:p>
        </w:tc>
        <w:tc>
          <w:tcPr>
            <w:tcW w:w="3942" w:type="pct"/>
            <w:tcBorders>
              <w:left w:val="single" w:sz="4" w:space="0" w:color="7F7F7F" w:themeColor="text1" w:themeTint="80"/>
            </w:tcBorders>
          </w:tcPr>
          <w:p w14:paraId="0162031E" w14:textId="77777777" w:rsidR="00ED29EF" w:rsidRPr="00FE147B" w:rsidRDefault="00ED29EF" w:rsidP="00FE147B">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NSW and SA (under proposed reforms) require annual report of stockpile status under the mass balance and upfront levy liability framework. US EPA require biannual reporting from large generators and Wales in the UK require sites to apply for a new permit to stockpile wastes every 12 months, effectively requiring annual reporting.</w:t>
            </w:r>
          </w:p>
        </w:tc>
      </w:tr>
      <w:tr w:rsidR="00ED29EF" w:rsidRPr="00FE147B" w14:paraId="7E460DF2"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2DE8EE6D"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Stockpile site controls required</w:t>
            </w:r>
          </w:p>
        </w:tc>
        <w:tc>
          <w:tcPr>
            <w:tcW w:w="3942" w:type="pct"/>
            <w:tcBorders>
              <w:left w:val="single" w:sz="4" w:space="0" w:color="7F7F7F" w:themeColor="text1" w:themeTint="80"/>
            </w:tcBorders>
          </w:tcPr>
          <w:p w14:paraId="28F947D9" w14:textId="77777777" w:rsidR="00ED29EF" w:rsidRPr="00FE147B" w:rsidRDefault="00ED29EF" w:rsidP="00FE147B">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All jurisdictions in Australia and most developed countries have stockpile site control requirements in place. Controls including bunding for liquid waste, dust control, and prohibition on mixing or diluting hazardous wastes. Whilst these requirements are common, how effectively they are enforced varies significantly.</w:t>
            </w:r>
          </w:p>
        </w:tc>
      </w:tr>
      <w:tr w:rsidR="00ED29EF" w:rsidRPr="00FE147B" w14:paraId="46C7FB75"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091ED01"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Emergency plan required for stockpiles</w:t>
            </w:r>
          </w:p>
        </w:tc>
        <w:tc>
          <w:tcPr>
            <w:tcW w:w="3942" w:type="pct"/>
            <w:tcBorders>
              <w:left w:val="single" w:sz="4" w:space="0" w:color="7F7F7F" w:themeColor="text1" w:themeTint="80"/>
            </w:tcBorders>
          </w:tcPr>
          <w:p w14:paraId="1F52CE7B" w14:textId="77777777" w:rsidR="00ED29EF" w:rsidRPr="00FE147B" w:rsidRDefault="00ED29EF" w:rsidP="00FE147B">
            <w:pPr>
              <w:tabs>
                <w:tab w:val="num" w:pos="7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US EPA is the only jurisdiction that has published required emergency planning for hazardous waste generators for stockpiles. SA provide some guidance for emergency planning and NSW EPA commented that it is required in licences for higher risk sites. However, no Australian jurisdiction has published requirements for emergency planning for stockpiles, including specification of minimum equipment onsite, maintenance, and planning with local emergency departments.</w:t>
            </w:r>
          </w:p>
        </w:tc>
      </w:tr>
      <w:tr w:rsidR="00ED29EF" w:rsidRPr="00FE147B" w14:paraId="2641A3C0"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010688E1" w14:textId="77777777" w:rsidR="00ED29EF" w:rsidRPr="00FE147B" w:rsidRDefault="00ED29EF" w:rsidP="009301C6">
            <w:pPr>
              <w:pStyle w:val="ListParagraph"/>
              <w:numPr>
                <w:ilvl w:val="1"/>
                <w:numId w:val="91"/>
              </w:numPr>
              <w:ind w:left="567"/>
              <w:rPr>
                <w:rFonts w:cstheme="minorHAnsi"/>
                <w:sz w:val="20"/>
                <w:szCs w:val="20"/>
              </w:rPr>
            </w:pPr>
            <w:r w:rsidRPr="00FE147B">
              <w:rPr>
                <w:rFonts w:cstheme="minorHAnsi"/>
                <w:sz w:val="20"/>
                <w:szCs w:val="20"/>
              </w:rPr>
              <w:t>EOLT fire plan required</w:t>
            </w:r>
          </w:p>
        </w:tc>
        <w:tc>
          <w:tcPr>
            <w:tcW w:w="3942" w:type="pct"/>
            <w:tcBorders>
              <w:left w:val="single" w:sz="4" w:space="0" w:color="7F7F7F" w:themeColor="text1" w:themeTint="80"/>
            </w:tcBorders>
          </w:tcPr>
          <w:p w14:paraId="488B6229" w14:textId="77777777" w:rsidR="00ED29EF" w:rsidRPr="00FE147B" w:rsidRDefault="00ED29EF" w:rsidP="00FE147B">
            <w:pPr>
              <w:tabs>
                <w:tab w:val="num" w:pos="72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Vic, Qld, SA and NSW all have guidelines and or requirements in place to prevent and manage fire at EOLT stockpiling sites. No guidance or requirement was identified in ACT, NT, Tas, or WA to specifically manage the risk of fire at EOLT sites.</w:t>
            </w:r>
          </w:p>
        </w:tc>
      </w:tr>
      <w:tr w:rsidR="00ED29EF" w:rsidRPr="00FE147B" w14:paraId="37A6D8BC" w14:textId="77777777" w:rsidTr="00FE1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6C8E2514"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Financial assurance for site clean-up</w:t>
            </w:r>
          </w:p>
        </w:tc>
        <w:tc>
          <w:tcPr>
            <w:tcW w:w="3942" w:type="pct"/>
            <w:tcBorders>
              <w:left w:val="single" w:sz="4" w:space="0" w:color="7F7F7F" w:themeColor="text1" w:themeTint="80"/>
            </w:tcBorders>
          </w:tcPr>
          <w:p w14:paraId="670EA397" w14:textId="1F1A57E0" w:rsidR="00ED29EF" w:rsidRPr="00FE147B" w:rsidRDefault="00ED29EF" w:rsidP="00FE1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The US EPA, under US Code of Federal Regulations (CFR) </w:t>
            </w:r>
            <w:hyperlink r:id="rId158" w:anchor="sp40.28.265.h" w:history="1">
              <w:r w:rsidRPr="00FE147B">
                <w:rPr>
                  <w:rStyle w:val="Hyperlink"/>
                  <w:rFonts w:cstheme="minorHAnsi"/>
                  <w:sz w:val="20"/>
                  <w:szCs w:val="20"/>
                </w:rPr>
                <w:t>section Subpart H—Financial Requirements</w:t>
              </w:r>
            </w:hyperlink>
            <w:r w:rsidRPr="00FE147B">
              <w:rPr>
                <w:rFonts w:asciiTheme="minorHAnsi" w:hAnsiTheme="minorHAnsi" w:cstheme="minorHAnsi"/>
                <w:sz w:val="20"/>
                <w:szCs w:val="20"/>
              </w:rPr>
              <w:t xml:space="preserve"> requires a financial assurance to cover both site clean-up and site aftercare. All Australia jurisdictions have a legislative framework in place to require financial assurances. There is however, significant variability in the application of this legislation it should </w:t>
            </w:r>
            <w:r w:rsidRPr="00FE147B">
              <w:rPr>
                <w:rFonts w:asciiTheme="minorHAnsi" w:hAnsiTheme="minorHAnsi" w:cstheme="minorHAnsi"/>
                <w:b/>
                <w:sz w:val="20"/>
                <w:szCs w:val="20"/>
              </w:rPr>
              <w:t>not</w:t>
            </w:r>
            <w:r w:rsidRPr="00FE147B">
              <w:rPr>
                <w:rFonts w:asciiTheme="minorHAnsi" w:hAnsiTheme="minorHAnsi" w:cstheme="minorHAnsi"/>
                <w:sz w:val="20"/>
                <w:szCs w:val="20"/>
              </w:rPr>
              <w:t xml:space="preserve"> be assumed that all hazardous waste stockpiles in Australia have a financial assurance in places to cover the cost of clean-up. </w:t>
            </w:r>
          </w:p>
        </w:tc>
      </w:tr>
      <w:tr w:rsidR="00ED29EF" w:rsidRPr="00FE147B" w14:paraId="16BF1015" w14:textId="77777777" w:rsidTr="00FE147B">
        <w:tc>
          <w:tcPr>
            <w:cnfStyle w:val="001000000000" w:firstRow="0" w:lastRow="0" w:firstColumn="1" w:lastColumn="0" w:oddVBand="0" w:evenVBand="0" w:oddHBand="0" w:evenHBand="0" w:firstRowFirstColumn="0" w:firstRowLastColumn="0" w:lastRowFirstColumn="0" w:lastRowLastColumn="0"/>
            <w:tcW w:w="1058" w:type="pct"/>
            <w:tcBorders>
              <w:right w:val="single" w:sz="4" w:space="0" w:color="7F7F7F" w:themeColor="text1" w:themeTint="80"/>
            </w:tcBorders>
          </w:tcPr>
          <w:p w14:paraId="16D567F6" w14:textId="77777777" w:rsidR="00ED29EF" w:rsidRPr="00FE147B" w:rsidRDefault="00ED29EF" w:rsidP="009301C6">
            <w:pPr>
              <w:pStyle w:val="ListParagraph"/>
              <w:numPr>
                <w:ilvl w:val="0"/>
                <w:numId w:val="91"/>
              </w:numPr>
              <w:rPr>
                <w:rFonts w:cstheme="minorHAnsi"/>
                <w:sz w:val="20"/>
                <w:szCs w:val="20"/>
              </w:rPr>
            </w:pPr>
            <w:r w:rsidRPr="00FE147B">
              <w:rPr>
                <w:rFonts w:cstheme="minorHAnsi"/>
                <w:sz w:val="20"/>
                <w:szCs w:val="20"/>
              </w:rPr>
              <w:t>Government trust or funds set up to deal with abandoned stockpiles/contaminated site</w:t>
            </w:r>
          </w:p>
        </w:tc>
        <w:tc>
          <w:tcPr>
            <w:tcW w:w="3942" w:type="pct"/>
            <w:tcBorders>
              <w:left w:val="single" w:sz="4" w:space="0" w:color="7F7F7F" w:themeColor="text1" w:themeTint="80"/>
            </w:tcBorders>
          </w:tcPr>
          <w:p w14:paraId="013CDB8B" w14:textId="06E8AFDA" w:rsidR="00ED29EF" w:rsidRPr="00FE147B" w:rsidRDefault="00ED29EF" w:rsidP="00FE1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147B">
              <w:rPr>
                <w:rFonts w:asciiTheme="minorHAnsi" w:hAnsiTheme="minorHAnsi" w:cstheme="minorHAnsi"/>
                <w:sz w:val="20"/>
                <w:szCs w:val="20"/>
              </w:rPr>
              <w:t xml:space="preserve">The US Superfund is a trust funds established to clean-up contaminated sites (stockpiles). No Australian jurisdictions have set up central trusts to specifically fund clean-up of abandoned sites, preferring the </w:t>
            </w:r>
            <w:r w:rsidR="00E70169" w:rsidRPr="00FE147B">
              <w:rPr>
                <w:rFonts w:asciiTheme="minorHAnsi" w:hAnsiTheme="minorHAnsi" w:cstheme="minorHAnsi"/>
                <w:sz w:val="20"/>
                <w:szCs w:val="20"/>
              </w:rPr>
              <w:t>site-specific</w:t>
            </w:r>
            <w:r w:rsidRPr="00FE147B">
              <w:rPr>
                <w:rFonts w:asciiTheme="minorHAnsi" w:hAnsiTheme="minorHAnsi" w:cstheme="minorHAnsi"/>
                <w:sz w:val="20"/>
                <w:szCs w:val="20"/>
              </w:rPr>
              <w:t xml:space="preserve"> financial assurance approach. NSW EPA commented that the NSW Environmental Trust has provided site clear-up funds in the past. However, this funding appears to be incidental as opposed to a permanent and dedicated contaminated site fund.</w:t>
            </w:r>
          </w:p>
        </w:tc>
      </w:tr>
    </w:tbl>
    <w:p w14:paraId="6DA2941E" w14:textId="463CDFBD" w:rsidR="007B480A" w:rsidRDefault="007B480A" w:rsidP="00B201EC">
      <w:pPr>
        <w:rPr>
          <w:rFonts w:eastAsia="Calibri"/>
        </w:rPr>
      </w:pPr>
    </w:p>
    <w:p w14:paraId="32E10634" w14:textId="57F0CE52" w:rsidR="004A411B" w:rsidRDefault="004A411B" w:rsidP="007B480A">
      <w:pPr>
        <w:pStyle w:val="RECnormaltext"/>
        <w:sectPr w:rsidR="004A411B" w:rsidSect="00B219C0">
          <w:headerReference w:type="even" r:id="rId159"/>
          <w:headerReference w:type="default" r:id="rId160"/>
          <w:footerReference w:type="default" r:id="rId161"/>
          <w:headerReference w:type="first" r:id="rId162"/>
          <w:pgSz w:w="11906" w:h="16838"/>
          <w:pgMar w:top="1549" w:right="1440" w:bottom="993" w:left="1418" w:header="708" w:footer="469" w:gutter="0"/>
          <w:cols w:space="708"/>
          <w:docGrid w:linePitch="360"/>
        </w:sectPr>
      </w:pPr>
    </w:p>
    <w:p w14:paraId="304A58C6" w14:textId="77777777" w:rsidR="004431D9" w:rsidRPr="00C543DF" w:rsidRDefault="004431D9">
      <w:pPr>
        <w:pStyle w:val="Heading1"/>
        <w:numPr>
          <w:ilvl w:val="0"/>
          <w:numId w:val="0"/>
        </w:numPr>
      </w:pPr>
      <w:bookmarkStart w:id="219" w:name="_Toc471403303"/>
      <w:bookmarkStart w:id="220" w:name="_Toc472337994"/>
      <w:bookmarkStart w:id="221" w:name="_Toc472435365"/>
      <w:bookmarkStart w:id="222" w:name="_Toc471403315"/>
      <w:bookmarkStart w:id="223" w:name="_Toc472338006"/>
      <w:bookmarkStart w:id="224" w:name="_Toc472435377"/>
      <w:bookmarkStart w:id="225" w:name="_Toc532990263"/>
      <w:bookmarkEnd w:id="219"/>
      <w:bookmarkEnd w:id="220"/>
      <w:bookmarkEnd w:id="221"/>
      <w:bookmarkEnd w:id="222"/>
      <w:bookmarkEnd w:id="223"/>
      <w:bookmarkEnd w:id="224"/>
      <w:r w:rsidRPr="00C543DF">
        <w:t>References</w:t>
      </w:r>
      <w:bookmarkEnd w:id="225"/>
    </w:p>
    <w:p w14:paraId="7FE73240" w14:textId="50A9FBCC" w:rsidR="003F439A" w:rsidRDefault="003568F5" w:rsidP="004431D9">
      <w:pPr>
        <w:widowControl w:val="0"/>
        <w:autoSpaceDE w:val="0"/>
        <w:autoSpaceDN w:val="0"/>
        <w:adjustRightInd w:val="0"/>
      </w:pPr>
      <w:r w:rsidRPr="003568F5">
        <w:t xml:space="preserve">ABRI 2010 </w:t>
      </w:r>
      <w:r w:rsidR="003F439A">
        <w:rPr>
          <w:i/>
        </w:rPr>
        <w:t>A</w:t>
      </w:r>
      <w:r w:rsidR="003F439A" w:rsidRPr="003568F5">
        <w:rPr>
          <w:i/>
        </w:rPr>
        <w:t xml:space="preserve">nalysis of battery consumption, recycling and disposal in </w:t>
      </w:r>
      <w:r w:rsidR="0001208B">
        <w:rPr>
          <w:i/>
        </w:rPr>
        <w:t>A</w:t>
      </w:r>
      <w:r w:rsidR="003F439A" w:rsidRPr="003568F5">
        <w:rPr>
          <w:i/>
        </w:rPr>
        <w:t>ustralia</w:t>
      </w:r>
      <w:r w:rsidR="003F439A">
        <w:rPr>
          <w:i/>
        </w:rPr>
        <w:t xml:space="preserve">, </w:t>
      </w:r>
      <w:r w:rsidR="003F439A" w:rsidRPr="003F439A">
        <w:t>available from</w:t>
      </w:r>
      <w:r w:rsidR="003F439A">
        <w:t xml:space="preserve">: </w:t>
      </w:r>
      <w:hyperlink r:id="rId163" w:history="1">
        <w:r w:rsidR="003F439A" w:rsidRPr="00AA19C2">
          <w:rPr>
            <w:rStyle w:val="Hyperlink"/>
            <w:rFonts w:ascii="Calibri" w:hAnsi="Calibri"/>
          </w:rPr>
          <w:t>http://www.batteryrecycling.org.au/wp-content/uploads/2011/06/Battery-consumption-recycling-and-disposal-in-Australia_Executive-Summary.pdf</w:t>
        </w:r>
      </w:hyperlink>
    </w:p>
    <w:p w14:paraId="3A61F1E6" w14:textId="242DAFA1" w:rsidR="004431D9" w:rsidRPr="002C678E" w:rsidRDefault="004431D9" w:rsidP="004431D9">
      <w:pPr>
        <w:widowControl w:val="0"/>
        <w:autoSpaceDE w:val="0"/>
        <w:autoSpaceDN w:val="0"/>
        <w:adjustRightInd w:val="0"/>
        <w:rPr>
          <w:rFonts w:cs="Times"/>
          <w:color w:val="000000"/>
        </w:rPr>
      </w:pPr>
      <w:r w:rsidRPr="002C678E">
        <w:t xml:space="preserve">ADAA 2016: </w:t>
      </w:r>
      <w:r w:rsidRPr="002C678E">
        <w:rPr>
          <w:rFonts w:cs="Times"/>
          <w:color w:val="000000"/>
        </w:rPr>
        <w:t xml:space="preserve">Ash Development Association of Australia (2016) </w:t>
      </w:r>
      <w:r w:rsidRPr="002C678E">
        <w:rPr>
          <w:rFonts w:cs="Times"/>
          <w:i/>
          <w:iCs/>
          <w:color w:val="000000"/>
        </w:rPr>
        <w:t>Annual membership survey results 2015</w:t>
      </w:r>
      <w:r w:rsidRPr="002C678E">
        <w:rPr>
          <w:rFonts w:cs="Times"/>
          <w:color w:val="000000"/>
        </w:rPr>
        <w:t xml:space="preserve">, HBM Group Pty Ltd, Wollongong, available from: </w:t>
      </w:r>
      <w:hyperlink r:id="rId164" w:history="1">
        <w:r w:rsidRPr="002C678E">
          <w:rPr>
            <w:rStyle w:val="Hyperlink"/>
            <w:rFonts w:cs="Times"/>
            <w:i/>
            <w:iCs/>
          </w:rPr>
          <w:t>http://www.adaa.asn.au/uploads/default/files/adaa_mship_report_20162.pdf</w:t>
        </w:r>
      </w:hyperlink>
      <w:r w:rsidRPr="002C678E">
        <w:rPr>
          <w:rFonts w:cs="Times"/>
          <w:i/>
          <w:iCs/>
          <w:color w:val="0000FF"/>
        </w:rPr>
        <w:t xml:space="preserve">  </w:t>
      </w:r>
    </w:p>
    <w:p w14:paraId="77844A95" w14:textId="07B78A42" w:rsidR="004431D9" w:rsidRPr="0040598B" w:rsidRDefault="004431D9" w:rsidP="004431D9">
      <w:r w:rsidRPr="0040598B">
        <w:t>ANZECC 2000</w:t>
      </w:r>
      <w:r>
        <w:t>:</w:t>
      </w:r>
      <w:r w:rsidRPr="0040598B">
        <w:t xml:space="preserve"> </w:t>
      </w:r>
      <w:r w:rsidRPr="00FA1B21">
        <w:t>Australian and New Zealand Guidelines for Fresh and Marine Water Quality (ANZECC and ARMCANZ 2000) Volume 1: Chapter 4.3</w:t>
      </w:r>
      <w:r>
        <w:t xml:space="preserve">, Table 4.3.1, available at: </w:t>
      </w:r>
      <w:hyperlink r:id="rId165" w:history="1">
        <w:r w:rsidRPr="0040598B">
          <w:rPr>
            <w:rStyle w:val="Hyperlink"/>
          </w:rPr>
          <w:t>https://www.environment.gov.au/system/files/resources/53cda9ea-7ec2-49d4-af29-d1dde09e96ef/files/nwqms-guidelines-4-vol1.pdf</w:t>
        </w:r>
      </w:hyperlink>
    </w:p>
    <w:p w14:paraId="2327050C" w14:textId="6923DBB7" w:rsidR="004431D9" w:rsidRDefault="004431D9" w:rsidP="004431D9">
      <w:r>
        <w:t xml:space="preserve">COAG 2012: </w:t>
      </w:r>
      <w:r w:rsidRPr="00281065">
        <w:t>Standing Council on Energy and Resources (COAG)</w:t>
      </w:r>
      <w:r>
        <w:t>,</w:t>
      </w:r>
      <w:r w:rsidRPr="00281065">
        <w:t xml:space="preserve"> </w:t>
      </w:r>
      <w:r w:rsidRPr="00281065">
        <w:rPr>
          <w:i/>
        </w:rPr>
        <w:t>The Draft National Harmonised</w:t>
      </w:r>
      <w:r>
        <w:rPr>
          <w:i/>
        </w:rPr>
        <w:t xml:space="preserve"> </w:t>
      </w:r>
      <w:r w:rsidRPr="00281065">
        <w:rPr>
          <w:i/>
        </w:rPr>
        <w:t>Regulatory Framework - Coal Seam Gas</w:t>
      </w:r>
      <w:r w:rsidRPr="00281065">
        <w:t>.</w:t>
      </w:r>
      <w:r>
        <w:t xml:space="preserve"> Referenced directly by </w:t>
      </w:r>
      <w:r w:rsidRPr="00FA38E3">
        <w:t>ONCSE 2014</w:t>
      </w:r>
      <w:r>
        <w:t>.</w:t>
      </w:r>
    </w:p>
    <w:p w14:paraId="32624C7F" w14:textId="273FC67E" w:rsidR="00B0008D" w:rsidRDefault="00B0008D" w:rsidP="00B0008D">
      <w:r>
        <w:t xml:space="preserve">Department of Defence 2007 PFOS Foams management guidance: </w:t>
      </w:r>
      <w:hyperlink r:id="rId166" w:history="1">
        <w:r w:rsidRPr="00984F73">
          <w:rPr>
            <w:rStyle w:val="Hyperlink"/>
            <w:rFonts w:ascii="Calibri" w:hAnsi="Calibri"/>
          </w:rPr>
          <w:t>http://www.defence.gov.au/estatemanagement/governance/Policy/Environment/Contamination/Docs/Toolbox/AFFFMay08.pdf</w:t>
        </w:r>
      </w:hyperlink>
    </w:p>
    <w:p w14:paraId="24868140" w14:textId="54AE924F" w:rsidR="00AD772F" w:rsidRDefault="00AD772F" w:rsidP="00AD772F">
      <w:r>
        <w:t xml:space="preserve">Department of Defence FoI documentation 2017, including records of AFFF concentrate destruction for Williamtown RAAF base and other Defence sites: </w:t>
      </w:r>
      <w:hyperlink r:id="rId167" w:history="1">
        <w:r w:rsidRPr="00030B6E">
          <w:rPr>
            <w:rStyle w:val="Hyperlink"/>
          </w:rPr>
          <w:t>http://www.defence.gov.au/FOI/Docs/Disclosures/111_1617_Documents.pdf</w:t>
        </w:r>
      </w:hyperlink>
      <w:r>
        <w:t xml:space="preserve"> </w:t>
      </w:r>
    </w:p>
    <w:p w14:paraId="796A616F" w14:textId="482FC5ED" w:rsidR="003E2EAF" w:rsidRDefault="003E2EAF" w:rsidP="00B0008D">
      <w:r>
        <w:t xml:space="preserve">EPA Vic 2014 </w:t>
      </w:r>
      <w:r w:rsidRPr="00881395">
        <w:rPr>
          <w:i/>
        </w:rPr>
        <w:t>Storage of waste tyres – Regulatory impact statement (RIS)</w:t>
      </w:r>
      <w:r>
        <w:t xml:space="preserve"> available at: </w:t>
      </w:r>
      <w:hyperlink r:id="rId168" w:history="1">
        <w:r w:rsidRPr="0097766A">
          <w:rPr>
            <w:rStyle w:val="Hyperlink"/>
            <w:rFonts w:ascii="Calibri" w:hAnsi="Calibri"/>
          </w:rPr>
          <w:t>http://www.epa.vic.gov.au/~/media/Publications/1576.pdf</w:t>
        </w:r>
      </w:hyperlink>
    </w:p>
    <w:p w14:paraId="39AA72E6" w14:textId="2E89D984" w:rsidR="004431D9" w:rsidRDefault="004431D9" w:rsidP="004431D9">
      <w:r>
        <w:t xml:space="preserve">HWiA 2017: </w:t>
      </w:r>
      <w:r w:rsidRPr="0059018A">
        <w:t>Blue Environment, Ascend Waste and Environment, and Randell</w:t>
      </w:r>
      <w:r>
        <w:t xml:space="preserve"> Environmental Consulting (2017</w:t>
      </w:r>
      <w:r w:rsidRPr="0059018A">
        <w:t xml:space="preserve">) </w:t>
      </w:r>
      <w:r w:rsidRPr="0059018A">
        <w:rPr>
          <w:i/>
        </w:rPr>
        <w:t>Hazardous Waste in Australia 2017</w:t>
      </w:r>
      <w:r>
        <w:t>,</w:t>
      </w:r>
      <w:r w:rsidRPr="0059018A">
        <w:t xml:space="preserve"> prepared for the Department of the Environment, </w:t>
      </w:r>
      <w:r>
        <w:t xml:space="preserve">not yet published. </w:t>
      </w:r>
    </w:p>
    <w:p w14:paraId="29C64098" w14:textId="6BC8FE25" w:rsidR="004431D9" w:rsidRPr="0040598B" w:rsidRDefault="004431D9" w:rsidP="004431D9">
      <w:r w:rsidRPr="0040598B">
        <w:t xml:space="preserve">IESC 2014: Independent Expert Scientific Committee on Coal Seam Gas and Large Coal Mining Development (IESC), </w:t>
      </w:r>
      <w:r w:rsidRPr="0040598B">
        <w:rPr>
          <w:i/>
        </w:rPr>
        <w:t>Fact sheet - Coal seam gas extraction and co-produced water</w:t>
      </w:r>
      <w:r w:rsidRPr="0040598B">
        <w:t xml:space="preserve">, available at: </w:t>
      </w:r>
      <w:hyperlink r:id="rId169" w:anchor="fn6" w:history="1">
        <w:r w:rsidRPr="0040598B">
          <w:rPr>
            <w:rStyle w:val="Hyperlink"/>
          </w:rPr>
          <w:t>http://www.iesc.environment.gov.au/publications/csg-extraction-and-co-produced-water#fn6</w:t>
        </w:r>
      </w:hyperlink>
    </w:p>
    <w:p w14:paraId="2695FEC0" w14:textId="18CAC49C" w:rsidR="004431D9" w:rsidRDefault="004431D9" w:rsidP="004431D9">
      <w:pPr>
        <w:rPr>
          <w:rFonts w:cs="Times"/>
          <w:color w:val="0000FF"/>
        </w:rPr>
      </w:pPr>
      <w:r w:rsidRPr="00FA38E3">
        <w:t>ONCSE 2014: Office of the NSW Chief Scientist and Engineer (2014), Coal Seam Gas: Produced Water and Solids, available from:</w:t>
      </w:r>
      <w:r w:rsidRPr="00FA38E3">
        <w:rPr>
          <w:rFonts w:cs="Times"/>
          <w:color w:val="000000"/>
        </w:rPr>
        <w:t xml:space="preserve"> </w:t>
      </w:r>
      <w:hyperlink r:id="rId170" w:history="1">
        <w:r w:rsidRPr="001550C5">
          <w:rPr>
            <w:rStyle w:val="Hyperlink"/>
            <w:rFonts w:cs="Times"/>
          </w:rPr>
          <w:t>http://www.chiefscientist.nsw.gov.au/__data/assets/pdf_file/0017/44081/OCSE-Final- Report-Stuart-Khan-Final-28-May-2014.pdf</w:t>
        </w:r>
      </w:hyperlink>
    </w:p>
    <w:p w14:paraId="2D948CA8" w14:textId="35E54F31" w:rsidR="004431D9" w:rsidRPr="00FA38E3" w:rsidRDefault="004431D9" w:rsidP="004431D9">
      <w:pPr>
        <w:widowControl w:val="0"/>
        <w:autoSpaceDE w:val="0"/>
        <w:autoSpaceDN w:val="0"/>
        <w:adjustRightInd w:val="0"/>
        <w:rPr>
          <w:rFonts w:cs="Times"/>
          <w:color w:val="000000"/>
        </w:rPr>
      </w:pPr>
      <w:r>
        <w:rPr>
          <w:rFonts w:cs="Times"/>
          <w:color w:val="000000"/>
        </w:rPr>
        <w:t xml:space="preserve">QDEHP 2014: </w:t>
      </w:r>
      <w:r w:rsidRPr="00FA38E3">
        <w:rPr>
          <w:rFonts w:cs="Times"/>
          <w:color w:val="000000"/>
        </w:rPr>
        <w:t>Qld Government Department of Environmen</w:t>
      </w:r>
      <w:r>
        <w:rPr>
          <w:rFonts w:cs="Times"/>
          <w:color w:val="000000"/>
        </w:rPr>
        <w:t>t and Heritage Protection (2014</w:t>
      </w:r>
      <w:r w:rsidRPr="00FA38E3">
        <w:rPr>
          <w:rFonts w:cs="Times"/>
          <w:color w:val="000000"/>
        </w:rPr>
        <w:t xml:space="preserve">), </w:t>
      </w:r>
      <w:r w:rsidRPr="00FA38E3">
        <w:rPr>
          <w:rFonts w:cs="Times"/>
          <w:i/>
          <w:iCs/>
          <w:color w:val="000000"/>
        </w:rPr>
        <w:t>General Beneficial Use Approval—Irrigation of Associated Water (including coal seam gas water)</w:t>
      </w:r>
      <w:r w:rsidRPr="00FA38E3">
        <w:rPr>
          <w:rFonts w:cs="Times"/>
          <w:color w:val="000000"/>
        </w:rPr>
        <w:t xml:space="preserve">, available from: </w:t>
      </w:r>
      <w:hyperlink r:id="rId171" w:history="1">
        <w:r w:rsidRPr="001550C5">
          <w:rPr>
            <w:rStyle w:val="Hyperlink"/>
            <w:rFonts w:cs="Times"/>
          </w:rPr>
          <w:t>https://www.ehp.qld.gov.au/assets/documents/regulation/wr-ga-irrigation-associated-water.pdf</w:t>
        </w:r>
      </w:hyperlink>
      <w:r>
        <w:rPr>
          <w:rFonts w:cs="Times"/>
          <w:color w:val="0000FF"/>
        </w:rPr>
        <w:t xml:space="preserve"> </w:t>
      </w:r>
      <w:r w:rsidRPr="00FA38E3">
        <w:rPr>
          <w:rFonts w:cs="Times"/>
          <w:color w:val="0000FF"/>
        </w:rPr>
        <w:t xml:space="preserve"> </w:t>
      </w:r>
    </w:p>
    <w:p w14:paraId="00FB0F13" w14:textId="77777777" w:rsidR="004431D9" w:rsidRPr="0040598B" w:rsidRDefault="004431D9" w:rsidP="004431D9">
      <w:r>
        <w:rPr>
          <w:rFonts w:cs="ArialMT"/>
        </w:rPr>
        <w:t xml:space="preserve">QDIP 2009: </w:t>
      </w:r>
      <w:r w:rsidRPr="0040598B">
        <w:rPr>
          <w:rFonts w:cs="ArialMT"/>
        </w:rPr>
        <w:t xml:space="preserve">Qld Department of Infrastructure and Planning 2009, </w:t>
      </w:r>
      <w:r w:rsidRPr="0054716B">
        <w:rPr>
          <w:rFonts w:cs="ArialMT"/>
          <w:i/>
        </w:rPr>
        <w:t>Management of Water Produced From Coal Seam Gas Production: Discussion Paper. Achieving environmentally sustainable outcomes and greater beneficial use of coal seam gas water</w:t>
      </w:r>
      <w:r w:rsidRPr="0040598B">
        <w:rPr>
          <w:rFonts w:cs="ArialMT"/>
        </w:rPr>
        <w:t>.</w:t>
      </w:r>
      <w:r>
        <w:rPr>
          <w:rFonts w:cs="ArialMT"/>
        </w:rPr>
        <w:t xml:space="preserve"> </w:t>
      </w:r>
      <w:r>
        <w:t xml:space="preserve">Referenced directly by </w:t>
      </w:r>
      <w:r w:rsidRPr="00FA38E3">
        <w:t>ONCSE 2014</w:t>
      </w:r>
      <w:r>
        <w:t>.</w:t>
      </w:r>
    </w:p>
    <w:p w14:paraId="0DB8498E" w14:textId="391BDF52" w:rsidR="004431D9" w:rsidRDefault="004431D9" w:rsidP="004431D9">
      <w:pPr>
        <w:rPr>
          <w:rStyle w:val="Hyperlink"/>
        </w:rPr>
      </w:pPr>
      <w:r>
        <w:t xml:space="preserve">QGov 2011: Queensland Government fact sheet #29692, </w:t>
      </w:r>
      <w:r w:rsidRPr="00A65B93">
        <w:rPr>
          <w:i/>
        </w:rPr>
        <w:t>Coal seam gas water dams</w:t>
      </w:r>
      <w:r>
        <w:t xml:space="preserve">. Available at: </w:t>
      </w:r>
      <w:hyperlink r:id="rId172" w:history="1">
        <w:r w:rsidRPr="0040598B">
          <w:rPr>
            <w:rStyle w:val="Hyperlink"/>
          </w:rPr>
          <w:t>http://www.agforceprojects.org.au/file.php?id=68&amp;open=yes</w:t>
        </w:r>
      </w:hyperlink>
    </w:p>
    <w:p w14:paraId="68021153" w14:textId="77777777" w:rsidR="0052432C" w:rsidRDefault="00C562FC" w:rsidP="0052432C">
      <w:pPr>
        <w:pStyle w:val="RECnormaltext"/>
        <w:sectPr w:rsidR="0052432C" w:rsidSect="000C4925">
          <w:headerReference w:type="even" r:id="rId173"/>
          <w:headerReference w:type="default" r:id="rId174"/>
          <w:headerReference w:type="first" r:id="rId175"/>
          <w:pgSz w:w="11906" w:h="16838"/>
          <w:pgMar w:top="1810" w:right="1440" w:bottom="1134" w:left="1440" w:header="708" w:footer="469" w:gutter="0"/>
          <w:cols w:space="708"/>
          <w:docGrid w:linePitch="360"/>
        </w:sectPr>
      </w:pPr>
      <w:r>
        <w:t xml:space="preserve">REC 2017, </w:t>
      </w:r>
      <w:r w:rsidRPr="00881395">
        <w:t>National market development strategy for used tyres 2017-2022</w:t>
      </w:r>
      <w:r>
        <w:t>. Not yet published.</w:t>
      </w:r>
    </w:p>
    <w:p w14:paraId="21AEB5EA" w14:textId="39D17E09" w:rsidR="0052432C" w:rsidRDefault="0052432C" w:rsidP="00292D83">
      <w:pPr>
        <w:pStyle w:val="Heading1"/>
        <w:numPr>
          <w:ilvl w:val="0"/>
          <w:numId w:val="0"/>
        </w:numPr>
        <w:spacing w:before="0" w:after="0"/>
        <w:rPr>
          <w:rFonts w:eastAsia="Calibri"/>
        </w:rPr>
        <w:sectPr w:rsidR="0052432C" w:rsidSect="0052432C">
          <w:pgSz w:w="11906" w:h="16838"/>
          <w:pgMar w:top="1560" w:right="1440" w:bottom="1134" w:left="1440" w:header="708" w:footer="469" w:gutter="0"/>
          <w:cols w:space="708"/>
          <w:docGrid w:linePitch="360"/>
        </w:sectPr>
      </w:pPr>
      <w:bookmarkStart w:id="226" w:name="_Toc532990264"/>
      <w:r w:rsidRPr="0052432C">
        <w:rPr>
          <w:noProof/>
          <w:lang w:eastAsia="en-AU"/>
        </w:rPr>
        <w:drawing>
          <wp:anchor distT="0" distB="0" distL="114300" distR="114300" simplePos="0" relativeHeight="251643904" behindDoc="0" locked="0" layoutInCell="1" allowOverlap="1" wp14:anchorId="3D46A7B6" wp14:editId="77B9FCA3">
            <wp:simplePos x="0" y="0"/>
            <wp:positionH relativeFrom="margin">
              <wp:posOffset>-70154</wp:posOffset>
            </wp:positionH>
            <wp:positionV relativeFrom="paragraph">
              <wp:posOffset>248920</wp:posOffset>
            </wp:positionV>
            <wp:extent cx="5943600" cy="872988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val="0"/>
                        </a:ext>
                      </a:extLst>
                    </a:blip>
                    <a:stretch>
                      <a:fillRect/>
                    </a:stretch>
                  </pic:blipFill>
                  <pic:spPr>
                    <a:xfrm>
                      <a:off x="0" y="0"/>
                      <a:ext cx="5943600" cy="8729888"/>
                    </a:xfrm>
                    <a:prstGeom prst="rect">
                      <a:avLst/>
                    </a:prstGeom>
                  </pic:spPr>
                </pic:pic>
              </a:graphicData>
            </a:graphic>
            <wp14:sizeRelH relativeFrom="margin">
              <wp14:pctWidth>0</wp14:pctWidth>
            </wp14:sizeRelH>
            <wp14:sizeRelV relativeFrom="margin">
              <wp14:pctHeight>0</wp14:pctHeight>
            </wp14:sizeRelV>
          </wp:anchor>
        </w:drawing>
      </w:r>
      <w:r w:rsidR="005C4E4A" w:rsidRPr="0000585F">
        <w:t>Appendix</w:t>
      </w:r>
      <w:r w:rsidR="005C4E4A">
        <w:t xml:space="preserve"> </w:t>
      </w:r>
      <w:r w:rsidR="00BE4C90">
        <w:t xml:space="preserve">A </w:t>
      </w:r>
      <w:r w:rsidR="00F92720" w:rsidRPr="00F92720">
        <w:t xml:space="preserve">Gaps in </w:t>
      </w:r>
      <w:r w:rsidR="00292D83">
        <w:t xml:space="preserve">jurisdictional </w:t>
      </w:r>
      <w:r w:rsidR="00F92720" w:rsidRPr="00F92720">
        <w:t>waste tracking systems</w:t>
      </w:r>
      <w:bookmarkEnd w:id="226"/>
    </w:p>
    <w:p w14:paraId="15BB8B1F" w14:textId="591499DD" w:rsidR="0052432C" w:rsidRDefault="0052432C" w:rsidP="00F54E66">
      <w:pPr>
        <w:pStyle w:val="Heading1"/>
        <w:numPr>
          <w:ilvl w:val="0"/>
          <w:numId w:val="0"/>
        </w:numPr>
      </w:pPr>
      <w:bookmarkStart w:id="227" w:name="_Toc532990265"/>
      <w:r>
        <w:t>Appendix B Jurisdictional hazardous waste stockpiles</w:t>
      </w:r>
      <w:r w:rsidR="00292D83">
        <w:t xml:space="preserve"> and approved long-term on-site storage </w:t>
      </w:r>
      <w:r>
        <w:t>data</w:t>
      </w:r>
      <w:r w:rsidR="00292D83">
        <w:t>set</w:t>
      </w:r>
      <w:bookmarkEnd w:id="227"/>
    </w:p>
    <w:p w14:paraId="253966A3" w14:textId="19A620BF" w:rsidR="007B480A" w:rsidRDefault="00950699" w:rsidP="00F54E66">
      <w:pPr>
        <w:pStyle w:val="RECnormaltext"/>
        <w:shd w:val="clear" w:color="auto" w:fill="FFFFFF" w:themeFill="background1"/>
        <w:rPr>
          <w:b/>
        </w:rPr>
      </w:pPr>
      <w:r w:rsidRPr="00F54E66">
        <w:rPr>
          <w:b/>
          <w:highlight w:val="red"/>
        </w:rPr>
        <w:t>CIC</w:t>
      </w:r>
    </w:p>
    <w:p w14:paraId="1542EE98" w14:textId="77777777" w:rsidR="00950699" w:rsidRPr="00F54E66" w:rsidRDefault="00950699" w:rsidP="00F54E66">
      <w:pPr>
        <w:pStyle w:val="RECnormaltext"/>
        <w:rPr>
          <w:b/>
        </w:rPr>
      </w:pPr>
    </w:p>
    <w:p w14:paraId="791C48AB" w14:textId="77777777" w:rsidR="00292D83" w:rsidRDefault="00292D83" w:rsidP="00292D83">
      <w:pPr>
        <w:pStyle w:val="RECnormaltext"/>
        <w:sectPr w:rsidR="00292D83" w:rsidSect="00292D83">
          <w:headerReference w:type="even" r:id="rId177"/>
          <w:headerReference w:type="default" r:id="rId178"/>
          <w:footerReference w:type="default" r:id="rId179"/>
          <w:headerReference w:type="first" r:id="rId180"/>
          <w:pgSz w:w="16838" w:h="11906" w:orient="landscape"/>
          <w:pgMar w:top="1560" w:right="1135" w:bottom="1440" w:left="1810" w:header="708" w:footer="469" w:gutter="0"/>
          <w:cols w:space="708"/>
          <w:docGrid w:linePitch="360"/>
        </w:sectPr>
      </w:pPr>
    </w:p>
    <w:p w14:paraId="4E16F832" w14:textId="38EBE32D" w:rsidR="004431D9" w:rsidRPr="00881395" w:rsidRDefault="004431D9" w:rsidP="00267977">
      <w:pPr>
        <w:pStyle w:val="Heading1"/>
        <w:numPr>
          <w:ilvl w:val="0"/>
          <w:numId w:val="0"/>
        </w:numPr>
        <w:ind w:left="567" w:hanging="567"/>
      </w:pPr>
      <w:bookmarkStart w:id="228" w:name="_Toc532990266"/>
      <w:r w:rsidRPr="003A02FF">
        <w:t xml:space="preserve">Appendix </w:t>
      </w:r>
      <w:r w:rsidR="00F92720" w:rsidRPr="003A02FF">
        <w:t>C</w:t>
      </w:r>
      <w:r w:rsidRPr="003A02FF">
        <w:t xml:space="preserve"> Stockpile</w:t>
      </w:r>
      <w:r w:rsidR="00E176D2" w:rsidRPr="003A02FF">
        <w:t>/ approved long-term on-site storages</w:t>
      </w:r>
      <w:r w:rsidRPr="003A02FF">
        <w:t xml:space="preserve"> estimation</w:t>
      </w:r>
      <w:r w:rsidR="00E176D2" w:rsidRPr="003A02FF">
        <w:t>s</w:t>
      </w:r>
      <w:bookmarkEnd w:id="228"/>
    </w:p>
    <w:p w14:paraId="46310A8C" w14:textId="0A42CD51" w:rsidR="004431D9" w:rsidRPr="00F74A59" w:rsidRDefault="00E176D2" w:rsidP="004431D9">
      <w:r>
        <w:t>For some waste types</w:t>
      </w:r>
      <w:r w:rsidR="004431D9" w:rsidRPr="00F74A59">
        <w:t>, no publicly available estimates of tonnages were available. In these cases, an estimation of tonnage has been derived based on a number of assumptions. These are described below.</w:t>
      </w:r>
    </w:p>
    <w:p w14:paraId="1DBD2E1C" w14:textId="77777777" w:rsidR="00604C9A" w:rsidRDefault="00604C9A" w:rsidP="005F4489">
      <w:pPr>
        <w:pStyle w:val="NonTOCHeading2"/>
      </w:pPr>
      <w:r>
        <w:t>End-of-life tyres</w:t>
      </w:r>
    </w:p>
    <w:p w14:paraId="7D9EB605" w14:textId="77777777" w:rsidR="00604C9A" w:rsidRDefault="00604C9A" w:rsidP="00604C9A">
      <w:pPr>
        <w:pStyle w:val="RECnormaltext"/>
      </w:pPr>
      <w:r>
        <w:t xml:space="preserve">As discussed in Appendix A, the EPA </w:t>
      </w:r>
      <w:r w:rsidRPr="00532D39">
        <w:t xml:space="preserve">Vic </w:t>
      </w:r>
      <w:r>
        <w:t xml:space="preserve">2014 </w:t>
      </w:r>
      <w:r w:rsidRPr="00532D39">
        <w:t>data</w:t>
      </w:r>
      <w:r>
        <w:t xml:space="preserve"> confirms an illegal management problem</w:t>
      </w:r>
      <w:r w:rsidRPr="00532D39">
        <w:t>, quoting a rate of tyre recycling in Australia around 20%, with another 26% exported and 54% unaccounted for and presumed to be either stockpiled or illegally dumped.</w:t>
      </w:r>
    </w:p>
    <w:p w14:paraId="4CB9D374" w14:textId="77777777" w:rsidR="00604C9A" w:rsidRDefault="00604C9A" w:rsidP="00604C9A">
      <w:pPr>
        <w:pStyle w:val="RECnormaltext"/>
      </w:pPr>
      <w:r>
        <w:t>EPA Vic 2014 also provides an estimate of the actual existing EOLT stockpile and includes the following on page 17.</w:t>
      </w:r>
    </w:p>
    <w:p w14:paraId="0FF1E9E0" w14:textId="77777777" w:rsidR="00604C9A" w:rsidRPr="00881395" w:rsidRDefault="00604C9A" w:rsidP="00604C9A">
      <w:pPr>
        <w:pStyle w:val="RECnormaltext"/>
        <w:ind w:left="426" w:right="521"/>
        <w:rPr>
          <w:b/>
        </w:rPr>
      </w:pPr>
      <w:r w:rsidRPr="00881395">
        <w:rPr>
          <w:b/>
        </w:rPr>
        <w:t>“2.3.6 Owners of stockpiles as an end point or for long-term storage</w:t>
      </w:r>
    </w:p>
    <w:p w14:paraId="4EA5FCF5" w14:textId="77777777" w:rsidR="00604C9A" w:rsidRDefault="00604C9A" w:rsidP="00604C9A">
      <w:pPr>
        <w:pStyle w:val="RECnormaltext"/>
        <w:ind w:left="426" w:right="521"/>
      </w:pPr>
      <w:r>
        <w:t>Stockpiles as an end point or for long-term storage may occur in order to avoid the costs of appropriate disposal. While there are reports estimating the annual number of tyres entering stockpiles in Australia and one recent report for Victoria, there is sparse evidence on the ‘stock’ of tyres in stockpiles or the flow of tyres in and out.</w:t>
      </w:r>
    </w:p>
    <w:p w14:paraId="50E620E3" w14:textId="77777777" w:rsidR="00604C9A" w:rsidRDefault="00604C9A" w:rsidP="00604C9A">
      <w:pPr>
        <w:pStyle w:val="RECnormaltext"/>
        <w:ind w:left="426" w:right="521"/>
      </w:pPr>
      <w:r>
        <w:t>In 2013, an initial estimate of the number and size of tyre stockpiles across the state, was developed through a survey with Victorian councils and catchment management authorities (CMAs). EPA and the Victoria Fire Services (MFB / CFA) also undertook joint inspections to better understand the different cases and patterns of stockpiling of waste tyres in Victoria.</w:t>
      </w:r>
    </w:p>
    <w:p w14:paraId="3DCF0090" w14:textId="36EAAE2F" w:rsidR="00604C9A" w:rsidRDefault="00604C9A" w:rsidP="00604C9A">
      <w:pPr>
        <w:pStyle w:val="RECnormaltext"/>
        <w:ind w:left="426" w:right="521"/>
      </w:pPr>
      <w:r>
        <w:t xml:space="preserve">A sample of the results of this research is shown in Table 2. The table also highlights which stockpiles appear to be stored for the </w:t>
      </w:r>
      <w:r w:rsidR="00D4217A">
        <w:t>long-term</w:t>
      </w:r>
      <w:r>
        <w:t xml:space="preserve"> or an end point. </w:t>
      </w:r>
      <w:r w:rsidRPr="00881395">
        <w:rPr>
          <w:b/>
        </w:rPr>
        <w:t>This shows in 2013, an estimated 14 million tyres stockpiled in Victoria</w:t>
      </w:r>
      <w:r>
        <w:t>, with the majority of these being in one site and numbering up to 9 million. The true number could be much higher than this as not all councils and CMAs responded (66 per cent response rate of the 79 councils and 11 CMAs surveyed). Also, these numbers are based on general visual estimates of the number of tyres in a stockpile rather than a direct count, which could result in a higher or</w:t>
      </w:r>
      <w:r w:rsidR="003568F5">
        <w:t xml:space="preserve"> </w:t>
      </w:r>
      <w:r>
        <w:t>lower estimate….</w:t>
      </w:r>
    </w:p>
    <w:p w14:paraId="495576C5" w14:textId="77777777" w:rsidR="00604C9A" w:rsidRDefault="00604C9A" w:rsidP="00604C9A">
      <w:pPr>
        <w:pStyle w:val="RECnormaltext"/>
        <w:ind w:left="426" w:right="521"/>
      </w:pPr>
      <w:r>
        <w:t>It is estimated that 11 million EPU of end-of-life tyres were generated in Victoria in 2013. With 54 per cent of these tyres believed to be either stockpiled or illegally dumped, the best estimate of the number of tyres that were added to Victorian stockpiles in 2013 is about 6 million EPU. Each year a proportion of these waste tyres added to Victorian stockpiles will be cleaned up, disposed of, reused, recycled or exported, although reliable estimates of these volumes are not currently available.</w:t>
      </w:r>
    </w:p>
    <w:p w14:paraId="6EBA30F7" w14:textId="77777777" w:rsidR="00604C9A" w:rsidRPr="007E6CF4" w:rsidRDefault="00604C9A" w:rsidP="00604C9A">
      <w:pPr>
        <w:pStyle w:val="RECnormaltext"/>
        <w:ind w:left="426" w:right="521"/>
      </w:pPr>
      <w:r>
        <w:t xml:space="preserve">Even so, we estimate that there are approximately 14.0 million waste tyres currently in Victorian stockpiles and there is anecdotal evidence that tyre stockpiles have been increasing over time…” </w:t>
      </w:r>
    </w:p>
    <w:p w14:paraId="77F565EB" w14:textId="77777777" w:rsidR="00604C9A" w:rsidRDefault="00604C9A" w:rsidP="00604C9A">
      <w:pPr>
        <w:pStyle w:val="RECnormaltext"/>
      </w:pPr>
      <w:r>
        <w:t xml:space="preserve">Vic 2014 estimated the EOLT stockpile at approximately 2.5 times the annual arisings, suggesting that a reasonable benchmark for the existing stockpile of EOLTs in each state and territory is 2.5 times the annual arisings. EOLT have been stockpiled for longer than 2.5 years, however, with time the stockpiled EOLT should reach a final fate, which may include illegal landfills onsite. </w:t>
      </w:r>
    </w:p>
    <w:p w14:paraId="6C6F769D" w14:textId="37596017" w:rsidR="00604C9A" w:rsidRDefault="00604C9A" w:rsidP="00604C9A">
      <w:pPr>
        <w:pStyle w:val="RECnormaltext"/>
      </w:pPr>
      <w:r>
        <w:t>For each jurisdiction, the existing stockpile of EOLTs that are likely to be still be readily accessible for clean-up is assumed to be 2.5 times the most recent data for unaccounted EOLT. REC 2017 provides the most recent set of EOLT arising and fate data. Importantly REC 2017 also estimated that nationally around 63% of EOLT were unaccounted for (i.e. sent to unknown fates which includes stockpiling). REC 2017 estimated that 55% of EOLT in Vic were unaccounted for (consistent with the Vic 2014 findings).</w:t>
      </w:r>
    </w:p>
    <w:p w14:paraId="18EF223D" w14:textId="1474B4F1" w:rsidR="005F4489" w:rsidRDefault="005F4489" w:rsidP="005F4489">
      <w:pPr>
        <w:pStyle w:val="NonTOCHeading2"/>
        <w:rPr>
          <w:rFonts w:cstheme="minorBidi"/>
          <w:color w:val="auto"/>
        </w:rPr>
      </w:pPr>
      <w:r>
        <w:t xml:space="preserve">PFOS – stocks of PFOS-containing AFFF concentrates </w:t>
      </w:r>
    </w:p>
    <w:p w14:paraId="27663FFD" w14:textId="7B927F00" w:rsidR="005F4489" w:rsidRPr="00F54E66" w:rsidRDefault="00950699" w:rsidP="00F54E66">
      <w:pPr>
        <w:pStyle w:val="RECnormaltext"/>
        <w:shd w:val="clear" w:color="auto" w:fill="FFFFFF" w:themeFill="background1"/>
        <w:rPr>
          <w:b/>
        </w:rPr>
      </w:pPr>
      <w:r w:rsidRPr="00F54E66">
        <w:rPr>
          <w:b/>
          <w:highlight w:val="red"/>
        </w:rPr>
        <w:t>CIC</w:t>
      </w:r>
    </w:p>
    <w:p w14:paraId="53B14FB8" w14:textId="77777777" w:rsidR="004742C1" w:rsidRPr="000C7BA8" w:rsidRDefault="004742C1" w:rsidP="004742C1">
      <w:pPr>
        <w:pStyle w:val="RECdotnotlist"/>
        <w:numPr>
          <w:ilvl w:val="0"/>
          <w:numId w:val="0"/>
        </w:numPr>
      </w:pPr>
    </w:p>
    <w:p w14:paraId="625CE4DD" w14:textId="6ABB610D" w:rsidR="003568F5" w:rsidRPr="005F0975" w:rsidRDefault="003568F5" w:rsidP="005F4489">
      <w:pPr>
        <w:pStyle w:val="NonTOCHeading2"/>
      </w:pPr>
      <w:r>
        <w:t>Used l</w:t>
      </w:r>
      <w:r w:rsidRPr="005F0975">
        <w:t>ead acid batteries</w:t>
      </w:r>
      <w:r>
        <w:t xml:space="preserve"> </w:t>
      </w:r>
      <w:r w:rsidR="003F439A">
        <w:t xml:space="preserve">(ULAB) </w:t>
      </w:r>
      <w:r>
        <w:t>(</w:t>
      </w:r>
      <w:r w:rsidR="003F439A">
        <w:t>auto and industrial</w:t>
      </w:r>
      <w:r>
        <w:t>)</w:t>
      </w:r>
    </w:p>
    <w:p w14:paraId="5736F9B6" w14:textId="77777777" w:rsidR="006F4495" w:rsidRDefault="003F439A" w:rsidP="006F4495">
      <w:pPr>
        <w:pStyle w:val="RECdotnotlist"/>
      </w:pPr>
      <w:r>
        <w:t xml:space="preserve">ABRI 2010 provided the estimate for tonnages of automotive and industrial ULAB stockpiling in 2010 (both informal and formal). </w:t>
      </w:r>
    </w:p>
    <w:p w14:paraId="173C8650" w14:textId="7A20BE0B" w:rsidR="0051348C" w:rsidRDefault="006F4495" w:rsidP="006F4495">
      <w:pPr>
        <w:pStyle w:val="RECdotnotlist"/>
      </w:pPr>
      <w:r>
        <w:t>Stockpiling is assumed to have remained at the same rate since 2010.</w:t>
      </w:r>
      <w:r w:rsidR="003F439A">
        <w:t xml:space="preserve"> </w:t>
      </w:r>
    </w:p>
    <w:p w14:paraId="686738A5" w14:textId="4F487A59" w:rsidR="00F90B29" w:rsidRDefault="006F4495" w:rsidP="00CA1C04">
      <w:pPr>
        <w:pStyle w:val="RECdotnotlist"/>
      </w:pPr>
      <w:r w:rsidRPr="006F4495">
        <w:t xml:space="preserve">Assumed </w:t>
      </w:r>
      <w:r>
        <w:t xml:space="preserve">three </w:t>
      </w:r>
      <w:r w:rsidRPr="006F4495">
        <w:t xml:space="preserve">years of </w:t>
      </w:r>
      <w:r>
        <w:t xml:space="preserve">ULAB </w:t>
      </w:r>
      <w:r w:rsidRPr="006F4495">
        <w:t>stockpile accumulation before clearing</w:t>
      </w:r>
      <w:r>
        <w:t xml:space="preserve">, i.e. the total stockpile is assumed to be three times the estimated annual stockpiling amount. </w:t>
      </w:r>
    </w:p>
    <w:p w14:paraId="2A8A937B" w14:textId="7A9F65E4" w:rsidR="006F4495" w:rsidRDefault="006F4495" w:rsidP="00CA1C04">
      <w:pPr>
        <w:pStyle w:val="RECdotnotlist"/>
      </w:pPr>
      <w:r>
        <w:t>No state and territory splits are provided in the public ABRI 2010 report and population was not used to estimate each jurisdiction’s proportion of the</w:t>
      </w:r>
      <w:r w:rsidR="000D2027">
        <w:t xml:space="preserve"> national</w:t>
      </w:r>
      <w:r>
        <w:t xml:space="preserve"> stockpile. It is understood th</w:t>
      </w:r>
      <w:r w:rsidR="00321BD1">
        <w:t>at stockpiling of ULABs i</w:t>
      </w:r>
      <w:r>
        <w:t xml:space="preserve">s more of an issue </w:t>
      </w:r>
      <w:r w:rsidR="00321BD1">
        <w:t>in WA and NT and less of an issue i</w:t>
      </w:r>
      <w:r>
        <w:t>n the eastern states</w:t>
      </w:r>
      <w:r w:rsidR="00B0008D">
        <w:t xml:space="preserve"> (stockpiling is due mainly to transport distances to processing facilities)</w:t>
      </w:r>
      <w:r>
        <w:t xml:space="preserve">. </w:t>
      </w:r>
    </w:p>
    <w:p w14:paraId="4E670020" w14:textId="77777777" w:rsidR="00696D29" w:rsidRDefault="00696D29" w:rsidP="00696D29">
      <w:pPr>
        <w:pStyle w:val="RECdotnotlist"/>
        <w:numPr>
          <w:ilvl w:val="0"/>
          <w:numId w:val="0"/>
        </w:numPr>
        <w:ind w:left="284"/>
      </w:pPr>
    </w:p>
    <w:p w14:paraId="2C5CCFF1" w14:textId="77777777" w:rsidR="00696D29" w:rsidRDefault="00696D29">
      <w:pPr>
        <w:rPr>
          <w:rFonts w:asciiTheme="minorHAnsi" w:hAnsiTheme="minorHAnsi"/>
          <w:color w:val="auto"/>
          <w:szCs w:val="20"/>
        </w:rPr>
      </w:pPr>
      <w:r>
        <w:br w:type="page"/>
      </w:r>
    </w:p>
    <w:p w14:paraId="6886FEF1" w14:textId="7BDD0D81" w:rsidR="00696D29" w:rsidRDefault="00696D29" w:rsidP="00292D83">
      <w:pPr>
        <w:pStyle w:val="Heading1"/>
        <w:numPr>
          <w:ilvl w:val="0"/>
          <w:numId w:val="0"/>
        </w:numPr>
        <w:spacing w:before="120" w:after="120"/>
        <w:rPr>
          <w:i/>
        </w:rPr>
      </w:pPr>
      <w:bookmarkStart w:id="229" w:name="_Toc532990267"/>
      <w:r w:rsidRPr="00BF116D">
        <w:t>Appendix D</w:t>
      </w:r>
      <w:r>
        <w:t xml:space="preserve"> </w:t>
      </w:r>
      <w:r w:rsidRPr="00267977">
        <w:rPr>
          <w:i/>
        </w:rPr>
        <w:t>Movement of Controlled Waste between States and Territories NEPM, S</w:t>
      </w:r>
      <w:r w:rsidR="00D00A38">
        <w:rPr>
          <w:i/>
        </w:rPr>
        <w:t>c</w:t>
      </w:r>
      <w:r w:rsidRPr="00267977">
        <w:rPr>
          <w:i/>
        </w:rPr>
        <w:t>hedule A List 1: Waste categories</w:t>
      </w:r>
      <w:bookmarkEnd w:id="229"/>
    </w:p>
    <w:tbl>
      <w:tblPr>
        <w:tblW w:w="5000" w:type="pct"/>
        <w:tblCellMar>
          <w:top w:w="15" w:type="dxa"/>
          <w:bottom w:w="15" w:type="dxa"/>
        </w:tblCellMar>
        <w:tblLook w:val="04A0" w:firstRow="1" w:lastRow="0" w:firstColumn="1" w:lastColumn="0" w:noHBand="0" w:noVBand="1"/>
      </w:tblPr>
      <w:tblGrid>
        <w:gridCol w:w="332"/>
        <w:gridCol w:w="1732"/>
        <w:gridCol w:w="1167"/>
        <w:gridCol w:w="5795"/>
      </w:tblGrid>
      <w:tr w:rsidR="00D00A38" w:rsidRPr="00267977" w14:paraId="305A42AF" w14:textId="77777777" w:rsidTr="00267977">
        <w:trPr>
          <w:trHeight w:val="285"/>
        </w:trPr>
        <w:tc>
          <w:tcPr>
            <w:tcW w:w="1019" w:type="pct"/>
            <w:gridSpan w:val="2"/>
            <w:tcBorders>
              <w:top w:val="single" w:sz="8" w:space="0" w:color="auto"/>
              <w:bottom w:val="single" w:sz="4" w:space="0" w:color="auto"/>
              <w:right w:val="nil"/>
            </w:tcBorders>
            <w:shd w:val="clear" w:color="000000" w:fill="000000"/>
            <w:noWrap/>
            <w:vAlign w:val="center"/>
            <w:hideMark/>
          </w:tcPr>
          <w:p w14:paraId="657079A9" w14:textId="77777777" w:rsidR="00D00A38" w:rsidRDefault="00D00A38" w:rsidP="00292D83">
            <w:pPr>
              <w:spacing w:after="0"/>
              <w:rPr>
                <w:rFonts w:asciiTheme="minorHAnsi" w:eastAsia="Times New Roman" w:hAnsiTheme="minorHAnsi" w:cstheme="minorHAnsi"/>
                <w:b/>
                <w:bCs/>
                <w:color w:val="FFFFFF"/>
                <w:sz w:val="16"/>
                <w:szCs w:val="16"/>
                <w:lang w:eastAsia="en-AU"/>
              </w:rPr>
            </w:pPr>
            <w:bookmarkStart w:id="230" w:name="NEPM_codes!A1:D74"/>
            <w:r w:rsidRPr="00267977">
              <w:rPr>
                <w:rFonts w:asciiTheme="minorHAnsi" w:eastAsia="Times New Roman" w:hAnsiTheme="minorHAnsi" w:cstheme="minorHAnsi"/>
                <w:b/>
                <w:bCs/>
                <w:color w:val="FFFFFF"/>
                <w:sz w:val="16"/>
                <w:szCs w:val="16"/>
                <w:lang w:eastAsia="en-AU"/>
              </w:rPr>
              <w:t>NEPM “15” Waste Type</w:t>
            </w:r>
            <w:bookmarkEnd w:id="230"/>
          </w:p>
          <w:p w14:paraId="345CD0DB" w14:textId="0FCA7829" w:rsidR="00292D83" w:rsidRPr="00267977" w:rsidRDefault="00292D83" w:rsidP="00292D83">
            <w:pPr>
              <w:spacing w:after="0"/>
              <w:rPr>
                <w:rFonts w:asciiTheme="minorHAnsi" w:eastAsia="Times New Roman" w:hAnsiTheme="minorHAnsi" w:cstheme="minorHAnsi"/>
                <w:b/>
                <w:bCs/>
                <w:color w:val="FFFFFF"/>
                <w:sz w:val="16"/>
                <w:szCs w:val="16"/>
                <w:lang w:eastAsia="en-AU"/>
              </w:rPr>
            </w:pPr>
          </w:p>
        </w:tc>
        <w:tc>
          <w:tcPr>
            <w:tcW w:w="846" w:type="pct"/>
            <w:tcBorders>
              <w:top w:val="single" w:sz="8" w:space="0" w:color="auto"/>
              <w:left w:val="nil"/>
              <w:bottom w:val="single" w:sz="4" w:space="0" w:color="auto"/>
              <w:right w:val="nil"/>
            </w:tcBorders>
            <w:shd w:val="clear" w:color="000000" w:fill="000000"/>
            <w:noWrap/>
            <w:vAlign w:val="center"/>
            <w:hideMark/>
          </w:tcPr>
          <w:p w14:paraId="67C52657" w14:textId="77777777" w:rsidR="00D00A38" w:rsidRPr="00267977" w:rsidRDefault="00D00A38" w:rsidP="00292D83">
            <w:pPr>
              <w:spacing w:after="0" w:line="240" w:lineRule="auto"/>
              <w:rPr>
                <w:rFonts w:asciiTheme="minorHAnsi" w:eastAsia="Times New Roman" w:hAnsiTheme="minorHAnsi" w:cstheme="minorHAnsi"/>
                <w:b/>
                <w:bCs/>
                <w:color w:val="FFFFFF"/>
                <w:sz w:val="16"/>
                <w:szCs w:val="16"/>
                <w:lang w:eastAsia="en-AU"/>
              </w:rPr>
            </w:pPr>
            <w:r w:rsidRPr="00267977">
              <w:rPr>
                <w:rFonts w:asciiTheme="minorHAnsi" w:eastAsia="Times New Roman" w:hAnsiTheme="minorHAnsi" w:cstheme="minorHAnsi"/>
                <w:b/>
                <w:bCs/>
                <w:color w:val="FFFFFF"/>
                <w:sz w:val="16"/>
                <w:szCs w:val="16"/>
                <w:lang w:eastAsia="en-AU"/>
              </w:rPr>
              <w:t>NEPM "75" Code</w:t>
            </w:r>
          </w:p>
        </w:tc>
        <w:tc>
          <w:tcPr>
            <w:tcW w:w="3135" w:type="pct"/>
            <w:tcBorders>
              <w:top w:val="single" w:sz="8" w:space="0" w:color="auto"/>
              <w:left w:val="nil"/>
              <w:bottom w:val="single" w:sz="4" w:space="0" w:color="auto"/>
            </w:tcBorders>
            <w:shd w:val="clear" w:color="000000" w:fill="000000"/>
            <w:noWrap/>
            <w:vAlign w:val="center"/>
            <w:hideMark/>
          </w:tcPr>
          <w:p w14:paraId="115CCE12" w14:textId="77777777" w:rsidR="00D00A38" w:rsidRPr="00267977" w:rsidRDefault="00D00A38" w:rsidP="00292D83">
            <w:pPr>
              <w:spacing w:after="0" w:line="240" w:lineRule="auto"/>
              <w:rPr>
                <w:rFonts w:asciiTheme="minorHAnsi" w:eastAsia="Times New Roman" w:hAnsiTheme="minorHAnsi" w:cstheme="minorHAnsi"/>
                <w:b/>
                <w:bCs/>
                <w:color w:val="FFFFFF"/>
                <w:sz w:val="16"/>
                <w:szCs w:val="16"/>
                <w:lang w:eastAsia="en-AU"/>
              </w:rPr>
            </w:pPr>
            <w:r w:rsidRPr="00267977">
              <w:rPr>
                <w:rFonts w:asciiTheme="minorHAnsi" w:eastAsia="Times New Roman" w:hAnsiTheme="minorHAnsi" w:cstheme="minorHAnsi"/>
                <w:b/>
                <w:bCs/>
                <w:color w:val="FFFFFF"/>
                <w:sz w:val="16"/>
                <w:szCs w:val="16"/>
                <w:lang w:eastAsia="en-AU"/>
              </w:rPr>
              <w:t> Waste Description</w:t>
            </w:r>
          </w:p>
        </w:tc>
      </w:tr>
      <w:tr w:rsidR="00D00A38" w:rsidRPr="00267977" w14:paraId="5F3DB761" w14:textId="77777777" w:rsidTr="00267977">
        <w:trPr>
          <w:trHeight w:val="315"/>
        </w:trPr>
        <w:tc>
          <w:tcPr>
            <w:tcW w:w="133" w:type="pct"/>
            <w:tcBorders>
              <w:top w:val="single" w:sz="4" w:space="0" w:color="auto"/>
              <w:bottom w:val="single" w:sz="4" w:space="0" w:color="auto"/>
              <w:right w:val="nil"/>
            </w:tcBorders>
            <w:shd w:val="clear" w:color="000000" w:fill="FFFFFF"/>
            <w:noWrap/>
            <w:vAlign w:val="center"/>
            <w:hideMark/>
          </w:tcPr>
          <w:p w14:paraId="11BD0B9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w:t>
            </w:r>
          </w:p>
        </w:tc>
        <w:tc>
          <w:tcPr>
            <w:tcW w:w="887" w:type="pct"/>
            <w:tcBorders>
              <w:top w:val="single" w:sz="4" w:space="0" w:color="auto"/>
              <w:left w:val="nil"/>
              <w:bottom w:val="single" w:sz="4" w:space="0" w:color="auto"/>
              <w:right w:val="nil"/>
            </w:tcBorders>
            <w:shd w:val="clear" w:color="000000" w:fill="FFFFFF"/>
            <w:noWrap/>
            <w:vAlign w:val="center"/>
            <w:hideMark/>
          </w:tcPr>
          <w:p w14:paraId="1C73704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 xml:space="preserve">Plating and heat treatment </w:t>
            </w:r>
          </w:p>
        </w:tc>
        <w:tc>
          <w:tcPr>
            <w:tcW w:w="846" w:type="pct"/>
            <w:tcBorders>
              <w:top w:val="single" w:sz="4" w:space="0" w:color="auto"/>
              <w:left w:val="nil"/>
              <w:bottom w:val="single" w:sz="4" w:space="0" w:color="auto"/>
              <w:right w:val="nil"/>
            </w:tcBorders>
            <w:shd w:val="clear" w:color="000000" w:fill="FFFFFF"/>
            <w:noWrap/>
            <w:vAlign w:val="center"/>
            <w:hideMark/>
          </w:tcPr>
          <w:p w14:paraId="13A769B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A100</w:t>
            </w:r>
          </w:p>
        </w:tc>
        <w:tc>
          <w:tcPr>
            <w:tcW w:w="3135" w:type="pct"/>
            <w:tcBorders>
              <w:top w:val="single" w:sz="4" w:space="0" w:color="auto"/>
              <w:left w:val="nil"/>
              <w:bottom w:val="single" w:sz="4" w:space="0" w:color="auto"/>
            </w:tcBorders>
            <w:shd w:val="clear" w:color="000000" w:fill="FFFFFF"/>
            <w:noWrap/>
            <w:vAlign w:val="center"/>
            <w:hideMark/>
          </w:tcPr>
          <w:p w14:paraId="188FC9C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resulting from surface treatment of metals and plastics</w:t>
            </w:r>
          </w:p>
        </w:tc>
      </w:tr>
      <w:tr w:rsidR="00D00A38" w:rsidRPr="00267977" w14:paraId="77D7A605" w14:textId="77777777" w:rsidTr="00267977">
        <w:trPr>
          <w:trHeight w:val="285"/>
        </w:trPr>
        <w:tc>
          <w:tcPr>
            <w:tcW w:w="133" w:type="pct"/>
            <w:tcBorders>
              <w:top w:val="nil"/>
              <w:left w:val="nil"/>
              <w:bottom w:val="nil"/>
              <w:right w:val="nil"/>
            </w:tcBorders>
            <w:shd w:val="clear" w:color="000000" w:fill="FFFFFF"/>
            <w:noWrap/>
            <w:vAlign w:val="center"/>
            <w:hideMark/>
          </w:tcPr>
          <w:p w14:paraId="5DB0F26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84F73E3"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4B1DC6F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A110</w:t>
            </w:r>
          </w:p>
        </w:tc>
        <w:tc>
          <w:tcPr>
            <w:tcW w:w="3135" w:type="pct"/>
            <w:tcBorders>
              <w:top w:val="single" w:sz="4" w:space="0" w:color="auto"/>
              <w:left w:val="nil"/>
              <w:bottom w:val="single" w:sz="4" w:space="0" w:color="auto"/>
            </w:tcBorders>
            <w:shd w:val="clear" w:color="000000" w:fill="FFFFFF"/>
            <w:noWrap/>
            <w:vAlign w:val="center"/>
            <w:hideMark/>
          </w:tcPr>
          <w:p w14:paraId="506618F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heat treatment and tempering operations containing cyanides</w:t>
            </w:r>
          </w:p>
        </w:tc>
      </w:tr>
      <w:tr w:rsidR="00D00A38" w:rsidRPr="00267977" w14:paraId="782C697A" w14:textId="77777777" w:rsidTr="00267977">
        <w:trPr>
          <w:trHeight w:val="285"/>
        </w:trPr>
        <w:tc>
          <w:tcPr>
            <w:tcW w:w="133" w:type="pct"/>
            <w:tcBorders>
              <w:top w:val="nil"/>
              <w:left w:val="nil"/>
              <w:bottom w:val="nil"/>
              <w:right w:val="nil"/>
            </w:tcBorders>
            <w:shd w:val="clear" w:color="000000" w:fill="FFFFFF"/>
            <w:noWrap/>
            <w:vAlign w:val="center"/>
            <w:hideMark/>
          </w:tcPr>
          <w:p w14:paraId="2709112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21E46222"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1957F1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A130</w:t>
            </w:r>
          </w:p>
        </w:tc>
        <w:tc>
          <w:tcPr>
            <w:tcW w:w="3135" w:type="pct"/>
            <w:tcBorders>
              <w:top w:val="single" w:sz="4" w:space="0" w:color="auto"/>
              <w:left w:val="nil"/>
              <w:bottom w:val="single" w:sz="4" w:space="0" w:color="auto"/>
            </w:tcBorders>
            <w:shd w:val="clear" w:color="000000" w:fill="FFFFFF"/>
            <w:noWrap/>
            <w:vAlign w:val="center"/>
            <w:hideMark/>
          </w:tcPr>
          <w:p w14:paraId="6F38FC1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Cyanides (inorganic)</w:t>
            </w:r>
          </w:p>
        </w:tc>
      </w:tr>
      <w:tr w:rsidR="00D00A38" w:rsidRPr="00267977" w14:paraId="63CE95D2" w14:textId="77777777" w:rsidTr="00267977">
        <w:trPr>
          <w:trHeight w:val="285"/>
        </w:trPr>
        <w:tc>
          <w:tcPr>
            <w:tcW w:w="133" w:type="pct"/>
            <w:tcBorders>
              <w:top w:val="nil"/>
              <w:bottom w:val="single" w:sz="4" w:space="0" w:color="auto"/>
              <w:right w:val="nil"/>
            </w:tcBorders>
            <w:shd w:val="clear" w:color="000000" w:fill="FFFFFF"/>
            <w:noWrap/>
            <w:vAlign w:val="center"/>
            <w:hideMark/>
          </w:tcPr>
          <w:p w14:paraId="5AD76D3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B</w:t>
            </w:r>
          </w:p>
        </w:tc>
        <w:tc>
          <w:tcPr>
            <w:tcW w:w="887" w:type="pct"/>
            <w:tcBorders>
              <w:top w:val="nil"/>
              <w:left w:val="nil"/>
              <w:bottom w:val="single" w:sz="4" w:space="0" w:color="auto"/>
              <w:right w:val="nil"/>
            </w:tcBorders>
            <w:shd w:val="clear" w:color="000000" w:fill="FFFFFF"/>
            <w:noWrap/>
            <w:vAlign w:val="center"/>
            <w:hideMark/>
          </w:tcPr>
          <w:p w14:paraId="1585FFF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Acids</w:t>
            </w:r>
          </w:p>
        </w:tc>
        <w:tc>
          <w:tcPr>
            <w:tcW w:w="846" w:type="pct"/>
            <w:tcBorders>
              <w:top w:val="single" w:sz="4" w:space="0" w:color="auto"/>
              <w:left w:val="nil"/>
              <w:bottom w:val="single" w:sz="4" w:space="0" w:color="auto"/>
              <w:right w:val="nil"/>
            </w:tcBorders>
            <w:shd w:val="clear" w:color="000000" w:fill="FFFFFF"/>
            <w:noWrap/>
            <w:vAlign w:val="center"/>
            <w:hideMark/>
          </w:tcPr>
          <w:p w14:paraId="50B8B16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B100</w:t>
            </w:r>
          </w:p>
        </w:tc>
        <w:tc>
          <w:tcPr>
            <w:tcW w:w="3135" w:type="pct"/>
            <w:tcBorders>
              <w:top w:val="single" w:sz="4" w:space="0" w:color="auto"/>
              <w:left w:val="nil"/>
              <w:bottom w:val="single" w:sz="4" w:space="0" w:color="auto"/>
            </w:tcBorders>
            <w:shd w:val="clear" w:color="000000" w:fill="FFFFFF"/>
            <w:noWrap/>
            <w:vAlign w:val="center"/>
            <w:hideMark/>
          </w:tcPr>
          <w:p w14:paraId="587A384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Acidic solutions or acids in solid form</w:t>
            </w:r>
          </w:p>
        </w:tc>
      </w:tr>
      <w:tr w:rsidR="00D00A38" w:rsidRPr="00267977" w14:paraId="2A861301" w14:textId="77777777" w:rsidTr="00267977">
        <w:trPr>
          <w:trHeight w:val="285"/>
        </w:trPr>
        <w:tc>
          <w:tcPr>
            <w:tcW w:w="133" w:type="pct"/>
            <w:tcBorders>
              <w:top w:val="single" w:sz="4" w:space="0" w:color="auto"/>
              <w:bottom w:val="single" w:sz="4" w:space="0" w:color="auto"/>
              <w:right w:val="nil"/>
            </w:tcBorders>
            <w:shd w:val="clear" w:color="000000" w:fill="FFFFFF"/>
            <w:noWrap/>
            <w:vAlign w:val="center"/>
            <w:hideMark/>
          </w:tcPr>
          <w:p w14:paraId="07568DC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w:t>
            </w:r>
          </w:p>
        </w:tc>
        <w:tc>
          <w:tcPr>
            <w:tcW w:w="887" w:type="pct"/>
            <w:tcBorders>
              <w:top w:val="single" w:sz="4" w:space="0" w:color="auto"/>
              <w:left w:val="nil"/>
              <w:bottom w:val="single" w:sz="4" w:space="0" w:color="auto"/>
              <w:right w:val="nil"/>
            </w:tcBorders>
            <w:shd w:val="clear" w:color="000000" w:fill="FFFFFF"/>
            <w:noWrap/>
            <w:vAlign w:val="center"/>
            <w:hideMark/>
          </w:tcPr>
          <w:p w14:paraId="1E8ADC9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Alkalis</w:t>
            </w:r>
          </w:p>
        </w:tc>
        <w:tc>
          <w:tcPr>
            <w:tcW w:w="846" w:type="pct"/>
            <w:tcBorders>
              <w:top w:val="single" w:sz="4" w:space="0" w:color="auto"/>
              <w:left w:val="nil"/>
              <w:bottom w:val="single" w:sz="4" w:space="0" w:color="auto"/>
              <w:right w:val="nil"/>
            </w:tcBorders>
            <w:shd w:val="clear" w:color="000000" w:fill="FFFFFF"/>
            <w:noWrap/>
            <w:vAlign w:val="center"/>
            <w:hideMark/>
          </w:tcPr>
          <w:p w14:paraId="503E8FD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C100</w:t>
            </w:r>
          </w:p>
        </w:tc>
        <w:tc>
          <w:tcPr>
            <w:tcW w:w="3135" w:type="pct"/>
            <w:tcBorders>
              <w:top w:val="single" w:sz="4" w:space="0" w:color="auto"/>
              <w:left w:val="nil"/>
              <w:bottom w:val="single" w:sz="4" w:space="0" w:color="auto"/>
            </w:tcBorders>
            <w:shd w:val="clear" w:color="000000" w:fill="FFFFFF"/>
            <w:noWrap/>
            <w:vAlign w:val="center"/>
            <w:hideMark/>
          </w:tcPr>
          <w:p w14:paraId="0B21CB6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Basic solutions or bases in solid form</w:t>
            </w:r>
          </w:p>
        </w:tc>
      </w:tr>
      <w:tr w:rsidR="00D00A38" w:rsidRPr="00267977" w14:paraId="07C9E6EE" w14:textId="77777777" w:rsidTr="00267977">
        <w:trPr>
          <w:trHeight w:val="315"/>
        </w:trPr>
        <w:tc>
          <w:tcPr>
            <w:tcW w:w="133" w:type="pct"/>
            <w:tcBorders>
              <w:top w:val="single" w:sz="4" w:space="0" w:color="auto"/>
              <w:bottom w:val="single" w:sz="4" w:space="0" w:color="auto"/>
              <w:right w:val="nil"/>
            </w:tcBorders>
            <w:shd w:val="clear" w:color="000000" w:fill="FFFFFF"/>
            <w:noWrap/>
            <w:vAlign w:val="center"/>
            <w:hideMark/>
          </w:tcPr>
          <w:p w14:paraId="7493D13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w:t>
            </w:r>
          </w:p>
        </w:tc>
        <w:tc>
          <w:tcPr>
            <w:tcW w:w="887" w:type="pct"/>
            <w:tcBorders>
              <w:top w:val="single" w:sz="4" w:space="0" w:color="auto"/>
              <w:left w:val="nil"/>
              <w:bottom w:val="single" w:sz="4" w:space="0" w:color="auto"/>
              <w:right w:val="nil"/>
            </w:tcBorders>
            <w:shd w:val="clear" w:color="000000" w:fill="FFFFFF"/>
            <w:noWrap/>
            <w:vAlign w:val="center"/>
            <w:hideMark/>
          </w:tcPr>
          <w:p w14:paraId="65CF4D7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Inorganic chemicals</w:t>
            </w:r>
          </w:p>
        </w:tc>
        <w:tc>
          <w:tcPr>
            <w:tcW w:w="846" w:type="pct"/>
            <w:tcBorders>
              <w:top w:val="single" w:sz="4" w:space="0" w:color="auto"/>
              <w:left w:val="nil"/>
              <w:bottom w:val="single" w:sz="4" w:space="0" w:color="auto"/>
              <w:right w:val="nil"/>
            </w:tcBorders>
            <w:shd w:val="clear" w:color="000000" w:fill="FFFFFF"/>
            <w:noWrap/>
            <w:vAlign w:val="center"/>
            <w:hideMark/>
          </w:tcPr>
          <w:p w14:paraId="5CDB46D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D100</w:t>
            </w:r>
          </w:p>
        </w:tc>
        <w:tc>
          <w:tcPr>
            <w:tcW w:w="3135" w:type="pct"/>
            <w:tcBorders>
              <w:top w:val="single" w:sz="4" w:space="0" w:color="auto"/>
              <w:left w:val="nil"/>
              <w:bottom w:val="single" w:sz="4" w:space="0" w:color="auto"/>
            </w:tcBorders>
            <w:shd w:val="clear" w:color="000000" w:fill="FFFFFF"/>
            <w:noWrap/>
            <w:vAlign w:val="center"/>
            <w:hideMark/>
          </w:tcPr>
          <w:p w14:paraId="6338741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Metal carbonyls</w:t>
            </w:r>
          </w:p>
        </w:tc>
      </w:tr>
      <w:tr w:rsidR="00D00A38" w:rsidRPr="00267977" w14:paraId="1657BEB2" w14:textId="77777777" w:rsidTr="00267977">
        <w:trPr>
          <w:trHeight w:val="285"/>
        </w:trPr>
        <w:tc>
          <w:tcPr>
            <w:tcW w:w="133" w:type="pct"/>
            <w:tcBorders>
              <w:top w:val="nil"/>
              <w:left w:val="nil"/>
              <w:bottom w:val="nil"/>
              <w:right w:val="nil"/>
            </w:tcBorders>
            <w:shd w:val="clear" w:color="000000" w:fill="FFFFFF"/>
            <w:noWrap/>
            <w:vAlign w:val="center"/>
            <w:hideMark/>
          </w:tcPr>
          <w:p w14:paraId="67ACECC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003C66F"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BE0891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D110</w:t>
            </w:r>
          </w:p>
        </w:tc>
        <w:tc>
          <w:tcPr>
            <w:tcW w:w="3135" w:type="pct"/>
            <w:tcBorders>
              <w:top w:val="single" w:sz="4" w:space="0" w:color="auto"/>
              <w:left w:val="nil"/>
              <w:bottom w:val="single" w:sz="4" w:space="0" w:color="auto"/>
            </w:tcBorders>
            <w:shd w:val="clear" w:color="000000" w:fill="FFFFFF"/>
            <w:noWrap/>
            <w:vAlign w:val="center"/>
            <w:hideMark/>
          </w:tcPr>
          <w:p w14:paraId="4FF8C98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Inorganic fluorine compounds excluding calcium fluoride</w:t>
            </w:r>
          </w:p>
        </w:tc>
      </w:tr>
      <w:tr w:rsidR="00D00A38" w:rsidRPr="00267977" w14:paraId="0B65D219" w14:textId="77777777" w:rsidTr="00267977">
        <w:trPr>
          <w:trHeight w:val="285"/>
        </w:trPr>
        <w:tc>
          <w:tcPr>
            <w:tcW w:w="133" w:type="pct"/>
            <w:tcBorders>
              <w:top w:val="nil"/>
              <w:left w:val="nil"/>
              <w:bottom w:val="nil"/>
              <w:right w:val="nil"/>
            </w:tcBorders>
            <w:shd w:val="clear" w:color="000000" w:fill="FFFFFF"/>
            <w:noWrap/>
            <w:vAlign w:val="center"/>
            <w:hideMark/>
          </w:tcPr>
          <w:p w14:paraId="3F3B822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8FD5461"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99B063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D120</w:t>
            </w:r>
          </w:p>
        </w:tc>
        <w:tc>
          <w:tcPr>
            <w:tcW w:w="3135" w:type="pct"/>
            <w:tcBorders>
              <w:top w:val="single" w:sz="4" w:space="0" w:color="auto"/>
              <w:left w:val="nil"/>
              <w:bottom w:val="single" w:sz="4" w:space="0" w:color="auto"/>
            </w:tcBorders>
            <w:shd w:val="clear" w:color="000000" w:fill="FFFFFF"/>
            <w:noWrap/>
            <w:vAlign w:val="center"/>
            <w:hideMark/>
          </w:tcPr>
          <w:p w14:paraId="2B4B862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Mercury; mercury compounds</w:t>
            </w:r>
          </w:p>
        </w:tc>
      </w:tr>
      <w:tr w:rsidR="00D00A38" w:rsidRPr="00267977" w14:paraId="386D4E0F" w14:textId="77777777" w:rsidTr="00267977">
        <w:trPr>
          <w:trHeight w:val="285"/>
        </w:trPr>
        <w:tc>
          <w:tcPr>
            <w:tcW w:w="133" w:type="pct"/>
            <w:tcBorders>
              <w:top w:val="nil"/>
              <w:left w:val="nil"/>
              <w:bottom w:val="nil"/>
              <w:right w:val="nil"/>
            </w:tcBorders>
            <w:shd w:val="clear" w:color="000000" w:fill="FFFFFF"/>
            <w:noWrap/>
            <w:vAlign w:val="center"/>
            <w:hideMark/>
          </w:tcPr>
          <w:p w14:paraId="5C39B35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2CA1FB88"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D3B4B9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D130</w:t>
            </w:r>
          </w:p>
        </w:tc>
        <w:tc>
          <w:tcPr>
            <w:tcW w:w="3135" w:type="pct"/>
            <w:tcBorders>
              <w:top w:val="single" w:sz="4" w:space="0" w:color="auto"/>
              <w:left w:val="nil"/>
              <w:bottom w:val="single" w:sz="4" w:space="0" w:color="auto"/>
            </w:tcBorders>
            <w:shd w:val="clear" w:color="000000" w:fill="FFFFFF"/>
            <w:noWrap/>
            <w:vAlign w:val="center"/>
            <w:hideMark/>
          </w:tcPr>
          <w:p w14:paraId="46D0197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Arsenic; arsenic compounds</w:t>
            </w:r>
          </w:p>
        </w:tc>
      </w:tr>
      <w:tr w:rsidR="00D00A38" w:rsidRPr="00267977" w14:paraId="200E1007" w14:textId="77777777" w:rsidTr="00267977">
        <w:trPr>
          <w:trHeight w:val="285"/>
        </w:trPr>
        <w:tc>
          <w:tcPr>
            <w:tcW w:w="133" w:type="pct"/>
            <w:tcBorders>
              <w:top w:val="nil"/>
              <w:left w:val="nil"/>
              <w:bottom w:val="nil"/>
              <w:right w:val="nil"/>
            </w:tcBorders>
            <w:shd w:val="clear" w:color="000000" w:fill="FFFFFF"/>
            <w:noWrap/>
            <w:vAlign w:val="center"/>
            <w:hideMark/>
          </w:tcPr>
          <w:p w14:paraId="545863E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DFD4F36"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9D4B09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D140</w:t>
            </w:r>
          </w:p>
        </w:tc>
        <w:tc>
          <w:tcPr>
            <w:tcW w:w="3135" w:type="pct"/>
            <w:tcBorders>
              <w:top w:val="single" w:sz="4" w:space="0" w:color="auto"/>
              <w:left w:val="nil"/>
              <w:bottom w:val="single" w:sz="4" w:space="0" w:color="auto"/>
            </w:tcBorders>
            <w:shd w:val="clear" w:color="000000" w:fill="FFFFFF"/>
            <w:noWrap/>
            <w:vAlign w:val="center"/>
            <w:hideMark/>
          </w:tcPr>
          <w:p w14:paraId="4F87993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Chromium compounds (hexavalent and trivalent)</w:t>
            </w:r>
          </w:p>
        </w:tc>
      </w:tr>
      <w:tr w:rsidR="00D00A38" w:rsidRPr="00267977" w14:paraId="4E8D339F" w14:textId="77777777" w:rsidTr="00267977">
        <w:trPr>
          <w:trHeight w:val="285"/>
        </w:trPr>
        <w:tc>
          <w:tcPr>
            <w:tcW w:w="133" w:type="pct"/>
            <w:tcBorders>
              <w:top w:val="nil"/>
              <w:left w:val="nil"/>
              <w:bottom w:val="nil"/>
              <w:right w:val="nil"/>
            </w:tcBorders>
            <w:shd w:val="clear" w:color="000000" w:fill="FFFFFF"/>
            <w:noWrap/>
            <w:vAlign w:val="center"/>
            <w:hideMark/>
          </w:tcPr>
          <w:p w14:paraId="56899AB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801EEFE"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7D3A782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D150</w:t>
            </w:r>
          </w:p>
        </w:tc>
        <w:tc>
          <w:tcPr>
            <w:tcW w:w="3135" w:type="pct"/>
            <w:tcBorders>
              <w:top w:val="single" w:sz="4" w:space="0" w:color="auto"/>
              <w:left w:val="nil"/>
              <w:bottom w:val="single" w:sz="4" w:space="0" w:color="auto"/>
            </w:tcBorders>
            <w:shd w:val="clear" w:color="000000" w:fill="FFFFFF"/>
            <w:noWrap/>
            <w:vAlign w:val="center"/>
            <w:hideMark/>
          </w:tcPr>
          <w:p w14:paraId="4720C0B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Cadmium; cadmium compounds</w:t>
            </w:r>
          </w:p>
        </w:tc>
      </w:tr>
      <w:tr w:rsidR="00D00A38" w:rsidRPr="00267977" w14:paraId="3DF11A02" w14:textId="77777777" w:rsidTr="00267977">
        <w:trPr>
          <w:trHeight w:val="285"/>
        </w:trPr>
        <w:tc>
          <w:tcPr>
            <w:tcW w:w="133" w:type="pct"/>
            <w:tcBorders>
              <w:top w:val="nil"/>
              <w:left w:val="nil"/>
              <w:bottom w:val="nil"/>
              <w:right w:val="nil"/>
            </w:tcBorders>
            <w:shd w:val="clear" w:color="000000" w:fill="FFFFFF"/>
            <w:noWrap/>
            <w:vAlign w:val="center"/>
            <w:hideMark/>
          </w:tcPr>
          <w:p w14:paraId="1A02352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1BCE8B6"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738710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D160</w:t>
            </w:r>
          </w:p>
        </w:tc>
        <w:tc>
          <w:tcPr>
            <w:tcW w:w="3135" w:type="pct"/>
            <w:tcBorders>
              <w:top w:val="single" w:sz="4" w:space="0" w:color="auto"/>
              <w:left w:val="nil"/>
              <w:bottom w:val="single" w:sz="4" w:space="0" w:color="auto"/>
            </w:tcBorders>
            <w:shd w:val="clear" w:color="000000" w:fill="FFFFFF"/>
            <w:noWrap/>
            <w:vAlign w:val="center"/>
            <w:hideMark/>
          </w:tcPr>
          <w:p w14:paraId="3B54C40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Beryllium; beryllium compounds</w:t>
            </w:r>
          </w:p>
        </w:tc>
      </w:tr>
      <w:tr w:rsidR="00D00A38" w:rsidRPr="00267977" w14:paraId="2B8E0B33" w14:textId="77777777" w:rsidTr="00267977">
        <w:trPr>
          <w:trHeight w:val="285"/>
        </w:trPr>
        <w:tc>
          <w:tcPr>
            <w:tcW w:w="133" w:type="pct"/>
            <w:tcBorders>
              <w:top w:val="nil"/>
              <w:left w:val="nil"/>
              <w:bottom w:val="nil"/>
              <w:right w:val="nil"/>
            </w:tcBorders>
            <w:shd w:val="clear" w:color="000000" w:fill="FFFFFF"/>
            <w:noWrap/>
            <w:vAlign w:val="center"/>
            <w:hideMark/>
          </w:tcPr>
          <w:p w14:paraId="657F93E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A5A8C5D"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EC7BE8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D170</w:t>
            </w:r>
          </w:p>
        </w:tc>
        <w:tc>
          <w:tcPr>
            <w:tcW w:w="3135" w:type="pct"/>
            <w:tcBorders>
              <w:top w:val="single" w:sz="4" w:space="0" w:color="auto"/>
              <w:left w:val="nil"/>
              <w:bottom w:val="single" w:sz="4" w:space="0" w:color="auto"/>
            </w:tcBorders>
            <w:shd w:val="clear" w:color="000000" w:fill="FFFFFF"/>
            <w:noWrap/>
            <w:vAlign w:val="center"/>
            <w:hideMark/>
          </w:tcPr>
          <w:p w14:paraId="3FE411D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Antimony; antimony compounds</w:t>
            </w:r>
          </w:p>
        </w:tc>
      </w:tr>
      <w:tr w:rsidR="00D00A38" w:rsidRPr="00267977" w14:paraId="1833DE4D" w14:textId="77777777" w:rsidTr="00267977">
        <w:trPr>
          <w:trHeight w:val="285"/>
        </w:trPr>
        <w:tc>
          <w:tcPr>
            <w:tcW w:w="133" w:type="pct"/>
            <w:tcBorders>
              <w:top w:val="nil"/>
              <w:left w:val="nil"/>
              <w:bottom w:val="nil"/>
              <w:right w:val="nil"/>
            </w:tcBorders>
            <w:shd w:val="clear" w:color="000000" w:fill="FFFFFF"/>
            <w:noWrap/>
            <w:vAlign w:val="center"/>
            <w:hideMark/>
          </w:tcPr>
          <w:p w14:paraId="03507B0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418D34D4"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61308F1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D180</w:t>
            </w:r>
          </w:p>
        </w:tc>
        <w:tc>
          <w:tcPr>
            <w:tcW w:w="3135" w:type="pct"/>
            <w:tcBorders>
              <w:top w:val="single" w:sz="4" w:space="0" w:color="auto"/>
              <w:left w:val="nil"/>
              <w:bottom w:val="single" w:sz="4" w:space="0" w:color="auto"/>
            </w:tcBorders>
            <w:shd w:val="clear" w:color="000000" w:fill="FFFFFF"/>
            <w:noWrap/>
            <w:vAlign w:val="center"/>
            <w:hideMark/>
          </w:tcPr>
          <w:p w14:paraId="1EED7F2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Thallium; thallium compounds</w:t>
            </w:r>
          </w:p>
        </w:tc>
      </w:tr>
      <w:tr w:rsidR="00D00A38" w:rsidRPr="00267977" w14:paraId="30AA0842" w14:textId="77777777" w:rsidTr="00267977">
        <w:trPr>
          <w:trHeight w:val="285"/>
        </w:trPr>
        <w:tc>
          <w:tcPr>
            <w:tcW w:w="133" w:type="pct"/>
            <w:tcBorders>
              <w:top w:val="nil"/>
              <w:left w:val="nil"/>
              <w:bottom w:val="nil"/>
              <w:right w:val="nil"/>
            </w:tcBorders>
            <w:shd w:val="clear" w:color="000000" w:fill="FFFFFF"/>
            <w:noWrap/>
            <w:vAlign w:val="center"/>
            <w:hideMark/>
          </w:tcPr>
          <w:p w14:paraId="18E3EF5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B628FE2"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0F36CDC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D190</w:t>
            </w:r>
          </w:p>
        </w:tc>
        <w:tc>
          <w:tcPr>
            <w:tcW w:w="3135" w:type="pct"/>
            <w:tcBorders>
              <w:top w:val="single" w:sz="4" w:space="0" w:color="auto"/>
              <w:left w:val="nil"/>
              <w:bottom w:val="single" w:sz="4" w:space="0" w:color="auto"/>
            </w:tcBorders>
            <w:shd w:val="clear" w:color="000000" w:fill="FFFFFF"/>
            <w:noWrap/>
            <w:vAlign w:val="center"/>
            <w:hideMark/>
          </w:tcPr>
          <w:p w14:paraId="4481551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Copper compounds</w:t>
            </w:r>
          </w:p>
        </w:tc>
      </w:tr>
      <w:tr w:rsidR="00D00A38" w:rsidRPr="00267977" w14:paraId="6125AB91" w14:textId="77777777" w:rsidTr="00267977">
        <w:trPr>
          <w:trHeight w:val="285"/>
        </w:trPr>
        <w:tc>
          <w:tcPr>
            <w:tcW w:w="133" w:type="pct"/>
            <w:tcBorders>
              <w:top w:val="nil"/>
              <w:left w:val="nil"/>
              <w:bottom w:val="nil"/>
              <w:right w:val="nil"/>
            </w:tcBorders>
            <w:shd w:val="clear" w:color="000000" w:fill="FFFFFF"/>
            <w:noWrap/>
            <w:vAlign w:val="center"/>
            <w:hideMark/>
          </w:tcPr>
          <w:p w14:paraId="060B889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384070A"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7B0EB99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D200</w:t>
            </w:r>
          </w:p>
        </w:tc>
        <w:tc>
          <w:tcPr>
            <w:tcW w:w="3135" w:type="pct"/>
            <w:tcBorders>
              <w:top w:val="single" w:sz="4" w:space="0" w:color="auto"/>
              <w:left w:val="nil"/>
              <w:bottom w:val="single" w:sz="4" w:space="0" w:color="auto"/>
            </w:tcBorders>
            <w:shd w:val="clear" w:color="000000" w:fill="FFFFFF"/>
            <w:noWrap/>
            <w:vAlign w:val="center"/>
            <w:hideMark/>
          </w:tcPr>
          <w:p w14:paraId="7EF3919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Cobalt compounds</w:t>
            </w:r>
          </w:p>
        </w:tc>
      </w:tr>
      <w:tr w:rsidR="00D00A38" w:rsidRPr="00267977" w14:paraId="651E136D" w14:textId="77777777" w:rsidTr="00267977">
        <w:trPr>
          <w:trHeight w:val="285"/>
        </w:trPr>
        <w:tc>
          <w:tcPr>
            <w:tcW w:w="133" w:type="pct"/>
            <w:tcBorders>
              <w:top w:val="nil"/>
              <w:left w:val="nil"/>
              <w:bottom w:val="nil"/>
              <w:right w:val="nil"/>
            </w:tcBorders>
            <w:shd w:val="clear" w:color="000000" w:fill="FFFFFF"/>
            <w:noWrap/>
            <w:vAlign w:val="center"/>
            <w:hideMark/>
          </w:tcPr>
          <w:p w14:paraId="7D33C5C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46380112"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6D8DE0F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D210</w:t>
            </w:r>
          </w:p>
        </w:tc>
        <w:tc>
          <w:tcPr>
            <w:tcW w:w="3135" w:type="pct"/>
            <w:tcBorders>
              <w:top w:val="single" w:sz="4" w:space="0" w:color="auto"/>
              <w:left w:val="nil"/>
              <w:bottom w:val="single" w:sz="4" w:space="0" w:color="auto"/>
            </w:tcBorders>
            <w:shd w:val="clear" w:color="000000" w:fill="FFFFFF"/>
            <w:noWrap/>
            <w:vAlign w:val="center"/>
            <w:hideMark/>
          </w:tcPr>
          <w:p w14:paraId="76FD0E6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Nickel compounds</w:t>
            </w:r>
          </w:p>
        </w:tc>
      </w:tr>
      <w:tr w:rsidR="00D00A38" w:rsidRPr="00267977" w14:paraId="1BAAF729" w14:textId="77777777" w:rsidTr="00267977">
        <w:trPr>
          <w:trHeight w:val="285"/>
        </w:trPr>
        <w:tc>
          <w:tcPr>
            <w:tcW w:w="133" w:type="pct"/>
            <w:tcBorders>
              <w:top w:val="nil"/>
              <w:left w:val="nil"/>
              <w:bottom w:val="nil"/>
              <w:right w:val="nil"/>
            </w:tcBorders>
            <w:shd w:val="clear" w:color="000000" w:fill="FFFFFF"/>
            <w:noWrap/>
            <w:vAlign w:val="center"/>
            <w:hideMark/>
          </w:tcPr>
          <w:p w14:paraId="4DDC3B9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14E75837"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0A30049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D220</w:t>
            </w:r>
          </w:p>
        </w:tc>
        <w:tc>
          <w:tcPr>
            <w:tcW w:w="3135" w:type="pct"/>
            <w:tcBorders>
              <w:top w:val="single" w:sz="4" w:space="0" w:color="auto"/>
              <w:left w:val="nil"/>
              <w:bottom w:val="single" w:sz="4" w:space="0" w:color="auto"/>
            </w:tcBorders>
            <w:shd w:val="clear" w:color="000000" w:fill="FFFFFF"/>
            <w:noWrap/>
            <w:vAlign w:val="center"/>
            <w:hideMark/>
          </w:tcPr>
          <w:p w14:paraId="6F2C905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Lead; lead compounds</w:t>
            </w:r>
          </w:p>
        </w:tc>
      </w:tr>
      <w:tr w:rsidR="00D00A38" w:rsidRPr="00267977" w14:paraId="1B37AC69" w14:textId="77777777" w:rsidTr="00267977">
        <w:trPr>
          <w:trHeight w:val="285"/>
        </w:trPr>
        <w:tc>
          <w:tcPr>
            <w:tcW w:w="133" w:type="pct"/>
            <w:tcBorders>
              <w:top w:val="nil"/>
              <w:left w:val="nil"/>
              <w:bottom w:val="nil"/>
              <w:right w:val="nil"/>
            </w:tcBorders>
            <w:shd w:val="clear" w:color="000000" w:fill="FFFFFF"/>
            <w:noWrap/>
            <w:vAlign w:val="center"/>
            <w:hideMark/>
          </w:tcPr>
          <w:p w14:paraId="08D89C5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8F365A9"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C90085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D230</w:t>
            </w:r>
          </w:p>
        </w:tc>
        <w:tc>
          <w:tcPr>
            <w:tcW w:w="3135" w:type="pct"/>
            <w:tcBorders>
              <w:top w:val="single" w:sz="4" w:space="0" w:color="auto"/>
              <w:left w:val="nil"/>
              <w:bottom w:val="single" w:sz="4" w:space="0" w:color="auto"/>
            </w:tcBorders>
            <w:shd w:val="clear" w:color="000000" w:fill="FFFFFF"/>
            <w:noWrap/>
            <w:vAlign w:val="center"/>
            <w:hideMark/>
          </w:tcPr>
          <w:p w14:paraId="2C9CECD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Zinc compounds</w:t>
            </w:r>
          </w:p>
        </w:tc>
      </w:tr>
      <w:tr w:rsidR="00D00A38" w:rsidRPr="00267977" w14:paraId="64D32B23" w14:textId="77777777" w:rsidTr="00267977">
        <w:trPr>
          <w:trHeight w:val="285"/>
        </w:trPr>
        <w:tc>
          <w:tcPr>
            <w:tcW w:w="133" w:type="pct"/>
            <w:tcBorders>
              <w:top w:val="nil"/>
              <w:left w:val="nil"/>
              <w:bottom w:val="nil"/>
              <w:right w:val="nil"/>
            </w:tcBorders>
            <w:shd w:val="clear" w:color="000000" w:fill="FFFFFF"/>
            <w:noWrap/>
            <w:vAlign w:val="center"/>
            <w:hideMark/>
          </w:tcPr>
          <w:p w14:paraId="41DDEE9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A17FF42"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05A87B5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D240</w:t>
            </w:r>
          </w:p>
        </w:tc>
        <w:tc>
          <w:tcPr>
            <w:tcW w:w="3135" w:type="pct"/>
            <w:tcBorders>
              <w:top w:val="single" w:sz="4" w:space="0" w:color="auto"/>
              <w:left w:val="nil"/>
              <w:bottom w:val="single" w:sz="4" w:space="0" w:color="auto"/>
            </w:tcBorders>
            <w:shd w:val="clear" w:color="000000" w:fill="FFFFFF"/>
            <w:noWrap/>
            <w:vAlign w:val="center"/>
            <w:hideMark/>
          </w:tcPr>
          <w:p w14:paraId="2B9095E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Selenium; selenium compounds</w:t>
            </w:r>
          </w:p>
        </w:tc>
      </w:tr>
      <w:tr w:rsidR="00D00A38" w:rsidRPr="00267977" w14:paraId="6EE27C7B" w14:textId="77777777" w:rsidTr="00267977">
        <w:trPr>
          <w:trHeight w:val="285"/>
        </w:trPr>
        <w:tc>
          <w:tcPr>
            <w:tcW w:w="133" w:type="pct"/>
            <w:tcBorders>
              <w:top w:val="nil"/>
              <w:left w:val="nil"/>
              <w:bottom w:val="nil"/>
              <w:right w:val="nil"/>
            </w:tcBorders>
            <w:shd w:val="clear" w:color="000000" w:fill="FFFFFF"/>
            <w:noWrap/>
            <w:vAlign w:val="center"/>
            <w:hideMark/>
          </w:tcPr>
          <w:p w14:paraId="142AB95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46159127"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446E6EB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D250</w:t>
            </w:r>
          </w:p>
        </w:tc>
        <w:tc>
          <w:tcPr>
            <w:tcW w:w="3135" w:type="pct"/>
            <w:tcBorders>
              <w:top w:val="single" w:sz="4" w:space="0" w:color="auto"/>
              <w:left w:val="nil"/>
              <w:bottom w:val="single" w:sz="4" w:space="0" w:color="auto"/>
            </w:tcBorders>
            <w:shd w:val="clear" w:color="000000" w:fill="FFFFFF"/>
            <w:noWrap/>
            <w:vAlign w:val="center"/>
            <w:hideMark/>
          </w:tcPr>
          <w:p w14:paraId="5B9B463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Tellurium; tellurium compounds</w:t>
            </w:r>
          </w:p>
        </w:tc>
      </w:tr>
      <w:tr w:rsidR="00D00A38" w:rsidRPr="00267977" w14:paraId="7636891F" w14:textId="77777777" w:rsidTr="00267977">
        <w:trPr>
          <w:trHeight w:val="285"/>
        </w:trPr>
        <w:tc>
          <w:tcPr>
            <w:tcW w:w="133" w:type="pct"/>
            <w:tcBorders>
              <w:top w:val="nil"/>
              <w:left w:val="nil"/>
              <w:bottom w:val="nil"/>
              <w:right w:val="nil"/>
            </w:tcBorders>
            <w:shd w:val="clear" w:color="000000" w:fill="FFFFFF"/>
            <w:noWrap/>
            <w:vAlign w:val="center"/>
            <w:hideMark/>
          </w:tcPr>
          <w:p w14:paraId="01CE713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7DA58F8"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E9403F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D270</w:t>
            </w:r>
          </w:p>
        </w:tc>
        <w:tc>
          <w:tcPr>
            <w:tcW w:w="3135" w:type="pct"/>
            <w:tcBorders>
              <w:top w:val="single" w:sz="4" w:space="0" w:color="auto"/>
              <w:left w:val="nil"/>
              <w:bottom w:val="single" w:sz="4" w:space="0" w:color="auto"/>
            </w:tcBorders>
            <w:shd w:val="clear" w:color="000000" w:fill="FFFFFF"/>
            <w:noWrap/>
            <w:vAlign w:val="center"/>
            <w:hideMark/>
          </w:tcPr>
          <w:p w14:paraId="4F687AA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Vanadium compounds</w:t>
            </w:r>
          </w:p>
        </w:tc>
      </w:tr>
      <w:tr w:rsidR="00D00A38" w:rsidRPr="00267977" w14:paraId="655AEF9B" w14:textId="77777777" w:rsidTr="00267977">
        <w:trPr>
          <w:trHeight w:val="285"/>
        </w:trPr>
        <w:tc>
          <w:tcPr>
            <w:tcW w:w="133" w:type="pct"/>
            <w:tcBorders>
              <w:top w:val="nil"/>
              <w:left w:val="nil"/>
              <w:bottom w:val="nil"/>
              <w:right w:val="nil"/>
            </w:tcBorders>
            <w:shd w:val="clear" w:color="000000" w:fill="FFFFFF"/>
            <w:noWrap/>
            <w:vAlign w:val="center"/>
            <w:hideMark/>
          </w:tcPr>
          <w:p w14:paraId="2537616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8A058B3"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1A77B24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D290</w:t>
            </w:r>
          </w:p>
        </w:tc>
        <w:tc>
          <w:tcPr>
            <w:tcW w:w="3135" w:type="pct"/>
            <w:tcBorders>
              <w:top w:val="single" w:sz="4" w:space="0" w:color="auto"/>
              <w:left w:val="nil"/>
              <w:bottom w:val="single" w:sz="4" w:space="0" w:color="auto"/>
            </w:tcBorders>
            <w:shd w:val="clear" w:color="000000" w:fill="FFFFFF"/>
            <w:noWrap/>
            <w:vAlign w:val="center"/>
            <w:hideMark/>
          </w:tcPr>
          <w:p w14:paraId="7CFF332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Barium compounds (excluding barium sulphate)</w:t>
            </w:r>
          </w:p>
        </w:tc>
      </w:tr>
      <w:tr w:rsidR="00D00A38" w:rsidRPr="00267977" w14:paraId="4723F2A2" w14:textId="77777777" w:rsidTr="00267977">
        <w:trPr>
          <w:trHeight w:val="285"/>
        </w:trPr>
        <w:tc>
          <w:tcPr>
            <w:tcW w:w="133" w:type="pct"/>
            <w:tcBorders>
              <w:top w:val="nil"/>
              <w:left w:val="nil"/>
              <w:bottom w:val="nil"/>
              <w:right w:val="nil"/>
            </w:tcBorders>
            <w:shd w:val="clear" w:color="000000" w:fill="FFFFFF"/>
            <w:noWrap/>
            <w:vAlign w:val="center"/>
            <w:hideMark/>
          </w:tcPr>
          <w:p w14:paraId="6CA6F83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C8DD0FD"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479766E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D300</w:t>
            </w:r>
          </w:p>
        </w:tc>
        <w:tc>
          <w:tcPr>
            <w:tcW w:w="3135" w:type="pct"/>
            <w:tcBorders>
              <w:top w:val="single" w:sz="4" w:space="0" w:color="auto"/>
              <w:left w:val="nil"/>
              <w:bottom w:val="single" w:sz="4" w:space="0" w:color="auto"/>
            </w:tcBorders>
            <w:shd w:val="clear" w:color="000000" w:fill="FFFFFF"/>
            <w:noWrap/>
            <w:vAlign w:val="center"/>
            <w:hideMark/>
          </w:tcPr>
          <w:p w14:paraId="16549D5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Non-toxic salts</w:t>
            </w:r>
          </w:p>
        </w:tc>
      </w:tr>
      <w:tr w:rsidR="00D00A38" w:rsidRPr="00267977" w14:paraId="1BE4F837" w14:textId="77777777" w:rsidTr="00267977">
        <w:trPr>
          <w:trHeight w:val="285"/>
        </w:trPr>
        <w:tc>
          <w:tcPr>
            <w:tcW w:w="133" w:type="pct"/>
            <w:tcBorders>
              <w:top w:val="nil"/>
              <w:left w:val="nil"/>
              <w:bottom w:val="nil"/>
              <w:right w:val="nil"/>
            </w:tcBorders>
            <w:shd w:val="clear" w:color="000000" w:fill="FFFFFF"/>
            <w:noWrap/>
            <w:vAlign w:val="center"/>
            <w:hideMark/>
          </w:tcPr>
          <w:p w14:paraId="4920124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E694CE8"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8B865C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D310</w:t>
            </w:r>
          </w:p>
        </w:tc>
        <w:tc>
          <w:tcPr>
            <w:tcW w:w="3135" w:type="pct"/>
            <w:tcBorders>
              <w:top w:val="single" w:sz="4" w:space="0" w:color="auto"/>
              <w:left w:val="nil"/>
              <w:bottom w:val="single" w:sz="4" w:space="0" w:color="auto"/>
            </w:tcBorders>
            <w:shd w:val="clear" w:color="000000" w:fill="FFFFFF"/>
            <w:noWrap/>
            <w:vAlign w:val="center"/>
            <w:hideMark/>
          </w:tcPr>
          <w:p w14:paraId="35265DB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Boron compounds</w:t>
            </w:r>
          </w:p>
        </w:tc>
      </w:tr>
      <w:tr w:rsidR="00D00A38" w:rsidRPr="00267977" w14:paraId="6858D16D" w14:textId="77777777" w:rsidTr="00267977">
        <w:trPr>
          <w:trHeight w:val="285"/>
        </w:trPr>
        <w:tc>
          <w:tcPr>
            <w:tcW w:w="133" w:type="pct"/>
            <w:tcBorders>
              <w:top w:val="nil"/>
              <w:left w:val="nil"/>
              <w:bottom w:val="nil"/>
              <w:right w:val="nil"/>
            </w:tcBorders>
            <w:shd w:val="clear" w:color="000000" w:fill="FFFFFF"/>
            <w:noWrap/>
            <w:vAlign w:val="center"/>
            <w:hideMark/>
          </w:tcPr>
          <w:p w14:paraId="3A13103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861538A"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18CE94E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D330</w:t>
            </w:r>
          </w:p>
        </w:tc>
        <w:tc>
          <w:tcPr>
            <w:tcW w:w="3135" w:type="pct"/>
            <w:tcBorders>
              <w:top w:val="single" w:sz="4" w:space="0" w:color="auto"/>
              <w:left w:val="nil"/>
              <w:bottom w:val="single" w:sz="4" w:space="0" w:color="auto"/>
            </w:tcBorders>
            <w:shd w:val="clear" w:color="000000" w:fill="FFFFFF"/>
            <w:noWrap/>
            <w:vAlign w:val="center"/>
            <w:hideMark/>
          </w:tcPr>
          <w:p w14:paraId="4833052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Inorganic sulfides</w:t>
            </w:r>
          </w:p>
        </w:tc>
      </w:tr>
      <w:tr w:rsidR="00D00A38" w:rsidRPr="00267977" w14:paraId="7F144D97" w14:textId="77777777" w:rsidTr="00267977">
        <w:trPr>
          <w:trHeight w:val="285"/>
        </w:trPr>
        <w:tc>
          <w:tcPr>
            <w:tcW w:w="133" w:type="pct"/>
            <w:tcBorders>
              <w:top w:val="nil"/>
              <w:left w:val="nil"/>
              <w:bottom w:val="nil"/>
              <w:right w:val="nil"/>
            </w:tcBorders>
            <w:shd w:val="clear" w:color="000000" w:fill="FFFFFF"/>
            <w:noWrap/>
            <w:vAlign w:val="center"/>
            <w:hideMark/>
          </w:tcPr>
          <w:p w14:paraId="326727E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3A729293"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86DDA1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D340</w:t>
            </w:r>
          </w:p>
        </w:tc>
        <w:tc>
          <w:tcPr>
            <w:tcW w:w="3135" w:type="pct"/>
            <w:tcBorders>
              <w:top w:val="single" w:sz="4" w:space="0" w:color="auto"/>
              <w:left w:val="nil"/>
              <w:bottom w:val="single" w:sz="4" w:space="0" w:color="auto"/>
            </w:tcBorders>
            <w:shd w:val="clear" w:color="000000" w:fill="FFFFFF"/>
            <w:noWrap/>
            <w:vAlign w:val="center"/>
            <w:hideMark/>
          </w:tcPr>
          <w:p w14:paraId="095438D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Perchlorates</w:t>
            </w:r>
          </w:p>
        </w:tc>
      </w:tr>
      <w:tr w:rsidR="00D00A38" w:rsidRPr="00267977" w14:paraId="71D8FC0B" w14:textId="77777777" w:rsidTr="00267977">
        <w:trPr>
          <w:trHeight w:val="285"/>
        </w:trPr>
        <w:tc>
          <w:tcPr>
            <w:tcW w:w="133" w:type="pct"/>
            <w:tcBorders>
              <w:top w:val="nil"/>
              <w:left w:val="nil"/>
              <w:bottom w:val="nil"/>
              <w:right w:val="nil"/>
            </w:tcBorders>
            <w:shd w:val="clear" w:color="000000" w:fill="FFFFFF"/>
            <w:noWrap/>
            <w:vAlign w:val="center"/>
            <w:hideMark/>
          </w:tcPr>
          <w:p w14:paraId="48F1856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496A6E3"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28D4BB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D350</w:t>
            </w:r>
          </w:p>
        </w:tc>
        <w:tc>
          <w:tcPr>
            <w:tcW w:w="3135" w:type="pct"/>
            <w:tcBorders>
              <w:top w:val="single" w:sz="4" w:space="0" w:color="auto"/>
              <w:left w:val="nil"/>
              <w:bottom w:val="single" w:sz="4" w:space="0" w:color="auto"/>
            </w:tcBorders>
            <w:shd w:val="clear" w:color="000000" w:fill="FFFFFF"/>
            <w:noWrap/>
            <w:vAlign w:val="center"/>
            <w:hideMark/>
          </w:tcPr>
          <w:p w14:paraId="119DE7F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Chlorates</w:t>
            </w:r>
          </w:p>
        </w:tc>
      </w:tr>
      <w:tr w:rsidR="00D00A38" w:rsidRPr="00267977" w14:paraId="294EB92C" w14:textId="77777777" w:rsidTr="00267977">
        <w:trPr>
          <w:trHeight w:val="285"/>
        </w:trPr>
        <w:tc>
          <w:tcPr>
            <w:tcW w:w="133" w:type="pct"/>
            <w:tcBorders>
              <w:top w:val="nil"/>
              <w:left w:val="nil"/>
              <w:bottom w:val="nil"/>
              <w:right w:val="nil"/>
            </w:tcBorders>
            <w:shd w:val="clear" w:color="000000" w:fill="FFFFFF"/>
            <w:noWrap/>
            <w:vAlign w:val="center"/>
            <w:hideMark/>
          </w:tcPr>
          <w:p w14:paraId="2C4A21D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3301FC78"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6E3F519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D360</w:t>
            </w:r>
          </w:p>
        </w:tc>
        <w:tc>
          <w:tcPr>
            <w:tcW w:w="3135" w:type="pct"/>
            <w:tcBorders>
              <w:top w:val="single" w:sz="4" w:space="0" w:color="auto"/>
              <w:left w:val="nil"/>
              <w:bottom w:val="single" w:sz="4" w:space="0" w:color="auto"/>
            </w:tcBorders>
            <w:shd w:val="clear" w:color="000000" w:fill="FFFFFF"/>
            <w:noWrap/>
            <w:vAlign w:val="center"/>
            <w:hideMark/>
          </w:tcPr>
          <w:p w14:paraId="0E2B2C4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Phosphorus compounds excluding mineral phosphates</w:t>
            </w:r>
          </w:p>
        </w:tc>
      </w:tr>
      <w:tr w:rsidR="00D00A38" w:rsidRPr="00267977" w14:paraId="5D2F28A4" w14:textId="77777777" w:rsidTr="00267977">
        <w:trPr>
          <w:trHeight w:val="285"/>
        </w:trPr>
        <w:tc>
          <w:tcPr>
            <w:tcW w:w="133" w:type="pct"/>
            <w:tcBorders>
              <w:top w:val="nil"/>
              <w:bottom w:val="single" w:sz="4" w:space="0" w:color="auto"/>
              <w:right w:val="nil"/>
            </w:tcBorders>
            <w:shd w:val="clear" w:color="000000" w:fill="FFFFFF"/>
            <w:noWrap/>
            <w:vAlign w:val="center"/>
            <w:hideMark/>
          </w:tcPr>
          <w:p w14:paraId="4C229FD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E</w:t>
            </w:r>
          </w:p>
        </w:tc>
        <w:tc>
          <w:tcPr>
            <w:tcW w:w="887" w:type="pct"/>
            <w:tcBorders>
              <w:top w:val="nil"/>
              <w:left w:val="nil"/>
              <w:bottom w:val="single" w:sz="4" w:space="0" w:color="auto"/>
              <w:right w:val="nil"/>
            </w:tcBorders>
            <w:shd w:val="clear" w:color="000000" w:fill="FFFFFF"/>
            <w:noWrap/>
            <w:vAlign w:val="center"/>
            <w:hideMark/>
          </w:tcPr>
          <w:p w14:paraId="675B6A5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Reactive chemicals</w:t>
            </w:r>
          </w:p>
        </w:tc>
        <w:tc>
          <w:tcPr>
            <w:tcW w:w="846" w:type="pct"/>
            <w:tcBorders>
              <w:top w:val="single" w:sz="4" w:space="0" w:color="auto"/>
              <w:left w:val="nil"/>
              <w:bottom w:val="single" w:sz="4" w:space="0" w:color="auto"/>
              <w:right w:val="nil"/>
            </w:tcBorders>
            <w:shd w:val="clear" w:color="000000" w:fill="FFFFFF"/>
            <w:noWrap/>
            <w:vAlign w:val="center"/>
            <w:hideMark/>
          </w:tcPr>
          <w:p w14:paraId="390BD7B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E100</w:t>
            </w:r>
          </w:p>
        </w:tc>
        <w:tc>
          <w:tcPr>
            <w:tcW w:w="3135" w:type="pct"/>
            <w:tcBorders>
              <w:top w:val="single" w:sz="4" w:space="0" w:color="auto"/>
              <w:left w:val="nil"/>
              <w:bottom w:val="single" w:sz="4" w:space="0" w:color="auto"/>
            </w:tcBorders>
            <w:shd w:val="clear" w:color="000000" w:fill="FFFFFF"/>
            <w:noWrap/>
            <w:vAlign w:val="center"/>
            <w:hideMark/>
          </w:tcPr>
          <w:p w14:paraId="165F32D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containing peroxides other than hydrogen peroxide</w:t>
            </w:r>
          </w:p>
        </w:tc>
      </w:tr>
      <w:tr w:rsidR="00D00A38" w:rsidRPr="00267977" w14:paraId="2B8EC97E" w14:textId="77777777" w:rsidTr="00267977">
        <w:trPr>
          <w:trHeight w:val="285"/>
        </w:trPr>
        <w:tc>
          <w:tcPr>
            <w:tcW w:w="133" w:type="pct"/>
            <w:tcBorders>
              <w:top w:val="single" w:sz="4" w:space="0" w:color="auto"/>
              <w:bottom w:val="nil"/>
              <w:right w:val="nil"/>
            </w:tcBorders>
            <w:shd w:val="clear" w:color="000000" w:fill="FFFFFF"/>
            <w:noWrap/>
            <w:vAlign w:val="center"/>
            <w:hideMark/>
          </w:tcPr>
          <w:p w14:paraId="75370C0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F</w:t>
            </w:r>
          </w:p>
        </w:tc>
        <w:tc>
          <w:tcPr>
            <w:tcW w:w="887" w:type="pct"/>
            <w:vMerge w:val="restart"/>
            <w:tcBorders>
              <w:top w:val="single" w:sz="4" w:space="0" w:color="auto"/>
              <w:left w:val="nil"/>
              <w:bottom w:val="single" w:sz="4" w:space="0" w:color="auto"/>
              <w:right w:val="nil"/>
            </w:tcBorders>
            <w:shd w:val="clear" w:color="000000" w:fill="FFFFFF"/>
            <w:vAlign w:val="center"/>
            <w:hideMark/>
          </w:tcPr>
          <w:p w14:paraId="5BD5F47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Paints, resins, inks, organic sludges</w:t>
            </w:r>
          </w:p>
        </w:tc>
        <w:tc>
          <w:tcPr>
            <w:tcW w:w="846" w:type="pct"/>
            <w:tcBorders>
              <w:top w:val="single" w:sz="4" w:space="0" w:color="auto"/>
              <w:left w:val="nil"/>
              <w:bottom w:val="single" w:sz="4" w:space="0" w:color="auto"/>
              <w:right w:val="nil"/>
            </w:tcBorders>
            <w:shd w:val="clear" w:color="000000" w:fill="FFFFFF"/>
            <w:noWrap/>
            <w:vAlign w:val="center"/>
            <w:hideMark/>
          </w:tcPr>
          <w:p w14:paraId="3A1127D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F100</w:t>
            </w:r>
          </w:p>
        </w:tc>
        <w:tc>
          <w:tcPr>
            <w:tcW w:w="3135" w:type="pct"/>
            <w:tcBorders>
              <w:top w:val="single" w:sz="4" w:space="0" w:color="auto"/>
              <w:left w:val="nil"/>
              <w:bottom w:val="single" w:sz="4" w:space="0" w:color="auto"/>
            </w:tcBorders>
            <w:shd w:val="clear" w:color="000000" w:fill="FFFFFF"/>
            <w:noWrap/>
            <w:vAlign w:val="center"/>
            <w:hideMark/>
          </w:tcPr>
          <w:p w14:paraId="3F333BE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the production, formulation and use of inks, dyes, pigments, paints, lacquers and varnish</w:t>
            </w:r>
          </w:p>
        </w:tc>
      </w:tr>
      <w:tr w:rsidR="00D00A38" w:rsidRPr="00267977" w14:paraId="47CFE97F" w14:textId="77777777" w:rsidTr="00267977">
        <w:trPr>
          <w:trHeight w:val="285"/>
        </w:trPr>
        <w:tc>
          <w:tcPr>
            <w:tcW w:w="133" w:type="pct"/>
            <w:tcBorders>
              <w:top w:val="nil"/>
              <w:left w:val="nil"/>
              <w:bottom w:val="single" w:sz="4" w:space="0" w:color="auto"/>
              <w:right w:val="nil"/>
            </w:tcBorders>
            <w:shd w:val="clear" w:color="000000" w:fill="FFFFFF"/>
            <w:noWrap/>
            <w:vAlign w:val="center"/>
            <w:hideMark/>
          </w:tcPr>
          <w:p w14:paraId="1FD4AAD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vMerge/>
            <w:tcBorders>
              <w:top w:val="single" w:sz="4" w:space="0" w:color="auto"/>
              <w:left w:val="nil"/>
              <w:bottom w:val="single" w:sz="4" w:space="0" w:color="auto"/>
              <w:right w:val="nil"/>
            </w:tcBorders>
            <w:vAlign w:val="center"/>
            <w:hideMark/>
          </w:tcPr>
          <w:p w14:paraId="3CA99E5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22C52F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F110</w:t>
            </w:r>
          </w:p>
        </w:tc>
        <w:tc>
          <w:tcPr>
            <w:tcW w:w="3135" w:type="pct"/>
            <w:tcBorders>
              <w:top w:val="single" w:sz="4" w:space="0" w:color="auto"/>
              <w:left w:val="nil"/>
              <w:bottom w:val="single" w:sz="4" w:space="0" w:color="auto"/>
            </w:tcBorders>
            <w:shd w:val="clear" w:color="000000" w:fill="FFFFFF"/>
            <w:noWrap/>
            <w:vAlign w:val="center"/>
            <w:hideMark/>
          </w:tcPr>
          <w:p w14:paraId="09777BA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the production, formulation and use of resins, latex, plasticisers, glues and adhesives</w:t>
            </w:r>
          </w:p>
        </w:tc>
      </w:tr>
      <w:tr w:rsidR="00D00A38" w:rsidRPr="00267977" w14:paraId="7A032AFD" w14:textId="77777777" w:rsidTr="00267977">
        <w:trPr>
          <w:trHeight w:val="285"/>
        </w:trPr>
        <w:tc>
          <w:tcPr>
            <w:tcW w:w="133" w:type="pct"/>
            <w:tcBorders>
              <w:top w:val="nil"/>
              <w:bottom w:val="single" w:sz="4" w:space="0" w:color="auto"/>
              <w:right w:val="nil"/>
            </w:tcBorders>
            <w:shd w:val="clear" w:color="000000" w:fill="FFFFFF"/>
            <w:noWrap/>
            <w:vAlign w:val="center"/>
            <w:hideMark/>
          </w:tcPr>
          <w:p w14:paraId="0E3D849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G</w:t>
            </w:r>
          </w:p>
        </w:tc>
        <w:tc>
          <w:tcPr>
            <w:tcW w:w="887" w:type="pct"/>
            <w:tcBorders>
              <w:top w:val="single" w:sz="4" w:space="0" w:color="auto"/>
              <w:left w:val="nil"/>
              <w:bottom w:val="single" w:sz="4" w:space="0" w:color="auto"/>
              <w:right w:val="nil"/>
            </w:tcBorders>
            <w:shd w:val="clear" w:color="000000" w:fill="FFFFFF"/>
            <w:noWrap/>
            <w:vAlign w:val="center"/>
            <w:hideMark/>
          </w:tcPr>
          <w:p w14:paraId="6913FAA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Organic solvents</w:t>
            </w:r>
          </w:p>
        </w:tc>
        <w:tc>
          <w:tcPr>
            <w:tcW w:w="846" w:type="pct"/>
            <w:tcBorders>
              <w:top w:val="single" w:sz="4" w:space="0" w:color="auto"/>
              <w:left w:val="nil"/>
              <w:bottom w:val="single" w:sz="4" w:space="0" w:color="auto"/>
              <w:right w:val="nil"/>
            </w:tcBorders>
            <w:shd w:val="clear" w:color="000000" w:fill="FFFFFF"/>
            <w:noWrap/>
            <w:vAlign w:val="center"/>
            <w:hideMark/>
          </w:tcPr>
          <w:p w14:paraId="3E82DCA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G100</w:t>
            </w:r>
          </w:p>
        </w:tc>
        <w:tc>
          <w:tcPr>
            <w:tcW w:w="3135" w:type="pct"/>
            <w:tcBorders>
              <w:top w:val="single" w:sz="4" w:space="0" w:color="auto"/>
              <w:left w:val="nil"/>
              <w:bottom w:val="single" w:sz="4" w:space="0" w:color="auto"/>
            </w:tcBorders>
            <w:shd w:val="clear" w:color="000000" w:fill="FFFFFF"/>
            <w:noWrap/>
            <w:vAlign w:val="center"/>
            <w:hideMark/>
          </w:tcPr>
          <w:p w14:paraId="3D5827F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Ethers</w:t>
            </w:r>
          </w:p>
        </w:tc>
      </w:tr>
      <w:tr w:rsidR="00D00A38" w:rsidRPr="00267977" w14:paraId="67AAD4F0" w14:textId="77777777" w:rsidTr="00267977">
        <w:trPr>
          <w:trHeight w:val="285"/>
        </w:trPr>
        <w:tc>
          <w:tcPr>
            <w:tcW w:w="133" w:type="pct"/>
            <w:tcBorders>
              <w:top w:val="nil"/>
              <w:left w:val="nil"/>
              <w:bottom w:val="nil"/>
              <w:right w:val="nil"/>
            </w:tcBorders>
            <w:shd w:val="clear" w:color="000000" w:fill="FFFFFF"/>
            <w:noWrap/>
            <w:vAlign w:val="center"/>
            <w:hideMark/>
          </w:tcPr>
          <w:p w14:paraId="6695257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2CA51DF"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6B3881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G110</w:t>
            </w:r>
          </w:p>
        </w:tc>
        <w:tc>
          <w:tcPr>
            <w:tcW w:w="3135" w:type="pct"/>
            <w:tcBorders>
              <w:top w:val="single" w:sz="4" w:space="0" w:color="auto"/>
              <w:left w:val="nil"/>
              <w:bottom w:val="single" w:sz="4" w:space="0" w:color="auto"/>
            </w:tcBorders>
            <w:shd w:val="clear" w:color="000000" w:fill="FFFFFF"/>
            <w:noWrap/>
            <w:vAlign w:val="center"/>
            <w:hideMark/>
          </w:tcPr>
          <w:p w14:paraId="5079B1E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Organic solvents excluding halogenated solvents</w:t>
            </w:r>
          </w:p>
        </w:tc>
      </w:tr>
      <w:tr w:rsidR="00D00A38" w:rsidRPr="00267977" w14:paraId="53170866" w14:textId="77777777" w:rsidTr="00267977">
        <w:trPr>
          <w:trHeight w:val="285"/>
        </w:trPr>
        <w:tc>
          <w:tcPr>
            <w:tcW w:w="133" w:type="pct"/>
            <w:tcBorders>
              <w:top w:val="nil"/>
              <w:left w:val="nil"/>
              <w:bottom w:val="nil"/>
              <w:right w:val="nil"/>
            </w:tcBorders>
            <w:shd w:val="clear" w:color="000000" w:fill="FFFFFF"/>
            <w:noWrap/>
            <w:vAlign w:val="center"/>
            <w:hideMark/>
          </w:tcPr>
          <w:p w14:paraId="1FB7FC3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0539B93"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2844F3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G150</w:t>
            </w:r>
          </w:p>
        </w:tc>
        <w:tc>
          <w:tcPr>
            <w:tcW w:w="3135" w:type="pct"/>
            <w:tcBorders>
              <w:top w:val="single" w:sz="4" w:space="0" w:color="auto"/>
              <w:left w:val="nil"/>
              <w:bottom w:val="single" w:sz="4" w:space="0" w:color="auto"/>
            </w:tcBorders>
            <w:shd w:val="clear" w:color="000000" w:fill="FFFFFF"/>
            <w:noWrap/>
            <w:vAlign w:val="center"/>
            <w:hideMark/>
          </w:tcPr>
          <w:p w14:paraId="38DEB6C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Halogenated organic solvents</w:t>
            </w:r>
          </w:p>
        </w:tc>
      </w:tr>
      <w:tr w:rsidR="00D00A38" w:rsidRPr="00267977" w14:paraId="0EF53DBD" w14:textId="77777777" w:rsidTr="00267977">
        <w:trPr>
          <w:trHeight w:val="285"/>
        </w:trPr>
        <w:tc>
          <w:tcPr>
            <w:tcW w:w="133" w:type="pct"/>
            <w:tcBorders>
              <w:top w:val="nil"/>
              <w:left w:val="nil"/>
              <w:bottom w:val="nil"/>
              <w:right w:val="nil"/>
            </w:tcBorders>
            <w:shd w:val="clear" w:color="000000" w:fill="FFFFFF"/>
            <w:noWrap/>
            <w:vAlign w:val="center"/>
            <w:hideMark/>
          </w:tcPr>
          <w:p w14:paraId="35AA008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5E416B6"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A4816C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G160</w:t>
            </w:r>
          </w:p>
        </w:tc>
        <w:tc>
          <w:tcPr>
            <w:tcW w:w="3135" w:type="pct"/>
            <w:tcBorders>
              <w:top w:val="single" w:sz="4" w:space="0" w:color="auto"/>
              <w:left w:val="nil"/>
              <w:bottom w:val="single" w:sz="4" w:space="0" w:color="auto"/>
            </w:tcBorders>
            <w:shd w:val="clear" w:color="000000" w:fill="FFFFFF"/>
            <w:noWrap/>
            <w:vAlign w:val="center"/>
            <w:hideMark/>
          </w:tcPr>
          <w:p w14:paraId="2A9E1E1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the production, formulation and use of organic solvents</w:t>
            </w:r>
          </w:p>
        </w:tc>
      </w:tr>
      <w:tr w:rsidR="00D00A38" w:rsidRPr="00267977" w14:paraId="12FECEC8" w14:textId="77777777" w:rsidTr="00267977">
        <w:trPr>
          <w:trHeight w:val="285"/>
        </w:trPr>
        <w:tc>
          <w:tcPr>
            <w:tcW w:w="133" w:type="pct"/>
            <w:tcBorders>
              <w:top w:val="nil"/>
              <w:bottom w:val="single" w:sz="4" w:space="0" w:color="auto"/>
              <w:right w:val="nil"/>
            </w:tcBorders>
            <w:shd w:val="clear" w:color="000000" w:fill="FFFFFF"/>
            <w:noWrap/>
            <w:vAlign w:val="center"/>
            <w:hideMark/>
          </w:tcPr>
          <w:p w14:paraId="714E25E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H</w:t>
            </w:r>
          </w:p>
        </w:tc>
        <w:tc>
          <w:tcPr>
            <w:tcW w:w="887" w:type="pct"/>
            <w:tcBorders>
              <w:top w:val="nil"/>
              <w:left w:val="nil"/>
              <w:bottom w:val="single" w:sz="4" w:space="0" w:color="auto"/>
              <w:right w:val="nil"/>
            </w:tcBorders>
            <w:shd w:val="clear" w:color="000000" w:fill="FFFFFF"/>
            <w:noWrap/>
            <w:vAlign w:val="center"/>
            <w:hideMark/>
          </w:tcPr>
          <w:p w14:paraId="5E11934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Pesticides</w:t>
            </w:r>
          </w:p>
        </w:tc>
        <w:tc>
          <w:tcPr>
            <w:tcW w:w="846" w:type="pct"/>
            <w:tcBorders>
              <w:top w:val="single" w:sz="4" w:space="0" w:color="auto"/>
              <w:left w:val="nil"/>
              <w:bottom w:val="single" w:sz="4" w:space="0" w:color="auto"/>
              <w:right w:val="nil"/>
            </w:tcBorders>
            <w:shd w:val="clear" w:color="000000" w:fill="FFFFFF"/>
            <w:noWrap/>
            <w:vAlign w:val="center"/>
            <w:hideMark/>
          </w:tcPr>
          <w:p w14:paraId="634C85E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H100</w:t>
            </w:r>
          </w:p>
        </w:tc>
        <w:tc>
          <w:tcPr>
            <w:tcW w:w="3135" w:type="pct"/>
            <w:tcBorders>
              <w:top w:val="single" w:sz="4" w:space="0" w:color="auto"/>
              <w:left w:val="nil"/>
              <w:bottom w:val="single" w:sz="4" w:space="0" w:color="auto"/>
            </w:tcBorders>
            <w:shd w:val="clear" w:color="000000" w:fill="FFFFFF"/>
            <w:noWrap/>
            <w:vAlign w:val="center"/>
            <w:hideMark/>
          </w:tcPr>
          <w:p w14:paraId="09B8D63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the production, formulation and use of biocides and phytopharmaceuticals</w:t>
            </w:r>
          </w:p>
        </w:tc>
      </w:tr>
      <w:tr w:rsidR="00D00A38" w:rsidRPr="00267977" w14:paraId="297D8F37" w14:textId="77777777" w:rsidTr="00267977">
        <w:trPr>
          <w:trHeight w:val="285"/>
        </w:trPr>
        <w:tc>
          <w:tcPr>
            <w:tcW w:w="133" w:type="pct"/>
            <w:tcBorders>
              <w:top w:val="nil"/>
              <w:left w:val="nil"/>
              <w:bottom w:val="nil"/>
              <w:right w:val="nil"/>
            </w:tcBorders>
            <w:shd w:val="clear" w:color="000000" w:fill="FFFFFF"/>
            <w:noWrap/>
            <w:vAlign w:val="center"/>
            <w:hideMark/>
          </w:tcPr>
          <w:p w14:paraId="544F771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799970A"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A4405A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H110</w:t>
            </w:r>
          </w:p>
        </w:tc>
        <w:tc>
          <w:tcPr>
            <w:tcW w:w="3135" w:type="pct"/>
            <w:tcBorders>
              <w:top w:val="single" w:sz="4" w:space="0" w:color="auto"/>
              <w:left w:val="nil"/>
              <w:bottom w:val="single" w:sz="4" w:space="0" w:color="auto"/>
            </w:tcBorders>
            <w:shd w:val="clear" w:color="000000" w:fill="FFFFFF"/>
            <w:noWrap/>
            <w:vAlign w:val="center"/>
            <w:hideMark/>
          </w:tcPr>
          <w:p w14:paraId="0E99487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Organic phosphorous compounds</w:t>
            </w:r>
          </w:p>
        </w:tc>
      </w:tr>
      <w:tr w:rsidR="00D00A38" w:rsidRPr="00267977" w14:paraId="39F4A565" w14:textId="77777777" w:rsidTr="00267977">
        <w:trPr>
          <w:trHeight w:val="285"/>
        </w:trPr>
        <w:tc>
          <w:tcPr>
            <w:tcW w:w="133" w:type="pct"/>
            <w:tcBorders>
              <w:top w:val="nil"/>
              <w:left w:val="nil"/>
              <w:bottom w:val="nil"/>
              <w:right w:val="nil"/>
            </w:tcBorders>
            <w:shd w:val="clear" w:color="000000" w:fill="FFFFFF"/>
            <w:noWrap/>
            <w:vAlign w:val="center"/>
            <w:hideMark/>
          </w:tcPr>
          <w:p w14:paraId="50EBFB3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81206DD"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69E0C8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H170</w:t>
            </w:r>
          </w:p>
        </w:tc>
        <w:tc>
          <w:tcPr>
            <w:tcW w:w="3135" w:type="pct"/>
            <w:tcBorders>
              <w:top w:val="single" w:sz="4" w:space="0" w:color="auto"/>
              <w:left w:val="nil"/>
              <w:bottom w:val="single" w:sz="4" w:space="0" w:color="auto"/>
            </w:tcBorders>
            <w:shd w:val="clear" w:color="000000" w:fill="FFFFFF"/>
            <w:noWrap/>
            <w:vAlign w:val="center"/>
            <w:hideMark/>
          </w:tcPr>
          <w:p w14:paraId="6852578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manufacture, formulation and use of wood-preserving chemicals</w:t>
            </w:r>
          </w:p>
        </w:tc>
      </w:tr>
      <w:tr w:rsidR="00D00A38" w:rsidRPr="00267977" w14:paraId="7A029438" w14:textId="77777777" w:rsidTr="00267977">
        <w:trPr>
          <w:trHeight w:val="285"/>
        </w:trPr>
        <w:tc>
          <w:tcPr>
            <w:tcW w:w="133" w:type="pct"/>
            <w:tcBorders>
              <w:top w:val="nil"/>
              <w:left w:val="nil"/>
              <w:bottom w:val="single" w:sz="4" w:space="0" w:color="auto"/>
              <w:right w:val="nil"/>
            </w:tcBorders>
            <w:shd w:val="clear" w:color="000000" w:fill="FFFFFF"/>
            <w:noWrap/>
            <w:vAlign w:val="center"/>
            <w:hideMark/>
          </w:tcPr>
          <w:p w14:paraId="7979D4E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J</w:t>
            </w:r>
          </w:p>
        </w:tc>
        <w:tc>
          <w:tcPr>
            <w:tcW w:w="887" w:type="pct"/>
            <w:tcBorders>
              <w:top w:val="nil"/>
              <w:left w:val="nil"/>
              <w:bottom w:val="single" w:sz="4" w:space="0" w:color="auto"/>
              <w:right w:val="nil"/>
            </w:tcBorders>
            <w:shd w:val="clear" w:color="000000" w:fill="FFFFFF"/>
            <w:noWrap/>
            <w:vAlign w:val="center"/>
            <w:hideMark/>
          </w:tcPr>
          <w:p w14:paraId="51E896A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Oils</w:t>
            </w:r>
          </w:p>
        </w:tc>
        <w:tc>
          <w:tcPr>
            <w:tcW w:w="846" w:type="pct"/>
            <w:tcBorders>
              <w:top w:val="single" w:sz="4" w:space="0" w:color="auto"/>
              <w:left w:val="nil"/>
              <w:bottom w:val="single" w:sz="4" w:space="0" w:color="auto"/>
              <w:right w:val="nil"/>
            </w:tcBorders>
            <w:shd w:val="clear" w:color="000000" w:fill="FFFFFF"/>
            <w:noWrap/>
            <w:vAlign w:val="center"/>
            <w:hideMark/>
          </w:tcPr>
          <w:p w14:paraId="62E75EB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J100</w:t>
            </w:r>
          </w:p>
        </w:tc>
        <w:tc>
          <w:tcPr>
            <w:tcW w:w="3135" w:type="pct"/>
            <w:tcBorders>
              <w:top w:val="single" w:sz="4" w:space="0" w:color="auto"/>
              <w:left w:val="nil"/>
              <w:bottom w:val="single" w:sz="4" w:space="0" w:color="auto"/>
            </w:tcBorders>
            <w:shd w:val="clear" w:color="000000" w:fill="FFFFFF"/>
            <w:noWrap/>
            <w:vAlign w:val="center"/>
            <w:hideMark/>
          </w:tcPr>
          <w:p w14:paraId="6128EC6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mineral oils unfit for their original intended use</w:t>
            </w:r>
          </w:p>
        </w:tc>
      </w:tr>
      <w:tr w:rsidR="00D00A38" w:rsidRPr="00267977" w14:paraId="42B69500" w14:textId="77777777" w:rsidTr="00267977">
        <w:trPr>
          <w:trHeight w:val="285"/>
        </w:trPr>
        <w:tc>
          <w:tcPr>
            <w:tcW w:w="133" w:type="pct"/>
            <w:tcBorders>
              <w:top w:val="nil"/>
              <w:left w:val="nil"/>
              <w:bottom w:val="nil"/>
              <w:right w:val="nil"/>
            </w:tcBorders>
            <w:shd w:val="clear" w:color="000000" w:fill="FFFFFF"/>
            <w:noWrap/>
            <w:vAlign w:val="center"/>
            <w:hideMark/>
          </w:tcPr>
          <w:p w14:paraId="4FFD0FE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3A579F3B"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4E84688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J120</w:t>
            </w:r>
          </w:p>
        </w:tc>
        <w:tc>
          <w:tcPr>
            <w:tcW w:w="3135" w:type="pct"/>
            <w:tcBorders>
              <w:top w:val="single" w:sz="4" w:space="0" w:color="auto"/>
              <w:left w:val="nil"/>
              <w:bottom w:val="single" w:sz="4" w:space="0" w:color="auto"/>
            </w:tcBorders>
            <w:shd w:val="clear" w:color="000000" w:fill="FFFFFF"/>
            <w:noWrap/>
            <w:vAlign w:val="center"/>
            <w:hideMark/>
          </w:tcPr>
          <w:p w14:paraId="48AA276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oil/water, hydrocarbons/water mixtures or emulsions</w:t>
            </w:r>
          </w:p>
        </w:tc>
      </w:tr>
      <w:tr w:rsidR="00D00A38" w:rsidRPr="00267977" w14:paraId="579F1800" w14:textId="77777777" w:rsidTr="00267977">
        <w:trPr>
          <w:trHeight w:val="285"/>
        </w:trPr>
        <w:tc>
          <w:tcPr>
            <w:tcW w:w="133" w:type="pct"/>
            <w:tcBorders>
              <w:top w:val="nil"/>
              <w:left w:val="nil"/>
              <w:bottom w:val="nil"/>
              <w:right w:val="nil"/>
            </w:tcBorders>
            <w:shd w:val="clear" w:color="000000" w:fill="FFFFFF"/>
            <w:noWrap/>
            <w:vAlign w:val="center"/>
            <w:hideMark/>
          </w:tcPr>
          <w:p w14:paraId="717F012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305B50EA"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A3BF9A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J160</w:t>
            </w:r>
          </w:p>
        </w:tc>
        <w:tc>
          <w:tcPr>
            <w:tcW w:w="3135" w:type="pct"/>
            <w:tcBorders>
              <w:top w:val="single" w:sz="4" w:space="0" w:color="auto"/>
              <w:left w:val="nil"/>
              <w:bottom w:val="single" w:sz="4" w:space="0" w:color="auto"/>
            </w:tcBorders>
            <w:shd w:val="clear" w:color="000000" w:fill="FFFFFF"/>
            <w:noWrap/>
            <w:vAlign w:val="center"/>
            <w:hideMark/>
          </w:tcPr>
          <w:p w14:paraId="29E52A9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tarry residues arising from refining, distillation, and any pyrolytic treatment</w:t>
            </w:r>
          </w:p>
        </w:tc>
      </w:tr>
      <w:tr w:rsidR="00D00A38" w:rsidRPr="00267977" w14:paraId="1FCA0071" w14:textId="77777777" w:rsidTr="00267977">
        <w:trPr>
          <w:trHeight w:val="315"/>
        </w:trPr>
        <w:tc>
          <w:tcPr>
            <w:tcW w:w="133" w:type="pct"/>
            <w:tcBorders>
              <w:top w:val="nil"/>
              <w:left w:val="nil"/>
              <w:bottom w:val="single" w:sz="4" w:space="0" w:color="auto"/>
              <w:right w:val="nil"/>
            </w:tcBorders>
            <w:shd w:val="clear" w:color="000000" w:fill="FFFFFF"/>
            <w:noWrap/>
            <w:vAlign w:val="center"/>
            <w:hideMark/>
          </w:tcPr>
          <w:p w14:paraId="0D68A69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K</w:t>
            </w:r>
          </w:p>
        </w:tc>
        <w:tc>
          <w:tcPr>
            <w:tcW w:w="887" w:type="pct"/>
            <w:tcBorders>
              <w:top w:val="nil"/>
              <w:left w:val="nil"/>
              <w:bottom w:val="single" w:sz="4" w:space="0" w:color="auto"/>
              <w:right w:val="nil"/>
            </w:tcBorders>
            <w:shd w:val="clear" w:color="000000" w:fill="FFFFFF"/>
            <w:noWrap/>
            <w:vAlign w:val="center"/>
            <w:hideMark/>
          </w:tcPr>
          <w:p w14:paraId="02CBF2F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Putrescible/ organic waste</w:t>
            </w:r>
          </w:p>
        </w:tc>
        <w:tc>
          <w:tcPr>
            <w:tcW w:w="846" w:type="pct"/>
            <w:tcBorders>
              <w:top w:val="single" w:sz="4" w:space="0" w:color="auto"/>
              <w:left w:val="nil"/>
              <w:bottom w:val="single" w:sz="4" w:space="0" w:color="auto"/>
              <w:right w:val="nil"/>
            </w:tcBorders>
            <w:shd w:val="clear" w:color="000000" w:fill="FFFFFF"/>
            <w:noWrap/>
            <w:vAlign w:val="center"/>
            <w:hideMark/>
          </w:tcPr>
          <w:p w14:paraId="65345D6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K100</w:t>
            </w:r>
          </w:p>
        </w:tc>
        <w:tc>
          <w:tcPr>
            <w:tcW w:w="3135" w:type="pct"/>
            <w:tcBorders>
              <w:top w:val="single" w:sz="4" w:space="0" w:color="auto"/>
              <w:left w:val="nil"/>
              <w:bottom w:val="single" w:sz="4" w:space="0" w:color="auto"/>
            </w:tcBorders>
            <w:shd w:val="clear" w:color="000000" w:fill="FFFFFF"/>
            <w:noWrap/>
            <w:vAlign w:val="center"/>
            <w:hideMark/>
          </w:tcPr>
          <w:p w14:paraId="24EFD4F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Animal effluent and residues (abattoir effluent, poultry and fish processing wastes)</w:t>
            </w:r>
          </w:p>
        </w:tc>
      </w:tr>
      <w:tr w:rsidR="00D00A38" w:rsidRPr="00267977" w14:paraId="74B8AE9F" w14:textId="77777777" w:rsidTr="00267977">
        <w:trPr>
          <w:trHeight w:val="285"/>
        </w:trPr>
        <w:tc>
          <w:tcPr>
            <w:tcW w:w="133" w:type="pct"/>
            <w:tcBorders>
              <w:top w:val="nil"/>
              <w:left w:val="nil"/>
              <w:bottom w:val="nil"/>
              <w:right w:val="nil"/>
            </w:tcBorders>
            <w:shd w:val="clear" w:color="000000" w:fill="FFFFFF"/>
            <w:noWrap/>
            <w:vAlign w:val="center"/>
            <w:hideMark/>
          </w:tcPr>
          <w:p w14:paraId="237FBA6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61FDD75"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F7FC6F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K110</w:t>
            </w:r>
          </w:p>
        </w:tc>
        <w:tc>
          <w:tcPr>
            <w:tcW w:w="3135" w:type="pct"/>
            <w:tcBorders>
              <w:top w:val="single" w:sz="4" w:space="0" w:color="auto"/>
              <w:left w:val="nil"/>
              <w:bottom w:val="single" w:sz="4" w:space="0" w:color="auto"/>
            </w:tcBorders>
            <w:shd w:val="clear" w:color="000000" w:fill="FFFFFF"/>
            <w:noWrap/>
            <w:vAlign w:val="center"/>
            <w:hideMark/>
          </w:tcPr>
          <w:p w14:paraId="2401D0E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Grease trap waste</w:t>
            </w:r>
          </w:p>
        </w:tc>
      </w:tr>
      <w:tr w:rsidR="00D00A38" w:rsidRPr="00267977" w14:paraId="5C745E57" w14:textId="77777777" w:rsidTr="00267977">
        <w:trPr>
          <w:trHeight w:val="285"/>
        </w:trPr>
        <w:tc>
          <w:tcPr>
            <w:tcW w:w="133" w:type="pct"/>
            <w:tcBorders>
              <w:top w:val="nil"/>
              <w:left w:val="nil"/>
              <w:bottom w:val="nil"/>
              <w:right w:val="nil"/>
            </w:tcBorders>
            <w:shd w:val="clear" w:color="000000" w:fill="FFFFFF"/>
            <w:noWrap/>
            <w:vAlign w:val="center"/>
            <w:hideMark/>
          </w:tcPr>
          <w:p w14:paraId="6C0FEF2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3A5608C7"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119B85E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K140</w:t>
            </w:r>
          </w:p>
        </w:tc>
        <w:tc>
          <w:tcPr>
            <w:tcW w:w="3135" w:type="pct"/>
            <w:tcBorders>
              <w:top w:val="single" w:sz="4" w:space="0" w:color="auto"/>
              <w:left w:val="nil"/>
              <w:bottom w:val="single" w:sz="4" w:space="0" w:color="auto"/>
            </w:tcBorders>
            <w:shd w:val="clear" w:color="000000" w:fill="FFFFFF"/>
            <w:noWrap/>
            <w:vAlign w:val="center"/>
            <w:hideMark/>
          </w:tcPr>
          <w:p w14:paraId="166C869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Tannery wastes (including leather dust, ash, sludges and flours)</w:t>
            </w:r>
          </w:p>
        </w:tc>
      </w:tr>
      <w:tr w:rsidR="00D00A38" w:rsidRPr="00267977" w14:paraId="0A10C492" w14:textId="77777777" w:rsidTr="00267977">
        <w:trPr>
          <w:trHeight w:val="285"/>
        </w:trPr>
        <w:tc>
          <w:tcPr>
            <w:tcW w:w="133" w:type="pct"/>
            <w:tcBorders>
              <w:top w:val="nil"/>
              <w:left w:val="nil"/>
              <w:bottom w:val="nil"/>
              <w:right w:val="nil"/>
            </w:tcBorders>
            <w:shd w:val="clear" w:color="000000" w:fill="FFFFFF"/>
            <w:noWrap/>
            <w:vAlign w:val="center"/>
            <w:hideMark/>
          </w:tcPr>
          <w:p w14:paraId="775429B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72D21458"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0063685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K190</w:t>
            </w:r>
          </w:p>
        </w:tc>
        <w:tc>
          <w:tcPr>
            <w:tcW w:w="3135" w:type="pct"/>
            <w:tcBorders>
              <w:top w:val="single" w:sz="4" w:space="0" w:color="auto"/>
              <w:left w:val="nil"/>
              <w:bottom w:val="single" w:sz="4" w:space="0" w:color="auto"/>
            </w:tcBorders>
            <w:shd w:val="clear" w:color="000000" w:fill="FFFFFF"/>
            <w:noWrap/>
            <w:vAlign w:val="center"/>
            <w:hideMark/>
          </w:tcPr>
          <w:p w14:paraId="00A6622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Wool scouring wastes</w:t>
            </w:r>
          </w:p>
        </w:tc>
      </w:tr>
      <w:tr w:rsidR="00D00A38" w:rsidRPr="00267977" w14:paraId="15CAFFE6" w14:textId="77777777" w:rsidTr="00267977">
        <w:trPr>
          <w:trHeight w:val="285"/>
        </w:trPr>
        <w:tc>
          <w:tcPr>
            <w:tcW w:w="133" w:type="pct"/>
            <w:tcBorders>
              <w:top w:val="nil"/>
              <w:left w:val="nil"/>
              <w:bottom w:val="single" w:sz="4" w:space="0" w:color="auto"/>
              <w:right w:val="nil"/>
            </w:tcBorders>
            <w:shd w:val="clear" w:color="000000" w:fill="FFFFFF"/>
            <w:noWrap/>
            <w:vAlign w:val="center"/>
            <w:hideMark/>
          </w:tcPr>
          <w:p w14:paraId="4051D8B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L</w:t>
            </w:r>
          </w:p>
        </w:tc>
        <w:tc>
          <w:tcPr>
            <w:tcW w:w="887" w:type="pct"/>
            <w:tcBorders>
              <w:top w:val="nil"/>
              <w:left w:val="nil"/>
              <w:bottom w:val="single" w:sz="4" w:space="0" w:color="auto"/>
              <w:right w:val="nil"/>
            </w:tcBorders>
            <w:shd w:val="clear" w:color="000000" w:fill="FFFFFF"/>
            <w:noWrap/>
            <w:vAlign w:val="center"/>
            <w:hideMark/>
          </w:tcPr>
          <w:p w14:paraId="1EF2A73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Industrial washwater</w:t>
            </w:r>
          </w:p>
        </w:tc>
        <w:tc>
          <w:tcPr>
            <w:tcW w:w="846" w:type="pct"/>
            <w:tcBorders>
              <w:top w:val="single" w:sz="4" w:space="0" w:color="auto"/>
              <w:left w:val="nil"/>
              <w:bottom w:val="single" w:sz="4" w:space="0" w:color="auto"/>
              <w:right w:val="nil"/>
            </w:tcBorders>
            <w:shd w:val="clear" w:color="000000" w:fill="FFFFFF"/>
            <w:noWrap/>
            <w:vAlign w:val="center"/>
            <w:hideMark/>
          </w:tcPr>
          <w:p w14:paraId="5E05A33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t>
            </w:r>
          </w:p>
        </w:tc>
        <w:tc>
          <w:tcPr>
            <w:tcW w:w="3135" w:type="pct"/>
            <w:tcBorders>
              <w:top w:val="single" w:sz="4" w:space="0" w:color="auto"/>
              <w:left w:val="nil"/>
              <w:bottom w:val="single" w:sz="4" w:space="0" w:color="auto"/>
            </w:tcBorders>
            <w:shd w:val="clear" w:color="000000" w:fill="FFFFFF"/>
            <w:noWrap/>
            <w:vAlign w:val="center"/>
            <w:hideMark/>
          </w:tcPr>
          <w:p w14:paraId="1952BA8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Not listed in Schedule A List 1 of NEPM. Heading reported as part of "15" in NEPM annual reporting</w:t>
            </w:r>
          </w:p>
        </w:tc>
      </w:tr>
      <w:tr w:rsidR="00D00A38" w:rsidRPr="00267977" w14:paraId="26B0E916" w14:textId="77777777" w:rsidTr="00267977">
        <w:trPr>
          <w:trHeight w:val="510"/>
        </w:trPr>
        <w:tc>
          <w:tcPr>
            <w:tcW w:w="133" w:type="pct"/>
            <w:tcBorders>
              <w:top w:val="nil"/>
              <w:left w:val="nil"/>
              <w:bottom w:val="single" w:sz="4" w:space="0" w:color="auto"/>
              <w:right w:val="nil"/>
            </w:tcBorders>
            <w:shd w:val="clear" w:color="000000" w:fill="FFFFFF"/>
            <w:noWrap/>
            <w:vAlign w:val="center"/>
            <w:hideMark/>
          </w:tcPr>
          <w:p w14:paraId="27C7E42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w:t>
            </w:r>
          </w:p>
        </w:tc>
        <w:tc>
          <w:tcPr>
            <w:tcW w:w="887" w:type="pct"/>
            <w:tcBorders>
              <w:top w:val="nil"/>
              <w:left w:val="nil"/>
              <w:bottom w:val="single" w:sz="4" w:space="0" w:color="auto"/>
              <w:right w:val="nil"/>
            </w:tcBorders>
            <w:shd w:val="clear" w:color="000000" w:fill="FFFFFF"/>
            <w:noWrap/>
            <w:vAlign w:val="center"/>
            <w:hideMark/>
          </w:tcPr>
          <w:p w14:paraId="3A87D46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Organic chemicals</w:t>
            </w:r>
          </w:p>
        </w:tc>
        <w:tc>
          <w:tcPr>
            <w:tcW w:w="846" w:type="pct"/>
            <w:tcBorders>
              <w:top w:val="single" w:sz="4" w:space="0" w:color="auto"/>
              <w:left w:val="nil"/>
              <w:bottom w:val="single" w:sz="4" w:space="0" w:color="auto"/>
              <w:right w:val="nil"/>
            </w:tcBorders>
            <w:shd w:val="clear" w:color="000000" w:fill="FFFFFF"/>
            <w:noWrap/>
            <w:vAlign w:val="center"/>
            <w:hideMark/>
          </w:tcPr>
          <w:p w14:paraId="07ED3EE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M100</w:t>
            </w:r>
          </w:p>
        </w:tc>
        <w:tc>
          <w:tcPr>
            <w:tcW w:w="3135" w:type="pct"/>
            <w:tcBorders>
              <w:top w:val="single" w:sz="4" w:space="0" w:color="auto"/>
              <w:left w:val="nil"/>
              <w:bottom w:val="single" w:sz="4" w:space="0" w:color="auto"/>
            </w:tcBorders>
            <w:shd w:val="clear" w:color="000000" w:fill="FFFFFF"/>
            <w:vAlign w:val="center"/>
            <w:hideMark/>
          </w:tcPr>
          <w:p w14:paraId="3392ED9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substances and articles containing or contaminated with polychlorinated biphenyls, polychlorinated napthalenes, polychlorinated terphenyls and/or polybrominated biphenyls</w:t>
            </w:r>
          </w:p>
        </w:tc>
      </w:tr>
      <w:tr w:rsidR="00D00A38" w:rsidRPr="00267977" w14:paraId="37A34ED4" w14:textId="77777777" w:rsidTr="00267977">
        <w:trPr>
          <w:trHeight w:val="285"/>
        </w:trPr>
        <w:tc>
          <w:tcPr>
            <w:tcW w:w="133" w:type="pct"/>
            <w:tcBorders>
              <w:top w:val="nil"/>
              <w:left w:val="nil"/>
              <w:bottom w:val="nil"/>
              <w:right w:val="nil"/>
            </w:tcBorders>
            <w:shd w:val="clear" w:color="000000" w:fill="FFFFFF"/>
            <w:noWrap/>
            <w:vAlign w:val="center"/>
            <w:hideMark/>
          </w:tcPr>
          <w:p w14:paraId="6BEAABC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24CE1498"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10F8D06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M150</w:t>
            </w:r>
          </w:p>
        </w:tc>
        <w:tc>
          <w:tcPr>
            <w:tcW w:w="3135" w:type="pct"/>
            <w:tcBorders>
              <w:top w:val="single" w:sz="4" w:space="0" w:color="auto"/>
              <w:left w:val="nil"/>
              <w:bottom w:val="single" w:sz="4" w:space="0" w:color="auto"/>
            </w:tcBorders>
            <w:shd w:val="clear" w:color="000000" w:fill="FFFFFF"/>
            <w:noWrap/>
            <w:vAlign w:val="center"/>
            <w:hideMark/>
          </w:tcPr>
          <w:p w14:paraId="345EE5D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Phenols, phenol compounds including chlorophenols</w:t>
            </w:r>
          </w:p>
        </w:tc>
      </w:tr>
      <w:tr w:rsidR="00D00A38" w:rsidRPr="00267977" w14:paraId="0EA429DD" w14:textId="77777777" w:rsidTr="00267977">
        <w:trPr>
          <w:trHeight w:val="285"/>
        </w:trPr>
        <w:tc>
          <w:tcPr>
            <w:tcW w:w="133" w:type="pct"/>
            <w:tcBorders>
              <w:top w:val="nil"/>
              <w:left w:val="nil"/>
              <w:bottom w:val="nil"/>
              <w:right w:val="nil"/>
            </w:tcBorders>
            <w:shd w:val="clear" w:color="000000" w:fill="FFFFFF"/>
            <w:noWrap/>
            <w:vAlign w:val="center"/>
            <w:hideMark/>
          </w:tcPr>
          <w:p w14:paraId="0F13F4E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BA8271B"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4CF0E5B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M160</w:t>
            </w:r>
          </w:p>
        </w:tc>
        <w:tc>
          <w:tcPr>
            <w:tcW w:w="3135" w:type="pct"/>
            <w:tcBorders>
              <w:top w:val="single" w:sz="4" w:space="0" w:color="auto"/>
              <w:left w:val="nil"/>
              <w:bottom w:val="single" w:sz="4" w:space="0" w:color="auto"/>
            </w:tcBorders>
            <w:shd w:val="clear" w:color="000000" w:fill="FFFFFF"/>
            <w:noWrap/>
            <w:vAlign w:val="center"/>
            <w:hideMark/>
          </w:tcPr>
          <w:p w14:paraId="50A96C1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Organo halogen compounds—other than substances referred to in this Table or Table 2</w:t>
            </w:r>
          </w:p>
        </w:tc>
      </w:tr>
      <w:tr w:rsidR="00D00A38" w:rsidRPr="00267977" w14:paraId="74C3B815" w14:textId="77777777" w:rsidTr="00267977">
        <w:trPr>
          <w:trHeight w:val="285"/>
        </w:trPr>
        <w:tc>
          <w:tcPr>
            <w:tcW w:w="133" w:type="pct"/>
            <w:tcBorders>
              <w:top w:val="nil"/>
              <w:left w:val="nil"/>
              <w:bottom w:val="nil"/>
              <w:right w:val="nil"/>
            </w:tcBorders>
            <w:shd w:val="clear" w:color="000000" w:fill="FFFFFF"/>
            <w:noWrap/>
            <w:vAlign w:val="center"/>
            <w:hideMark/>
          </w:tcPr>
          <w:p w14:paraId="4AE6BAA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1093A1CA"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0AB2854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M170</w:t>
            </w:r>
          </w:p>
        </w:tc>
        <w:tc>
          <w:tcPr>
            <w:tcW w:w="3135" w:type="pct"/>
            <w:tcBorders>
              <w:top w:val="single" w:sz="4" w:space="0" w:color="auto"/>
              <w:left w:val="nil"/>
              <w:bottom w:val="single" w:sz="4" w:space="0" w:color="auto"/>
            </w:tcBorders>
            <w:shd w:val="clear" w:color="000000" w:fill="FFFFFF"/>
            <w:noWrap/>
            <w:vAlign w:val="center"/>
            <w:hideMark/>
          </w:tcPr>
          <w:p w14:paraId="7DB06FF3"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Polychlorinated dibenzo-furan (any congener)</w:t>
            </w:r>
          </w:p>
        </w:tc>
      </w:tr>
      <w:tr w:rsidR="00D00A38" w:rsidRPr="00267977" w14:paraId="677D0A42" w14:textId="77777777" w:rsidTr="00267977">
        <w:trPr>
          <w:trHeight w:val="285"/>
        </w:trPr>
        <w:tc>
          <w:tcPr>
            <w:tcW w:w="133" w:type="pct"/>
            <w:tcBorders>
              <w:top w:val="nil"/>
              <w:left w:val="nil"/>
              <w:bottom w:val="nil"/>
              <w:right w:val="nil"/>
            </w:tcBorders>
            <w:shd w:val="clear" w:color="000000" w:fill="FFFFFF"/>
            <w:noWrap/>
            <w:vAlign w:val="center"/>
            <w:hideMark/>
          </w:tcPr>
          <w:p w14:paraId="1379F2B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48623944"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7B3BC22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M180</w:t>
            </w:r>
          </w:p>
        </w:tc>
        <w:tc>
          <w:tcPr>
            <w:tcW w:w="3135" w:type="pct"/>
            <w:tcBorders>
              <w:top w:val="single" w:sz="4" w:space="0" w:color="auto"/>
              <w:left w:val="nil"/>
              <w:bottom w:val="single" w:sz="4" w:space="0" w:color="auto"/>
            </w:tcBorders>
            <w:shd w:val="clear" w:color="000000" w:fill="FFFFFF"/>
            <w:noWrap/>
            <w:vAlign w:val="center"/>
            <w:hideMark/>
          </w:tcPr>
          <w:p w14:paraId="3E94A4A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Polychlorinated dibenzo-p-dioxin (any congener)</w:t>
            </w:r>
          </w:p>
        </w:tc>
      </w:tr>
      <w:tr w:rsidR="00D00A38" w:rsidRPr="00267977" w14:paraId="79FDB005" w14:textId="77777777" w:rsidTr="00267977">
        <w:trPr>
          <w:trHeight w:val="285"/>
        </w:trPr>
        <w:tc>
          <w:tcPr>
            <w:tcW w:w="133" w:type="pct"/>
            <w:tcBorders>
              <w:top w:val="nil"/>
              <w:left w:val="nil"/>
              <w:bottom w:val="nil"/>
              <w:right w:val="nil"/>
            </w:tcBorders>
            <w:shd w:val="clear" w:color="000000" w:fill="FFFFFF"/>
            <w:noWrap/>
            <w:vAlign w:val="center"/>
            <w:hideMark/>
          </w:tcPr>
          <w:p w14:paraId="42FF684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B5077FC"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917D29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M210</w:t>
            </w:r>
          </w:p>
        </w:tc>
        <w:tc>
          <w:tcPr>
            <w:tcW w:w="3135" w:type="pct"/>
            <w:tcBorders>
              <w:top w:val="single" w:sz="4" w:space="0" w:color="auto"/>
              <w:left w:val="nil"/>
              <w:bottom w:val="single" w:sz="4" w:space="0" w:color="auto"/>
            </w:tcBorders>
            <w:shd w:val="clear" w:color="000000" w:fill="FFFFFF"/>
            <w:noWrap/>
            <w:vAlign w:val="center"/>
            <w:hideMark/>
          </w:tcPr>
          <w:p w14:paraId="61F7C99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Cyanides (organic)</w:t>
            </w:r>
          </w:p>
        </w:tc>
      </w:tr>
      <w:tr w:rsidR="00D00A38" w:rsidRPr="00267977" w14:paraId="60C0C7A6" w14:textId="77777777" w:rsidTr="00267977">
        <w:trPr>
          <w:trHeight w:val="285"/>
        </w:trPr>
        <w:tc>
          <w:tcPr>
            <w:tcW w:w="133" w:type="pct"/>
            <w:tcBorders>
              <w:top w:val="nil"/>
              <w:left w:val="nil"/>
              <w:bottom w:val="nil"/>
              <w:right w:val="nil"/>
            </w:tcBorders>
            <w:shd w:val="clear" w:color="000000" w:fill="FFFFFF"/>
            <w:noWrap/>
            <w:vAlign w:val="center"/>
            <w:hideMark/>
          </w:tcPr>
          <w:p w14:paraId="1456ADE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C5B052F"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AE2BCB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M220</w:t>
            </w:r>
          </w:p>
        </w:tc>
        <w:tc>
          <w:tcPr>
            <w:tcW w:w="3135" w:type="pct"/>
            <w:tcBorders>
              <w:top w:val="single" w:sz="4" w:space="0" w:color="auto"/>
              <w:left w:val="nil"/>
              <w:bottom w:val="single" w:sz="4" w:space="0" w:color="auto"/>
            </w:tcBorders>
            <w:shd w:val="clear" w:color="000000" w:fill="FFFFFF"/>
            <w:noWrap/>
            <w:vAlign w:val="center"/>
            <w:hideMark/>
          </w:tcPr>
          <w:p w14:paraId="576F37E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Isocyanate compounds</w:t>
            </w:r>
          </w:p>
        </w:tc>
      </w:tr>
      <w:tr w:rsidR="00D00A38" w:rsidRPr="00267977" w14:paraId="723EC79A" w14:textId="77777777" w:rsidTr="00267977">
        <w:trPr>
          <w:trHeight w:val="285"/>
        </w:trPr>
        <w:tc>
          <w:tcPr>
            <w:tcW w:w="133" w:type="pct"/>
            <w:tcBorders>
              <w:top w:val="nil"/>
              <w:left w:val="nil"/>
              <w:bottom w:val="nil"/>
              <w:right w:val="nil"/>
            </w:tcBorders>
            <w:shd w:val="clear" w:color="000000" w:fill="FFFFFF"/>
            <w:noWrap/>
            <w:vAlign w:val="center"/>
            <w:hideMark/>
          </w:tcPr>
          <w:p w14:paraId="5EB81B9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8088750"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A3BFF1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M230</w:t>
            </w:r>
          </w:p>
        </w:tc>
        <w:tc>
          <w:tcPr>
            <w:tcW w:w="3135" w:type="pct"/>
            <w:tcBorders>
              <w:top w:val="single" w:sz="4" w:space="0" w:color="auto"/>
              <w:left w:val="nil"/>
              <w:bottom w:val="single" w:sz="4" w:space="0" w:color="auto"/>
            </w:tcBorders>
            <w:shd w:val="clear" w:color="000000" w:fill="FFFFFF"/>
            <w:noWrap/>
            <w:vAlign w:val="center"/>
            <w:hideMark/>
          </w:tcPr>
          <w:p w14:paraId="4AB73A2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Triethylamine catalysts for setting foundry sands</w:t>
            </w:r>
          </w:p>
        </w:tc>
      </w:tr>
      <w:tr w:rsidR="00D00A38" w:rsidRPr="00267977" w14:paraId="7CD078A8" w14:textId="77777777" w:rsidTr="00267977">
        <w:trPr>
          <w:trHeight w:val="510"/>
        </w:trPr>
        <w:tc>
          <w:tcPr>
            <w:tcW w:w="133" w:type="pct"/>
            <w:tcBorders>
              <w:top w:val="nil"/>
              <w:left w:val="nil"/>
              <w:bottom w:val="nil"/>
              <w:right w:val="nil"/>
            </w:tcBorders>
            <w:shd w:val="clear" w:color="000000" w:fill="FFFFFF"/>
            <w:noWrap/>
            <w:vAlign w:val="center"/>
            <w:hideMark/>
          </w:tcPr>
          <w:p w14:paraId="6D7C4C3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483C758"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E83693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M250</w:t>
            </w:r>
          </w:p>
        </w:tc>
        <w:tc>
          <w:tcPr>
            <w:tcW w:w="3135" w:type="pct"/>
            <w:tcBorders>
              <w:top w:val="single" w:sz="4" w:space="0" w:color="auto"/>
              <w:left w:val="nil"/>
              <w:bottom w:val="single" w:sz="4" w:space="0" w:color="auto"/>
            </w:tcBorders>
            <w:shd w:val="clear" w:color="000000" w:fill="FFFFFF"/>
            <w:vAlign w:val="center"/>
            <w:hideMark/>
          </w:tcPr>
          <w:p w14:paraId="726737B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Surface active agents (surfactants), containing principally organic constituents and which may contain metals and inorganic materials</w:t>
            </w:r>
          </w:p>
        </w:tc>
      </w:tr>
      <w:tr w:rsidR="00D00A38" w:rsidRPr="00267977" w14:paraId="7AF6E60A" w14:textId="77777777" w:rsidTr="00267977">
        <w:trPr>
          <w:trHeight w:val="285"/>
        </w:trPr>
        <w:tc>
          <w:tcPr>
            <w:tcW w:w="133" w:type="pct"/>
            <w:tcBorders>
              <w:top w:val="nil"/>
              <w:left w:val="nil"/>
              <w:bottom w:val="nil"/>
              <w:right w:val="nil"/>
            </w:tcBorders>
            <w:shd w:val="clear" w:color="000000" w:fill="FFFFFF"/>
            <w:noWrap/>
            <w:vAlign w:val="center"/>
            <w:hideMark/>
          </w:tcPr>
          <w:p w14:paraId="64B1D2D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14F38902"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5DDBDCF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M260</w:t>
            </w:r>
          </w:p>
        </w:tc>
        <w:tc>
          <w:tcPr>
            <w:tcW w:w="3135" w:type="pct"/>
            <w:tcBorders>
              <w:top w:val="single" w:sz="4" w:space="0" w:color="auto"/>
              <w:left w:val="nil"/>
              <w:bottom w:val="single" w:sz="4" w:space="0" w:color="auto"/>
            </w:tcBorders>
            <w:shd w:val="clear" w:color="000000" w:fill="FFFFFF"/>
            <w:noWrap/>
            <w:vAlign w:val="center"/>
            <w:hideMark/>
          </w:tcPr>
          <w:p w14:paraId="56B8649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Highly odorous organic chemicals (including mercaptans and acrylates)</w:t>
            </w:r>
          </w:p>
        </w:tc>
      </w:tr>
      <w:tr w:rsidR="00D00A38" w:rsidRPr="00267977" w14:paraId="30CE5862" w14:textId="77777777" w:rsidTr="00267977">
        <w:trPr>
          <w:trHeight w:val="285"/>
        </w:trPr>
        <w:tc>
          <w:tcPr>
            <w:tcW w:w="133" w:type="pct"/>
            <w:tcBorders>
              <w:top w:val="nil"/>
              <w:left w:val="nil"/>
              <w:bottom w:val="single" w:sz="4" w:space="0" w:color="auto"/>
              <w:right w:val="nil"/>
            </w:tcBorders>
            <w:shd w:val="clear" w:color="000000" w:fill="FFFFFF"/>
            <w:noWrap/>
            <w:vAlign w:val="center"/>
            <w:hideMark/>
          </w:tcPr>
          <w:p w14:paraId="6CE405E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w:t>
            </w:r>
          </w:p>
        </w:tc>
        <w:tc>
          <w:tcPr>
            <w:tcW w:w="887" w:type="pct"/>
            <w:tcBorders>
              <w:top w:val="nil"/>
              <w:left w:val="nil"/>
              <w:bottom w:val="single" w:sz="4" w:space="0" w:color="auto"/>
              <w:right w:val="nil"/>
            </w:tcBorders>
            <w:shd w:val="clear" w:color="000000" w:fill="FFFFFF"/>
            <w:noWrap/>
            <w:vAlign w:val="center"/>
            <w:hideMark/>
          </w:tcPr>
          <w:p w14:paraId="02C2EA34"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Soil/ sludge</w:t>
            </w:r>
          </w:p>
        </w:tc>
        <w:tc>
          <w:tcPr>
            <w:tcW w:w="846" w:type="pct"/>
            <w:tcBorders>
              <w:top w:val="single" w:sz="4" w:space="0" w:color="auto"/>
              <w:left w:val="nil"/>
              <w:bottom w:val="single" w:sz="4" w:space="0" w:color="auto"/>
              <w:right w:val="nil"/>
            </w:tcBorders>
            <w:shd w:val="clear" w:color="000000" w:fill="FFFFFF"/>
            <w:noWrap/>
            <w:vAlign w:val="center"/>
            <w:hideMark/>
          </w:tcPr>
          <w:p w14:paraId="0A9F6F7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N100</w:t>
            </w:r>
          </w:p>
        </w:tc>
        <w:tc>
          <w:tcPr>
            <w:tcW w:w="3135" w:type="pct"/>
            <w:tcBorders>
              <w:top w:val="single" w:sz="4" w:space="0" w:color="auto"/>
              <w:left w:val="nil"/>
              <w:bottom w:val="single" w:sz="4" w:space="0" w:color="auto"/>
            </w:tcBorders>
            <w:shd w:val="clear" w:color="000000" w:fill="FFFFFF"/>
            <w:noWrap/>
            <w:vAlign w:val="center"/>
            <w:hideMark/>
          </w:tcPr>
          <w:p w14:paraId="2182C50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Containers and drums that are contaminated with residues of substances referred to in this list</w:t>
            </w:r>
          </w:p>
        </w:tc>
      </w:tr>
      <w:tr w:rsidR="00D00A38" w:rsidRPr="00267977" w14:paraId="1A9F3C2B" w14:textId="77777777" w:rsidTr="00267977">
        <w:trPr>
          <w:trHeight w:val="285"/>
        </w:trPr>
        <w:tc>
          <w:tcPr>
            <w:tcW w:w="133" w:type="pct"/>
            <w:tcBorders>
              <w:top w:val="nil"/>
              <w:left w:val="nil"/>
              <w:bottom w:val="nil"/>
              <w:right w:val="nil"/>
            </w:tcBorders>
            <w:shd w:val="clear" w:color="000000" w:fill="FFFFFF"/>
            <w:noWrap/>
            <w:vAlign w:val="center"/>
            <w:hideMark/>
          </w:tcPr>
          <w:p w14:paraId="77217BE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A9C573A"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ACB34B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N120</w:t>
            </w:r>
          </w:p>
        </w:tc>
        <w:tc>
          <w:tcPr>
            <w:tcW w:w="3135" w:type="pct"/>
            <w:tcBorders>
              <w:top w:val="single" w:sz="4" w:space="0" w:color="auto"/>
              <w:left w:val="nil"/>
              <w:bottom w:val="single" w:sz="4" w:space="0" w:color="auto"/>
            </w:tcBorders>
            <w:shd w:val="clear" w:color="000000" w:fill="FFFFFF"/>
            <w:noWrap/>
            <w:vAlign w:val="center"/>
            <w:hideMark/>
          </w:tcPr>
          <w:p w14:paraId="20B353B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Soils contaminated with a controlled waste</w:t>
            </w:r>
          </w:p>
        </w:tc>
      </w:tr>
      <w:tr w:rsidR="00D00A38" w:rsidRPr="00267977" w14:paraId="30ECEF4B" w14:textId="77777777" w:rsidTr="00267977">
        <w:trPr>
          <w:trHeight w:val="285"/>
        </w:trPr>
        <w:tc>
          <w:tcPr>
            <w:tcW w:w="133" w:type="pct"/>
            <w:tcBorders>
              <w:top w:val="nil"/>
              <w:left w:val="nil"/>
              <w:bottom w:val="nil"/>
              <w:right w:val="nil"/>
            </w:tcBorders>
            <w:shd w:val="clear" w:color="000000" w:fill="FFFFFF"/>
            <w:noWrap/>
            <w:vAlign w:val="center"/>
            <w:hideMark/>
          </w:tcPr>
          <w:p w14:paraId="69D4094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67593FC"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67BAE92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N140</w:t>
            </w:r>
          </w:p>
        </w:tc>
        <w:tc>
          <w:tcPr>
            <w:tcW w:w="3135" w:type="pct"/>
            <w:tcBorders>
              <w:top w:val="single" w:sz="4" w:space="0" w:color="auto"/>
              <w:left w:val="nil"/>
              <w:bottom w:val="single" w:sz="4" w:space="0" w:color="auto"/>
            </w:tcBorders>
            <w:shd w:val="clear" w:color="000000" w:fill="FFFFFF"/>
            <w:noWrap/>
            <w:vAlign w:val="center"/>
            <w:hideMark/>
          </w:tcPr>
          <w:p w14:paraId="0890AA9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Fire debris and fire wash waters</w:t>
            </w:r>
          </w:p>
        </w:tc>
      </w:tr>
      <w:tr w:rsidR="00D00A38" w:rsidRPr="00267977" w14:paraId="2FE7E371" w14:textId="77777777" w:rsidTr="00267977">
        <w:trPr>
          <w:trHeight w:val="285"/>
        </w:trPr>
        <w:tc>
          <w:tcPr>
            <w:tcW w:w="133" w:type="pct"/>
            <w:tcBorders>
              <w:top w:val="nil"/>
              <w:left w:val="nil"/>
              <w:bottom w:val="nil"/>
              <w:right w:val="nil"/>
            </w:tcBorders>
            <w:shd w:val="clear" w:color="000000" w:fill="FFFFFF"/>
            <w:noWrap/>
            <w:vAlign w:val="center"/>
            <w:hideMark/>
          </w:tcPr>
          <w:p w14:paraId="0CA4EFE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2E955594"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200D99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N150</w:t>
            </w:r>
          </w:p>
        </w:tc>
        <w:tc>
          <w:tcPr>
            <w:tcW w:w="3135" w:type="pct"/>
            <w:tcBorders>
              <w:top w:val="single" w:sz="4" w:space="0" w:color="auto"/>
              <w:left w:val="nil"/>
              <w:bottom w:val="single" w:sz="4" w:space="0" w:color="auto"/>
            </w:tcBorders>
            <w:shd w:val="clear" w:color="000000" w:fill="FFFFFF"/>
            <w:noWrap/>
            <w:vAlign w:val="center"/>
            <w:hideMark/>
          </w:tcPr>
          <w:p w14:paraId="65A96DD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Fly ash, excluding fly ash generated from Australian coal fired power stations</w:t>
            </w:r>
          </w:p>
        </w:tc>
      </w:tr>
      <w:tr w:rsidR="00D00A38" w:rsidRPr="00267977" w14:paraId="26526864" w14:textId="77777777" w:rsidTr="00267977">
        <w:trPr>
          <w:trHeight w:val="285"/>
        </w:trPr>
        <w:tc>
          <w:tcPr>
            <w:tcW w:w="133" w:type="pct"/>
            <w:tcBorders>
              <w:top w:val="nil"/>
              <w:left w:val="nil"/>
              <w:bottom w:val="nil"/>
              <w:right w:val="nil"/>
            </w:tcBorders>
            <w:shd w:val="clear" w:color="000000" w:fill="FFFFFF"/>
            <w:noWrap/>
            <w:vAlign w:val="center"/>
            <w:hideMark/>
          </w:tcPr>
          <w:p w14:paraId="6E0D361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0BE05072"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77ADB4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N160</w:t>
            </w:r>
          </w:p>
        </w:tc>
        <w:tc>
          <w:tcPr>
            <w:tcW w:w="3135" w:type="pct"/>
            <w:tcBorders>
              <w:top w:val="single" w:sz="4" w:space="0" w:color="auto"/>
              <w:left w:val="nil"/>
              <w:bottom w:val="single" w:sz="4" w:space="0" w:color="auto"/>
            </w:tcBorders>
            <w:shd w:val="clear" w:color="000000" w:fill="FFFFFF"/>
            <w:noWrap/>
            <w:vAlign w:val="center"/>
            <w:hideMark/>
          </w:tcPr>
          <w:p w14:paraId="7F3B705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Encapsulated, chemically-fixed, solidified or polymerised wastes referred to in this list</w:t>
            </w:r>
          </w:p>
        </w:tc>
      </w:tr>
      <w:tr w:rsidR="00D00A38" w:rsidRPr="00267977" w14:paraId="2E88C905" w14:textId="77777777" w:rsidTr="00267977">
        <w:trPr>
          <w:trHeight w:val="285"/>
        </w:trPr>
        <w:tc>
          <w:tcPr>
            <w:tcW w:w="133" w:type="pct"/>
            <w:tcBorders>
              <w:top w:val="nil"/>
              <w:left w:val="nil"/>
              <w:bottom w:val="nil"/>
              <w:right w:val="nil"/>
            </w:tcBorders>
            <w:shd w:val="clear" w:color="000000" w:fill="FFFFFF"/>
            <w:noWrap/>
            <w:vAlign w:val="center"/>
            <w:hideMark/>
          </w:tcPr>
          <w:p w14:paraId="427B9E9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1B80E885"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B64F6FB"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N190</w:t>
            </w:r>
          </w:p>
        </w:tc>
        <w:tc>
          <w:tcPr>
            <w:tcW w:w="3135" w:type="pct"/>
            <w:tcBorders>
              <w:top w:val="single" w:sz="4" w:space="0" w:color="auto"/>
              <w:left w:val="nil"/>
              <w:bottom w:val="single" w:sz="4" w:space="0" w:color="auto"/>
            </w:tcBorders>
            <w:shd w:val="clear" w:color="000000" w:fill="FFFFFF"/>
            <w:noWrap/>
            <w:vAlign w:val="center"/>
            <w:hideMark/>
          </w:tcPr>
          <w:p w14:paraId="2B63CBA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Filter cake contaminated with residues of substances referred to in this list</w:t>
            </w:r>
          </w:p>
        </w:tc>
      </w:tr>
      <w:tr w:rsidR="00D00A38" w:rsidRPr="00267977" w14:paraId="60A9A244" w14:textId="77777777" w:rsidTr="00267977">
        <w:trPr>
          <w:trHeight w:val="285"/>
        </w:trPr>
        <w:tc>
          <w:tcPr>
            <w:tcW w:w="133" w:type="pct"/>
            <w:tcBorders>
              <w:top w:val="nil"/>
              <w:left w:val="nil"/>
              <w:bottom w:val="nil"/>
              <w:right w:val="nil"/>
            </w:tcBorders>
            <w:shd w:val="clear" w:color="000000" w:fill="FFFFFF"/>
            <w:noWrap/>
            <w:vAlign w:val="center"/>
            <w:hideMark/>
          </w:tcPr>
          <w:p w14:paraId="50948840"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D3BEB5E"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2EC1797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N205</w:t>
            </w:r>
          </w:p>
        </w:tc>
        <w:tc>
          <w:tcPr>
            <w:tcW w:w="3135" w:type="pct"/>
            <w:tcBorders>
              <w:top w:val="single" w:sz="4" w:space="0" w:color="auto"/>
              <w:left w:val="nil"/>
              <w:bottom w:val="single" w:sz="4" w:space="0" w:color="auto"/>
            </w:tcBorders>
            <w:shd w:val="clear" w:color="000000" w:fill="FFFFFF"/>
            <w:noWrap/>
            <w:vAlign w:val="center"/>
            <w:hideMark/>
          </w:tcPr>
          <w:p w14:paraId="4F5DE867"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Residues from industrial waste treatment/disposal operations</w:t>
            </w:r>
          </w:p>
        </w:tc>
      </w:tr>
      <w:tr w:rsidR="00D00A38" w:rsidRPr="00267977" w14:paraId="108D3B05" w14:textId="77777777" w:rsidTr="00267977">
        <w:trPr>
          <w:trHeight w:val="285"/>
        </w:trPr>
        <w:tc>
          <w:tcPr>
            <w:tcW w:w="133" w:type="pct"/>
            <w:tcBorders>
              <w:top w:val="nil"/>
              <w:left w:val="nil"/>
              <w:bottom w:val="nil"/>
              <w:right w:val="nil"/>
            </w:tcBorders>
            <w:shd w:val="clear" w:color="000000" w:fill="FFFFFF"/>
            <w:noWrap/>
            <w:vAlign w:val="center"/>
            <w:hideMark/>
          </w:tcPr>
          <w:p w14:paraId="66C2E54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5DE338E0"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7109BFE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N220</w:t>
            </w:r>
          </w:p>
        </w:tc>
        <w:tc>
          <w:tcPr>
            <w:tcW w:w="3135" w:type="pct"/>
            <w:tcBorders>
              <w:top w:val="single" w:sz="4" w:space="0" w:color="auto"/>
              <w:left w:val="nil"/>
              <w:bottom w:val="single" w:sz="4" w:space="0" w:color="auto"/>
            </w:tcBorders>
            <w:shd w:val="clear" w:color="000000" w:fill="FFFFFF"/>
            <w:noWrap/>
            <w:vAlign w:val="center"/>
            <w:hideMark/>
          </w:tcPr>
          <w:p w14:paraId="1E146C5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Asbestos</w:t>
            </w:r>
          </w:p>
        </w:tc>
      </w:tr>
      <w:tr w:rsidR="00D00A38" w:rsidRPr="00267977" w14:paraId="3795F71D" w14:textId="77777777" w:rsidTr="00267977">
        <w:trPr>
          <w:trHeight w:val="285"/>
        </w:trPr>
        <w:tc>
          <w:tcPr>
            <w:tcW w:w="133" w:type="pct"/>
            <w:tcBorders>
              <w:top w:val="nil"/>
              <w:left w:val="nil"/>
              <w:bottom w:val="nil"/>
              <w:right w:val="nil"/>
            </w:tcBorders>
            <w:shd w:val="clear" w:color="000000" w:fill="FFFFFF"/>
            <w:noWrap/>
            <w:vAlign w:val="center"/>
            <w:hideMark/>
          </w:tcPr>
          <w:p w14:paraId="151DFA7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3A1F9F25"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6A29337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N230</w:t>
            </w:r>
          </w:p>
        </w:tc>
        <w:tc>
          <w:tcPr>
            <w:tcW w:w="3135" w:type="pct"/>
            <w:tcBorders>
              <w:top w:val="single" w:sz="4" w:space="0" w:color="auto"/>
              <w:left w:val="nil"/>
              <w:bottom w:val="single" w:sz="4" w:space="0" w:color="auto"/>
            </w:tcBorders>
            <w:shd w:val="clear" w:color="000000" w:fill="FFFFFF"/>
            <w:noWrap/>
            <w:vAlign w:val="center"/>
            <w:hideMark/>
          </w:tcPr>
          <w:p w14:paraId="49A7708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Ceramic-based fibres with physico-chemical characteristics similar to those of asbestos</w:t>
            </w:r>
          </w:p>
        </w:tc>
      </w:tr>
      <w:tr w:rsidR="00D00A38" w:rsidRPr="00267977" w14:paraId="1EDE58DB" w14:textId="77777777" w:rsidTr="00267977">
        <w:trPr>
          <w:trHeight w:val="315"/>
        </w:trPr>
        <w:tc>
          <w:tcPr>
            <w:tcW w:w="133" w:type="pct"/>
            <w:tcBorders>
              <w:top w:val="nil"/>
              <w:left w:val="nil"/>
              <w:bottom w:val="single" w:sz="4" w:space="0" w:color="auto"/>
              <w:right w:val="nil"/>
            </w:tcBorders>
            <w:shd w:val="clear" w:color="000000" w:fill="FFFFFF"/>
            <w:noWrap/>
            <w:vAlign w:val="center"/>
            <w:hideMark/>
          </w:tcPr>
          <w:p w14:paraId="0F35F33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R</w:t>
            </w:r>
          </w:p>
        </w:tc>
        <w:tc>
          <w:tcPr>
            <w:tcW w:w="887" w:type="pct"/>
            <w:tcBorders>
              <w:top w:val="nil"/>
              <w:left w:val="nil"/>
              <w:bottom w:val="single" w:sz="4" w:space="0" w:color="auto"/>
              <w:right w:val="nil"/>
            </w:tcBorders>
            <w:shd w:val="clear" w:color="000000" w:fill="FFFFFF"/>
            <w:noWrap/>
            <w:vAlign w:val="center"/>
            <w:hideMark/>
          </w:tcPr>
          <w:p w14:paraId="23C0837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Clinical and pharmaceutical</w:t>
            </w:r>
          </w:p>
        </w:tc>
        <w:tc>
          <w:tcPr>
            <w:tcW w:w="846" w:type="pct"/>
            <w:tcBorders>
              <w:top w:val="single" w:sz="4" w:space="0" w:color="auto"/>
              <w:left w:val="nil"/>
              <w:bottom w:val="single" w:sz="4" w:space="0" w:color="auto"/>
              <w:right w:val="nil"/>
            </w:tcBorders>
            <w:shd w:val="clear" w:color="000000" w:fill="FFFFFF"/>
            <w:noWrap/>
            <w:vAlign w:val="center"/>
            <w:hideMark/>
          </w:tcPr>
          <w:p w14:paraId="2B8010B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R100</w:t>
            </w:r>
          </w:p>
        </w:tc>
        <w:tc>
          <w:tcPr>
            <w:tcW w:w="3135" w:type="pct"/>
            <w:tcBorders>
              <w:top w:val="single" w:sz="4" w:space="0" w:color="auto"/>
              <w:left w:val="nil"/>
              <w:bottom w:val="single" w:sz="4" w:space="0" w:color="auto"/>
            </w:tcBorders>
            <w:shd w:val="clear" w:color="000000" w:fill="FFFFFF"/>
            <w:noWrap/>
            <w:vAlign w:val="center"/>
            <w:hideMark/>
          </w:tcPr>
          <w:p w14:paraId="6B0E4E4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Clinical and related wastes</w:t>
            </w:r>
          </w:p>
        </w:tc>
      </w:tr>
      <w:tr w:rsidR="00D00A38" w:rsidRPr="00267977" w14:paraId="2F1D6101" w14:textId="77777777" w:rsidTr="00267977">
        <w:trPr>
          <w:trHeight w:val="285"/>
        </w:trPr>
        <w:tc>
          <w:tcPr>
            <w:tcW w:w="133" w:type="pct"/>
            <w:tcBorders>
              <w:top w:val="nil"/>
              <w:left w:val="nil"/>
              <w:bottom w:val="nil"/>
              <w:right w:val="nil"/>
            </w:tcBorders>
            <w:shd w:val="clear" w:color="000000" w:fill="FFFFFF"/>
            <w:noWrap/>
            <w:vAlign w:val="center"/>
            <w:hideMark/>
          </w:tcPr>
          <w:p w14:paraId="530399A8"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4C2AA28A"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1AAA602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R120</w:t>
            </w:r>
          </w:p>
        </w:tc>
        <w:tc>
          <w:tcPr>
            <w:tcW w:w="3135" w:type="pct"/>
            <w:tcBorders>
              <w:top w:val="single" w:sz="4" w:space="0" w:color="auto"/>
              <w:left w:val="nil"/>
              <w:bottom w:val="single" w:sz="4" w:space="0" w:color="auto"/>
            </w:tcBorders>
            <w:shd w:val="clear" w:color="000000" w:fill="FFFFFF"/>
            <w:noWrap/>
            <w:vAlign w:val="center"/>
            <w:hideMark/>
          </w:tcPr>
          <w:p w14:paraId="1538623C"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pharmaceuticals, drugs and medicines</w:t>
            </w:r>
          </w:p>
        </w:tc>
      </w:tr>
      <w:tr w:rsidR="00D00A38" w:rsidRPr="00267977" w14:paraId="722DD7AD" w14:textId="77777777" w:rsidTr="00267977">
        <w:trPr>
          <w:trHeight w:val="285"/>
        </w:trPr>
        <w:tc>
          <w:tcPr>
            <w:tcW w:w="133" w:type="pct"/>
            <w:tcBorders>
              <w:top w:val="nil"/>
              <w:left w:val="nil"/>
              <w:bottom w:val="nil"/>
              <w:right w:val="nil"/>
            </w:tcBorders>
            <w:shd w:val="clear" w:color="000000" w:fill="FFFFFF"/>
            <w:noWrap/>
            <w:vAlign w:val="center"/>
            <w:hideMark/>
          </w:tcPr>
          <w:p w14:paraId="151F289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67654920"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33B33EC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R140</w:t>
            </w:r>
          </w:p>
        </w:tc>
        <w:tc>
          <w:tcPr>
            <w:tcW w:w="3135" w:type="pct"/>
            <w:tcBorders>
              <w:top w:val="single" w:sz="4" w:space="0" w:color="auto"/>
              <w:left w:val="nil"/>
              <w:bottom w:val="single" w:sz="4" w:space="0" w:color="auto"/>
            </w:tcBorders>
            <w:shd w:val="clear" w:color="000000" w:fill="FFFFFF"/>
            <w:noWrap/>
            <w:vAlign w:val="center"/>
            <w:hideMark/>
          </w:tcPr>
          <w:p w14:paraId="7E7BE5D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the production and preparation of pharmaceutical products</w:t>
            </w:r>
          </w:p>
        </w:tc>
      </w:tr>
      <w:tr w:rsidR="00D00A38" w:rsidRPr="00267977" w14:paraId="2521C089" w14:textId="77777777" w:rsidTr="00267977">
        <w:trPr>
          <w:trHeight w:val="765"/>
        </w:trPr>
        <w:tc>
          <w:tcPr>
            <w:tcW w:w="133" w:type="pct"/>
            <w:tcBorders>
              <w:top w:val="nil"/>
              <w:left w:val="nil"/>
              <w:bottom w:val="single" w:sz="4" w:space="0" w:color="auto"/>
              <w:right w:val="nil"/>
            </w:tcBorders>
            <w:shd w:val="clear" w:color="000000" w:fill="FFFFFF"/>
            <w:noWrap/>
            <w:vAlign w:val="center"/>
            <w:hideMark/>
          </w:tcPr>
          <w:p w14:paraId="63B7EEDF"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w:t>
            </w:r>
          </w:p>
        </w:tc>
        <w:tc>
          <w:tcPr>
            <w:tcW w:w="887" w:type="pct"/>
            <w:tcBorders>
              <w:top w:val="nil"/>
              <w:left w:val="nil"/>
              <w:bottom w:val="single" w:sz="4" w:space="0" w:color="auto"/>
              <w:right w:val="nil"/>
            </w:tcBorders>
            <w:shd w:val="clear" w:color="000000" w:fill="FFFFFF"/>
            <w:noWrap/>
            <w:vAlign w:val="center"/>
            <w:hideMark/>
          </w:tcPr>
          <w:p w14:paraId="2253D7E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Miscellaneous</w:t>
            </w:r>
          </w:p>
        </w:tc>
        <w:tc>
          <w:tcPr>
            <w:tcW w:w="846" w:type="pct"/>
            <w:tcBorders>
              <w:top w:val="single" w:sz="4" w:space="0" w:color="auto"/>
              <w:left w:val="nil"/>
              <w:bottom w:val="single" w:sz="4" w:space="0" w:color="auto"/>
              <w:right w:val="nil"/>
            </w:tcBorders>
            <w:shd w:val="clear" w:color="000000" w:fill="FFFFFF"/>
            <w:noWrap/>
            <w:vAlign w:val="center"/>
            <w:hideMark/>
          </w:tcPr>
          <w:p w14:paraId="058F5CB1"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T100</w:t>
            </w:r>
          </w:p>
        </w:tc>
        <w:tc>
          <w:tcPr>
            <w:tcW w:w="3135" w:type="pct"/>
            <w:tcBorders>
              <w:top w:val="single" w:sz="4" w:space="0" w:color="auto"/>
              <w:left w:val="nil"/>
              <w:bottom w:val="single" w:sz="4" w:space="0" w:color="auto"/>
            </w:tcBorders>
            <w:shd w:val="clear" w:color="000000" w:fill="FFFFFF"/>
            <w:vAlign w:val="center"/>
            <w:hideMark/>
          </w:tcPr>
          <w:p w14:paraId="67E3B19D"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chemical substances arising from research and development or teaching activities, including those which are not identified and/or are new and whose effects on human health and/or the environment are not known</w:t>
            </w:r>
          </w:p>
        </w:tc>
      </w:tr>
      <w:tr w:rsidR="00D00A38" w:rsidRPr="00267977" w14:paraId="72F18115" w14:textId="77777777" w:rsidTr="00267977">
        <w:trPr>
          <w:trHeight w:val="285"/>
        </w:trPr>
        <w:tc>
          <w:tcPr>
            <w:tcW w:w="133" w:type="pct"/>
            <w:tcBorders>
              <w:top w:val="nil"/>
              <w:left w:val="nil"/>
              <w:bottom w:val="nil"/>
              <w:right w:val="nil"/>
            </w:tcBorders>
            <w:shd w:val="clear" w:color="000000" w:fill="FFFFFF"/>
            <w:noWrap/>
            <w:vAlign w:val="center"/>
            <w:hideMark/>
          </w:tcPr>
          <w:p w14:paraId="1AE3FBD9"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37417086"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6486A376"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T120</w:t>
            </w:r>
          </w:p>
        </w:tc>
        <w:tc>
          <w:tcPr>
            <w:tcW w:w="3135" w:type="pct"/>
            <w:tcBorders>
              <w:top w:val="single" w:sz="4" w:space="0" w:color="auto"/>
              <w:left w:val="nil"/>
              <w:bottom w:val="single" w:sz="4" w:space="0" w:color="auto"/>
            </w:tcBorders>
            <w:shd w:val="clear" w:color="000000" w:fill="FFFFFF"/>
            <w:noWrap/>
            <w:vAlign w:val="center"/>
            <w:hideMark/>
          </w:tcPr>
          <w:p w14:paraId="1C39DD7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from the production, formulation and use of photographic chemicals and processing materials</w:t>
            </w:r>
          </w:p>
        </w:tc>
      </w:tr>
      <w:tr w:rsidR="00D00A38" w:rsidRPr="00267977" w14:paraId="14096EB9" w14:textId="77777777" w:rsidTr="00267977">
        <w:trPr>
          <w:trHeight w:val="285"/>
        </w:trPr>
        <w:tc>
          <w:tcPr>
            <w:tcW w:w="133" w:type="pct"/>
            <w:tcBorders>
              <w:top w:val="nil"/>
              <w:left w:val="nil"/>
              <w:bottom w:val="nil"/>
              <w:right w:val="nil"/>
            </w:tcBorders>
            <w:shd w:val="clear" w:color="000000" w:fill="FFFFFF"/>
            <w:noWrap/>
            <w:vAlign w:val="center"/>
            <w:hideMark/>
          </w:tcPr>
          <w:p w14:paraId="35F1E99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nil"/>
              <w:right w:val="nil"/>
            </w:tcBorders>
            <w:shd w:val="clear" w:color="000000" w:fill="FFFFFF"/>
            <w:noWrap/>
            <w:vAlign w:val="center"/>
            <w:hideMark/>
          </w:tcPr>
          <w:p w14:paraId="1C9AC2C9"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4" w:space="0" w:color="auto"/>
              <w:right w:val="nil"/>
            </w:tcBorders>
            <w:shd w:val="clear" w:color="000000" w:fill="FFFFFF"/>
            <w:noWrap/>
            <w:vAlign w:val="center"/>
            <w:hideMark/>
          </w:tcPr>
          <w:p w14:paraId="782F61B2"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T140</w:t>
            </w:r>
          </w:p>
        </w:tc>
        <w:tc>
          <w:tcPr>
            <w:tcW w:w="3135" w:type="pct"/>
            <w:tcBorders>
              <w:top w:val="single" w:sz="4" w:space="0" w:color="auto"/>
              <w:left w:val="nil"/>
              <w:bottom w:val="single" w:sz="4" w:space="0" w:color="auto"/>
            </w:tcBorders>
            <w:shd w:val="clear" w:color="000000" w:fill="FFFFFF"/>
            <w:noWrap/>
            <w:vAlign w:val="center"/>
            <w:hideMark/>
          </w:tcPr>
          <w:p w14:paraId="4CC3F13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Tyres</w:t>
            </w:r>
          </w:p>
        </w:tc>
      </w:tr>
      <w:tr w:rsidR="00D00A38" w:rsidRPr="00267977" w14:paraId="27A710F8" w14:textId="77777777" w:rsidTr="00267977">
        <w:trPr>
          <w:trHeight w:val="300"/>
        </w:trPr>
        <w:tc>
          <w:tcPr>
            <w:tcW w:w="133" w:type="pct"/>
            <w:tcBorders>
              <w:top w:val="nil"/>
              <w:bottom w:val="single" w:sz="8" w:space="0" w:color="auto"/>
              <w:right w:val="nil"/>
            </w:tcBorders>
            <w:shd w:val="clear" w:color="000000" w:fill="FFFFFF"/>
            <w:noWrap/>
            <w:vAlign w:val="center"/>
            <w:hideMark/>
          </w:tcPr>
          <w:p w14:paraId="48E97B55"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p>
        </w:tc>
        <w:tc>
          <w:tcPr>
            <w:tcW w:w="887" w:type="pct"/>
            <w:tcBorders>
              <w:top w:val="nil"/>
              <w:left w:val="nil"/>
              <w:bottom w:val="single" w:sz="8" w:space="0" w:color="auto"/>
              <w:right w:val="nil"/>
            </w:tcBorders>
            <w:shd w:val="clear" w:color="000000" w:fill="FFFFFF"/>
            <w:noWrap/>
            <w:vAlign w:val="center"/>
            <w:hideMark/>
          </w:tcPr>
          <w:p w14:paraId="402D5AB3" w14:textId="77777777" w:rsidR="00D00A38" w:rsidRPr="00267977" w:rsidRDefault="00D00A38" w:rsidP="00292D83">
            <w:pPr>
              <w:spacing w:after="0" w:line="240" w:lineRule="auto"/>
              <w:rPr>
                <w:rFonts w:asciiTheme="minorHAnsi" w:eastAsia="Times New Roman" w:hAnsiTheme="minorHAnsi" w:cstheme="minorHAnsi"/>
                <w:color w:val="auto"/>
                <w:sz w:val="16"/>
                <w:szCs w:val="16"/>
                <w:lang w:eastAsia="en-AU"/>
              </w:rPr>
            </w:pPr>
          </w:p>
        </w:tc>
        <w:tc>
          <w:tcPr>
            <w:tcW w:w="846" w:type="pct"/>
            <w:tcBorders>
              <w:top w:val="single" w:sz="4" w:space="0" w:color="auto"/>
              <w:left w:val="nil"/>
              <w:bottom w:val="single" w:sz="8" w:space="0" w:color="auto"/>
              <w:right w:val="nil"/>
            </w:tcBorders>
            <w:shd w:val="clear" w:color="000000" w:fill="FFFFFF"/>
            <w:noWrap/>
            <w:vAlign w:val="center"/>
            <w:hideMark/>
          </w:tcPr>
          <w:p w14:paraId="26FD514E"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T200</w:t>
            </w:r>
          </w:p>
        </w:tc>
        <w:tc>
          <w:tcPr>
            <w:tcW w:w="3135" w:type="pct"/>
            <w:tcBorders>
              <w:top w:val="single" w:sz="4" w:space="0" w:color="auto"/>
              <w:left w:val="nil"/>
              <w:bottom w:val="single" w:sz="8" w:space="0" w:color="auto"/>
            </w:tcBorders>
            <w:shd w:val="clear" w:color="000000" w:fill="FFFFFF"/>
            <w:noWrap/>
            <w:vAlign w:val="center"/>
            <w:hideMark/>
          </w:tcPr>
          <w:p w14:paraId="5F24F3BA" w14:textId="77777777" w:rsidR="00D00A38" w:rsidRPr="00267977" w:rsidRDefault="00D00A38" w:rsidP="00292D83">
            <w:pPr>
              <w:spacing w:after="0" w:line="240" w:lineRule="auto"/>
              <w:rPr>
                <w:rFonts w:asciiTheme="minorHAnsi" w:eastAsia="Times New Roman" w:hAnsiTheme="minorHAnsi" w:cstheme="minorHAnsi"/>
                <w:color w:val="080808"/>
                <w:sz w:val="16"/>
                <w:szCs w:val="16"/>
                <w:lang w:eastAsia="en-AU"/>
              </w:rPr>
            </w:pPr>
            <w:r w:rsidRPr="00267977">
              <w:rPr>
                <w:rFonts w:asciiTheme="minorHAnsi" w:eastAsia="Times New Roman" w:hAnsiTheme="minorHAnsi" w:cstheme="minorHAnsi"/>
                <w:color w:val="080808"/>
                <w:sz w:val="16"/>
                <w:szCs w:val="16"/>
                <w:lang w:eastAsia="en-AU"/>
              </w:rPr>
              <w:t>Waste of an explosive nature not subject to other legislation</w:t>
            </w:r>
          </w:p>
        </w:tc>
      </w:tr>
    </w:tbl>
    <w:p w14:paraId="719376B7" w14:textId="77777777" w:rsidR="00D00A38" w:rsidRPr="00E816EF" w:rsidRDefault="00D00A38" w:rsidP="00267977">
      <w:pPr>
        <w:pStyle w:val="RECnormaltext"/>
      </w:pPr>
    </w:p>
    <w:sectPr w:rsidR="00D00A38" w:rsidRPr="00E816EF" w:rsidSect="00604C9A">
      <w:headerReference w:type="even" r:id="rId181"/>
      <w:headerReference w:type="default" r:id="rId182"/>
      <w:footerReference w:type="default" r:id="rId183"/>
      <w:headerReference w:type="first" r:id="rId184"/>
      <w:pgSz w:w="11906" w:h="16838"/>
      <w:pgMar w:top="1810" w:right="1440" w:bottom="1135" w:left="1440" w:header="708"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083A4" w14:textId="77777777" w:rsidR="00067AC0" w:rsidRDefault="00067AC0" w:rsidP="00FD3295">
      <w:r>
        <w:separator/>
      </w:r>
    </w:p>
  </w:endnote>
  <w:endnote w:type="continuationSeparator" w:id="0">
    <w:p w14:paraId="4FD251B4" w14:textId="77777777" w:rsidR="00067AC0" w:rsidRDefault="00067AC0" w:rsidP="00FD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Arial"/>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Bold">
    <w:altName w:val="Calibri"/>
    <w:panose1 w:val="00000000000000000000"/>
    <w:charset w:val="00"/>
    <w:family w:val="swiss"/>
    <w:notTrueType/>
    <w:pitch w:val="variable"/>
    <w:sig w:usb0="A00002B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03F41" w14:textId="77777777" w:rsidR="00067AC0" w:rsidRDefault="00067AC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1D4A" w14:textId="185B4AA1" w:rsidR="00067AC0" w:rsidRPr="009753CD" w:rsidRDefault="00067AC0" w:rsidP="0034596E">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sidRPr="00B90BA1">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Final</w:t>
    </w:r>
    <w:r w:rsidRPr="00B90BA1">
      <w:rPr>
        <w:rFonts w:asciiTheme="minorHAnsi" w:hAnsiTheme="minorHAnsi"/>
        <w:sz w:val="16"/>
        <w:szCs w:val="16"/>
      </w:rPr>
      <w:t xml:space="preserve"> report</w:t>
    </w:r>
  </w:p>
  <w:p w14:paraId="284580D7" w14:textId="356BF979" w:rsidR="00067AC0" w:rsidRPr="009753CD" w:rsidRDefault="005F2283" w:rsidP="00F002A9">
    <w:pPr>
      <w:pStyle w:val="Footer"/>
      <w:jc w:val="center"/>
      <w:rPr>
        <w:rFonts w:asciiTheme="minorHAnsi" w:hAnsiTheme="minorHAnsi"/>
        <w:sz w:val="16"/>
        <w:szCs w:val="16"/>
      </w:rPr>
    </w:pPr>
    <w:sdt>
      <w:sdtPr>
        <w:rPr>
          <w:rFonts w:asciiTheme="minorHAnsi" w:hAnsiTheme="minorHAnsi"/>
          <w:sz w:val="16"/>
          <w:szCs w:val="16"/>
        </w:rPr>
        <w:id w:val="-1323421006"/>
        <w:docPartObj>
          <w:docPartGallery w:val="Page Numbers (Bottom of Page)"/>
          <w:docPartUnique/>
        </w:docPartObj>
      </w:sdtPr>
      <w:sdtEndPr>
        <w:rPr>
          <w:noProof/>
        </w:rPr>
      </w:sdtEndPr>
      <w:sdtContent>
        <w:r w:rsidR="00067AC0" w:rsidRPr="009753CD">
          <w:rPr>
            <w:rFonts w:asciiTheme="minorHAnsi" w:hAnsiTheme="minorHAnsi"/>
            <w:sz w:val="16"/>
            <w:szCs w:val="16"/>
          </w:rPr>
          <w:fldChar w:fldCharType="begin"/>
        </w:r>
        <w:r w:rsidR="00067AC0" w:rsidRPr="009753CD">
          <w:rPr>
            <w:rFonts w:asciiTheme="minorHAnsi" w:hAnsiTheme="minorHAnsi"/>
            <w:sz w:val="16"/>
            <w:szCs w:val="16"/>
          </w:rPr>
          <w:instrText xml:space="preserve"> PAGE   \* MERGEFORMAT </w:instrText>
        </w:r>
        <w:r w:rsidR="00067AC0" w:rsidRPr="009753CD">
          <w:rPr>
            <w:rFonts w:asciiTheme="minorHAnsi" w:hAnsiTheme="minorHAnsi"/>
            <w:sz w:val="16"/>
            <w:szCs w:val="16"/>
          </w:rPr>
          <w:fldChar w:fldCharType="separate"/>
        </w:r>
        <w:r>
          <w:rPr>
            <w:rFonts w:asciiTheme="minorHAnsi" w:hAnsiTheme="minorHAnsi"/>
            <w:noProof/>
            <w:sz w:val="16"/>
            <w:szCs w:val="16"/>
          </w:rPr>
          <w:t>50</w:t>
        </w:r>
        <w:r w:rsidR="00067AC0" w:rsidRPr="009753CD">
          <w:rPr>
            <w:rFonts w:asciiTheme="minorHAnsi" w:hAnsiTheme="minorHAnsi"/>
            <w:noProof/>
            <w:sz w:val="16"/>
            <w:szCs w:val="16"/>
          </w:rPr>
          <w:fldChar w:fldCharType="end"/>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1650" w14:textId="12E58833" w:rsidR="00067AC0" w:rsidRPr="009753CD" w:rsidRDefault="00067AC0" w:rsidP="00193682">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Pr>
        <w:rFonts w:asciiTheme="minorHAnsi" w:hAnsiTheme="minorHAnsi"/>
        <w:sz w:val="16"/>
        <w:szCs w:val="16"/>
      </w:rPr>
      <w:tab/>
      <w:t>Final</w:t>
    </w:r>
    <w:r w:rsidRPr="00B90BA1">
      <w:rPr>
        <w:rFonts w:asciiTheme="minorHAnsi" w:hAnsiTheme="minorHAnsi"/>
        <w:sz w:val="16"/>
        <w:szCs w:val="16"/>
      </w:rPr>
      <w:t xml:space="preserve"> report</w:t>
    </w:r>
  </w:p>
  <w:p w14:paraId="1201B9DB" w14:textId="1A4B5DCE" w:rsidR="00067AC0" w:rsidRPr="009753CD" w:rsidRDefault="00067AC0" w:rsidP="00267977">
    <w:pPr>
      <w:pStyle w:val="Footer"/>
      <w:tabs>
        <w:tab w:val="left" w:pos="6731"/>
      </w:tabs>
      <w:rPr>
        <w:rFonts w:asciiTheme="minorHAnsi" w:hAnsiTheme="minorHAnsi"/>
        <w:sz w:val="16"/>
        <w:szCs w:val="16"/>
      </w:rPr>
    </w:pPr>
    <w:r>
      <w:rPr>
        <w:rFonts w:asciiTheme="minorHAnsi" w:hAnsiTheme="minorHAnsi"/>
        <w:sz w:val="16"/>
        <w:szCs w:val="16"/>
      </w:rPr>
      <w:tab/>
    </w:r>
    <w:sdt>
      <w:sdtPr>
        <w:rPr>
          <w:rFonts w:asciiTheme="minorHAnsi" w:hAnsiTheme="minorHAnsi"/>
          <w:sz w:val="16"/>
          <w:szCs w:val="16"/>
        </w:rPr>
        <w:id w:val="-1363733792"/>
        <w:docPartObj>
          <w:docPartGallery w:val="Page Numbers (Bottom of Page)"/>
          <w:docPartUnique/>
        </w:docPartObj>
      </w:sdtPr>
      <w:sdtEndPr>
        <w:rPr>
          <w:noProof/>
        </w:rPr>
      </w:sdtEndPr>
      <w:sdtContent>
        <w:r w:rsidRPr="009753CD">
          <w:rPr>
            <w:rFonts w:asciiTheme="minorHAnsi" w:hAnsiTheme="minorHAnsi"/>
            <w:sz w:val="16"/>
            <w:szCs w:val="16"/>
          </w:rPr>
          <w:fldChar w:fldCharType="begin"/>
        </w:r>
        <w:r w:rsidRPr="009753CD">
          <w:rPr>
            <w:rFonts w:asciiTheme="minorHAnsi" w:hAnsiTheme="minorHAnsi"/>
            <w:sz w:val="16"/>
            <w:szCs w:val="16"/>
          </w:rPr>
          <w:instrText xml:space="preserve"> PAGE   \* MERGEFORMAT </w:instrText>
        </w:r>
        <w:r w:rsidRPr="009753CD">
          <w:rPr>
            <w:rFonts w:asciiTheme="minorHAnsi" w:hAnsiTheme="minorHAnsi"/>
            <w:sz w:val="16"/>
            <w:szCs w:val="16"/>
          </w:rPr>
          <w:fldChar w:fldCharType="separate"/>
        </w:r>
        <w:r w:rsidR="005F2283">
          <w:rPr>
            <w:rFonts w:asciiTheme="minorHAnsi" w:hAnsiTheme="minorHAnsi"/>
            <w:noProof/>
            <w:sz w:val="16"/>
            <w:szCs w:val="16"/>
          </w:rPr>
          <w:t>65</w:t>
        </w:r>
        <w:r w:rsidRPr="009753CD">
          <w:rPr>
            <w:rFonts w:asciiTheme="minorHAnsi" w:hAnsiTheme="minorHAnsi"/>
            <w:noProof/>
            <w:sz w:val="16"/>
            <w:szCs w:val="16"/>
          </w:rPr>
          <w:fldChar w:fldCharType="end"/>
        </w:r>
      </w:sdtContent>
    </w:sdt>
    <w:r>
      <w:rPr>
        <w:rFonts w:asciiTheme="minorHAnsi" w:hAnsiTheme="minorHAnsi"/>
        <w:noProof/>
        <w:sz w:val="16"/>
        <w:szCs w:val="16"/>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921A7" w14:textId="7BB69F24" w:rsidR="00067AC0" w:rsidRPr="009753CD" w:rsidRDefault="00067AC0" w:rsidP="00193682">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Final</w:t>
    </w:r>
    <w:r w:rsidRPr="00B90BA1">
      <w:rPr>
        <w:rFonts w:asciiTheme="minorHAnsi" w:hAnsiTheme="minorHAnsi"/>
        <w:sz w:val="16"/>
        <w:szCs w:val="16"/>
      </w:rPr>
      <w:t xml:space="preserve"> report</w:t>
    </w:r>
  </w:p>
  <w:p w14:paraId="4C4CB771" w14:textId="7F547FCD" w:rsidR="00067AC0" w:rsidRPr="009753CD" w:rsidRDefault="00067AC0" w:rsidP="00267977">
    <w:pPr>
      <w:pStyle w:val="Footer"/>
      <w:tabs>
        <w:tab w:val="left" w:pos="6731"/>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sdt>
      <w:sdtPr>
        <w:rPr>
          <w:rFonts w:asciiTheme="minorHAnsi" w:hAnsiTheme="minorHAnsi"/>
          <w:sz w:val="16"/>
          <w:szCs w:val="16"/>
        </w:rPr>
        <w:id w:val="-957788770"/>
        <w:docPartObj>
          <w:docPartGallery w:val="Page Numbers (Bottom of Page)"/>
          <w:docPartUnique/>
        </w:docPartObj>
      </w:sdtPr>
      <w:sdtEndPr>
        <w:rPr>
          <w:noProof/>
        </w:rPr>
      </w:sdtEndPr>
      <w:sdtContent>
        <w:r w:rsidRPr="009753CD">
          <w:rPr>
            <w:rFonts w:asciiTheme="minorHAnsi" w:hAnsiTheme="minorHAnsi"/>
            <w:sz w:val="16"/>
            <w:szCs w:val="16"/>
          </w:rPr>
          <w:fldChar w:fldCharType="begin"/>
        </w:r>
        <w:r w:rsidRPr="009753CD">
          <w:rPr>
            <w:rFonts w:asciiTheme="minorHAnsi" w:hAnsiTheme="minorHAnsi"/>
            <w:sz w:val="16"/>
            <w:szCs w:val="16"/>
          </w:rPr>
          <w:instrText xml:space="preserve"> PAGE   \* MERGEFORMAT </w:instrText>
        </w:r>
        <w:r w:rsidRPr="009753CD">
          <w:rPr>
            <w:rFonts w:asciiTheme="minorHAnsi" w:hAnsiTheme="minorHAnsi"/>
            <w:sz w:val="16"/>
            <w:szCs w:val="16"/>
          </w:rPr>
          <w:fldChar w:fldCharType="separate"/>
        </w:r>
        <w:r w:rsidR="005F2283">
          <w:rPr>
            <w:rFonts w:asciiTheme="minorHAnsi" w:hAnsiTheme="minorHAnsi"/>
            <w:noProof/>
            <w:sz w:val="16"/>
            <w:szCs w:val="16"/>
          </w:rPr>
          <w:t>66</w:t>
        </w:r>
        <w:r w:rsidRPr="009753CD">
          <w:rPr>
            <w:rFonts w:asciiTheme="minorHAnsi" w:hAnsiTheme="minorHAnsi"/>
            <w:noProof/>
            <w:sz w:val="16"/>
            <w:szCs w:val="16"/>
          </w:rPr>
          <w:fldChar w:fldCharType="end"/>
        </w:r>
      </w:sdtContent>
    </w:sdt>
    <w:r>
      <w:rPr>
        <w:rFonts w:asciiTheme="minorHAnsi" w:hAnsiTheme="minorHAnsi"/>
        <w:noProof/>
        <w:sz w:val="16"/>
        <w:szCs w:val="16"/>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B947" w14:textId="3CC630E4" w:rsidR="00067AC0" w:rsidRPr="009753CD" w:rsidRDefault="00067AC0" w:rsidP="00193682">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Pr>
        <w:rFonts w:asciiTheme="minorHAnsi" w:hAnsiTheme="minorHAnsi"/>
        <w:sz w:val="16"/>
        <w:szCs w:val="16"/>
      </w:rPr>
      <w:tab/>
      <w:t>Final</w:t>
    </w:r>
    <w:r w:rsidRPr="00B90BA1">
      <w:rPr>
        <w:rFonts w:asciiTheme="minorHAnsi" w:hAnsiTheme="minorHAnsi"/>
        <w:sz w:val="16"/>
        <w:szCs w:val="16"/>
      </w:rPr>
      <w:t xml:space="preserve"> report</w:t>
    </w:r>
  </w:p>
  <w:p w14:paraId="6403C703" w14:textId="0C05643C" w:rsidR="00067AC0" w:rsidRPr="009753CD" w:rsidRDefault="00067AC0" w:rsidP="00267977">
    <w:pPr>
      <w:pStyle w:val="Footer"/>
      <w:tabs>
        <w:tab w:val="left" w:pos="6731"/>
      </w:tabs>
      <w:rPr>
        <w:rFonts w:asciiTheme="minorHAnsi" w:hAnsiTheme="minorHAnsi"/>
        <w:sz w:val="16"/>
        <w:szCs w:val="16"/>
      </w:rPr>
    </w:pPr>
    <w:r>
      <w:rPr>
        <w:rFonts w:asciiTheme="minorHAnsi" w:hAnsiTheme="minorHAnsi"/>
        <w:sz w:val="16"/>
        <w:szCs w:val="16"/>
      </w:rPr>
      <w:tab/>
    </w:r>
    <w:sdt>
      <w:sdtPr>
        <w:rPr>
          <w:rFonts w:asciiTheme="minorHAnsi" w:hAnsiTheme="minorHAnsi"/>
          <w:sz w:val="16"/>
          <w:szCs w:val="16"/>
        </w:rPr>
        <w:id w:val="1314069118"/>
        <w:docPartObj>
          <w:docPartGallery w:val="Page Numbers (Bottom of Page)"/>
          <w:docPartUnique/>
        </w:docPartObj>
      </w:sdtPr>
      <w:sdtEndPr>
        <w:rPr>
          <w:noProof/>
        </w:rPr>
      </w:sdtEndPr>
      <w:sdtContent>
        <w:r w:rsidRPr="009753CD">
          <w:rPr>
            <w:rFonts w:asciiTheme="minorHAnsi" w:hAnsiTheme="minorHAnsi"/>
            <w:sz w:val="16"/>
            <w:szCs w:val="16"/>
          </w:rPr>
          <w:fldChar w:fldCharType="begin"/>
        </w:r>
        <w:r w:rsidRPr="009753CD">
          <w:rPr>
            <w:rFonts w:asciiTheme="minorHAnsi" w:hAnsiTheme="minorHAnsi"/>
            <w:sz w:val="16"/>
            <w:szCs w:val="16"/>
          </w:rPr>
          <w:instrText xml:space="preserve"> PAGE   \* MERGEFORMAT </w:instrText>
        </w:r>
        <w:r w:rsidRPr="009753CD">
          <w:rPr>
            <w:rFonts w:asciiTheme="minorHAnsi" w:hAnsiTheme="minorHAnsi"/>
            <w:sz w:val="16"/>
            <w:szCs w:val="16"/>
          </w:rPr>
          <w:fldChar w:fldCharType="separate"/>
        </w:r>
        <w:r w:rsidR="005F2283">
          <w:rPr>
            <w:rFonts w:asciiTheme="minorHAnsi" w:hAnsiTheme="minorHAnsi"/>
            <w:noProof/>
            <w:sz w:val="16"/>
            <w:szCs w:val="16"/>
          </w:rPr>
          <w:t>70</w:t>
        </w:r>
        <w:r w:rsidRPr="009753CD">
          <w:rPr>
            <w:rFonts w:asciiTheme="minorHAnsi" w:hAnsiTheme="minorHAnsi"/>
            <w:noProof/>
            <w:sz w:val="16"/>
            <w:szCs w:val="16"/>
          </w:rPr>
          <w:fldChar w:fldCharType="end"/>
        </w:r>
      </w:sdtContent>
    </w:sdt>
    <w:r>
      <w:rPr>
        <w:rFonts w:asciiTheme="minorHAnsi" w:hAnsiTheme="minorHAnsi"/>
        <w:noProo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4BD1" w14:textId="77777777" w:rsidR="00067AC0" w:rsidRDefault="00067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7F" w14:textId="77777777" w:rsidR="00067AC0" w:rsidRPr="007972CD" w:rsidRDefault="00067AC0">
    <w:pPr>
      <w:pStyle w:val="Footer"/>
      <w:rPr>
        <w:sz w:val="16"/>
        <w:szCs w:val="16"/>
      </w:rPr>
    </w:pPr>
    <w:r>
      <w:rPr>
        <w:sz w:val="16"/>
        <w:szCs w:val="16"/>
      </w:rPr>
      <w:t>Insert project tile</w:t>
    </w:r>
    <w:r w:rsidRPr="007972CD">
      <w:rPr>
        <w:sz w:val="16"/>
        <w:szCs w:val="16"/>
      </w:rPr>
      <w:ptab w:relativeTo="margin" w:alignment="center" w:leader="none"/>
    </w:r>
    <w:r>
      <w:rPr>
        <w:sz w:val="16"/>
        <w:szCs w:val="16"/>
      </w:rPr>
      <w:t>Insert project number</w:t>
    </w:r>
    <w:r w:rsidRPr="007972CD">
      <w:rPr>
        <w:sz w:val="16"/>
        <w:szCs w:val="16"/>
      </w:rPr>
      <w:ptab w:relativeTo="margin" w:alignment="right" w:leader="none"/>
    </w:r>
    <w:r>
      <w:rPr>
        <w:sz w:val="16"/>
        <w:szCs w:val="16"/>
      </w:rPr>
      <w:t>Insert draft or final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81" w14:textId="705A2718" w:rsidR="00067AC0" w:rsidRPr="009753CD" w:rsidRDefault="00067AC0" w:rsidP="00F002A9">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9753CD">
      <w:rPr>
        <w:rFonts w:asciiTheme="minorHAnsi" w:hAnsiTheme="minorHAnsi"/>
        <w:sz w:val="16"/>
        <w:szCs w:val="16"/>
      </w:rPr>
      <w:tab/>
    </w:r>
    <w:r w:rsidRPr="009753CD">
      <w:rPr>
        <w:rFonts w:asciiTheme="minorHAnsi" w:hAnsiTheme="minorHAnsi"/>
        <w:sz w:val="16"/>
        <w:szCs w:val="16"/>
      </w:rPr>
      <w:tab/>
    </w:r>
    <w:r>
      <w:rPr>
        <w:rFonts w:asciiTheme="minorHAnsi" w:hAnsiTheme="minorHAnsi"/>
        <w:sz w:val="16"/>
        <w:szCs w:val="16"/>
      </w:rPr>
      <w:t xml:space="preserve"> Final report</w:t>
    </w:r>
  </w:p>
  <w:p w14:paraId="6E2A4582" w14:textId="7B31E915" w:rsidR="00067AC0" w:rsidRPr="009753CD" w:rsidRDefault="005F2283" w:rsidP="00F002A9">
    <w:pPr>
      <w:pStyle w:val="Footer"/>
      <w:jc w:val="center"/>
      <w:rPr>
        <w:rFonts w:asciiTheme="minorHAnsi" w:hAnsiTheme="minorHAnsi"/>
        <w:sz w:val="16"/>
        <w:szCs w:val="16"/>
      </w:rPr>
    </w:pPr>
    <w:sdt>
      <w:sdtPr>
        <w:rPr>
          <w:rFonts w:asciiTheme="minorHAnsi" w:hAnsiTheme="minorHAnsi"/>
          <w:sz w:val="16"/>
          <w:szCs w:val="16"/>
        </w:rPr>
        <w:id w:val="1434014772"/>
        <w:docPartObj>
          <w:docPartGallery w:val="Page Numbers (Bottom of Page)"/>
          <w:docPartUnique/>
        </w:docPartObj>
      </w:sdtPr>
      <w:sdtEndPr>
        <w:rPr>
          <w:noProof/>
        </w:rPr>
      </w:sdtEndPr>
      <w:sdtContent>
        <w:r w:rsidR="00067AC0" w:rsidRPr="009753CD">
          <w:rPr>
            <w:rFonts w:asciiTheme="minorHAnsi" w:hAnsiTheme="minorHAnsi"/>
            <w:sz w:val="16"/>
            <w:szCs w:val="16"/>
          </w:rPr>
          <w:fldChar w:fldCharType="begin"/>
        </w:r>
        <w:r w:rsidR="00067AC0" w:rsidRPr="009753CD">
          <w:rPr>
            <w:rFonts w:asciiTheme="minorHAnsi" w:hAnsiTheme="minorHAnsi"/>
            <w:sz w:val="16"/>
            <w:szCs w:val="16"/>
          </w:rPr>
          <w:instrText xml:space="preserve"> PAGE   \* MERGEFORMAT </w:instrText>
        </w:r>
        <w:r w:rsidR="00067AC0" w:rsidRPr="009753CD">
          <w:rPr>
            <w:rFonts w:asciiTheme="minorHAnsi" w:hAnsiTheme="minorHAnsi"/>
            <w:sz w:val="16"/>
            <w:szCs w:val="16"/>
          </w:rPr>
          <w:fldChar w:fldCharType="separate"/>
        </w:r>
        <w:r>
          <w:rPr>
            <w:rFonts w:asciiTheme="minorHAnsi" w:hAnsiTheme="minorHAnsi"/>
            <w:noProof/>
            <w:sz w:val="16"/>
            <w:szCs w:val="16"/>
          </w:rPr>
          <w:t>x</w:t>
        </w:r>
        <w:r w:rsidR="00067AC0" w:rsidRPr="009753CD">
          <w:rPr>
            <w:rFonts w:asciiTheme="minorHAnsi" w:hAnsiTheme="minorHAnsi"/>
            <w:noProof/>
            <w:sz w:val="16"/>
            <w:szCs w:val="16"/>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1FBA" w14:textId="3A59C630" w:rsidR="00067AC0" w:rsidRPr="009753CD" w:rsidRDefault="00067AC0" w:rsidP="0034596E">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sidRPr="00B90BA1">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Final</w:t>
    </w:r>
    <w:r w:rsidRPr="00B90BA1">
      <w:rPr>
        <w:rFonts w:asciiTheme="minorHAnsi" w:hAnsiTheme="minorHAnsi"/>
        <w:sz w:val="16"/>
        <w:szCs w:val="16"/>
      </w:rPr>
      <w:t xml:space="preserve"> report</w:t>
    </w:r>
  </w:p>
  <w:p w14:paraId="2E5AE9E7" w14:textId="5B37878C" w:rsidR="00067AC0" w:rsidRPr="009753CD" w:rsidRDefault="005F2283" w:rsidP="00F002A9">
    <w:pPr>
      <w:pStyle w:val="Footer"/>
      <w:jc w:val="center"/>
      <w:rPr>
        <w:rFonts w:asciiTheme="minorHAnsi" w:hAnsiTheme="minorHAnsi"/>
        <w:sz w:val="16"/>
        <w:szCs w:val="16"/>
      </w:rPr>
    </w:pPr>
    <w:sdt>
      <w:sdtPr>
        <w:rPr>
          <w:rFonts w:asciiTheme="minorHAnsi" w:hAnsiTheme="minorHAnsi"/>
          <w:sz w:val="16"/>
          <w:szCs w:val="16"/>
        </w:rPr>
        <w:id w:val="-1872063696"/>
        <w:docPartObj>
          <w:docPartGallery w:val="Page Numbers (Bottom of Page)"/>
          <w:docPartUnique/>
        </w:docPartObj>
      </w:sdtPr>
      <w:sdtEndPr>
        <w:rPr>
          <w:noProof/>
        </w:rPr>
      </w:sdtEndPr>
      <w:sdtContent>
        <w:r w:rsidR="00067AC0" w:rsidRPr="009753CD">
          <w:rPr>
            <w:rFonts w:asciiTheme="minorHAnsi" w:hAnsiTheme="minorHAnsi"/>
            <w:sz w:val="16"/>
            <w:szCs w:val="16"/>
          </w:rPr>
          <w:fldChar w:fldCharType="begin"/>
        </w:r>
        <w:r w:rsidR="00067AC0" w:rsidRPr="009753CD">
          <w:rPr>
            <w:rFonts w:asciiTheme="minorHAnsi" w:hAnsiTheme="minorHAnsi"/>
            <w:sz w:val="16"/>
            <w:szCs w:val="16"/>
          </w:rPr>
          <w:instrText xml:space="preserve"> PAGE   \* MERGEFORMAT </w:instrText>
        </w:r>
        <w:r w:rsidR="00067AC0" w:rsidRPr="009753CD">
          <w:rPr>
            <w:rFonts w:asciiTheme="minorHAnsi" w:hAnsiTheme="minorHAnsi"/>
            <w:sz w:val="16"/>
            <w:szCs w:val="16"/>
          </w:rPr>
          <w:fldChar w:fldCharType="separate"/>
        </w:r>
        <w:r>
          <w:rPr>
            <w:rFonts w:asciiTheme="minorHAnsi" w:hAnsiTheme="minorHAnsi"/>
            <w:noProof/>
            <w:sz w:val="16"/>
            <w:szCs w:val="16"/>
          </w:rPr>
          <w:t>xi</w:t>
        </w:r>
        <w:r w:rsidR="00067AC0" w:rsidRPr="009753CD">
          <w:rPr>
            <w:rFonts w:asciiTheme="minorHAnsi" w:hAnsiTheme="minorHAnsi"/>
            <w:noProof/>
            <w:sz w:val="16"/>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17C8" w14:textId="41E55E2E" w:rsidR="00067AC0" w:rsidRPr="009753CD" w:rsidRDefault="00067AC0" w:rsidP="0034596E">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Pr>
        <w:rFonts w:asciiTheme="minorHAnsi" w:hAnsiTheme="minorHAnsi"/>
        <w:sz w:val="16"/>
        <w:szCs w:val="16"/>
      </w:rPr>
      <w:tab/>
      <w:t>Final</w:t>
    </w:r>
    <w:r w:rsidRPr="00B90BA1">
      <w:rPr>
        <w:rFonts w:asciiTheme="minorHAnsi" w:hAnsiTheme="minorHAnsi"/>
        <w:sz w:val="16"/>
        <w:szCs w:val="16"/>
      </w:rPr>
      <w:t xml:space="preserve"> report</w:t>
    </w:r>
  </w:p>
  <w:p w14:paraId="312028ED" w14:textId="15680056" w:rsidR="00067AC0" w:rsidRPr="009753CD" w:rsidRDefault="005F2283" w:rsidP="00F002A9">
    <w:pPr>
      <w:pStyle w:val="Footer"/>
      <w:jc w:val="center"/>
      <w:rPr>
        <w:rFonts w:asciiTheme="minorHAnsi" w:hAnsiTheme="minorHAnsi"/>
        <w:sz w:val="16"/>
        <w:szCs w:val="16"/>
      </w:rPr>
    </w:pPr>
    <w:sdt>
      <w:sdtPr>
        <w:rPr>
          <w:rFonts w:asciiTheme="minorHAnsi" w:hAnsiTheme="minorHAnsi"/>
          <w:sz w:val="16"/>
          <w:szCs w:val="16"/>
        </w:rPr>
        <w:id w:val="-2024001086"/>
        <w:docPartObj>
          <w:docPartGallery w:val="Page Numbers (Bottom of Page)"/>
          <w:docPartUnique/>
        </w:docPartObj>
      </w:sdtPr>
      <w:sdtEndPr>
        <w:rPr>
          <w:noProof/>
        </w:rPr>
      </w:sdtEndPr>
      <w:sdtContent>
        <w:r w:rsidR="00067AC0" w:rsidRPr="009753CD">
          <w:rPr>
            <w:rFonts w:asciiTheme="minorHAnsi" w:hAnsiTheme="minorHAnsi"/>
            <w:sz w:val="16"/>
            <w:szCs w:val="16"/>
          </w:rPr>
          <w:fldChar w:fldCharType="begin"/>
        </w:r>
        <w:r w:rsidR="00067AC0" w:rsidRPr="009753CD">
          <w:rPr>
            <w:rFonts w:asciiTheme="minorHAnsi" w:hAnsiTheme="minorHAnsi"/>
            <w:sz w:val="16"/>
            <w:szCs w:val="16"/>
          </w:rPr>
          <w:instrText xml:space="preserve"> PAGE   \* MERGEFORMAT </w:instrText>
        </w:r>
        <w:r w:rsidR="00067AC0" w:rsidRPr="009753CD">
          <w:rPr>
            <w:rFonts w:asciiTheme="minorHAnsi" w:hAnsiTheme="minorHAnsi"/>
            <w:sz w:val="16"/>
            <w:szCs w:val="16"/>
          </w:rPr>
          <w:fldChar w:fldCharType="separate"/>
        </w:r>
        <w:r>
          <w:rPr>
            <w:rFonts w:asciiTheme="minorHAnsi" w:hAnsiTheme="minorHAnsi"/>
            <w:noProof/>
            <w:sz w:val="16"/>
            <w:szCs w:val="16"/>
          </w:rPr>
          <w:t>xiii</w:t>
        </w:r>
        <w:r w:rsidR="00067AC0" w:rsidRPr="009753CD">
          <w:rPr>
            <w:rFonts w:asciiTheme="minorHAnsi" w:hAnsiTheme="minorHAnsi"/>
            <w:noProof/>
            <w:sz w:val="16"/>
            <w:szCs w:val="16"/>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8A" w14:textId="46CCBD7A" w:rsidR="00067AC0" w:rsidRPr="009753CD" w:rsidRDefault="00067AC0" w:rsidP="0034596E">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sidRPr="00B90BA1">
      <w:rPr>
        <w:rFonts w:asciiTheme="minorHAnsi" w:hAnsiTheme="minorHAnsi"/>
        <w:sz w:val="16"/>
        <w:szCs w:val="16"/>
      </w:rPr>
      <w:tab/>
    </w:r>
    <w:r>
      <w:rPr>
        <w:rFonts w:asciiTheme="minorHAnsi" w:hAnsiTheme="minorHAnsi"/>
        <w:sz w:val="16"/>
        <w:szCs w:val="16"/>
      </w:rPr>
      <w:t>Final</w:t>
    </w:r>
    <w:r w:rsidRPr="00B90BA1">
      <w:rPr>
        <w:rFonts w:asciiTheme="minorHAnsi" w:hAnsiTheme="minorHAnsi"/>
        <w:sz w:val="16"/>
        <w:szCs w:val="16"/>
      </w:rPr>
      <w:t xml:space="preserve"> report</w:t>
    </w:r>
  </w:p>
  <w:p w14:paraId="6E2A458B" w14:textId="4FE8D3D8" w:rsidR="00067AC0" w:rsidRPr="009753CD" w:rsidRDefault="005F2283" w:rsidP="00F002A9">
    <w:pPr>
      <w:pStyle w:val="Footer"/>
      <w:jc w:val="center"/>
      <w:rPr>
        <w:rFonts w:asciiTheme="minorHAnsi" w:hAnsiTheme="minorHAnsi"/>
        <w:sz w:val="16"/>
        <w:szCs w:val="16"/>
      </w:rPr>
    </w:pPr>
    <w:sdt>
      <w:sdtPr>
        <w:rPr>
          <w:rFonts w:asciiTheme="minorHAnsi" w:hAnsiTheme="minorHAnsi"/>
          <w:sz w:val="16"/>
          <w:szCs w:val="16"/>
        </w:rPr>
        <w:id w:val="1126354158"/>
        <w:docPartObj>
          <w:docPartGallery w:val="Page Numbers (Bottom of Page)"/>
          <w:docPartUnique/>
        </w:docPartObj>
      </w:sdtPr>
      <w:sdtEndPr>
        <w:rPr>
          <w:noProof/>
        </w:rPr>
      </w:sdtEndPr>
      <w:sdtContent>
        <w:r w:rsidR="00067AC0" w:rsidRPr="009753CD">
          <w:rPr>
            <w:rFonts w:asciiTheme="minorHAnsi" w:hAnsiTheme="minorHAnsi"/>
            <w:sz w:val="16"/>
            <w:szCs w:val="16"/>
          </w:rPr>
          <w:fldChar w:fldCharType="begin"/>
        </w:r>
        <w:r w:rsidR="00067AC0" w:rsidRPr="009753CD">
          <w:rPr>
            <w:rFonts w:asciiTheme="minorHAnsi" w:hAnsiTheme="minorHAnsi"/>
            <w:sz w:val="16"/>
            <w:szCs w:val="16"/>
          </w:rPr>
          <w:instrText xml:space="preserve"> PAGE   \* MERGEFORMAT </w:instrText>
        </w:r>
        <w:r w:rsidR="00067AC0" w:rsidRPr="009753CD">
          <w:rPr>
            <w:rFonts w:asciiTheme="minorHAnsi" w:hAnsiTheme="minorHAnsi"/>
            <w:sz w:val="16"/>
            <w:szCs w:val="16"/>
          </w:rPr>
          <w:fldChar w:fldCharType="separate"/>
        </w:r>
        <w:r>
          <w:rPr>
            <w:rFonts w:asciiTheme="minorHAnsi" w:hAnsiTheme="minorHAnsi"/>
            <w:noProof/>
            <w:sz w:val="16"/>
            <w:szCs w:val="16"/>
          </w:rPr>
          <w:t>6</w:t>
        </w:r>
        <w:r w:rsidR="00067AC0" w:rsidRPr="009753CD">
          <w:rPr>
            <w:rFonts w:asciiTheme="minorHAnsi" w:hAnsiTheme="minorHAnsi"/>
            <w:noProof/>
            <w:sz w:val="16"/>
            <w:szCs w:val="16"/>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C806F" w14:textId="7A9B8E64" w:rsidR="00067AC0" w:rsidRPr="009753CD" w:rsidRDefault="00067AC0" w:rsidP="0034596E">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sidRPr="00B90BA1">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Final</w:t>
    </w:r>
    <w:r w:rsidRPr="00B90BA1">
      <w:rPr>
        <w:rFonts w:asciiTheme="minorHAnsi" w:hAnsiTheme="minorHAnsi"/>
        <w:sz w:val="16"/>
        <w:szCs w:val="16"/>
      </w:rPr>
      <w:t xml:space="preserve"> report</w:t>
    </w:r>
  </w:p>
  <w:p w14:paraId="7398236C" w14:textId="2D990F9D" w:rsidR="00067AC0" w:rsidRPr="009753CD" w:rsidRDefault="005F2283" w:rsidP="00F002A9">
    <w:pPr>
      <w:pStyle w:val="Footer"/>
      <w:jc w:val="center"/>
      <w:rPr>
        <w:rFonts w:asciiTheme="minorHAnsi" w:hAnsiTheme="minorHAnsi"/>
        <w:sz w:val="16"/>
        <w:szCs w:val="16"/>
      </w:rPr>
    </w:pPr>
    <w:sdt>
      <w:sdtPr>
        <w:rPr>
          <w:rFonts w:asciiTheme="minorHAnsi" w:hAnsiTheme="minorHAnsi"/>
          <w:sz w:val="16"/>
          <w:szCs w:val="16"/>
        </w:rPr>
        <w:id w:val="516514439"/>
        <w:docPartObj>
          <w:docPartGallery w:val="Page Numbers (Bottom of Page)"/>
          <w:docPartUnique/>
        </w:docPartObj>
      </w:sdtPr>
      <w:sdtEndPr>
        <w:rPr>
          <w:noProof/>
        </w:rPr>
      </w:sdtEndPr>
      <w:sdtContent>
        <w:r w:rsidR="00067AC0" w:rsidRPr="009753CD">
          <w:rPr>
            <w:rFonts w:asciiTheme="minorHAnsi" w:hAnsiTheme="minorHAnsi"/>
            <w:sz w:val="16"/>
            <w:szCs w:val="16"/>
          </w:rPr>
          <w:fldChar w:fldCharType="begin"/>
        </w:r>
        <w:r w:rsidR="00067AC0" w:rsidRPr="009753CD">
          <w:rPr>
            <w:rFonts w:asciiTheme="minorHAnsi" w:hAnsiTheme="minorHAnsi"/>
            <w:sz w:val="16"/>
            <w:szCs w:val="16"/>
          </w:rPr>
          <w:instrText xml:space="preserve"> PAGE   \* MERGEFORMAT </w:instrText>
        </w:r>
        <w:r w:rsidR="00067AC0" w:rsidRPr="009753CD">
          <w:rPr>
            <w:rFonts w:asciiTheme="minorHAnsi" w:hAnsiTheme="minorHAnsi"/>
            <w:sz w:val="16"/>
            <w:szCs w:val="16"/>
          </w:rPr>
          <w:fldChar w:fldCharType="separate"/>
        </w:r>
        <w:r>
          <w:rPr>
            <w:rFonts w:asciiTheme="minorHAnsi" w:hAnsiTheme="minorHAnsi"/>
            <w:noProof/>
            <w:sz w:val="16"/>
            <w:szCs w:val="16"/>
          </w:rPr>
          <w:t>44</w:t>
        </w:r>
        <w:r w:rsidR="00067AC0" w:rsidRPr="009753CD">
          <w:rPr>
            <w:rFonts w:asciiTheme="minorHAnsi" w:hAnsiTheme="minorHAnsi"/>
            <w:noProof/>
            <w:sz w:val="16"/>
            <w:szCs w:val="16"/>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7505" w14:textId="6CB6BCBC" w:rsidR="00067AC0" w:rsidRPr="009753CD" w:rsidRDefault="00067AC0" w:rsidP="0034596E">
    <w:pPr>
      <w:pStyle w:val="Footer"/>
      <w:pBdr>
        <w:top w:val="single" w:sz="8" w:space="1" w:color="92D050"/>
      </w:pBdr>
      <w:shd w:val="clear" w:color="auto" w:fill="FFFFFF" w:themeFill="background1"/>
      <w:rPr>
        <w:rFonts w:asciiTheme="minorHAnsi" w:hAnsiTheme="minorHAnsi"/>
        <w:sz w:val="16"/>
        <w:szCs w:val="16"/>
      </w:rPr>
    </w:pPr>
    <w:r>
      <w:rPr>
        <w:rFonts w:asciiTheme="minorHAnsi" w:hAnsiTheme="minorHAnsi"/>
        <w:sz w:val="16"/>
        <w:szCs w:val="16"/>
      </w:rPr>
      <w:t>PREC064 DoEE hazwaste stockpiles and storages project</w:t>
    </w:r>
    <w:r w:rsidRPr="00B90BA1" w:rsidDel="002805B2">
      <w:rPr>
        <w:rFonts w:asciiTheme="minorHAnsi" w:hAnsiTheme="minorHAnsi"/>
        <w:sz w:val="16"/>
        <w:szCs w:val="16"/>
      </w:rPr>
      <w:t xml:space="preserve"> </w:t>
    </w:r>
    <w:r w:rsidRPr="00B90BA1">
      <w:rPr>
        <w:rFonts w:asciiTheme="minorHAnsi" w:hAnsiTheme="minorHAnsi"/>
        <w:sz w:val="16"/>
        <w:szCs w:val="16"/>
      </w:rPr>
      <w:tab/>
    </w:r>
    <w:r w:rsidRPr="00B90BA1">
      <w:rPr>
        <w:rFonts w:asciiTheme="minorHAnsi" w:hAnsiTheme="minorHAnsi"/>
        <w:sz w:val="16"/>
        <w:szCs w:val="16"/>
      </w:rPr>
      <w:tab/>
    </w:r>
    <w:r>
      <w:rPr>
        <w:rFonts w:asciiTheme="minorHAnsi" w:hAnsiTheme="minorHAnsi"/>
        <w:sz w:val="16"/>
        <w:szCs w:val="16"/>
      </w:rPr>
      <w:t>Final</w:t>
    </w:r>
    <w:r w:rsidRPr="00B90BA1">
      <w:rPr>
        <w:rFonts w:asciiTheme="minorHAnsi" w:hAnsiTheme="minorHAnsi"/>
        <w:sz w:val="16"/>
        <w:szCs w:val="16"/>
      </w:rPr>
      <w:t xml:space="preserve"> report</w:t>
    </w:r>
  </w:p>
  <w:p w14:paraId="2976363B" w14:textId="2D8924A7" w:rsidR="00067AC0" w:rsidRPr="009753CD" w:rsidRDefault="005F2283" w:rsidP="00F002A9">
    <w:pPr>
      <w:pStyle w:val="Footer"/>
      <w:jc w:val="center"/>
      <w:rPr>
        <w:rFonts w:asciiTheme="minorHAnsi" w:hAnsiTheme="minorHAnsi"/>
        <w:sz w:val="16"/>
        <w:szCs w:val="16"/>
      </w:rPr>
    </w:pPr>
    <w:sdt>
      <w:sdtPr>
        <w:rPr>
          <w:rFonts w:asciiTheme="minorHAnsi" w:hAnsiTheme="minorHAnsi"/>
          <w:sz w:val="16"/>
          <w:szCs w:val="16"/>
        </w:rPr>
        <w:id w:val="513810469"/>
        <w:docPartObj>
          <w:docPartGallery w:val="Page Numbers (Bottom of Page)"/>
          <w:docPartUnique/>
        </w:docPartObj>
      </w:sdtPr>
      <w:sdtEndPr>
        <w:rPr>
          <w:noProof/>
        </w:rPr>
      </w:sdtEndPr>
      <w:sdtContent>
        <w:r w:rsidR="00067AC0" w:rsidRPr="009753CD">
          <w:rPr>
            <w:rFonts w:asciiTheme="minorHAnsi" w:hAnsiTheme="minorHAnsi"/>
            <w:sz w:val="16"/>
            <w:szCs w:val="16"/>
          </w:rPr>
          <w:fldChar w:fldCharType="begin"/>
        </w:r>
        <w:r w:rsidR="00067AC0" w:rsidRPr="009753CD">
          <w:rPr>
            <w:rFonts w:asciiTheme="minorHAnsi" w:hAnsiTheme="minorHAnsi"/>
            <w:sz w:val="16"/>
            <w:szCs w:val="16"/>
          </w:rPr>
          <w:instrText xml:space="preserve"> PAGE   \* MERGEFORMAT </w:instrText>
        </w:r>
        <w:r w:rsidR="00067AC0" w:rsidRPr="009753CD">
          <w:rPr>
            <w:rFonts w:asciiTheme="minorHAnsi" w:hAnsiTheme="minorHAnsi"/>
            <w:sz w:val="16"/>
            <w:szCs w:val="16"/>
          </w:rPr>
          <w:fldChar w:fldCharType="separate"/>
        </w:r>
        <w:r>
          <w:rPr>
            <w:rFonts w:asciiTheme="minorHAnsi" w:hAnsiTheme="minorHAnsi"/>
            <w:noProof/>
            <w:sz w:val="16"/>
            <w:szCs w:val="16"/>
          </w:rPr>
          <w:t>49</w:t>
        </w:r>
        <w:r w:rsidR="00067AC0" w:rsidRPr="009753CD">
          <w:rPr>
            <w:rFonts w:asciiTheme="minorHAnsi" w:hAnsiTheme="minorHAnsi"/>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9E6F2" w14:textId="77777777" w:rsidR="00067AC0" w:rsidRDefault="00067AC0" w:rsidP="00FD3295">
      <w:r>
        <w:separator/>
      </w:r>
    </w:p>
  </w:footnote>
  <w:footnote w:type="continuationSeparator" w:id="0">
    <w:p w14:paraId="7A514249" w14:textId="77777777" w:rsidR="00067AC0" w:rsidRDefault="00067AC0" w:rsidP="00FD3295">
      <w:r>
        <w:continuationSeparator/>
      </w:r>
    </w:p>
  </w:footnote>
  <w:footnote w:id="1">
    <w:p w14:paraId="2DF05439" w14:textId="61A4D9D5" w:rsidR="00067AC0" w:rsidRPr="00F36FC3" w:rsidRDefault="00067AC0" w:rsidP="00F36FC3">
      <w:pPr>
        <w:pStyle w:val="FootnoteText"/>
      </w:pPr>
      <w:r>
        <w:rPr>
          <w:rStyle w:val="FootnoteReference"/>
        </w:rPr>
        <w:footnoteRef/>
      </w:r>
      <w:r>
        <w:t xml:space="preserve"> Controlled waste are defined in the </w:t>
      </w:r>
      <w:hyperlink r:id="rId1" w:history="1">
        <w:r w:rsidRPr="00B219C0">
          <w:rPr>
            <w:rStyle w:val="Hyperlink"/>
            <w:i/>
          </w:rPr>
          <w:t>National Environment Protection (Movement of Controlled Waste between States and Territories) Measure</w:t>
        </w:r>
      </w:hyperlink>
      <w:r>
        <w:t xml:space="preserve">. </w:t>
      </w:r>
    </w:p>
  </w:footnote>
  <w:footnote w:id="2">
    <w:p w14:paraId="29C79569" w14:textId="77777777" w:rsidR="00067AC0" w:rsidRDefault="00067AC0" w:rsidP="00D85BB9">
      <w:pPr>
        <w:pStyle w:val="FootnoteText"/>
      </w:pPr>
      <w:r>
        <w:rPr>
          <w:rStyle w:val="FootnoteReference"/>
        </w:rPr>
        <w:footnoteRef/>
      </w:r>
      <w:r>
        <w:t xml:space="preserve"> The storage of the waste was planned and approved by environment regulators prior to placement including management requirements to protect human health and the environment. </w:t>
      </w:r>
    </w:p>
  </w:footnote>
  <w:footnote w:id="3">
    <w:p w14:paraId="26EC7365" w14:textId="02FF7865" w:rsidR="00067AC0" w:rsidRDefault="00067AC0" w:rsidP="00032E99">
      <w:pPr>
        <w:pStyle w:val="FootnoteText"/>
      </w:pPr>
      <w:r>
        <w:rPr>
          <w:rStyle w:val="FootnoteReference"/>
        </w:rPr>
        <w:footnoteRef/>
      </w:r>
      <w:r>
        <w:t xml:space="preserve"> Refer to definition included in Section </w:t>
      </w:r>
      <w:r>
        <w:fldChar w:fldCharType="begin"/>
      </w:r>
      <w:r>
        <w:instrText xml:space="preserve"> REF _Ref486587938 \r \h </w:instrText>
      </w:r>
      <w:r>
        <w:fldChar w:fldCharType="separate"/>
      </w:r>
      <w:r w:rsidR="00F54E66">
        <w:t>2</w:t>
      </w:r>
      <w:r>
        <w:fldChar w:fldCharType="end"/>
      </w:r>
    </w:p>
  </w:footnote>
  <w:footnote w:id="4">
    <w:p w14:paraId="0C5F3F0C" w14:textId="77777777" w:rsidR="00067AC0" w:rsidRPr="00F36FC3" w:rsidRDefault="00067AC0" w:rsidP="00E6031A">
      <w:pPr>
        <w:pStyle w:val="FootnoteText"/>
      </w:pPr>
      <w:r>
        <w:rPr>
          <w:rStyle w:val="FootnoteReference"/>
        </w:rPr>
        <w:footnoteRef/>
      </w:r>
      <w:r>
        <w:t xml:space="preserve"> Controlled waste are defined in the </w:t>
      </w:r>
      <w:hyperlink r:id="rId2" w:history="1">
        <w:r w:rsidRPr="00396CAD">
          <w:rPr>
            <w:rStyle w:val="Hyperlink"/>
            <w:i/>
          </w:rPr>
          <w:t>National Environment Protection (Movement of Controlled Waste between States and Territories) Measure</w:t>
        </w:r>
      </w:hyperlink>
      <w:r>
        <w:t xml:space="preserve">. </w:t>
      </w:r>
    </w:p>
  </w:footnote>
  <w:footnote w:id="5">
    <w:p w14:paraId="0098DEBA" w14:textId="3C4DCC17" w:rsidR="00067AC0" w:rsidRDefault="00067AC0">
      <w:pPr>
        <w:pStyle w:val="FootnoteText"/>
      </w:pPr>
      <w:r>
        <w:rPr>
          <w:rStyle w:val="FootnoteReference"/>
        </w:rPr>
        <w:footnoteRef/>
      </w:r>
      <w:r>
        <w:t xml:space="preserve"> This is an initial (mostly desktop) study only and the database should not be seen as definitive.</w:t>
      </w:r>
    </w:p>
  </w:footnote>
  <w:footnote w:id="6">
    <w:p w14:paraId="41FBF2BA" w14:textId="77777777" w:rsidR="00067AC0" w:rsidRDefault="00067AC0" w:rsidP="00272DB1">
      <w:pPr>
        <w:pStyle w:val="RECdotnotlist"/>
        <w:numPr>
          <w:ilvl w:val="0"/>
          <w:numId w:val="0"/>
        </w:numPr>
      </w:pPr>
      <w:r>
        <w:rPr>
          <w:rStyle w:val="FootnoteReference"/>
        </w:rPr>
        <w:footnoteRef/>
      </w:r>
      <w:r>
        <w:t xml:space="preserve"> </w:t>
      </w:r>
      <w:r w:rsidRPr="009C1FDF">
        <w:rPr>
          <w:sz w:val="18"/>
        </w:rPr>
        <w:t xml:space="preserve">Note: where text extracts from the reference document are included in the report they are included within single quotation marks. Where a significant </w:t>
      </w:r>
      <w:r>
        <w:rPr>
          <w:sz w:val="18"/>
        </w:rPr>
        <w:t>‘</w:t>
      </w:r>
      <w:r w:rsidRPr="009C1FDF">
        <w:rPr>
          <w:sz w:val="18"/>
        </w:rPr>
        <w:t>block</w:t>
      </w:r>
      <w:r>
        <w:rPr>
          <w:sz w:val="18"/>
        </w:rPr>
        <w:t>’</w:t>
      </w:r>
      <w:r w:rsidRPr="009C1FDF">
        <w:rPr>
          <w:sz w:val="18"/>
        </w:rPr>
        <w:t xml:space="preserve"> of text is extracted from a reference the text is indented and enclosed in single quotation marks.</w:t>
      </w:r>
    </w:p>
  </w:footnote>
  <w:footnote w:id="7">
    <w:p w14:paraId="6C817E47" w14:textId="77777777" w:rsidR="00067AC0" w:rsidRDefault="00067AC0" w:rsidP="00BB1CF1">
      <w:pPr>
        <w:pStyle w:val="FootnoteText"/>
      </w:pPr>
      <w:r>
        <w:rPr>
          <w:rStyle w:val="FootnoteReference"/>
        </w:rPr>
        <w:footnoteRef/>
      </w:r>
      <w:r>
        <w:t xml:space="preserve"> The storage of the waste was planned and approved by environment regulators prior to placement including management requirements to protect human health and the environment. </w:t>
      </w:r>
    </w:p>
  </w:footnote>
  <w:footnote w:id="8">
    <w:p w14:paraId="59900823" w14:textId="77777777" w:rsidR="00067AC0" w:rsidRPr="003A3C43" w:rsidRDefault="00067AC0" w:rsidP="00BB1D00">
      <w:pPr>
        <w:pStyle w:val="FootnoteText"/>
      </w:pPr>
      <w:r w:rsidRPr="003A3C43">
        <w:rPr>
          <w:rStyle w:val="FootnoteReference"/>
        </w:rPr>
        <w:footnoteRef/>
      </w:r>
      <w:r w:rsidRPr="003A3C43">
        <w:t xml:space="preserve"> From AS/NZS 3831:1998 </w:t>
      </w:r>
      <w:r w:rsidRPr="003A3C43">
        <w:rPr>
          <w:i/>
        </w:rPr>
        <w:t>Waste Management – Glossary of Terms.</w:t>
      </w:r>
    </w:p>
  </w:footnote>
  <w:footnote w:id="9">
    <w:p w14:paraId="059502F5" w14:textId="77777777" w:rsidR="00067AC0" w:rsidRPr="003A3C43" w:rsidRDefault="00067AC0" w:rsidP="00BB1D00">
      <w:pPr>
        <w:pStyle w:val="FootnoteText"/>
      </w:pPr>
      <w:r w:rsidRPr="003A3C43">
        <w:rPr>
          <w:rStyle w:val="FootnoteReference"/>
        </w:rPr>
        <w:footnoteRef/>
      </w:r>
      <w:r w:rsidRPr="003A3C43">
        <w:t xml:space="preserve"> For example, the Australian Government has considered waste lithium ion batteries as hazardous</w:t>
      </w:r>
      <w:r>
        <w:t xml:space="preserve"> in assessing the adequacy of hazardous waste infrastructure</w:t>
      </w:r>
      <w:r w:rsidRPr="003A3C43">
        <w:t>.</w:t>
      </w:r>
    </w:p>
  </w:footnote>
  <w:footnote w:id="10">
    <w:p w14:paraId="409F151F" w14:textId="77777777" w:rsidR="00067AC0" w:rsidRPr="003A3C43" w:rsidRDefault="00067AC0" w:rsidP="00BB1D00">
      <w:pPr>
        <w:pStyle w:val="FootnoteText"/>
      </w:pPr>
      <w:r w:rsidRPr="003A3C43">
        <w:rPr>
          <w:rStyle w:val="FootnoteReference"/>
        </w:rPr>
        <w:footnoteRef/>
      </w:r>
      <w:r w:rsidRPr="003A3C43">
        <w:t xml:space="preserve"> Environment ACT (2000) </w:t>
      </w:r>
      <w:r w:rsidRPr="003A3C43">
        <w:rPr>
          <w:i/>
        </w:rPr>
        <w:t xml:space="preserve">ACT Environmental Standards: Assessment and Classification of Liquid &amp; Non-liquid Wastes, </w:t>
      </w:r>
      <w:r w:rsidRPr="003A3C43">
        <w:t xml:space="preserve">June, available from: </w:t>
      </w:r>
      <w:hyperlink r:id="rId3" w:history="1">
        <w:r w:rsidRPr="003A3C43">
          <w:rPr>
            <w:rStyle w:val="Hyperlink"/>
          </w:rPr>
          <w:t>http://www.environment.act.gov.au/__data/assets/pdf_file/0005/585500/wastestandards.pdf</w:t>
        </w:r>
      </w:hyperlink>
    </w:p>
  </w:footnote>
  <w:footnote w:id="11">
    <w:p w14:paraId="4C313036" w14:textId="5F0157F2" w:rsidR="00067AC0" w:rsidRDefault="00067AC0" w:rsidP="008C7B95">
      <w:pPr>
        <w:pStyle w:val="FootnoteText"/>
      </w:pPr>
      <w:r>
        <w:rPr>
          <w:rStyle w:val="FootnoteReference"/>
        </w:rPr>
        <w:footnoteRef/>
      </w:r>
      <w:r>
        <w:t xml:space="preserve"> For levy purposes, WA DER defines ‘asbestos contaminated soils’ as “not considered to be asbestos-containing materials.” </w:t>
      </w:r>
    </w:p>
    <w:p w14:paraId="1FAC7F8C" w14:textId="16136C79" w:rsidR="00067AC0" w:rsidRDefault="00067AC0" w:rsidP="008C7B95">
      <w:pPr>
        <w:pStyle w:val="FootnoteText"/>
      </w:pPr>
      <w:r>
        <w:t>WA’s $0 levy on asbestos products such as asbestos sheeting or insulation &amp; $40 (equivalent) levy on asbestos contaminated soils or rubble, should help to mitigate the risk of mixing asbestos into other loads to achieve a lower levy rate.</w:t>
      </w:r>
    </w:p>
  </w:footnote>
  <w:footnote w:id="12">
    <w:p w14:paraId="6E2A45A5" w14:textId="77777777" w:rsidR="00067AC0" w:rsidRDefault="00067AC0" w:rsidP="0028061B">
      <w:pPr>
        <w:pStyle w:val="FootnoteText"/>
      </w:pPr>
      <w:r>
        <w:rPr>
          <w:rStyle w:val="FootnoteReference"/>
        </w:rPr>
        <w:footnoteRef/>
      </w:r>
      <w:r>
        <w:t xml:space="preserve"> US EPA define </w:t>
      </w:r>
      <w:r w:rsidRPr="00953A6F">
        <w:rPr>
          <w:b/>
        </w:rPr>
        <w:t>land disposal</w:t>
      </w:r>
      <w:r>
        <w:t xml:space="preserve"> as: “</w:t>
      </w:r>
      <w:r w:rsidRPr="00953A6F">
        <w:rPr>
          <w:i/>
        </w:rPr>
        <w:t xml:space="preserve">Land disposal means the placement in or on the land, except in a corrective action management unit or staging pile. It includes, but is not limited to, placement in a landfill, surface impoundment, </w:t>
      </w:r>
      <w:r w:rsidRPr="00953A6F">
        <w:rPr>
          <w:b/>
          <w:i/>
        </w:rPr>
        <w:t>waste pile</w:t>
      </w:r>
      <w:r w:rsidRPr="00953A6F">
        <w:rPr>
          <w:i/>
        </w:rPr>
        <w:t>, injection well, land treatment facility, salt dome formation, salt bed formation, underground mine or cave, or placement in a concrete vault, or bunker intended for disposal purpose”</w:t>
      </w:r>
      <w:r>
        <w:t xml:space="preserve">. </w:t>
      </w:r>
      <w:r w:rsidRPr="0028061B">
        <w:t xml:space="preserve">Source: US EPA website Oct 2016 at </w:t>
      </w:r>
      <w:hyperlink r:id="rId4" w:history="1">
        <w:r w:rsidRPr="002F1CE3">
          <w:rPr>
            <w:rStyle w:val="Hyperlink"/>
          </w:rPr>
          <w:t>https://www.epa.gov/node/127431_</w:t>
        </w:r>
      </w:hyperlink>
      <w:r>
        <w:t>.</w:t>
      </w:r>
    </w:p>
  </w:footnote>
  <w:footnote w:id="13">
    <w:p w14:paraId="6E2A45A6" w14:textId="77777777" w:rsidR="00067AC0" w:rsidRDefault="00067AC0" w:rsidP="004D1378">
      <w:pPr>
        <w:pStyle w:val="FootnoteText"/>
      </w:pPr>
      <w:r>
        <w:rPr>
          <w:rStyle w:val="FootnoteReference"/>
        </w:rPr>
        <w:footnoteRef/>
      </w:r>
      <w:r>
        <w:t xml:space="preserve"> US EPA define ‘hazardous waste handlers’ as: waste </w:t>
      </w:r>
      <w:r w:rsidRPr="00F515E6">
        <w:t>generators and facilities that treat, store or dispose of hazardous waste.</w:t>
      </w:r>
    </w:p>
  </w:footnote>
  <w:footnote w:id="14">
    <w:p w14:paraId="20A8993B" w14:textId="22D06F15" w:rsidR="00067AC0" w:rsidRPr="00953A6F" w:rsidRDefault="00067AC0" w:rsidP="00953A6F">
      <w:pPr>
        <w:pStyle w:val="RECnormaltext"/>
        <w:rPr>
          <w:szCs w:val="18"/>
        </w:rPr>
      </w:pPr>
      <w:r>
        <w:rPr>
          <w:rStyle w:val="FootnoteReference"/>
        </w:rPr>
        <w:footnoteRef/>
      </w:r>
      <w:r>
        <w:t xml:space="preserve"> </w:t>
      </w:r>
      <w:r>
        <w:rPr>
          <w:sz w:val="18"/>
        </w:rPr>
        <w:t xml:space="preserve">The report responds to the </w:t>
      </w:r>
      <w:r w:rsidRPr="00953A6F">
        <w:rPr>
          <w:sz w:val="18"/>
        </w:rPr>
        <w:t>Waste Framework Directive (EU, 1975, revised</w:t>
      </w:r>
      <w:r>
        <w:rPr>
          <w:sz w:val="18"/>
        </w:rPr>
        <w:t xml:space="preserve"> </w:t>
      </w:r>
      <w:r w:rsidRPr="00953A6F">
        <w:rPr>
          <w:sz w:val="18"/>
        </w:rPr>
        <w:t>2008) legal obligation</w:t>
      </w:r>
      <w:r>
        <w:rPr>
          <w:sz w:val="18"/>
        </w:rPr>
        <w:t>s</w:t>
      </w:r>
      <w:r w:rsidRPr="00953A6F">
        <w:rPr>
          <w:sz w:val="18"/>
        </w:rPr>
        <w:t xml:space="preserve"> for EU Member States</w:t>
      </w:r>
      <w:r>
        <w:rPr>
          <w:sz w:val="18"/>
        </w:rPr>
        <w:t xml:space="preserve"> </w:t>
      </w:r>
      <w:r w:rsidRPr="00953A6F">
        <w:rPr>
          <w:sz w:val="18"/>
        </w:rPr>
        <w:t>to adopt waste prevention programmes by</w:t>
      </w:r>
      <w:r>
        <w:rPr>
          <w:sz w:val="18"/>
        </w:rPr>
        <w:t xml:space="preserve"> </w:t>
      </w:r>
      <w:r w:rsidRPr="00953A6F">
        <w:rPr>
          <w:sz w:val="18"/>
        </w:rPr>
        <w:t xml:space="preserve">12 December 2013. </w:t>
      </w:r>
      <w:r w:rsidRPr="00953A6F">
        <w:rPr>
          <w:sz w:val="18"/>
          <w:szCs w:val="18"/>
        </w:rPr>
        <w:t>The Directive</w:t>
      </w:r>
      <w:r>
        <w:rPr>
          <w:sz w:val="18"/>
          <w:szCs w:val="18"/>
        </w:rPr>
        <w:t xml:space="preserve"> </w:t>
      </w:r>
      <w:r w:rsidRPr="00953A6F">
        <w:rPr>
          <w:sz w:val="18"/>
          <w:szCs w:val="18"/>
        </w:rPr>
        <w:t>including its article related to waste prevention, is</w:t>
      </w:r>
      <w:r>
        <w:rPr>
          <w:sz w:val="18"/>
          <w:szCs w:val="18"/>
        </w:rPr>
        <w:t xml:space="preserve"> </w:t>
      </w:r>
      <w:r w:rsidRPr="00953A6F">
        <w:rPr>
          <w:sz w:val="18"/>
          <w:szCs w:val="18"/>
        </w:rPr>
        <w:t>currently under revision and discussion.</w:t>
      </w:r>
    </w:p>
  </w:footnote>
  <w:footnote w:id="15">
    <w:p w14:paraId="7968BDC4" w14:textId="32E83A62" w:rsidR="00067AC0" w:rsidRDefault="00067AC0">
      <w:pPr>
        <w:pStyle w:val="FootnoteText"/>
      </w:pPr>
      <w:r>
        <w:rPr>
          <w:rStyle w:val="FootnoteReference"/>
        </w:rPr>
        <w:footnoteRef/>
      </w:r>
      <w:r>
        <w:t xml:space="preserve"> These additional requirements refer back to t</w:t>
      </w:r>
      <w:r w:rsidRPr="008C2469">
        <w:t>hose</w:t>
      </w:r>
      <w:r>
        <w:t xml:space="preserve"> </w:t>
      </w:r>
      <w:r w:rsidRPr="008C2469">
        <w:t>requirement</w:t>
      </w:r>
      <w:r>
        <w:t>s</w:t>
      </w:r>
      <w:r w:rsidRPr="008C2469">
        <w:t xml:space="preserve"> listed in the five steps above</w:t>
      </w:r>
      <w:r>
        <w:t xml:space="preserve"> from the UK Gov website</w:t>
      </w:r>
      <w:r w:rsidRPr="008C2469">
        <w:t>.</w:t>
      </w:r>
    </w:p>
  </w:footnote>
  <w:footnote w:id="16">
    <w:p w14:paraId="74CFB9E8" w14:textId="101453C7" w:rsidR="00067AC0" w:rsidRDefault="00067AC0" w:rsidP="00730842">
      <w:pPr>
        <w:pStyle w:val="FootnoteText"/>
      </w:pPr>
      <w:r>
        <w:rPr>
          <w:rStyle w:val="FootnoteReference"/>
        </w:rPr>
        <w:footnoteRef/>
      </w:r>
      <w:r>
        <w:t xml:space="preserve"> Small quantity generators (</w:t>
      </w:r>
      <w:r w:rsidRPr="00730842">
        <w:t>&gt;100 &lt;1,000 kg/month</w:t>
      </w:r>
      <w:r>
        <w:t>): good faith effort required, Large generators (≥1,000 kg/month, or &gt;1 kg/month of acute hazardous waste, or &gt;100 kg/month of acute spill residue or soil): program in place required</w:t>
      </w:r>
    </w:p>
  </w:footnote>
  <w:footnote w:id="17">
    <w:p w14:paraId="2CBF48AE" w14:textId="7E9D8F92" w:rsidR="00067AC0" w:rsidRPr="009E2049" w:rsidRDefault="00067AC0" w:rsidP="0033422F">
      <w:pPr>
        <w:pStyle w:val="FootnoteText"/>
        <w:rPr>
          <w:szCs w:val="18"/>
        </w:rPr>
      </w:pPr>
      <w:r>
        <w:rPr>
          <w:rStyle w:val="FootnoteReference"/>
        </w:rPr>
        <w:footnoteRef/>
      </w:r>
      <w:r>
        <w:rPr>
          <w:rFonts w:cstheme="minorHAnsi"/>
          <w:szCs w:val="18"/>
        </w:rPr>
        <w:t xml:space="preserve"> Require a licence for more than 2 tonnes, about 2</w:t>
      </w:r>
      <w:r w:rsidRPr="00AF72F3">
        <w:rPr>
          <w:rFonts w:cstheme="minorHAnsi"/>
          <w:szCs w:val="18"/>
        </w:rPr>
        <w:t xml:space="preserve">00 </w:t>
      </w:r>
      <w:r>
        <w:rPr>
          <w:rFonts w:eastAsia="Calibri" w:cs="Arial"/>
        </w:rPr>
        <w:t xml:space="preserve">EPUs at 10kg each, </w:t>
      </w:r>
      <w:r w:rsidRPr="006051C4">
        <w:rPr>
          <w:rFonts w:cstheme="minorHAnsi"/>
          <w:b/>
          <w:szCs w:val="18"/>
        </w:rPr>
        <w:t>and</w:t>
      </w:r>
      <w:r>
        <w:rPr>
          <w:rFonts w:cstheme="minorHAnsi"/>
          <w:szCs w:val="18"/>
        </w:rPr>
        <w:t xml:space="preserve"> st</w:t>
      </w:r>
      <w:r w:rsidRPr="0033422F">
        <w:rPr>
          <w:rFonts w:cstheme="minorHAnsi"/>
          <w:szCs w:val="18"/>
        </w:rPr>
        <w:t xml:space="preserve">orage is </w:t>
      </w:r>
      <w:r w:rsidRPr="00C527D8">
        <w:rPr>
          <w:rFonts w:cstheme="minorHAnsi"/>
          <w:szCs w:val="18"/>
        </w:rPr>
        <w:t>limited to 2</w:t>
      </w:r>
      <w:r w:rsidRPr="0033422F">
        <w:rPr>
          <w:rFonts w:cstheme="minorHAnsi"/>
          <w:szCs w:val="18"/>
        </w:rPr>
        <w:t>5 tonnes</w:t>
      </w:r>
      <w:r>
        <w:rPr>
          <w:rFonts w:cstheme="minorHAnsi"/>
          <w:szCs w:val="18"/>
        </w:rPr>
        <w:t xml:space="preserve"> in some licences or about 2,500 </w:t>
      </w:r>
      <w:r>
        <w:rPr>
          <w:rFonts w:eastAsia="Calibri" w:cs="Arial"/>
        </w:rPr>
        <w:t xml:space="preserve">equivalent passenger units (EPUs) </w:t>
      </w:r>
      <w:r w:rsidRPr="0033422F">
        <w:rPr>
          <w:rFonts w:cstheme="minorHAnsi"/>
          <w:szCs w:val="18"/>
        </w:rPr>
        <w:t>and areas must be clearly marked and segregated</w:t>
      </w:r>
      <w:r w:rsidRPr="00AF72F3">
        <w:rPr>
          <w:rFonts w:cstheme="minorHAnsi"/>
          <w:szCs w:val="18"/>
        </w:rPr>
        <w:t>.</w:t>
      </w:r>
    </w:p>
  </w:footnote>
  <w:footnote w:id="18">
    <w:p w14:paraId="30BA2D0A" w14:textId="17F27B9D" w:rsidR="00067AC0" w:rsidRPr="009E2049" w:rsidRDefault="00067AC0" w:rsidP="00AF72F3">
      <w:pPr>
        <w:pStyle w:val="FootnoteText"/>
        <w:rPr>
          <w:szCs w:val="18"/>
        </w:rPr>
      </w:pPr>
      <w:r>
        <w:rPr>
          <w:rStyle w:val="FootnoteReference"/>
        </w:rPr>
        <w:footnoteRef/>
      </w:r>
      <w:r>
        <w:rPr>
          <w:rFonts w:cstheme="minorHAnsi"/>
          <w:szCs w:val="18"/>
        </w:rPr>
        <w:t xml:space="preserve"> O</w:t>
      </w:r>
      <w:r w:rsidRPr="00AF72F3">
        <w:rPr>
          <w:rFonts w:cstheme="minorHAnsi"/>
          <w:szCs w:val="18"/>
        </w:rPr>
        <w:t>perators who store more than 5 tonnes</w:t>
      </w:r>
      <w:r>
        <w:rPr>
          <w:rFonts w:eastAsia="Calibri" w:cs="Arial"/>
        </w:rPr>
        <w:t xml:space="preserve"> </w:t>
      </w:r>
      <w:r w:rsidRPr="00AF72F3">
        <w:rPr>
          <w:rFonts w:cstheme="minorHAnsi"/>
          <w:szCs w:val="18"/>
        </w:rPr>
        <w:t>at any time</w:t>
      </w:r>
      <w:r>
        <w:rPr>
          <w:rFonts w:cstheme="minorHAnsi"/>
          <w:szCs w:val="18"/>
        </w:rPr>
        <w:t xml:space="preserve"> require a licence</w:t>
      </w:r>
      <w:r w:rsidRPr="00AF72F3">
        <w:rPr>
          <w:rFonts w:cstheme="minorHAnsi"/>
          <w:szCs w:val="18"/>
        </w:rPr>
        <w:t>.</w:t>
      </w:r>
    </w:p>
  </w:footnote>
  <w:footnote w:id="19">
    <w:p w14:paraId="61DFABB6" w14:textId="30780CAD" w:rsidR="00067AC0" w:rsidRPr="009E2049" w:rsidRDefault="00067AC0" w:rsidP="00A82BDA">
      <w:pPr>
        <w:pStyle w:val="FootnoteText"/>
        <w:rPr>
          <w:szCs w:val="18"/>
        </w:rPr>
      </w:pPr>
      <w:r>
        <w:rPr>
          <w:rStyle w:val="FootnoteReference"/>
        </w:rPr>
        <w:footnoteRef/>
      </w:r>
      <w:r>
        <w:rPr>
          <w:rFonts w:cstheme="minorHAnsi"/>
          <w:szCs w:val="18"/>
        </w:rPr>
        <w:t xml:space="preserve"> F</w:t>
      </w:r>
      <w:r w:rsidRPr="00A82BDA">
        <w:rPr>
          <w:rFonts w:cstheme="minorHAnsi"/>
          <w:szCs w:val="18"/>
        </w:rPr>
        <w:t>or quantities exceeding 5 tonnes per annum</w:t>
      </w:r>
      <w:r>
        <w:rPr>
          <w:rFonts w:cstheme="minorHAnsi"/>
          <w:szCs w:val="18"/>
        </w:rPr>
        <w:t xml:space="preserve"> require a licence</w:t>
      </w:r>
    </w:p>
  </w:footnote>
  <w:footnote w:id="20">
    <w:p w14:paraId="6B1B7B44" w14:textId="232A0438" w:rsidR="00067AC0" w:rsidRDefault="00067AC0">
      <w:pPr>
        <w:pStyle w:val="FootnoteText"/>
      </w:pPr>
      <w:r>
        <w:rPr>
          <w:rStyle w:val="FootnoteReference"/>
        </w:rPr>
        <w:footnoteRef/>
      </w:r>
      <w:r>
        <w:t xml:space="preserve"> T</w:t>
      </w:r>
      <w:r w:rsidRPr="006A4816">
        <w:rPr>
          <w:rFonts w:eastAsia="Calibri" w:cs="Arial"/>
        </w:rPr>
        <w:t>yre storages &gt;40 tonnes</w:t>
      </w:r>
      <w:r>
        <w:rPr>
          <w:rFonts w:eastAsia="Calibri" w:cs="Arial"/>
        </w:rPr>
        <w:t xml:space="preserve"> (about 4,000 equivalent passenger units) </w:t>
      </w:r>
      <w:r>
        <w:rPr>
          <w:rFonts w:cstheme="minorHAnsi"/>
          <w:szCs w:val="18"/>
        </w:rPr>
        <w:t>require a licence</w:t>
      </w:r>
      <w:r w:rsidRPr="006A4816">
        <w:rPr>
          <w:rFonts w:eastAsia="Calibri" w:cs="Arial"/>
        </w:rPr>
        <w:t>.</w:t>
      </w:r>
    </w:p>
  </w:footnote>
  <w:footnote w:id="21">
    <w:p w14:paraId="634D708C" w14:textId="68EB2097" w:rsidR="00067AC0" w:rsidRPr="009E2049" w:rsidRDefault="00067AC0">
      <w:pPr>
        <w:pStyle w:val="FootnoteText"/>
        <w:rPr>
          <w:szCs w:val="18"/>
        </w:rPr>
      </w:pPr>
      <w:r>
        <w:rPr>
          <w:rStyle w:val="FootnoteReference"/>
        </w:rPr>
        <w:footnoteRef/>
      </w:r>
      <w:r>
        <w:t xml:space="preserve"> S</w:t>
      </w:r>
      <w:r w:rsidRPr="009E2049">
        <w:rPr>
          <w:rFonts w:cstheme="minorHAnsi"/>
          <w:szCs w:val="18"/>
        </w:rPr>
        <w:t>ites storing more</w:t>
      </w:r>
      <w:r>
        <w:rPr>
          <w:rFonts w:cstheme="minorHAnsi"/>
          <w:szCs w:val="18"/>
        </w:rPr>
        <w:t xml:space="preserve"> than 100 tyres (about 1 tonne) require a licence</w:t>
      </w:r>
      <w:r w:rsidRPr="009E2049">
        <w:rPr>
          <w:rFonts w:cstheme="minorHAnsi"/>
          <w:szCs w:val="18"/>
        </w:rPr>
        <w:t>.</w:t>
      </w:r>
    </w:p>
  </w:footnote>
  <w:footnote w:id="22">
    <w:p w14:paraId="44F36E42" w14:textId="2D420B44" w:rsidR="00067AC0" w:rsidRDefault="00067AC0">
      <w:pPr>
        <w:pStyle w:val="FootnoteText"/>
      </w:pPr>
      <w:r>
        <w:rPr>
          <w:rStyle w:val="FootnoteReference"/>
        </w:rPr>
        <w:footnoteRef/>
      </w:r>
      <w:r>
        <w:t xml:space="preserve"> ACT Government own all landfills in the ACT. A landfill levy is not actually charged, rather, a single gate fee price is set by the ACT Government. Gate fees are high and comparable to jurisdictions that have a landfill levy and operator gate fee system in place.</w:t>
      </w:r>
    </w:p>
  </w:footnote>
  <w:footnote w:id="23">
    <w:p w14:paraId="3B65AB51" w14:textId="2036F6A7" w:rsidR="00067AC0" w:rsidRPr="0008510C" w:rsidRDefault="00067AC0" w:rsidP="00D4168B">
      <w:pPr>
        <w:pStyle w:val="FootnoteText"/>
        <w:rPr>
          <w:lang w:val="en-US"/>
        </w:rPr>
      </w:pPr>
      <w:r>
        <w:rPr>
          <w:rStyle w:val="FootnoteReference"/>
        </w:rPr>
        <w:footnoteRef/>
      </w:r>
      <w:r>
        <w:t xml:space="preserve"> </w:t>
      </w:r>
      <w:r>
        <w:rPr>
          <w:lang w:val="en-US"/>
        </w:rPr>
        <w:t>Limit in Act for EOLT is 25 tonnes.</w:t>
      </w:r>
    </w:p>
  </w:footnote>
  <w:footnote w:id="24">
    <w:p w14:paraId="6FD0DFCF" w14:textId="4611F724" w:rsidR="00067AC0" w:rsidRPr="007E7F57" w:rsidRDefault="00067AC0" w:rsidP="00D4168B">
      <w:pPr>
        <w:pStyle w:val="FootnoteText"/>
        <w:rPr>
          <w:lang w:val="en-US"/>
        </w:rPr>
      </w:pPr>
      <w:r>
        <w:rPr>
          <w:rStyle w:val="FootnoteReference"/>
        </w:rPr>
        <w:footnoteRef/>
      </w:r>
      <w:r>
        <w:t xml:space="preserve"> </w:t>
      </w:r>
      <w:r w:rsidRPr="00D4168B">
        <w:t>The maximum size of a pile of tyres stored outdoors does not exceed 20m long, by 6m wide, by 3m high</w:t>
      </w:r>
      <w:r>
        <w:rPr>
          <w:lang w:val="en-US"/>
        </w:rPr>
        <w:t>.</w:t>
      </w:r>
    </w:p>
  </w:footnote>
  <w:footnote w:id="25">
    <w:p w14:paraId="285F0D2A" w14:textId="77777777" w:rsidR="00067AC0" w:rsidRDefault="00067AC0" w:rsidP="00134C93">
      <w:pPr>
        <w:pStyle w:val="FootnoteText"/>
      </w:pPr>
      <w:r>
        <w:rPr>
          <w:rStyle w:val="FootnoteReference"/>
        </w:rPr>
        <w:footnoteRef/>
      </w:r>
      <w:r>
        <w:t xml:space="preserve"> The storage of the waste was planned and approved by environment regulators prior to placement including management requirements to protect human health and the environment. </w:t>
      </w:r>
    </w:p>
  </w:footnote>
  <w:footnote w:id="26">
    <w:p w14:paraId="44F71F26" w14:textId="77777777" w:rsidR="00067AC0" w:rsidRDefault="00067AC0" w:rsidP="007B480A">
      <w:pPr>
        <w:pStyle w:val="FootnoteText"/>
      </w:pPr>
      <w:r>
        <w:rPr>
          <w:rStyle w:val="FootnoteReference"/>
        </w:rPr>
        <w:footnoteRef/>
      </w:r>
      <w:r>
        <w:t xml:space="preserve"> US EPA </w:t>
      </w:r>
      <w:r w:rsidRPr="00881395">
        <w:rPr>
          <w:i/>
        </w:rPr>
        <w:t xml:space="preserve">Secondary Aluminium Processing wastes: Salt cake characterization and reactivity </w:t>
      </w:r>
      <w:r>
        <w:t xml:space="preserve">(US EPA 2015), available at:  </w:t>
      </w:r>
      <w:hyperlink r:id="rId5" w:history="1">
        <w:r w:rsidRPr="00C9200B">
          <w:rPr>
            <w:rStyle w:val="Hyperlink"/>
          </w:rPr>
          <w:t>https://cfpub.epa.gov/si/si_public_record_report.cfm?dirEntryId=311174</w:t>
        </w:r>
      </w:hyperlink>
    </w:p>
  </w:footnote>
  <w:footnote w:id="27">
    <w:p w14:paraId="5068F2BB" w14:textId="543E45DA" w:rsidR="00067AC0" w:rsidRPr="00A630CB" w:rsidRDefault="00067AC0">
      <w:pPr>
        <w:pStyle w:val="FootnoteText"/>
      </w:pPr>
      <w:r>
        <w:rPr>
          <w:rStyle w:val="FootnoteReference"/>
        </w:rPr>
        <w:footnoteRef/>
      </w:r>
      <w:r>
        <w:t xml:space="preserve"> US Department of Energy, </w:t>
      </w:r>
      <w:r w:rsidRPr="00267977">
        <w:rPr>
          <w:i/>
        </w:rPr>
        <w:t>Energy and Environmental Profile of the U.S. Mining Industry</w:t>
      </w:r>
      <w:r>
        <w:rPr>
          <w:i/>
        </w:rPr>
        <w:t xml:space="preserve">, </w:t>
      </w:r>
      <w:r>
        <w:t xml:space="preserve">available at: </w:t>
      </w:r>
      <w:hyperlink r:id="rId6" w:history="1">
        <w:r w:rsidRPr="003F6E63">
          <w:rPr>
            <w:rStyle w:val="Hyperlink"/>
          </w:rPr>
          <w:t>https://energy.gov/sites/prod/files/2013/11/f4/lead_zinc.pdf</w:t>
        </w:r>
      </w:hyperlink>
      <w:r>
        <w:t xml:space="preserve"> </w:t>
      </w:r>
    </w:p>
  </w:footnote>
  <w:footnote w:id="28">
    <w:p w14:paraId="6AB07EA3" w14:textId="77777777" w:rsidR="00067AC0" w:rsidRDefault="00067AC0" w:rsidP="007B480A">
      <w:pPr>
        <w:pStyle w:val="FootnoteText"/>
      </w:pPr>
      <w:r>
        <w:rPr>
          <w:rStyle w:val="FootnoteReference"/>
        </w:rPr>
        <w:footnoteRef/>
      </w:r>
      <w:r>
        <w:t xml:space="preserve"> </w:t>
      </w:r>
      <w:r w:rsidRPr="00532D39">
        <w:t xml:space="preserve">EPA Victoria </w:t>
      </w:r>
      <w:r w:rsidRPr="00CB6D59">
        <w:rPr>
          <w:i/>
        </w:rPr>
        <w:t>Storage of waste tyres – Regulatory impact statement</w:t>
      </w:r>
      <w:r w:rsidRPr="00532D39">
        <w:t xml:space="preserve"> (RIS) (2014). Publication number 1576.</w:t>
      </w:r>
    </w:p>
  </w:footnote>
  <w:footnote w:id="29">
    <w:p w14:paraId="43D0B555" w14:textId="77777777" w:rsidR="00067AC0" w:rsidRDefault="00067AC0" w:rsidP="005513BD">
      <w:pPr>
        <w:pStyle w:val="FootnoteText"/>
      </w:pPr>
      <w:r>
        <w:rPr>
          <w:rStyle w:val="FootnoteReference"/>
        </w:rPr>
        <w:footnoteRef/>
      </w:r>
      <w:r>
        <w:t xml:space="preserve"> </w:t>
      </w:r>
      <w:r w:rsidRPr="00D44A40">
        <w:t xml:space="preserve">PFASs are a family of chemicals similar to and </w:t>
      </w:r>
      <w:r w:rsidRPr="00357A02">
        <w:rPr>
          <w:b/>
        </w:rPr>
        <w:t>including PFOS</w:t>
      </w:r>
      <w:r w:rsidRPr="00D44A40">
        <w:t>, see the PFOS description.</w:t>
      </w:r>
    </w:p>
  </w:footnote>
  <w:footnote w:id="30">
    <w:p w14:paraId="645A172C" w14:textId="12A6FC7C" w:rsidR="00067AC0" w:rsidRDefault="00067AC0">
      <w:pPr>
        <w:pStyle w:val="FootnoteText"/>
      </w:pPr>
      <w:r>
        <w:rPr>
          <w:rStyle w:val="FootnoteReference"/>
        </w:rPr>
        <w:footnoteRef/>
      </w:r>
      <w:r>
        <w:t xml:space="preserve"> T</w:t>
      </w:r>
      <w:r w:rsidRPr="00490554">
        <w:t>o remove the oxygen content during steel manufacturing. Deoxidation is important in the steelmaking process as oxygen is often detrimental to the quality of steel produced.</w:t>
      </w:r>
    </w:p>
  </w:footnote>
  <w:footnote w:id="31">
    <w:p w14:paraId="1845C5C9" w14:textId="12FEE65C" w:rsidR="00067AC0" w:rsidRDefault="00067AC0" w:rsidP="00E05358">
      <w:pPr>
        <w:pStyle w:val="FootnoteText"/>
      </w:pPr>
      <w:r>
        <w:rPr>
          <w:rStyle w:val="FootnoteReference"/>
        </w:rPr>
        <w:footnoteRef/>
      </w:r>
      <w:r>
        <w:t xml:space="preserve"> Refer to definition included in Section </w:t>
      </w:r>
      <w:r>
        <w:fldChar w:fldCharType="begin"/>
      </w:r>
      <w:r>
        <w:instrText xml:space="preserve"> REF _Ref486587938 \r \h </w:instrText>
      </w:r>
      <w:r>
        <w:fldChar w:fldCharType="separate"/>
      </w:r>
      <w:r w:rsidR="00F54E66">
        <w:t>2</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7446" w14:textId="65BA8861" w:rsidR="00067AC0" w:rsidRDefault="00067A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EE8F8" w14:textId="1FA348CC" w:rsidR="00067AC0" w:rsidRDefault="00067AC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9C0A0" w14:textId="562C7E5E" w:rsidR="00067AC0" w:rsidRDefault="00067AC0" w:rsidP="00141564">
    <w:pPr>
      <w:pStyle w:val="Header"/>
      <w:jc w:val="right"/>
    </w:pPr>
    <w:r w:rsidRPr="003B7FEA">
      <w:rPr>
        <w:noProof/>
        <w:lang w:eastAsia="en-AU"/>
      </w:rPr>
      <w:drawing>
        <wp:anchor distT="0" distB="0" distL="114300" distR="114300" simplePos="0" relativeHeight="251689472" behindDoc="0" locked="0" layoutInCell="1" allowOverlap="1" wp14:anchorId="0BDE3463" wp14:editId="3C2D32D0">
          <wp:simplePos x="0" y="0"/>
          <wp:positionH relativeFrom="margin">
            <wp:align>left</wp:align>
          </wp:positionH>
          <wp:positionV relativeFrom="paragraph">
            <wp:posOffset>-42929</wp:posOffset>
          </wp:positionV>
          <wp:extent cx="1936750" cy="59563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85376" behindDoc="0" locked="0" layoutInCell="1" allowOverlap="1" wp14:anchorId="74AF7A43" wp14:editId="79112203">
          <wp:simplePos x="0" y="0"/>
          <wp:positionH relativeFrom="margin">
            <wp:align>right</wp:align>
          </wp:positionH>
          <wp:positionV relativeFrom="paragraph">
            <wp:posOffset>6025</wp:posOffset>
          </wp:positionV>
          <wp:extent cx="2099310" cy="386715"/>
          <wp:effectExtent l="0" t="0" r="0" b="0"/>
          <wp:wrapSquare wrapText="bothSides"/>
          <wp:docPr id="55"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B65BE" w14:textId="7C994970" w:rsidR="00067AC0" w:rsidRDefault="00067AC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250B" w14:textId="7A24FD27" w:rsidR="00067AC0" w:rsidRDefault="00067AC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89" w14:textId="7810BCF2" w:rsidR="00067AC0" w:rsidRDefault="00067AC0" w:rsidP="00141564">
    <w:pPr>
      <w:pStyle w:val="Header"/>
      <w:jc w:val="right"/>
    </w:pPr>
    <w:r w:rsidRPr="003B7FEA">
      <w:rPr>
        <w:noProof/>
        <w:lang w:eastAsia="en-AU"/>
      </w:rPr>
      <w:drawing>
        <wp:anchor distT="0" distB="0" distL="114300" distR="114300" simplePos="0" relativeHeight="251631104" behindDoc="0" locked="0" layoutInCell="1" allowOverlap="1" wp14:anchorId="6E2A459E" wp14:editId="34BBE810">
          <wp:simplePos x="0" y="0"/>
          <wp:positionH relativeFrom="column">
            <wp:posOffset>-260631</wp:posOffset>
          </wp:positionH>
          <wp:positionV relativeFrom="paragraph">
            <wp:posOffset>-120650</wp:posOffset>
          </wp:positionV>
          <wp:extent cx="1936750" cy="59563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27008" behindDoc="0" locked="0" layoutInCell="1" allowOverlap="1" wp14:anchorId="6E2A45A0" wp14:editId="27C277C5">
          <wp:simplePos x="0" y="0"/>
          <wp:positionH relativeFrom="column">
            <wp:posOffset>3945890</wp:posOffset>
          </wp:positionH>
          <wp:positionV relativeFrom="paragraph">
            <wp:posOffset>-46990</wp:posOffset>
          </wp:positionV>
          <wp:extent cx="2099310" cy="386715"/>
          <wp:effectExtent l="0" t="0" r="0" b="0"/>
          <wp:wrapSquare wrapText="bothSides"/>
          <wp:docPr id="59"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4D2E" w14:textId="03F8C833" w:rsidR="00067AC0" w:rsidRDefault="00067AC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AFBB" w14:textId="30661BFE" w:rsidR="00067AC0" w:rsidRDefault="00067AC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1D48A" w14:textId="584C9E5D" w:rsidR="00067AC0" w:rsidRDefault="00067AC0" w:rsidP="00141564">
    <w:pPr>
      <w:pStyle w:val="Header"/>
      <w:jc w:val="right"/>
    </w:pPr>
    <w:r w:rsidRPr="003B7FEA">
      <w:rPr>
        <w:noProof/>
        <w:lang w:eastAsia="en-AU"/>
      </w:rPr>
      <w:drawing>
        <wp:anchor distT="0" distB="0" distL="114300" distR="114300" simplePos="0" relativeHeight="251646464" behindDoc="0" locked="0" layoutInCell="1" allowOverlap="1" wp14:anchorId="09C38DD9" wp14:editId="6A797EC1">
          <wp:simplePos x="0" y="0"/>
          <wp:positionH relativeFrom="column">
            <wp:posOffset>99222</wp:posOffset>
          </wp:positionH>
          <wp:positionV relativeFrom="paragraph">
            <wp:posOffset>-149225</wp:posOffset>
          </wp:positionV>
          <wp:extent cx="1936750" cy="59563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35200" behindDoc="0" locked="0" layoutInCell="1" allowOverlap="1" wp14:anchorId="6F5B9FA4" wp14:editId="5200A92C">
          <wp:simplePos x="0" y="0"/>
          <wp:positionH relativeFrom="column">
            <wp:posOffset>6955790</wp:posOffset>
          </wp:positionH>
          <wp:positionV relativeFrom="paragraph">
            <wp:posOffset>-56515</wp:posOffset>
          </wp:positionV>
          <wp:extent cx="2099310" cy="386715"/>
          <wp:effectExtent l="0" t="0" r="0" b="0"/>
          <wp:wrapSquare wrapText="bothSides"/>
          <wp:docPr id="61" name="Picture 61"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E88F" w14:textId="352D92D1" w:rsidR="00067AC0" w:rsidRDefault="00067AC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F4CA" w14:textId="342DA2AD" w:rsidR="00067AC0" w:rsidRDefault="00067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7D" w14:textId="400EE6F3" w:rsidR="00067AC0" w:rsidRDefault="00067AC0" w:rsidP="00141564">
    <w:pPr>
      <w:pStyle w:val="Header"/>
      <w:jc w:val="right"/>
    </w:pPr>
    <w:r>
      <w:rPr>
        <w:noProof/>
        <w:lang w:eastAsia="en-AU"/>
      </w:rPr>
      <w:drawing>
        <wp:anchor distT="0" distB="0" distL="114300" distR="114300" simplePos="0" relativeHeight="251640320" behindDoc="0" locked="0" layoutInCell="1" allowOverlap="1" wp14:anchorId="6E2A458C" wp14:editId="6D54BD03">
          <wp:simplePos x="0" y="0"/>
          <wp:positionH relativeFrom="column">
            <wp:posOffset>2375535</wp:posOffset>
          </wp:positionH>
          <wp:positionV relativeFrom="paragraph">
            <wp:posOffset>635</wp:posOffset>
          </wp:positionV>
          <wp:extent cx="3594100" cy="683895"/>
          <wp:effectExtent l="0" t="0" r="6350" b="1905"/>
          <wp:wrapSquare wrapText="bothSides"/>
          <wp:docPr id="46" name="Picture 46"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683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05A0" w14:textId="55C6A8C7" w:rsidR="00067AC0" w:rsidRDefault="00067AC0" w:rsidP="00141564">
    <w:pPr>
      <w:pStyle w:val="Header"/>
      <w:jc w:val="right"/>
    </w:pPr>
    <w:r w:rsidRPr="003B7FEA">
      <w:rPr>
        <w:noProof/>
        <w:lang w:eastAsia="en-AU"/>
      </w:rPr>
      <w:drawing>
        <wp:anchor distT="0" distB="0" distL="114300" distR="114300" simplePos="0" relativeHeight="251664896" behindDoc="0" locked="0" layoutInCell="1" allowOverlap="1" wp14:anchorId="3A429887" wp14:editId="7E66EEDF">
          <wp:simplePos x="0" y="0"/>
          <wp:positionH relativeFrom="column">
            <wp:posOffset>-30642</wp:posOffset>
          </wp:positionH>
          <wp:positionV relativeFrom="paragraph">
            <wp:posOffset>-120650</wp:posOffset>
          </wp:positionV>
          <wp:extent cx="1936750" cy="59563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61824" behindDoc="0" locked="0" layoutInCell="1" allowOverlap="1" wp14:anchorId="2D92C3F5" wp14:editId="4DE6E4CF">
          <wp:simplePos x="0" y="0"/>
          <wp:positionH relativeFrom="column">
            <wp:posOffset>3945890</wp:posOffset>
          </wp:positionH>
          <wp:positionV relativeFrom="paragraph">
            <wp:posOffset>-46990</wp:posOffset>
          </wp:positionV>
          <wp:extent cx="2099310" cy="386715"/>
          <wp:effectExtent l="0" t="0" r="0" b="0"/>
          <wp:wrapSquare wrapText="bothSides"/>
          <wp:docPr id="64"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5332" w14:textId="0E642D61" w:rsidR="00067AC0" w:rsidRDefault="00067AC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58EA0" w14:textId="2C6F5341" w:rsidR="00067AC0" w:rsidRDefault="00067AC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57B2" w14:textId="45D9B4F0" w:rsidR="00067AC0" w:rsidRDefault="00067AC0" w:rsidP="00141564">
    <w:pPr>
      <w:pStyle w:val="Header"/>
      <w:jc w:val="right"/>
    </w:pPr>
    <w:r w:rsidRPr="003B7FEA">
      <w:rPr>
        <w:noProof/>
        <w:lang w:eastAsia="en-AU"/>
      </w:rPr>
      <w:drawing>
        <wp:anchor distT="0" distB="0" distL="114300" distR="114300" simplePos="0" relativeHeight="251642368" behindDoc="0" locked="0" layoutInCell="1" allowOverlap="1" wp14:anchorId="3EA7429F" wp14:editId="2DE4C685">
          <wp:simplePos x="0" y="0"/>
          <wp:positionH relativeFrom="column">
            <wp:posOffset>148752</wp:posOffset>
          </wp:positionH>
          <wp:positionV relativeFrom="paragraph">
            <wp:posOffset>-234315</wp:posOffset>
          </wp:positionV>
          <wp:extent cx="1936750" cy="595630"/>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38272" behindDoc="0" locked="0" layoutInCell="1" allowOverlap="1" wp14:anchorId="549BEBD5" wp14:editId="3CA0B6AE">
          <wp:simplePos x="0" y="0"/>
          <wp:positionH relativeFrom="column">
            <wp:posOffset>6784340</wp:posOffset>
          </wp:positionH>
          <wp:positionV relativeFrom="paragraph">
            <wp:posOffset>-132715</wp:posOffset>
          </wp:positionV>
          <wp:extent cx="2099310" cy="386715"/>
          <wp:effectExtent l="0" t="0" r="0" b="0"/>
          <wp:wrapSquare wrapText="bothSides"/>
          <wp:docPr id="71"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01F3" w14:textId="4145C3A4" w:rsidR="00067AC0" w:rsidRDefault="00067AC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2F04" w14:textId="170431D7" w:rsidR="00067AC0" w:rsidRDefault="00067AC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3500" w14:textId="16F8CA1E" w:rsidR="00067AC0" w:rsidRDefault="00067AC0" w:rsidP="00141564">
    <w:pPr>
      <w:pStyle w:val="Header"/>
      <w:jc w:val="right"/>
    </w:pPr>
    <w:r w:rsidRPr="003B7FEA">
      <w:rPr>
        <w:noProof/>
        <w:lang w:eastAsia="en-AU"/>
      </w:rPr>
      <w:drawing>
        <wp:anchor distT="0" distB="0" distL="114300" distR="114300" simplePos="0" relativeHeight="251671040" behindDoc="0" locked="0" layoutInCell="1" allowOverlap="1" wp14:anchorId="43BDFDEB" wp14:editId="6AC2EDB2">
          <wp:simplePos x="0" y="0"/>
          <wp:positionH relativeFrom="column">
            <wp:posOffset>3885727</wp:posOffset>
          </wp:positionH>
          <wp:positionV relativeFrom="paragraph">
            <wp:posOffset>-132715</wp:posOffset>
          </wp:positionV>
          <wp:extent cx="2099310" cy="386715"/>
          <wp:effectExtent l="0" t="0" r="0" b="0"/>
          <wp:wrapSquare wrapText="bothSides"/>
          <wp:docPr id="72"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73088" behindDoc="0" locked="0" layoutInCell="1" allowOverlap="1" wp14:anchorId="5325B0E3" wp14:editId="67FFCB88">
          <wp:simplePos x="0" y="0"/>
          <wp:positionH relativeFrom="column">
            <wp:posOffset>148752</wp:posOffset>
          </wp:positionH>
          <wp:positionV relativeFrom="paragraph">
            <wp:posOffset>-234315</wp:posOffset>
          </wp:positionV>
          <wp:extent cx="1936750" cy="595630"/>
          <wp:effectExtent l="0" t="0" r="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9F584" w14:textId="4BFF2A3D" w:rsidR="00067AC0" w:rsidRDefault="00067AC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2331" w14:textId="6BEB4546" w:rsidR="00067AC0" w:rsidRDefault="00067AC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69A9" w14:textId="3BCD8DF5" w:rsidR="00067AC0" w:rsidRDefault="00067AC0" w:rsidP="00141564">
    <w:pPr>
      <w:pStyle w:val="Header"/>
      <w:jc w:val="right"/>
    </w:pPr>
    <w:r w:rsidRPr="003B7FEA">
      <w:rPr>
        <w:noProof/>
        <w:lang w:eastAsia="en-AU"/>
      </w:rPr>
      <w:drawing>
        <wp:anchor distT="0" distB="0" distL="114300" distR="114300" simplePos="0" relativeHeight="251666944" behindDoc="0" locked="0" layoutInCell="1" allowOverlap="1" wp14:anchorId="35AB66C1" wp14:editId="2DAE3BCD">
          <wp:simplePos x="0" y="0"/>
          <wp:positionH relativeFrom="column">
            <wp:posOffset>3641725</wp:posOffset>
          </wp:positionH>
          <wp:positionV relativeFrom="paragraph">
            <wp:posOffset>-8890</wp:posOffset>
          </wp:positionV>
          <wp:extent cx="2099310" cy="386715"/>
          <wp:effectExtent l="0" t="0" r="0" b="0"/>
          <wp:wrapSquare wrapText="bothSides"/>
          <wp:docPr id="75"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68992" behindDoc="0" locked="0" layoutInCell="1" allowOverlap="1" wp14:anchorId="74BF2656" wp14:editId="103900F1">
          <wp:simplePos x="0" y="0"/>
          <wp:positionH relativeFrom="column">
            <wp:posOffset>4445</wp:posOffset>
          </wp:positionH>
          <wp:positionV relativeFrom="paragraph">
            <wp:posOffset>-129540</wp:posOffset>
          </wp:positionV>
          <wp:extent cx="1936750" cy="59563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7E" w14:textId="1EFCDD17" w:rsidR="00067AC0" w:rsidRDefault="00067AC0" w:rsidP="007972CD">
    <w:pPr>
      <w:pStyle w:val="Header"/>
      <w:jc w:val="right"/>
    </w:pPr>
    <w:r>
      <w:rPr>
        <w:noProof/>
        <w:lang w:eastAsia="en-AU"/>
      </w:rPr>
      <w:drawing>
        <wp:inline distT="0" distB="0" distL="0" distR="0" wp14:anchorId="6E2A458E" wp14:editId="66E41B04">
          <wp:extent cx="2314227" cy="440357"/>
          <wp:effectExtent l="0" t="0" r="0" b="0"/>
          <wp:docPr id="47" name="Picture 47"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713" cy="444445"/>
                  </a:xfrm>
                  <a:prstGeom prst="rect">
                    <a:avLst/>
                  </a:prstGeom>
                  <a:noFill/>
                  <a:ln>
                    <a:noFill/>
                  </a:ln>
                </pic:spPr>
              </pic:pic>
            </a:graphicData>
          </a:graphic>
        </wp:inline>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D1C5" w14:textId="616E9F89" w:rsidR="00067AC0" w:rsidRDefault="00067AC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DE305" w14:textId="40F12ACB" w:rsidR="00067AC0" w:rsidRDefault="00067AC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0D50A" w14:textId="7F0396B8" w:rsidR="00067AC0" w:rsidRDefault="00067AC0" w:rsidP="00141564">
    <w:pPr>
      <w:pStyle w:val="Header"/>
      <w:jc w:val="right"/>
    </w:pPr>
    <w:r w:rsidRPr="003B7FEA">
      <w:rPr>
        <w:noProof/>
        <w:lang w:eastAsia="en-AU"/>
      </w:rPr>
      <w:drawing>
        <wp:anchor distT="0" distB="0" distL="114300" distR="114300" simplePos="0" relativeHeight="251658752" behindDoc="0" locked="0" layoutInCell="1" allowOverlap="1" wp14:anchorId="62E9C0C4" wp14:editId="75E5CC61">
          <wp:simplePos x="0" y="0"/>
          <wp:positionH relativeFrom="column">
            <wp:posOffset>14605</wp:posOffset>
          </wp:positionH>
          <wp:positionV relativeFrom="paragraph">
            <wp:posOffset>-167309</wp:posOffset>
          </wp:positionV>
          <wp:extent cx="1936750" cy="595630"/>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48512" behindDoc="0" locked="0" layoutInCell="1" allowOverlap="1" wp14:anchorId="3A6509B2" wp14:editId="0BDE933D">
          <wp:simplePos x="0" y="0"/>
          <wp:positionH relativeFrom="column">
            <wp:posOffset>6657285</wp:posOffset>
          </wp:positionH>
          <wp:positionV relativeFrom="paragraph">
            <wp:posOffset>-94698</wp:posOffset>
          </wp:positionV>
          <wp:extent cx="2099310" cy="386715"/>
          <wp:effectExtent l="0" t="0" r="0" b="0"/>
          <wp:wrapSquare wrapText="bothSides"/>
          <wp:docPr id="78"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98B58" w14:textId="57CBCFD6" w:rsidR="00067AC0" w:rsidRDefault="00067AC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356CA" w14:textId="452D4D90" w:rsidR="00067AC0" w:rsidRDefault="00067AC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79D6" w14:textId="76055A7C" w:rsidR="00067AC0" w:rsidRDefault="00067AC0" w:rsidP="00141564">
    <w:pPr>
      <w:pStyle w:val="Header"/>
      <w:jc w:val="right"/>
    </w:pPr>
    <w:r w:rsidRPr="003B7FEA">
      <w:rPr>
        <w:noProof/>
        <w:lang w:eastAsia="en-AU"/>
      </w:rPr>
      <w:drawing>
        <wp:anchor distT="0" distB="0" distL="114300" distR="114300" simplePos="0" relativeHeight="251650048" behindDoc="0" locked="0" layoutInCell="1" allowOverlap="1" wp14:anchorId="325CF56A" wp14:editId="74C33125">
          <wp:simplePos x="0" y="0"/>
          <wp:positionH relativeFrom="column">
            <wp:posOffset>31573</wp:posOffset>
          </wp:positionH>
          <wp:positionV relativeFrom="paragraph">
            <wp:posOffset>-120650</wp:posOffset>
          </wp:positionV>
          <wp:extent cx="1936750" cy="59563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49024" behindDoc="0" locked="0" layoutInCell="1" allowOverlap="1" wp14:anchorId="2B33C057" wp14:editId="7F415C29">
          <wp:simplePos x="0" y="0"/>
          <wp:positionH relativeFrom="column">
            <wp:posOffset>3945890</wp:posOffset>
          </wp:positionH>
          <wp:positionV relativeFrom="paragraph">
            <wp:posOffset>-46990</wp:posOffset>
          </wp:positionV>
          <wp:extent cx="2099310" cy="386715"/>
          <wp:effectExtent l="0" t="0" r="0" b="0"/>
          <wp:wrapSquare wrapText="bothSides"/>
          <wp:docPr id="66"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C633" w14:textId="47B9FD0A" w:rsidR="00067AC0" w:rsidRDefault="00067A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8C15" w14:textId="339DA2E8" w:rsidR="00067AC0" w:rsidRDefault="00067A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80" w14:textId="417F5E6C" w:rsidR="00067AC0" w:rsidRDefault="00067AC0" w:rsidP="00141564">
    <w:pPr>
      <w:pStyle w:val="Header"/>
      <w:jc w:val="right"/>
    </w:pPr>
    <w:r w:rsidRPr="003B7FEA">
      <w:rPr>
        <w:noProof/>
        <w:lang w:eastAsia="en-AU"/>
      </w:rPr>
      <w:drawing>
        <wp:anchor distT="0" distB="0" distL="114300" distR="114300" simplePos="0" relativeHeight="251656704" behindDoc="0" locked="0" layoutInCell="1" allowOverlap="1" wp14:anchorId="6E2A4590" wp14:editId="57ED5D44">
          <wp:simplePos x="0" y="0"/>
          <wp:positionH relativeFrom="column">
            <wp:posOffset>148</wp:posOffset>
          </wp:positionH>
          <wp:positionV relativeFrom="paragraph">
            <wp:posOffset>-120650</wp:posOffset>
          </wp:positionV>
          <wp:extent cx="1936750" cy="59563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52608" behindDoc="0" locked="0" layoutInCell="1" allowOverlap="1" wp14:anchorId="6E2A4592" wp14:editId="481FDA5C">
          <wp:simplePos x="0" y="0"/>
          <wp:positionH relativeFrom="column">
            <wp:posOffset>3945890</wp:posOffset>
          </wp:positionH>
          <wp:positionV relativeFrom="paragraph">
            <wp:posOffset>-46990</wp:posOffset>
          </wp:positionV>
          <wp:extent cx="2099310" cy="386715"/>
          <wp:effectExtent l="0" t="0" r="0" b="0"/>
          <wp:wrapSquare wrapText="bothSides"/>
          <wp:docPr id="49"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4583" w14:textId="16BEDFD5" w:rsidR="00067AC0" w:rsidRDefault="00067AC0" w:rsidP="007972CD">
    <w:pPr>
      <w:pStyle w:val="Header"/>
      <w:jc w:val="right"/>
    </w:pPr>
    <w:r>
      <w:rPr>
        <w:noProof/>
        <w:lang w:eastAsia="en-AU"/>
      </w:rPr>
      <w:drawing>
        <wp:inline distT="0" distB="0" distL="0" distR="0" wp14:anchorId="6E2A4596" wp14:editId="0908E167">
          <wp:extent cx="2314227" cy="440357"/>
          <wp:effectExtent l="0" t="0" r="0" b="0"/>
          <wp:docPr id="50" name="Picture 50"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713" cy="44444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3A35" w14:textId="5861DFB7" w:rsidR="00067AC0" w:rsidRDefault="00067A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F8A8C" w14:textId="3DD056A8" w:rsidR="00067AC0" w:rsidRDefault="00067AC0" w:rsidP="00141564">
    <w:pPr>
      <w:pStyle w:val="Header"/>
      <w:jc w:val="right"/>
    </w:pPr>
    <w:r w:rsidRPr="003B7FEA">
      <w:rPr>
        <w:noProof/>
        <w:lang w:eastAsia="en-AU"/>
      </w:rPr>
      <w:drawing>
        <wp:anchor distT="0" distB="0" distL="114300" distR="114300" simplePos="0" relativeHeight="251681280" behindDoc="0" locked="0" layoutInCell="1" allowOverlap="1" wp14:anchorId="61051552" wp14:editId="77AB9A57">
          <wp:simplePos x="0" y="0"/>
          <wp:positionH relativeFrom="column">
            <wp:posOffset>148590</wp:posOffset>
          </wp:positionH>
          <wp:positionV relativeFrom="paragraph">
            <wp:posOffset>-186880</wp:posOffset>
          </wp:positionV>
          <wp:extent cx="1936750" cy="59563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5630"/>
                  </a:xfrm>
                  <a:prstGeom prst="rect">
                    <a:avLst/>
                  </a:prstGeom>
                  <a:noFill/>
                </pic:spPr>
              </pic:pic>
            </a:graphicData>
          </a:graphic>
          <wp14:sizeRelH relativeFrom="margin">
            <wp14:pctWidth>0</wp14:pctWidth>
          </wp14:sizeRelH>
          <wp14:sizeRelV relativeFrom="margin">
            <wp14:pctHeight>0</wp14:pctHeight>
          </wp14:sizeRelV>
        </wp:anchor>
      </w:drawing>
    </w:r>
    <w:r w:rsidRPr="003B7FEA">
      <w:rPr>
        <w:noProof/>
        <w:lang w:eastAsia="en-AU"/>
      </w:rPr>
      <w:drawing>
        <wp:anchor distT="0" distB="0" distL="114300" distR="114300" simplePos="0" relativeHeight="251677184" behindDoc="0" locked="0" layoutInCell="1" allowOverlap="1" wp14:anchorId="48A09305" wp14:editId="6A2909D8">
          <wp:simplePos x="0" y="0"/>
          <wp:positionH relativeFrom="page">
            <wp:posOffset>8013065</wp:posOffset>
          </wp:positionH>
          <wp:positionV relativeFrom="paragraph">
            <wp:posOffset>-115125</wp:posOffset>
          </wp:positionV>
          <wp:extent cx="2099310" cy="386715"/>
          <wp:effectExtent l="0" t="0" r="0" b="0"/>
          <wp:wrapSquare wrapText="bothSides"/>
          <wp:docPr id="53" name="Picture 22" descr="RE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2FB2" w14:textId="4E561B4B" w:rsidR="00067AC0" w:rsidRDefault="00067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0F2745"/>
    <w:multiLevelType w:val="hybridMultilevel"/>
    <w:tmpl w:val="D359C2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92F73B"/>
    <w:multiLevelType w:val="hybridMultilevel"/>
    <w:tmpl w:val="96C3C5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E51B0"/>
    <w:multiLevelType w:val="multilevel"/>
    <w:tmpl w:val="95BE3AB2"/>
    <w:lvl w:ilvl="0">
      <w:start w:val="1"/>
      <w:numFmt w:val="decimal"/>
      <w:lvlText w:val="%1."/>
      <w:lvlJc w:val="left"/>
      <w:pPr>
        <w:ind w:left="360" w:hanging="360"/>
      </w:p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A38EA"/>
    <w:multiLevelType w:val="multilevel"/>
    <w:tmpl w:val="DA5C9C04"/>
    <w:styleLink w:val="Dotpoints"/>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41DCF"/>
    <w:multiLevelType w:val="multilevel"/>
    <w:tmpl w:val="6BD8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15FA8"/>
    <w:multiLevelType w:val="hybridMultilevel"/>
    <w:tmpl w:val="E3BAED7C"/>
    <w:lvl w:ilvl="0" w:tplc="3F22681A">
      <w:start w:val="1"/>
      <w:numFmt w:val="decimal"/>
      <w:pStyle w:val="Subtitle"/>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D24F75"/>
    <w:multiLevelType w:val="hybridMultilevel"/>
    <w:tmpl w:val="1D0CB8B8"/>
    <w:lvl w:ilvl="0" w:tplc="16EEE754">
      <w:start w:val="1"/>
      <w:numFmt w:val="bullet"/>
      <w:pStyle w:val="REC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C1B0A"/>
    <w:multiLevelType w:val="multilevel"/>
    <w:tmpl w:val="1CF64994"/>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D756843"/>
    <w:multiLevelType w:val="multilevel"/>
    <w:tmpl w:val="95BE3AB2"/>
    <w:lvl w:ilvl="0">
      <w:start w:val="1"/>
      <w:numFmt w:val="decimal"/>
      <w:lvlText w:val="%1."/>
      <w:lvlJc w:val="left"/>
      <w:pPr>
        <w:ind w:left="360" w:hanging="360"/>
      </w:p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BB00E9"/>
    <w:multiLevelType w:val="hybridMultilevel"/>
    <w:tmpl w:val="3488ACE8"/>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0E213A34"/>
    <w:multiLevelType w:val="hybridMultilevel"/>
    <w:tmpl w:val="34342BD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E701839"/>
    <w:multiLevelType w:val="multilevel"/>
    <w:tmpl w:val="D8F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9F4B57"/>
    <w:multiLevelType w:val="multilevel"/>
    <w:tmpl w:val="0204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E6FB8"/>
    <w:multiLevelType w:val="hybridMultilevel"/>
    <w:tmpl w:val="C482302C"/>
    <w:lvl w:ilvl="0" w:tplc="D45C57AE">
      <w:start w:val="1"/>
      <w:numFmt w:val="decimal"/>
      <w:pStyle w:val="SRUTableHeading"/>
      <w:lvlText w:val="Table %1"/>
      <w:lvlJc w:val="left"/>
      <w:pPr>
        <w:ind w:left="360" w:hanging="360"/>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591002D"/>
    <w:multiLevelType w:val="hybridMultilevel"/>
    <w:tmpl w:val="612E7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DF3C89"/>
    <w:multiLevelType w:val="multilevel"/>
    <w:tmpl w:val="1CF64994"/>
    <w:numStyleLink w:val="Headings"/>
  </w:abstractNum>
  <w:abstractNum w:abstractNumId="16" w15:restartNumberingAfterBreak="0">
    <w:nsid w:val="1E886F26"/>
    <w:multiLevelType w:val="hybridMultilevel"/>
    <w:tmpl w:val="BF20C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A44427"/>
    <w:multiLevelType w:val="hybridMultilevel"/>
    <w:tmpl w:val="3418080E"/>
    <w:lvl w:ilvl="0" w:tplc="464637BE">
      <w:start w:val="1"/>
      <w:numFmt w:val="decimal"/>
      <w:lvlText w:val="%1."/>
      <w:lvlJc w:val="left"/>
      <w:pPr>
        <w:ind w:left="720" w:hanging="360"/>
      </w:pPr>
      <w:rPr>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467837"/>
    <w:multiLevelType w:val="multilevel"/>
    <w:tmpl w:val="0C09001D"/>
    <w:styleLink w:val="REClistnumber"/>
    <w:lvl w:ilvl="0">
      <w:start w:val="1"/>
      <w:numFmt w:val="decimal"/>
      <w:lvlText w:val="%1)"/>
      <w:lvlJc w:val="left"/>
      <w:pPr>
        <w:ind w:left="360" w:hanging="360"/>
      </w:pPr>
      <w:rPr>
        <w:rFonts w:ascii="DINPro" w:hAnsi="DINPr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6520A5"/>
    <w:multiLevelType w:val="hybridMultilevel"/>
    <w:tmpl w:val="FF66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6E5C3F"/>
    <w:multiLevelType w:val="hybridMultilevel"/>
    <w:tmpl w:val="5C7A0F6E"/>
    <w:lvl w:ilvl="0" w:tplc="DF44B6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C7F15"/>
    <w:multiLevelType w:val="multilevel"/>
    <w:tmpl w:val="39E2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A71730"/>
    <w:multiLevelType w:val="hybridMultilevel"/>
    <w:tmpl w:val="16FA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8B61E6"/>
    <w:multiLevelType w:val="hybridMultilevel"/>
    <w:tmpl w:val="C382CF4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2C6973C2"/>
    <w:multiLevelType w:val="hybridMultilevel"/>
    <w:tmpl w:val="4A5636F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D4E4D5D"/>
    <w:multiLevelType w:val="hybridMultilevel"/>
    <w:tmpl w:val="6BB6A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110F0F"/>
    <w:multiLevelType w:val="hybridMultilevel"/>
    <w:tmpl w:val="2460EB3C"/>
    <w:lvl w:ilvl="0" w:tplc="B316F9D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CD0B82"/>
    <w:multiLevelType w:val="hybridMultilevel"/>
    <w:tmpl w:val="805E0168"/>
    <w:lvl w:ilvl="0" w:tplc="4BEE5B30">
      <w:start w:val="1"/>
      <w:numFmt w:val="decimal"/>
      <w:pStyle w:val="RECnumber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01D6592"/>
    <w:multiLevelType w:val="hybridMultilevel"/>
    <w:tmpl w:val="9824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43E0B"/>
    <w:multiLevelType w:val="hybridMultilevel"/>
    <w:tmpl w:val="FAB0F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C76006"/>
    <w:multiLevelType w:val="hybridMultilevel"/>
    <w:tmpl w:val="A71E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549D5"/>
    <w:multiLevelType w:val="multilevel"/>
    <w:tmpl w:val="95BE3AB2"/>
    <w:lvl w:ilvl="0">
      <w:start w:val="1"/>
      <w:numFmt w:val="decimal"/>
      <w:lvlText w:val="%1."/>
      <w:lvlJc w:val="left"/>
      <w:pPr>
        <w:ind w:left="360" w:hanging="360"/>
      </w:p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A72940"/>
    <w:multiLevelType w:val="hybridMultilevel"/>
    <w:tmpl w:val="C8947D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53BE5BEB"/>
    <w:multiLevelType w:val="hybridMultilevel"/>
    <w:tmpl w:val="FCF4A0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4EC2E31"/>
    <w:multiLevelType w:val="multilevel"/>
    <w:tmpl w:val="95BE3AB2"/>
    <w:lvl w:ilvl="0">
      <w:start w:val="1"/>
      <w:numFmt w:val="decimal"/>
      <w:lvlText w:val="%1."/>
      <w:lvlJc w:val="left"/>
      <w:pPr>
        <w:ind w:left="360" w:hanging="360"/>
      </w:p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01785B"/>
    <w:multiLevelType w:val="hybridMultilevel"/>
    <w:tmpl w:val="0026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9308AB"/>
    <w:multiLevelType w:val="hybridMultilevel"/>
    <w:tmpl w:val="C1B27388"/>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7" w15:restartNumberingAfterBreak="0">
    <w:nsid w:val="5DF95756"/>
    <w:multiLevelType w:val="multilevel"/>
    <w:tmpl w:val="DDCA3D52"/>
    <w:name w:val="BE Bullets"/>
    <w:lvl w:ilvl="0">
      <w:start w:val="1"/>
      <w:numFmt w:val="bullet"/>
      <w:pStyle w:val="Bullet1"/>
      <w:lvlText w:val=""/>
      <w:lvlJc w:val="left"/>
      <w:pPr>
        <w:ind w:left="454" w:hanging="454"/>
      </w:pPr>
      <w:rPr>
        <w:rFonts w:ascii="Symbol" w:hAnsi="Symbol" w:hint="default"/>
        <w:color w:val="080808"/>
      </w:rPr>
    </w:lvl>
    <w:lvl w:ilvl="1">
      <w:start w:val="1"/>
      <w:numFmt w:val="bullet"/>
      <w:pStyle w:val="Bullet2"/>
      <w:lvlText w:val=""/>
      <w:lvlJc w:val="left"/>
      <w:pPr>
        <w:ind w:left="907" w:hanging="453"/>
      </w:pPr>
      <w:rPr>
        <w:rFonts w:ascii="Symbol" w:hAnsi="Symbol" w:hint="default"/>
      </w:rPr>
    </w:lvl>
    <w:lvl w:ilvl="2">
      <w:start w:val="1"/>
      <w:numFmt w:val="bullet"/>
      <w:pStyle w:val="Bullet3"/>
      <w:lvlText w:val="o"/>
      <w:lvlJc w:val="left"/>
      <w:pPr>
        <w:ind w:left="1361" w:hanging="454"/>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18A2CB5"/>
    <w:multiLevelType w:val="multilevel"/>
    <w:tmpl w:val="3B9E91D2"/>
    <w:name w:val="BE Appendix Headings"/>
    <w:lvl w:ilvl="0">
      <w:start w:val="1"/>
      <w:numFmt w:val="upperLetter"/>
      <w:pStyle w:val="AppendixSectionnumber"/>
      <w:lvlText w:val="Appendix %1"/>
      <w:lvlJc w:val="left"/>
      <w:pPr>
        <w:ind w:left="851" w:hanging="851"/>
      </w:pPr>
      <w:rPr>
        <w:rFonts w:hint="default"/>
        <w:b w:val="0"/>
        <w:bCs w:val="0"/>
        <w:i w:val="0"/>
        <w:iCs w:val="0"/>
        <w:caps w:val="0"/>
        <w:smallCaps w:val="0"/>
        <w:strike w:val="0"/>
        <w:dstrike w:val="0"/>
        <w:vanish w:val="0"/>
        <w:color w:val="1F497D" w:themeColor="text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1"/>
      <w:lvlText w:val="%1.%2"/>
      <w:lvlJc w:val="left"/>
      <w:pPr>
        <w:ind w:left="6239" w:hanging="851"/>
      </w:pPr>
      <w:rPr>
        <w:rFonts w:ascii="Arial Rounded MT Bold" w:hAnsi="Arial Rounded MT Bol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A825BB"/>
    <w:multiLevelType w:val="hybridMultilevel"/>
    <w:tmpl w:val="40F44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D4155A"/>
    <w:multiLevelType w:val="hybridMultilevel"/>
    <w:tmpl w:val="A8E0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C32B6"/>
    <w:multiLevelType w:val="hybridMultilevel"/>
    <w:tmpl w:val="55AE7230"/>
    <w:lvl w:ilvl="0" w:tplc="FEDCC572">
      <w:numFmt w:val="bullet"/>
      <w:lvlText w:val="-"/>
      <w:lvlJc w:val="left"/>
      <w:pPr>
        <w:ind w:left="720" w:hanging="360"/>
      </w:pPr>
      <w:rPr>
        <w:rFonts w:ascii="Calibri" w:eastAsiaTheme="minorHAns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94EF5"/>
    <w:multiLevelType w:val="hybridMultilevel"/>
    <w:tmpl w:val="A8147B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483665"/>
    <w:multiLevelType w:val="hybridMultilevel"/>
    <w:tmpl w:val="FA85C8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EAB608C"/>
    <w:multiLevelType w:val="hybridMultilevel"/>
    <w:tmpl w:val="27CAE15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3777AF5"/>
    <w:multiLevelType w:val="hybridMultilevel"/>
    <w:tmpl w:val="612E7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ED5F6F"/>
    <w:multiLevelType w:val="hybridMultilevel"/>
    <w:tmpl w:val="9BA24718"/>
    <w:lvl w:ilvl="0" w:tplc="C0EE07BC">
      <w:start w:val="1"/>
      <w:numFmt w:val="bullet"/>
      <w:pStyle w:val="RECdotnotlis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6392B42"/>
    <w:multiLevelType w:val="hybridMultilevel"/>
    <w:tmpl w:val="612E7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70B21CB"/>
    <w:multiLevelType w:val="hybridMultilevel"/>
    <w:tmpl w:val="56B240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9" w15:restartNumberingAfterBreak="0">
    <w:nsid w:val="77705576"/>
    <w:multiLevelType w:val="multilevel"/>
    <w:tmpl w:val="CE06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9E195A"/>
    <w:multiLevelType w:val="hybridMultilevel"/>
    <w:tmpl w:val="51082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9A3272"/>
    <w:multiLevelType w:val="hybridMultilevel"/>
    <w:tmpl w:val="D8642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7F676FDF"/>
    <w:multiLevelType w:val="hybridMultilevel"/>
    <w:tmpl w:val="E264A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6"/>
  </w:num>
  <w:num w:numId="5">
    <w:abstractNumId w:val="15"/>
  </w:num>
  <w:num w:numId="6">
    <w:abstractNumId w:val="15"/>
    <w:lvlOverride w:ilvl="0">
      <w:lvl w:ilvl="0">
        <w:start w:val="1"/>
        <w:numFmt w:val="decimal"/>
        <w:pStyle w:val="Heading1"/>
        <w:lvlText w:val="%1"/>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num>
  <w:num w:numId="7">
    <w:abstractNumId w:val="18"/>
  </w:num>
  <w:num w:numId="8">
    <w:abstractNumId w:val="6"/>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41"/>
  </w:num>
  <w:num w:numId="14">
    <w:abstractNumId w:val="25"/>
  </w:num>
  <w:num w:numId="15">
    <w:abstractNumId w:val="52"/>
  </w:num>
  <w:num w:numId="16">
    <w:abstractNumId w:val="16"/>
  </w:num>
  <w:num w:numId="17">
    <w:abstractNumId w:val="51"/>
  </w:num>
  <w:num w:numId="18">
    <w:abstractNumId w:val="44"/>
  </w:num>
  <w:num w:numId="19">
    <w:abstractNumId w:val="17"/>
    <w:lvlOverride w:ilvl="0">
      <w:startOverride w:val="1"/>
    </w:lvlOverride>
  </w:num>
  <w:num w:numId="20">
    <w:abstractNumId w:val="33"/>
  </w:num>
  <w:num w:numId="21">
    <w:abstractNumId w:val="2"/>
  </w:num>
  <w:num w:numId="22">
    <w:abstractNumId w:val="9"/>
  </w:num>
  <w:num w:numId="23">
    <w:abstractNumId w:val="43"/>
  </w:num>
  <w:num w:numId="24">
    <w:abstractNumId w:val="0"/>
  </w:num>
  <w:num w:numId="25">
    <w:abstractNumId w:val="1"/>
  </w:num>
  <w:num w:numId="26">
    <w:abstractNumId w:val="4"/>
  </w:num>
  <w:num w:numId="27">
    <w:abstractNumId w:val="11"/>
  </w:num>
  <w:num w:numId="28">
    <w:abstractNumId w:val="49"/>
  </w:num>
  <w:num w:numId="29">
    <w:abstractNumId w:val="12"/>
  </w:num>
  <w:num w:numId="30">
    <w:abstractNumId w:val="23"/>
  </w:num>
  <w:num w:numId="31">
    <w:abstractNumId w:val="30"/>
  </w:num>
  <w:num w:numId="32">
    <w:abstractNumId w:val="17"/>
    <w:lvlOverride w:ilvl="0">
      <w:startOverride w:val="1"/>
    </w:lvlOverride>
  </w:num>
  <w:num w:numId="33">
    <w:abstractNumId w:val="32"/>
  </w:num>
  <w:num w:numId="34">
    <w:abstractNumId w:val="17"/>
    <w:lvlOverride w:ilvl="0">
      <w:startOverride w:val="1"/>
    </w:lvlOverride>
  </w:num>
  <w:num w:numId="35">
    <w:abstractNumId w:val="17"/>
    <w:lvlOverride w:ilvl="0">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0"/>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28"/>
  </w:num>
  <w:num w:numId="64">
    <w:abstractNumId w:val="15"/>
  </w:num>
  <w:num w:numId="65">
    <w:abstractNumId w:val="15"/>
  </w:num>
  <w:num w:numId="66">
    <w:abstractNumId w:val="50"/>
  </w:num>
  <w:num w:numId="67">
    <w:abstractNumId w:val="35"/>
  </w:num>
  <w:num w:numId="68">
    <w:abstractNumId w:val="37"/>
  </w:num>
  <w:num w:numId="69">
    <w:abstractNumId w:val="38"/>
  </w:num>
  <w:num w:numId="70">
    <w:abstractNumId w:val="48"/>
  </w:num>
  <w:num w:numId="71">
    <w:abstractNumId w:val="29"/>
  </w:num>
  <w:num w:numId="72">
    <w:abstractNumId w:val="39"/>
  </w:num>
  <w:num w:numId="73">
    <w:abstractNumId w:val="26"/>
  </w:num>
  <w:num w:numId="74">
    <w:abstractNumId w:val="36"/>
  </w:num>
  <w:num w:numId="75">
    <w:abstractNumId w:val="24"/>
  </w:num>
  <w:num w:numId="76">
    <w:abstractNumId w:val="17"/>
    <w:lvlOverride w:ilvl="0">
      <w:startOverride w:val="1"/>
    </w:lvlOverride>
  </w:num>
  <w:num w:numId="77">
    <w:abstractNumId w:val="42"/>
  </w:num>
  <w:num w:numId="78">
    <w:abstractNumId w:val="19"/>
  </w:num>
  <w:num w:numId="79">
    <w:abstractNumId w:val="17"/>
    <w:lvlOverride w:ilvl="0">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num>
  <w:num w:numId="82">
    <w:abstractNumId w:val="34"/>
  </w:num>
  <w:num w:numId="83">
    <w:abstractNumId w:val="8"/>
  </w:num>
  <w:num w:numId="84">
    <w:abstractNumId w:val="14"/>
  </w:num>
  <w:num w:numId="85">
    <w:abstractNumId w:val="45"/>
  </w:num>
  <w:num w:numId="86">
    <w:abstractNumId w:val="27"/>
  </w:num>
  <w:num w:numId="87">
    <w:abstractNumId w:val="10"/>
  </w:num>
  <w:num w:numId="88">
    <w:abstractNumId w:val="27"/>
    <w:lvlOverride w:ilvl="0">
      <w:startOverride w:val="1"/>
    </w:lvlOverride>
  </w:num>
  <w:num w:numId="89">
    <w:abstractNumId w:val="27"/>
    <w:lvlOverride w:ilvl="0">
      <w:startOverride w:val="1"/>
    </w:lvlOverride>
  </w:num>
  <w:num w:numId="90">
    <w:abstractNumId w:val="47"/>
  </w:num>
  <w:num w:numId="91">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lickAndTypeStyle w:val="RECnormaltext"/>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79"/>
    <w:rsid w:val="0000068F"/>
    <w:rsid w:val="0000248D"/>
    <w:rsid w:val="000027DA"/>
    <w:rsid w:val="00002939"/>
    <w:rsid w:val="000029CD"/>
    <w:rsid w:val="00003D12"/>
    <w:rsid w:val="00004A2F"/>
    <w:rsid w:val="0000585F"/>
    <w:rsid w:val="000106E6"/>
    <w:rsid w:val="00010B61"/>
    <w:rsid w:val="00010BC2"/>
    <w:rsid w:val="0001197E"/>
    <w:rsid w:val="0001208B"/>
    <w:rsid w:val="000122D4"/>
    <w:rsid w:val="000130C7"/>
    <w:rsid w:val="0001395E"/>
    <w:rsid w:val="000149D2"/>
    <w:rsid w:val="00017783"/>
    <w:rsid w:val="00021146"/>
    <w:rsid w:val="00021473"/>
    <w:rsid w:val="00021891"/>
    <w:rsid w:val="00022C1B"/>
    <w:rsid w:val="00023D38"/>
    <w:rsid w:val="00027F64"/>
    <w:rsid w:val="000306AF"/>
    <w:rsid w:val="000323B6"/>
    <w:rsid w:val="00032E99"/>
    <w:rsid w:val="00033A42"/>
    <w:rsid w:val="000356E8"/>
    <w:rsid w:val="00035FF4"/>
    <w:rsid w:val="00037208"/>
    <w:rsid w:val="00037582"/>
    <w:rsid w:val="00040CCD"/>
    <w:rsid w:val="00041032"/>
    <w:rsid w:val="000412B3"/>
    <w:rsid w:val="0004428E"/>
    <w:rsid w:val="0004520B"/>
    <w:rsid w:val="00045733"/>
    <w:rsid w:val="0004574E"/>
    <w:rsid w:val="00047982"/>
    <w:rsid w:val="000500D2"/>
    <w:rsid w:val="000512E6"/>
    <w:rsid w:val="00052C92"/>
    <w:rsid w:val="0005712E"/>
    <w:rsid w:val="000575C8"/>
    <w:rsid w:val="00057838"/>
    <w:rsid w:val="00057A7B"/>
    <w:rsid w:val="00060B3D"/>
    <w:rsid w:val="00061B9F"/>
    <w:rsid w:val="00061FEA"/>
    <w:rsid w:val="00064262"/>
    <w:rsid w:val="00064817"/>
    <w:rsid w:val="00066D73"/>
    <w:rsid w:val="00067A5E"/>
    <w:rsid w:val="00067AC0"/>
    <w:rsid w:val="00067C08"/>
    <w:rsid w:val="0007002F"/>
    <w:rsid w:val="00071D7C"/>
    <w:rsid w:val="0007204B"/>
    <w:rsid w:val="00072894"/>
    <w:rsid w:val="00074623"/>
    <w:rsid w:val="00082134"/>
    <w:rsid w:val="00082CF3"/>
    <w:rsid w:val="0008510C"/>
    <w:rsid w:val="00087194"/>
    <w:rsid w:val="00087799"/>
    <w:rsid w:val="00090AE5"/>
    <w:rsid w:val="00092342"/>
    <w:rsid w:val="000928BA"/>
    <w:rsid w:val="00093F39"/>
    <w:rsid w:val="00095494"/>
    <w:rsid w:val="00095501"/>
    <w:rsid w:val="00095D22"/>
    <w:rsid w:val="0009775D"/>
    <w:rsid w:val="0009777D"/>
    <w:rsid w:val="00097A3C"/>
    <w:rsid w:val="00097E0A"/>
    <w:rsid w:val="000A1594"/>
    <w:rsid w:val="000A430D"/>
    <w:rsid w:val="000C0306"/>
    <w:rsid w:val="000C06A5"/>
    <w:rsid w:val="000C0BDD"/>
    <w:rsid w:val="000C12FE"/>
    <w:rsid w:val="000C13E6"/>
    <w:rsid w:val="000C28AB"/>
    <w:rsid w:val="000C4925"/>
    <w:rsid w:val="000C4C7F"/>
    <w:rsid w:val="000C58E2"/>
    <w:rsid w:val="000C609F"/>
    <w:rsid w:val="000C6C26"/>
    <w:rsid w:val="000C6DE6"/>
    <w:rsid w:val="000C7154"/>
    <w:rsid w:val="000C7EE4"/>
    <w:rsid w:val="000D0553"/>
    <w:rsid w:val="000D2027"/>
    <w:rsid w:val="000D40FF"/>
    <w:rsid w:val="000D556D"/>
    <w:rsid w:val="000E0907"/>
    <w:rsid w:val="000E2126"/>
    <w:rsid w:val="000E3C71"/>
    <w:rsid w:val="000E471B"/>
    <w:rsid w:val="000E6001"/>
    <w:rsid w:val="000F336B"/>
    <w:rsid w:val="000F54B2"/>
    <w:rsid w:val="000F667A"/>
    <w:rsid w:val="0010040B"/>
    <w:rsid w:val="00100802"/>
    <w:rsid w:val="00101153"/>
    <w:rsid w:val="00101F2D"/>
    <w:rsid w:val="00102830"/>
    <w:rsid w:val="00103AE1"/>
    <w:rsid w:val="00103E59"/>
    <w:rsid w:val="00104279"/>
    <w:rsid w:val="001072E7"/>
    <w:rsid w:val="00107CD2"/>
    <w:rsid w:val="00107EE9"/>
    <w:rsid w:val="0011523E"/>
    <w:rsid w:val="001156F2"/>
    <w:rsid w:val="001204C1"/>
    <w:rsid w:val="00121622"/>
    <w:rsid w:val="00123928"/>
    <w:rsid w:val="001264DF"/>
    <w:rsid w:val="00130863"/>
    <w:rsid w:val="00131A18"/>
    <w:rsid w:val="00133753"/>
    <w:rsid w:val="00133AC7"/>
    <w:rsid w:val="00133B7F"/>
    <w:rsid w:val="00133D14"/>
    <w:rsid w:val="00134A93"/>
    <w:rsid w:val="00134B89"/>
    <w:rsid w:val="00134C93"/>
    <w:rsid w:val="00141564"/>
    <w:rsid w:val="00142545"/>
    <w:rsid w:val="001445BE"/>
    <w:rsid w:val="00144F80"/>
    <w:rsid w:val="00150724"/>
    <w:rsid w:val="0015167F"/>
    <w:rsid w:val="00151CEB"/>
    <w:rsid w:val="001524AA"/>
    <w:rsid w:val="00156B22"/>
    <w:rsid w:val="00156EAD"/>
    <w:rsid w:val="00157CFA"/>
    <w:rsid w:val="00161D67"/>
    <w:rsid w:val="00161EA1"/>
    <w:rsid w:val="001632BD"/>
    <w:rsid w:val="00163747"/>
    <w:rsid w:val="00164927"/>
    <w:rsid w:val="00165118"/>
    <w:rsid w:val="001669B4"/>
    <w:rsid w:val="00166D43"/>
    <w:rsid w:val="00166DF9"/>
    <w:rsid w:val="00167AF7"/>
    <w:rsid w:val="001711E5"/>
    <w:rsid w:val="00173A98"/>
    <w:rsid w:val="0017466D"/>
    <w:rsid w:val="00175110"/>
    <w:rsid w:val="001756CE"/>
    <w:rsid w:val="00177F8F"/>
    <w:rsid w:val="00182535"/>
    <w:rsid w:val="00182D73"/>
    <w:rsid w:val="001906A6"/>
    <w:rsid w:val="00193682"/>
    <w:rsid w:val="00195F2C"/>
    <w:rsid w:val="00196551"/>
    <w:rsid w:val="00196BCC"/>
    <w:rsid w:val="001A03F0"/>
    <w:rsid w:val="001A2FAE"/>
    <w:rsid w:val="001A31F5"/>
    <w:rsid w:val="001A7826"/>
    <w:rsid w:val="001B1DCF"/>
    <w:rsid w:val="001B272E"/>
    <w:rsid w:val="001B5696"/>
    <w:rsid w:val="001B607B"/>
    <w:rsid w:val="001B6810"/>
    <w:rsid w:val="001C2683"/>
    <w:rsid w:val="001C2F58"/>
    <w:rsid w:val="001C3AE3"/>
    <w:rsid w:val="001C3F5C"/>
    <w:rsid w:val="001C5B52"/>
    <w:rsid w:val="001C6188"/>
    <w:rsid w:val="001C7666"/>
    <w:rsid w:val="001C793B"/>
    <w:rsid w:val="001C7EE6"/>
    <w:rsid w:val="001D3FEF"/>
    <w:rsid w:val="001D47E8"/>
    <w:rsid w:val="001D56A0"/>
    <w:rsid w:val="001D5C3B"/>
    <w:rsid w:val="001E0CB9"/>
    <w:rsid w:val="001E0D50"/>
    <w:rsid w:val="001E2286"/>
    <w:rsid w:val="001E325E"/>
    <w:rsid w:val="001E5241"/>
    <w:rsid w:val="001E6E7C"/>
    <w:rsid w:val="001E7F9F"/>
    <w:rsid w:val="001F0EAB"/>
    <w:rsid w:val="001F0F7B"/>
    <w:rsid w:val="001F2D48"/>
    <w:rsid w:val="001F4F2D"/>
    <w:rsid w:val="001F73FA"/>
    <w:rsid w:val="001F7C11"/>
    <w:rsid w:val="00200FF7"/>
    <w:rsid w:val="00204719"/>
    <w:rsid w:val="00205196"/>
    <w:rsid w:val="00205B31"/>
    <w:rsid w:val="002061AB"/>
    <w:rsid w:val="002061C5"/>
    <w:rsid w:val="00206C1D"/>
    <w:rsid w:val="00207E25"/>
    <w:rsid w:val="00211691"/>
    <w:rsid w:val="00215E0A"/>
    <w:rsid w:val="002172C7"/>
    <w:rsid w:val="002206D8"/>
    <w:rsid w:val="00221270"/>
    <w:rsid w:val="002228DD"/>
    <w:rsid w:val="0022473B"/>
    <w:rsid w:val="002257E1"/>
    <w:rsid w:val="00225E17"/>
    <w:rsid w:val="00226DA6"/>
    <w:rsid w:val="0022752E"/>
    <w:rsid w:val="00227705"/>
    <w:rsid w:val="00227F9A"/>
    <w:rsid w:val="0023526B"/>
    <w:rsid w:val="00235AA3"/>
    <w:rsid w:val="00235FDB"/>
    <w:rsid w:val="002370B5"/>
    <w:rsid w:val="00240673"/>
    <w:rsid w:val="002425D0"/>
    <w:rsid w:val="00244476"/>
    <w:rsid w:val="002459EA"/>
    <w:rsid w:val="002543CF"/>
    <w:rsid w:val="002560FF"/>
    <w:rsid w:val="00260F0C"/>
    <w:rsid w:val="0026204E"/>
    <w:rsid w:val="00263F65"/>
    <w:rsid w:val="00264B5E"/>
    <w:rsid w:val="0026556C"/>
    <w:rsid w:val="002677D8"/>
    <w:rsid w:val="00267977"/>
    <w:rsid w:val="00271550"/>
    <w:rsid w:val="002729E6"/>
    <w:rsid w:val="00272DB1"/>
    <w:rsid w:val="00280486"/>
    <w:rsid w:val="002805B2"/>
    <w:rsid w:val="0028061B"/>
    <w:rsid w:val="0028074F"/>
    <w:rsid w:val="00280C5F"/>
    <w:rsid w:val="002813E4"/>
    <w:rsid w:val="0028527A"/>
    <w:rsid w:val="00286290"/>
    <w:rsid w:val="00286443"/>
    <w:rsid w:val="0028690F"/>
    <w:rsid w:val="00286E6B"/>
    <w:rsid w:val="00286EF8"/>
    <w:rsid w:val="00292D83"/>
    <w:rsid w:val="002A13A3"/>
    <w:rsid w:val="002A189B"/>
    <w:rsid w:val="002A2D7B"/>
    <w:rsid w:val="002A3C59"/>
    <w:rsid w:val="002A4BCE"/>
    <w:rsid w:val="002A5C87"/>
    <w:rsid w:val="002A6E1A"/>
    <w:rsid w:val="002B1FDC"/>
    <w:rsid w:val="002B4645"/>
    <w:rsid w:val="002C0360"/>
    <w:rsid w:val="002C05BA"/>
    <w:rsid w:val="002C18AE"/>
    <w:rsid w:val="002C1C7D"/>
    <w:rsid w:val="002C2025"/>
    <w:rsid w:val="002C3814"/>
    <w:rsid w:val="002D0CE1"/>
    <w:rsid w:val="002D124C"/>
    <w:rsid w:val="002D12F9"/>
    <w:rsid w:val="002D13C7"/>
    <w:rsid w:val="002D234F"/>
    <w:rsid w:val="002D6A42"/>
    <w:rsid w:val="002E0DEC"/>
    <w:rsid w:val="002E1FDD"/>
    <w:rsid w:val="002E2CC6"/>
    <w:rsid w:val="002E413E"/>
    <w:rsid w:val="002E6393"/>
    <w:rsid w:val="002E6A86"/>
    <w:rsid w:val="002E7D7F"/>
    <w:rsid w:val="002F0B46"/>
    <w:rsid w:val="002F1951"/>
    <w:rsid w:val="002F32F0"/>
    <w:rsid w:val="002F4B58"/>
    <w:rsid w:val="002F5A51"/>
    <w:rsid w:val="002F5F89"/>
    <w:rsid w:val="003056FA"/>
    <w:rsid w:val="00305C58"/>
    <w:rsid w:val="00313C12"/>
    <w:rsid w:val="00313E09"/>
    <w:rsid w:val="00315B92"/>
    <w:rsid w:val="00316FB9"/>
    <w:rsid w:val="003202A8"/>
    <w:rsid w:val="00321623"/>
    <w:rsid w:val="00321BD1"/>
    <w:rsid w:val="00322CCD"/>
    <w:rsid w:val="00323828"/>
    <w:rsid w:val="0032455C"/>
    <w:rsid w:val="0032488F"/>
    <w:rsid w:val="00326262"/>
    <w:rsid w:val="003279E7"/>
    <w:rsid w:val="003319C6"/>
    <w:rsid w:val="00331B66"/>
    <w:rsid w:val="0033222D"/>
    <w:rsid w:val="00332618"/>
    <w:rsid w:val="0033336F"/>
    <w:rsid w:val="0033422F"/>
    <w:rsid w:val="00336474"/>
    <w:rsid w:val="00337055"/>
    <w:rsid w:val="00337D10"/>
    <w:rsid w:val="00341FE1"/>
    <w:rsid w:val="00342ED3"/>
    <w:rsid w:val="00343AD7"/>
    <w:rsid w:val="00343DA7"/>
    <w:rsid w:val="00345596"/>
    <w:rsid w:val="0034596E"/>
    <w:rsid w:val="0035194C"/>
    <w:rsid w:val="00355D1D"/>
    <w:rsid w:val="0035646B"/>
    <w:rsid w:val="003566CA"/>
    <w:rsid w:val="003568F5"/>
    <w:rsid w:val="00357A02"/>
    <w:rsid w:val="00360742"/>
    <w:rsid w:val="00361E8B"/>
    <w:rsid w:val="0036311B"/>
    <w:rsid w:val="00364376"/>
    <w:rsid w:val="00365952"/>
    <w:rsid w:val="003706A1"/>
    <w:rsid w:val="00375854"/>
    <w:rsid w:val="00375D6A"/>
    <w:rsid w:val="0038006A"/>
    <w:rsid w:val="00381133"/>
    <w:rsid w:val="00384ED7"/>
    <w:rsid w:val="003871EB"/>
    <w:rsid w:val="003910EE"/>
    <w:rsid w:val="00391938"/>
    <w:rsid w:val="00394F7C"/>
    <w:rsid w:val="00395A6A"/>
    <w:rsid w:val="003A02FF"/>
    <w:rsid w:val="003A1A5B"/>
    <w:rsid w:val="003A245E"/>
    <w:rsid w:val="003A3347"/>
    <w:rsid w:val="003A4126"/>
    <w:rsid w:val="003A491F"/>
    <w:rsid w:val="003A524E"/>
    <w:rsid w:val="003A5D9C"/>
    <w:rsid w:val="003A68A0"/>
    <w:rsid w:val="003A6CD9"/>
    <w:rsid w:val="003A7298"/>
    <w:rsid w:val="003B11C4"/>
    <w:rsid w:val="003B182E"/>
    <w:rsid w:val="003B2CDB"/>
    <w:rsid w:val="003B5364"/>
    <w:rsid w:val="003B564B"/>
    <w:rsid w:val="003B7FEA"/>
    <w:rsid w:val="003C067B"/>
    <w:rsid w:val="003C0A89"/>
    <w:rsid w:val="003C1A78"/>
    <w:rsid w:val="003C1EC1"/>
    <w:rsid w:val="003C21D9"/>
    <w:rsid w:val="003C4B51"/>
    <w:rsid w:val="003C5D8C"/>
    <w:rsid w:val="003D04E6"/>
    <w:rsid w:val="003D0EC7"/>
    <w:rsid w:val="003D3424"/>
    <w:rsid w:val="003D3C3D"/>
    <w:rsid w:val="003D4F1A"/>
    <w:rsid w:val="003D7F29"/>
    <w:rsid w:val="003E1934"/>
    <w:rsid w:val="003E2A9A"/>
    <w:rsid w:val="003E2EAF"/>
    <w:rsid w:val="003E3B37"/>
    <w:rsid w:val="003E73C7"/>
    <w:rsid w:val="003F2D73"/>
    <w:rsid w:val="003F3419"/>
    <w:rsid w:val="003F439A"/>
    <w:rsid w:val="003F4E23"/>
    <w:rsid w:val="003F56C0"/>
    <w:rsid w:val="003F5749"/>
    <w:rsid w:val="003F704E"/>
    <w:rsid w:val="00400960"/>
    <w:rsid w:val="00403FA9"/>
    <w:rsid w:val="00404473"/>
    <w:rsid w:val="00405A3C"/>
    <w:rsid w:val="004061B4"/>
    <w:rsid w:val="00407668"/>
    <w:rsid w:val="0040798E"/>
    <w:rsid w:val="00407A4F"/>
    <w:rsid w:val="00413829"/>
    <w:rsid w:val="00414EBE"/>
    <w:rsid w:val="004162F0"/>
    <w:rsid w:val="0041796C"/>
    <w:rsid w:val="004213EA"/>
    <w:rsid w:val="0042155E"/>
    <w:rsid w:val="004218F4"/>
    <w:rsid w:val="004226D6"/>
    <w:rsid w:val="00422DCF"/>
    <w:rsid w:val="00424B95"/>
    <w:rsid w:val="004301CD"/>
    <w:rsid w:val="0043065F"/>
    <w:rsid w:val="00432ACA"/>
    <w:rsid w:val="00436245"/>
    <w:rsid w:val="004376BA"/>
    <w:rsid w:val="00437A61"/>
    <w:rsid w:val="00437FE2"/>
    <w:rsid w:val="004407A8"/>
    <w:rsid w:val="00442664"/>
    <w:rsid w:val="004431D9"/>
    <w:rsid w:val="00444154"/>
    <w:rsid w:val="00444AAC"/>
    <w:rsid w:val="004454E7"/>
    <w:rsid w:val="00445E80"/>
    <w:rsid w:val="004478E5"/>
    <w:rsid w:val="00451F3D"/>
    <w:rsid w:val="004523F0"/>
    <w:rsid w:val="00452439"/>
    <w:rsid w:val="0045327A"/>
    <w:rsid w:val="00453B88"/>
    <w:rsid w:val="00455185"/>
    <w:rsid w:val="004557CC"/>
    <w:rsid w:val="00455F60"/>
    <w:rsid w:val="00462615"/>
    <w:rsid w:val="004629FD"/>
    <w:rsid w:val="00462BE6"/>
    <w:rsid w:val="00463B40"/>
    <w:rsid w:val="00464B02"/>
    <w:rsid w:val="00465A17"/>
    <w:rsid w:val="00467433"/>
    <w:rsid w:val="00470187"/>
    <w:rsid w:val="00470EAA"/>
    <w:rsid w:val="004716C9"/>
    <w:rsid w:val="00472504"/>
    <w:rsid w:val="00472531"/>
    <w:rsid w:val="004742C1"/>
    <w:rsid w:val="004749BC"/>
    <w:rsid w:val="0047503C"/>
    <w:rsid w:val="0047695D"/>
    <w:rsid w:val="00476AE4"/>
    <w:rsid w:val="004773FB"/>
    <w:rsid w:val="004817BF"/>
    <w:rsid w:val="004820CC"/>
    <w:rsid w:val="0048342B"/>
    <w:rsid w:val="00483678"/>
    <w:rsid w:val="004836E7"/>
    <w:rsid w:val="00486F54"/>
    <w:rsid w:val="00487542"/>
    <w:rsid w:val="00490554"/>
    <w:rsid w:val="00490ABB"/>
    <w:rsid w:val="0049123C"/>
    <w:rsid w:val="00497579"/>
    <w:rsid w:val="004A07A6"/>
    <w:rsid w:val="004A301B"/>
    <w:rsid w:val="004A3AF3"/>
    <w:rsid w:val="004A411B"/>
    <w:rsid w:val="004A60B0"/>
    <w:rsid w:val="004A6971"/>
    <w:rsid w:val="004B044B"/>
    <w:rsid w:val="004B0C16"/>
    <w:rsid w:val="004B15B9"/>
    <w:rsid w:val="004B279D"/>
    <w:rsid w:val="004B2992"/>
    <w:rsid w:val="004B574A"/>
    <w:rsid w:val="004B65C8"/>
    <w:rsid w:val="004C0B55"/>
    <w:rsid w:val="004C0E66"/>
    <w:rsid w:val="004C22DC"/>
    <w:rsid w:val="004C2B32"/>
    <w:rsid w:val="004C30F5"/>
    <w:rsid w:val="004C3105"/>
    <w:rsid w:val="004C48D5"/>
    <w:rsid w:val="004C5C28"/>
    <w:rsid w:val="004D0EA6"/>
    <w:rsid w:val="004D1378"/>
    <w:rsid w:val="004D309B"/>
    <w:rsid w:val="004D4040"/>
    <w:rsid w:val="004D4601"/>
    <w:rsid w:val="004D576D"/>
    <w:rsid w:val="004D640F"/>
    <w:rsid w:val="004D79A0"/>
    <w:rsid w:val="004E210E"/>
    <w:rsid w:val="004E283D"/>
    <w:rsid w:val="004E31E3"/>
    <w:rsid w:val="004E488F"/>
    <w:rsid w:val="004E5965"/>
    <w:rsid w:val="004E5A59"/>
    <w:rsid w:val="004F0095"/>
    <w:rsid w:val="004F0C48"/>
    <w:rsid w:val="004F14DC"/>
    <w:rsid w:val="004F1A98"/>
    <w:rsid w:val="004F20CF"/>
    <w:rsid w:val="004F3AF5"/>
    <w:rsid w:val="004F6710"/>
    <w:rsid w:val="004F6839"/>
    <w:rsid w:val="00500285"/>
    <w:rsid w:val="00500572"/>
    <w:rsid w:val="00501282"/>
    <w:rsid w:val="005018F2"/>
    <w:rsid w:val="00503A74"/>
    <w:rsid w:val="00503D05"/>
    <w:rsid w:val="0050481B"/>
    <w:rsid w:val="00507E30"/>
    <w:rsid w:val="00510E64"/>
    <w:rsid w:val="00511AD5"/>
    <w:rsid w:val="00511C1E"/>
    <w:rsid w:val="005130E3"/>
    <w:rsid w:val="0051348C"/>
    <w:rsid w:val="00514441"/>
    <w:rsid w:val="00517290"/>
    <w:rsid w:val="00520C0A"/>
    <w:rsid w:val="00520DA5"/>
    <w:rsid w:val="005214EE"/>
    <w:rsid w:val="00522F5B"/>
    <w:rsid w:val="0052432C"/>
    <w:rsid w:val="00525625"/>
    <w:rsid w:val="005258E5"/>
    <w:rsid w:val="00526EA2"/>
    <w:rsid w:val="00530191"/>
    <w:rsid w:val="00531187"/>
    <w:rsid w:val="0053355A"/>
    <w:rsid w:val="0053683A"/>
    <w:rsid w:val="00537412"/>
    <w:rsid w:val="00537ECA"/>
    <w:rsid w:val="005419DA"/>
    <w:rsid w:val="00542CBB"/>
    <w:rsid w:val="00544CB2"/>
    <w:rsid w:val="005504D7"/>
    <w:rsid w:val="0055071B"/>
    <w:rsid w:val="005513BD"/>
    <w:rsid w:val="00552A9A"/>
    <w:rsid w:val="00552D17"/>
    <w:rsid w:val="005531AA"/>
    <w:rsid w:val="005556D5"/>
    <w:rsid w:val="005560F0"/>
    <w:rsid w:val="005564CA"/>
    <w:rsid w:val="00556906"/>
    <w:rsid w:val="005622BD"/>
    <w:rsid w:val="00562F2B"/>
    <w:rsid w:val="0056365D"/>
    <w:rsid w:val="00563AE4"/>
    <w:rsid w:val="00564113"/>
    <w:rsid w:val="00566529"/>
    <w:rsid w:val="00567872"/>
    <w:rsid w:val="00567A94"/>
    <w:rsid w:val="00570040"/>
    <w:rsid w:val="005731A4"/>
    <w:rsid w:val="00577DEB"/>
    <w:rsid w:val="00590F76"/>
    <w:rsid w:val="00592C8C"/>
    <w:rsid w:val="00596179"/>
    <w:rsid w:val="00596C05"/>
    <w:rsid w:val="00596F0C"/>
    <w:rsid w:val="005A1221"/>
    <w:rsid w:val="005A122B"/>
    <w:rsid w:val="005A13ED"/>
    <w:rsid w:val="005A3173"/>
    <w:rsid w:val="005A62E4"/>
    <w:rsid w:val="005A6EAB"/>
    <w:rsid w:val="005B07BE"/>
    <w:rsid w:val="005B12D6"/>
    <w:rsid w:val="005B32EE"/>
    <w:rsid w:val="005B3695"/>
    <w:rsid w:val="005B563D"/>
    <w:rsid w:val="005B7AE7"/>
    <w:rsid w:val="005C0283"/>
    <w:rsid w:val="005C0FF6"/>
    <w:rsid w:val="005C2506"/>
    <w:rsid w:val="005C2AD8"/>
    <w:rsid w:val="005C3B88"/>
    <w:rsid w:val="005C4E4A"/>
    <w:rsid w:val="005C7942"/>
    <w:rsid w:val="005D60FD"/>
    <w:rsid w:val="005E460C"/>
    <w:rsid w:val="005E4759"/>
    <w:rsid w:val="005E4976"/>
    <w:rsid w:val="005E51AF"/>
    <w:rsid w:val="005E6981"/>
    <w:rsid w:val="005E7552"/>
    <w:rsid w:val="005E79E0"/>
    <w:rsid w:val="005F0975"/>
    <w:rsid w:val="005F223C"/>
    <w:rsid w:val="005F2283"/>
    <w:rsid w:val="005F2882"/>
    <w:rsid w:val="005F2D7C"/>
    <w:rsid w:val="005F2F4C"/>
    <w:rsid w:val="005F303F"/>
    <w:rsid w:val="005F3544"/>
    <w:rsid w:val="005F4489"/>
    <w:rsid w:val="005F6CBD"/>
    <w:rsid w:val="006032DD"/>
    <w:rsid w:val="00604C9A"/>
    <w:rsid w:val="00604CD0"/>
    <w:rsid w:val="006051C4"/>
    <w:rsid w:val="00610A32"/>
    <w:rsid w:val="00613A34"/>
    <w:rsid w:val="00616E44"/>
    <w:rsid w:val="006176E4"/>
    <w:rsid w:val="00621151"/>
    <w:rsid w:val="00621751"/>
    <w:rsid w:val="0063002A"/>
    <w:rsid w:val="00630F99"/>
    <w:rsid w:val="00632477"/>
    <w:rsid w:val="00632CE9"/>
    <w:rsid w:val="00633620"/>
    <w:rsid w:val="006339EB"/>
    <w:rsid w:val="00635B07"/>
    <w:rsid w:val="00636E79"/>
    <w:rsid w:val="00640AB8"/>
    <w:rsid w:val="0064404F"/>
    <w:rsid w:val="00644655"/>
    <w:rsid w:val="00647C5A"/>
    <w:rsid w:val="00650038"/>
    <w:rsid w:val="0065279F"/>
    <w:rsid w:val="00657CF7"/>
    <w:rsid w:val="006616AE"/>
    <w:rsid w:val="00662396"/>
    <w:rsid w:val="0066551C"/>
    <w:rsid w:val="00670ACC"/>
    <w:rsid w:val="00671BDE"/>
    <w:rsid w:val="006739AB"/>
    <w:rsid w:val="006743D4"/>
    <w:rsid w:val="006743DE"/>
    <w:rsid w:val="0067676E"/>
    <w:rsid w:val="006812F7"/>
    <w:rsid w:val="0068278B"/>
    <w:rsid w:val="006828AA"/>
    <w:rsid w:val="00687056"/>
    <w:rsid w:val="006909D4"/>
    <w:rsid w:val="00691133"/>
    <w:rsid w:val="006924DB"/>
    <w:rsid w:val="00693C83"/>
    <w:rsid w:val="00696D29"/>
    <w:rsid w:val="006A09CA"/>
    <w:rsid w:val="006A0B65"/>
    <w:rsid w:val="006A1000"/>
    <w:rsid w:val="006A38F0"/>
    <w:rsid w:val="006A3A65"/>
    <w:rsid w:val="006A3CE6"/>
    <w:rsid w:val="006A3D58"/>
    <w:rsid w:val="006A42B3"/>
    <w:rsid w:val="006A4816"/>
    <w:rsid w:val="006A7582"/>
    <w:rsid w:val="006A7B25"/>
    <w:rsid w:val="006B1FDD"/>
    <w:rsid w:val="006B4F4E"/>
    <w:rsid w:val="006B6F98"/>
    <w:rsid w:val="006C6C56"/>
    <w:rsid w:val="006C73F8"/>
    <w:rsid w:val="006C750B"/>
    <w:rsid w:val="006D245F"/>
    <w:rsid w:val="006D24C7"/>
    <w:rsid w:val="006D2DB9"/>
    <w:rsid w:val="006D3F0C"/>
    <w:rsid w:val="006D42B3"/>
    <w:rsid w:val="006D441C"/>
    <w:rsid w:val="006D6862"/>
    <w:rsid w:val="006D7217"/>
    <w:rsid w:val="006E1900"/>
    <w:rsid w:val="006E1B8A"/>
    <w:rsid w:val="006E2D45"/>
    <w:rsid w:val="006E5EF0"/>
    <w:rsid w:val="006E6421"/>
    <w:rsid w:val="006E6C6C"/>
    <w:rsid w:val="006F0183"/>
    <w:rsid w:val="006F021B"/>
    <w:rsid w:val="006F1456"/>
    <w:rsid w:val="006F4495"/>
    <w:rsid w:val="006F45EE"/>
    <w:rsid w:val="006F4F5A"/>
    <w:rsid w:val="006F6001"/>
    <w:rsid w:val="006F69DB"/>
    <w:rsid w:val="006F762A"/>
    <w:rsid w:val="007016E5"/>
    <w:rsid w:val="00702FBC"/>
    <w:rsid w:val="007033D6"/>
    <w:rsid w:val="00704E82"/>
    <w:rsid w:val="00706047"/>
    <w:rsid w:val="007065D3"/>
    <w:rsid w:val="00713064"/>
    <w:rsid w:val="0071375C"/>
    <w:rsid w:val="007164AB"/>
    <w:rsid w:val="00720FD7"/>
    <w:rsid w:val="007234D5"/>
    <w:rsid w:val="007238E0"/>
    <w:rsid w:val="00723938"/>
    <w:rsid w:val="00723C83"/>
    <w:rsid w:val="00725968"/>
    <w:rsid w:val="00730842"/>
    <w:rsid w:val="0073132D"/>
    <w:rsid w:val="00733FA1"/>
    <w:rsid w:val="00737BA1"/>
    <w:rsid w:val="00741063"/>
    <w:rsid w:val="007450B5"/>
    <w:rsid w:val="007453A4"/>
    <w:rsid w:val="00750B8A"/>
    <w:rsid w:val="00753BBD"/>
    <w:rsid w:val="0075614D"/>
    <w:rsid w:val="00760325"/>
    <w:rsid w:val="00761B8B"/>
    <w:rsid w:val="00762785"/>
    <w:rsid w:val="007630DE"/>
    <w:rsid w:val="007651C2"/>
    <w:rsid w:val="00770111"/>
    <w:rsid w:val="00770981"/>
    <w:rsid w:val="00770B30"/>
    <w:rsid w:val="00770B7E"/>
    <w:rsid w:val="0077109E"/>
    <w:rsid w:val="0077226E"/>
    <w:rsid w:val="00775D8B"/>
    <w:rsid w:val="00777F39"/>
    <w:rsid w:val="00780061"/>
    <w:rsid w:val="0078131A"/>
    <w:rsid w:val="00783BCF"/>
    <w:rsid w:val="007845C3"/>
    <w:rsid w:val="00790F1B"/>
    <w:rsid w:val="0079125E"/>
    <w:rsid w:val="00794B31"/>
    <w:rsid w:val="007954F8"/>
    <w:rsid w:val="00795F48"/>
    <w:rsid w:val="007972CD"/>
    <w:rsid w:val="00797A6F"/>
    <w:rsid w:val="007A2DF2"/>
    <w:rsid w:val="007A302C"/>
    <w:rsid w:val="007A4231"/>
    <w:rsid w:val="007A4713"/>
    <w:rsid w:val="007A4A07"/>
    <w:rsid w:val="007A5738"/>
    <w:rsid w:val="007A7371"/>
    <w:rsid w:val="007A73B6"/>
    <w:rsid w:val="007B1B9D"/>
    <w:rsid w:val="007B480A"/>
    <w:rsid w:val="007B4A37"/>
    <w:rsid w:val="007B6441"/>
    <w:rsid w:val="007B6814"/>
    <w:rsid w:val="007B7F85"/>
    <w:rsid w:val="007C0A57"/>
    <w:rsid w:val="007C1627"/>
    <w:rsid w:val="007C28D6"/>
    <w:rsid w:val="007C2C23"/>
    <w:rsid w:val="007C530B"/>
    <w:rsid w:val="007C55D6"/>
    <w:rsid w:val="007C63BC"/>
    <w:rsid w:val="007C728A"/>
    <w:rsid w:val="007C7603"/>
    <w:rsid w:val="007C7BF1"/>
    <w:rsid w:val="007D0F00"/>
    <w:rsid w:val="007D2D7C"/>
    <w:rsid w:val="007D354D"/>
    <w:rsid w:val="007D3915"/>
    <w:rsid w:val="007D5C4C"/>
    <w:rsid w:val="007E1B69"/>
    <w:rsid w:val="007E203C"/>
    <w:rsid w:val="007E214D"/>
    <w:rsid w:val="007E3936"/>
    <w:rsid w:val="007E4104"/>
    <w:rsid w:val="007E4F19"/>
    <w:rsid w:val="007E6CF4"/>
    <w:rsid w:val="007E6D85"/>
    <w:rsid w:val="007E73C6"/>
    <w:rsid w:val="007E79DF"/>
    <w:rsid w:val="007E7F57"/>
    <w:rsid w:val="007F0F63"/>
    <w:rsid w:val="007F3984"/>
    <w:rsid w:val="007F4185"/>
    <w:rsid w:val="007F4353"/>
    <w:rsid w:val="007F5AC1"/>
    <w:rsid w:val="007F662D"/>
    <w:rsid w:val="007F74BE"/>
    <w:rsid w:val="008018E8"/>
    <w:rsid w:val="00801A4D"/>
    <w:rsid w:val="0080241E"/>
    <w:rsid w:val="00803DCB"/>
    <w:rsid w:val="008071EE"/>
    <w:rsid w:val="00810423"/>
    <w:rsid w:val="00812C45"/>
    <w:rsid w:val="008149A6"/>
    <w:rsid w:val="008157A2"/>
    <w:rsid w:val="00816B82"/>
    <w:rsid w:val="00816CE0"/>
    <w:rsid w:val="008175CA"/>
    <w:rsid w:val="00817B8D"/>
    <w:rsid w:val="0082256A"/>
    <w:rsid w:val="008225CA"/>
    <w:rsid w:val="008229F3"/>
    <w:rsid w:val="00822CFD"/>
    <w:rsid w:val="008236EA"/>
    <w:rsid w:val="00825402"/>
    <w:rsid w:val="008274D3"/>
    <w:rsid w:val="00827A0F"/>
    <w:rsid w:val="008379A2"/>
    <w:rsid w:val="0084135A"/>
    <w:rsid w:val="00842626"/>
    <w:rsid w:val="008435F4"/>
    <w:rsid w:val="0084442B"/>
    <w:rsid w:val="00847CC8"/>
    <w:rsid w:val="00851F12"/>
    <w:rsid w:val="00853793"/>
    <w:rsid w:val="0085463B"/>
    <w:rsid w:val="00855001"/>
    <w:rsid w:val="00855461"/>
    <w:rsid w:val="00856F31"/>
    <w:rsid w:val="008612FE"/>
    <w:rsid w:val="00863E75"/>
    <w:rsid w:val="00866290"/>
    <w:rsid w:val="00866310"/>
    <w:rsid w:val="00871511"/>
    <w:rsid w:val="008722E7"/>
    <w:rsid w:val="00872776"/>
    <w:rsid w:val="008755BF"/>
    <w:rsid w:val="008761E7"/>
    <w:rsid w:val="00877B0D"/>
    <w:rsid w:val="00880A9F"/>
    <w:rsid w:val="0088119C"/>
    <w:rsid w:val="00881395"/>
    <w:rsid w:val="008829E7"/>
    <w:rsid w:val="008862E7"/>
    <w:rsid w:val="00891E9E"/>
    <w:rsid w:val="00892043"/>
    <w:rsid w:val="00893CB2"/>
    <w:rsid w:val="0089494E"/>
    <w:rsid w:val="00896629"/>
    <w:rsid w:val="008A13DB"/>
    <w:rsid w:val="008A15AA"/>
    <w:rsid w:val="008A2C6B"/>
    <w:rsid w:val="008A5267"/>
    <w:rsid w:val="008A6897"/>
    <w:rsid w:val="008A6B60"/>
    <w:rsid w:val="008B0A46"/>
    <w:rsid w:val="008B169E"/>
    <w:rsid w:val="008B3454"/>
    <w:rsid w:val="008B667C"/>
    <w:rsid w:val="008B70CD"/>
    <w:rsid w:val="008C0FA2"/>
    <w:rsid w:val="008C1C7A"/>
    <w:rsid w:val="008C2469"/>
    <w:rsid w:val="008C319A"/>
    <w:rsid w:val="008C3461"/>
    <w:rsid w:val="008C3CDD"/>
    <w:rsid w:val="008C56BF"/>
    <w:rsid w:val="008C7B02"/>
    <w:rsid w:val="008C7B95"/>
    <w:rsid w:val="008D030F"/>
    <w:rsid w:val="008D36F9"/>
    <w:rsid w:val="008D505B"/>
    <w:rsid w:val="008E0579"/>
    <w:rsid w:val="008E2133"/>
    <w:rsid w:val="008E64E6"/>
    <w:rsid w:val="008E6C25"/>
    <w:rsid w:val="008E7BC0"/>
    <w:rsid w:val="008F1F4C"/>
    <w:rsid w:val="008F1FDA"/>
    <w:rsid w:val="008F3C0B"/>
    <w:rsid w:val="008F3D24"/>
    <w:rsid w:val="009000BB"/>
    <w:rsid w:val="0090071D"/>
    <w:rsid w:val="0090280B"/>
    <w:rsid w:val="0090333F"/>
    <w:rsid w:val="00904ECE"/>
    <w:rsid w:val="00905657"/>
    <w:rsid w:val="00911F04"/>
    <w:rsid w:val="00913893"/>
    <w:rsid w:val="00913ADC"/>
    <w:rsid w:val="00913DCD"/>
    <w:rsid w:val="00915DE1"/>
    <w:rsid w:val="0091764A"/>
    <w:rsid w:val="00917DBD"/>
    <w:rsid w:val="009260E8"/>
    <w:rsid w:val="009301C6"/>
    <w:rsid w:val="00931DC1"/>
    <w:rsid w:val="00932DF5"/>
    <w:rsid w:val="009334EE"/>
    <w:rsid w:val="00934174"/>
    <w:rsid w:val="00934674"/>
    <w:rsid w:val="009357AC"/>
    <w:rsid w:val="00935CED"/>
    <w:rsid w:val="00937222"/>
    <w:rsid w:val="009404EE"/>
    <w:rsid w:val="0094147D"/>
    <w:rsid w:val="00942F13"/>
    <w:rsid w:val="0094556D"/>
    <w:rsid w:val="00946050"/>
    <w:rsid w:val="0094696B"/>
    <w:rsid w:val="00946A94"/>
    <w:rsid w:val="00950277"/>
    <w:rsid w:val="00950413"/>
    <w:rsid w:val="00950699"/>
    <w:rsid w:val="00953A6F"/>
    <w:rsid w:val="00953F2F"/>
    <w:rsid w:val="009556E1"/>
    <w:rsid w:val="009556EA"/>
    <w:rsid w:val="009614DA"/>
    <w:rsid w:val="00962763"/>
    <w:rsid w:val="00964771"/>
    <w:rsid w:val="00970CCF"/>
    <w:rsid w:val="00970F7E"/>
    <w:rsid w:val="00971721"/>
    <w:rsid w:val="00973860"/>
    <w:rsid w:val="00973C51"/>
    <w:rsid w:val="00974335"/>
    <w:rsid w:val="009753CD"/>
    <w:rsid w:val="009758D6"/>
    <w:rsid w:val="00975E04"/>
    <w:rsid w:val="00975E1E"/>
    <w:rsid w:val="009763F4"/>
    <w:rsid w:val="00977734"/>
    <w:rsid w:val="00980B4D"/>
    <w:rsid w:val="00980D6A"/>
    <w:rsid w:val="00982BFF"/>
    <w:rsid w:val="00983DD4"/>
    <w:rsid w:val="00984D87"/>
    <w:rsid w:val="0099098B"/>
    <w:rsid w:val="00991691"/>
    <w:rsid w:val="009924A2"/>
    <w:rsid w:val="00992F74"/>
    <w:rsid w:val="0099408E"/>
    <w:rsid w:val="00994C04"/>
    <w:rsid w:val="009950FA"/>
    <w:rsid w:val="00995A61"/>
    <w:rsid w:val="00995AD9"/>
    <w:rsid w:val="00995E2A"/>
    <w:rsid w:val="00997B41"/>
    <w:rsid w:val="009A04B1"/>
    <w:rsid w:val="009A1AC8"/>
    <w:rsid w:val="009A45F4"/>
    <w:rsid w:val="009A55D7"/>
    <w:rsid w:val="009A5CC0"/>
    <w:rsid w:val="009A6432"/>
    <w:rsid w:val="009A694B"/>
    <w:rsid w:val="009B095E"/>
    <w:rsid w:val="009B4DE2"/>
    <w:rsid w:val="009B7AB8"/>
    <w:rsid w:val="009C0AE1"/>
    <w:rsid w:val="009C1090"/>
    <w:rsid w:val="009C19A1"/>
    <w:rsid w:val="009C1A52"/>
    <w:rsid w:val="009C1FDF"/>
    <w:rsid w:val="009C34E5"/>
    <w:rsid w:val="009C3D4B"/>
    <w:rsid w:val="009C5E24"/>
    <w:rsid w:val="009C69A4"/>
    <w:rsid w:val="009C6DE6"/>
    <w:rsid w:val="009C78D9"/>
    <w:rsid w:val="009D04CB"/>
    <w:rsid w:val="009D1148"/>
    <w:rsid w:val="009D14F6"/>
    <w:rsid w:val="009D269E"/>
    <w:rsid w:val="009D3C62"/>
    <w:rsid w:val="009D4B73"/>
    <w:rsid w:val="009D5D4C"/>
    <w:rsid w:val="009D5ECA"/>
    <w:rsid w:val="009D71CE"/>
    <w:rsid w:val="009D7E20"/>
    <w:rsid w:val="009E02F2"/>
    <w:rsid w:val="009E0901"/>
    <w:rsid w:val="009E0C09"/>
    <w:rsid w:val="009E10A0"/>
    <w:rsid w:val="009E2049"/>
    <w:rsid w:val="009E36D4"/>
    <w:rsid w:val="009E4681"/>
    <w:rsid w:val="009E5B7B"/>
    <w:rsid w:val="009E6323"/>
    <w:rsid w:val="009E6AA5"/>
    <w:rsid w:val="009F1816"/>
    <w:rsid w:val="009F2699"/>
    <w:rsid w:val="009F35AE"/>
    <w:rsid w:val="009F3899"/>
    <w:rsid w:val="009F3E1E"/>
    <w:rsid w:val="009F4E2C"/>
    <w:rsid w:val="009F64C8"/>
    <w:rsid w:val="009F770C"/>
    <w:rsid w:val="00A0247E"/>
    <w:rsid w:val="00A034F2"/>
    <w:rsid w:val="00A04134"/>
    <w:rsid w:val="00A0498E"/>
    <w:rsid w:val="00A04E36"/>
    <w:rsid w:val="00A05180"/>
    <w:rsid w:val="00A07A70"/>
    <w:rsid w:val="00A07AD1"/>
    <w:rsid w:val="00A07FD5"/>
    <w:rsid w:val="00A101F7"/>
    <w:rsid w:val="00A109CE"/>
    <w:rsid w:val="00A10D40"/>
    <w:rsid w:val="00A12057"/>
    <w:rsid w:val="00A12913"/>
    <w:rsid w:val="00A1484B"/>
    <w:rsid w:val="00A161F9"/>
    <w:rsid w:val="00A17344"/>
    <w:rsid w:val="00A173C7"/>
    <w:rsid w:val="00A1757F"/>
    <w:rsid w:val="00A20159"/>
    <w:rsid w:val="00A25367"/>
    <w:rsid w:val="00A25707"/>
    <w:rsid w:val="00A258E3"/>
    <w:rsid w:val="00A25DBF"/>
    <w:rsid w:val="00A2635D"/>
    <w:rsid w:val="00A26B7A"/>
    <w:rsid w:val="00A30862"/>
    <w:rsid w:val="00A31F6B"/>
    <w:rsid w:val="00A32FF8"/>
    <w:rsid w:val="00A34264"/>
    <w:rsid w:val="00A36AD0"/>
    <w:rsid w:val="00A37253"/>
    <w:rsid w:val="00A37A02"/>
    <w:rsid w:val="00A40686"/>
    <w:rsid w:val="00A40CF0"/>
    <w:rsid w:val="00A41932"/>
    <w:rsid w:val="00A42826"/>
    <w:rsid w:val="00A439E5"/>
    <w:rsid w:val="00A43B11"/>
    <w:rsid w:val="00A452A5"/>
    <w:rsid w:val="00A47593"/>
    <w:rsid w:val="00A47B53"/>
    <w:rsid w:val="00A5011D"/>
    <w:rsid w:val="00A51BDF"/>
    <w:rsid w:val="00A53051"/>
    <w:rsid w:val="00A555B5"/>
    <w:rsid w:val="00A55725"/>
    <w:rsid w:val="00A557A7"/>
    <w:rsid w:val="00A5651D"/>
    <w:rsid w:val="00A61F1D"/>
    <w:rsid w:val="00A630CB"/>
    <w:rsid w:val="00A671C6"/>
    <w:rsid w:val="00A6755C"/>
    <w:rsid w:val="00A70015"/>
    <w:rsid w:val="00A72333"/>
    <w:rsid w:val="00A7360D"/>
    <w:rsid w:val="00A74DCE"/>
    <w:rsid w:val="00A75BBC"/>
    <w:rsid w:val="00A77C98"/>
    <w:rsid w:val="00A8080A"/>
    <w:rsid w:val="00A82B34"/>
    <w:rsid w:val="00A82BDA"/>
    <w:rsid w:val="00A82D75"/>
    <w:rsid w:val="00A82F56"/>
    <w:rsid w:val="00A82FA4"/>
    <w:rsid w:val="00A835D5"/>
    <w:rsid w:val="00A85ECD"/>
    <w:rsid w:val="00A85F64"/>
    <w:rsid w:val="00A87394"/>
    <w:rsid w:val="00A90869"/>
    <w:rsid w:val="00A93B22"/>
    <w:rsid w:val="00A93FB0"/>
    <w:rsid w:val="00AA2C20"/>
    <w:rsid w:val="00AA3F47"/>
    <w:rsid w:val="00AA4DCC"/>
    <w:rsid w:val="00AA69A9"/>
    <w:rsid w:val="00AA7BB2"/>
    <w:rsid w:val="00AB0420"/>
    <w:rsid w:val="00AB16F7"/>
    <w:rsid w:val="00AB1C35"/>
    <w:rsid w:val="00AB3C9A"/>
    <w:rsid w:val="00AB6EDF"/>
    <w:rsid w:val="00AB7525"/>
    <w:rsid w:val="00AC12B4"/>
    <w:rsid w:val="00AC1945"/>
    <w:rsid w:val="00AC3001"/>
    <w:rsid w:val="00AC43E1"/>
    <w:rsid w:val="00AC48D7"/>
    <w:rsid w:val="00AC710A"/>
    <w:rsid w:val="00AC71C5"/>
    <w:rsid w:val="00AD0782"/>
    <w:rsid w:val="00AD0CAA"/>
    <w:rsid w:val="00AD0E18"/>
    <w:rsid w:val="00AD0F36"/>
    <w:rsid w:val="00AD1486"/>
    <w:rsid w:val="00AD1AC8"/>
    <w:rsid w:val="00AD2B37"/>
    <w:rsid w:val="00AD6E76"/>
    <w:rsid w:val="00AD772F"/>
    <w:rsid w:val="00AE32A4"/>
    <w:rsid w:val="00AE4680"/>
    <w:rsid w:val="00AE487E"/>
    <w:rsid w:val="00AE77D9"/>
    <w:rsid w:val="00AF72F3"/>
    <w:rsid w:val="00B0008D"/>
    <w:rsid w:val="00B00423"/>
    <w:rsid w:val="00B01F1A"/>
    <w:rsid w:val="00B03C72"/>
    <w:rsid w:val="00B065BC"/>
    <w:rsid w:val="00B06C3B"/>
    <w:rsid w:val="00B0758B"/>
    <w:rsid w:val="00B07C64"/>
    <w:rsid w:val="00B07D60"/>
    <w:rsid w:val="00B11D42"/>
    <w:rsid w:val="00B11D63"/>
    <w:rsid w:val="00B12548"/>
    <w:rsid w:val="00B14853"/>
    <w:rsid w:val="00B15766"/>
    <w:rsid w:val="00B201EC"/>
    <w:rsid w:val="00B20BF9"/>
    <w:rsid w:val="00B219C0"/>
    <w:rsid w:val="00B22962"/>
    <w:rsid w:val="00B23155"/>
    <w:rsid w:val="00B2366F"/>
    <w:rsid w:val="00B27280"/>
    <w:rsid w:val="00B3184C"/>
    <w:rsid w:val="00B31BA3"/>
    <w:rsid w:val="00B33294"/>
    <w:rsid w:val="00B35C20"/>
    <w:rsid w:val="00B36420"/>
    <w:rsid w:val="00B4059D"/>
    <w:rsid w:val="00B4094E"/>
    <w:rsid w:val="00B423E1"/>
    <w:rsid w:val="00B429EA"/>
    <w:rsid w:val="00B43C98"/>
    <w:rsid w:val="00B44219"/>
    <w:rsid w:val="00B44B09"/>
    <w:rsid w:val="00B452D5"/>
    <w:rsid w:val="00B46CC9"/>
    <w:rsid w:val="00B50270"/>
    <w:rsid w:val="00B510F5"/>
    <w:rsid w:val="00B51C06"/>
    <w:rsid w:val="00B5356E"/>
    <w:rsid w:val="00B545C9"/>
    <w:rsid w:val="00B55D7F"/>
    <w:rsid w:val="00B56334"/>
    <w:rsid w:val="00B5664E"/>
    <w:rsid w:val="00B60A99"/>
    <w:rsid w:val="00B64F4B"/>
    <w:rsid w:val="00B6529F"/>
    <w:rsid w:val="00B65FA8"/>
    <w:rsid w:val="00B66542"/>
    <w:rsid w:val="00B67B01"/>
    <w:rsid w:val="00B67B0E"/>
    <w:rsid w:val="00B71F5E"/>
    <w:rsid w:val="00B74073"/>
    <w:rsid w:val="00B75691"/>
    <w:rsid w:val="00B75BF9"/>
    <w:rsid w:val="00B765D6"/>
    <w:rsid w:val="00B7695B"/>
    <w:rsid w:val="00B82848"/>
    <w:rsid w:val="00B848BE"/>
    <w:rsid w:val="00B85040"/>
    <w:rsid w:val="00B85050"/>
    <w:rsid w:val="00B855F5"/>
    <w:rsid w:val="00B90BA1"/>
    <w:rsid w:val="00B943CB"/>
    <w:rsid w:val="00B96249"/>
    <w:rsid w:val="00B97030"/>
    <w:rsid w:val="00B97F14"/>
    <w:rsid w:val="00BA206D"/>
    <w:rsid w:val="00BA3B9F"/>
    <w:rsid w:val="00BA4509"/>
    <w:rsid w:val="00BA4B15"/>
    <w:rsid w:val="00BB1BF1"/>
    <w:rsid w:val="00BB1CF1"/>
    <w:rsid w:val="00BB1D00"/>
    <w:rsid w:val="00BB726F"/>
    <w:rsid w:val="00BC00DF"/>
    <w:rsid w:val="00BC1D79"/>
    <w:rsid w:val="00BC2C54"/>
    <w:rsid w:val="00BC351D"/>
    <w:rsid w:val="00BC5F6D"/>
    <w:rsid w:val="00BC704A"/>
    <w:rsid w:val="00BC7CBD"/>
    <w:rsid w:val="00BD00B5"/>
    <w:rsid w:val="00BD1A67"/>
    <w:rsid w:val="00BD257B"/>
    <w:rsid w:val="00BD2F09"/>
    <w:rsid w:val="00BD6ED3"/>
    <w:rsid w:val="00BE0A33"/>
    <w:rsid w:val="00BE1629"/>
    <w:rsid w:val="00BE1FC4"/>
    <w:rsid w:val="00BE2399"/>
    <w:rsid w:val="00BE28AB"/>
    <w:rsid w:val="00BE2DEA"/>
    <w:rsid w:val="00BE2FAE"/>
    <w:rsid w:val="00BE3BA0"/>
    <w:rsid w:val="00BE4333"/>
    <w:rsid w:val="00BE483F"/>
    <w:rsid w:val="00BE4C90"/>
    <w:rsid w:val="00BF4DFA"/>
    <w:rsid w:val="00C00801"/>
    <w:rsid w:val="00C00F93"/>
    <w:rsid w:val="00C01C02"/>
    <w:rsid w:val="00C01E37"/>
    <w:rsid w:val="00C022B3"/>
    <w:rsid w:val="00C039C2"/>
    <w:rsid w:val="00C04872"/>
    <w:rsid w:val="00C054A3"/>
    <w:rsid w:val="00C0654D"/>
    <w:rsid w:val="00C06D10"/>
    <w:rsid w:val="00C07ED0"/>
    <w:rsid w:val="00C119F8"/>
    <w:rsid w:val="00C11F01"/>
    <w:rsid w:val="00C126EE"/>
    <w:rsid w:val="00C1272B"/>
    <w:rsid w:val="00C12A6A"/>
    <w:rsid w:val="00C13307"/>
    <w:rsid w:val="00C1354D"/>
    <w:rsid w:val="00C156C6"/>
    <w:rsid w:val="00C20362"/>
    <w:rsid w:val="00C224AC"/>
    <w:rsid w:val="00C22D18"/>
    <w:rsid w:val="00C232A9"/>
    <w:rsid w:val="00C24188"/>
    <w:rsid w:val="00C24739"/>
    <w:rsid w:val="00C24D71"/>
    <w:rsid w:val="00C26360"/>
    <w:rsid w:val="00C27408"/>
    <w:rsid w:val="00C27636"/>
    <w:rsid w:val="00C30D73"/>
    <w:rsid w:val="00C31DAF"/>
    <w:rsid w:val="00C3452F"/>
    <w:rsid w:val="00C35FE8"/>
    <w:rsid w:val="00C3677A"/>
    <w:rsid w:val="00C4000D"/>
    <w:rsid w:val="00C40756"/>
    <w:rsid w:val="00C40B0F"/>
    <w:rsid w:val="00C4159E"/>
    <w:rsid w:val="00C41DEC"/>
    <w:rsid w:val="00C41F69"/>
    <w:rsid w:val="00C43C3C"/>
    <w:rsid w:val="00C43DCC"/>
    <w:rsid w:val="00C44780"/>
    <w:rsid w:val="00C4698E"/>
    <w:rsid w:val="00C46BA0"/>
    <w:rsid w:val="00C46EB1"/>
    <w:rsid w:val="00C470DB"/>
    <w:rsid w:val="00C512B4"/>
    <w:rsid w:val="00C51FB9"/>
    <w:rsid w:val="00C527D8"/>
    <w:rsid w:val="00C53135"/>
    <w:rsid w:val="00C53609"/>
    <w:rsid w:val="00C53C3D"/>
    <w:rsid w:val="00C54E73"/>
    <w:rsid w:val="00C55E21"/>
    <w:rsid w:val="00C562FC"/>
    <w:rsid w:val="00C61F3A"/>
    <w:rsid w:val="00C63893"/>
    <w:rsid w:val="00C655F5"/>
    <w:rsid w:val="00C65B94"/>
    <w:rsid w:val="00C67110"/>
    <w:rsid w:val="00C70345"/>
    <w:rsid w:val="00C70F89"/>
    <w:rsid w:val="00C726B1"/>
    <w:rsid w:val="00C73092"/>
    <w:rsid w:val="00C7657C"/>
    <w:rsid w:val="00C77989"/>
    <w:rsid w:val="00C808BB"/>
    <w:rsid w:val="00C82151"/>
    <w:rsid w:val="00C83EFB"/>
    <w:rsid w:val="00C84444"/>
    <w:rsid w:val="00C84AC8"/>
    <w:rsid w:val="00C85571"/>
    <w:rsid w:val="00C875D3"/>
    <w:rsid w:val="00C91084"/>
    <w:rsid w:val="00C930E4"/>
    <w:rsid w:val="00C93D3F"/>
    <w:rsid w:val="00C95359"/>
    <w:rsid w:val="00C96E66"/>
    <w:rsid w:val="00CA0C2F"/>
    <w:rsid w:val="00CA0D5F"/>
    <w:rsid w:val="00CA1014"/>
    <w:rsid w:val="00CA1C04"/>
    <w:rsid w:val="00CA1C50"/>
    <w:rsid w:val="00CA1D1F"/>
    <w:rsid w:val="00CA239E"/>
    <w:rsid w:val="00CA328B"/>
    <w:rsid w:val="00CA3396"/>
    <w:rsid w:val="00CA434F"/>
    <w:rsid w:val="00CA4E22"/>
    <w:rsid w:val="00CA5F7E"/>
    <w:rsid w:val="00CA6A3D"/>
    <w:rsid w:val="00CA6C2E"/>
    <w:rsid w:val="00CB0059"/>
    <w:rsid w:val="00CB21B1"/>
    <w:rsid w:val="00CB5F21"/>
    <w:rsid w:val="00CB6D59"/>
    <w:rsid w:val="00CC1642"/>
    <w:rsid w:val="00CC1972"/>
    <w:rsid w:val="00CC1E6F"/>
    <w:rsid w:val="00CC310C"/>
    <w:rsid w:val="00CC3738"/>
    <w:rsid w:val="00CD08D5"/>
    <w:rsid w:val="00CD0E22"/>
    <w:rsid w:val="00CD1F45"/>
    <w:rsid w:val="00CD2EF8"/>
    <w:rsid w:val="00CD6ABE"/>
    <w:rsid w:val="00CE0316"/>
    <w:rsid w:val="00CE1E55"/>
    <w:rsid w:val="00CE36BA"/>
    <w:rsid w:val="00CE3E81"/>
    <w:rsid w:val="00CE4750"/>
    <w:rsid w:val="00CE543C"/>
    <w:rsid w:val="00CF08AA"/>
    <w:rsid w:val="00CF1825"/>
    <w:rsid w:val="00CF3611"/>
    <w:rsid w:val="00CF379A"/>
    <w:rsid w:val="00CF49DC"/>
    <w:rsid w:val="00CF5AA2"/>
    <w:rsid w:val="00CF5F0D"/>
    <w:rsid w:val="00CF611B"/>
    <w:rsid w:val="00CF7E1A"/>
    <w:rsid w:val="00D0058B"/>
    <w:rsid w:val="00D007D4"/>
    <w:rsid w:val="00D00A38"/>
    <w:rsid w:val="00D00BD9"/>
    <w:rsid w:val="00D0228B"/>
    <w:rsid w:val="00D0251C"/>
    <w:rsid w:val="00D028D9"/>
    <w:rsid w:val="00D03636"/>
    <w:rsid w:val="00D054C9"/>
    <w:rsid w:val="00D0658B"/>
    <w:rsid w:val="00D11CC5"/>
    <w:rsid w:val="00D135AE"/>
    <w:rsid w:val="00D154A2"/>
    <w:rsid w:val="00D1651E"/>
    <w:rsid w:val="00D17511"/>
    <w:rsid w:val="00D17A05"/>
    <w:rsid w:val="00D222DA"/>
    <w:rsid w:val="00D22360"/>
    <w:rsid w:val="00D25834"/>
    <w:rsid w:val="00D26ADC"/>
    <w:rsid w:val="00D315A1"/>
    <w:rsid w:val="00D33000"/>
    <w:rsid w:val="00D33CB7"/>
    <w:rsid w:val="00D34223"/>
    <w:rsid w:val="00D343C3"/>
    <w:rsid w:val="00D34C3D"/>
    <w:rsid w:val="00D36103"/>
    <w:rsid w:val="00D36AF2"/>
    <w:rsid w:val="00D37741"/>
    <w:rsid w:val="00D4168B"/>
    <w:rsid w:val="00D4217A"/>
    <w:rsid w:val="00D42679"/>
    <w:rsid w:val="00D430D5"/>
    <w:rsid w:val="00D43D86"/>
    <w:rsid w:val="00D4482F"/>
    <w:rsid w:val="00D44A40"/>
    <w:rsid w:val="00D45719"/>
    <w:rsid w:val="00D46F15"/>
    <w:rsid w:val="00D50E5B"/>
    <w:rsid w:val="00D52281"/>
    <w:rsid w:val="00D536F9"/>
    <w:rsid w:val="00D57011"/>
    <w:rsid w:val="00D624C3"/>
    <w:rsid w:val="00D6281C"/>
    <w:rsid w:val="00D64009"/>
    <w:rsid w:val="00D64218"/>
    <w:rsid w:val="00D66587"/>
    <w:rsid w:val="00D669F8"/>
    <w:rsid w:val="00D76E97"/>
    <w:rsid w:val="00D774F6"/>
    <w:rsid w:val="00D77727"/>
    <w:rsid w:val="00D77DDF"/>
    <w:rsid w:val="00D82770"/>
    <w:rsid w:val="00D83C78"/>
    <w:rsid w:val="00D851C0"/>
    <w:rsid w:val="00D85497"/>
    <w:rsid w:val="00D85678"/>
    <w:rsid w:val="00D85BB9"/>
    <w:rsid w:val="00D922D8"/>
    <w:rsid w:val="00D92993"/>
    <w:rsid w:val="00D931BB"/>
    <w:rsid w:val="00D937FC"/>
    <w:rsid w:val="00D97721"/>
    <w:rsid w:val="00DA2341"/>
    <w:rsid w:val="00DA3221"/>
    <w:rsid w:val="00DA33E8"/>
    <w:rsid w:val="00DA35B7"/>
    <w:rsid w:val="00DA57EC"/>
    <w:rsid w:val="00DA5AC2"/>
    <w:rsid w:val="00DA61EF"/>
    <w:rsid w:val="00DB0352"/>
    <w:rsid w:val="00DB20ED"/>
    <w:rsid w:val="00DB2FC0"/>
    <w:rsid w:val="00DB584E"/>
    <w:rsid w:val="00DB5A23"/>
    <w:rsid w:val="00DC3472"/>
    <w:rsid w:val="00DC35CF"/>
    <w:rsid w:val="00DC3B15"/>
    <w:rsid w:val="00DC3BC3"/>
    <w:rsid w:val="00DC421B"/>
    <w:rsid w:val="00DC47B1"/>
    <w:rsid w:val="00DC61B4"/>
    <w:rsid w:val="00DC7EFA"/>
    <w:rsid w:val="00DD09DA"/>
    <w:rsid w:val="00DD0AA2"/>
    <w:rsid w:val="00DD18F1"/>
    <w:rsid w:val="00DD34A1"/>
    <w:rsid w:val="00DD5DC1"/>
    <w:rsid w:val="00DD7CEB"/>
    <w:rsid w:val="00DE19E4"/>
    <w:rsid w:val="00DE2405"/>
    <w:rsid w:val="00DE511B"/>
    <w:rsid w:val="00DE7710"/>
    <w:rsid w:val="00DF07E3"/>
    <w:rsid w:val="00DF0D23"/>
    <w:rsid w:val="00DF1901"/>
    <w:rsid w:val="00DF2167"/>
    <w:rsid w:val="00DF2568"/>
    <w:rsid w:val="00DF36F0"/>
    <w:rsid w:val="00DF3E5A"/>
    <w:rsid w:val="00DF414D"/>
    <w:rsid w:val="00DF4E43"/>
    <w:rsid w:val="00DF66BA"/>
    <w:rsid w:val="00E00038"/>
    <w:rsid w:val="00E00CC1"/>
    <w:rsid w:val="00E00CC8"/>
    <w:rsid w:val="00E00D0A"/>
    <w:rsid w:val="00E01489"/>
    <w:rsid w:val="00E020F8"/>
    <w:rsid w:val="00E048B2"/>
    <w:rsid w:val="00E04FEF"/>
    <w:rsid w:val="00E05358"/>
    <w:rsid w:val="00E07860"/>
    <w:rsid w:val="00E117DD"/>
    <w:rsid w:val="00E14537"/>
    <w:rsid w:val="00E14B7E"/>
    <w:rsid w:val="00E15D22"/>
    <w:rsid w:val="00E170EC"/>
    <w:rsid w:val="00E176D2"/>
    <w:rsid w:val="00E213FF"/>
    <w:rsid w:val="00E21498"/>
    <w:rsid w:val="00E21C4A"/>
    <w:rsid w:val="00E22EB8"/>
    <w:rsid w:val="00E23856"/>
    <w:rsid w:val="00E23F7D"/>
    <w:rsid w:val="00E2496E"/>
    <w:rsid w:val="00E25512"/>
    <w:rsid w:val="00E25CB3"/>
    <w:rsid w:val="00E261BC"/>
    <w:rsid w:val="00E265F2"/>
    <w:rsid w:val="00E30E2C"/>
    <w:rsid w:val="00E3157C"/>
    <w:rsid w:val="00E34492"/>
    <w:rsid w:val="00E34C56"/>
    <w:rsid w:val="00E3646F"/>
    <w:rsid w:val="00E365A9"/>
    <w:rsid w:val="00E376DD"/>
    <w:rsid w:val="00E3785E"/>
    <w:rsid w:val="00E418B1"/>
    <w:rsid w:val="00E42B39"/>
    <w:rsid w:val="00E4382D"/>
    <w:rsid w:val="00E449F2"/>
    <w:rsid w:val="00E45B05"/>
    <w:rsid w:val="00E46232"/>
    <w:rsid w:val="00E47EE5"/>
    <w:rsid w:val="00E50C22"/>
    <w:rsid w:val="00E50CE4"/>
    <w:rsid w:val="00E5375A"/>
    <w:rsid w:val="00E55C93"/>
    <w:rsid w:val="00E56FB8"/>
    <w:rsid w:val="00E6031A"/>
    <w:rsid w:val="00E60B71"/>
    <w:rsid w:val="00E62247"/>
    <w:rsid w:val="00E64E01"/>
    <w:rsid w:val="00E65D35"/>
    <w:rsid w:val="00E6601F"/>
    <w:rsid w:val="00E67F2A"/>
    <w:rsid w:val="00E70169"/>
    <w:rsid w:val="00E71A9A"/>
    <w:rsid w:val="00E71B93"/>
    <w:rsid w:val="00E7239E"/>
    <w:rsid w:val="00E8029F"/>
    <w:rsid w:val="00E816EF"/>
    <w:rsid w:val="00E81C62"/>
    <w:rsid w:val="00E82843"/>
    <w:rsid w:val="00E90D9C"/>
    <w:rsid w:val="00E94CB2"/>
    <w:rsid w:val="00E96539"/>
    <w:rsid w:val="00E96995"/>
    <w:rsid w:val="00EA2323"/>
    <w:rsid w:val="00EA2D3F"/>
    <w:rsid w:val="00EA3AE3"/>
    <w:rsid w:val="00EA5FBA"/>
    <w:rsid w:val="00EA73EF"/>
    <w:rsid w:val="00EB1481"/>
    <w:rsid w:val="00EB1518"/>
    <w:rsid w:val="00EB45E8"/>
    <w:rsid w:val="00EB4944"/>
    <w:rsid w:val="00EB4B67"/>
    <w:rsid w:val="00EB65F9"/>
    <w:rsid w:val="00EB6E07"/>
    <w:rsid w:val="00EB73CA"/>
    <w:rsid w:val="00EB792D"/>
    <w:rsid w:val="00EC1A30"/>
    <w:rsid w:val="00EC2E36"/>
    <w:rsid w:val="00EC3B50"/>
    <w:rsid w:val="00EC76AB"/>
    <w:rsid w:val="00ED14D6"/>
    <w:rsid w:val="00ED29EF"/>
    <w:rsid w:val="00ED2CD7"/>
    <w:rsid w:val="00ED4E6D"/>
    <w:rsid w:val="00ED51D6"/>
    <w:rsid w:val="00ED5BA1"/>
    <w:rsid w:val="00ED691B"/>
    <w:rsid w:val="00EE0101"/>
    <w:rsid w:val="00EE4447"/>
    <w:rsid w:val="00EE7666"/>
    <w:rsid w:val="00EE7B49"/>
    <w:rsid w:val="00EF03F6"/>
    <w:rsid w:val="00EF1316"/>
    <w:rsid w:val="00EF3AB0"/>
    <w:rsid w:val="00EF503A"/>
    <w:rsid w:val="00EF55A7"/>
    <w:rsid w:val="00EF625A"/>
    <w:rsid w:val="00EF6344"/>
    <w:rsid w:val="00EF71D4"/>
    <w:rsid w:val="00F002A9"/>
    <w:rsid w:val="00F027C3"/>
    <w:rsid w:val="00F02F40"/>
    <w:rsid w:val="00F04015"/>
    <w:rsid w:val="00F0707B"/>
    <w:rsid w:val="00F07259"/>
    <w:rsid w:val="00F078E9"/>
    <w:rsid w:val="00F13EB2"/>
    <w:rsid w:val="00F13F1A"/>
    <w:rsid w:val="00F16F42"/>
    <w:rsid w:val="00F20614"/>
    <w:rsid w:val="00F20C85"/>
    <w:rsid w:val="00F212DB"/>
    <w:rsid w:val="00F2309C"/>
    <w:rsid w:val="00F23C15"/>
    <w:rsid w:val="00F23ED5"/>
    <w:rsid w:val="00F25E09"/>
    <w:rsid w:val="00F2687D"/>
    <w:rsid w:val="00F27B8B"/>
    <w:rsid w:val="00F27C40"/>
    <w:rsid w:val="00F30756"/>
    <w:rsid w:val="00F31807"/>
    <w:rsid w:val="00F31F1A"/>
    <w:rsid w:val="00F32709"/>
    <w:rsid w:val="00F32C37"/>
    <w:rsid w:val="00F335D4"/>
    <w:rsid w:val="00F344A9"/>
    <w:rsid w:val="00F36FC3"/>
    <w:rsid w:val="00F375EE"/>
    <w:rsid w:val="00F41465"/>
    <w:rsid w:val="00F426FC"/>
    <w:rsid w:val="00F43CF5"/>
    <w:rsid w:val="00F51332"/>
    <w:rsid w:val="00F515E6"/>
    <w:rsid w:val="00F5270C"/>
    <w:rsid w:val="00F5334A"/>
    <w:rsid w:val="00F54E66"/>
    <w:rsid w:val="00F55094"/>
    <w:rsid w:val="00F601E9"/>
    <w:rsid w:val="00F61CC8"/>
    <w:rsid w:val="00F62096"/>
    <w:rsid w:val="00F64525"/>
    <w:rsid w:val="00F668AC"/>
    <w:rsid w:val="00F67DFB"/>
    <w:rsid w:val="00F71533"/>
    <w:rsid w:val="00F7790C"/>
    <w:rsid w:val="00F81D90"/>
    <w:rsid w:val="00F83DDC"/>
    <w:rsid w:val="00F85B1F"/>
    <w:rsid w:val="00F85D93"/>
    <w:rsid w:val="00F85FC9"/>
    <w:rsid w:val="00F861AB"/>
    <w:rsid w:val="00F90B29"/>
    <w:rsid w:val="00F923F1"/>
    <w:rsid w:val="00F924EF"/>
    <w:rsid w:val="00F92720"/>
    <w:rsid w:val="00F93533"/>
    <w:rsid w:val="00F939DC"/>
    <w:rsid w:val="00F95014"/>
    <w:rsid w:val="00F96261"/>
    <w:rsid w:val="00F96E32"/>
    <w:rsid w:val="00FA212D"/>
    <w:rsid w:val="00FA25E7"/>
    <w:rsid w:val="00FA4CB1"/>
    <w:rsid w:val="00FA4CC7"/>
    <w:rsid w:val="00FA5489"/>
    <w:rsid w:val="00FA549E"/>
    <w:rsid w:val="00FA5564"/>
    <w:rsid w:val="00FA60A0"/>
    <w:rsid w:val="00FB2CC3"/>
    <w:rsid w:val="00FB2D2C"/>
    <w:rsid w:val="00FB2DA0"/>
    <w:rsid w:val="00FB50B1"/>
    <w:rsid w:val="00FB64F2"/>
    <w:rsid w:val="00FC1BCC"/>
    <w:rsid w:val="00FC3B85"/>
    <w:rsid w:val="00FC5526"/>
    <w:rsid w:val="00FC6A13"/>
    <w:rsid w:val="00FD11E8"/>
    <w:rsid w:val="00FD2C42"/>
    <w:rsid w:val="00FD3226"/>
    <w:rsid w:val="00FD3295"/>
    <w:rsid w:val="00FD56BC"/>
    <w:rsid w:val="00FD7414"/>
    <w:rsid w:val="00FD7F25"/>
    <w:rsid w:val="00FE12BE"/>
    <w:rsid w:val="00FE147B"/>
    <w:rsid w:val="00FE14C2"/>
    <w:rsid w:val="00FE40CF"/>
    <w:rsid w:val="00FE4FD3"/>
    <w:rsid w:val="00FE64E2"/>
    <w:rsid w:val="00FE6D2B"/>
    <w:rsid w:val="00FE7195"/>
    <w:rsid w:val="00FF104E"/>
    <w:rsid w:val="00FF14F8"/>
    <w:rsid w:val="00FF56D8"/>
    <w:rsid w:val="00FF5BF2"/>
    <w:rsid w:val="00FF5CA7"/>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2A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C Normal"/>
    <w:rsid w:val="009C34E5"/>
    <w:rPr>
      <w:rFonts w:ascii="Calibri" w:hAnsi="Calibri" w:cs="Calibri"/>
      <w:color w:val="000000" w:themeColor="text1"/>
    </w:rPr>
  </w:style>
  <w:style w:type="paragraph" w:styleId="Heading1">
    <w:name w:val="heading 1"/>
    <w:next w:val="RECnormaltext"/>
    <w:link w:val="Heading1Char"/>
    <w:qFormat/>
    <w:rsid w:val="00B65FA8"/>
    <w:pPr>
      <w:keepNext/>
      <w:keepLines/>
      <w:numPr>
        <w:numId w:val="5"/>
      </w:numPr>
      <w:spacing w:before="240" w:after="240"/>
      <w:ind w:left="567" w:hanging="567"/>
      <w:outlineLvl w:val="0"/>
    </w:pPr>
    <w:rPr>
      <w:rFonts w:eastAsiaTheme="majorEastAsia" w:cstheme="majorBidi"/>
      <w:b/>
      <w:bCs/>
      <w:color w:val="92D050"/>
      <w:sz w:val="28"/>
      <w:szCs w:val="28"/>
    </w:rPr>
  </w:style>
  <w:style w:type="paragraph" w:styleId="Heading2">
    <w:name w:val="heading 2"/>
    <w:basedOn w:val="Heading1"/>
    <w:next w:val="RECnormaltext"/>
    <w:link w:val="Heading2Char"/>
    <w:unhideWhenUsed/>
    <w:qFormat/>
    <w:rsid w:val="00F32C37"/>
    <w:pPr>
      <w:numPr>
        <w:ilvl w:val="1"/>
      </w:numPr>
      <w:spacing w:before="120" w:after="120"/>
      <w:ind w:left="709" w:hanging="709"/>
      <w:outlineLvl w:val="1"/>
    </w:pPr>
    <w:rPr>
      <w:bCs w:val="0"/>
      <w:sz w:val="26"/>
      <w:szCs w:val="26"/>
    </w:rPr>
  </w:style>
  <w:style w:type="paragraph" w:styleId="Heading3">
    <w:name w:val="heading 3"/>
    <w:basedOn w:val="Heading2"/>
    <w:next w:val="RECnormaltext"/>
    <w:link w:val="Heading3Char"/>
    <w:uiPriority w:val="9"/>
    <w:unhideWhenUsed/>
    <w:qFormat/>
    <w:rsid w:val="00803DCB"/>
    <w:pPr>
      <w:numPr>
        <w:ilvl w:val="2"/>
        <w:numId w:val="6"/>
      </w:numPr>
      <w:outlineLvl w:val="2"/>
    </w:pPr>
    <w:rPr>
      <w:bCs/>
      <w:sz w:val="24"/>
    </w:rPr>
  </w:style>
  <w:style w:type="paragraph" w:styleId="Heading4">
    <w:name w:val="heading 4"/>
    <w:basedOn w:val="Heading3"/>
    <w:next w:val="Normal"/>
    <w:link w:val="Heading4Char"/>
    <w:autoRedefine/>
    <w:uiPriority w:val="9"/>
    <w:unhideWhenUsed/>
    <w:qFormat/>
    <w:rsid w:val="003C5D8C"/>
    <w:pPr>
      <w:numPr>
        <w:ilvl w:val="3"/>
      </w:numPr>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5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6D8"/>
  </w:style>
  <w:style w:type="paragraph" w:styleId="Footer">
    <w:name w:val="footer"/>
    <w:basedOn w:val="Normal"/>
    <w:link w:val="FooterChar"/>
    <w:uiPriority w:val="3"/>
    <w:unhideWhenUsed/>
    <w:rsid w:val="00FF56D8"/>
    <w:pPr>
      <w:tabs>
        <w:tab w:val="center" w:pos="4513"/>
        <w:tab w:val="right" w:pos="9026"/>
      </w:tabs>
      <w:spacing w:after="0" w:line="240" w:lineRule="auto"/>
    </w:pPr>
  </w:style>
  <w:style w:type="character" w:customStyle="1" w:styleId="FooterChar">
    <w:name w:val="Footer Char"/>
    <w:basedOn w:val="DefaultParagraphFont"/>
    <w:link w:val="Footer"/>
    <w:uiPriority w:val="3"/>
    <w:rsid w:val="00FF56D8"/>
  </w:style>
  <w:style w:type="paragraph" w:styleId="BalloonText">
    <w:name w:val="Balloon Text"/>
    <w:basedOn w:val="Normal"/>
    <w:link w:val="BalloonTextChar"/>
    <w:uiPriority w:val="99"/>
    <w:semiHidden/>
    <w:unhideWhenUsed/>
    <w:rsid w:val="00FF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D8"/>
    <w:rPr>
      <w:rFonts w:ascii="Tahoma" w:hAnsi="Tahoma" w:cs="Tahoma"/>
      <w:sz w:val="16"/>
      <w:szCs w:val="16"/>
    </w:rPr>
  </w:style>
  <w:style w:type="paragraph" w:styleId="Title">
    <w:name w:val="Title"/>
    <w:basedOn w:val="Normal"/>
    <w:next w:val="Normal"/>
    <w:link w:val="TitleChar"/>
    <w:uiPriority w:val="10"/>
    <w:qFormat/>
    <w:rsid w:val="00FF56D8"/>
    <w:pPr>
      <w:pBdr>
        <w:bottom w:val="single" w:sz="4" w:space="1" w:color="92D050"/>
      </w:pBdr>
      <w:spacing w:before="1240" w:after="1360" w:line="240" w:lineRule="auto"/>
    </w:pPr>
    <w:rPr>
      <w:rFonts w:ascii="DINPro-Bold" w:eastAsia="Times New Roman" w:hAnsi="DINPro-Bold"/>
      <w:b/>
      <w:color w:val="92D050"/>
      <w:sz w:val="48"/>
      <w:szCs w:val="48"/>
    </w:rPr>
  </w:style>
  <w:style w:type="character" w:customStyle="1" w:styleId="TitleChar">
    <w:name w:val="Title Char"/>
    <w:basedOn w:val="DefaultParagraphFont"/>
    <w:link w:val="Title"/>
    <w:uiPriority w:val="10"/>
    <w:rsid w:val="00FF56D8"/>
    <w:rPr>
      <w:rFonts w:ascii="DINPro-Bold" w:eastAsia="Times New Roman" w:hAnsi="DINPro-Bold" w:cs="Calibri"/>
      <w:b/>
      <w:color w:val="92D050"/>
      <w:sz w:val="48"/>
      <w:szCs w:val="48"/>
    </w:rPr>
  </w:style>
  <w:style w:type="paragraph" w:customStyle="1" w:styleId="Client">
    <w:name w:val="Client"/>
    <w:next w:val="Normal"/>
    <w:link w:val="ClientChar"/>
    <w:uiPriority w:val="99"/>
    <w:semiHidden/>
    <w:rsid w:val="00FF56D8"/>
    <w:pPr>
      <w:spacing w:after="4320" w:line="240" w:lineRule="auto"/>
    </w:pPr>
    <w:rPr>
      <w:rFonts w:ascii="Arial Rounded MT Bold" w:eastAsia="Times New Roman" w:hAnsi="Arial Rounded MT Bold" w:cs="Arial"/>
      <w:b/>
      <w:color w:val="0000FF"/>
      <w:sz w:val="36"/>
      <w:szCs w:val="36"/>
    </w:rPr>
  </w:style>
  <w:style w:type="character" w:customStyle="1" w:styleId="Grey">
    <w:name w:val="Grey"/>
    <w:uiPriority w:val="99"/>
    <w:semiHidden/>
    <w:rsid w:val="00FF56D8"/>
    <w:rPr>
      <w:rFonts w:cs="Times New Roman"/>
      <w:color w:val="A6A6A6"/>
    </w:rPr>
  </w:style>
  <w:style w:type="paragraph" w:customStyle="1" w:styleId="SubTitle0">
    <w:name w:val="Sub Title"/>
    <w:basedOn w:val="Client"/>
    <w:link w:val="SubTitleChar"/>
    <w:autoRedefine/>
    <w:qFormat/>
    <w:rsid w:val="00C3452F"/>
    <w:pPr>
      <w:spacing w:after="240"/>
    </w:pPr>
    <w:rPr>
      <w:rFonts w:asciiTheme="minorHAnsi" w:hAnsiTheme="minorHAnsi"/>
      <w:color w:val="92D050"/>
    </w:rPr>
  </w:style>
  <w:style w:type="paragraph" w:customStyle="1" w:styleId="Subsubtitle">
    <w:name w:val="Subsubtitle"/>
    <w:link w:val="SubsubtitleChar"/>
    <w:uiPriority w:val="99"/>
    <w:semiHidden/>
    <w:rsid w:val="00FF56D8"/>
    <w:pPr>
      <w:spacing w:after="0" w:line="240" w:lineRule="auto"/>
    </w:pPr>
    <w:rPr>
      <w:rFonts w:ascii="Arial Rounded MT Bold" w:eastAsia="Times New Roman" w:hAnsi="Arial Rounded MT Bold" w:cs="Arial"/>
      <w:b/>
      <w:color w:val="0000FF"/>
      <w:sz w:val="20"/>
    </w:rPr>
  </w:style>
  <w:style w:type="character" w:customStyle="1" w:styleId="ClientChar">
    <w:name w:val="Client Char"/>
    <w:basedOn w:val="DefaultParagraphFont"/>
    <w:link w:val="Client"/>
    <w:uiPriority w:val="99"/>
    <w:semiHidden/>
    <w:rsid w:val="00FF56D8"/>
    <w:rPr>
      <w:rFonts w:ascii="Arial Rounded MT Bold" w:eastAsia="Times New Roman" w:hAnsi="Arial Rounded MT Bold" w:cs="Arial"/>
      <w:b/>
      <w:color w:val="0000FF"/>
      <w:sz w:val="36"/>
      <w:szCs w:val="36"/>
    </w:rPr>
  </w:style>
  <w:style w:type="character" w:customStyle="1" w:styleId="SubTitleChar">
    <w:name w:val="Sub Title Char"/>
    <w:basedOn w:val="ClientChar"/>
    <w:link w:val="SubTitle0"/>
    <w:rsid w:val="00C3452F"/>
    <w:rPr>
      <w:rFonts w:ascii="Arial Rounded MT Bold" w:eastAsia="Times New Roman" w:hAnsi="Arial Rounded MT Bold" w:cs="Arial"/>
      <w:b/>
      <w:color w:val="92D050"/>
      <w:sz w:val="36"/>
      <w:szCs w:val="36"/>
    </w:rPr>
  </w:style>
  <w:style w:type="character" w:customStyle="1" w:styleId="SubsubtitleChar">
    <w:name w:val="Subsubtitle Char"/>
    <w:link w:val="Subsubtitle"/>
    <w:uiPriority w:val="99"/>
    <w:semiHidden/>
    <w:locked/>
    <w:rsid w:val="00FF56D8"/>
    <w:rPr>
      <w:rFonts w:ascii="Arial Rounded MT Bold" w:eastAsia="Times New Roman" w:hAnsi="Arial Rounded MT Bold" w:cs="Arial"/>
      <w:b/>
      <w:color w:val="0000FF"/>
      <w:sz w:val="20"/>
    </w:rPr>
  </w:style>
  <w:style w:type="paragraph" w:customStyle="1" w:styleId="NonTOCHeading3">
    <w:name w:val="Non TOC Heading 3"/>
    <w:basedOn w:val="Subsubtitle"/>
    <w:next w:val="RECnormaltext"/>
    <w:link w:val="NonTOCHeading3Char"/>
    <w:autoRedefine/>
    <w:qFormat/>
    <w:rsid w:val="00047982"/>
    <w:pPr>
      <w:spacing w:before="120" w:after="120"/>
    </w:pPr>
    <w:rPr>
      <w:rFonts w:asciiTheme="minorHAnsi" w:eastAsiaTheme="minorHAnsi" w:hAnsiTheme="minorHAnsi"/>
      <w:color w:val="92D050"/>
      <w:sz w:val="24"/>
      <w:szCs w:val="24"/>
    </w:rPr>
  </w:style>
  <w:style w:type="paragraph" w:customStyle="1" w:styleId="SectionHeader">
    <w:name w:val="Section Header"/>
    <w:link w:val="SectionHeaderChar"/>
    <w:uiPriority w:val="99"/>
    <w:rsid w:val="009D04CB"/>
    <w:pPr>
      <w:spacing w:after="360" w:line="240" w:lineRule="auto"/>
    </w:pPr>
    <w:rPr>
      <w:rFonts w:ascii="DINPro-Bold" w:eastAsia="Times New Roman" w:hAnsi="DINPro-Bold" w:cs="Arial"/>
      <w:b/>
      <w:color w:val="92D050"/>
      <w:sz w:val="36"/>
      <w:szCs w:val="36"/>
    </w:rPr>
  </w:style>
  <w:style w:type="character" w:customStyle="1" w:styleId="NonTOCHeading3Char">
    <w:name w:val="Non TOC Heading 3 Char"/>
    <w:basedOn w:val="SubsubtitleChar"/>
    <w:link w:val="NonTOCHeading3"/>
    <w:rsid w:val="00047982"/>
    <w:rPr>
      <w:rFonts w:ascii="Arial Rounded MT Bold" w:eastAsia="Times New Roman" w:hAnsi="Arial Rounded MT Bold" w:cs="Arial"/>
      <w:b/>
      <w:color w:val="92D050"/>
      <w:sz w:val="24"/>
      <w:szCs w:val="24"/>
    </w:rPr>
  </w:style>
  <w:style w:type="paragraph" w:customStyle="1" w:styleId="Titlepagetext">
    <w:name w:val="Title page text"/>
    <w:basedOn w:val="Normal"/>
    <w:link w:val="TitlepagetextChar"/>
    <w:uiPriority w:val="99"/>
    <w:semiHidden/>
    <w:rsid w:val="009D04CB"/>
    <w:pPr>
      <w:spacing w:after="0" w:line="240" w:lineRule="auto"/>
    </w:pPr>
    <w:rPr>
      <w:rFonts w:eastAsia="Times New Roman" w:cs="Arial"/>
      <w:b/>
      <w:color w:val="0000FF"/>
      <w:sz w:val="20"/>
      <w:szCs w:val="20"/>
    </w:rPr>
  </w:style>
  <w:style w:type="character" w:customStyle="1" w:styleId="TitlepagetextChar">
    <w:name w:val="Title page text Char"/>
    <w:link w:val="Titlepagetext"/>
    <w:uiPriority w:val="99"/>
    <w:semiHidden/>
    <w:locked/>
    <w:rsid w:val="009D04CB"/>
    <w:rPr>
      <w:rFonts w:ascii="Calibri" w:eastAsia="Times New Roman" w:hAnsi="Calibri" w:cs="Arial"/>
      <w:b/>
      <w:color w:val="0000FF"/>
      <w:sz w:val="20"/>
      <w:szCs w:val="20"/>
    </w:rPr>
  </w:style>
  <w:style w:type="paragraph" w:customStyle="1" w:styleId="NonTOCHeading2">
    <w:name w:val="Non TOC Heading 2"/>
    <w:basedOn w:val="SectionHeader"/>
    <w:link w:val="NonTOCHeading2Char"/>
    <w:qFormat/>
    <w:rsid w:val="00AC71C5"/>
    <w:rPr>
      <w:rFonts w:asciiTheme="minorHAnsi" w:hAnsiTheme="minorHAnsi"/>
      <w:sz w:val="28"/>
    </w:rPr>
  </w:style>
  <w:style w:type="paragraph" w:customStyle="1" w:styleId="RECnormaltext">
    <w:name w:val="REC normal text"/>
    <w:link w:val="RECnormaltextChar"/>
    <w:qFormat/>
    <w:rsid w:val="00AF72F3"/>
    <w:pPr>
      <w:spacing w:after="80"/>
    </w:pPr>
    <w:rPr>
      <w:rFonts w:cs="Arial"/>
      <w:szCs w:val="20"/>
    </w:rPr>
  </w:style>
  <w:style w:type="character" w:customStyle="1" w:styleId="SectionHeaderChar">
    <w:name w:val="Section Header Char"/>
    <w:basedOn w:val="DefaultParagraphFont"/>
    <w:link w:val="SectionHeader"/>
    <w:uiPriority w:val="99"/>
    <w:rsid w:val="009D04CB"/>
    <w:rPr>
      <w:rFonts w:ascii="DINPro-Bold" w:eastAsia="Times New Roman" w:hAnsi="DINPro-Bold" w:cs="Arial"/>
      <w:b/>
      <w:color w:val="92D050"/>
      <w:sz w:val="36"/>
      <w:szCs w:val="36"/>
    </w:rPr>
  </w:style>
  <w:style w:type="character" w:customStyle="1" w:styleId="NonTOCHeading2Char">
    <w:name w:val="Non TOC Heading 2 Char"/>
    <w:basedOn w:val="SectionHeaderChar"/>
    <w:link w:val="NonTOCHeading2"/>
    <w:rsid w:val="00AC71C5"/>
    <w:rPr>
      <w:rFonts w:ascii="DINPro-Bold" w:eastAsia="Times New Roman" w:hAnsi="DINPro-Bold" w:cs="Arial"/>
      <w:b/>
      <w:color w:val="92D050"/>
      <w:sz w:val="28"/>
      <w:szCs w:val="36"/>
    </w:rPr>
  </w:style>
  <w:style w:type="character" w:customStyle="1" w:styleId="RECnormaltextChar">
    <w:name w:val="REC normal text Char"/>
    <w:basedOn w:val="DefaultParagraphFont"/>
    <w:link w:val="RECnormaltext"/>
    <w:rsid w:val="00AF72F3"/>
    <w:rPr>
      <w:rFonts w:cs="Arial"/>
      <w:szCs w:val="20"/>
    </w:rPr>
  </w:style>
  <w:style w:type="paragraph" w:customStyle="1" w:styleId="FooterOdd">
    <w:name w:val="Footer Odd"/>
    <w:basedOn w:val="Normal"/>
    <w:rsid w:val="00CA6C2E"/>
    <w:pPr>
      <w:pBdr>
        <w:top w:val="single" w:sz="4" w:space="1" w:color="4F81BD" w:themeColor="accent1"/>
      </w:pBdr>
      <w:spacing w:after="180" w:line="264" w:lineRule="auto"/>
      <w:jc w:val="right"/>
    </w:pPr>
    <w:rPr>
      <w:rFonts w:cs="Times New Roman"/>
      <w:sz w:val="16"/>
      <w:szCs w:val="20"/>
      <w:lang w:val="en-US" w:eastAsia="ja-JP"/>
    </w:rPr>
  </w:style>
  <w:style w:type="character" w:styleId="PageNumber">
    <w:name w:val="page number"/>
    <w:rsid w:val="00F002A9"/>
    <w:rPr>
      <w:rFonts w:cs="Times New Roman"/>
    </w:rPr>
  </w:style>
  <w:style w:type="paragraph" w:customStyle="1" w:styleId="Contentsheader">
    <w:name w:val="Contents header"/>
    <w:basedOn w:val="Normal"/>
    <w:link w:val="ContentsheaderChar"/>
    <w:uiPriority w:val="99"/>
    <w:semiHidden/>
    <w:rsid w:val="00A2635D"/>
    <w:pPr>
      <w:spacing w:after="240" w:line="240" w:lineRule="auto"/>
    </w:pPr>
    <w:rPr>
      <w:rFonts w:eastAsia="Times New Roman" w:cs="Arial"/>
      <w:b/>
      <w:color w:val="92D050"/>
      <w:sz w:val="36"/>
      <w:szCs w:val="28"/>
    </w:rPr>
  </w:style>
  <w:style w:type="character" w:customStyle="1" w:styleId="ContentsheaderChar">
    <w:name w:val="Contents header Char"/>
    <w:link w:val="Contentsheader"/>
    <w:uiPriority w:val="99"/>
    <w:semiHidden/>
    <w:locked/>
    <w:rsid w:val="00A2635D"/>
    <w:rPr>
      <w:rFonts w:ascii="Calibri" w:eastAsia="Times New Roman" w:hAnsi="Calibri" w:cs="Arial"/>
      <w:b/>
      <w:color w:val="92D050"/>
      <w:sz w:val="36"/>
      <w:szCs w:val="28"/>
    </w:rPr>
  </w:style>
  <w:style w:type="character" w:customStyle="1" w:styleId="Heading1Char">
    <w:name w:val="Heading 1 Char"/>
    <w:basedOn w:val="DefaultParagraphFont"/>
    <w:link w:val="Heading1"/>
    <w:rsid w:val="00B65FA8"/>
    <w:rPr>
      <w:rFonts w:eastAsiaTheme="majorEastAsia" w:cstheme="majorBidi"/>
      <w:b/>
      <w:bCs/>
      <w:color w:val="92D050"/>
      <w:sz w:val="28"/>
      <w:szCs w:val="28"/>
    </w:rPr>
  </w:style>
  <w:style w:type="paragraph" w:styleId="TOCHeading">
    <w:name w:val="TOC Heading"/>
    <w:basedOn w:val="Heading1"/>
    <w:next w:val="Normal"/>
    <w:uiPriority w:val="39"/>
    <w:unhideWhenUsed/>
    <w:qFormat/>
    <w:rsid w:val="00E90D9C"/>
    <w:pPr>
      <w:outlineLvl w:val="9"/>
    </w:pPr>
    <w:rPr>
      <w:lang w:val="en-US" w:eastAsia="ja-JP"/>
    </w:rPr>
  </w:style>
  <w:style w:type="paragraph" w:styleId="TOC1">
    <w:name w:val="toc 1"/>
    <w:basedOn w:val="RECnormaltext"/>
    <w:next w:val="RECnormaltext"/>
    <w:autoRedefine/>
    <w:uiPriority w:val="39"/>
    <w:unhideWhenUsed/>
    <w:rsid w:val="007F0F63"/>
    <w:pPr>
      <w:tabs>
        <w:tab w:val="right" w:leader="dot" w:pos="9016"/>
      </w:tabs>
      <w:spacing w:after="100"/>
    </w:pPr>
    <w:rPr>
      <w:rFonts w:ascii="Calibri" w:hAnsi="Calibri"/>
    </w:rPr>
  </w:style>
  <w:style w:type="character" w:styleId="Hyperlink">
    <w:name w:val="Hyperlink"/>
    <w:basedOn w:val="DefaultParagraphFont"/>
    <w:uiPriority w:val="99"/>
    <w:unhideWhenUsed/>
    <w:rsid w:val="00A2635D"/>
    <w:rPr>
      <w:rFonts w:asciiTheme="minorHAnsi" w:hAnsiTheme="minorHAnsi"/>
      <w:color w:val="0000FF" w:themeColor="hyperlink"/>
      <w:u w:val="single"/>
    </w:rPr>
  </w:style>
  <w:style w:type="character" w:customStyle="1" w:styleId="Heading2Char">
    <w:name w:val="Heading 2 Char"/>
    <w:basedOn w:val="DefaultParagraphFont"/>
    <w:link w:val="Heading2"/>
    <w:rsid w:val="00F32C37"/>
    <w:rPr>
      <w:rFonts w:eastAsiaTheme="majorEastAsia" w:cstheme="majorBidi"/>
      <w:b/>
      <w:color w:val="92D050"/>
      <w:sz w:val="26"/>
      <w:szCs w:val="26"/>
    </w:rPr>
  </w:style>
  <w:style w:type="paragraph" w:styleId="Subtitle">
    <w:name w:val="Subtitle"/>
    <w:basedOn w:val="Normal"/>
    <w:next w:val="Normal"/>
    <w:link w:val="SubtitleChar0"/>
    <w:uiPriority w:val="11"/>
    <w:rsid w:val="00973860"/>
    <w:pPr>
      <w:numPr>
        <w:numId w:val="1"/>
      </w:numPr>
    </w:pPr>
    <w:rPr>
      <w:rFonts w:asciiTheme="majorHAnsi" w:eastAsiaTheme="majorEastAsia" w:hAnsiTheme="majorHAnsi" w:cstheme="majorBidi"/>
      <w:i/>
      <w:iCs/>
      <w:color w:val="4F81BD" w:themeColor="accent1"/>
      <w:spacing w:val="15"/>
      <w:szCs w:val="24"/>
    </w:rPr>
  </w:style>
  <w:style w:type="paragraph" w:styleId="BodyText">
    <w:name w:val="Body Text"/>
    <w:basedOn w:val="Normal"/>
    <w:link w:val="BodyTextChar"/>
    <w:uiPriority w:val="99"/>
    <w:unhideWhenUsed/>
    <w:rsid w:val="00973860"/>
    <w:pPr>
      <w:spacing w:after="120"/>
    </w:pPr>
  </w:style>
  <w:style w:type="character" w:customStyle="1" w:styleId="BodyTextChar">
    <w:name w:val="Body Text Char"/>
    <w:basedOn w:val="DefaultParagraphFont"/>
    <w:link w:val="BodyText"/>
    <w:uiPriority w:val="99"/>
    <w:rsid w:val="00973860"/>
    <w:rPr>
      <w:rFonts w:ascii="DINPro" w:hAnsi="DINPro" w:cs="Calibri"/>
      <w:color w:val="000000" w:themeColor="text1"/>
      <w:sz w:val="24"/>
    </w:rPr>
  </w:style>
  <w:style w:type="character" w:customStyle="1" w:styleId="SubtitleChar0">
    <w:name w:val="Subtitle Char"/>
    <w:basedOn w:val="DefaultParagraphFont"/>
    <w:link w:val="Subtitle"/>
    <w:uiPriority w:val="11"/>
    <w:rsid w:val="00973860"/>
    <w:rPr>
      <w:rFonts w:asciiTheme="majorHAnsi" w:eastAsiaTheme="majorEastAsia" w:hAnsiTheme="majorHAnsi" w:cstheme="majorBidi"/>
      <w:i/>
      <w:iCs/>
      <w:color w:val="4F81BD" w:themeColor="accent1"/>
      <w:spacing w:val="15"/>
      <w:szCs w:val="24"/>
    </w:rPr>
  </w:style>
  <w:style w:type="paragraph" w:styleId="ListParagraph">
    <w:name w:val="List Paragraph"/>
    <w:basedOn w:val="Normal"/>
    <w:link w:val="ListParagraphChar"/>
    <w:uiPriority w:val="34"/>
    <w:qFormat/>
    <w:rsid w:val="00AC71C5"/>
    <w:pPr>
      <w:ind w:left="720"/>
      <w:contextualSpacing/>
    </w:pPr>
    <w:rPr>
      <w:rFonts w:asciiTheme="minorHAnsi" w:hAnsiTheme="minorHAnsi"/>
    </w:rPr>
  </w:style>
  <w:style w:type="character" w:customStyle="1" w:styleId="Heading3Char">
    <w:name w:val="Heading 3 Char"/>
    <w:basedOn w:val="DefaultParagraphFont"/>
    <w:link w:val="Heading3"/>
    <w:uiPriority w:val="9"/>
    <w:rsid w:val="00803DCB"/>
    <w:rPr>
      <w:rFonts w:eastAsiaTheme="majorEastAsia" w:cstheme="majorBidi"/>
      <w:b/>
      <w:bCs/>
      <w:color w:val="92D050"/>
      <w:sz w:val="24"/>
      <w:szCs w:val="26"/>
    </w:rPr>
  </w:style>
  <w:style w:type="character" w:customStyle="1" w:styleId="Heading4Char">
    <w:name w:val="Heading 4 Char"/>
    <w:basedOn w:val="DefaultParagraphFont"/>
    <w:link w:val="Heading4"/>
    <w:uiPriority w:val="9"/>
    <w:rsid w:val="003C5D8C"/>
    <w:rPr>
      <w:rFonts w:eastAsiaTheme="majorEastAsia" w:cstheme="majorBidi"/>
      <w:iCs/>
      <w:color w:val="92D050"/>
      <w:sz w:val="24"/>
      <w:szCs w:val="26"/>
    </w:rPr>
  </w:style>
  <w:style w:type="numbering" w:customStyle="1" w:styleId="Headings">
    <w:name w:val="Headings"/>
    <w:uiPriority w:val="99"/>
    <w:rsid w:val="003C5D8C"/>
    <w:pPr>
      <w:numPr>
        <w:numId w:val="2"/>
      </w:numPr>
    </w:pPr>
  </w:style>
  <w:style w:type="paragraph" w:styleId="TOC2">
    <w:name w:val="toc 2"/>
    <w:basedOn w:val="RECnormaltext"/>
    <w:next w:val="RECnormaltext"/>
    <w:autoRedefine/>
    <w:uiPriority w:val="39"/>
    <w:unhideWhenUsed/>
    <w:rsid w:val="007F0F63"/>
    <w:pPr>
      <w:tabs>
        <w:tab w:val="left" w:pos="880"/>
        <w:tab w:val="right" w:leader="dot" w:pos="9016"/>
      </w:tabs>
      <w:spacing w:after="100"/>
      <w:ind w:left="240"/>
    </w:pPr>
    <w:rPr>
      <w:rFonts w:ascii="Calibri" w:hAnsi="Calibri"/>
    </w:rPr>
  </w:style>
  <w:style w:type="numbering" w:customStyle="1" w:styleId="Dotpoints">
    <w:name w:val="Dot points"/>
    <w:uiPriority w:val="99"/>
    <w:rsid w:val="005504D7"/>
    <w:pPr>
      <w:numPr>
        <w:numId w:val="3"/>
      </w:numPr>
    </w:pPr>
  </w:style>
  <w:style w:type="paragraph" w:customStyle="1" w:styleId="RECdotpoint">
    <w:name w:val="REC dot point"/>
    <w:basedOn w:val="RECnormaltext"/>
    <w:link w:val="RECdotpointChar"/>
    <w:qFormat/>
    <w:rsid w:val="00AC71C5"/>
    <w:pPr>
      <w:numPr>
        <w:numId w:val="8"/>
      </w:numPr>
      <w:spacing w:before="80"/>
    </w:pPr>
  </w:style>
  <w:style w:type="paragraph" w:customStyle="1" w:styleId="RECdotnotlist">
    <w:name w:val="REC dot (not list)"/>
    <w:basedOn w:val="RECnormaltext"/>
    <w:link w:val="RECdotnotlistChar"/>
    <w:qFormat/>
    <w:rsid w:val="00AC71C5"/>
    <w:pPr>
      <w:numPr>
        <w:numId w:val="4"/>
      </w:numPr>
      <w:ind w:left="284" w:right="567" w:hanging="284"/>
    </w:pPr>
    <w:rPr>
      <w:rFonts w:cs="Calibri"/>
    </w:rPr>
  </w:style>
  <w:style w:type="character" w:customStyle="1" w:styleId="RECdotpointChar">
    <w:name w:val="REC dot point Char"/>
    <w:basedOn w:val="RECnormaltextChar"/>
    <w:link w:val="RECdotpoint"/>
    <w:rsid w:val="00AC71C5"/>
    <w:rPr>
      <w:rFonts w:cs="Arial"/>
      <w:szCs w:val="20"/>
    </w:rPr>
  </w:style>
  <w:style w:type="character" w:customStyle="1" w:styleId="RECdotnotlistChar">
    <w:name w:val="REC dot (not list) Char"/>
    <w:basedOn w:val="RECnormaltextChar"/>
    <w:link w:val="RECdotnotlist"/>
    <w:rsid w:val="00AC71C5"/>
    <w:rPr>
      <w:rFonts w:cs="Calibri"/>
      <w:szCs w:val="20"/>
    </w:rPr>
  </w:style>
  <w:style w:type="paragraph" w:customStyle="1" w:styleId="RECnumberlist0">
    <w:name w:val="REC number list"/>
    <w:basedOn w:val="ListParagraph"/>
    <w:link w:val="RECnumberlistChar"/>
    <w:rsid w:val="007E4104"/>
    <w:pPr>
      <w:spacing w:after="0" w:line="260" w:lineRule="atLeast"/>
      <w:ind w:left="284" w:hanging="284"/>
    </w:pPr>
    <w:rPr>
      <w:rFonts w:eastAsia="Times New Roman"/>
      <w:b/>
      <w:color w:val="181818"/>
      <w:sz w:val="20"/>
    </w:rPr>
  </w:style>
  <w:style w:type="character" w:customStyle="1" w:styleId="RECnumberlistChar">
    <w:name w:val="REC number list Char"/>
    <w:basedOn w:val="DefaultParagraphFont"/>
    <w:link w:val="RECnumberlist0"/>
    <w:rsid w:val="007E4104"/>
    <w:rPr>
      <w:rFonts w:ascii="DINPro" w:eastAsia="Times New Roman" w:hAnsi="DINPro" w:cs="Calibri"/>
      <w:b/>
      <w:color w:val="181818"/>
      <w:sz w:val="20"/>
    </w:rPr>
  </w:style>
  <w:style w:type="paragraph" w:customStyle="1" w:styleId="referencetotitle">
    <w:name w:val="reference to title"/>
    <w:basedOn w:val="RECnormaltext"/>
    <w:next w:val="RECnormaltext"/>
    <w:link w:val="referencetotitleChar"/>
    <w:qFormat/>
    <w:rsid w:val="00AC71C5"/>
    <w:rPr>
      <w:i/>
    </w:rPr>
  </w:style>
  <w:style w:type="character" w:customStyle="1" w:styleId="referencetotitleChar">
    <w:name w:val="reference to title Char"/>
    <w:basedOn w:val="RECnormaltextChar"/>
    <w:link w:val="referencetotitle"/>
    <w:rsid w:val="00AC71C5"/>
    <w:rPr>
      <w:rFonts w:cs="Arial"/>
      <w:i/>
      <w:sz w:val="20"/>
      <w:szCs w:val="20"/>
    </w:rPr>
  </w:style>
  <w:style w:type="numbering" w:customStyle="1" w:styleId="REClistnumber">
    <w:name w:val="REC list (number)"/>
    <w:uiPriority w:val="99"/>
    <w:rsid w:val="002B4645"/>
    <w:pPr>
      <w:numPr>
        <w:numId w:val="7"/>
      </w:numPr>
    </w:pPr>
  </w:style>
  <w:style w:type="paragraph" w:customStyle="1" w:styleId="RECnumberlist">
    <w:name w:val="REC number (list)"/>
    <w:basedOn w:val="RECnormaltext"/>
    <w:next w:val="RECnormaltext"/>
    <w:link w:val="RECnumberlistChar0"/>
    <w:qFormat/>
    <w:rsid w:val="00326262"/>
    <w:pPr>
      <w:numPr>
        <w:numId w:val="86"/>
      </w:numPr>
      <w:spacing w:before="80"/>
      <w:ind w:left="426"/>
    </w:pPr>
  </w:style>
  <w:style w:type="character" w:customStyle="1" w:styleId="RECnumberlistChar0">
    <w:name w:val="REC number (list) Char"/>
    <w:basedOn w:val="DefaultParagraphFont"/>
    <w:link w:val="RECnumberlist"/>
    <w:rsid w:val="00326262"/>
    <w:rPr>
      <w:rFonts w:cs="Arial"/>
      <w:szCs w:val="20"/>
    </w:rPr>
  </w:style>
  <w:style w:type="character" w:styleId="SubtleEmphasis">
    <w:name w:val="Subtle Emphasis"/>
    <w:basedOn w:val="DefaultParagraphFont"/>
    <w:uiPriority w:val="19"/>
    <w:rsid w:val="00C31DAF"/>
    <w:rPr>
      <w:i/>
      <w:iCs/>
      <w:color w:val="808080" w:themeColor="text1" w:themeTint="7F"/>
    </w:rPr>
  </w:style>
  <w:style w:type="table" w:styleId="TableGrid">
    <w:name w:val="Table Grid"/>
    <w:basedOn w:val="TableNormal"/>
    <w:rsid w:val="00166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qFormat/>
    <w:rsid w:val="00A2635D"/>
    <w:pPr>
      <w:spacing w:after="0" w:line="240" w:lineRule="auto"/>
    </w:pPr>
    <w:rPr>
      <w:rFonts w:asciiTheme="minorHAnsi" w:hAnsiTheme="minorHAnsi" w:cstheme="minorBidi"/>
      <w:color w:val="auto"/>
      <w:sz w:val="18"/>
      <w:szCs w:val="20"/>
    </w:rPr>
  </w:style>
  <w:style w:type="character" w:customStyle="1" w:styleId="FootnoteTextChar">
    <w:name w:val="Footnote Text Char"/>
    <w:basedOn w:val="DefaultParagraphFont"/>
    <w:link w:val="FootnoteText"/>
    <w:rsid w:val="00A2635D"/>
    <w:rPr>
      <w:sz w:val="18"/>
      <w:szCs w:val="20"/>
    </w:rPr>
  </w:style>
  <w:style w:type="character" w:styleId="FootnoteReference">
    <w:name w:val="footnote reference"/>
    <w:basedOn w:val="DefaultParagraphFont"/>
    <w:unhideWhenUsed/>
    <w:rsid w:val="009C34E5"/>
    <w:rPr>
      <w:rFonts w:ascii="Calibri" w:hAnsi="Calibri"/>
      <w:vertAlign w:val="superscript"/>
    </w:rPr>
  </w:style>
  <w:style w:type="paragraph" w:styleId="Caption">
    <w:name w:val="caption"/>
    <w:basedOn w:val="Normal"/>
    <w:next w:val="Normal"/>
    <w:uiPriority w:val="35"/>
    <w:unhideWhenUsed/>
    <w:qFormat/>
    <w:rsid w:val="008C7B02"/>
    <w:pPr>
      <w:spacing w:line="240" w:lineRule="auto"/>
    </w:pPr>
    <w:rPr>
      <w:rFonts w:cstheme="minorBidi"/>
      <w:b/>
      <w:bCs/>
      <w:color w:val="auto"/>
      <w:sz w:val="20"/>
      <w:szCs w:val="18"/>
    </w:rPr>
  </w:style>
  <w:style w:type="paragraph" w:styleId="TOC3">
    <w:name w:val="toc 3"/>
    <w:basedOn w:val="RECnormaltext"/>
    <w:next w:val="RECnormaltext"/>
    <w:autoRedefine/>
    <w:uiPriority w:val="39"/>
    <w:unhideWhenUsed/>
    <w:rsid w:val="007F0F63"/>
    <w:pPr>
      <w:spacing w:after="100"/>
      <w:ind w:left="480"/>
    </w:pPr>
    <w:rPr>
      <w:rFonts w:ascii="Calibri" w:hAnsi="Calibri"/>
    </w:rPr>
  </w:style>
  <w:style w:type="paragraph" w:styleId="NoSpacing">
    <w:name w:val="No Spacing"/>
    <w:uiPriority w:val="1"/>
    <w:qFormat/>
    <w:rsid w:val="00AC71C5"/>
    <w:pPr>
      <w:spacing w:after="0" w:line="240" w:lineRule="auto"/>
    </w:pPr>
    <w:rPr>
      <w:rFonts w:cs="Calibri"/>
      <w:color w:val="000000" w:themeColor="text1"/>
      <w:sz w:val="24"/>
    </w:rPr>
  </w:style>
  <w:style w:type="table" w:styleId="MediumShading1-Accent3">
    <w:name w:val="Medium Shading 1 Accent 3"/>
    <w:basedOn w:val="TableNormal"/>
    <w:uiPriority w:val="63"/>
    <w:rsid w:val="0082540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2540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4E5A5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A2635D"/>
    <w:rPr>
      <w:rFonts w:asciiTheme="minorHAnsi" w:hAnsiTheme="minorHAnsi"/>
      <w:sz w:val="16"/>
      <w:szCs w:val="16"/>
    </w:rPr>
  </w:style>
  <w:style w:type="paragraph" w:styleId="CommentText">
    <w:name w:val="annotation text"/>
    <w:basedOn w:val="Normal"/>
    <w:link w:val="CommentTextChar"/>
    <w:uiPriority w:val="99"/>
    <w:unhideWhenUsed/>
    <w:rsid w:val="00A2635D"/>
    <w:pPr>
      <w:spacing w:line="240" w:lineRule="auto"/>
    </w:pPr>
    <w:rPr>
      <w:sz w:val="20"/>
      <w:szCs w:val="20"/>
    </w:rPr>
  </w:style>
  <w:style w:type="character" w:customStyle="1" w:styleId="CommentTextChar">
    <w:name w:val="Comment Text Char"/>
    <w:basedOn w:val="DefaultParagraphFont"/>
    <w:link w:val="CommentText"/>
    <w:uiPriority w:val="99"/>
    <w:rsid w:val="00A2635D"/>
    <w:rPr>
      <w:rFonts w:ascii="Calibri" w:hAnsi="Calibri" w:cs="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2635D"/>
    <w:rPr>
      <w:b/>
      <w:bCs/>
    </w:rPr>
  </w:style>
  <w:style w:type="character" w:customStyle="1" w:styleId="CommentSubjectChar">
    <w:name w:val="Comment Subject Char"/>
    <w:basedOn w:val="CommentTextChar"/>
    <w:link w:val="CommentSubject"/>
    <w:uiPriority w:val="99"/>
    <w:semiHidden/>
    <w:rsid w:val="00A2635D"/>
    <w:rPr>
      <w:rFonts w:ascii="Calibri" w:hAnsi="Calibri" w:cs="Calibri"/>
      <w:b/>
      <w:bCs/>
      <w:color w:val="000000" w:themeColor="text1"/>
      <w:sz w:val="20"/>
      <w:szCs w:val="20"/>
    </w:rPr>
  </w:style>
  <w:style w:type="paragraph" w:customStyle="1" w:styleId="Style1">
    <w:name w:val="Style1"/>
    <w:basedOn w:val="FootnoteText"/>
    <w:rsid w:val="00A2635D"/>
  </w:style>
  <w:style w:type="character" w:styleId="FollowedHyperlink">
    <w:name w:val="FollowedHyperlink"/>
    <w:basedOn w:val="DefaultParagraphFont"/>
    <w:uiPriority w:val="99"/>
    <w:semiHidden/>
    <w:unhideWhenUsed/>
    <w:rsid w:val="00570040"/>
    <w:rPr>
      <w:color w:val="800080" w:themeColor="followedHyperlink"/>
      <w:u w:val="single"/>
    </w:rPr>
  </w:style>
  <w:style w:type="paragraph" w:styleId="NormalWeb">
    <w:name w:val="Normal (Web)"/>
    <w:basedOn w:val="Normal"/>
    <w:uiPriority w:val="99"/>
    <w:unhideWhenUsed/>
    <w:rsid w:val="00BE2FA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TableofFigures">
    <w:name w:val="table of figures"/>
    <w:basedOn w:val="Normal"/>
    <w:next w:val="Normal"/>
    <w:uiPriority w:val="99"/>
    <w:unhideWhenUsed/>
    <w:rsid w:val="00134A93"/>
    <w:pPr>
      <w:spacing w:after="0"/>
    </w:pPr>
  </w:style>
  <w:style w:type="table" w:styleId="ListTable3-Accent3">
    <w:name w:val="List Table 3 Accent 3"/>
    <w:basedOn w:val="TableNormal"/>
    <w:uiPriority w:val="48"/>
    <w:rsid w:val="0004574E"/>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apple-converted-space">
    <w:name w:val="apple-converted-space"/>
    <w:basedOn w:val="DefaultParagraphFont"/>
    <w:rsid w:val="00520C0A"/>
  </w:style>
  <w:style w:type="table" w:customStyle="1" w:styleId="BETable13">
    <w:name w:val="BE Table 13"/>
    <w:basedOn w:val="TableNormal"/>
    <w:uiPriority w:val="99"/>
    <w:qFormat/>
    <w:rsid w:val="00B67B01"/>
    <w:pPr>
      <w:spacing w:after="0" w:line="240" w:lineRule="auto"/>
    </w:pPr>
    <w:rPr>
      <w:rFonts w:ascii="Calibri" w:eastAsia="Times New Roman" w:hAnsi="Calibri" w:cs="Times New Roman"/>
      <w:sz w:val="20"/>
      <w:szCs w:val="20"/>
      <w:lang w:eastAsia="en-AU"/>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paragraph" w:customStyle="1" w:styleId="TableNormal1">
    <w:name w:val="Table Normal1"/>
    <w:basedOn w:val="Normal"/>
    <w:uiPriority w:val="99"/>
    <w:rsid w:val="002172C7"/>
    <w:pPr>
      <w:spacing w:before="80" w:after="80" w:line="240" w:lineRule="auto"/>
    </w:pPr>
    <w:rPr>
      <w:rFonts w:ascii="Times New Roman" w:eastAsia="Times New Roman" w:hAnsi="Times New Roman" w:cs="Times New Roman"/>
      <w:color w:val="auto"/>
      <w:sz w:val="24"/>
      <w:szCs w:val="24"/>
    </w:rPr>
  </w:style>
  <w:style w:type="paragraph" w:customStyle="1" w:styleId="Default">
    <w:name w:val="Default"/>
    <w:rsid w:val="00DC35CF"/>
    <w:pPr>
      <w:autoSpaceDE w:val="0"/>
      <w:autoSpaceDN w:val="0"/>
      <w:adjustRightInd w:val="0"/>
      <w:spacing w:after="0" w:line="240" w:lineRule="auto"/>
    </w:pPr>
    <w:rPr>
      <w:rFonts w:ascii="Myriad Pro" w:hAnsi="Myriad Pro" w:cs="Myriad Pro"/>
      <w:color w:val="000000"/>
      <w:sz w:val="24"/>
      <w:szCs w:val="24"/>
    </w:rPr>
  </w:style>
  <w:style w:type="paragraph" w:customStyle="1" w:styleId="Pa4">
    <w:name w:val="Pa4"/>
    <w:basedOn w:val="Default"/>
    <w:next w:val="Default"/>
    <w:uiPriority w:val="99"/>
    <w:rsid w:val="00DC35CF"/>
    <w:pPr>
      <w:spacing w:line="201" w:lineRule="atLeast"/>
    </w:pPr>
    <w:rPr>
      <w:rFonts w:cstheme="minorBidi"/>
      <w:color w:val="auto"/>
    </w:rPr>
  </w:style>
  <w:style w:type="character" w:customStyle="1" w:styleId="CharSchNo">
    <w:name w:val="CharSchNo"/>
    <w:rsid w:val="001C2F58"/>
  </w:style>
  <w:style w:type="paragraph" w:customStyle="1" w:styleId="yShoulderClause">
    <w:name w:val="yShoulderClause"/>
    <w:next w:val="Normal"/>
    <w:rsid w:val="001C2F58"/>
    <w:pPr>
      <w:spacing w:before="120" w:after="0" w:line="240" w:lineRule="auto"/>
      <w:jc w:val="right"/>
    </w:pPr>
    <w:rPr>
      <w:rFonts w:ascii="Times New Roman" w:eastAsia="Times New Roman" w:hAnsi="Times New Roman" w:cs="Times New Roman"/>
      <w:szCs w:val="20"/>
      <w:lang w:eastAsia="en-AU"/>
    </w:rPr>
  </w:style>
  <w:style w:type="paragraph" w:customStyle="1" w:styleId="yScheduleHeading">
    <w:name w:val="yScheduleHeading"/>
    <w:basedOn w:val="Normal"/>
    <w:rsid w:val="001C2F58"/>
    <w:pPr>
      <w:keepNext/>
      <w:pageBreakBefore/>
      <w:spacing w:after="0" w:line="240" w:lineRule="auto"/>
      <w:jc w:val="center"/>
      <w:outlineLvl w:val="1"/>
    </w:pPr>
    <w:rPr>
      <w:rFonts w:ascii="Times New Roman" w:eastAsia="Times New Roman" w:hAnsi="Times New Roman" w:cs="Times New Roman"/>
      <w:b/>
      <w:color w:val="auto"/>
      <w:sz w:val="28"/>
      <w:szCs w:val="20"/>
      <w:lang w:eastAsia="en-AU"/>
    </w:rPr>
  </w:style>
  <w:style w:type="paragraph" w:customStyle="1" w:styleId="yFootnoteheading">
    <w:name w:val="yFootnote(heading)"/>
    <w:basedOn w:val="Normal"/>
    <w:rsid w:val="001C2F58"/>
    <w:pPr>
      <w:tabs>
        <w:tab w:val="left" w:pos="879"/>
      </w:tabs>
      <w:spacing w:before="120" w:after="0" w:line="240" w:lineRule="auto"/>
      <w:ind w:left="879" w:hanging="879"/>
    </w:pPr>
    <w:rPr>
      <w:rFonts w:ascii="Times New Roman" w:eastAsia="Times New Roman" w:hAnsi="Times New Roman" w:cs="Times New Roman"/>
      <w:i/>
      <w:color w:val="auto"/>
      <w:szCs w:val="20"/>
      <w:lang w:eastAsia="en-AU"/>
    </w:rPr>
  </w:style>
  <w:style w:type="character" w:customStyle="1" w:styleId="CharSchText">
    <w:name w:val="CharSchText"/>
    <w:rsid w:val="001C2F58"/>
  </w:style>
  <w:style w:type="paragraph" w:customStyle="1" w:styleId="yMiscellaneousHeading">
    <w:name w:val="yMiscellaneous Heading"/>
    <w:basedOn w:val="Normal"/>
    <w:rsid w:val="001C2F58"/>
    <w:pPr>
      <w:keepNext/>
      <w:spacing w:before="160" w:after="0" w:line="240" w:lineRule="auto"/>
      <w:jc w:val="center"/>
    </w:pPr>
    <w:rPr>
      <w:rFonts w:ascii="Times New Roman" w:eastAsia="Times New Roman" w:hAnsi="Times New Roman" w:cs="Times New Roman"/>
      <w:color w:val="auto"/>
      <w:szCs w:val="20"/>
      <w:lang w:eastAsia="en-AU"/>
    </w:rPr>
  </w:style>
  <w:style w:type="character" w:customStyle="1" w:styleId="CharSDivNo">
    <w:name w:val="CharSDivNo"/>
    <w:basedOn w:val="DefaultParagraphFont"/>
    <w:rsid w:val="001C2F58"/>
    <w:rPr>
      <w:rFonts w:cs="Times New Roman"/>
      <w:sz w:val="24"/>
    </w:rPr>
  </w:style>
  <w:style w:type="paragraph" w:customStyle="1" w:styleId="yTableNAm">
    <w:name w:val="yTableNAm"/>
    <w:basedOn w:val="Normal"/>
    <w:rsid w:val="001C2F58"/>
    <w:pPr>
      <w:tabs>
        <w:tab w:val="left" w:pos="567"/>
      </w:tabs>
      <w:spacing w:before="120" w:after="0" w:line="240" w:lineRule="auto"/>
    </w:pPr>
    <w:rPr>
      <w:rFonts w:ascii="Times New Roman" w:eastAsia="Times New Roman" w:hAnsi="Times New Roman" w:cs="Times New Roman"/>
      <w:color w:val="auto"/>
      <w:szCs w:val="20"/>
      <w:lang w:eastAsia="en-AU"/>
    </w:rPr>
  </w:style>
  <w:style w:type="paragraph" w:customStyle="1" w:styleId="Heading-PART">
    <w:name w:val="Heading - PART"/>
    <w:next w:val="Normal"/>
    <w:rsid w:val="00C82151"/>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C82151"/>
    <w:rPr>
      <w:caps w:val="0"/>
    </w:rPr>
  </w:style>
  <w:style w:type="paragraph" w:customStyle="1" w:styleId="SideNote">
    <w:name w:val="Side Note"/>
    <w:basedOn w:val="Normal"/>
    <w:rsid w:val="00C82151"/>
    <w:pPr>
      <w:framePr w:w="964" w:h="340" w:hSpace="284" w:wrap="around" w:vAnchor="text" w:hAnchor="page" w:xAlign="outside" w:y="1"/>
      <w:suppressLineNumbers/>
      <w:overflowPunct w:val="0"/>
      <w:autoSpaceDE w:val="0"/>
      <w:autoSpaceDN w:val="0"/>
      <w:adjustRightInd w:val="0"/>
      <w:spacing w:before="120" w:after="0" w:line="240" w:lineRule="auto"/>
      <w:textAlignment w:val="baseline"/>
    </w:pPr>
    <w:rPr>
      <w:rFonts w:ascii="Arial" w:eastAsia="Times New Roman" w:hAnsi="Arial" w:cs="Times New Roman"/>
      <w:b/>
      <w:color w:val="auto"/>
      <w:spacing w:val="-10"/>
      <w:sz w:val="16"/>
      <w:szCs w:val="20"/>
    </w:rPr>
  </w:style>
  <w:style w:type="paragraph" w:customStyle="1" w:styleId="ScheduleTitle">
    <w:name w:val="Schedule Title"/>
    <w:basedOn w:val="Normal"/>
    <w:next w:val="Normal"/>
    <w:rsid w:val="00C82151"/>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caps/>
      <w:color w:val="auto"/>
      <w:szCs w:val="20"/>
    </w:rPr>
  </w:style>
  <w:style w:type="paragraph" w:customStyle="1" w:styleId="Normal-Schedule">
    <w:name w:val="Normal - Schedule"/>
    <w:rsid w:val="00C82151"/>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CharSDivText">
    <w:name w:val="CharSDivText"/>
    <w:basedOn w:val="DefaultParagraphFont"/>
    <w:rsid w:val="005B07BE"/>
    <w:rPr>
      <w:sz w:val="24"/>
    </w:rPr>
  </w:style>
  <w:style w:type="paragraph" w:customStyle="1" w:styleId="yDefsubpara">
    <w:name w:val="yDefsubpara"/>
    <w:rsid w:val="005B07BE"/>
    <w:pPr>
      <w:keepLines/>
      <w:tabs>
        <w:tab w:val="right" w:pos="2041"/>
      </w:tabs>
      <w:spacing w:before="80" w:after="0" w:line="240" w:lineRule="auto"/>
      <w:ind w:left="2325" w:hanging="2325"/>
    </w:pPr>
    <w:rPr>
      <w:rFonts w:ascii="Times New Roman" w:eastAsia="Times New Roman" w:hAnsi="Times New Roman" w:cs="Times New Roman"/>
      <w:snapToGrid w:val="0"/>
      <w:szCs w:val="20"/>
      <w:lang w:eastAsia="en-AU"/>
    </w:rPr>
  </w:style>
  <w:style w:type="paragraph" w:styleId="TOC7">
    <w:name w:val="toc 7"/>
    <w:basedOn w:val="Normal"/>
    <w:next w:val="Normal"/>
    <w:autoRedefine/>
    <w:uiPriority w:val="39"/>
    <w:semiHidden/>
    <w:unhideWhenUsed/>
    <w:rsid w:val="0080241E"/>
    <w:pPr>
      <w:spacing w:after="100"/>
      <w:ind w:left="1320"/>
    </w:pPr>
  </w:style>
  <w:style w:type="character" w:customStyle="1" w:styleId="ListParagraphChar">
    <w:name w:val="List Paragraph Char"/>
    <w:basedOn w:val="DefaultParagraphFont"/>
    <w:link w:val="ListParagraph"/>
    <w:uiPriority w:val="34"/>
    <w:rsid w:val="00DD5DC1"/>
    <w:rPr>
      <w:rFonts w:cs="Calibri"/>
      <w:color w:val="000000" w:themeColor="text1"/>
    </w:rPr>
  </w:style>
  <w:style w:type="paragraph" w:customStyle="1" w:styleId="Figures">
    <w:name w:val="Figures"/>
    <w:basedOn w:val="Normal"/>
    <w:autoRedefine/>
    <w:uiPriority w:val="2"/>
    <w:rsid w:val="00DD5DC1"/>
    <w:pPr>
      <w:tabs>
        <w:tab w:val="left" w:pos="0"/>
      </w:tabs>
      <w:spacing w:after="120" w:line="240" w:lineRule="auto"/>
      <w:ind w:left="994" w:hanging="994"/>
    </w:pPr>
    <w:rPr>
      <w:rFonts w:eastAsia="Times New Roman"/>
      <w:b/>
      <w:color w:val="4D4DB8"/>
      <w:sz w:val="20"/>
      <w:szCs w:val="20"/>
    </w:rPr>
  </w:style>
  <w:style w:type="table" w:customStyle="1" w:styleId="BETable1">
    <w:name w:val="BE Table 1"/>
    <w:basedOn w:val="TableNormal"/>
    <w:uiPriority w:val="99"/>
    <w:qFormat/>
    <w:rsid w:val="00DD5DC1"/>
    <w:pPr>
      <w:spacing w:after="0" w:line="240" w:lineRule="auto"/>
    </w:pPr>
    <w:rPr>
      <w:rFonts w:ascii="Calibri" w:eastAsia="Times New Roman" w:hAnsi="Calibri" w:cs="Times New Roman"/>
      <w:sz w:val="20"/>
      <w:szCs w:val="20"/>
      <w:lang w:eastAsia="en-AU"/>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paragraph" w:customStyle="1" w:styleId="RptTable-Heading">
    <w:name w:val="(Rpt) Table - Heading"/>
    <w:link w:val="RptTable-HeadingChar"/>
    <w:rsid w:val="00590F76"/>
    <w:pPr>
      <w:keepNext/>
      <w:tabs>
        <w:tab w:val="left" w:pos="1080"/>
      </w:tabs>
      <w:spacing w:after="0" w:line="240" w:lineRule="auto"/>
      <w:ind w:left="1080" w:hanging="1080"/>
    </w:pPr>
    <w:rPr>
      <w:rFonts w:ascii="Arial" w:eastAsia="Times New Roman" w:hAnsi="Arial" w:cs="Times New Roman"/>
      <w:b/>
      <w:bCs/>
      <w:noProof/>
      <w:sz w:val="20"/>
      <w:szCs w:val="20"/>
      <w:lang w:val="en-GB"/>
    </w:rPr>
  </w:style>
  <w:style w:type="character" w:customStyle="1" w:styleId="RptTable-HeadingChar">
    <w:name w:val="(Rpt) Table - Heading Char"/>
    <w:basedOn w:val="DefaultParagraphFont"/>
    <w:link w:val="RptTable-Heading"/>
    <w:rsid w:val="00590F76"/>
    <w:rPr>
      <w:rFonts w:ascii="Arial" w:eastAsia="Times New Roman" w:hAnsi="Arial" w:cs="Times New Roman"/>
      <w:b/>
      <w:bCs/>
      <w:noProof/>
      <w:sz w:val="20"/>
      <w:szCs w:val="20"/>
      <w:lang w:val="en-GB"/>
    </w:rPr>
  </w:style>
  <w:style w:type="character" w:customStyle="1" w:styleId="Mention">
    <w:name w:val="Mention"/>
    <w:basedOn w:val="DefaultParagraphFont"/>
    <w:uiPriority w:val="99"/>
    <w:semiHidden/>
    <w:unhideWhenUsed/>
    <w:rsid w:val="008175CA"/>
    <w:rPr>
      <w:color w:val="2B579A"/>
      <w:shd w:val="clear" w:color="auto" w:fill="E6E6E6"/>
    </w:rPr>
  </w:style>
  <w:style w:type="paragraph" w:customStyle="1" w:styleId="AppendixHeading1">
    <w:name w:val="Appendix Heading 1"/>
    <w:next w:val="BodyText"/>
    <w:link w:val="AppendixHeading1Char"/>
    <w:qFormat/>
    <w:rsid w:val="00BB1D00"/>
    <w:pPr>
      <w:numPr>
        <w:ilvl w:val="1"/>
        <w:numId w:val="69"/>
      </w:numPr>
      <w:spacing w:after="240" w:line="240" w:lineRule="auto"/>
    </w:pPr>
    <w:rPr>
      <w:rFonts w:ascii="Arial Rounded MT Bold" w:eastAsia="Times New Roman" w:hAnsi="Arial Rounded MT Bold" w:cs="Arial"/>
      <w:color w:val="0000FF"/>
      <w:sz w:val="36"/>
      <w:szCs w:val="36"/>
    </w:rPr>
  </w:style>
  <w:style w:type="paragraph" w:customStyle="1" w:styleId="Bullet2">
    <w:name w:val="Bullet 2"/>
    <w:uiPriority w:val="1"/>
    <w:qFormat/>
    <w:rsid w:val="00BB1D00"/>
    <w:pPr>
      <w:numPr>
        <w:ilvl w:val="1"/>
        <w:numId w:val="68"/>
      </w:numPr>
      <w:spacing w:after="0" w:line="240" w:lineRule="auto"/>
    </w:pPr>
    <w:rPr>
      <w:rFonts w:ascii="Calibri" w:eastAsia="Times New Roman" w:hAnsi="Calibri" w:cstheme="minorHAnsi"/>
      <w:color w:val="0D0D0D" w:themeColor="text1" w:themeTint="F2"/>
    </w:rPr>
  </w:style>
  <w:style w:type="paragraph" w:customStyle="1" w:styleId="Bullet1">
    <w:name w:val="Bullet 1"/>
    <w:link w:val="Bullet1Char"/>
    <w:uiPriority w:val="1"/>
    <w:qFormat/>
    <w:rsid w:val="00BB1D00"/>
    <w:pPr>
      <w:numPr>
        <w:numId w:val="68"/>
      </w:numPr>
      <w:spacing w:before="80" w:after="0" w:line="240" w:lineRule="auto"/>
    </w:pPr>
    <w:rPr>
      <w:rFonts w:ascii="Calibri" w:eastAsia="Times New Roman" w:hAnsi="Calibri" w:cstheme="minorHAnsi"/>
      <w:color w:val="0D0D0D" w:themeColor="text1" w:themeTint="F2"/>
    </w:rPr>
  </w:style>
  <w:style w:type="paragraph" w:customStyle="1" w:styleId="Bullet3">
    <w:name w:val="Bullet 3"/>
    <w:basedOn w:val="Bullet2"/>
    <w:uiPriority w:val="1"/>
    <w:qFormat/>
    <w:rsid w:val="00BB1D00"/>
    <w:pPr>
      <w:numPr>
        <w:ilvl w:val="2"/>
      </w:numPr>
    </w:pPr>
  </w:style>
  <w:style w:type="character" w:customStyle="1" w:styleId="Bullet1Char">
    <w:name w:val="Bullet 1 Char"/>
    <w:basedOn w:val="ListParagraphChar"/>
    <w:link w:val="Bullet1"/>
    <w:uiPriority w:val="1"/>
    <w:rsid w:val="00BB1D00"/>
    <w:rPr>
      <w:rFonts w:ascii="Calibri" w:eastAsia="Times New Roman" w:hAnsi="Calibri" w:cstheme="minorHAnsi"/>
      <w:color w:val="0D0D0D" w:themeColor="text1" w:themeTint="F2"/>
    </w:rPr>
  </w:style>
  <w:style w:type="paragraph" w:customStyle="1" w:styleId="AppendixSectionnumber">
    <w:name w:val="Appendix Section number"/>
    <w:qFormat/>
    <w:rsid w:val="00BB1D00"/>
    <w:pPr>
      <w:numPr>
        <w:numId w:val="69"/>
      </w:numPr>
      <w:pBdr>
        <w:bottom w:val="single" w:sz="4" w:space="1" w:color="0000FF"/>
      </w:pBdr>
      <w:spacing w:after="0" w:line="240" w:lineRule="auto"/>
    </w:pPr>
    <w:rPr>
      <w:rFonts w:ascii="Arial Rounded MT Bold" w:eastAsia="Times New Roman" w:hAnsi="Arial Rounded MT Bold" w:cs="Arial"/>
      <w:color w:val="0000FF"/>
      <w:sz w:val="36"/>
      <w:szCs w:val="36"/>
    </w:rPr>
  </w:style>
  <w:style w:type="character" w:styleId="Emphasis">
    <w:name w:val="Emphasis"/>
    <w:basedOn w:val="DefaultParagraphFont"/>
    <w:uiPriority w:val="20"/>
    <w:qFormat/>
    <w:rsid w:val="00BB1D00"/>
    <w:rPr>
      <w:i/>
      <w:iCs/>
    </w:rPr>
  </w:style>
  <w:style w:type="character" w:customStyle="1" w:styleId="UnresolvedMention1">
    <w:name w:val="Unresolved Mention1"/>
    <w:basedOn w:val="DefaultParagraphFont"/>
    <w:uiPriority w:val="99"/>
    <w:semiHidden/>
    <w:unhideWhenUsed/>
    <w:rsid w:val="00BC5F6D"/>
    <w:rPr>
      <w:color w:val="808080"/>
      <w:shd w:val="clear" w:color="auto" w:fill="E6E6E6"/>
    </w:rPr>
  </w:style>
  <w:style w:type="character" w:customStyle="1" w:styleId="AppendixHeading1Char">
    <w:name w:val="Appendix Heading 1 Char"/>
    <w:basedOn w:val="DefaultParagraphFont"/>
    <w:link w:val="AppendixHeading1"/>
    <w:rsid w:val="00F92720"/>
    <w:rPr>
      <w:rFonts w:ascii="Arial Rounded MT Bold" w:eastAsia="Times New Roman" w:hAnsi="Arial Rounded MT Bold" w:cs="Arial"/>
      <w:color w:val="0000FF"/>
      <w:sz w:val="36"/>
      <w:szCs w:val="36"/>
    </w:rPr>
  </w:style>
  <w:style w:type="paragraph" w:styleId="Revision">
    <w:name w:val="Revision"/>
    <w:hidden/>
    <w:uiPriority w:val="99"/>
    <w:semiHidden/>
    <w:rsid w:val="001E0D50"/>
    <w:pPr>
      <w:spacing w:after="0" w:line="240" w:lineRule="auto"/>
    </w:pPr>
    <w:rPr>
      <w:rFonts w:ascii="Calibri" w:hAnsi="Calibri" w:cs="Calibri"/>
      <w:color w:val="000000" w:themeColor="text1"/>
    </w:rPr>
  </w:style>
  <w:style w:type="paragraph" w:customStyle="1" w:styleId="SRUTableHeading">
    <w:name w:val="SRU_Table_Heading"/>
    <w:basedOn w:val="Normal"/>
    <w:next w:val="Normal"/>
    <w:uiPriority w:val="99"/>
    <w:semiHidden/>
    <w:qFormat/>
    <w:rsid w:val="005F4489"/>
    <w:pPr>
      <w:numPr>
        <w:numId w:val="80"/>
      </w:numPr>
      <w:spacing w:before="60" w:after="60" w:line="240" w:lineRule="auto"/>
    </w:pPr>
    <w:rPr>
      <w:rFonts w:eastAsia="Times New Roman" w:cs="Times New Roman"/>
      <w:color w:val="auto"/>
      <w:sz w:val="20"/>
      <w:szCs w:val="20"/>
    </w:rPr>
  </w:style>
  <w:style w:type="character" w:customStyle="1" w:styleId="TableTextChar">
    <w:name w:val="_TableText Char"/>
    <w:link w:val="TableText"/>
    <w:locked/>
    <w:rsid w:val="005F4489"/>
    <w:rPr>
      <w:rFonts w:ascii="Calibri" w:eastAsia="Times New Roman" w:hAnsi="Calibri" w:cs="Times New Roman"/>
      <w:sz w:val="18"/>
      <w:szCs w:val="18"/>
    </w:rPr>
  </w:style>
  <w:style w:type="paragraph" w:customStyle="1" w:styleId="TableText">
    <w:name w:val="_TableText"/>
    <w:basedOn w:val="Normal"/>
    <w:link w:val="TableTextChar"/>
    <w:qFormat/>
    <w:rsid w:val="005F4489"/>
    <w:pPr>
      <w:spacing w:before="60" w:after="60" w:line="240" w:lineRule="auto"/>
    </w:pPr>
    <w:rPr>
      <w:rFonts w:eastAsia="Times New Roman" w:cs="Times New Roman"/>
      <w:color w:val="auto"/>
      <w:sz w:val="18"/>
      <w:szCs w:val="18"/>
    </w:rPr>
  </w:style>
  <w:style w:type="character" w:customStyle="1" w:styleId="TableHeadingChar">
    <w:name w:val="_TableHeading Char"/>
    <w:link w:val="TableHeading"/>
    <w:locked/>
    <w:rsid w:val="005F4489"/>
    <w:rPr>
      <w:rFonts w:ascii="Calibri" w:eastAsia="Times New Roman" w:hAnsi="Calibri" w:cs="Times New Roman"/>
      <w:b/>
      <w:sz w:val="20"/>
      <w:szCs w:val="20"/>
    </w:rPr>
  </w:style>
  <w:style w:type="paragraph" w:customStyle="1" w:styleId="TableHeading">
    <w:name w:val="_TableHeading"/>
    <w:basedOn w:val="Normal"/>
    <w:link w:val="TableHeadingChar"/>
    <w:qFormat/>
    <w:rsid w:val="005F4489"/>
    <w:pPr>
      <w:keepNext/>
      <w:tabs>
        <w:tab w:val="left" w:pos="284"/>
      </w:tabs>
      <w:spacing w:before="60" w:after="60" w:line="240" w:lineRule="auto"/>
      <w:jc w:val="center"/>
    </w:pPr>
    <w:rPr>
      <w:rFonts w:eastAsia="Times New Roman" w:cs="Times New Roman"/>
      <w:b/>
      <w:color w:val="auto"/>
      <w:sz w:val="20"/>
      <w:szCs w:val="20"/>
    </w:rPr>
  </w:style>
  <w:style w:type="character" w:styleId="Strong">
    <w:name w:val="Strong"/>
    <w:basedOn w:val="DefaultParagraphFont"/>
    <w:uiPriority w:val="22"/>
    <w:qFormat/>
    <w:rsid w:val="00D85BB9"/>
    <w:rPr>
      <w:b/>
      <w:bCs/>
    </w:rPr>
  </w:style>
  <w:style w:type="character" w:customStyle="1" w:styleId="UnresolvedMention">
    <w:name w:val="Unresolved Mention"/>
    <w:basedOn w:val="DefaultParagraphFont"/>
    <w:uiPriority w:val="99"/>
    <w:rsid w:val="0050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984">
      <w:bodyDiv w:val="1"/>
      <w:marLeft w:val="0"/>
      <w:marRight w:val="0"/>
      <w:marTop w:val="0"/>
      <w:marBottom w:val="0"/>
      <w:divBdr>
        <w:top w:val="none" w:sz="0" w:space="0" w:color="auto"/>
        <w:left w:val="none" w:sz="0" w:space="0" w:color="auto"/>
        <w:bottom w:val="none" w:sz="0" w:space="0" w:color="auto"/>
        <w:right w:val="none" w:sz="0" w:space="0" w:color="auto"/>
      </w:divBdr>
    </w:div>
    <w:div w:id="13576565">
      <w:bodyDiv w:val="1"/>
      <w:marLeft w:val="0"/>
      <w:marRight w:val="0"/>
      <w:marTop w:val="0"/>
      <w:marBottom w:val="0"/>
      <w:divBdr>
        <w:top w:val="none" w:sz="0" w:space="0" w:color="auto"/>
        <w:left w:val="none" w:sz="0" w:space="0" w:color="auto"/>
        <w:bottom w:val="none" w:sz="0" w:space="0" w:color="auto"/>
        <w:right w:val="none" w:sz="0" w:space="0" w:color="auto"/>
      </w:divBdr>
    </w:div>
    <w:div w:id="24328423">
      <w:bodyDiv w:val="1"/>
      <w:marLeft w:val="0"/>
      <w:marRight w:val="0"/>
      <w:marTop w:val="0"/>
      <w:marBottom w:val="0"/>
      <w:divBdr>
        <w:top w:val="none" w:sz="0" w:space="0" w:color="auto"/>
        <w:left w:val="none" w:sz="0" w:space="0" w:color="auto"/>
        <w:bottom w:val="none" w:sz="0" w:space="0" w:color="auto"/>
        <w:right w:val="none" w:sz="0" w:space="0" w:color="auto"/>
      </w:divBdr>
    </w:div>
    <w:div w:id="63770961">
      <w:bodyDiv w:val="1"/>
      <w:marLeft w:val="0"/>
      <w:marRight w:val="0"/>
      <w:marTop w:val="0"/>
      <w:marBottom w:val="0"/>
      <w:divBdr>
        <w:top w:val="none" w:sz="0" w:space="0" w:color="auto"/>
        <w:left w:val="none" w:sz="0" w:space="0" w:color="auto"/>
        <w:bottom w:val="none" w:sz="0" w:space="0" w:color="auto"/>
        <w:right w:val="none" w:sz="0" w:space="0" w:color="auto"/>
      </w:divBdr>
    </w:div>
    <w:div w:id="71198113">
      <w:bodyDiv w:val="1"/>
      <w:marLeft w:val="0"/>
      <w:marRight w:val="0"/>
      <w:marTop w:val="0"/>
      <w:marBottom w:val="0"/>
      <w:divBdr>
        <w:top w:val="none" w:sz="0" w:space="0" w:color="auto"/>
        <w:left w:val="none" w:sz="0" w:space="0" w:color="auto"/>
        <w:bottom w:val="none" w:sz="0" w:space="0" w:color="auto"/>
        <w:right w:val="none" w:sz="0" w:space="0" w:color="auto"/>
      </w:divBdr>
    </w:div>
    <w:div w:id="73549111">
      <w:bodyDiv w:val="1"/>
      <w:marLeft w:val="0"/>
      <w:marRight w:val="0"/>
      <w:marTop w:val="0"/>
      <w:marBottom w:val="0"/>
      <w:divBdr>
        <w:top w:val="none" w:sz="0" w:space="0" w:color="auto"/>
        <w:left w:val="none" w:sz="0" w:space="0" w:color="auto"/>
        <w:bottom w:val="none" w:sz="0" w:space="0" w:color="auto"/>
        <w:right w:val="none" w:sz="0" w:space="0" w:color="auto"/>
      </w:divBdr>
    </w:div>
    <w:div w:id="73675392">
      <w:bodyDiv w:val="1"/>
      <w:marLeft w:val="0"/>
      <w:marRight w:val="0"/>
      <w:marTop w:val="0"/>
      <w:marBottom w:val="0"/>
      <w:divBdr>
        <w:top w:val="none" w:sz="0" w:space="0" w:color="auto"/>
        <w:left w:val="none" w:sz="0" w:space="0" w:color="auto"/>
        <w:bottom w:val="none" w:sz="0" w:space="0" w:color="auto"/>
        <w:right w:val="none" w:sz="0" w:space="0" w:color="auto"/>
      </w:divBdr>
    </w:div>
    <w:div w:id="88504186">
      <w:bodyDiv w:val="1"/>
      <w:marLeft w:val="0"/>
      <w:marRight w:val="0"/>
      <w:marTop w:val="0"/>
      <w:marBottom w:val="0"/>
      <w:divBdr>
        <w:top w:val="none" w:sz="0" w:space="0" w:color="auto"/>
        <w:left w:val="none" w:sz="0" w:space="0" w:color="auto"/>
        <w:bottom w:val="none" w:sz="0" w:space="0" w:color="auto"/>
        <w:right w:val="none" w:sz="0" w:space="0" w:color="auto"/>
      </w:divBdr>
    </w:div>
    <w:div w:id="123430515">
      <w:bodyDiv w:val="1"/>
      <w:marLeft w:val="0"/>
      <w:marRight w:val="0"/>
      <w:marTop w:val="0"/>
      <w:marBottom w:val="0"/>
      <w:divBdr>
        <w:top w:val="none" w:sz="0" w:space="0" w:color="auto"/>
        <w:left w:val="none" w:sz="0" w:space="0" w:color="auto"/>
        <w:bottom w:val="none" w:sz="0" w:space="0" w:color="auto"/>
        <w:right w:val="none" w:sz="0" w:space="0" w:color="auto"/>
      </w:divBdr>
    </w:div>
    <w:div w:id="156189717">
      <w:bodyDiv w:val="1"/>
      <w:marLeft w:val="0"/>
      <w:marRight w:val="0"/>
      <w:marTop w:val="0"/>
      <w:marBottom w:val="0"/>
      <w:divBdr>
        <w:top w:val="none" w:sz="0" w:space="0" w:color="auto"/>
        <w:left w:val="none" w:sz="0" w:space="0" w:color="auto"/>
        <w:bottom w:val="none" w:sz="0" w:space="0" w:color="auto"/>
        <w:right w:val="none" w:sz="0" w:space="0" w:color="auto"/>
      </w:divBdr>
      <w:divsChild>
        <w:div w:id="319701500">
          <w:marLeft w:val="0"/>
          <w:marRight w:val="0"/>
          <w:marTop w:val="0"/>
          <w:marBottom w:val="0"/>
          <w:divBdr>
            <w:top w:val="none" w:sz="0" w:space="0" w:color="auto"/>
            <w:left w:val="none" w:sz="0" w:space="0" w:color="auto"/>
            <w:bottom w:val="none" w:sz="0" w:space="0" w:color="auto"/>
            <w:right w:val="none" w:sz="0" w:space="0" w:color="auto"/>
          </w:divBdr>
          <w:divsChild>
            <w:div w:id="1113942492">
              <w:marLeft w:val="0"/>
              <w:marRight w:val="0"/>
              <w:marTop w:val="0"/>
              <w:marBottom w:val="0"/>
              <w:divBdr>
                <w:top w:val="none" w:sz="0" w:space="0" w:color="auto"/>
                <w:left w:val="none" w:sz="0" w:space="0" w:color="auto"/>
                <w:bottom w:val="none" w:sz="0" w:space="0" w:color="auto"/>
                <w:right w:val="none" w:sz="0" w:space="0" w:color="auto"/>
              </w:divBdr>
              <w:divsChild>
                <w:div w:id="1653291747">
                  <w:marLeft w:val="0"/>
                  <w:marRight w:val="0"/>
                  <w:marTop w:val="0"/>
                  <w:marBottom w:val="0"/>
                  <w:divBdr>
                    <w:top w:val="none" w:sz="0" w:space="0" w:color="auto"/>
                    <w:left w:val="none" w:sz="0" w:space="0" w:color="auto"/>
                    <w:bottom w:val="none" w:sz="0" w:space="0" w:color="auto"/>
                    <w:right w:val="none" w:sz="0" w:space="0" w:color="auto"/>
                  </w:divBdr>
                </w:div>
              </w:divsChild>
            </w:div>
            <w:div w:id="1448546943">
              <w:marLeft w:val="0"/>
              <w:marRight w:val="0"/>
              <w:marTop w:val="0"/>
              <w:marBottom w:val="0"/>
              <w:divBdr>
                <w:top w:val="none" w:sz="0" w:space="0" w:color="auto"/>
                <w:left w:val="none" w:sz="0" w:space="0" w:color="auto"/>
                <w:bottom w:val="none" w:sz="0" w:space="0" w:color="auto"/>
                <w:right w:val="none" w:sz="0" w:space="0" w:color="auto"/>
              </w:divBdr>
              <w:divsChild>
                <w:div w:id="1233278691">
                  <w:marLeft w:val="0"/>
                  <w:marRight w:val="0"/>
                  <w:marTop w:val="0"/>
                  <w:marBottom w:val="0"/>
                  <w:divBdr>
                    <w:top w:val="none" w:sz="0" w:space="0" w:color="auto"/>
                    <w:left w:val="none" w:sz="0" w:space="0" w:color="auto"/>
                    <w:bottom w:val="none" w:sz="0" w:space="0" w:color="auto"/>
                    <w:right w:val="none" w:sz="0" w:space="0" w:color="auto"/>
                  </w:divBdr>
                </w:div>
              </w:divsChild>
            </w:div>
            <w:div w:id="1696228987">
              <w:marLeft w:val="0"/>
              <w:marRight w:val="0"/>
              <w:marTop w:val="0"/>
              <w:marBottom w:val="0"/>
              <w:divBdr>
                <w:top w:val="none" w:sz="0" w:space="0" w:color="auto"/>
                <w:left w:val="none" w:sz="0" w:space="0" w:color="auto"/>
                <w:bottom w:val="none" w:sz="0" w:space="0" w:color="auto"/>
                <w:right w:val="none" w:sz="0" w:space="0" w:color="auto"/>
              </w:divBdr>
              <w:divsChild>
                <w:div w:id="17638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5480">
      <w:bodyDiv w:val="1"/>
      <w:marLeft w:val="0"/>
      <w:marRight w:val="0"/>
      <w:marTop w:val="0"/>
      <w:marBottom w:val="0"/>
      <w:divBdr>
        <w:top w:val="none" w:sz="0" w:space="0" w:color="auto"/>
        <w:left w:val="none" w:sz="0" w:space="0" w:color="auto"/>
        <w:bottom w:val="none" w:sz="0" w:space="0" w:color="auto"/>
        <w:right w:val="none" w:sz="0" w:space="0" w:color="auto"/>
      </w:divBdr>
    </w:div>
    <w:div w:id="180169704">
      <w:bodyDiv w:val="1"/>
      <w:marLeft w:val="0"/>
      <w:marRight w:val="0"/>
      <w:marTop w:val="0"/>
      <w:marBottom w:val="0"/>
      <w:divBdr>
        <w:top w:val="none" w:sz="0" w:space="0" w:color="auto"/>
        <w:left w:val="none" w:sz="0" w:space="0" w:color="auto"/>
        <w:bottom w:val="none" w:sz="0" w:space="0" w:color="auto"/>
        <w:right w:val="none" w:sz="0" w:space="0" w:color="auto"/>
      </w:divBdr>
    </w:div>
    <w:div w:id="185415141">
      <w:bodyDiv w:val="1"/>
      <w:marLeft w:val="0"/>
      <w:marRight w:val="0"/>
      <w:marTop w:val="0"/>
      <w:marBottom w:val="0"/>
      <w:divBdr>
        <w:top w:val="none" w:sz="0" w:space="0" w:color="auto"/>
        <w:left w:val="none" w:sz="0" w:space="0" w:color="auto"/>
        <w:bottom w:val="none" w:sz="0" w:space="0" w:color="auto"/>
        <w:right w:val="none" w:sz="0" w:space="0" w:color="auto"/>
      </w:divBdr>
    </w:div>
    <w:div w:id="195853407">
      <w:bodyDiv w:val="1"/>
      <w:marLeft w:val="0"/>
      <w:marRight w:val="0"/>
      <w:marTop w:val="0"/>
      <w:marBottom w:val="0"/>
      <w:divBdr>
        <w:top w:val="none" w:sz="0" w:space="0" w:color="auto"/>
        <w:left w:val="none" w:sz="0" w:space="0" w:color="auto"/>
        <w:bottom w:val="none" w:sz="0" w:space="0" w:color="auto"/>
        <w:right w:val="none" w:sz="0" w:space="0" w:color="auto"/>
      </w:divBdr>
    </w:div>
    <w:div w:id="219292189">
      <w:bodyDiv w:val="1"/>
      <w:marLeft w:val="0"/>
      <w:marRight w:val="0"/>
      <w:marTop w:val="0"/>
      <w:marBottom w:val="0"/>
      <w:divBdr>
        <w:top w:val="none" w:sz="0" w:space="0" w:color="auto"/>
        <w:left w:val="none" w:sz="0" w:space="0" w:color="auto"/>
        <w:bottom w:val="none" w:sz="0" w:space="0" w:color="auto"/>
        <w:right w:val="none" w:sz="0" w:space="0" w:color="auto"/>
      </w:divBdr>
    </w:div>
    <w:div w:id="224414580">
      <w:bodyDiv w:val="1"/>
      <w:marLeft w:val="0"/>
      <w:marRight w:val="0"/>
      <w:marTop w:val="0"/>
      <w:marBottom w:val="0"/>
      <w:divBdr>
        <w:top w:val="none" w:sz="0" w:space="0" w:color="auto"/>
        <w:left w:val="none" w:sz="0" w:space="0" w:color="auto"/>
        <w:bottom w:val="none" w:sz="0" w:space="0" w:color="auto"/>
        <w:right w:val="none" w:sz="0" w:space="0" w:color="auto"/>
      </w:divBdr>
    </w:div>
    <w:div w:id="254635271">
      <w:bodyDiv w:val="1"/>
      <w:marLeft w:val="0"/>
      <w:marRight w:val="0"/>
      <w:marTop w:val="0"/>
      <w:marBottom w:val="0"/>
      <w:divBdr>
        <w:top w:val="none" w:sz="0" w:space="0" w:color="auto"/>
        <w:left w:val="none" w:sz="0" w:space="0" w:color="auto"/>
        <w:bottom w:val="none" w:sz="0" w:space="0" w:color="auto"/>
        <w:right w:val="none" w:sz="0" w:space="0" w:color="auto"/>
      </w:divBdr>
      <w:divsChild>
        <w:div w:id="985668858">
          <w:marLeft w:val="0"/>
          <w:marRight w:val="0"/>
          <w:marTop w:val="0"/>
          <w:marBottom w:val="240"/>
          <w:divBdr>
            <w:top w:val="none" w:sz="0" w:space="0" w:color="auto"/>
            <w:left w:val="single" w:sz="48" w:space="12" w:color="BFC1C3"/>
            <w:bottom w:val="none" w:sz="0" w:space="0" w:color="auto"/>
            <w:right w:val="none" w:sz="0" w:space="0" w:color="auto"/>
          </w:divBdr>
        </w:div>
        <w:div w:id="1131244932">
          <w:marLeft w:val="0"/>
          <w:marRight w:val="0"/>
          <w:marTop w:val="0"/>
          <w:marBottom w:val="480"/>
          <w:divBdr>
            <w:top w:val="none" w:sz="0" w:space="0" w:color="auto"/>
            <w:left w:val="none" w:sz="0" w:space="0" w:color="auto"/>
            <w:bottom w:val="none" w:sz="0" w:space="0" w:color="auto"/>
            <w:right w:val="none" w:sz="0" w:space="0" w:color="auto"/>
          </w:divBdr>
        </w:div>
      </w:divsChild>
    </w:div>
    <w:div w:id="308242582">
      <w:bodyDiv w:val="1"/>
      <w:marLeft w:val="0"/>
      <w:marRight w:val="0"/>
      <w:marTop w:val="0"/>
      <w:marBottom w:val="0"/>
      <w:divBdr>
        <w:top w:val="none" w:sz="0" w:space="0" w:color="auto"/>
        <w:left w:val="none" w:sz="0" w:space="0" w:color="auto"/>
        <w:bottom w:val="none" w:sz="0" w:space="0" w:color="auto"/>
        <w:right w:val="none" w:sz="0" w:space="0" w:color="auto"/>
      </w:divBdr>
    </w:div>
    <w:div w:id="330791582">
      <w:bodyDiv w:val="1"/>
      <w:marLeft w:val="0"/>
      <w:marRight w:val="0"/>
      <w:marTop w:val="0"/>
      <w:marBottom w:val="0"/>
      <w:divBdr>
        <w:top w:val="none" w:sz="0" w:space="0" w:color="auto"/>
        <w:left w:val="none" w:sz="0" w:space="0" w:color="auto"/>
        <w:bottom w:val="none" w:sz="0" w:space="0" w:color="auto"/>
        <w:right w:val="none" w:sz="0" w:space="0" w:color="auto"/>
      </w:divBdr>
    </w:div>
    <w:div w:id="333382302">
      <w:bodyDiv w:val="1"/>
      <w:marLeft w:val="0"/>
      <w:marRight w:val="0"/>
      <w:marTop w:val="0"/>
      <w:marBottom w:val="0"/>
      <w:divBdr>
        <w:top w:val="none" w:sz="0" w:space="0" w:color="auto"/>
        <w:left w:val="none" w:sz="0" w:space="0" w:color="auto"/>
        <w:bottom w:val="none" w:sz="0" w:space="0" w:color="auto"/>
        <w:right w:val="none" w:sz="0" w:space="0" w:color="auto"/>
      </w:divBdr>
    </w:div>
    <w:div w:id="349377203">
      <w:bodyDiv w:val="1"/>
      <w:marLeft w:val="0"/>
      <w:marRight w:val="0"/>
      <w:marTop w:val="0"/>
      <w:marBottom w:val="0"/>
      <w:divBdr>
        <w:top w:val="none" w:sz="0" w:space="0" w:color="auto"/>
        <w:left w:val="none" w:sz="0" w:space="0" w:color="auto"/>
        <w:bottom w:val="none" w:sz="0" w:space="0" w:color="auto"/>
        <w:right w:val="none" w:sz="0" w:space="0" w:color="auto"/>
      </w:divBdr>
    </w:div>
    <w:div w:id="364988805">
      <w:bodyDiv w:val="1"/>
      <w:marLeft w:val="0"/>
      <w:marRight w:val="0"/>
      <w:marTop w:val="0"/>
      <w:marBottom w:val="0"/>
      <w:divBdr>
        <w:top w:val="none" w:sz="0" w:space="0" w:color="auto"/>
        <w:left w:val="none" w:sz="0" w:space="0" w:color="auto"/>
        <w:bottom w:val="none" w:sz="0" w:space="0" w:color="auto"/>
        <w:right w:val="none" w:sz="0" w:space="0" w:color="auto"/>
      </w:divBdr>
    </w:div>
    <w:div w:id="432285388">
      <w:bodyDiv w:val="1"/>
      <w:marLeft w:val="0"/>
      <w:marRight w:val="0"/>
      <w:marTop w:val="0"/>
      <w:marBottom w:val="0"/>
      <w:divBdr>
        <w:top w:val="none" w:sz="0" w:space="0" w:color="auto"/>
        <w:left w:val="none" w:sz="0" w:space="0" w:color="auto"/>
        <w:bottom w:val="none" w:sz="0" w:space="0" w:color="auto"/>
        <w:right w:val="none" w:sz="0" w:space="0" w:color="auto"/>
      </w:divBdr>
    </w:div>
    <w:div w:id="442655595">
      <w:bodyDiv w:val="1"/>
      <w:marLeft w:val="0"/>
      <w:marRight w:val="0"/>
      <w:marTop w:val="0"/>
      <w:marBottom w:val="0"/>
      <w:divBdr>
        <w:top w:val="none" w:sz="0" w:space="0" w:color="auto"/>
        <w:left w:val="none" w:sz="0" w:space="0" w:color="auto"/>
        <w:bottom w:val="none" w:sz="0" w:space="0" w:color="auto"/>
        <w:right w:val="none" w:sz="0" w:space="0" w:color="auto"/>
      </w:divBdr>
    </w:div>
    <w:div w:id="500697996">
      <w:bodyDiv w:val="1"/>
      <w:marLeft w:val="0"/>
      <w:marRight w:val="0"/>
      <w:marTop w:val="0"/>
      <w:marBottom w:val="0"/>
      <w:divBdr>
        <w:top w:val="none" w:sz="0" w:space="0" w:color="auto"/>
        <w:left w:val="none" w:sz="0" w:space="0" w:color="auto"/>
        <w:bottom w:val="none" w:sz="0" w:space="0" w:color="auto"/>
        <w:right w:val="none" w:sz="0" w:space="0" w:color="auto"/>
      </w:divBdr>
    </w:div>
    <w:div w:id="503666879">
      <w:bodyDiv w:val="1"/>
      <w:marLeft w:val="0"/>
      <w:marRight w:val="0"/>
      <w:marTop w:val="0"/>
      <w:marBottom w:val="0"/>
      <w:divBdr>
        <w:top w:val="none" w:sz="0" w:space="0" w:color="auto"/>
        <w:left w:val="none" w:sz="0" w:space="0" w:color="auto"/>
        <w:bottom w:val="none" w:sz="0" w:space="0" w:color="auto"/>
        <w:right w:val="none" w:sz="0" w:space="0" w:color="auto"/>
      </w:divBdr>
    </w:div>
    <w:div w:id="515462651">
      <w:bodyDiv w:val="1"/>
      <w:marLeft w:val="0"/>
      <w:marRight w:val="0"/>
      <w:marTop w:val="0"/>
      <w:marBottom w:val="0"/>
      <w:divBdr>
        <w:top w:val="none" w:sz="0" w:space="0" w:color="auto"/>
        <w:left w:val="none" w:sz="0" w:space="0" w:color="auto"/>
        <w:bottom w:val="none" w:sz="0" w:space="0" w:color="auto"/>
        <w:right w:val="none" w:sz="0" w:space="0" w:color="auto"/>
      </w:divBdr>
    </w:div>
    <w:div w:id="602148692">
      <w:bodyDiv w:val="1"/>
      <w:marLeft w:val="0"/>
      <w:marRight w:val="0"/>
      <w:marTop w:val="0"/>
      <w:marBottom w:val="0"/>
      <w:divBdr>
        <w:top w:val="none" w:sz="0" w:space="0" w:color="auto"/>
        <w:left w:val="none" w:sz="0" w:space="0" w:color="auto"/>
        <w:bottom w:val="none" w:sz="0" w:space="0" w:color="auto"/>
        <w:right w:val="none" w:sz="0" w:space="0" w:color="auto"/>
      </w:divBdr>
      <w:divsChild>
        <w:div w:id="912161965">
          <w:marLeft w:val="0"/>
          <w:marRight w:val="0"/>
          <w:marTop w:val="0"/>
          <w:marBottom w:val="0"/>
          <w:divBdr>
            <w:top w:val="none" w:sz="0" w:space="0" w:color="auto"/>
            <w:left w:val="none" w:sz="0" w:space="0" w:color="auto"/>
            <w:bottom w:val="none" w:sz="0" w:space="0" w:color="auto"/>
            <w:right w:val="none" w:sz="0" w:space="0" w:color="auto"/>
          </w:divBdr>
        </w:div>
      </w:divsChild>
    </w:div>
    <w:div w:id="639117117">
      <w:bodyDiv w:val="1"/>
      <w:marLeft w:val="0"/>
      <w:marRight w:val="0"/>
      <w:marTop w:val="0"/>
      <w:marBottom w:val="0"/>
      <w:divBdr>
        <w:top w:val="none" w:sz="0" w:space="0" w:color="auto"/>
        <w:left w:val="none" w:sz="0" w:space="0" w:color="auto"/>
        <w:bottom w:val="none" w:sz="0" w:space="0" w:color="auto"/>
        <w:right w:val="none" w:sz="0" w:space="0" w:color="auto"/>
      </w:divBdr>
    </w:div>
    <w:div w:id="672339274">
      <w:bodyDiv w:val="1"/>
      <w:marLeft w:val="0"/>
      <w:marRight w:val="0"/>
      <w:marTop w:val="0"/>
      <w:marBottom w:val="0"/>
      <w:divBdr>
        <w:top w:val="none" w:sz="0" w:space="0" w:color="auto"/>
        <w:left w:val="none" w:sz="0" w:space="0" w:color="auto"/>
        <w:bottom w:val="none" w:sz="0" w:space="0" w:color="auto"/>
        <w:right w:val="none" w:sz="0" w:space="0" w:color="auto"/>
      </w:divBdr>
    </w:div>
    <w:div w:id="676733663">
      <w:bodyDiv w:val="1"/>
      <w:marLeft w:val="0"/>
      <w:marRight w:val="0"/>
      <w:marTop w:val="0"/>
      <w:marBottom w:val="0"/>
      <w:divBdr>
        <w:top w:val="none" w:sz="0" w:space="0" w:color="auto"/>
        <w:left w:val="none" w:sz="0" w:space="0" w:color="auto"/>
        <w:bottom w:val="none" w:sz="0" w:space="0" w:color="auto"/>
        <w:right w:val="none" w:sz="0" w:space="0" w:color="auto"/>
      </w:divBdr>
    </w:div>
    <w:div w:id="690104635">
      <w:bodyDiv w:val="1"/>
      <w:marLeft w:val="0"/>
      <w:marRight w:val="0"/>
      <w:marTop w:val="0"/>
      <w:marBottom w:val="0"/>
      <w:divBdr>
        <w:top w:val="none" w:sz="0" w:space="0" w:color="auto"/>
        <w:left w:val="none" w:sz="0" w:space="0" w:color="auto"/>
        <w:bottom w:val="none" w:sz="0" w:space="0" w:color="auto"/>
        <w:right w:val="none" w:sz="0" w:space="0" w:color="auto"/>
      </w:divBdr>
    </w:div>
    <w:div w:id="700083804">
      <w:bodyDiv w:val="1"/>
      <w:marLeft w:val="0"/>
      <w:marRight w:val="0"/>
      <w:marTop w:val="0"/>
      <w:marBottom w:val="0"/>
      <w:divBdr>
        <w:top w:val="none" w:sz="0" w:space="0" w:color="auto"/>
        <w:left w:val="none" w:sz="0" w:space="0" w:color="auto"/>
        <w:bottom w:val="none" w:sz="0" w:space="0" w:color="auto"/>
        <w:right w:val="none" w:sz="0" w:space="0" w:color="auto"/>
      </w:divBdr>
    </w:div>
    <w:div w:id="733360188">
      <w:bodyDiv w:val="1"/>
      <w:marLeft w:val="0"/>
      <w:marRight w:val="0"/>
      <w:marTop w:val="0"/>
      <w:marBottom w:val="0"/>
      <w:divBdr>
        <w:top w:val="none" w:sz="0" w:space="0" w:color="auto"/>
        <w:left w:val="none" w:sz="0" w:space="0" w:color="auto"/>
        <w:bottom w:val="none" w:sz="0" w:space="0" w:color="auto"/>
        <w:right w:val="none" w:sz="0" w:space="0" w:color="auto"/>
      </w:divBdr>
    </w:div>
    <w:div w:id="759066591">
      <w:bodyDiv w:val="1"/>
      <w:marLeft w:val="0"/>
      <w:marRight w:val="0"/>
      <w:marTop w:val="0"/>
      <w:marBottom w:val="0"/>
      <w:divBdr>
        <w:top w:val="none" w:sz="0" w:space="0" w:color="auto"/>
        <w:left w:val="none" w:sz="0" w:space="0" w:color="auto"/>
        <w:bottom w:val="none" w:sz="0" w:space="0" w:color="auto"/>
        <w:right w:val="none" w:sz="0" w:space="0" w:color="auto"/>
      </w:divBdr>
    </w:div>
    <w:div w:id="819736827">
      <w:bodyDiv w:val="1"/>
      <w:marLeft w:val="0"/>
      <w:marRight w:val="0"/>
      <w:marTop w:val="0"/>
      <w:marBottom w:val="0"/>
      <w:divBdr>
        <w:top w:val="none" w:sz="0" w:space="0" w:color="auto"/>
        <w:left w:val="none" w:sz="0" w:space="0" w:color="auto"/>
        <w:bottom w:val="none" w:sz="0" w:space="0" w:color="auto"/>
        <w:right w:val="none" w:sz="0" w:space="0" w:color="auto"/>
      </w:divBdr>
    </w:div>
    <w:div w:id="883561050">
      <w:bodyDiv w:val="1"/>
      <w:marLeft w:val="0"/>
      <w:marRight w:val="0"/>
      <w:marTop w:val="0"/>
      <w:marBottom w:val="0"/>
      <w:divBdr>
        <w:top w:val="none" w:sz="0" w:space="0" w:color="auto"/>
        <w:left w:val="none" w:sz="0" w:space="0" w:color="auto"/>
        <w:bottom w:val="none" w:sz="0" w:space="0" w:color="auto"/>
        <w:right w:val="none" w:sz="0" w:space="0" w:color="auto"/>
      </w:divBdr>
      <w:divsChild>
        <w:div w:id="477574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247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515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4043752">
      <w:bodyDiv w:val="1"/>
      <w:marLeft w:val="0"/>
      <w:marRight w:val="0"/>
      <w:marTop w:val="0"/>
      <w:marBottom w:val="0"/>
      <w:divBdr>
        <w:top w:val="none" w:sz="0" w:space="0" w:color="auto"/>
        <w:left w:val="none" w:sz="0" w:space="0" w:color="auto"/>
        <w:bottom w:val="none" w:sz="0" w:space="0" w:color="auto"/>
        <w:right w:val="none" w:sz="0" w:space="0" w:color="auto"/>
      </w:divBdr>
    </w:div>
    <w:div w:id="897858737">
      <w:bodyDiv w:val="1"/>
      <w:marLeft w:val="0"/>
      <w:marRight w:val="0"/>
      <w:marTop w:val="0"/>
      <w:marBottom w:val="0"/>
      <w:divBdr>
        <w:top w:val="none" w:sz="0" w:space="0" w:color="auto"/>
        <w:left w:val="none" w:sz="0" w:space="0" w:color="auto"/>
        <w:bottom w:val="none" w:sz="0" w:space="0" w:color="auto"/>
        <w:right w:val="none" w:sz="0" w:space="0" w:color="auto"/>
      </w:divBdr>
    </w:div>
    <w:div w:id="901599392">
      <w:bodyDiv w:val="1"/>
      <w:marLeft w:val="0"/>
      <w:marRight w:val="0"/>
      <w:marTop w:val="0"/>
      <w:marBottom w:val="0"/>
      <w:divBdr>
        <w:top w:val="none" w:sz="0" w:space="0" w:color="auto"/>
        <w:left w:val="none" w:sz="0" w:space="0" w:color="auto"/>
        <w:bottom w:val="none" w:sz="0" w:space="0" w:color="auto"/>
        <w:right w:val="none" w:sz="0" w:space="0" w:color="auto"/>
      </w:divBdr>
    </w:div>
    <w:div w:id="939946457">
      <w:bodyDiv w:val="1"/>
      <w:marLeft w:val="0"/>
      <w:marRight w:val="0"/>
      <w:marTop w:val="0"/>
      <w:marBottom w:val="0"/>
      <w:divBdr>
        <w:top w:val="none" w:sz="0" w:space="0" w:color="auto"/>
        <w:left w:val="none" w:sz="0" w:space="0" w:color="auto"/>
        <w:bottom w:val="none" w:sz="0" w:space="0" w:color="auto"/>
        <w:right w:val="none" w:sz="0" w:space="0" w:color="auto"/>
      </w:divBdr>
    </w:div>
    <w:div w:id="952636178">
      <w:bodyDiv w:val="1"/>
      <w:marLeft w:val="0"/>
      <w:marRight w:val="0"/>
      <w:marTop w:val="0"/>
      <w:marBottom w:val="0"/>
      <w:divBdr>
        <w:top w:val="none" w:sz="0" w:space="0" w:color="auto"/>
        <w:left w:val="none" w:sz="0" w:space="0" w:color="auto"/>
        <w:bottom w:val="none" w:sz="0" w:space="0" w:color="auto"/>
        <w:right w:val="none" w:sz="0" w:space="0" w:color="auto"/>
      </w:divBdr>
    </w:div>
    <w:div w:id="963080781">
      <w:bodyDiv w:val="1"/>
      <w:marLeft w:val="0"/>
      <w:marRight w:val="0"/>
      <w:marTop w:val="0"/>
      <w:marBottom w:val="0"/>
      <w:divBdr>
        <w:top w:val="none" w:sz="0" w:space="0" w:color="auto"/>
        <w:left w:val="none" w:sz="0" w:space="0" w:color="auto"/>
        <w:bottom w:val="none" w:sz="0" w:space="0" w:color="auto"/>
        <w:right w:val="none" w:sz="0" w:space="0" w:color="auto"/>
      </w:divBdr>
    </w:div>
    <w:div w:id="978219039">
      <w:bodyDiv w:val="1"/>
      <w:marLeft w:val="0"/>
      <w:marRight w:val="0"/>
      <w:marTop w:val="0"/>
      <w:marBottom w:val="0"/>
      <w:divBdr>
        <w:top w:val="none" w:sz="0" w:space="0" w:color="auto"/>
        <w:left w:val="none" w:sz="0" w:space="0" w:color="auto"/>
        <w:bottom w:val="none" w:sz="0" w:space="0" w:color="auto"/>
        <w:right w:val="none" w:sz="0" w:space="0" w:color="auto"/>
      </w:divBdr>
    </w:div>
    <w:div w:id="1063983997">
      <w:bodyDiv w:val="1"/>
      <w:marLeft w:val="0"/>
      <w:marRight w:val="0"/>
      <w:marTop w:val="0"/>
      <w:marBottom w:val="0"/>
      <w:divBdr>
        <w:top w:val="none" w:sz="0" w:space="0" w:color="auto"/>
        <w:left w:val="none" w:sz="0" w:space="0" w:color="auto"/>
        <w:bottom w:val="none" w:sz="0" w:space="0" w:color="auto"/>
        <w:right w:val="none" w:sz="0" w:space="0" w:color="auto"/>
      </w:divBdr>
    </w:div>
    <w:div w:id="1129469844">
      <w:bodyDiv w:val="1"/>
      <w:marLeft w:val="0"/>
      <w:marRight w:val="0"/>
      <w:marTop w:val="0"/>
      <w:marBottom w:val="0"/>
      <w:divBdr>
        <w:top w:val="none" w:sz="0" w:space="0" w:color="auto"/>
        <w:left w:val="none" w:sz="0" w:space="0" w:color="auto"/>
        <w:bottom w:val="none" w:sz="0" w:space="0" w:color="auto"/>
        <w:right w:val="none" w:sz="0" w:space="0" w:color="auto"/>
      </w:divBdr>
    </w:div>
    <w:div w:id="1144854580">
      <w:bodyDiv w:val="1"/>
      <w:marLeft w:val="0"/>
      <w:marRight w:val="0"/>
      <w:marTop w:val="0"/>
      <w:marBottom w:val="0"/>
      <w:divBdr>
        <w:top w:val="none" w:sz="0" w:space="0" w:color="auto"/>
        <w:left w:val="none" w:sz="0" w:space="0" w:color="auto"/>
        <w:bottom w:val="none" w:sz="0" w:space="0" w:color="auto"/>
        <w:right w:val="none" w:sz="0" w:space="0" w:color="auto"/>
      </w:divBdr>
    </w:div>
    <w:div w:id="1154181396">
      <w:bodyDiv w:val="1"/>
      <w:marLeft w:val="0"/>
      <w:marRight w:val="0"/>
      <w:marTop w:val="0"/>
      <w:marBottom w:val="0"/>
      <w:divBdr>
        <w:top w:val="none" w:sz="0" w:space="0" w:color="auto"/>
        <w:left w:val="none" w:sz="0" w:space="0" w:color="auto"/>
        <w:bottom w:val="none" w:sz="0" w:space="0" w:color="auto"/>
        <w:right w:val="none" w:sz="0" w:space="0" w:color="auto"/>
      </w:divBdr>
    </w:div>
    <w:div w:id="1169565565">
      <w:bodyDiv w:val="1"/>
      <w:marLeft w:val="0"/>
      <w:marRight w:val="0"/>
      <w:marTop w:val="0"/>
      <w:marBottom w:val="0"/>
      <w:divBdr>
        <w:top w:val="none" w:sz="0" w:space="0" w:color="auto"/>
        <w:left w:val="none" w:sz="0" w:space="0" w:color="auto"/>
        <w:bottom w:val="none" w:sz="0" w:space="0" w:color="auto"/>
        <w:right w:val="none" w:sz="0" w:space="0" w:color="auto"/>
      </w:divBdr>
      <w:divsChild>
        <w:div w:id="60492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98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7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5605587">
      <w:bodyDiv w:val="1"/>
      <w:marLeft w:val="0"/>
      <w:marRight w:val="0"/>
      <w:marTop w:val="0"/>
      <w:marBottom w:val="0"/>
      <w:divBdr>
        <w:top w:val="none" w:sz="0" w:space="0" w:color="auto"/>
        <w:left w:val="none" w:sz="0" w:space="0" w:color="auto"/>
        <w:bottom w:val="none" w:sz="0" w:space="0" w:color="auto"/>
        <w:right w:val="none" w:sz="0" w:space="0" w:color="auto"/>
      </w:divBdr>
    </w:div>
    <w:div w:id="1260718727">
      <w:bodyDiv w:val="1"/>
      <w:marLeft w:val="0"/>
      <w:marRight w:val="0"/>
      <w:marTop w:val="0"/>
      <w:marBottom w:val="0"/>
      <w:divBdr>
        <w:top w:val="none" w:sz="0" w:space="0" w:color="auto"/>
        <w:left w:val="none" w:sz="0" w:space="0" w:color="auto"/>
        <w:bottom w:val="none" w:sz="0" w:space="0" w:color="auto"/>
        <w:right w:val="none" w:sz="0" w:space="0" w:color="auto"/>
      </w:divBdr>
    </w:div>
    <w:div w:id="1288320347">
      <w:bodyDiv w:val="1"/>
      <w:marLeft w:val="0"/>
      <w:marRight w:val="0"/>
      <w:marTop w:val="0"/>
      <w:marBottom w:val="0"/>
      <w:divBdr>
        <w:top w:val="none" w:sz="0" w:space="0" w:color="auto"/>
        <w:left w:val="none" w:sz="0" w:space="0" w:color="auto"/>
        <w:bottom w:val="none" w:sz="0" w:space="0" w:color="auto"/>
        <w:right w:val="none" w:sz="0" w:space="0" w:color="auto"/>
      </w:divBdr>
    </w:div>
    <w:div w:id="1313561689">
      <w:bodyDiv w:val="1"/>
      <w:marLeft w:val="0"/>
      <w:marRight w:val="0"/>
      <w:marTop w:val="0"/>
      <w:marBottom w:val="0"/>
      <w:divBdr>
        <w:top w:val="none" w:sz="0" w:space="0" w:color="auto"/>
        <w:left w:val="none" w:sz="0" w:space="0" w:color="auto"/>
        <w:bottom w:val="none" w:sz="0" w:space="0" w:color="auto"/>
        <w:right w:val="none" w:sz="0" w:space="0" w:color="auto"/>
      </w:divBdr>
    </w:div>
    <w:div w:id="1383793934">
      <w:bodyDiv w:val="1"/>
      <w:marLeft w:val="0"/>
      <w:marRight w:val="0"/>
      <w:marTop w:val="0"/>
      <w:marBottom w:val="0"/>
      <w:divBdr>
        <w:top w:val="none" w:sz="0" w:space="0" w:color="auto"/>
        <w:left w:val="none" w:sz="0" w:space="0" w:color="auto"/>
        <w:bottom w:val="none" w:sz="0" w:space="0" w:color="auto"/>
        <w:right w:val="none" w:sz="0" w:space="0" w:color="auto"/>
      </w:divBdr>
    </w:div>
    <w:div w:id="1393119387">
      <w:bodyDiv w:val="1"/>
      <w:marLeft w:val="0"/>
      <w:marRight w:val="0"/>
      <w:marTop w:val="0"/>
      <w:marBottom w:val="0"/>
      <w:divBdr>
        <w:top w:val="none" w:sz="0" w:space="0" w:color="auto"/>
        <w:left w:val="none" w:sz="0" w:space="0" w:color="auto"/>
        <w:bottom w:val="none" w:sz="0" w:space="0" w:color="auto"/>
        <w:right w:val="none" w:sz="0" w:space="0" w:color="auto"/>
      </w:divBdr>
    </w:div>
    <w:div w:id="1423572994">
      <w:bodyDiv w:val="1"/>
      <w:marLeft w:val="0"/>
      <w:marRight w:val="0"/>
      <w:marTop w:val="0"/>
      <w:marBottom w:val="0"/>
      <w:divBdr>
        <w:top w:val="none" w:sz="0" w:space="0" w:color="auto"/>
        <w:left w:val="none" w:sz="0" w:space="0" w:color="auto"/>
        <w:bottom w:val="none" w:sz="0" w:space="0" w:color="auto"/>
        <w:right w:val="none" w:sz="0" w:space="0" w:color="auto"/>
      </w:divBdr>
    </w:div>
    <w:div w:id="1424376009">
      <w:bodyDiv w:val="1"/>
      <w:marLeft w:val="0"/>
      <w:marRight w:val="0"/>
      <w:marTop w:val="0"/>
      <w:marBottom w:val="0"/>
      <w:divBdr>
        <w:top w:val="none" w:sz="0" w:space="0" w:color="auto"/>
        <w:left w:val="none" w:sz="0" w:space="0" w:color="auto"/>
        <w:bottom w:val="none" w:sz="0" w:space="0" w:color="auto"/>
        <w:right w:val="none" w:sz="0" w:space="0" w:color="auto"/>
      </w:divBdr>
    </w:div>
    <w:div w:id="1426532030">
      <w:bodyDiv w:val="1"/>
      <w:marLeft w:val="0"/>
      <w:marRight w:val="0"/>
      <w:marTop w:val="0"/>
      <w:marBottom w:val="0"/>
      <w:divBdr>
        <w:top w:val="none" w:sz="0" w:space="0" w:color="auto"/>
        <w:left w:val="none" w:sz="0" w:space="0" w:color="auto"/>
        <w:bottom w:val="none" w:sz="0" w:space="0" w:color="auto"/>
        <w:right w:val="none" w:sz="0" w:space="0" w:color="auto"/>
      </w:divBdr>
    </w:div>
    <w:div w:id="1469742682">
      <w:bodyDiv w:val="1"/>
      <w:marLeft w:val="0"/>
      <w:marRight w:val="0"/>
      <w:marTop w:val="0"/>
      <w:marBottom w:val="0"/>
      <w:divBdr>
        <w:top w:val="none" w:sz="0" w:space="0" w:color="auto"/>
        <w:left w:val="none" w:sz="0" w:space="0" w:color="auto"/>
        <w:bottom w:val="none" w:sz="0" w:space="0" w:color="auto"/>
        <w:right w:val="none" w:sz="0" w:space="0" w:color="auto"/>
      </w:divBdr>
    </w:div>
    <w:div w:id="1490515777">
      <w:bodyDiv w:val="1"/>
      <w:marLeft w:val="0"/>
      <w:marRight w:val="0"/>
      <w:marTop w:val="0"/>
      <w:marBottom w:val="0"/>
      <w:divBdr>
        <w:top w:val="none" w:sz="0" w:space="0" w:color="auto"/>
        <w:left w:val="none" w:sz="0" w:space="0" w:color="auto"/>
        <w:bottom w:val="none" w:sz="0" w:space="0" w:color="auto"/>
        <w:right w:val="none" w:sz="0" w:space="0" w:color="auto"/>
      </w:divBdr>
    </w:div>
    <w:div w:id="1522547551">
      <w:bodyDiv w:val="1"/>
      <w:marLeft w:val="0"/>
      <w:marRight w:val="0"/>
      <w:marTop w:val="0"/>
      <w:marBottom w:val="0"/>
      <w:divBdr>
        <w:top w:val="none" w:sz="0" w:space="0" w:color="auto"/>
        <w:left w:val="none" w:sz="0" w:space="0" w:color="auto"/>
        <w:bottom w:val="none" w:sz="0" w:space="0" w:color="auto"/>
        <w:right w:val="none" w:sz="0" w:space="0" w:color="auto"/>
      </w:divBdr>
      <w:divsChild>
        <w:div w:id="79221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37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6387244">
      <w:bodyDiv w:val="1"/>
      <w:marLeft w:val="0"/>
      <w:marRight w:val="0"/>
      <w:marTop w:val="0"/>
      <w:marBottom w:val="0"/>
      <w:divBdr>
        <w:top w:val="none" w:sz="0" w:space="0" w:color="auto"/>
        <w:left w:val="none" w:sz="0" w:space="0" w:color="auto"/>
        <w:bottom w:val="none" w:sz="0" w:space="0" w:color="auto"/>
        <w:right w:val="none" w:sz="0" w:space="0" w:color="auto"/>
      </w:divBdr>
      <w:divsChild>
        <w:div w:id="1554268340">
          <w:marLeft w:val="0"/>
          <w:marRight w:val="0"/>
          <w:marTop w:val="0"/>
          <w:marBottom w:val="0"/>
          <w:divBdr>
            <w:top w:val="none" w:sz="0" w:space="0" w:color="auto"/>
            <w:left w:val="none" w:sz="0" w:space="0" w:color="auto"/>
            <w:bottom w:val="none" w:sz="0" w:space="0" w:color="auto"/>
            <w:right w:val="none" w:sz="0" w:space="0" w:color="auto"/>
          </w:divBdr>
        </w:div>
      </w:divsChild>
    </w:div>
    <w:div w:id="1559322597">
      <w:bodyDiv w:val="1"/>
      <w:marLeft w:val="0"/>
      <w:marRight w:val="0"/>
      <w:marTop w:val="0"/>
      <w:marBottom w:val="0"/>
      <w:divBdr>
        <w:top w:val="none" w:sz="0" w:space="0" w:color="auto"/>
        <w:left w:val="none" w:sz="0" w:space="0" w:color="auto"/>
        <w:bottom w:val="none" w:sz="0" w:space="0" w:color="auto"/>
        <w:right w:val="none" w:sz="0" w:space="0" w:color="auto"/>
      </w:divBdr>
    </w:div>
    <w:div w:id="1596212190">
      <w:bodyDiv w:val="1"/>
      <w:marLeft w:val="0"/>
      <w:marRight w:val="0"/>
      <w:marTop w:val="0"/>
      <w:marBottom w:val="0"/>
      <w:divBdr>
        <w:top w:val="none" w:sz="0" w:space="0" w:color="auto"/>
        <w:left w:val="none" w:sz="0" w:space="0" w:color="auto"/>
        <w:bottom w:val="none" w:sz="0" w:space="0" w:color="auto"/>
        <w:right w:val="none" w:sz="0" w:space="0" w:color="auto"/>
      </w:divBdr>
      <w:divsChild>
        <w:div w:id="2089837988">
          <w:marLeft w:val="0"/>
          <w:marRight w:val="0"/>
          <w:marTop w:val="0"/>
          <w:marBottom w:val="0"/>
          <w:divBdr>
            <w:top w:val="none" w:sz="0" w:space="0" w:color="auto"/>
            <w:left w:val="none" w:sz="0" w:space="0" w:color="auto"/>
            <w:bottom w:val="none" w:sz="0" w:space="0" w:color="auto"/>
            <w:right w:val="none" w:sz="0" w:space="0" w:color="auto"/>
          </w:divBdr>
          <w:divsChild>
            <w:div w:id="1659074158">
              <w:marLeft w:val="0"/>
              <w:marRight w:val="0"/>
              <w:marTop w:val="0"/>
              <w:marBottom w:val="0"/>
              <w:divBdr>
                <w:top w:val="none" w:sz="0" w:space="0" w:color="auto"/>
                <w:left w:val="none" w:sz="0" w:space="0" w:color="auto"/>
                <w:bottom w:val="none" w:sz="0" w:space="0" w:color="auto"/>
                <w:right w:val="none" w:sz="0" w:space="0" w:color="auto"/>
              </w:divBdr>
              <w:divsChild>
                <w:div w:id="16179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4754">
      <w:bodyDiv w:val="1"/>
      <w:marLeft w:val="0"/>
      <w:marRight w:val="0"/>
      <w:marTop w:val="0"/>
      <w:marBottom w:val="0"/>
      <w:divBdr>
        <w:top w:val="none" w:sz="0" w:space="0" w:color="auto"/>
        <w:left w:val="none" w:sz="0" w:space="0" w:color="auto"/>
        <w:bottom w:val="none" w:sz="0" w:space="0" w:color="auto"/>
        <w:right w:val="none" w:sz="0" w:space="0" w:color="auto"/>
      </w:divBdr>
    </w:div>
    <w:div w:id="1646936196">
      <w:bodyDiv w:val="1"/>
      <w:marLeft w:val="0"/>
      <w:marRight w:val="0"/>
      <w:marTop w:val="0"/>
      <w:marBottom w:val="0"/>
      <w:divBdr>
        <w:top w:val="none" w:sz="0" w:space="0" w:color="auto"/>
        <w:left w:val="none" w:sz="0" w:space="0" w:color="auto"/>
        <w:bottom w:val="none" w:sz="0" w:space="0" w:color="auto"/>
        <w:right w:val="none" w:sz="0" w:space="0" w:color="auto"/>
      </w:divBdr>
    </w:div>
    <w:div w:id="1677658390">
      <w:bodyDiv w:val="1"/>
      <w:marLeft w:val="0"/>
      <w:marRight w:val="0"/>
      <w:marTop w:val="0"/>
      <w:marBottom w:val="0"/>
      <w:divBdr>
        <w:top w:val="none" w:sz="0" w:space="0" w:color="auto"/>
        <w:left w:val="none" w:sz="0" w:space="0" w:color="auto"/>
        <w:bottom w:val="none" w:sz="0" w:space="0" w:color="auto"/>
        <w:right w:val="none" w:sz="0" w:space="0" w:color="auto"/>
      </w:divBdr>
      <w:divsChild>
        <w:div w:id="1888451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272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95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5933904">
      <w:bodyDiv w:val="1"/>
      <w:marLeft w:val="0"/>
      <w:marRight w:val="0"/>
      <w:marTop w:val="0"/>
      <w:marBottom w:val="0"/>
      <w:divBdr>
        <w:top w:val="none" w:sz="0" w:space="0" w:color="auto"/>
        <w:left w:val="none" w:sz="0" w:space="0" w:color="auto"/>
        <w:bottom w:val="none" w:sz="0" w:space="0" w:color="auto"/>
        <w:right w:val="none" w:sz="0" w:space="0" w:color="auto"/>
      </w:divBdr>
      <w:divsChild>
        <w:div w:id="231043596">
          <w:marLeft w:val="0"/>
          <w:marRight w:val="0"/>
          <w:marTop w:val="0"/>
          <w:marBottom w:val="360"/>
          <w:divBdr>
            <w:top w:val="none" w:sz="0" w:space="0" w:color="auto"/>
            <w:left w:val="none" w:sz="0" w:space="0" w:color="auto"/>
            <w:bottom w:val="none" w:sz="0" w:space="0" w:color="auto"/>
            <w:right w:val="none" w:sz="0" w:space="0" w:color="auto"/>
          </w:divBdr>
          <w:divsChild>
            <w:div w:id="1649360200">
              <w:marLeft w:val="0"/>
              <w:marRight w:val="0"/>
              <w:marTop w:val="0"/>
              <w:marBottom w:val="0"/>
              <w:divBdr>
                <w:top w:val="single" w:sz="6" w:space="12" w:color="4D8E4D"/>
                <w:left w:val="single" w:sz="6" w:space="12" w:color="4D8E4D"/>
                <w:bottom w:val="single" w:sz="24" w:space="12" w:color="4D8E4D"/>
                <w:right w:val="single" w:sz="6" w:space="12" w:color="4D8E4D"/>
              </w:divBdr>
            </w:div>
          </w:divsChild>
        </w:div>
      </w:divsChild>
    </w:div>
    <w:div w:id="1739480445">
      <w:bodyDiv w:val="1"/>
      <w:marLeft w:val="0"/>
      <w:marRight w:val="0"/>
      <w:marTop w:val="0"/>
      <w:marBottom w:val="0"/>
      <w:divBdr>
        <w:top w:val="none" w:sz="0" w:space="0" w:color="auto"/>
        <w:left w:val="none" w:sz="0" w:space="0" w:color="auto"/>
        <w:bottom w:val="none" w:sz="0" w:space="0" w:color="auto"/>
        <w:right w:val="none" w:sz="0" w:space="0" w:color="auto"/>
      </w:divBdr>
    </w:div>
    <w:div w:id="1771851515">
      <w:bodyDiv w:val="1"/>
      <w:marLeft w:val="0"/>
      <w:marRight w:val="0"/>
      <w:marTop w:val="0"/>
      <w:marBottom w:val="0"/>
      <w:divBdr>
        <w:top w:val="none" w:sz="0" w:space="0" w:color="auto"/>
        <w:left w:val="none" w:sz="0" w:space="0" w:color="auto"/>
        <w:bottom w:val="none" w:sz="0" w:space="0" w:color="auto"/>
        <w:right w:val="none" w:sz="0" w:space="0" w:color="auto"/>
      </w:divBdr>
    </w:div>
    <w:div w:id="1787892747">
      <w:bodyDiv w:val="1"/>
      <w:marLeft w:val="0"/>
      <w:marRight w:val="0"/>
      <w:marTop w:val="0"/>
      <w:marBottom w:val="0"/>
      <w:divBdr>
        <w:top w:val="none" w:sz="0" w:space="0" w:color="auto"/>
        <w:left w:val="none" w:sz="0" w:space="0" w:color="auto"/>
        <w:bottom w:val="none" w:sz="0" w:space="0" w:color="auto"/>
        <w:right w:val="none" w:sz="0" w:space="0" w:color="auto"/>
      </w:divBdr>
    </w:div>
    <w:div w:id="1788311790">
      <w:bodyDiv w:val="1"/>
      <w:marLeft w:val="0"/>
      <w:marRight w:val="0"/>
      <w:marTop w:val="0"/>
      <w:marBottom w:val="0"/>
      <w:divBdr>
        <w:top w:val="none" w:sz="0" w:space="0" w:color="auto"/>
        <w:left w:val="none" w:sz="0" w:space="0" w:color="auto"/>
        <w:bottom w:val="none" w:sz="0" w:space="0" w:color="auto"/>
        <w:right w:val="none" w:sz="0" w:space="0" w:color="auto"/>
      </w:divBdr>
    </w:div>
    <w:div w:id="1790392162">
      <w:bodyDiv w:val="1"/>
      <w:marLeft w:val="0"/>
      <w:marRight w:val="0"/>
      <w:marTop w:val="0"/>
      <w:marBottom w:val="0"/>
      <w:divBdr>
        <w:top w:val="none" w:sz="0" w:space="0" w:color="auto"/>
        <w:left w:val="none" w:sz="0" w:space="0" w:color="auto"/>
        <w:bottom w:val="none" w:sz="0" w:space="0" w:color="auto"/>
        <w:right w:val="none" w:sz="0" w:space="0" w:color="auto"/>
      </w:divBdr>
    </w:div>
    <w:div w:id="1898086085">
      <w:bodyDiv w:val="1"/>
      <w:marLeft w:val="0"/>
      <w:marRight w:val="0"/>
      <w:marTop w:val="0"/>
      <w:marBottom w:val="0"/>
      <w:divBdr>
        <w:top w:val="none" w:sz="0" w:space="0" w:color="auto"/>
        <w:left w:val="none" w:sz="0" w:space="0" w:color="auto"/>
        <w:bottom w:val="none" w:sz="0" w:space="0" w:color="auto"/>
        <w:right w:val="none" w:sz="0" w:space="0" w:color="auto"/>
      </w:divBdr>
    </w:div>
    <w:div w:id="1919902226">
      <w:bodyDiv w:val="1"/>
      <w:marLeft w:val="0"/>
      <w:marRight w:val="0"/>
      <w:marTop w:val="0"/>
      <w:marBottom w:val="0"/>
      <w:divBdr>
        <w:top w:val="none" w:sz="0" w:space="0" w:color="auto"/>
        <w:left w:val="none" w:sz="0" w:space="0" w:color="auto"/>
        <w:bottom w:val="none" w:sz="0" w:space="0" w:color="auto"/>
        <w:right w:val="none" w:sz="0" w:space="0" w:color="auto"/>
      </w:divBdr>
    </w:div>
    <w:div w:id="1949894520">
      <w:bodyDiv w:val="1"/>
      <w:marLeft w:val="0"/>
      <w:marRight w:val="0"/>
      <w:marTop w:val="0"/>
      <w:marBottom w:val="0"/>
      <w:divBdr>
        <w:top w:val="none" w:sz="0" w:space="0" w:color="auto"/>
        <w:left w:val="none" w:sz="0" w:space="0" w:color="auto"/>
        <w:bottom w:val="none" w:sz="0" w:space="0" w:color="auto"/>
        <w:right w:val="none" w:sz="0" w:space="0" w:color="auto"/>
      </w:divBdr>
      <w:divsChild>
        <w:div w:id="2030640190">
          <w:marLeft w:val="0"/>
          <w:marRight w:val="0"/>
          <w:marTop w:val="0"/>
          <w:marBottom w:val="0"/>
          <w:divBdr>
            <w:top w:val="none" w:sz="0" w:space="0" w:color="auto"/>
            <w:left w:val="none" w:sz="0" w:space="0" w:color="auto"/>
            <w:bottom w:val="none" w:sz="0" w:space="0" w:color="auto"/>
            <w:right w:val="none" w:sz="0" w:space="0" w:color="auto"/>
          </w:divBdr>
          <w:divsChild>
            <w:div w:id="1166556805">
              <w:marLeft w:val="0"/>
              <w:marRight w:val="0"/>
              <w:marTop w:val="0"/>
              <w:marBottom w:val="0"/>
              <w:divBdr>
                <w:top w:val="none" w:sz="0" w:space="0" w:color="auto"/>
                <w:left w:val="none" w:sz="0" w:space="0" w:color="auto"/>
                <w:bottom w:val="none" w:sz="0" w:space="0" w:color="auto"/>
                <w:right w:val="none" w:sz="0" w:space="0" w:color="auto"/>
              </w:divBdr>
              <w:divsChild>
                <w:div w:id="1577394717">
                  <w:marLeft w:val="0"/>
                  <w:marRight w:val="0"/>
                  <w:marTop w:val="0"/>
                  <w:marBottom w:val="0"/>
                  <w:divBdr>
                    <w:top w:val="none" w:sz="0" w:space="0" w:color="auto"/>
                    <w:left w:val="none" w:sz="0" w:space="0" w:color="auto"/>
                    <w:bottom w:val="none" w:sz="0" w:space="0" w:color="auto"/>
                    <w:right w:val="none" w:sz="0" w:space="0" w:color="auto"/>
                  </w:divBdr>
                </w:div>
              </w:divsChild>
            </w:div>
            <w:div w:id="1371033175">
              <w:marLeft w:val="0"/>
              <w:marRight w:val="0"/>
              <w:marTop w:val="0"/>
              <w:marBottom w:val="0"/>
              <w:divBdr>
                <w:top w:val="none" w:sz="0" w:space="0" w:color="auto"/>
                <w:left w:val="none" w:sz="0" w:space="0" w:color="auto"/>
                <w:bottom w:val="none" w:sz="0" w:space="0" w:color="auto"/>
                <w:right w:val="none" w:sz="0" w:space="0" w:color="auto"/>
              </w:divBdr>
              <w:divsChild>
                <w:div w:id="1448158716">
                  <w:marLeft w:val="0"/>
                  <w:marRight w:val="0"/>
                  <w:marTop w:val="0"/>
                  <w:marBottom w:val="0"/>
                  <w:divBdr>
                    <w:top w:val="none" w:sz="0" w:space="0" w:color="auto"/>
                    <w:left w:val="none" w:sz="0" w:space="0" w:color="auto"/>
                    <w:bottom w:val="none" w:sz="0" w:space="0" w:color="auto"/>
                    <w:right w:val="none" w:sz="0" w:space="0" w:color="auto"/>
                  </w:divBdr>
                </w:div>
              </w:divsChild>
            </w:div>
            <w:div w:id="1714236181">
              <w:marLeft w:val="0"/>
              <w:marRight w:val="0"/>
              <w:marTop w:val="0"/>
              <w:marBottom w:val="0"/>
              <w:divBdr>
                <w:top w:val="none" w:sz="0" w:space="0" w:color="auto"/>
                <w:left w:val="none" w:sz="0" w:space="0" w:color="auto"/>
                <w:bottom w:val="none" w:sz="0" w:space="0" w:color="auto"/>
                <w:right w:val="none" w:sz="0" w:space="0" w:color="auto"/>
              </w:divBdr>
              <w:divsChild>
                <w:div w:id="14885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5392">
      <w:bodyDiv w:val="1"/>
      <w:marLeft w:val="0"/>
      <w:marRight w:val="0"/>
      <w:marTop w:val="0"/>
      <w:marBottom w:val="0"/>
      <w:divBdr>
        <w:top w:val="none" w:sz="0" w:space="0" w:color="auto"/>
        <w:left w:val="none" w:sz="0" w:space="0" w:color="auto"/>
        <w:bottom w:val="none" w:sz="0" w:space="0" w:color="auto"/>
        <w:right w:val="none" w:sz="0" w:space="0" w:color="auto"/>
      </w:divBdr>
    </w:div>
    <w:div w:id="1969966734">
      <w:bodyDiv w:val="1"/>
      <w:marLeft w:val="0"/>
      <w:marRight w:val="0"/>
      <w:marTop w:val="0"/>
      <w:marBottom w:val="0"/>
      <w:divBdr>
        <w:top w:val="none" w:sz="0" w:space="0" w:color="auto"/>
        <w:left w:val="none" w:sz="0" w:space="0" w:color="auto"/>
        <w:bottom w:val="none" w:sz="0" w:space="0" w:color="auto"/>
        <w:right w:val="none" w:sz="0" w:space="0" w:color="auto"/>
      </w:divBdr>
    </w:div>
    <w:div w:id="2025742556">
      <w:bodyDiv w:val="1"/>
      <w:marLeft w:val="0"/>
      <w:marRight w:val="0"/>
      <w:marTop w:val="0"/>
      <w:marBottom w:val="0"/>
      <w:divBdr>
        <w:top w:val="none" w:sz="0" w:space="0" w:color="auto"/>
        <w:left w:val="none" w:sz="0" w:space="0" w:color="auto"/>
        <w:bottom w:val="none" w:sz="0" w:space="0" w:color="auto"/>
        <w:right w:val="none" w:sz="0" w:space="0" w:color="auto"/>
      </w:divBdr>
    </w:div>
    <w:div w:id="2059090942">
      <w:bodyDiv w:val="1"/>
      <w:marLeft w:val="0"/>
      <w:marRight w:val="0"/>
      <w:marTop w:val="0"/>
      <w:marBottom w:val="0"/>
      <w:divBdr>
        <w:top w:val="none" w:sz="0" w:space="0" w:color="auto"/>
        <w:left w:val="none" w:sz="0" w:space="0" w:color="auto"/>
        <w:bottom w:val="none" w:sz="0" w:space="0" w:color="auto"/>
        <w:right w:val="none" w:sz="0" w:space="0" w:color="auto"/>
      </w:divBdr>
    </w:div>
    <w:div w:id="2109425171">
      <w:bodyDiv w:val="1"/>
      <w:marLeft w:val="0"/>
      <w:marRight w:val="0"/>
      <w:marTop w:val="0"/>
      <w:marBottom w:val="0"/>
      <w:divBdr>
        <w:top w:val="none" w:sz="0" w:space="0" w:color="auto"/>
        <w:left w:val="none" w:sz="0" w:space="0" w:color="auto"/>
        <w:bottom w:val="none" w:sz="0" w:space="0" w:color="auto"/>
        <w:right w:val="none" w:sz="0" w:space="0" w:color="auto"/>
      </w:divBdr>
    </w:div>
    <w:div w:id="2109885081">
      <w:bodyDiv w:val="1"/>
      <w:marLeft w:val="0"/>
      <w:marRight w:val="0"/>
      <w:marTop w:val="0"/>
      <w:marBottom w:val="0"/>
      <w:divBdr>
        <w:top w:val="none" w:sz="0" w:space="0" w:color="auto"/>
        <w:left w:val="none" w:sz="0" w:space="0" w:color="auto"/>
        <w:bottom w:val="none" w:sz="0" w:space="0" w:color="auto"/>
        <w:right w:val="none" w:sz="0" w:space="0" w:color="auto"/>
      </w:divBdr>
    </w:div>
    <w:div w:id="2112894850">
      <w:bodyDiv w:val="1"/>
      <w:marLeft w:val="0"/>
      <w:marRight w:val="0"/>
      <w:marTop w:val="0"/>
      <w:marBottom w:val="0"/>
      <w:divBdr>
        <w:top w:val="none" w:sz="0" w:space="0" w:color="auto"/>
        <w:left w:val="none" w:sz="0" w:space="0" w:color="auto"/>
        <w:bottom w:val="none" w:sz="0" w:space="0" w:color="auto"/>
        <w:right w:val="none" w:sz="0" w:space="0" w:color="auto"/>
      </w:divBdr>
    </w:div>
    <w:div w:id="21266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c.net.au/news/2014-07-28/france-says-non-to-australian-toxic-waste/5628876" TargetMode="External"/><Relationship Id="rId117" Type="http://schemas.openxmlformats.org/officeDocument/2006/relationships/hyperlink" Target="http://www.ecfr.gov/cgi-bin/text-idx?SID=7e6c6913f1a30ea383b95fa33a3bd8f1&amp;mc=true&amp;node=pt40.26.262&amp;rgn=div5" TargetMode="External"/><Relationship Id="rId21" Type="http://schemas.openxmlformats.org/officeDocument/2006/relationships/image" Target="media/image6.png"/><Relationship Id="rId42" Type="http://schemas.openxmlformats.org/officeDocument/2006/relationships/hyperlink" Target="http://www.epa.nsw.gov.au/resources/wasteregulation/150489-waste-levy-guidelines.pdf" TargetMode="External"/><Relationship Id="rId47" Type="http://schemas.openxmlformats.org/officeDocument/2006/relationships/hyperlink" Target="http://www.austlii.edu.au/au/legis/nt/consol_act/wmapca398" TargetMode="External"/><Relationship Id="rId63" Type="http://schemas.openxmlformats.org/officeDocument/2006/relationships/hyperlink" Target="http://www.austlii.edu.au/au/legis/tas/consol_reg/emapcmr2010739/" TargetMode="External"/><Relationship Id="rId68" Type="http://schemas.openxmlformats.org/officeDocument/2006/relationships/hyperlink" Target="http://www.austlii.edu.au/au/legis/tas/consol_act/emapca1994484/s27.html" TargetMode="External"/><Relationship Id="rId84" Type="http://schemas.openxmlformats.org/officeDocument/2006/relationships/hyperlink" Target="https://www.der.wa.gov.au/about-us/media-statements/112-landfill-levy-rates-to-rise-from-january-2015" TargetMode="External"/><Relationship Id="rId89" Type="http://schemas.openxmlformats.org/officeDocument/2006/relationships/hyperlink" Target="http://www.ecfr.gov/cgi-bin/retrieveECFR?gp=&amp;SID=d208d62894d5d40b701c5493a2502ee9&amp;r=PART&amp;n=pt40.26.261" TargetMode="External"/><Relationship Id="rId112" Type="http://schemas.openxmlformats.org/officeDocument/2006/relationships/hyperlink" Target="http://www.ecfr.gov/cgi-bin/text-idx?SID=d208d62894d5d40b701c5493a2502ee9&amp;node=pt40.26.262&amp;rgn=div5" TargetMode="External"/><Relationship Id="rId133" Type="http://schemas.openxmlformats.org/officeDocument/2006/relationships/hyperlink" Target="https://www.epa.gov/hw/land-disposal-restrictions-hazardous-waste" TargetMode="External"/><Relationship Id="rId138" Type="http://schemas.openxmlformats.org/officeDocument/2006/relationships/hyperlink" Target="https://www.gov.uk/managing-your-waste-an-overview/sorting-storing-waste" TargetMode="External"/><Relationship Id="rId154" Type="http://schemas.openxmlformats.org/officeDocument/2006/relationships/header" Target="header23.xml"/><Relationship Id="rId159" Type="http://schemas.openxmlformats.org/officeDocument/2006/relationships/header" Target="header25.xml"/><Relationship Id="rId175" Type="http://schemas.openxmlformats.org/officeDocument/2006/relationships/header" Target="header30.xml"/><Relationship Id="rId170" Type="http://schemas.openxmlformats.org/officeDocument/2006/relationships/hyperlink" Target="http://www.chiefscientist.nsw.gov.au/__data/assets/pdf_file/0017/44081/OCSE-Final-%20Report-Stuart-Khan-Final-28-May-2014.pdf" TargetMode="External"/><Relationship Id="rId16" Type="http://schemas.openxmlformats.org/officeDocument/2006/relationships/image" Target="media/image3.emf"/><Relationship Id="rId107" Type="http://schemas.openxmlformats.org/officeDocument/2006/relationships/hyperlink" Target="http://www.ecfr.gov/cgi-bin/text-idx?SID=d208d62894d5d40b701c5493a2502ee9&amp;node=pt40.26.262&amp;rgn=div5" TargetMode="External"/><Relationship Id="rId11" Type="http://schemas.openxmlformats.org/officeDocument/2006/relationships/footer" Target="footer1.xml"/><Relationship Id="rId32" Type="http://schemas.openxmlformats.org/officeDocument/2006/relationships/hyperlink" Target="http://www.legislation.act.gov.au/a/2004-7/" TargetMode="External"/><Relationship Id="rId37" Type="http://schemas.openxmlformats.org/officeDocument/2006/relationships/hyperlink" Target="http://www.legislation.nsw.gov.au/" TargetMode="External"/><Relationship Id="rId53" Type="http://schemas.openxmlformats.org/officeDocument/2006/relationships/hyperlink" Target="https://publications.qld.gov.au/storage/f/2013-02-21T230337/01.04.11Combined.pdf" TargetMode="External"/><Relationship Id="rId58" Type="http://schemas.openxmlformats.org/officeDocument/2006/relationships/hyperlink" Target="http://www.epa.sa.gov.au/business_and_industry/waste-levy" TargetMode="External"/><Relationship Id="rId74" Type="http://schemas.openxmlformats.org/officeDocument/2006/relationships/hyperlink" Target="http://www.austlii.edu.au/au/legis/vic/num_reg/eppaer2007n77o2007788/" TargetMode="External"/><Relationship Id="rId79" Type="http://schemas.openxmlformats.org/officeDocument/2006/relationships/hyperlink" Target="http://www.cfa.vic.gov.au/fm_files/attachments/Publications/Fire_Services_Guideline_Open_Air_Storage_of_New_or_Used_Tyres.pdf" TargetMode="External"/><Relationship Id="rId102" Type="http://schemas.openxmlformats.org/officeDocument/2006/relationships/hyperlink" Target="https://www.epa.gov/hwgenerators/hazardous-waste-manifest-system" TargetMode="External"/><Relationship Id="rId123" Type="http://schemas.openxmlformats.org/officeDocument/2006/relationships/hyperlink" Target="http://www.ecfr.gov/cgi-bin/text-idx?SID=d208d62894d5d40b701c5493a2502ee9&amp;node=pt40.26.262&amp;rgn=div5" TargetMode="External"/><Relationship Id="rId128" Type="http://schemas.openxmlformats.org/officeDocument/2006/relationships/hyperlink" Target="http://www.ecfr.gov/cgi-bin/retrieveECFR?gp=&amp;SID=b7078d2f402a2f96fc817662c2f36c45&amp;r=PART&amp;n=pt40.26.265" TargetMode="External"/><Relationship Id="rId144" Type="http://schemas.openxmlformats.org/officeDocument/2006/relationships/hyperlink" Target="http://www.ecfr.gov/cgi-bin/text-idx?SID=7e6c6913f1a30ea383b95fa33a3bd8f1&amp;mc=true&amp;node=pt40.26.265&amp;rgn=div5" TargetMode="External"/><Relationship Id="rId149" Type="http://schemas.openxmlformats.org/officeDocument/2006/relationships/header" Target="header19.xml"/><Relationship Id="rId5" Type="http://schemas.openxmlformats.org/officeDocument/2006/relationships/webSettings" Target="webSettings.xml"/><Relationship Id="rId90" Type="http://schemas.openxmlformats.org/officeDocument/2006/relationships/hyperlink" Target="http://www.ecfr.gov/cgi-bin/text-idx?SID=d208d62894d5d40b701c5493a2502ee9&amp;node=pt40.26.262&amp;rgn=div5" TargetMode="External"/><Relationship Id="rId95" Type="http://schemas.openxmlformats.org/officeDocument/2006/relationships/hyperlink" Target="http://www.ecfr.gov/cgi-bin/text-idx?SID=d208d62894d5d40b701c5493a2502ee9&amp;node=pt40.26.262&amp;rgn=div5" TargetMode="External"/><Relationship Id="rId160" Type="http://schemas.openxmlformats.org/officeDocument/2006/relationships/header" Target="header26.xml"/><Relationship Id="rId165" Type="http://schemas.openxmlformats.org/officeDocument/2006/relationships/hyperlink" Target="https://www.environment.gov.au/system/files/resources/53cda9ea-7ec2-49d4-af29-d1dde09e96ef/files/nwqms-guidelines-4-vol1.pdf" TargetMode="External"/><Relationship Id="rId181" Type="http://schemas.openxmlformats.org/officeDocument/2006/relationships/header" Target="header34.xml"/><Relationship Id="rId186" Type="http://schemas.openxmlformats.org/officeDocument/2006/relationships/theme" Target="theme/theme1.xml"/><Relationship Id="rId22" Type="http://schemas.openxmlformats.org/officeDocument/2006/relationships/header" Target="header7.xml"/><Relationship Id="rId27" Type="http://schemas.openxmlformats.org/officeDocument/2006/relationships/header" Target="header10.xml"/><Relationship Id="rId43" Type="http://schemas.openxmlformats.org/officeDocument/2006/relationships/hyperlink" Target="http://www.epa.nsw.gov.au/wasteregulation/volumetric-surveys.htm" TargetMode="External"/><Relationship Id="rId48" Type="http://schemas.openxmlformats.org/officeDocument/2006/relationships/hyperlink" Target="http://www.austlii.edu.au/au/legis/nt/consol_reg/wmapcr659" TargetMode="External"/><Relationship Id="rId64" Type="http://schemas.openxmlformats.org/officeDocument/2006/relationships/hyperlink" Target="http://www.austlii.edu.au/au/legis/tas/consol_reg/emapcwtr2010839" TargetMode="External"/><Relationship Id="rId69" Type="http://schemas.openxmlformats.org/officeDocument/2006/relationships/hyperlink" Target="http://www.austlii.edu.au/au/legis/tas/consol_act/emapca1994484/s44.html" TargetMode="External"/><Relationship Id="rId113" Type="http://schemas.openxmlformats.org/officeDocument/2006/relationships/hyperlink" Target="http://www.ecfr.gov/cgi-bin/retrieveECFR?gp=&amp;SID=d208d62894d5d40b701c5493a2502ee9&amp;r=PART&amp;n=pt40.26.261" TargetMode="External"/><Relationship Id="rId118" Type="http://schemas.openxmlformats.org/officeDocument/2006/relationships/hyperlink" Target="http://www.ecfr.gov/cgi-bin/text-idx?SID=b7078d2f402a2f96fc817662c2f36c45&amp;node=pt40.27.268&amp;rgn=div5" TargetMode="External"/><Relationship Id="rId134" Type="http://schemas.openxmlformats.org/officeDocument/2006/relationships/hyperlink" Target="https://www.epa.gov/node/127431_" TargetMode="External"/><Relationship Id="rId139" Type="http://schemas.openxmlformats.org/officeDocument/2006/relationships/hyperlink" Target="https://www.gov.uk/hazardous-waste-producer-registration-wales" TargetMode="External"/><Relationship Id="rId80" Type="http://schemas.openxmlformats.org/officeDocument/2006/relationships/hyperlink" Target="http://www.austlii.edu.au/au/legis/wa/consol_act/epa1986295/" TargetMode="External"/><Relationship Id="rId85" Type="http://schemas.openxmlformats.org/officeDocument/2006/relationships/hyperlink" Target="http://www.austlii.edu.au/au/legis/wa/consol_reg/epr1987404/" TargetMode="External"/><Relationship Id="rId150" Type="http://schemas.openxmlformats.org/officeDocument/2006/relationships/header" Target="header20.xml"/><Relationship Id="rId155" Type="http://schemas.openxmlformats.org/officeDocument/2006/relationships/footer" Target="footer10.xml"/><Relationship Id="rId171" Type="http://schemas.openxmlformats.org/officeDocument/2006/relationships/hyperlink" Target="https://www.ehp.qld.gov.au/assets/documents/regulation/wr-ga-irrigation-associated-water.pdf" TargetMode="External"/><Relationship Id="rId176" Type="http://schemas.openxmlformats.org/officeDocument/2006/relationships/image" Target="media/image8.png"/><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yperlink" Target="http://www.legislation.act.gov.au/di/2016-161/default.asp" TargetMode="External"/><Relationship Id="rId38" Type="http://schemas.openxmlformats.org/officeDocument/2006/relationships/hyperlink" Target="http://www.epa.nsw.gov.au/resources/wasteregulation/150108-changes-to-waste-levy-factsheet.pdf" TargetMode="External"/><Relationship Id="rId59" Type="http://schemas.openxmlformats.org/officeDocument/2006/relationships/hyperlink" Target="http://www.epa.sa.gov.au/environmental_info/waste_management/solid_waste/storage_and_stockpiling" TargetMode="External"/><Relationship Id="rId103" Type="http://schemas.openxmlformats.org/officeDocument/2006/relationships/hyperlink" Target="http://www.ecfr.gov/cgi-bin/text-idx?SID=d208d62894d5d40b701c5493a2502ee9&amp;node=pt40.26.262&amp;rgn=div5" TargetMode="External"/><Relationship Id="rId108" Type="http://schemas.openxmlformats.org/officeDocument/2006/relationships/hyperlink" Target="http://www.ecfr.gov/cgi-bin/text-idx?SID=5746b9984f441f7479b83d9157c14725&amp;node=pt40.26.262&amp;rgn=div5" TargetMode="External"/><Relationship Id="rId124" Type="http://schemas.openxmlformats.org/officeDocument/2006/relationships/hyperlink" Target="http://www.ecfr.gov/cgi-bin/text-idx?SID=d208d62894d5d40b701c5493a2502ee9&amp;node=pt40.26.262&amp;rgn=div5" TargetMode="External"/><Relationship Id="rId129" Type="http://schemas.openxmlformats.org/officeDocument/2006/relationships/hyperlink" Target="http://www.ecfr.gov/cgi-bin/retrieveECFR?gp=&amp;SID=b7078d2f402a2f96fc817662c2f36c45&amp;r=PART&amp;n=pt40.26.265" TargetMode="External"/><Relationship Id="rId54" Type="http://schemas.openxmlformats.org/officeDocument/2006/relationships/hyperlink" Target="https://www.ehp.qld.gov.au/assets/documents/regulation/era-gl-financial-assurance-ep-act.pdf" TargetMode="External"/><Relationship Id="rId70" Type="http://schemas.openxmlformats.org/officeDocument/2006/relationships/hyperlink" Target="http://www.austlii.edu.au/au/legis/tas/consol_act/lupaaa1993296/s60l.html" TargetMode="External"/><Relationship Id="rId75" Type="http://schemas.openxmlformats.org/officeDocument/2006/relationships/hyperlink" Target="https://wastelocate.epa.nsw.gov.au/" TargetMode="External"/><Relationship Id="rId91" Type="http://schemas.openxmlformats.org/officeDocument/2006/relationships/hyperlink" Target="http://www.ecfr.gov/cgi-bin/text-idx?SID=d208d62894d5d40b701c5493a2502ee9&amp;node=pt40.26.262&amp;rgn=div5" TargetMode="External"/><Relationship Id="rId96" Type="http://schemas.openxmlformats.org/officeDocument/2006/relationships/hyperlink" Target="http://www.ecfr.gov/cgi-bin/text-idx?SID=d208d62894d5d40b701c5493a2502ee9&amp;node=pt40.26.262&amp;rgn=div5" TargetMode="External"/><Relationship Id="rId140" Type="http://schemas.openxmlformats.org/officeDocument/2006/relationships/header" Target="header13.xml"/><Relationship Id="rId145" Type="http://schemas.openxmlformats.org/officeDocument/2006/relationships/header" Target="header16.xml"/><Relationship Id="rId161" Type="http://schemas.openxmlformats.org/officeDocument/2006/relationships/footer" Target="footer11.xml"/><Relationship Id="rId166" Type="http://schemas.openxmlformats.org/officeDocument/2006/relationships/hyperlink" Target="http://www.defence.gov.au/estatemanagement/governance/Policy/Environment/Contamination/Docs/Toolbox/AFFFMay08.pdf" TargetMode="External"/><Relationship Id="rId182"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header" Target="header11.xml"/><Relationship Id="rId49" Type="http://schemas.openxmlformats.org/officeDocument/2006/relationships/hyperlink" Target="http://www.austlii.edu.au/au/legis/nt/consol_act/wmapca398/s103.html" TargetMode="External"/><Relationship Id="rId114" Type="http://schemas.openxmlformats.org/officeDocument/2006/relationships/hyperlink" Target="http://www.ecfr.gov/cgi-bin/text-idx?SID=099067bf6fe271309717bbf7512896c9&amp;tpl=/ecfrbrowse/Title40/40CIsubchapI.tpl" TargetMode="External"/><Relationship Id="rId119" Type="http://schemas.openxmlformats.org/officeDocument/2006/relationships/hyperlink" Target="http://www.ecfr.gov/cgi-bin/text-idx?SID=7e6c6913f1a30ea383b95fa33a3bd8f1&amp;mc=true&amp;node=pt40.26.262&amp;rgn=div5" TargetMode="External"/><Relationship Id="rId44" Type="http://schemas.openxmlformats.org/officeDocument/2006/relationships/hyperlink" Target="https://www.fire.nsw.gov.au/gallery/files/pdf/guidelines/rubber_tyres.pdf" TargetMode="External"/><Relationship Id="rId60" Type="http://schemas.openxmlformats.org/officeDocument/2006/relationships/hyperlink" Target="http://www.epa.sa.gov.au/environmental_info/waste_management/solid_waste/storage_and_stockpiling" TargetMode="External"/><Relationship Id="rId65" Type="http://schemas.openxmlformats.org/officeDocument/2006/relationships/hyperlink" Target="http://www.austlii.edu.au/au/legis/tas/consol_reg/gfr2010219" TargetMode="External"/><Relationship Id="rId81" Type="http://schemas.openxmlformats.org/officeDocument/2006/relationships/hyperlink" Target="http://www.austlii.edu.au/au/legis/wa/consol_reg/epr1987404/" TargetMode="External"/><Relationship Id="rId86" Type="http://schemas.openxmlformats.org/officeDocument/2006/relationships/hyperlink" Target="https://www.epa.gov/rcra" TargetMode="External"/><Relationship Id="rId130" Type="http://schemas.openxmlformats.org/officeDocument/2006/relationships/hyperlink" Target="http://www.ecfr.gov/cgi-bin/text-idx?SID=7e6c6913f1a30ea383b95fa33a3bd8f1&amp;mc=true&amp;node=pt40.26.262&amp;rgn=div5" TargetMode="External"/><Relationship Id="rId135" Type="http://schemas.openxmlformats.org/officeDocument/2006/relationships/hyperlink" Target="https://www.epa.gov/enforcement/superfund-special-accounts" TargetMode="External"/><Relationship Id="rId151" Type="http://schemas.openxmlformats.org/officeDocument/2006/relationships/footer" Target="footer9.xml"/><Relationship Id="rId156" Type="http://schemas.openxmlformats.org/officeDocument/2006/relationships/header" Target="header24.xml"/><Relationship Id="rId177"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http://www.agforceprojects.org.au/file.php?id=68&amp;open=yes" TargetMode="External"/><Relationship Id="rId180" Type="http://schemas.openxmlformats.org/officeDocument/2006/relationships/header" Target="header33.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s://wastelocate.epa.nsw.gov.au/" TargetMode="External"/><Relationship Id="rId109" Type="http://schemas.openxmlformats.org/officeDocument/2006/relationships/hyperlink" Target="https://www.epa.gov/hwgenerators/hazardous-waste-manifest-system" TargetMode="External"/><Relationship Id="rId34" Type="http://schemas.openxmlformats.org/officeDocument/2006/relationships/hyperlink" Target="http://www.legislation.act.gov.au/a/2001-31/" TargetMode="External"/><Relationship Id="rId50" Type="http://schemas.openxmlformats.org/officeDocument/2006/relationships/hyperlink" Target="https://www.legislation.qld.gov.au/LEGISLTN/CURRENT/E/EnvProtA94.pdf" TargetMode="External"/><Relationship Id="rId55" Type="http://schemas.openxmlformats.org/officeDocument/2006/relationships/hyperlink" Target="http://assets.yoursay.sa.gov.au/production/2016/09/29/07/45/04/797a3d72-7403-4189-b712-b36307408d72/12276_waste_reform_bill_draft.pdf" TargetMode="External"/><Relationship Id="rId76" Type="http://schemas.openxmlformats.org/officeDocument/2006/relationships/hyperlink" Target="https://wastelocate.epa.nsw.gov.au/" TargetMode="External"/><Relationship Id="rId97" Type="http://schemas.openxmlformats.org/officeDocument/2006/relationships/hyperlink" Target="http://www.ecfr.gov/cgi-bin/text-idx?SID=d208d62894d5d40b701c5493a2502ee9&amp;node=pt40.26.262&amp;rgn=div5" TargetMode="External"/><Relationship Id="rId104" Type="http://schemas.openxmlformats.org/officeDocument/2006/relationships/hyperlink" Target="http://www.ecfr.gov/cgi-bin/text-idx?SID=d208d62894d5d40b701c5493a2502ee9&amp;node=pt40.26.262&amp;rgn=div5" TargetMode="External"/><Relationship Id="rId120" Type="http://schemas.openxmlformats.org/officeDocument/2006/relationships/hyperlink" Target="http://www.ecfr.gov/cgi-bin/text-idx?SID=e49a7ef19d23b9543b777b981d4ec05e&amp;mc=true&amp;node=pt40.26.265&amp;rgn=div5" TargetMode="External"/><Relationship Id="rId125" Type="http://schemas.openxmlformats.org/officeDocument/2006/relationships/hyperlink" Target="http://www.ecfr.gov/cgi-bin/text-idx?SID=7e6c6913f1a30ea383b95fa33a3bd8f1&amp;mc=true&amp;node=pt40.26.265&amp;rgn=div5" TargetMode="External"/><Relationship Id="rId141" Type="http://schemas.openxmlformats.org/officeDocument/2006/relationships/header" Target="header14.xml"/><Relationship Id="rId146" Type="http://schemas.openxmlformats.org/officeDocument/2006/relationships/header" Target="header17.xml"/><Relationship Id="rId167" Type="http://schemas.openxmlformats.org/officeDocument/2006/relationships/hyperlink" Target="http://www.defence.gov.au/FOI/Docs/Disclosures/111_1617_Documents.pdf" TargetMode="External"/><Relationship Id="rId7" Type="http://schemas.openxmlformats.org/officeDocument/2006/relationships/endnotes" Target="endnotes.xml"/><Relationship Id="rId71" Type="http://schemas.openxmlformats.org/officeDocument/2006/relationships/hyperlink" Target="http://www.austlii.edu.au/au/legis/tas/consol_act/lupaaa1993296/" TargetMode="External"/><Relationship Id="rId92" Type="http://schemas.openxmlformats.org/officeDocument/2006/relationships/hyperlink" Target="http://www.ecfr.gov/cgi-bin/text-idx?SID=d208d62894d5d40b701c5493a2502ee9&amp;node=pt40.26.262&amp;rgn=div5" TargetMode="External"/><Relationship Id="rId162" Type="http://schemas.openxmlformats.org/officeDocument/2006/relationships/header" Target="header27.xml"/><Relationship Id="rId183"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5.xml"/><Relationship Id="rId40" Type="http://schemas.openxmlformats.org/officeDocument/2006/relationships/hyperlink" Target="http://www.epa.nsw.gov.au/wasteregulation/waste-levy.htm" TargetMode="External"/><Relationship Id="rId45" Type="http://schemas.openxmlformats.org/officeDocument/2006/relationships/hyperlink" Target="http://www.epa.nsw.gov.au/publications/wasteregulation/150105-guide-to-licensing-factsheet.htm" TargetMode="External"/><Relationship Id="rId66" Type="http://schemas.openxmlformats.org/officeDocument/2006/relationships/hyperlink" Target="http://www.austlii.edu.au/au/legis/tas/consol_act/emapca1994484/s35.html" TargetMode="External"/><Relationship Id="rId87" Type="http://schemas.openxmlformats.org/officeDocument/2006/relationships/hyperlink" Target="http://www.ecfr.gov/cgi-bin/ECFR?page=browse" TargetMode="External"/><Relationship Id="rId110" Type="http://schemas.openxmlformats.org/officeDocument/2006/relationships/hyperlink" Target="https://www.epa.gov/hwgenerators/biennial-hazardous-waste-report" TargetMode="External"/><Relationship Id="rId115" Type="http://schemas.openxmlformats.org/officeDocument/2006/relationships/hyperlink" Target="http://www.ecfr.gov/cgi-bin/text-idx?SID=099067bf6fe271309717bbf7512896c9&amp;tpl=/ecfrbrowse/Title40/40CIsubchapI.tpl" TargetMode="External"/><Relationship Id="rId131" Type="http://schemas.openxmlformats.org/officeDocument/2006/relationships/hyperlink" Target="http://www.ecfr.gov/cgi-bin/retrieveECFR?gp=&amp;SID=b7078d2f402a2f96fc817662c2f36c45&amp;r=PART&amp;n=pt40.26.265" TargetMode="External"/><Relationship Id="rId136" Type="http://schemas.openxmlformats.org/officeDocument/2006/relationships/hyperlink" Target="http://www.eea.europa.eu/publications/waste-prevention-in-europe" TargetMode="External"/><Relationship Id="rId157" Type="http://schemas.openxmlformats.org/officeDocument/2006/relationships/hyperlink" Target="https://www.abc.net.au/news/2014-07-28/france-says-non-to-australian-toxic-waste/5628876" TargetMode="External"/><Relationship Id="rId178" Type="http://schemas.openxmlformats.org/officeDocument/2006/relationships/header" Target="header32.xml"/><Relationship Id="rId61" Type="http://schemas.openxmlformats.org/officeDocument/2006/relationships/hyperlink" Target="https://www.mfs.sa.gov.au/public/download.jsp?id=71013" TargetMode="External"/><Relationship Id="rId82" Type="http://schemas.openxmlformats.org/officeDocument/2006/relationships/hyperlink" Target="http://www.austlii.edu.au/au/legis/wa/consol_reg/epwr2004575/" TargetMode="External"/><Relationship Id="rId152" Type="http://schemas.openxmlformats.org/officeDocument/2006/relationships/header" Target="header21.xml"/><Relationship Id="rId173" Type="http://schemas.openxmlformats.org/officeDocument/2006/relationships/header" Target="header28.xm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eader" Target="header12.xml"/><Relationship Id="rId35" Type="http://schemas.openxmlformats.org/officeDocument/2006/relationships/hyperlink" Target="http://www.legislation.act.gov.au/a/2016-51/current/pdf/2016-51.pdf" TargetMode="External"/><Relationship Id="rId56" Type="http://schemas.openxmlformats.org/officeDocument/2006/relationships/hyperlink" Target="http://www.legislation.sa.gov.au/LZ/C/A/ENVIRONMENT%20PROTECTION%20ACT%252" TargetMode="External"/><Relationship Id="rId77" Type="http://schemas.openxmlformats.org/officeDocument/2006/relationships/hyperlink" Target="http://www.epa.vic.gov.au/your-environment/waste/landfills/landfill-and-prescribed-waste-levies" TargetMode="External"/><Relationship Id="rId100" Type="http://schemas.openxmlformats.org/officeDocument/2006/relationships/hyperlink" Target="https://www.epa.gov/hwgenerators/biennial-hazardous-waste-report" TargetMode="External"/><Relationship Id="rId105" Type="http://schemas.openxmlformats.org/officeDocument/2006/relationships/hyperlink" Target="http://www.ecfr.gov/cgi-bin/text-idx?SID=d208d62894d5d40b701c5493a2502ee9&amp;node=pt40.26.262&amp;rgn=div5" TargetMode="External"/><Relationship Id="rId126" Type="http://schemas.openxmlformats.org/officeDocument/2006/relationships/hyperlink" Target="http://www.ecfr.gov/cgi-bin/text-idx?SID=d208d62894d5d40b701c5493a2502ee9&amp;node=pt40.26.262&amp;rgn=div5" TargetMode="External"/><Relationship Id="rId147" Type="http://schemas.openxmlformats.org/officeDocument/2006/relationships/footer" Target="footer8.xml"/><Relationship Id="rId168" Type="http://schemas.openxmlformats.org/officeDocument/2006/relationships/hyperlink" Target="http://www.epa.vic.gov.au/~/media/Publications/1576.pdf" TargetMode="External"/><Relationship Id="rId8" Type="http://schemas.openxmlformats.org/officeDocument/2006/relationships/image" Target="media/image1.png"/><Relationship Id="rId51" Type="http://schemas.openxmlformats.org/officeDocument/2006/relationships/hyperlink" Target="https://www.legislation.qld.gov.au/LEGISLTN/CURRENT/E/EnvProtR08.pdf" TargetMode="External"/><Relationship Id="rId72" Type="http://schemas.openxmlformats.org/officeDocument/2006/relationships/hyperlink" Target="http://www.austlii.edu.au/au/legis/vic/consol_act/epa1970284/" TargetMode="External"/><Relationship Id="rId93" Type="http://schemas.openxmlformats.org/officeDocument/2006/relationships/hyperlink" Target="http://www.ecfr.gov/cgi-bin/text-idx?SID=d208d62894d5d40b701c5493a2502ee9&amp;node=pt40.26.262&amp;rgn=div5" TargetMode="External"/><Relationship Id="rId98" Type="http://schemas.openxmlformats.org/officeDocument/2006/relationships/hyperlink" Target="http://www.ecfr.gov/cgi-bin/retrieveECFR?gp=&amp;SID=d208d62894d5d40b701c5493a2502ee9&amp;r=PART&amp;n=pt40.26.261" TargetMode="External"/><Relationship Id="rId121" Type="http://schemas.openxmlformats.org/officeDocument/2006/relationships/hyperlink" Target="http://www.ecfr.gov/cgi-bin/text-idx?SID=d208d62894d5d40b701c5493a2502ee9&amp;node=pt40.26.262&amp;rgn=div5" TargetMode="External"/><Relationship Id="rId142" Type="http://schemas.openxmlformats.org/officeDocument/2006/relationships/footer" Target="footer7.xml"/><Relationship Id="rId163" Type="http://schemas.openxmlformats.org/officeDocument/2006/relationships/hyperlink" Target="http://www.batteryrecycling.org.au/wp-content/uploads/2011/06/Battery-consumption-recycling-and-disposal-in-Australia_Executive-Summary.pdf" TargetMode="External"/><Relationship Id="rId184" Type="http://schemas.openxmlformats.org/officeDocument/2006/relationships/header" Target="header36.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yperlink" Target="http://www.environment.nsw.gov.au/grants/envtrust.htm" TargetMode="External"/><Relationship Id="rId67" Type="http://schemas.openxmlformats.org/officeDocument/2006/relationships/hyperlink" Target="http://www.austlii.edu.au/au/legis/tas/consol_act/emapca1994484/s25.html" TargetMode="External"/><Relationship Id="rId116" Type="http://schemas.openxmlformats.org/officeDocument/2006/relationships/hyperlink" Target="http://www.ecfr.gov/cgi-bin/text-idx?SID=b7078d2f402a2f96fc817662c2f36c45&amp;node=pt40.27.268&amp;rgn=div5" TargetMode="External"/><Relationship Id="rId137" Type="http://schemas.openxmlformats.org/officeDocument/2006/relationships/hyperlink" Target="https://www.gov.uk/dispose-hazardous-waste/producers-and-holders" TargetMode="External"/><Relationship Id="rId158" Type="http://schemas.openxmlformats.org/officeDocument/2006/relationships/hyperlink" Target="http://www.ecfr.gov/cgi-bin/text-idx?SID=7e6c6913f1a30ea383b95fa33a3bd8f1&amp;mc=true&amp;node=pt40.26.265&amp;rgn=div5" TargetMode="External"/><Relationship Id="rId20" Type="http://schemas.openxmlformats.org/officeDocument/2006/relationships/header" Target="header6.xml"/><Relationship Id="rId41" Type="http://schemas.openxmlformats.org/officeDocument/2006/relationships/hyperlink" Target="http://www.epa.nsw.gov.au/wasteregulation/stockpile-mgt.htm" TargetMode="External"/><Relationship Id="rId62" Type="http://schemas.openxmlformats.org/officeDocument/2006/relationships/hyperlink" Target="http://assets.yoursay.sa.gov.au/production/2016/09/29/07/45/04/797a3d72-7403-4189-b712-b36307408d72/12276_waste_reform_bill_draft.pdf" TargetMode="External"/><Relationship Id="rId83" Type="http://schemas.openxmlformats.org/officeDocument/2006/relationships/hyperlink" Target="https://www.der.wa.gov.au/regulatory-principles" TargetMode="External"/><Relationship Id="rId88" Type="http://schemas.openxmlformats.org/officeDocument/2006/relationships/hyperlink" Target="https://www.epa.gov/hwgenerators/categories-hazardous-waste-generators" TargetMode="External"/><Relationship Id="rId111" Type="http://schemas.openxmlformats.org/officeDocument/2006/relationships/hyperlink" Target="http://www.ecfr.gov/cgi-bin/text-idx?SID=d208d62894d5d40b701c5493a2502ee9&amp;node=pt40.26.262&amp;rgn=div5" TargetMode="External"/><Relationship Id="rId132" Type="http://schemas.openxmlformats.org/officeDocument/2006/relationships/hyperlink" Target="https://www.epa.gov/hwgenerators/hazardous-waste-generator-regulatory-summary" TargetMode="External"/><Relationship Id="rId153" Type="http://schemas.openxmlformats.org/officeDocument/2006/relationships/header" Target="header22.xml"/><Relationship Id="rId174" Type="http://schemas.openxmlformats.org/officeDocument/2006/relationships/header" Target="header29.xml"/><Relationship Id="rId179" Type="http://schemas.openxmlformats.org/officeDocument/2006/relationships/footer" Target="footer12.xml"/><Relationship Id="rId15" Type="http://schemas.openxmlformats.org/officeDocument/2006/relationships/hyperlink" Target="http://www.ecfr.gov/cgi-bin/text-idx?SID=7e6c6913f1a30ea383b95fa33a3bd8f1&amp;mc=true&amp;node=pt40.26.265&amp;rgn=div5" TargetMode="External"/><Relationship Id="rId36" Type="http://schemas.openxmlformats.org/officeDocument/2006/relationships/hyperlink" Target="https://www.accesscanberra.act.gov.au/ci/fattach/get/111833/1478139600/redirect/1/session/L2F2LzEvdGltZS8xNDg0ODgyMzYxL3NpZC9mVVFuNzNocGpnVlNfdVBiVDRKamRBVFMyYlpxJTdFb0daeXVSWWVNSGN5a3VKTGQ3RlRmdFRfNmRHSUlkaURCTFM0RXBzNmxlJTdFUTZHTmJvamJkSGVZJTdFSSU3RUM3VTdCRE9ZazhYU1Q4MmFJbE5GeiU3RTBQT29oWmkwQU5nJTIxJTIx/filename/General%20environment%20protection%20policy.pdf" TargetMode="External"/><Relationship Id="rId57" Type="http://schemas.openxmlformats.org/officeDocument/2006/relationships/hyperlink" Target="http://www.epa.sa.gov.au/files/11053_reforming_waste_aug2015.pdf" TargetMode="External"/><Relationship Id="rId106" Type="http://schemas.openxmlformats.org/officeDocument/2006/relationships/hyperlink" Target="http://www.ecfr.gov/cgi-bin/text-idx?SID=5746b9984f441f7479b83d9157c14725&amp;node=pt40.26.262&amp;rgn=div5" TargetMode="External"/><Relationship Id="rId127" Type="http://schemas.openxmlformats.org/officeDocument/2006/relationships/hyperlink" Target="http://www.ecfr.gov/cgi-bin/text-idx?SID=5cb304dbcc0a45783634c1f9a799eb6f&amp;mc=true&amp;node=pt40.26.265&amp;rgn=div5" TargetMode="External"/><Relationship Id="rId10" Type="http://schemas.openxmlformats.org/officeDocument/2006/relationships/header" Target="header2.xml"/><Relationship Id="rId31" Type="http://schemas.openxmlformats.org/officeDocument/2006/relationships/hyperlink" Target="http://www.austlii.edu.au/au/legis/act/consol_act/epa1997284" TargetMode="External"/><Relationship Id="rId52" Type="http://schemas.openxmlformats.org/officeDocument/2006/relationships/image" Target="media/image7.emf"/><Relationship Id="rId73" Type="http://schemas.openxmlformats.org/officeDocument/2006/relationships/hyperlink" Target="http://www.austlii.edu.au/au/legis/vic/consol_reg/epwrr2009669/" TargetMode="External"/><Relationship Id="rId78" Type="http://schemas.openxmlformats.org/officeDocument/2006/relationships/hyperlink" Target="http://www.cfa.vic.gov.au/fm_files/attachments/Publications/Fire_Services_Guideline_Indoor_Storage_of_New_or_Used_Tyres.pdf" TargetMode="External"/><Relationship Id="rId94" Type="http://schemas.openxmlformats.org/officeDocument/2006/relationships/hyperlink" Target="http://www.ecfr.gov/cgi-bin/text-idx?SID=d208d62894d5d40b701c5493a2502ee9&amp;node=pt40.26.262&amp;rgn=div5" TargetMode="External"/><Relationship Id="rId99" Type="http://schemas.openxmlformats.org/officeDocument/2006/relationships/hyperlink" Target="http://www.ecfr.gov/cgi-bin/text-idx?SID=d208d62894d5d40b701c5493a2502ee9&amp;node=pt40.26.262&amp;rgn=div5" TargetMode="External"/><Relationship Id="rId101" Type="http://schemas.openxmlformats.org/officeDocument/2006/relationships/hyperlink" Target="http://www.ecfr.gov/cgi-bin/text-idx?SID=d208d62894d5d40b701c5493a2502ee9&amp;node=pt40.26.262&amp;rgn=div5" TargetMode="External"/><Relationship Id="rId122" Type="http://schemas.openxmlformats.org/officeDocument/2006/relationships/hyperlink" Target="http://www.ecfr.gov/cgi-bin/text-idx?SID=7e6c6913f1a30ea383b95fa33a3bd8f1&amp;mc=true&amp;node=pt40.26.265&amp;rgn=div5" TargetMode="External"/><Relationship Id="rId143" Type="http://schemas.openxmlformats.org/officeDocument/2006/relationships/header" Target="header15.xml"/><Relationship Id="rId148" Type="http://schemas.openxmlformats.org/officeDocument/2006/relationships/header" Target="header18.xml"/><Relationship Id="rId164" Type="http://schemas.openxmlformats.org/officeDocument/2006/relationships/hyperlink" Target="http://www.adaa.asn.au/uploads/default/files/adaa_mship_report_20162.pdf" TargetMode="External"/><Relationship Id="rId169" Type="http://schemas.openxmlformats.org/officeDocument/2006/relationships/hyperlink" Target="http://www.iesc.environment.gov.au/publications/csg-extraction-and-co-produced-water" TargetMode="External"/><Relationship Id="rId18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nvironment.act.gov.au/__data/assets/pdf_file/0005/585500/wastestandards.pdf" TargetMode="External"/><Relationship Id="rId2" Type="http://schemas.openxmlformats.org/officeDocument/2006/relationships/hyperlink" Target="http://www.nepc.gov.au/nepms/movement-controlled-waste" TargetMode="External"/><Relationship Id="rId1" Type="http://schemas.openxmlformats.org/officeDocument/2006/relationships/hyperlink" Target="http://www.nepc.gov.au/nepms/movement-controlled-waste" TargetMode="External"/><Relationship Id="rId6" Type="http://schemas.openxmlformats.org/officeDocument/2006/relationships/hyperlink" Target="https://energy.gov/sites/prod/files/2013/11/f4/lead_zinc.pdf" TargetMode="External"/><Relationship Id="rId5" Type="http://schemas.openxmlformats.org/officeDocument/2006/relationships/hyperlink" Target="https://cfpub.epa.gov/si/si_public_record_report.cfm?dirEntryId=311174" TargetMode="External"/><Relationship Id="rId4" Type="http://schemas.openxmlformats.org/officeDocument/2006/relationships/hyperlink" Target="https://www.epa.gov/node/127431_"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_rels/header2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AA9F-F29A-4A7D-81C8-73436B39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72AF7A84.dotm</Template>
  <TotalTime>0</TotalTime>
  <Pages>85</Pages>
  <Words>29266</Words>
  <Characters>166821</Characters>
  <Application>Microsoft Office Word</Application>
  <DocSecurity>0</DocSecurity>
  <Lines>1390</Lines>
  <Paragraphs>391</Paragraphs>
  <ScaleCrop>false</ScaleCrop>
  <Company/>
  <LinksUpToDate>false</LinksUpToDate>
  <CharactersWithSpaces>195696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stockpiles and approved long-term storages in Australia</dc:title>
  <dc:subject/>
  <dc:creator/>
  <cp:keywords/>
  <dc:description/>
  <cp:lastModifiedBy/>
  <cp:revision>1</cp:revision>
  <dcterms:created xsi:type="dcterms:W3CDTF">2019-08-01T04:02:00Z</dcterms:created>
  <dcterms:modified xsi:type="dcterms:W3CDTF">2019-08-01T04:02:00Z</dcterms:modified>
</cp:coreProperties>
</file>